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B44469" w14:textId="7C47EEAC" w:rsidR="005C315B" w:rsidRDefault="00A32B49" w:rsidP="006002DF">
      <w:pPr>
        <w:tabs>
          <w:tab w:val="right" w:pos="9072"/>
        </w:tabs>
        <w:ind w:right="91"/>
        <w:jc w:val="center"/>
        <w:rPr>
          <w:b/>
          <w:u w:val="single"/>
        </w:rPr>
      </w:pPr>
      <w:r>
        <w:rPr>
          <w:b/>
          <w:u w:val="single"/>
        </w:rPr>
        <w:t xml:space="preserve">EXPLANATORY </w:t>
      </w:r>
      <w:r w:rsidR="00AC3A16">
        <w:rPr>
          <w:b/>
          <w:u w:val="single"/>
        </w:rPr>
        <w:t>STATEMENT</w:t>
      </w:r>
    </w:p>
    <w:p w14:paraId="1EB112B0" w14:textId="77777777" w:rsidR="005C315B" w:rsidRDefault="005C315B">
      <w:pPr>
        <w:tabs>
          <w:tab w:val="right" w:pos="9072"/>
        </w:tabs>
        <w:ind w:right="91"/>
        <w:jc w:val="center"/>
        <w:rPr>
          <w:b/>
          <w:u w:val="single"/>
        </w:rPr>
      </w:pPr>
    </w:p>
    <w:p w14:paraId="5160AEDC" w14:textId="60F40156" w:rsidR="006002DF" w:rsidRDefault="006002DF">
      <w:pPr>
        <w:tabs>
          <w:tab w:val="right" w:pos="9072"/>
        </w:tabs>
        <w:ind w:right="91"/>
        <w:jc w:val="center"/>
        <w:rPr>
          <w:b/>
          <w:u w:val="single"/>
        </w:rPr>
      </w:pPr>
      <w:r>
        <w:rPr>
          <w:b/>
          <w:u w:val="single"/>
        </w:rPr>
        <w:t>Select Legislative Instrument 2013 No. 130</w:t>
      </w:r>
    </w:p>
    <w:p w14:paraId="05211374" w14:textId="77777777" w:rsidR="006002DF" w:rsidRDefault="006002DF">
      <w:pPr>
        <w:tabs>
          <w:tab w:val="right" w:pos="9072"/>
        </w:tabs>
        <w:ind w:right="91"/>
        <w:jc w:val="center"/>
        <w:rPr>
          <w:b/>
          <w:u w:val="single"/>
        </w:rPr>
      </w:pPr>
    </w:p>
    <w:p w14:paraId="0AAD77EE" w14:textId="5D9453E1" w:rsidR="005C315B" w:rsidRPr="00AC3A16" w:rsidRDefault="00AC3A16">
      <w:pPr>
        <w:tabs>
          <w:tab w:val="right" w:pos="9072"/>
        </w:tabs>
        <w:ind w:right="91"/>
        <w:rPr>
          <w:b/>
          <w:u w:val="single"/>
        </w:rPr>
      </w:pPr>
      <w:r w:rsidRPr="00AC3A16">
        <w:rPr>
          <w:b/>
          <w:u w:val="single"/>
        </w:rPr>
        <w:t>Issued by authority of the Assistant Treasurer</w:t>
      </w:r>
    </w:p>
    <w:p w14:paraId="7D2DB561" w14:textId="77777777" w:rsidR="00AC3A16" w:rsidRPr="00370E92" w:rsidRDefault="00AC3A16">
      <w:pPr>
        <w:tabs>
          <w:tab w:val="right" w:pos="9072"/>
        </w:tabs>
        <w:ind w:right="91"/>
        <w:rPr>
          <w:sz w:val="20"/>
        </w:rPr>
      </w:pPr>
    </w:p>
    <w:p w14:paraId="01ADC538" w14:textId="0195513F" w:rsidR="00176A19" w:rsidRDefault="00F57E86" w:rsidP="00176A19">
      <w:pPr>
        <w:tabs>
          <w:tab w:val="left" w:pos="1701"/>
          <w:tab w:val="right" w:pos="9072"/>
        </w:tabs>
        <w:ind w:right="91"/>
        <w:jc w:val="center"/>
        <w:rPr>
          <w:i/>
        </w:rPr>
      </w:pPr>
      <w:r>
        <w:rPr>
          <w:i/>
        </w:rPr>
        <w:t>Corporations (Fees) Act 2001</w:t>
      </w:r>
    </w:p>
    <w:p w14:paraId="164386BB" w14:textId="0014252D" w:rsidR="00176A19" w:rsidRDefault="00F57E86" w:rsidP="00176A19">
      <w:pPr>
        <w:tabs>
          <w:tab w:val="left" w:pos="1701"/>
          <w:tab w:val="right" w:pos="9072"/>
        </w:tabs>
        <w:ind w:right="91"/>
        <w:jc w:val="center"/>
        <w:rPr>
          <w:i/>
        </w:rPr>
      </w:pPr>
      <w:r>
        <w:rPr>
          <w:i/>
        </w:rPr>
        <w:t>Tax Agent Services Act 2009</w:t>
      </w:r>
    </w:p>
    <w:p w14:paraId="271FB9AB" w14:textId="551EC3FE" w:rsidR="00BE40E9" w:rsidRDefault="00BE40E9" w:rsidP="00176A19">
      <w:pPr>
        <w:tabs>
          <w:tab w:val="left" w:pos="1701"/>
          <w:tab w:val="right" w:pos="9072"/>
        </w:tabs>
        <w:ind w:right="91"/>
        <w:jc w:val="center"/>
        <w:rPr>
          <w:i/>
        </w:rPr>
      </w:pPr>
      <w:r w:rsidRPr="00BE40E9">
        <w:rPr>
          <w:i/>
        </w:rPr>
        <w:t>Taxation Administration Act 1953</w:t>
      </w:r>
    </w:p>
    <w:p w14:paraId="64E1B954" w14:textId="77777777" w:rsidR="005C315B" w:rsidRPr="00370E92" w:rsidRDefault="005C315B" w:rsidP="00AC3A16">
      <w:pPr>
        <w:tabs>
          <w:tab w:val="right" w:pos="9072"/>
        </w:tabs>
        <w:ind w:right="91"/>
        <w:jc w:val="center"/>
        <w:rPr>
          <w:sz w:val="20"/>
        </w:rPr>
      </w:pPr>
    </w:p>
    <w:p w14:paraId="428FB983" w14:textId="2408C556" w:rsidR="005C315B" w:rsidRPr="00C43316" w:rsidRDefault="00C43316" w:rsidP="00AC3A16">
      <w:pPr>
        <w:tabs>
          <w:tab w:val="left" w:pos="1701"/>
          <w:tab w:val="right" w:pos="9072"/>
        </w:tabs>
        <w:ind w:right="91"/>
        <w:jc w:val="center"/>
        <w:rPr>
          <w:i/>
        </w:rPr>
      </w:pPr>
      <w:r w:rsidRPr="00C43316">
        <w:rPr>
          <w:i/>
        </w:rPr>
        <w:t>Tax Administration and Tax Agent Services Legislation Amendment Regulation 2013</w:t>
      </w:r>
    </w:p>
    <w:p w14:paraId="4BDD1B0A" w14:textId="77777777" w:rsidR="00BE40E9" w:rsidRDefault="00BE40E9">
      <w:pPr>
        <w:tabs>
          <w:tab w:val="left" w:pos="1701"/>
          <w:tab w:val="right" w:pos="9072"/>
        </w:tabs>
        <w:ind w:right="91"/>
        <w:rPr>
          <w:b/>
        </w:rPr>
      </w:pPr>
    </w:p>
    <w:p w14:paraId="7405F0C3" w14:textId="1FE2D09E" w:rsidR="00F57E86" w:rsidRDefault="00F57E86" w:rsidP="00F57E86">
      <w:pPr>
        <w:pStyle w:val="Heading3"/>
      </w:pPr>
      <w:r>
        <w:t>Schedule 1, item 1 of the Regulation</w:t>
      </w:r>
    </w:p>
    <w:p w14:paraId="22F2660C" w14:textId="77777777" w:rsidR="00F57E86" w:rsidRDefault="00F57E86" w:rsidP="00F57E86">
      <w:pPr>
        <w:spacing w:before="100" w:beforeAutospacing="1" w:after="100" w:afterAutospacing="1"/>
        <w:rPr>
          <w:iCs/>
          <w:szCs w:val="24"/>
        </w:rPr>
      </w:pPr>
      <w:r>
        <w:rPr>
          <w:szCs w:val="24"/>
        </w:rPr>
        <w:t xml:space="preserve">Section 5 of the </w:t>
      </w:r>
      <w:r w:rsidRPr="00673254">
        <w:rPr>
          <w:i/>
          <w:iCs/>
          <w:szCs w:val="24"/>
        </w:rPr>
        <w:t>Corporations (Fees) Act 2001</w:t>
      </w:r>
      <w:r>
        <w:rPr>
          <w:i/>
          <w:iCs/>
          <w:szCs w:val="24"/>
        </w:rPr>
        <w:t xml:space="preserve"> </w:t>
      </w:r>
      <w:r>
        <w:rPr>
          <w:iCs/>
          <w:szCs w:val="24"/>
        </w:rPr>
        <w:t>provides that the Governor</w:t>
      </w:r>
      <w:r>
        <w:rPr>
          <w:iCs/>
          <w:szCs w:val="24"/>
        </w:rPr>
        <w:noBreakHyphen/>
        <w:t xml:space="preserve">General may make regulations prescribing fees for chargeable matters as defined in this Act. The </w:t>
      </w:r>
      <w:r>
        <w:rPr>
          <w:i/>
          <w:iCs/>
          <w:szCs w:val="24"/>
        </w:rPr>
        <w:t>Corporations (Fees) Regulations 2001</w:t>
      </w:r>
      <w:r>
        <w:rPr>
          <w:iCs/>
          <w:szCs w:val="24"/>
        </w:rPr>
        <w:t xml:space="preserve"> prescribe the amount of such fees.</w:t>
      </w:r>
    </w:p>
    <w:p w14:paraId="4841A1EA" w14:textId="5B6A09C0" w:rsidR="00F57E86" w:rsidRPr="00356AC4" w:rsidRDefault="00F57E86" w:rsidP="00F57E86">
      <w:pPr>
        <w:spacing w:before="100" w:beforeAutospacing="1" w:after="100" w:afterAutospacing="1"/>
        <w:rPr>
          <w:szCs w:val="24"/>
        </w:rPr>
      </w:pPr>
      <w:r>
        <w:rPr>
          <w:szCs w:val="24"/>
        </w:rPr>
        <w:t>The purpose of Schedule 1, item 3 of the Regulation is to allow the Tax Practitioners Board (</w:t>
      </w:r>
      <w:proofErr w:type="spellStart"/>
      <w:r>
        <w:rPr>
          <w:szCs w:val="24"/>
        </w:rPr>
        <w:t>TPB</w:t>
      </w:r>
      <w:proofErr w:type="spellEnd"/>
      <w:r>
        <w:rPr>
          <w:szCs w:val="24"/>
        </w:rPr>
        <w:t>) and the Australian Securities and Investments Commission (</w:t>
      </w:r>
      <w:proofErr w:type="spellStart"/>
      <w:r>
        <w:rPr>
          <w:szCs w:val="24"/>
        </w:rPr>
        <w:t>ASIC</w:t>
      </w:r>
      <w:proofErr w:type="spellEnd"/>
      <w:r>
        <w:rPr>
          <w:szCs w:val="24"/>
        </w:rPr>
        <w:t xml:space="preserve">) to more easily share information.  </w:t>
      </w:r>
      <w:r w:rsidRPr="00356AC4">
        <w:rPr>
          <w:szCs w:val="24"/>
        </w:rPr>
        <w:t>This</w:t>
      </w:r>
      <w:r>
        <w:rPr>
          <w:szCs w:val="24"/>
        </w:rPr>
        <w:t>,</w:t>
      </w:r>
      <w:r w:rsidRPr="00356AC4">
        <w:rPr>
          <w:szCs w:val="24"/>
        </w:rPr>
        <w:t xml:space="preserve"> in part</w:t>
      </w:r>
      <w:r>
        <w:rPr>
          <w:szCs w:val="24"/>
        </w:rPr>
        <w:t>,</w:t>
      </w:r>
      <w:r w:rsidRPr="00356AC4">
        <w:rPr>
          <w:szCs w:val="24"/>
        </w:rPr>
        <w:t xml:space="preserve"> enables the </w:t>
      </w:r>
      <w:proofErr w:type="spellStart"/>
      <w:r w:rsidRPr="00356AC4">
        <w:rPr>
          <w:szCs w:val="24"/>
        </w:rPr>
        <w:t>TPB</w:t>
      </w:r>
      <w:proofErr w:type="spellEnd"/>
      <w:r w:rsidRPr="00356AC4">
        <w:rPr>
          <w:szCs w:val="24"/>
        </w:rPr>
        <w:t xml:space="preserve"> and </w:t>
      </w:r>
      <w:proofErr w:type="spellStart"/>
      <w:r w:rsidRPr="00356AC4">
        <w:rPr>
          <w:szCs w:val="24"/>
        </w:rPr>
        <w:t>ASIC</w:t>
      </w:r>
      <w:proofErr w:type="spellEnd"/>
      <w:r w:rsidRPr="00356AC4">
        <w:rPr>
          <w:szCs w:val="24"/>
        </w:rPr>
        <w:t xml:space="preserve"> to prepare for the proposed regulatory regime for financial ad</w:t>
      </w:r>
      <w:r>
        <w:rPr>
          <w:szCs w:val="24"/>
        </w:rPr>
        <w:t>visers that provide tax advice.</w:t>
      </w:r>
    </w:p>
    <w:p w14:paraId="18ED79C2" w14:textId="19153B66" w:rsidR="00F57E86" w:rsidRPr="00AE5C0B" w:rsidRDefault="00F57E86" w:rsidP="00F57E86">
      <w:pPr>
        <w:spacing w:before="100" w:beforeAutospacing="1" w:after="100" w:afterAutospacing="1"/>
        <w:rPr>
          <w:szCs w:val="24"/>
        </w:rPr>
      </w:pPr>
      <w:r>
        <w:rPr>
          <w:szCs w:val="24"/>
        </w:rPr>
        <w:t xml:space="preserve">Specifically, Schedule 1, item 1 of the Regulation amends item 31A of Schedule 1 to the </w:t>
      </w:r>
      <w:r>
        <w:rPr>
          <w:i/>
          <w:iCs/>
          <w:szCs w:val="24"/>
        </w:rPr>
        <w:t>Corporations (Fees) Regulations 2001</w:t>
      </w:r>
      <w:r>
        <w:rPr>
          <w:iCs/>
          <w:szCs w:val="24"/>
        </w:rPr>
        <w:t xml:space="preserve"> so as to </w:t>
      </w:r>
      <w:r>
        <w:rPr>
          <w:szCs w:val="24"/>
        </w:rPr>
        <w:t xml:space="preserve">exempt the </w:t>
      </w:r>
      <w:proofErr w:type="spellStart"/>
      <w:r>
        <w:rPr>
          <w:szCs w:val="24"/>
        </w:rPr>
        <w:t>TPB</w:t>
      </w:r>
      <w:proofErr w:type="spellEnd"/>
      <w:r>
        <w:rPr>
          <w:szCs w:val="24"/>
        </w:rPr>
        <w:t xml:space="preserve"> from having to pay a fee to </w:t>
      </w:r>
      <w:proofErr w:type="spellStart"/>
      <w:r>
        <w:rPr>
          <w:szCs w:val="24"/>
        </w:rPr>
        <w:t>ASIC</w:t>
      </w:r>
      <w:proofErr w:type="spellEnd"/>
      <w:r>
        <w:rPr>
          <w:szCs w:val="24"/>
        </w:rPr>
        <w:t xml:space="preserve"> for seeking to inspect (or making an enquiry involving an inspection of) any of these </w:t>
      </w:r>
      <w:proofErr w:type="spellStart"/>
      <w:r>
        <w:rPr>
          <w:szCs w:val="24"/>
        </w:rPr>
        <w:t>ASIC</w:t>
      </w:r>
      <w:proofErr w:type="spellEnd"/>
      <w:r>
        <w:rPr>
          <w:szCs w:val="24"/>
        </w:rPr>
        <w:t xml:space="preserve"> registers relating to </w:t>
      </w:r>
      <w:r w:rsidRPr="00356AC4">
        <w:rPr>
          <w:szCs w:val="24"/>
        </w:rPr>
        <w:t>financial</w:t>
      </w:r>
      <w:r>
        <w:rPr>
          <w:szCs w:val="24"/>
        </w:rPr>
        <w:t xml:space="preserve"> services licensees and authoris</w:t>
      </w:r>
      <w:r w:rsidRPr="00356AC4">
        <w:rPr>
          <w:szCs w:val="24"/>
        </w:rPr>
        <w:t>ed representatives of financial services licensees</w:t>
      </w:r>
      <w:r>
        <w:rPr>
          <w:szCs w:val="24"/>
        </w:rPr>
        <w:t>.</w:t>
      </w:r>
      <w:bookmarkStart w:id="0" w:name="_GoBack"/>
      <w:bookmarkEnd w:id="0"/>
    </w:p>
    <w:p w14:paraId="6964C298" w14:textId="67E2D37A" w:rsidR="00F57E86" w:rsidRDefault="00F57E86" w:rsidP="00F57E86">
      <w:pPr>
        <w:spacing w:before="100" w:beforeAutospacing="1" w:after="100" w:afterAutospacing="1"/>
        <w:rPr>
          <w:b/>
        </w:rPr>
      </w:pPr>
      <w:r>
        <w:rPr>
          <w:szCs w:val="24"/>
        </w:rPr>
        <w:t xml:space="preserve">Schedule 1, item 1 of the Regulation </w:t>
      </w:r>
      <w:r w:rsidRPr="005A36EC">
        <w:rPr>
          <w:szCs w:val="24"/>
        </w:rPr>
        <w:t>commenc</w:t>
      </w:r>
      <w:r>
        <w:rPr>
          <w:szCs w:val="24"/>
        </w:rPr>
        <w:t>e</w:t>
      </w:r>
      <w:r w:rsidRPr="005A36EC">
        <w:rPr>
          <w:szCs w:val="24"/>
        </w:rPr>
        <w:t>s on the day after it is registered on the Federal Register of Legislative Instruments.</w:t>
      </w:r>
    </w:p>
    <w:p w14:paraId="598A271F" w14:textId="03D7D78D" w:rsidR="00F57E86" w:rsidRDefault="00F57E86" w:rsidP="00F57E86">
      <w:pPr>
        <w:pStyle w:val="Heading3"/>
      </w:pPr>
      <w:r>
        <w:t>Schedule 1, items 2 and 3 of the Regulation</w:t>
      </w:r>
    </w:p>
    <w:p w14:paraId="240BAB4D" w14:textId="77777777" w:rsidR="00F57E86" w:rsidRDefault="00F57E86" w:rsidP="00F57E86">
      <w:pPr>
        <w:spacing w:before="100" w:beforeAutospacing="1" w:after="100" w:afterAutospacing="1"/>
        <w:rPr>
          <w:szCs w:val="24"/>
        </w:rPr>
      </w:pPr>
      <w:r w:rsidRPr="009E2DBB">
        <w:rPr>
          <w:szCs w:val="24"/>
        </w:rPr>
        <w:t>Section</w:t>
      </w:r>
      <w:r>
        <w:rPr>
          <w:szCs w:val="24"/>
        </w:rPr>
        <w:t xml:space="preserve"> 70-55 of the </w:t>
      </w:r>
      <w:r w:rsidRPr="004F79FF">
        <w:rPr>
          <w:i/>
          <w:szCs w:val="24"/>
        </w:rPr>
        <w:t>Tax Agent Services Act 2009</w:t>
      </w:r>
      <w:r>
        <w:rPr>
          <w:szCs w:val="24"/>
        </w:rPr>
        <w:t xml:space="preserve"> provides that the Governor</w:t>
      </w:r>
      <w:r>
        <w:rPr>
          <w:szCs w:val="24"/>
        </w:rPr>
        <w:noBreakHyphen/>
        <w:t xml:space="preserve">General may make regulations prescribing matters that are required or permitted by this Act to be prescribed, or that are necessary or convenient to be prescribed for carrying out or giving effect to this Act.  </w:t>
      </w:r>
    </w:p>
    <w:p w14:paraId="6EB7770C" w14:textId="77777777" w:rsidR="00F57E86" w:rsidRDefault="00F57E86" w:rsidP="00F57E86">
      <w:pPr>
        <w:spacing w:before="100" w:beforeAutospacing="1" w:after="100" w:afterAutospacing="1"/>
        <w:rPr>
          <w:szCs w:val="24"/>
        </w:rPr>
      </w:pPr>
      <w:r>
        <w:rPr>
          <w:szCs w:val="24"/>
        </w:rPr>
        <w:t xml:space="preserve">Part 2, Schedule 2 to the </w:t>
      </w:r>
      <w:r>
        <w:rPr>
          <w:i/>
          <w:szCs w:val="24"/>
        </w:rPr>
        <w:t>Tax Agent Services Regulations 2009</w:t>
      </w:r>
      <w:r>
        <w:rPr>
          <w:szCs w:val="24"/>
        </w:rPr>
        <w:t xml:space="preserve"> currently prescribes a series of alternative eligibility avenues, one of which individuals must satisfy to be considered eligible for registration by the </w:t>
      </w:r>
      <w:proofErr w:type="spellStart"/>
      <w:r>
        <w:rPr>
          <w:szCs w:val="24"/>
        </w:rPr>
        <w:t>TPB</w:t>
      </w:r>
      <w:proofErr w:type="spellEnd"/>
      <w:r>
        <w:rPr>
          <w:szCs w:val="24"/>
        </w:rPr>
        <w:t xml:space="preserve">.  </w:t>
      </w:r>
    </w:p>
    <w:p w14:paraId="0F5EEB8B" w14:textId="77777777" w:rsidR="00F57E86" w:rsidRDefault="00F57E86" w:rsidP="00F57E86">
      <w:pPr>
        <w:spacing w:before="100" w:beforeAutospacing="1" w:after="100" w:afterAutospacing="1"/>
        <w:rPr>
          <w:szCs w:val="24"/>
        </w:rPr>
      </w:pPr>
      <w:r>
        <w:rPr>
          <w:szCs w:val="24"/>
        </w:rPr>
        <w:t xml:space="preserve">Two of the alternative eligibility avenues (namely, those known as ‘diploma or higher award’ and ‘work experience’) currently require an individual who applies for registration, including renewal, from 1 March 2013 to have successfully completed a course in commercial law that has been endorsed by the </w:t>
      </w:r>
      <w:proofErr w:type="spellStart"/>
      <w:r>
        <w:rPr>
          <w:szCs w:val="24"/>
        </w:rPr>
        <w:t>TPB</w:t>
      </w:r>
      <w:proofErr w:type="spellEnd"/>
      <w:r>
        <w:rPr>
          <w:szCs w:val="24"/>
        </w:rPr>
        <w:t>.</w:t>
      </w:r>
    </w:p>
    <w:p w14:paraId="477EE16D" w14:textId="30935855" w:rsidR="00F57E86" w:rsidRDefault="00F57E86" w:rsidP="00F57E86">
      <w:pPr>
        <w:spacing w:before="100" w:beforeAutospacing="1" w:after="100" w:afterAutospacing="1"/>
        <w:rPr>
          <w:szCs w:val="24"/>
        </w:rPr>
      </w:pPr>
      <w:r>
        <w:rPr>
          <w:szCs w:val="24"/>
        </w:rPr>
        <w:t xml:space="preserve">Schedule 1, items 2 and 3 of the Regulation amends these eligibility requirements to ensure that those individuals who apply for registration, including renewal, from 1 March 2013, and who had been previously registered under the former tax agent services regime, do </w:t>
      </w:r>
      <w:r w:rsidRPr="004138D8">
        <w:rPr>
          <w:szCs w:val="24"/>
        </w:rPr>
        <w:t>not</w:t>
      </w:r>
      <w:r>
        <w:rPr>
          <w:szCs w:val="24"/>
        </w:rPr>
        <w:t xml:space="preserve"> have to complete such a course in commercial law.</w:t>
      </w:r>
    </w:p>
    <w:p w14:paraId="699AF9B2" w14:textId="536B79FF" w:rsidR="00F57E86" w:rsidRDefault="00F57E86" w:rsidP="00F57E86">
      <w:pPr>
        <w:spacing w:before="100" w:beforeAutospacing="1" w:after="100" w:afterAutospacing="1"/>
        <w:rPr>
          <w:szCs w:val="24"/>
        </w:rPr>
      </w:pPr>
      <w:r>
        <w:rPr>
          <w:szCs w:val="24"/>
        </w:rPr>
        <w:t xml:space="preserve">This amendment recognises that certain tax agents who were registered under the former tax agent services regime had not previously been required to complete an </w:t>
      </w:r>
      <w:r>
        <w:rPr>
          <w:szCs w:val="24"/>
        </w:rPr>
        <w:lastRenderedPageBreak/>
        <w:t xml:space="preserve">endorsed commercial law course.  This amendment does not affect individuals who never registered under the former tax agent services regime.  </w:t>
      </w:r>
    </w:p>
    <w:p w14:paraId="796A1F77" w14:textId="32F90602" w:rsidR="00F57E86" w:rsidRPr="00D32335" w:rsidRDefault="00F57E86" w:rsidP="00F57E86">
      <w:pPr>
        <w:spacing w:before="100" w:beforeAutospacing="1" w:after="100" w:afterAutospacing="1"/>
        <w:rPr>
          <w:szCs w:val="24"/>
        </w:rPr>
      </w:pPr>
      <w:r>
        <w:rPr>
          <w:szCs w:val="24"/>
        </w:rPr>
        <w:t xml:space="preserve">Schedule 1, items 2 and 3 of the Regulation commence on 1 March 2013.  Although this amendment will commence retrospectively, it does not disadvantage any individuals as it reduces the number of eligibility requirements that need to be satisfied by particular individuals.  </w:t>
      </w:r>
    </w:p>
    <w:p w14:paraId="77461775" w14:textId="16683865" w:rsidR="00F57E86" w:rsidRDefault="00F57E86" w:rsidP="00F57E86">
      <w:pPr>
        <w:pStyle w:val="Heading3"/>
      </w:pPr>
      <w:r>
        <w:t>Schedule 1, item 4 of the Regulation</w:t>
      </w:r>
    </w:p>
    <w:p w14:paraId="56FECDAD" w14:textId="77777777" w:rsidR="00F57E86" w:rsidRPr="005A36EC" w:rsidRDefault="00F57E86" w:rsidP="00F57E86">
      <w:pPr>
        <w:spacing w:before="100" w:beforeAutospacing="1" w:after="100" w:afterAutospacing="1"/>
        <w:rPr>
          <w:szCs w:val="24"/>
        </w:rPr>
      </w:pPr>
      <w:r w:rsidRPr="005A36EC">
        <w:rPr>
          <w:szCs w:val="24"/>
        </w:rPr>
        <w:t xml:space="preserve">Section 18 of the </w:t>
      </w:r>
      <w:r w:rsidRPr="005A36EC">
        <w:rPr>
          <w:i/>
          <w:szCs w:val="24"/>
        </w:rPr>
        <w:t>Taxation Administration Act 1953</w:t>
      </w:r>
      <w:r w:rsidRPr="005A36EC">
        <w:rPr>
          <w:szCs w:val="24"/>
        </w:rPr>
        <w:t xml:space="preserve"> </w:t>
      </w:r>
      <w:r>
        <w:rPr>
          <w:szCs w:val="24"/>
        </w:rPr>
        <w:t>(</w:t>
      </w:r>
      <w:proofErr w:type="spellStart"/>
      <w:r>
        <w:rPr>
          <w:szCs w:val="24"/>
        </w:rPr>
        <w:t>TAA</w:t>
      </w:r>
      <w:proofErr w:type="spellEnd"/>
      <w:r>
        <w:rPr>
          <w:szCs w:val="24"/>
        </w:rPr>
        <w:t xml:space="preserve"> 1953) </w:t>
      </w:r>
      <w:r w:rsidRPr="005A36EC">
        <w:rPr>
          <w:szCs w:val="24"/>
        </w:rPr>
        <w:t>provides that the Governor-General may make regula</w:t>
      </w:r>
      <w:r>
        <w:rPr>
          <w:szCs w:val="24"/>
        </w:rPr>
        <w:t>tions, not inconsistent with this</w:t>
      </w:r>
      <w:r w:rsidRPr="005A36EC">
        <w:rPr>
          <w:szCs w:val="24"/>
        </w:rPr>
        <w:t xml:space="preserve"> Act, prescribing all matters </w:t>
      </w:r>
      <w:r>
        <w:rPr>
          <w:szCs w:val="24"/>
        </w:rPr>
        <w:t>that</w:t>
      </w:r>
      <w:r w:rsidRPr="005A36EC">
        <w:rPr>
          <w:szCs w:val="24"/>
        </w:rPr>
        <w:t xml:space="preserve"> are required or permitted to be pr</w:t>
      </w:r>
      <w:r>
        <w:rPr>
          <w:szCs w:val="24"/>
        </w:rPr>
        <w:t>escribed by this</w:t>
      </w:r>
      <w:r w:rsidRPr="005A36EC">
        <w:rPr>
          <w:szCs w:val="24"/>
        </w:rPr>
        <w:t xml:space="preserve"> Act, or </w:t>
      </w:r>
      <w:r>
        <w:rPr>
          <w:szCs w:val="24"/>
        </w:rPr>
        <w:t>that</w:t>
      </w:r>
      <w:r w:rsidRPr="005A36EC">
        <w:rPr>
          <w:szCs w:val="24"/>
        </w:rPr>
        <w:t xml:space="preserve"> are necessary or convenient to be pre</w:t>
      </w:r>
      <w:r>
        <w:rPr>
          <w:szCs w:val="24"/>
        </w:rPr>
        <w:t>scribed for giving effect to this</w:t>
      </w:r>
      <w:r w:rsidRPr="005A36EC">
        <w:rPr>
          <w:szCs w:val="24"/>
        </w:rPr>
        <w:t xml:space="preserve"> Act.</w:t>
      </w:r>
    </w:p>
    <w:p w14:paraId="08254E87" w14:textId="77777777" w:rsidR="00F57E86" w:rsidRPr="005A36EC" w:rsidRDefault="00F57E86" w:rsidP="00F57E86">
      <w:pPr>
        <w:spacing w:before="100" w:beforeAutospacing="1" w:after="100" w:afterAutospacing="1"/>
        <w:rPr>
          <w:szCs w:val="24"/>
        </w:rPr>
      </w:pPr>
      <w:r w:rsidRPr="005A36EC">
        <w:rPr>
          <w:szCs w:val="24"/>
        </w:rPr>
        <w:t>Subsection 355-7</w:t>
      </w:r>
      <w:r>
        <w:rPr>
          <w:szCs w:val="24"/>
        </w:rPr>
        <w:t xml:space="preserve">0(12) of Schedule 1 to the </w:t>
      </w:r>
      <w:proofErr w:type="spellStart"/>
      <w:r>
        <w:rPr>
          <w:szCs w:val="24"/>
        </w:rPr>
        <w:t>TAA</w:t>
      </w:r>
      <w:proofErr w:type="spellEnd"/>
      <w:r>
        <w:rPr>
          <w:szCs w:val="24"/>
        </w:rPr>
        <w:t xml:space="preserve"> 1953</w:t>
      </w:r>
      <w:r w:rsidRPr="005A36EC">
        <w:rPr>
          <w:szCs w:val="24"/>
        </w:rPr>
        <w:t xml:space="preserve"> provides that the regulations may prescribe a taskforce to receive protected information, and that a major purpose of any such taskforce must be the protection of Australia’s public finances.</w:t>
      </w:r>
    </w:p>
    <w:p w14:paraId="1A423B01" w14:textId="6FB55E30" w:rsidR="00F57E86" w:rsidRPr="005A36EC" w:rsidRDefault="00F57E86" w:rsidP="00F57E86">
      <w:pPr>
        <w:spacing w:before="100" w:beforeAutospacing="1" w:after="100" w:afterAutospacing="1"/>
        <w:rPr>
          <w:szCs w:val="24"/>
        </w:rPr>
      </w:pPr>
      <w:r>
        <w:rPr>
          <w:szCs w:val="24"/>
        </w:rPr>
        <w:t xml:space="preserve">Schedule 1, item 4 of the Regulation </w:t>
      </w:r>
      <w:r w:rsidRPr="005A36EC">
        <w:rPr>
          <w:szCs w:val="24"/>
        </w:rPr>
        <w:t>amend</w:t>
      </w:r>
      <w:r>
        <w:rPr>
          <w:szCs w:val="24"/>
        </w:rPr>
        <w:t>s</w:t>
      </w:r>
      <w:r w:rsidRPr="005A36EC">
        <w:rPr>
          <w:szCs w:val="24"/>
        </w:rPr>
        <w:t xml:space="preserve"> the </w:t>
      </w:r>
      <w:r w:rsidRPr="005A36EC">
        <w:rPr>
          <w:i/>
          <w:szCs w:val="24"/>
        </w:rPr>
        <w:t>Taxation Administration Regulations 1976</w:t>
      </w:r>
      <w:r w:rsidRPr="005A36EC">
        <w:rPr>
          <w:szCs w:val="24"/>
        </w:rPr>
        <w:t xml:space="preserve"> to prescribe t</w:t>
      </w:r>
      <w:r>
        <w:rPr>
          <w:szCs w:val="24"/>
        </w:rPr>
        <w:t>he National Anti-Gang Taskforce </w:t>
      </w:r>
      <w:r w:rsidRPr="005A36EC">
        <w:rPr>
          <w:szCs w:val="24"/>
        </w:rPr>
        <w:t>(</w:t>
      </w:r>
      <w:proofErr w:type="spellStart"/>
      <w:r w:rsidRPr="005A36EC">
        <w:rPr>
          <w:szCs w:val="24"/>
        </w:rPr>
        <w:t>NAGT</w:t>
      </w:r>
      <w:proofErr w:type="spellEnd"/>
      <w:r w:rsidRPr="005A36EC">
        <w:rPr>
          <w:szCs w:val="24"/>
        </w:rPr>
        <w:t xml:space="preserve">) as a taskforce </w:t>
      </w:r>
      <w:r>
        <w:rPr>
          <w:szCs w:val="24"/>
        </w:rPr>
        <w:t>that</w:t>
      </w:r>
      <w:r w:rsidRPr="005A36EC">
        <w:rPr>
          <w:szCs w:val="24"/>
        </w:rPr>
        <w:t xml:space="preserve"> can receive, or have disclosed to it, protected information that is for, or in connection with, a purpose of </w:t>
      </w:r>
      <w:r>
        <w:rPr>
          <w:szCs w:val="24"/>
        </w:rPr>
        <w:t>the</w:t>
      </w:r>
      <w:r w:rsidRPr="005A36EC">
        <w:rPr>
          <w:szCs w:val="24"/>
        </w:rPr>
        <w:t xml:space="preserve"> </w:t>
      </w:r>
      <w:proofErr w:type="spellStart"/>
      <w:r>
        <w:rPr>
          <w:szCs w:val="24"/>
        </w:rPr>
        <w:t>NAGT</w:t>
      </w:r>
      <w:proofErr w:type="spellEnd"/>
      <w:r w:rsidRPr="005A36EC">
        <w:rPr>
          <w:szCs w:val="24"/>
        </w:rPr>
        <w:t xml:space="preserve">.  Protected information is generally tax-related information </w:t>
      </w:r>
      <w:r>
        <w:rPr>
          <w:szCs w:val="24"/>
        </w:rPr>
        <w:t xml:space="preserve">that </w:t>
      </w:r>
      <w:r w:rsidRPr="005A36EC">
        <w:rPr>
          <w:szCs w:val="24"/>
        </w:rPr>
        <w:t>could reasonably be</w:t>
      </w:r>
      <w:r>
        <w:rPr>
          <w:szCs w:val="24"/>
        </w:rPr>
        <w:t xml:space="preserve"> used to identify a taxpayer.</w:t>
      </w:r>
    </w:p>
    <w:p w14:paraId="79DE6469" w14:textId="77777777" w:rsidR="00F57E86" w:rsidRPr="005A36EC" w:rsidRDefault="00F57E86" w:rsidP="00F57E86">
      <w:pPr>
        <w:spacing w:before="100" w:beforeAutospacing="1" w:after="100" w:afterAutospacing="1"/>
        <w:rPr>
          <w:szCs w:val="24"/>
        </w:rPr>
      </w:pPr>
      <w:r w:rsidRPr="005A36EC">
        <w:rPr>
          <w:szCs w:val="24"/>
        </w:rPr>
        <w:t xml:space="preserve">On 3 March 2013, the Government announced that the </w:t>
      </w:r>
      <w:proofErr w:type="spellStart"/>
      <w:r w:rsidRPr="005A36EC">
        <w:rPr>
          <w:szCs w:val="24"/>
        </w:rPr>
        <w:t>NAGT</w:t>
      </w:r>
      <w:proofErr w:type="spellEnd"/>
      <w:r w:rsidRPr="005A36EC">
        <w:rPr>
          <w:szCs w:val="24"/>
        </w:rPr>
        <w:t xml:space="preserve"> would be established on 1 July 2013 to combat gang related crime</w:t>
      </w:r>
      <w:r>
        <w:rPr>
          <w:szCs w:val="24"/>
        </w:rPr>
        <w:t xml:space="preserve"> </w:t>
      </w:r>
      <w:r w:rsidRPr="005A36EC">
        <w:rPr>
          <w:szCs w:val="24"/>
        </w:rPr>
        <w:t xml:space="preserve">and </w:t>
      </w:r>
      <w:r>
        <w:rPr>
          <w:szCs w:val="24"/>
        </w:rPr>
        <w:t>protect</w:t>
      </w:r>
      <w:r w:rsidRPr="005A36EC">
        <w:rPr>
          <w:szCs w:val="24"/>
        </w:rPr>
        <w:t xml:space="preserve"> the public finances of Australia from gang</w:t>
      </w:r>
      <w:r w:rsidRPr="005A36EC">
        <w:rPr>
          <w:szCs w:val="24"/>
        </w:rPr>
        <w:noBreakHyphen/>
      </w:r>
      <w:r>
        <w:rPr>
          <w:szCs w:val="24"/>
        </w:rPr>
        <w:t>related abuses of the tax system</w:t>
      </w:r>
      <w:r w:rsidRPr="005A36EC">
        <w:rPr>
          <w:szCs w:val="24"/>
        </w:rPr>
        <w:t xml:space="preserve">.  The </w:t>
      </w:r>
      <w:proofErr w:type="spellStart"/>
      <w:r w:rsidRPr="005A36EC">
        <w:rPr>
          <w:szCs w:val="24"/>
        </w:rPr>
        <w:t>NAGT</w:t>
      </w:r>
      <w:proofErr w:type="spellEnd"/>
      <w:r w:rsidRPr="005A36EC">
        <w:rPr>
          <w:szCs w:val="24"/>
        </w:rPr>
        <w:t xml:space="preserve"> </w:t>
      </w:r>
      <w:r>
        <w:rPr>
          <w:szCs w:val="24"/>
        </w:rPr>
        <w:t>will be</w:t>
      </w:r>
      <w:r w:rsidRPr="005A36EC">
        <w:rPr>
          <w:szCs w:val="24"/>
        </w:rPr>
        <w:t xml:space="preserve"> comprise</w:t>
      </w:r>
      <w:r>
        <w:rPr>
          <w:szCs w:val="24"/>
        </w:rPr>
        <w:t>d</w:t>
      </w:r>
      <w:r w:rsidRPr="005A36EC">
        <w:rPr>
          <w:szCs w:val="24"/>
        </w:rPr>
        <w:t xml:space="preserve"> of members from Federal and State Police forces as well as officers from multiple Commonwealth agencies, including </w:t>
      </w:r>
      <w:r>
        <w:rPr>
          <w:szCs w:val="24"/>
        </w:rPr>
        <w:t>the Australian Taxation Office</w:t>
      </w:r>
      <w:r w:rsidRPr="005A36EC">
        <w:rPr>
          <w:szCs w:val="24"/>
        </w:rPr>
        <w:t>.</w:t>
      </w:r>
    </w:p>
    <w:p w14:paraId="63BF022F" w14:textId="5596C033" w:rsidR="00F57E86" w:rsidRDefault="00F57E86" w:rsidP="00F57E86">
      <w:pPr>
        <w:spacing w:before="100" w:beforeAutospacing="1" w:after="100" w:afterAutospacing="1"/>
        <w:rPr>
          <w:szCs w:val="24"/>
        </w:rPr>
      </w:pPr>
      <w:r>
        <w:rPr>
          <w:szCs w:val="24"/>
        </w:rPr>
        <w:t xml:space="preserve">Schedule 1, item 4 of the Regulation </w:t>
      </w:r>
      <w:r w:rsidRPr="005A36EC">
        <w:rPr>
          <w:szCs w:val="24"/>
        </w:rPr>
        <w:t>commence</w:t>
      </w:r>
      <w:r>
        <w:rPr>
          <w:szCs w:val="24"/>
        </w:rPr>
        <w:t>s</w:t>
      </w:r>
      <w:r w:rsidRPr="005A36EC">
        <w:rPr>
          <w:szCs w:val="24"/>
        </w:rPr>
        <w:t xml:space="preserve"> on the day after it is registered on the Federal Register of Legislative Instruments.</w:t>
      </w:r>
    </w:p>
    <w:p w14:paraId="31C3B073" w14:textId="4A1C9A0A" w:rsidR="00F57E86" w:rsidRDefault="00F57E86" w:rsidP="00F57E86">
      <w:pPr>
        <w:spacing w:before="100" w:beforeAutospacing="1" w:after="100" w:afterAutospacing="1"/>
        <w:rPr>
          <w:szCs w:val="24"/>
        </w:rPr>
      </w:pPr>
      <w:r>
        <w:rPr>
          <w:szCs w:val="24"/>
        </w:rPr>
        <w:t>None of the aforementioned Acts specify any conditions that need to be satisfied before the power to make the</w:t>
      </w:r>
      <w:r w:rsidR="006002DF">
        <w:rPr>
          <w:szCs w:val="24"/>
        </w:rPr>
        <w:t xml:space="preserve"> </w:t>
      </w:r>
      <w:r>
        <w:rPr>
          <w:szCs w:val="24"/>
        </w:rPr>
        <w:t>Regulation may be exercised.</w:t>
      </w:r>
    </w:p>
    <w:p w14:paraId="3B54EA6B" w14:textId="77777777" w:rsidR="00F57E86" w:rsidRDefault="00F57E86" w:rsidP="00F57E86">
      <w:pPr>
        <w:spacing w:before="100" w:beforeAutospacing="1" w:after="100" w:afterAutospacing="1"/>
        <w:rPr>
          <w:szCs w:val="24"/>
        </w:rPr>
      </w:pPr>
      <w:r>
        <w:rPr>
          <w:szCs w:val="24"/>
        </w:rPr>
        <w:t xml:space="preserve">No consultation was conducted in relation to the amendments because the amendments are minor or machinery in nature.  </w:t>
      </w:r>
    </w:p>
    <w:p w14:paraId="43B1DF04" w14:textId="27C725E8" w:rsidR="00F57E86" w:rsidRDefault="00F57E86" w:rsidP="00F57E86">
      <w:pPr>
        <w:spacing w:before="100" w:beforeAutospacing="1" w:after="100" w:afterAutospacing="1"/>
        <w:rPr>
          <w:szCs w:val="24"/>
        </w:rPr>
      </w:pPr>
      <w:r>
        <w:rPr>
          <w:szCs w:val="24"/>
        </w:rPr>
        <w:t xml:space="preserve">The Regulation is a legislative instrument for the purposes of the </w:t>
      </w:r>
      <w:r>
        <w:rPr>
          <w:i/>
          <w:szCs w:val="24"/>
        </w:rPr>
        <w:t>Legislative Instruments Act 2003</w:t>
      </w:r>
      <w:r>
        <w:rPr>
          <w:szCs w:val="24"/>
        </w:rPr>
        <w:t>.</w:t>
      </w:r>
    </w:p>
    <w:p w14:paraId="52A5EE8C" w14:textId="613D5F73" w:rsidR="00B37CE9" w:rsidRDefault="00B37CE9" w:rsidP="005A36EC">
      <w:pPr>
        <w:spacing w:before="100" w:beforeAutospacing="1" w:after="100" w:afterAutospacing="1"/>
        <w:rPr>
          <w:szCs w:val="24"/>
        </w:rPr>
      </w:pPr>
      <w:r>
        <w:rPr>
          <w:szCs w:val="24"/>
        </w:rPr>
        <w:t xml:space="preserve">The details of the </w:t>
      </w:r>
      <w:r w:rsidR="00227B35">
        <w:rPr>
          <w:szCs w:val="24"/>
        </w:rPr>
        <w:t>Regulation</w:t>
      </w:r>
      <w:r>
        <w:rPr>
          <w:szCs w:val="24"/>
        </w:rPr>
        <w:t xml:space="preserve"> are listed below:</w:t>
      </w:r>
    </w:p>
    <w:p w14:paraId="29892639" w14:textId="16663832" w:rsidR="00B37CE9" w:rsidRPr="00B37CE9" w:rsidRDefault="00B37CE9" w:rsidP="005A36EC">
      <w:pPr>
        <w:spacing w:before="100" w:beforeAutospacing="1" w:after="100" w:afterAutospacing="1"/>
        <w:rPr>
          <w:szCs w:val="24"/>
          <w:u w:val="single"/>
        </w:rPr>
      </w:pPr>
      <w:r w:rsidRPr="00B37CE9">
        <w:rPr>
          <w:szCs w:val="24"/>
          <w:u w:val="single"/>
        </w:rPr>
        <w:t>Section 1 – Name of Regulation</w:t>
      </w:r>
    </w:p>
    <w:p w14:paraId="54DBFC2D" w14:textId="1AFDDEB9" w:rsidR="00B37CE9" w:rsidRDefault="00B37CE9" w:rsidP="005A36EC">
      <w:pPr>
        <w:spacing w:before="100" w:beforeAutospacing="1" w:after="100" w:afterAutospacing="1"/>
        <w:rPr>
          <w:i/>
          <w:szCs w:val="24"/>
        </w:rPr>
      </w:pPr>
      <w:r>
        <w:rPr>
          <w:szCs w:val="24"/>
        </w:rPr>
        <w:t xml:space="preserve">This section specifies the name of the Regulation as the </w:t>
      </w:r>
      <w:r w:rsidRPr="00B37CE9">
        <w:rPr>
          <w:i/>
          <w:szCs w:val="24"/>
        </w:rPr>
        <w:t>Tax Administration and Tax Agent Services Legislation Amendment Regulation 2013</w:t>
      </w:r>
    </w:p>
    <w:p w14:paraId="5B89F0A7" w14:textId="6860FA51" w:rsidR="00A32B49" w:rsidRPr="00B37CE9" w:rsidRDefault="00B37CE9" w:rsidP="00B37CE9">
      <w:pPr>
        <w:spacing w:before="100" w:beforeAutospacing="1" w:after="100" w:afterAutospacing="1"/>
        <w:rPr>
          <w:szCs w:val="24"/>
          <w:u w:val="single"/>
        </w:rPr>
      </w:pPr>
      <w:r w:rsidRPr="00B37CE9">
        <w:rPr>
          <w:szCs w:val="24"/>
          <w:u w:val="single"/>
        </w:rPr>
        <w:t>Section 2 – Commencement</w:t>
      </w:r>
    </w:p>
    <w:p w14:paraId="083273FF" w14:textId="5D2F7CA3" w:rsidR="00B37CE9" w:rsidRDefault="00B37CE9" w:rsidP="00B37CE9">
      <w:pPr>
        <w:spacing w:before="100" w:beforeAutospacing="1" w:after="100" w:afterAutospacing="1"/>
        <w:rPr>
          <w:szCs w:val="24"/>
        </w:rPr>
      </w:pPr>
      <w:r>
        <w:rPr>
          <w:szCs w:val="24"/>
        </w:rPr>
        <w:t xml:space="preserve">This section provides for the Regulation to commence the day after registration.  </w:t>
      </w:r>
    </w:p>
    <w:p w14:paraId="029304E5" w14:textId="637D98E8" w:rsidR="00B37CE9" w:rsidRDefault="00B37CE9" w:rsidP="00B37CE9">
      <w:pPr>
        <w:spacing w:before="100" w:beforeAutospacing="1" w:after="100" w:afterAutospacing="1"/>
        <w:rPr>
          <w:szCs w:val="24"/>
          <w:u w:val="single"/>
        </w:rPr>
      </w:pPr>
      <w:r w:rsidRPr="00B37CE9">
        <w:rPr>
          <w:szCs w:val="24"/>
          <w:u w:val="single"/>
        </w:rPr>
        <w:t xml:space="preserve">Section 3 – Authority  </w:t>
      </w:r>
    </w:p>
    <w:p w14:paraId="780B09AC" w14:textId="1B4409A9" w:rsidR="002F6034" w:rsidRDefault="00B37CE9" w:rsidP="007E6193">
      <w:pPr>
        <w:tabs>
          <w:tab w:val="right" w:pos="9072"/>
        </w:tabs>
        <w:spacing w:after="240"/>
        <w:ind w:right="91"/>
        <w:rPr>
          <w:i/>
        </w:rPr>
      </w:pPr>
      <w:r>
        <w:rPr>
          <w:szCs w:val="24"/>
        </w:rPr>
        <w:lastRenderedPageBreak/>
        <w:t xml:space="preserve">This section states that the Regulation is made under the </w:t>
      </w:r>
      <w:r>
        <w:rPr>
          <w:i/>
        </w:rPr>
        <w:t xml:space="preserve">Corporations (Fees) Act 2001, </w:t>
      </w:r>
      <w:r w:rsidRPr="00B37CE9">
        <w:t>the</w:t>
      </w:r>
      <w:r>
        <w:rPr>
          <w:i/>
        </w:rPr>
        <w:t xml:space="preserve"> Tax Agent Services Act 2009 </w:t>
      </w:r>
      <w:r w:rsidRPr="00176A19">
        <w:t>and</w:t>
      </w:r>
      <w:r>
        <w:t xml:space="preserve"> the </w:t>
      </w:r>
      <w:r w:rsidRPr="007E6193">
        <w:rPr>
          <w:i/>
          <w:szCs w:val="24"/>
        </w:rPr>
        <w:t>Taxation Administration Act 1953.</w:t>
      </w:r>
      <w:r>
        <w:rPr>
          <w:i/>
        </w:rPr>
        <w:t xml:space="preserve">  </w:t>
      </w:r>
    </w:p>
    <w:p w14:paraId="4992E2F1" w14:textId="321508B8" w:rsidR="007E6193" w:rsidRDefault="007E6193" w:rsidP="007E6193">
      <w:pPr>
        <w:tabs>
          <w:tab w:val="right" w:pos="9072"/>
        </w:tabs>
        <w:spacing w:after="240"/>
        <w:ind w:right="91"/>
        <w:rPr>
          <w:u w:val="single"/>
        </w:rPr>
      </w:pPr>
      <w:r w:rsidRPr="007E6193">
        <w:rPr>
          <w:u w:val="single"/>
        </w:rPr>
        <w:t>Schedule 1 – The Amendments</w:t>
      </w:r>
    </w:p>
    <w:p w14:paraId="326F4BB3" w14:textId="15569FFB" w:rsidR="007E6193" w:rsidRDefault="00837B09" w:rsidP="007E6193">
      <w:pPr>
        <w:tabs>
          <w:tab w:val="right" w:pos="9072"/>
        </w:tabs>
        <w:spacing w:after="240"/>
        <w:ind w:right="91"/>
        <w:rPr>
          <w:szCs w:val="24"/>
        </w:rPr>
      </w:pPr>
      <w:r w:rsidRPr="00837B09">
        <w:rPr>
          <w:szCs w:val="24"/>
        </w:rPr>
        <w:t>Schedule 1</w:t>
      </w:r>
      <w:r>
        <w:rPr>
          <w:szCs w:val="24"/>
        </w:rPr>
        <w:t>, item 1</w:t>
      </w:r>
      <w:r w:rsidRPr="00837B09">
        <w:rPr>
          <w:szCs w:val="24"/>
        </w:rPr>
        <w:t xml:space="preserve"> </w:t>
      </w:r>
      <w:r>
        <w:rPr>
          <w:szCs w:val="24"/>
        </w:rPr>
        <w:t xml:space="preserve">amends the </w:t>
      </w:r>
      <w:r w:rsidRPr="00837B09">
        <w:rPr>
          <w:i/>
          <w:szCs w:val="24"/>
        </w:rPr>
        <w:t>Corporations (Fees) Regulations 2001</w:t>
      </w:r>
      <w:r>
        <w:rPr>
          <w:szCs w:val="24"/>
        </w:rPr>
        <w:t xml:space="preserve"> to exempt the Tax Practitioners Board from paying fees to the Australian Securities and Investments Commission when accessing information relating to financial services licensees and authorised representatives.  </w:t>
      </w:r>
    </w:p>
    <w:p w14:paraId="62A7F9CF" w14:textId="45CA4356" w:rsidR="00837B09" w:rsidRDefault="00837B09" w:rsidP="007E6193">
      <w:pPr>
        <w:tabs>
          <w:tab w:val="right" w:pos="9072"/>
        </w:tabs>
        <w:spacing w:after="240"/>
        <w:ind w:right="91"/>
        <w:rPr>
          <w:szCs w:val="24"/>
        </w:rPr>
      </w:pPr>
      <w:r>
        <w:rPr>
          <w:szCs w:val="24"/>
        </w:rPr>
        <w:t xml:space="preserve">Schedule 1, items 2 and 3 amend the </w:t>
      </w:r>
      <w:r w:rsidRPr="00837B09">
        <w:rPr>
          <w:i/>
          <w:szCs w:val="24"/>
        </w:rPr>
        <w:t>Tax Agent Services Regulations 2009</w:t>
      </w:r>
      <w:r>
        <w:rPr>
          <w:szCs w:val="24"/>
        </w:rPr>
        <w:t xml:space="preserve"> to ensure that certain individuals </w:t>
      </w:r>
      <w:r w:rsidR="00C43386">
        <w:rPr>
          <w:szCs w:val="24"/>
        </w:rPr>
        <w:t>are</w:t>
      </w:r>
      <w:r>
        <w:rPr>
          <w:szCs w:val="24"/>
        </w:rPr>
        <w:t xml:space="preserve"> eligible to renew their registration as a tax agent without having to complete an endorsed course in commercial law.</w:t>
      </w:r>
    </w:p>
    <w:p w14:paraId="1219BE4D" w14:textId="357B3C2A" w:rsidR="00F175FC" w:rsidRDefault="00F04157" w:rsidP="00F175FC">
      <w:r>
        <w:rPr>
          <w:szCs w:val="24"/>
        </w:rPr>
        <w:t xml:space="preserve">Schedule 1, </w:t>
      </w:r>
      <w:r w:rsidR="00F175FC">
        <w:t xml:space="preserve">item 4 amends the </w:t>
      </w:r>
      <w:r w:rsidR="00F175FC" w:rsidRPr="00134666">
        <w:rPr>
          <w:i/>
        </w:rPr>
        <w:t>Taxation Administration Regulations 1976</w:t>
      </w:r>
      <w:r w:rsidR="00F175FC">
        <w:rPr>
          <w:i/>
        </w:rPr>
        <w:t xml:space="preserve">, </w:t>
      </w:r>
      <w:r w:rsidR="00F175FC">
        <w:t>prescribing</w:t>
      </w:r>
      <w:r w:rsidR="00F175FC" w:rsidRPr="005A36EC">
        <w:t xml:space="preserve"> th</w:t>
      </w:r>
      <w:r w:rsidR="00F175FC">
        <w:t>e National Anti-Gang Taskforce</w:t>
      </w:r>
      <w:r w:rsidR="00F175FC" w:rsidRPr="005A36EC">
        <w:t xml:space="preserve"> as a taskforce </w:t>
      </w:r>
      <w:r w:rsidR="00F175FC">
        <w:t xml:space="preserve">that taxation officers may </w:t>
      </w:r>
      <w:r w:rsidR="00C36223">
        <w:t>disclose</w:t>
      </w:r>
      <w:r w:rsidR="00F175FC" w:rsidRPr="005A36EC">
        <w:t xml:space="preserve"> protected information </w:t>
      </w:r>
      <w:r w:rsidR="00F175FC">
        <w:t>to, if</w:t>
      </w:r>
      <w:r w:rsidR="00F175FC" w:rsidRPr="005A36EC">
        <w:t xml:space="preserve"> </w:t>
      </w:r>
      <w:r w:rsidR="00F175FC">
        <w:t xml:space="preserve">the information </w:t>
      </w:r>
      <w:r w:rsidR="00F175FC" w:rsidRPr="005A36EC">
        <w:t xml:space="preserve">is for, or in connection with, a purpose of </w:t>
      </w:r>
      <w:r w:rsidR="00F175FC">
        <w:t>the Taskforce</w:t>
      </w:r>
      <w:r w:rsidR="00F175FC" w:rsidRPr="005A36EC">
        <w:t xml:space="preserve">.  </w:t>
      </w:r>
    </w:p>
    <w:p w14:paraId="6E9AEEAE" w14:textId="7B91593F" w:rsidR="00F04157" w:rsidRPr="00F04157" w:rsidRDefault="00F04157" w:rsidP="00F04157">
      <w:pPr>
        <w:numPr>
          <w:ilvl w:val="1"/>
          <w:numId w:val="0"/>
        </w:numPr>
        <w:tabs>
          <w:tab w:val="num" w:pos="1134"/>
        </w:tabs>
        <w:spacing w:after="240"/>
      </w:pPr>
    </w:p>
    <w:p w14:paraId="494B04B0" w14:textId="77777777" w:rsidR="002F6034" w:rsidRDefault="002F6034" w:rsidP="007E6193">
      <w:pPr>
        <w:tabs>
          <w:tab w:val="right" w:pos="9072"/>
        </w:tabs>
        <w:spacing w:after="240"/>
        <w:ind w:right="91"/>
        <w:rPr>
          <w:szCs w:val="24"/>
        </w:rPr>
      </w:pPr>
    </w:p>
    <w:p w14:paraId="3D946EA4" w14:textId="77777777" w:rsidR="001F7A24" w:rsidRPr="001F7A24" w:rsidRDefault="001F7A24" w:rsidP="001F7A24">
      <w:pPr>
        <w:keepNext/>
        <w:tabs>
          <w:tab w:val="left" w:pos="1987"/>
        </w:tabs>
        <w:spacing w:before="240" w:after="120"/>
        <w:jc w:val="center"/>
        <w:outlineLvl w:val="2"/>
        <w:rPr>
          <w:rFonts w:ascii="Helvetica" w:hAnsi="Helvetica"/>
          <w:b/>
          <w:kern w:val="28"/>
        </w:rPr>
      </w:pPr>
      <w:r w:rsidRPr="001F7A24">
        <w:rPr>
          <w:rFonts w:ascii="Helvetica" w:hAnsi="Helvetica"/>
          <w:b/>
          <w:kern w:val="28"/>
        </w:rPr>
        <w:t>Statement of Compatibility with Human Rights</w:t>
      </w:r>
    </w:p>
    <w:p w14:paraId="08B7999F" w14:textId="21B22701" w:rsidR="001F7A24" w:rsidRPr="001F7A24" w:rsidRDefault="001F7A24" w:rsidP="001F7A24">
      <w:pPr>
        <w:spacing w:before="120" w:after="120"/>
        <w:jc w:val="center"/>
        <w:rPr>
          <w:i/>
        </w:rPr>
      </w:pPr>
      <w:r w:rsidRPr="001F7A24">
        <w:rPr>
          <w:i/>
        </w:rPr>
        <w:t>Prepared in accordance with Part 3 of the Human Rights (Parliamentary Scrutiny) Act 2011</w:t>
      </w:r>
    </w:p>
    <w:p w14:paraId="068D20AA" w14:textId="77777777" w:rsidR="001F7A24" w:rsidRPr="001F7A24" w:rsidRDefault="001F7A24" w:rsidP="001F7A24">
      <w:pPr>
        <w:spacing w:before="120" w:after="120"/>
      </w:pPr>
      <w:r w:rsidRPr="001F7A24">
        <w:t xml:space="preserve">This Legislative Instrument is compatible with the human rights and freedoms recognised or declared in the international instruments listed in section 3 of the </w:t>
      </w:r>
      <w:r w:rsidRPr="001F7A24">
        <w:rPr>
          <w:i/>
        </w:rPr>
        <w:t>Human Rights (Parliamentary Scrutiny) Act 2011</w:t>
      </w:r>
      <w:r w:rsidRPr="001F7A24">
        <w:t>.</w:t>
      </w:r>
    </w:p>
    <w:p w14:paraId="6F2AD131" w14:textId="77777777" w:rsidR="001F7A24" w:rsidRPr="001F7A24" w:rsidRDefault="001F7A24" w:rsidP="001F7A24">
      <w:pPr>
        <w:keepNext/>
        <w:tabs>
          <w:tab w:val="left" w:pos="1987"/>
        </w:tabs>
        <w:spacing w:before="120" w:after="120"/>
        <w:outlineLvl w:val="3"/>
        <w:rPr>
          <w:b/>
          <w:kern w:val="28"/>
        </w:rPr>
      </w:pPr>
      <w:r w:rsidRPr="001F7A24">
        <w:rPr>
          <w:b/>
          <w:kern w:val="28"/>
        </w:rPr>
        <w:t>Overview of the Legislative Instrument</w:t>
      </w:r>
    </w:p>
    <w:p w14:paraId="58A845A1" w14:textId="6B0A092A" w:rsidR="001F7A24" w:rsidRDefault="001F7A24" w:rsidP="001F7A24">
      <w:pPr>
        <w:spacing w:before="120" w:after="120"/>
      </w:pPr>
      <w:r>
        <w:t>The legislative instrument:</w:t>
      </w:r>
    </w:p>
    <w:p w14:paraId="71680B5E" w14:textId="7B0E9015" w:rsidR="001F7A24" w:rsidRDefault="001F7A24" w:rsidP="00227B35">
      <w:pPr>
        <w:pStyle w:val="Bullet"/>
      </w:pPr>
      <w:r>
        <w:t>exempts the Tax Practitioners Board from certain fees imposed by the Australian Securities and Investments Commission;</w:t>
      </w:r>
    </w:p>
    <w:p w14:paraId="0BCFC6BB" w14:textId="506C5CFE" w:rsidR="001F7A24" w:rsidRDefault="001F7A24" w:rsidP="00227B35">
      <w:pPr>
        <w:pStyle w:val="Bullet"/>
      </w:pPr>
      <w:r>
        <w:t>exempts certain individuals from completing a course in commercial law as a requirement for renewing their registration as a tax agent; and</w:t>
      </w:r>
    </w:p>
    <w:p w14:paraId="68C7B4B4" w14:textId="6C6E24D6" w:rsidR="001F7A24" w:rsidRPr="001F7A24" w:rsidRDefault="001F7A24" w:rsidP="00227B35">
      <w:pPr>
        <w:pStyle w:val="Bullet"/>
      </w:pPr>
      <w:r>
        <w:t xml:space="preserve">will allow taxation officers to disclose protected information to the National Anti-Gang Taskforce.  </w:t>
      </w:r>
    </w:p>
    <w:p w14:paraId="4A841BF6" w14:textId="77777777" w:rsidR="001F7A24" w:rsidRPr="001F7A24" w:rsidRDefault="001F7A24" w:rsidP="001F7A24">
      <w:pPr>
        <w:keepNext/>
        <w:tabs>
          <w:tab w:val="left" w:pos="1987"/>
        </w:tabs>
        <w:spacing w:before="120" w:after="120"/>
        <w:outlineLvl w:val="3"/>
        <w:rPr>
          <w:b/>
          <w:kern w:val="28"/>
        </w:rPr>
      </w:pPr>
      <w:r w:rsidRPr="001F7A24">
        <w:rPr>
          <w:b/>
          <w:kern w:val="28"/>
        </w:rPr>
        <w:t>Human rights implications</w:t>
      </w:r>
    </w:p>
    <w:p w14:paraId="49318A7A" w14:textId="064E3129" w:rsidR="001F7A24" w:rsidRDefault="001F7A24" w:rsidP="001F7A24">
      <w:pPr>
        <w:spacing w:before="120" w:after="120"/>
        <w:rPr>
          <w:szCs w:val="24"/>
        </w:rPr>
      </w:pPr>
      <w:r>
        <w:t xml:space="preserve">That disclosures may be made by taxation officers to the National Anti-Gang Taskforce engages the prohibition on interference with privacy under article 17 of the </w:t>
      </w:r>
      <w:r w:rsidRPr="004C7332">
        <w:rPr>
          <w:i/>
        </w:rPr>
        <w:t>International Covenant on Civil and Political Rights</w:t>
      </w:r>
      <w:r>
        <w:rPr>
          <w:i/>
        </w:rPr>
        <w:t xml:space="preserve">.  </w:t>
      </w:r>
      <w:r w:rsidR="00C25781">
        <w:t xml:space="preserve">Information disclosed under this amendment may only be used for the purposes of the Taskforce, namely to </w:t>
      </w:r>
      <w:r w:rsidR="00C25781">
        <w:rPr>
          <w:szCs w:val="24"/>
        </w:rPr>
        <w:t>detect</w:t>
      </w:r>
      <w:r w:rsidR="00C25781" w:rsidRPr="005A36EC">
        <w:rPr>
          <w:szCs w:val="24"/>
        </w:rPr>
        <w:t xml:space="preserve">, </w:t>
      </w:r>
      <w:r w:rsidR="00C25781">
        <w:rPr>
          <w:szCs w:val="24"/>
        </w:rPr>
        <w:t>disrupt</w:t>
      </w:r>
      <w:r w:rsidR="00C25781" w:rsidRPr="005A36EC">
        <w:rPr>
          <w:szCs w:val="24"/>
        </w:rPr>
        <w:t xml:space="preserve"> and deter gang related crime in Australia</w:t>
      </w:r>
      <w:r w:rsidR="00C25781">
        <w:rPr>
          <w:szCs w:val="24"/>
        </w:rPr>
        <w:t>,</w:t>
      </w:r>
      <w:r w:rsidR="00C25781" w:rsidRPr="005A36EC">
        <w:rPr>
          <w:szCs w:val="24"/>
        </w:rPr>
        <w:t xml:space="preserve"> and </w:t>
      </w:r>
      <w:r w:rsidR="00C25781">
        <w:rPr>
          <w:szCs w:val="24"/>
        </w:rPr>
        <w:t>to protect</w:t>
      </w:r>
      <w:r w:rsidR="00C25781" w:rsidRPr="005A36EC">
        <w:rPr>
          <w:szCs w:val="24"/>
        </w:rPr>
        <w:t xml:space="preserve"> the public finances of Australia from gang</w:t>
      </w:r>
      <w:r w:rsidR="00C25781" w:rsidRPr="005A36EC">
        <w:rPr>
          <w:szCs w:val="24"/>
        </w:rPr>
        <w:noBreakHyphen/>
      </w:r>
      <w:r w:rsidR="00C25781">
        <w:rPr>
          <w:szCs w:val="24"/>
        </w:rPr>
        <w:t>related abuse of the tax system</w:t>
      </w:r>
      <w:r w:rsidR="00C25781" w:rsidRPr="005A36EC">
        <w:rPr>
          <w:szCs w:val="24"/>
        </w:rPr>
        <w:t>.</w:t>
      </w:r>
    </w:p>
    <w:p w14:paraId="70137161" w14:textId="6DD16C0E" w:rsidR="00C25781" w:rsidRDefault="00C25781" w:rsidP="001F7A24">
      <w:pPr>
        <w:spacing w:before="120" w:after="120"/>
      </w:pPr>
      <w:r w:rsidRPr="00C25781">
        <w:lastRenderedPageBreak/>
        <w:t>Accordingly, any interference with a person’s right not to be subject to arbitrary or unlawful interference with their private life is reasonable, necessary and proportionate when considered against the</w:t>
      </w:r>
      <w:r>
        <w:t>se</w:t>
      </w:r>
      <w:r w:rsidRPr="00C25781">
        <w:t xml:space="preserve"> very important national interest objective</w:t>
      </w:r>
      <w:r>
        <w:t>s</w:t>
      </w:r>
      <w:r w:rsidRPr="00C25781">
        <w:t>.</w:t>
      </w:r>
    </w:p>
    <w:p w14:paraId="753B3B63" w14:textId="3EAC69C7" w:rsidR="00C25781" w:rsidRPr="001F7A24" w:rsidRDefault="00C25781" w:rsidP="001F7A24">
      <w:pPr>
        <w:spacing w:before="120" w:after="120"/>
      </w:pPr>
      <w:r>
        <w:t xml:space="preserve">The legislative instrument does not otherwise engage any of the applicable rights or freedoms.  </w:t>
      </w:r>
    </w:p>
    <w:p w14:paraId="0C9A498F" w14:textId="77777777" w:rsidR="001F7A24" w:rsidRPr="001F7A24" w:rsidRDefault="001F7A24" w:rsidP="001F7A24">
      <w:pPr>
        <w:keepNext/>
        <w:tabs>
          <w:tab w:val="left" w:pos="1987"/>
        </w:tabs>
        <w:spacing w:before="120" w:after="120"/>
        <w:outlineLvl w:val="3"/>
        <w:rPr>
          <w:b/>
          <w:kern w:val="28"/>
        </w:rPr>
      </w:pPr>
      <w:r w:rsidRPr="001F7A24">
        <w:rPr>
          <w:b/>
          <w:kern w:val="28"/>
        </w:rPr>
        <w:t>Conclusion</w:t>
      </w:r>
    </w:p>
    <w:p w14:paraId="3A626624" w14:textId="1B20E2EA" w:rsidR="00C25781" w:rsidRPr="00C25781" w:rsidRDefault="00C25781" w:rsidP="00C25781">
      <w:pPr>
        <w:spacing w:before="120" w:after="120"/>
      </w:pPr>
      <w:r>
        <w:t xml:space="preserve">This legislative instrument engages the prohibition on interference with privacy, but does so in a reasonable, </w:t>
      </w:r>
      <w:r w:rsidRPr="00C25781">
        <w:t xml:space="preserve">necessary and proportionate way.  </w:t>
      </w:r>
      <w:r>
        <w:t xml:space="preserve">As such, this Schedule is compatible with human rights.  </w:t>
      </w:r>
    </w:p>
    <w:sectPr w:rsidR="00C25781" w:rsidRPr="00C25781">
      <w:pgSz w:w="11906" w:h="16838" w:code="9"/>
      <w:pgMar w:top="1134" w:right="1797" w:bottom="1134" w:left="1797"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329CA"/>
    <w:multiLevelType w:val="multilevel"/>
    <w:tmpl w:val="31EA2506"/>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7F61F87"/>
    <w:multiLevelType w:val="multilevel"/>
    <w:tmpl w:val="1A56C744"/>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noPunctuationKerning/>
  <w:characterSpacingControl w:val="doNotCompress"/>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3D4"/>
    <w:rsid w:val="00030AC7"/>
    <w:rsid w:val="00033793"/>
    <w:rsid w:val="000527CE"/>
    <w:rsid w:val="000F1916"/>
    <w:rsid w:val="001516EC"/>
    <w:rsid w:val="00176A19"/>
    <w:rsid w:val="00195BAF"/>
    <w:rsid w:val="001D3441"/>
    <w:rsid w:val="001E4A47"/>
    <w:rsid w:val="001F7A24"/>
    <w:rsid w:val="0021080E"/>
    <w:rsid w:val="00227B35"/>
    <w:rsid w:val="002320FD"/>
    <w:rsid w:val="002369CD"/>
    <w:rsid w:val="002815DF"/>
    <w:rsid w:val="002F6034"/>
    <w:rsid w:val="003069B4"/>
    <w:rsid w:val="00316897"/>
    <w:rsid w:val="003353E5"/>
    <w:rsid w:val="00356AC4"/>
    <w:rsid w:val="003770F3"/>
    <w:rsid w:val="00383693"/>
    <w:rsid w:val="003B7FE8"/>
    <w:rsid w:val="003C60EF"/>
    <w:rsid w:val="003F38B6"/>
    <w:rsid w:val="004138D8"/>
    <w:rsid w:val="00414359"/>
    <w:rsid w:val="00436ABF"/>
    <w:rsid w:val="00445C82"/>
    <w:rsid w:val="004C5AFB"/>
    <w:rsid w:val="004D2E5A"/>
    <w:rsid w:val="004F79FF"/>
    <w:rsid w:val="005667A7"/>
    <w:rsid w:val="005805BD"/>
    <w:rsid w:val="0059693F"/>
    <w:rsid w:val="005A36EC"/>
    <w:rsid w:val="005B397C"/>
    <w:rsid w:val="005B43F3"/>
    <w:rsid w:val="005C315B"/>
    <w:rsid w:val="005C3D88"/>
    <w:rsid w:val="005D47D9"/>
    <w:rsid w:val="006002DF"/>
    <w:rsid w:val="006022FF"/>
    <w:rsid w:val="006058EF"/>
    <w:rsid w:val="0063091C"/>
    <w:rsid w:val="0063640F"/>
    <w:rsid w:val="00673254"/>
    <w:rsid w:val="0068062C"/>
    <w:rsid w:val="006C7E7A"/>
    <w:rsid w:val="006C7ED2"/>
    <w:rsid w:val="006F21C5"/>
    <w:rsid w:val="00765058"/>
    <w:rsid w:val="007D7F23"/>
    <w:rsid w:val="007E6193"/>
    <w:rsid w:val="00837B09"/>
    <w:rsid w:val="00862AE1"/>
    <w:rsid w:val="0086568A"/>
    <w:rsid w:val="008C27FC"/>
    <w:rsid w:val="008D0F9A"/>
    <w:rsid w:val="008F2281"/>
    <w:rsid w:val="0097187A"/>
    <w:rsid w:val="009A24E0"/>
    <w:rsid w:val="009E2DBB"/>
    <w:rsid w:val="00A00342"/>
    <w:rsid w:val="00A32B49"/>
    <w:rsid w:val="00A47238"/>
    <w:rsid w:val="00A603D4"/>
    <w:rsid w:val="00A90D8B"/>
    <w:rsid w:val="00AC3A16"/>
    <w:rsid w:val="00AE5C0B"/>
    <w:rsid w:val="00B37CE9"/>
    <w:rsid w:val="00B968F1"/>
    <w:rsid w:val="00BE40E9"/>
    <w:rsid w:val="00BF23BF"/>
    <w:rsid w:val="00BF29D0"/>
    <w:rsid w:val="00C25781"/>
    <w:rsid w:val="00C3393D"/>
    <w:rsid w:val="00C36223"/>
    <w:rsid w:val="00C43316"/>
    <w:rsid w:val="00C43386"/>
    <w:rsid w:val="00C502D5"/>
    <w:rsid w:val="00C940EE"/>
    <w:rsid w:val="00D11B7D"/>
    <w:rsid w:val="00D3707D"/>
    <w:rsid w:val="00DD3B2F"/>
    <w:rsid w:val="00DF3A44"/>
    <w:rsid w:val="00DF7A8C"/>
    <w:rsid w:val="00E004A4"/>
    <w:rsid w:val="00E17A69"/>
    <w:rsid w:val="00EC6AAC"/>
    <w:rsid w:val="00ED2320"/>
    <w:rsid w:val="00F04157"/>
    <w:rsid w:val="00F05E1B"/>
    <w:rsid w:val="00F175FC"/>
    <w:rsid w:val="00F47165"/>
    <w:rsid w:val="00F5632E"/>
    <w:rsid w:val="00F57E86"/>
    <w:rsid w:val="00F65797"/>
    <w:rsid w:val="00F823E6"/>
    <w:rsid w:val="00F87860"/>
    <w:rsid w:val="00FA2098"/>
    <w:rsid w:val="00FA288D"/>
    <w:rsid w:val="00FA5B7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ED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rsid w:val="008F2281"/>
    <w:pPr>
      <w:keepNext/>
      <w:spacing w:before="12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bullet0">
    <w:name w:val="bullet"/>
    <w:basedOn w:val="Normal"/>
    <w:rsid w:val="00673254"/>
    <w:pPr>
      <w:spacing w:before="100" w:beforeAutospacing="1" w:after="100" w:afterAutospacing="1"/>
    </w:pPr>
    <w:rPr>
      <w:szCs w:val="24"/>
    </w:rPr>
  </w:style>
  <w:style w:type="paragraph" w:customStyle="1" w:styleId="dash0">
    <w:name w:val="dash"/>
    <w:basedOn w:val="Normal"/>
    <w:rsid w:val="00673254"/>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5A36EC"/>
    <w:rPr>
      <w:sz w:val="16"/>
      <w:szCs w:val="16"/>
    </w:rPr>
  </w:style>
  <w:style w:type="paragraph" w:styleId="CommentText">
    <w:name w:val="annotation text"/>
    <w:basedOn w:val="Normal"/>
    <w:link w:val="CommentTextChar"/>
    <w:uiPriority w:val="99"/>
    <w:semiHidden/>
    <w:unhideWhenUsed/>
    <w:rsid w:val="005A36EC"/>
    <w:rPr>
      <w:sz w:val="20"/>
    </w:rPr>
  </w:style>
  <w:style w:type="character" w:customStyle="1" w:styleId="CommentTextChar">
    <w:name w:val="Comment Text Char"/>
    <w:basedOn w:val="DefaultParagraphFont"/>
    <w:link w:val="CommentText"/>
    <w:uiPriority w:val="99"/>
    <w:semiHidden/>
    <w:rsid w:val="005A36EC"/>
  </w:style>
  <w:style w:type="paragraph" w:styleId="BalloonText">
    <w:name w:val="Balloon Text"/>
    <w:basedOn w:val="Normal"/>
    <w:link w:val="BalloonTextChar"/>
    <w:uiPriority w:val="99"/>
    <w:semiHidden/>
    <w:unhideWhenUsed/>
    <w:rsid w:val="005A36EC"/>
    <w:rPr>
      <w:rFonts w:ascii="Tahoma" w:hAnsi="Tahoma" w:cs="Tahoma"/>
      <w:sz w:val="16"/>
      <w:szCs w:val="16"/>
    </w:rPr>
  </w:style>
  <w:style w:type="character" w:customStyle="1" w:styleId="BalloonTextChar">
    <w:name w:val="Balloon Text Char"/>
    <w:basedOn w:val="DefaultParagraphFont"/>
    <w:link w:val="BalloonText"/>
    <w:uiPriority w:val="99"/>
    <w:semiHidden/>
    <w:rsid w:val="005A36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6ABF"/>
    <w:rPr>
      <w:b/>
      <w:bCs/>
    </w:rPr>
  </w:style>
  <w:style w:type="character" w:customStyle="1" w:styleId="CommentSubjectChar">
    <w:name w:val="Comment Subject Char"/>
    <w:basedOn w:val="CommentTextChar"/>
    <w:link w:val="CommentSubject"/>
    <w:uiPriority w:val="99"/>
    <w:semiHidden/>
    <w:rsid w:val="00436ABF"/>
    <w:rPr>
      <w:b/>
      <w:bCs/>
    </w:rPr>
  </w:style>
  <w:style w:type="paragraph" w:customStyle="1" w:styleId="DoubleDot">
    <w:name w:val="Double Dot"/>
    <w:basedOn w:val="Normal"/>
    <w:link w:val="DoubleDotChar"/>
    <w:rsid w:val="001F7A24"/>
    <w:pPr>
      <w:numPr>
        <w:ilvl w:val="2"/>
        <w:numId w:val="1"/>
      </w:numPr>
      <w:spacing w:before="120" w:after="120"/>
    </w:pPr>
  </w:style>
  <w:style w:type="character" w:customStyle="1" w:styleId="DoubleDotChar">
    <w:name w:val="Double Dot Char"/>
    <w:basedOn w:val="DefaultParagraphFont"/>
    <w:link w:val="DoubleDot"/>
    <w:rsid w:val="001F7A24"/>
    <w:rPr>
      <w:sz w:val="24"/>
    </w:rPr>
  </w:style>
  <w:style w:type="paragraph" w:customStyle="1" w:styleId="Bullet">
    <w:name w:val="Bullet"/>
    <w:basedOn w:val="Normal"/>
    <w:rsid w:val="00F175FC"/>
    <w:pPr>
      <w:numPr>
        <w:numId w:val="1"/>
      </w:numPr>
      <w:spacing w:after="240"/>
    </w:pPr>
  </w:style>
  <w:style w:type="paragraph" w:customStyle="1" w:styleId="Dash">
    <w:name w:val="Dash"/>
    <w:basedOn w:val="Normal"/>
    <w:rsid w:val="00F175FC"/>
    <w:pPr>
      <w:numPr>
        <w:ilvl w:val="1"/>
        <w:numId w:val="1"/>
      </w:numPr>
      <w:spacing w:after="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9D0"/>
    <w:rPr>
      <w:sz w:val="24"/>
    </w:rPr>
  </w:style>
  <w:style w:type="paragraph" w:styleId="Heading1">
    <w:name w:val="heading 1"/>
    <w:basedOn w:val="Normal"/>
    <w:next w:val="Normal"/>
    <w:qFormat/>
    <w:pPr>
      <w:keepNext/>
      <w:spacing w:before="240" w:after="360"/>
      <w:outlineLvl w:val="0"/>
    </w:pPr>
    <w:rPr>
      <w:b/>
      <w:caps/>
      <w:sz w:val="28"/>
    </w:rPr>
  </w:style>
  <w:style w:type="paragraph" w:styleId="Heading2">
    <w:name w:val="heading 2"/>
    <w:basedOn w:val="Normal"/>
    <w:next w:val="Normal"/>
    <w:qFormat/>
    <w:pPr>
      <w:keepNext/>
      <w:spacing w:before="120"/>
      <w:outlineLvl w:val="1"/>
    </w:pPr>
    <w:rPr>
      <w:b/>
      <w:caps/>
    </w:rPr>
  </w:style>
  <w:style w:type="paragraph" w:styleId="Heading3">
    <w:name w:val="heading 3"/>
    <w:basedOn w:val="Normal"/>
    <w:next w:val="Normal"/>
    <w:qFormat/>
    <w:rsid w:val="008F2281"/>
    <w:pPr>
      <w:keepNext/>
      <w:spacing w:before="120" w:after="120"/>
      <w:outlineLvl w:val="2"/>
    </w:pPr>
    <w:rPr>
      <w:b/>
    </w:rPr>
  </w:style>
  <w:style w:type="paragraph" w:styleId="Heading4">
    <w:name w:val="heading 4"/>
    <w:basedOn w:val="Normal"/>
    <w:next w:val="Normal"/>
    <w:qFormat/>
    <w:pPr>
      <w:keepNext/>
      <w:outlineLvl w:val="3"/>
    </w:pPr>
    <w:rPr>
      <w:i/>
      <w:sz w:val="20"/>
    </w:rPr>
  </w:style>
  <w:style w:type="paragraph" w:styleId="Heading6">
    <w:name w:val="heading 6"/>
    <w:basedOn w:val="Normal"/>
    <w:next w:val="Normal"/>
    <w:qFormat/>
    <w:pPr>
      <w:keepNext/>
      <w:spacing w:before="240"/>
      <w:ind w:right="91"/>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style>
  <w:style w:type="paragraph" w:customStyle="1" w:styleId="ChartMainHeading">
    <w:name w:val="Chart Main Heading"/>
    <w:basedOn w:val="SingleParagraph"/>
    <w:next w:val="Normal"/>
    <w:pPr>
      <w:jc w:val="center"/>
    </w:pPr>
    <w:rPr>
      <w:b/>
      <w:caps/>
    </w:rPr>
  </w:style>
  <w:style w:type="paragraph" w:customStyle="1" w:styleId="ChartSecondHeading">
    <w:name w:val="Chart Second Heading"/>
    <w:basedOn w:val="SingleParagraph"/>
    <w:next w:val="Normal"/>
    <w:pPr>
      <w:jc w:val="center"/>
    </w:pPr>
    <w:rPr>
      <w:b/>
    </w:rPr>
  </w:style>
  <w:style w:type="paragraph" w:customStyle="1" w:styleId="TableMainHeading">
    <w:name w:val="Table Main Heading"/>
    <w:basedOn w:val="Heading2"/>
    <w:next w:val="Normal"/>
    <w:pPr>
      <w:spacing w:before="240"/>
      <w:outlineLvl w:val="9"/>
    </w:pPr>
    <w:rPr>
      <w:rFonts w:ascii="Helvetica" w:hAnsi="Helvetica"/>
      <w:b w:val="0"/>
      <w:caps w:val="0"/>
      <w:spacing w:val="30"/>
      <w:sz w:val="22"/>
    </w:rPr>
  </w:style>
  <w:style w:type="paragraph" w:customStyle="1" w:styleId="bullet0">
    <w:name w:val="bullet"/>
    <w:basedOn w:val="Normal"/>
    <w:rsid w:val="00673254"/>
    <w:pPr>
      <w:spacing w:before="100" w:beforeAutospacing="1" w:after="100" w:afterAutospacing="1"/>
    </w:pPr>
    <w:rPr>
      <w:szCs w:val="24"/>
    </w:rPr>
  </w:style>
  <w:style w:type="paragraph" w:customStyle="1" w:styleId="dash0">
    <w:name w:val="dash"/>
    <w:basedOn w:val="Normal"/>
    <w:rsid w:val="00673254"/>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5A36EC"/>
    <w:rPr>
      <w:sz w:val="16"/>
      <w:szCs w:val="16"/>
    </w:rPr>
  </w:style>
  <w:style w:type="paragraph" w:styleId="CommentText">
    <w:name w:val="annotation text"/>
    <w:basedOn w:val="Normal"/>
    <w:link w:val="CommentTextChar"/>
    <w:uiPriority w:val="99"/>
    <w:semiHidden/>
    <w:unhideWhenUsed/>
    <w:rsid w:val="005A36EC"/>
    <w:rPr>
      <w:sz w:val="20"/>
    </w:rPr>
  </w:style>
  <w:style w:type="character" w:customStyle="1" w:styleId="CommentTextChar">
    <w:name w:val="Comment Text Char"/>
    <w:basedOn w:val="DefaultParagraphFont"/>
    <w:link w:val="CommentText"/>
    <w:uiPriority w:val="99"/>
    <w:semiHidden/>
    <w:rsid w:val="005A36EC"/>
  </w:style>
  <w:style w:type="paragraph" w:styleId="BalloonText">
    <w:name w:val="Balloon Text"/>
    <w:basedOn w:val="Normal"/>
    <w:link w:val="BalloonTextChar"/>
    <w:uiPriority w:val="99"/>
    <w:semiHidden/>
    <w:unhideWhenUsed/>
    <w:rsid w:val="005A36EC"/>
    <w:rPr>
      <w:rFonts w:ascii="Tahoma" w:hAnsi="Tahoma" w:cs="Tahoma"/>
      <w:sz w:val="16"/>
      <w:szCs w:val="16"/>
    </w:rPr>
  </w:style>
  <w:style w:type="character" w:customStyle="1" w:styleId="BalloonTextChar">
    <w:name w:val="Balloon Text Char"/>
    <w:basedOn w:val="DefaultParagraphFont"/>
    <w:link w:val="BalloonText"/>
    <w:uiPriority w:val="99"/>
    <w:semiHidden/>
    <w:rsid w:val="005A36EC"/>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6ABF"/>
    <w:rPr>
      <w:b/>
      <w:bCs/>
    </w:rPr>
  </w:style>
  <w:style w:type="character" w:customStyle="1" w:styleId="CommentSubjectChar">
    <w:name w:val="Comment Subject Char"/>
    <w:basedOn w:val="CommentTextChar"/>
    <w:link w:val="CommentSubject"/>
    <w:uiPriority w:val="99"/>
    <w:semiHidden/>
    <w:rsid w:val="00436ABF"/>
    <w:rPr>
      <w:b/>
      <w:bCs/>
    </w:rPr>
  </w:style>
  <w:style w:type="paragraph" w:customStyle="1" w:styleId="DoubleDot">
    <w:name w:val="Double Dot"/>
    <w:basedOn w:val="Normal"/>
    <w:link w:val="DoubleDotChar"/>
    <w:rsid w:val="001F7A24"/>
    <w:pPr>
      <w:numPr>
        <w:ilvl w:val="2"/>
        <w:numId w:val="1"/>
      </w:numPr>
      <w:spacing w:before="120" w:after="120"/>
    </w:pPr>
  </w:style>
  <w:style w:type="character" w:customStyle="1" w:styleId="DoubleDotChar">
    <w:name w:val="Double Dot Char"/>
    <w:basedOn w:val="DefaultParagraphFont"/>
    <w:link w:val="DoubleDot"/>
    <w:rsid w:val="001F7A24"/>
    <w:rPr>
      <w:sz w:val="24"/>
    </w:rPr>
  </w:style>
  <w:style w:type="paragraph" w:customStyle="1" w:styleId="Bullet">
    <w:name w:val="Bullet"/>
    <w:basedOn w:val="Normal"/>
    <w:rsid w:val="00F175FC"/>
    <w:pPr>
      <w:numPr>
        <w:numId w:val="1"/>
      </w:numPr>
      <w:spacing w:after="240"/>
    </w:pPr>
  </w:style>
  <w:style w:type="paragraph" w:customStyle="1" w:styleId="Dash">
    <w:name w:val="Dash"/>
    <w:basedOn w:val="Normal"/>
    <w:rsid w:val="00F175FC"/>
    <w:pPr>
      <w:numPr>
        <w:ilvl w:val="1"/>
        <w:numId w:val="1"/>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8877422">
      <w:bodyDiv w:val="1"/>
      <w:marLeft w:val="0"/>
      <w:marRight w:val="0"/>
      <w:marTop w:val="0"/>
      <w:marBottom w:val="0"/>
      <w:divBdr>
        <w:top w:val="none" w:sz="0" w:space="0" w:color="auto"/>
        <w:left w:val="none" w:sz="0" w:space="0" w:color="auto"/>
        <w:bottom w:val="none" w:sz="0" w:space="0" w:color="auto"/>
        <w:right w:val="none" w:sz="0" w:space="0" w:color="auto"/>
      </w:divBdr>
      <w:divsChild>
        <w:div w:id="937830328">
          <w:marLeft w:val="0"/>
          <w:marRight w:val="0"/>
          <w:marTop w:val="0"/>
          <w:marBottom w:val="0"/>
          <w:divBdr>
            <w:top w:val="none" w:sz="0" w:space="0" w:color="auto"/>
            <w:left w:val="none" w:sz="0" w:space="0" w:color="auto"/>
            <w:bottom w:val="none" w:sz="0" w:space="0" w:color="auto"/>
            <w:right w:val="none" w:sz="0" w:space="0" w:color="auto"/>
          </w:divBdr>
          <w:divsChild>
            <w:div w:id="1851524868">
              <w:marLeft w:val="0"/>
              <w:marRight w:val="0"/>
              <w:marTop w:val="0"/>
              <w:marBottom w:val="0"/>
              <w:divBdr>
                <w:top w:val="none" w:sz="0" w:space="0" w:color="auto"/>
                <w:left w:val="none" w:sz="0" w:space="0" w:color="auto"/>
                <w:bottom w:val="none" w:sz="0" w:space="0" w:color="auto"/>
                <w:right w:val="none" w:sz="0" w:space="0" w:color="auto"/>
              </w:divBdr>
              <w:divsChild>
                <w:div w:id="1078291259">
                  <w:marLeft w:val="0"/>
                  <w:marRight w:val="0"/>
                  <w:marTop w:val="0"/>
                  <w:marBottom w:val="0"/>
                  <w:divBdr>
                    <w:top w:val="none" w:sz="0" w:space="0" w:color="auto"/>
                    <w:left w:val="none" w:sz="0" w:space="0" w:color="auto"/>
                    <w:bottom w:val="none" w:sz="0" w:space="0" w:color="auto"/>
                    <w:right w:val="none" w:sz="0" w:space="0" w:color="auto"/>
                  </w:divBdr>
                  <w:divsChild>
                    <w:div w:id="1765691366">
                      <w:marLeft w:val="0"/>
                      <w:marRight w:val="0"/>
                      <w:marTop w:val="0"/>
                      <w:marBottom w:val="0"/>
                      <w:divBdr>
                        <w:top w:val="none" w:sz="0" w:space="0" w:color="auto"/>
                        <w:left w:val="none" w:sz="0" w:space="0" w:color="auto"/>
                        <w:bottom w:val="none" w:sz="0" w:space="0" w:color="auto"/>
                        <w:right w:val="none" w:sz="0" w:space="0" w:color="auto"/>
                      </w:divBdr>
                      <w:divsChild>
                        <w:div w:id="1835292214">
                          <w:marLeft w:val="0"/>
                          <w:marRight w:val="0"/>
                          <w:marTop w:val="0"/>
                          <w:marBottom w:val="0"/>
                          <w:divBdr>
                            <w:top w:val="single" w:sz="6" w:space="0" w:color="828282"/>
                            <w:left w:val="single" w:sz="6" w:space="0" w:color="828282"/>
                            <w:bottom w:val="single" w:sz="6" w:space="0" w:color="828282"/>
                            <w:right w:val="single" w:sz="6" w:space="0" w:color="828282"/>
                          </w:divBdr>
                          <w:divsChild>
                            <w:div w:id="960766804">
                              <w:marLeft w:val="0"/>
                              <w:marRight w:val="0"/>
                              <w:marTop w:val="0"/>
                              <w:marBottom w:val="0"/>
                              <w:divBdr>
                                <w:top w:val="none" w:sz="0" w:space="0" w:color="auto"/>
                                <w:left w:val="none" w:sz="0" w:space="0" w:color="auto"/>
                                <w:bottom w:val="none" w:sz="0" w:space="0" w:color="auto"/>
                                <w:right w:val="none" w:sz="0" w:space="0" w:color="auto"/>
                              </w:divBdr>
                              <w:divsChild>
                                <w:div w:id="435641715">
                                  <w:marLeft w:val="0"/>
                                  <w:marRight w:val="0"/>
                                  <w:marTop w:val="0"/>
                                  <w:marBottom w:val="0"/>
                                  <w:divBdr>
                                    <w:top w:val="none" w:sz="0" w:space="0" w:color="auto"/>
                                    <w:left w:val="none" w:sz="0" w:space="0" w:color="auto"/>
                                    <w:bottom w:val="none" w:sz="0" w:space="0" w:color="auto"/>
                                    <w:right w:val="none" w:sz="0" w:space="0" w:color="auto"/>
                                  </w:divBdr>
                                  <w:divsChild>
                                    <w:div w:id="1221358481">
                                      <w:marLeft w:val="0"/>
                                      <w:marRight w:val="0"/>
                                      <w:marTop w:val="0"/>
                                      <w:marBottom w:val="0"/>
                                      <w:divBdr>
                                        <w:top w:val="none" w:sz="0" w:space="0" w:color="auto"/>
                                        <w:left w:val="none" w:sz="0" w:space="0" w:color="auto"/>
                                        <w:bottom w:val="none" w:sz="0" w:space="0" w:color="auto"/>
                                        <w:right w:val="none" w:sz="0" w:space="0" w:color="auto"/>
                                      </w:divBdr>
                                      <w:divsChild>
                                        <w:div w:id="766922429">
                                          <w:marLeft w:val="0"/>
                                          <w:marRight w:val="0"/>
                                          <w:marTop w:val="0"/>
                                          <w:marBottom w:val="0"/>
                                          <w:divBdr>
                                            <w:top w:val="none" w:sz="0" w:space="0" w:color="auto"/>
                                            <w:left w:val="none" w:sz="0" w:space="0" w:color="auto"/>
                                            <w:bottom w:val="none" w:sz="0" w:space="0" w:color="auto"/>
                                            <w:right w:val="none" w:sz="0" w:space="0" w:color="auto"/>
                                          </w:divBdr>
                                          <w:divsChild>
                                            <w:div w:id="1286500277">
                                              <w:marLeft w:val="0"/>
                                              <w:marRight w:val="0"/>
                                              <w:marTop w:val="0"/>
                                              <w:marBottom w:val="0"/>
                                              <w:divBdr>
                                                <w:top w:val="none" w:sz="0" w:space="0" w:color="auto"/>
                                                <w:left w:val="none" w:sz="0" w:space="0" w:color="auto"/>
                                                <w:bottom w:val="none" w:sz="0" w:space="0" w:color="auto"/>
                                                <w:right w:val="none" w:sz="0" w:space="0" w:color="auto"/>
                                              </w:divBdr>
                                              <w:divsChild>
                                                <w:div w:id="18401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doNotRelyOnCS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XCo%20Explanatory%20Memorandum%20-%20Gener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378b04f6-f261-4499-b462-41ddd755ff66">2013RG-30-480</_dlc_DocId>
    <_dlc_DocIdUrl xmlns="378b04f6-f261-4499-b462-41ddd755ff66">
      <Url>http://tweb/sites/rg/ldp/_layouts/DocIdRedir.aspx?ID=2013RG-30-480</Url>
      <Description>2013RG-30-480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General Content" ma:contentTypeID="0x010100E726210826AA43828690450C811EB923009CA11FFD1E014DF4B1FA162D0F61129800080350834F0B46469CE5D2ECAC346F75" ma:contentTypeVersion="23" ma:contentTypeDescription="If you are creating a Word, PowerPoint or Excel document use the options available in the drop down list; for all other documents leave the content type as General Content." ma:contentTypeScope="" ma:versionID="53dc7e552d959ada8d97302801dbabe7">
  <xsd:schema xmlns:xsd="http://www.w3.org/2001/XMLSchema" xmlns:xs="http://www.w3.org/2001/XMLSchema" xmlns:p="http://schemas.microsoft.com/office/2006/metadata/properties" xmlns:ns2="378b04f6-f261-4499-b462-41ddd755ff66" targetNamespace="http://schemas.microsoft.com/office/2006/metadata/properties" ma:root="true" ma:fieldsID="8b996ababbe5a57890161772b35c4b0b" ns2:_="">
    <xsd:import namespace="378b04f6-f261-4499-b462-41ddd755ff66"/>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b04f6-f261-4499-b462-41ddd755ff6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Treasury Document Audit Policy</p:Name>
  <p:Description/>
  <p:Statement/>
  <p:PolicyItems>
    <p:PolicyItem featureId="Microsoft.Office.RecordsManagement.PolicyFeatures.PolicyAudit" staticId="0x010100E726210826AA43828690450C811EB923|1757814118" UniqueId="cd6ee51b-74b3-452a-9d55-03bd9a48be8f">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D085C392-1573-4CF8-8B01-9996695E75F4}">
  <ds:schemaRefs>
    <ds:schemaRef ds:uri="http://schemas.microsoft.com/sharepoint/v3/contenttype/forms"/>
  </ds:schemaRefs>
</ds:datastoreItem>
</file>

<file path=customXml/itemProps2.xml><?xml version="1.0" encoding="utf-8"?>
<ds:datastoreItem xmlns:ds="http://schemas.openxmlformats.org/officeDocument/2006/customXml" ds:itemID="{F8A46AB7-8B6D-4BEA-9351-E617D0434A0E}">
  <ds:schemaRefs>
    <ds:schemaRef ds:uri="http://purl.org/dc/elements/1.1/"/>
    <ds:schemaRef ds:uri="http://schemas.microsoft.com/office/2006/metadata/properties"/>
    <ds:schemaRef ds:uri="378b04f6-f261-4499-b462-41ddd755ff66"/>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DB45D3B7-EF09-4125-B5C0-EB707DA28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b04f6-f261-4499-b462-41ddd755f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782CE2-39A0-4B2D-A34D-25AF7A9101CC}">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XCo Explanatory Memorandum - General.dotx</Template>
  <TotalTime>0</TotalTime>
  <Pages>4</Pages>
  <Words>1225</Words>
  <Characters>6983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The Treasury</Company>
  <LinksUpToDate>false</LinksUpToDate>
  <CharactersWithSpaces>8192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Roberts, Jamie</dc:creator>
  <cp:lastModifiedBy>Hilhorst, Matt</cp:lastModifiedBy>
  <cp:revision>2</cp:revision>
  <cp:lastPrinted>2013-06-04T07:11:00Z</cp:lastPrinted>
  <dcterms:created xsi:type="dcterms:W3CDTF">2013-06-11T01:21:00Z</dcterms:created>
  <dcterms:modified xsi:type="dcterms:W3CDTF">2013-06-11T01:21:00Z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0x010100E726210826AA43828690450C811EB923009CA11FFD1E014DF4B1FA162D0F61129800080350834F0B46469CE5D2ECAC346F75</vt:lpwstr>
  </property>
  <property fmtid="{D5CDD505-2E9C-101B-9397-08002B2CF9AE}" pid="3" name="_dlc_DocIdItemGuid">
    <vt:lpwstr>a3455382-3c0e-42ab-bea1-93c88a391294</vt:lpwstr>
  </property>
  <property fmtid="{D5CDD505-2E9C-101B-9397-08002B2CF9AE}" pid="4" name="_AdHocReviewCycleID">
    <vt:i4>-476345545</vt:i4>
  </property>
  <property fmtid="{D5CDD505-2E9C-101B-9397-08002B2CF9AE}" pid="5" name="_NewReviewCycle">
    <vt:lpwstr/>
  </property>
  <property fmtid="{D5CDD505-2E9C-101B-9397-08002B2CF9AE}" pid="6" name="_EmailSubject">
    <vt:lpwstr>FRLI Lodement Form and ES [SEC=UNCLASSIFIED]</vt:lpwstr>
  </property>
  <property fmtid="{D5CDD505-2E9C-101B-9397-08002B2CF9AE}" pid="7" name="_AuthorEmail">
    <vt:lpwstr>Jesse.Murphy@TREASURY.GOV.AU</vt:lpwstr>
  </property>
  <property fmtid="{D5CDD505-2E9C-101B-9397-08002B2CF9AE}" pid="8" name="_AuthorEmailDisplayName">
    <vt:lpwstr>Murphy, Jesse</vt:lpwstr>
  </property>
  <property fmtid="{D5CDD505-2E9C-101B-9397-08002B2CF9AE}" pid="9" name="_ReviewingToolsShownOnce">
    <vt:lpwstr/>
  </property>
</Properties>
</file>