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61CC23" w14:textId="77777777" w:rsidR="00F109D4" w:rsidRPr="00503E44" w:rsidRDefault="00F109D4" w:rsidP="009F30EE">
      <w:pPr>
        <w:pStyle w:val="Heading1"/>
      </w:pPr>
      <w:r w:rsidRPr="00503E44">
        <w:t>EXPLANATORY STATEMENT</w:t>
      </w:r>
    </w:p>
    <w:p w14:paraId="2DE159CB" w14:textId="3DAAAA9E" w:rsidR="005833BE" w:rsidRDefault="005833BE" w:rsidP="005833BE">
      <w:pPr>
        <w:pStyle w:val="base-text-paragraph"/>
        <w:tabs>
          <w:tab w:val="clear" w:pos="1987"/>
        </w:tabs>
        <w:ind w:left="0"/>
        <w:rPr>
          <w:b/>
          <w:u w:val="single"/>
        </w:rPr>
      </w:pPr>
    </w:p>
    <w:p w14:paraId="42950FDD" w14:textId="6B8E57B7" w:rsidR="009F30EE" w:rsidRPr="00503E44" w:rsidRDefault="009F30EE" w:rsidP="009F30EE">
      <w:pPr>
        <w:pStyle w:val="base-text-paragraph"/>
        <w:tabs>
          <w:tab w:val="clear" w:pos="1987"/>
        </w:tabs>
        <w:ind w:left="0"/>
        <w:jc w:val="center"/>
        <w:rPr>
          <w:b/>
          <w:u w:val="single"/>
        </w:rPr>
      </w:pPr>
      <w:r>
        <w:rPr>
          <w:b/>
          <w:u w:val="single"/>
        </w:rPr>
        <w:t>Select Legislative Instrument 2013 No. 128</w:t>
      </w:r>
    </w:p>
    <w:p w14:paraId="393E9CFC" w14:textId="77777777" w:rsidR="00F109D4" w:rsidRPr="009F30EE" w:rsidRDefault="00F109D4" w:rsidP="00A12209">
      <w:pPr>
        <w:pStyle w:val="Heading2"/>
        <w:rPr>
          <w:sz w:val="24"/>
          <w:szCs w:val="24"/>
        </w:rPr>
      </w:pPr>
      <w:r w:rsidRPr="009F30EE">
        <w:rPr>
          <w:sz w:val="24"/>
          <w:szCs w:val="24"/>
        </w:rPr>
        <w:t xml:space="preserve">Issued by authority of the </w:t>
      </w:r>
      <w:r w:rsidR="005833BE" w:rsidRPr="009F30EE">
        <w:rPr>
          <w:sz w:val="24"/>
          <w:szCs w:val="24"/>
        </w:rPr>
        <w:t>Assistant Treasurer</w:t>
      </w:r>
    </w:p>
    <w:p w14:paraId="32193A07" w14:textId="77777777" w:rsidR="00F109D4" w:rsidRPr="00503E44" w:rsidRDefault="00DB0F17">
      <w:pPr>
        <w:jc w:val="center"/>
        <w:rPr>
          <w:i/>
        </w:rPr>
      </w:pPr>
      <w:r w:rsidRPr="00DB0F17">
        <w:rPr>
          <w:i/>
        </w:rPr>
        <w:t>Income Tax Assessment Act 1936</w:t>
      </w:r>
    </w:p>
    <w:p w14:paraId="0CD3E727" w14:textId="618C756D" w:rsidR="00F109D4" w:rsidRPr="00503E44" w:rsidRDefault="00DB0F17">
      <w:pPr>
        <w:tabs>
          <w:tab w:val="left" w:pos="1418"/>
        </w:tabs>
        <w:spacing w:after="240"/>
        <w:jc w:val="center"/>
        <w:rPr>
          <w:i/>
        </w:rPr>
      </w:pPr>
      <w:r w:rsidRPr="00DB0F17">
        <w:rPr>
          <w:i/>
        </w:rPr>
        <w:t xml:space="preserve">Income Tax Amendment Regulation 2013 (No. </w:t>
      </w:r>
      <w:r w:rsidR="006604E3">
        <w:rPr>
          <w:i/>
        </w:rPr>
        <w:t>1</w:t>
      </w:r>
      <w:r w:rsidRPr="00DB0F17">
        <w:rPr>
          <w:i/>
        </w:rPr>
        <w:t>)</w:t>
      </w:r>
    </w:p>
    <w:p w14:paraId="38577705" w14:textId="77777777" w:rsidR="00F109D4" w:rsidRDefault="00FC7616">
      <w:r w:rsidRPr="00FC7616">
        <w:t xml:space="preserve">Subsection 266(1) of the </w:t>
      </w:r>
      <w:r w:rsidRPr="00FC7616">
        <w:rPr>
          <w:i/>
        </w:rPr>
        <w:t>Income Tax Assessment Act 1936</w:t>
      </w:r>
      <w:r w:rsidRPr="00FC7616">
        <w:t xml:space="preserve"> (the Act) provides, in part, that the Govern</w:t>
      </w:r>
      <w:bookmarkStart w:id="0" w:name="_GoBack"/>
      <w:bookmarkEnd w:id="0"/>
      <w:r w:rsidRPr="00FC7616">
        <w:t>or-General may make regulations not inconsistent with the Act, prescribing all matters which by the Act are required to be prescribed, or necessary or convenient to be prescrib</w:t>
      </w:r>
      <w:r>
        <w:t>ed for giving effect to the Act</w:t>
      </w:r>
      <w:r w:rsidR="00F109D4" w:rsidRPr="00503E44">
        <w:t>.</w:t>
      </w:r>
    </w:p>
    <w:p w14:paraId="0E7DC8F8" w14:textId="1293121F" w:rsidR="002F0034" w:rsidRDefault="002F0034" w:rsidP="002F0034">
      <w:r>
        <w:t xml:space="preserve">The purpose of the </w:t>
      </w:r>
      <w:r w:rsidR="00617749" w:rsidRPr="00617749">
        <w:rPr>
          <w:i/>
        </w:rPr>
        <w:t xml:space="preserve">Income Tax Amendment </w:t>
      </w:r>
      <w:r w:rsidRPr="00617749">
        <w:rPr>
          <w:i/>
        </w:rPr>
        <w:t>Regulation</w:t>
      </w:r>
      <w:r w:rsidR="00617749" w:rsidRPr="00617749">
        <w:rPr>
          <w:i/>
        </w:rPr>
        <w:t xml:space="preserve"> 2013 (No. </w:t>
      </w:r>
      <w:r w:rsidR="006604E3">
        <w:rPr>
          <w:i/>
        </w:rPr>
        <w:t>1</w:t>
      </w:r>
      <w:r w:rsidR="00617749" w:rsidRPr="00617749">
        <w:rPr>
          <w:i/>
        </w:rPr>
        <w:t>)</w:t>
      </w:r>
      <w:r>
        <w:t xml:space="preserve"> </w:t>
      </w:r>
      <w:r w:rsidR="00617749">
        <w:t xml:space="preserve">(the Regulation) </w:t>
      </w:r>
      <w:r>
        <w:t xml:space="preserve">is </w:t>
      </w:r>
      <w:r w:rsidR="00617749">
        <w:t xml:space="preserve">to </w:t>
      </w:r>
      <w:r>
        <w:t xml:space="preserve">amend the </w:t>
      </w:r>
      <w:r w:rsidRPr="002F0034">
        <w:rPr>
          <w:i/>
        </w:rPr>
        <w:t>Income Tax Regulations 1936</w:t>
      </w:r>
      <w:r>
        <w:t xml:space="preserve"> </w:t>
      </w:r>
      <w:r w:rsidR="00617749">
        <w:t xml:space="preserve">(the Principal Regulations) </w:t>
      </w:r>
      <w:r>
        <w:t xml:space="preserve">to </w:t>
      </w:r>
      <w:r w:rsidR="00AE54BE">
        <w:t xml:space="preserve">make </w:t>
      </w:r>
      <w:r w:rsidR="00CE6724">
        <w:t xml:space="preserve">technical </w:t>
      </w:r>
      <w:r w:rsidR="00AE54BE">
        <w:t>amendments to</w:t>
      </w:r>
      <w:r>
        <w:t xml:space="preserve"> the way</w:t>
      </w:r>
      <w:r w:rsidR="00485048">
        <w:t xml:space="preserve"> in which</w:t>
      </w:r>
      <w:r>
        <w:t xml:space="preserve"> the </w:t>
      </w:r>
      <w:r w:rsidR="00485048">
        <w:t xml:space="preserve">amount of </w:t>
      </w:r>
      <w:r>
        <w:t>seniors and pensioners tax offset (</w:t>
      </w:r>
      <w:proofErr w:type="spellStart"/>
      <w:r>
        <w:t>SAPTO</w:t>
      </w:r>
      <w:proofErr w:type="spellEnd"/>
      <w:r>
        <w:t xml:space="preserve">) </w:t>
      </w:r>
      <w:r w:rsidR="00AE54BE">
        <w:t xml:space="preserve">is </w:t>
      </w:r>
      <w:r w:rsidR="00F20596">
        <w:t>determined</w:t>
      </w:r>
      <w:r w:rsidR="00AE54BE">
        <w:t xml:space="preserve"> in the case of foreign residents for tax purposes</w:t>
      </w:r>
      <w:r>
        <w:t xml:space="preserve">.  </w:t>
      </w:r>
    </w:p>
    <w:p w14:paraId="21D95842" w14:textId="796AB6E5" w:rsidR="003B446B" w:rsidRDefault="00733BC7" w:rsidP="00733BC7">
      <w:r>
        <w:t xml:space="preserve">The Regulation corrects an unintended consequence arising from amendments to the Principal Regulations which took account of the legislative amendments to the personal income tax rates and thresholds made as part of the Government's </w:t>
      </w:r>
      <w:r w:rsidRPr="00843F63">
        <w:rPr>
          <w:i/>
        </w:rPr>
        <w:t>Clean Energy Future Plan</w:t>
      </w:r>
      <w:r>
        <w:t xml:space="preserve"> in 2012.  </w:t>
      </w:r>
      <w:r w:rsidR="003B446B" w:rsidRPr="003B446B">
        <w:t xml:space="preserve">The </w:t>
      </w:r>
      <w:r w:rsidR="003B446B" w:rsidRPr="00647315">
        <w:rPr>
          <w:i/>
        </w:rPr>
        <w:t>Income Tax Amendment Regulation 2012 (No. 1)</w:t>
      </w:r>
      <w:r w:rsidR="003B446B" w:rsidRPr="003B446B">
        <w:t xml:space="preserve"> amended the Principal Regulations to reflect the merger of the pensioner tax offset (PTO) and the senior Australians tax offset (SATO) into the </w:t>
      </w:r>
      <w:proofErr w:type="spellStart"/>
      <w:r w:rsidR="003B446B" w:rsidRPr="003B446B">
        <w:t>SAPTO</w:t>
      </w:r>
      <w:proofErr w:type="spellEnd"/>
      <w:r w:rsidR="003B446B" w:rsidRPr="003B446B">
        <w:t xml:space="preserve"> in the Act.  </w:t>
      </w:r>
    </w:p>
    <w:p w14:paraId="0A9396E2" w14:textId="15B29B70" w:rsidR="002F0034" w:rsidRDefault="002F0034" w:rsidP="002F0034">
      <w:r>
        <w:t xml:space="preserve">The </w:t>
      </w:r>
      <w:proofErr w:type="spellStart"/>
      <w:r>
        <w:t>SAPTO</w:t>
      </w:r>
      <w:proofErr w:type="spellEnd"/>
      <w:r>
        <w:t xml:space="preserve"> is a </w:t>
      </w:r>
      <w:r w:rsidR="00CE6724">
        <w:t>tax offset</w:t>
      </w:r>
      <w:r>
        <w:t xml:space="preserve"> that is available to certain low income aged persons and pensioners who are eligible to receive an Australian Government pension, including taxpayers who are foreign residents for tax purposes.  </w:t>
      </w:r>
      <w:r w:rsidR="00617749">
        <w:t xml:space="preserve">The </w:t>
      </w:r>
      <w:r w:rsidR="00CE6724">
        <w:t xml:space="preserve">tax offset </w:t>
      </w:r>
      <w:r w:rsidR="00617749">
        <w:t xml:space="preserve">is provided under section 160AAAA of the Act, and the method of </w:t>
      </w:r>
      <w:r w:rsidR="002B7BA3">
        <w:t>determination</w:t>
      </w:r>
      <w:r w:rsidR="00617749">
        <w:t xml:space="preserve"> is provided </w:t>
      </w:r>
      <w:r w:rsidR="002B7BA3">
        <w:t xml:space="preserve">under </w:t>
      </w:r>
      <w:r w:rsidR="00617749">
        <w:t xml:space="preserve">the Principal Regulations.  </w:t>
      </w:r>
      <w:r>
        <w:t xml:space="preserve">The </w:t>
      </w:r>
      <w:r w:rsidR="00CE6724">
        <w:t xml:space="preserve">tax offset </w:t>
      </w:r>
      <w:r>
        <w:t xml:space="preserve">is generally limited to the amount of </w:t>
      </w:r>
      <w:r w:rsidR="00CE6724">
        <w:t xml:space="preserve">income </w:t>
      </w:r>
      <w:r>
        <w:t xml:space="preserve">tax otherwise payable, however, in the case of a person with a spouse, there is provision for any unused part of one partner’s </w:t>
      </w:r>
      <w:r w:rsidR="00CE6724">
        <w:t xml:space="preserve">offset </w:t>
      </w:r>
      <w:r>
        <w:t xml:space="preserve">to be transferred to the other partner where both are entitled to the </w:t>
      </w:r>
      <w:proofErr w:type="spellStart"/>
      <w:r>
        <w:t>SAPTO</w:t>
      </w:r>
      <w:proofErr w:type="spellEnd"/>
      <w:r>
        <w:t>.</w:t>
      </w:r>
    </w:p>
    <w:p w14:paraId="7F998C17" w14:textId="77777777" w:rsidR="00733BC7" w:rsidRDefault="00733BC7" w:rsidP="00733BC7">
      <w:r>
        <w:t xml:space="preserve">The 2012 amendments amended the way in which the amount of </w:t>
      </w:r>
      <w:proofErr w:type="spellStart"/>
      <w:r>
        <w:t>SAPTO</w:t>
      </w:r>
      <w:proofErr w:type="spellEnd"/>
      <w:r>
        <w:t xml:space="preserve"> that can be transferred between one eligible member of a couple and the other member is determined.  The intention was that the maximum amount of </w:t>
      </w:r>
      <w:proofErr w:type="spellStart"/>
      <w:r>
        <w:t>SAPTO</w:t>
      </w:r>
      <w:proofErr w:type="spellEnd"/>
      <w:r>
        <w:t xml:space="preserve"> that one eligible member of a couple could transfer to the other would remain the same as it was in 2011-12.  This was achieved by specifying the 2011-12 tax-free threshold and tax rate in the formula used to calculate </w:t>
      </w:r>
      <w:proofErr w:type="spellStart"/>
      <w:r>
        <w:t>SAPTO</w:t>
      </w:r>
      <w:proofErr w:type="spellEnd"/>
      <w:r>
        <w:t>.</w:t>
      </w:r>
    </w:p>
    <w:p w14:paraId="2E019F29" w14:textId="5E7FF1E3" w:rsidR="00733BC7" w:rsidRDefault="00733BC7" w:rsidP="00733BC7">
      <w:r>
        <w:t xml:space="preserve">The 2012 amendments achieved their stated purpose in relation to taxpayers who are Australian residents for tax purposes.  However, incorporating the 2011-12 tax free threshold into the formula increased the amount of </w:t>
      </w:r>
      <w:proofErr w:type="spellStart"/>
      <w:r>
        <w:t>SAPTO</w:t>
      </w:r>
      <w:proofErr w:type="spellEnd"/>
      <w:r>
        <w:t xml:space="preserve"> available for transfer for foreign residents whose eligible spouse had taxable income greater than $6,000, which was not intended.  The amount of </w:t>
      </w:r>
      <w:proofErr w:type="spellStart"/>
      <w:r>
        <w:t>SAPTO</w:t>
      </w:r>
      <w:proofErr w:type="spellEnd"/>
      <w:r>
        <w:t xml:space="preserve"> for foreign residents with a spouse receiving </w:t>
      </w:r>
      <w:proofErr w:type="spellStart"/>
      <w:r>
        <w:t>SAPTO</w:t>
      </w:r>
      <w:proofErr w:type="spellEnd"/>
      <w:r>
        <w:t xml:space="preserve"> who had taxable income greater than $6,000 was increased because subsections 150AE(12) and 150AF(9) applied a formula which effectively allowed the individual a $6,000 tax free threshold, when foreign residents are not usually afforded a tax-free threshold under the tax laws.</w:t>
      </w:r>
    </w:p>
    <w:p w14:paraId="5B1005D6" w14:textId="77777777" w:rsidR="002F0034" w:rsidRDefault="002F0034" w:rsidP="002F0034">
      <w:r>
        <w:lastRenderedPageBreak/>
        <w:t>The Regulation amend</w:t>
      </w:r>
      <w:r w:rsidR="00AE54BE">
        <w:t>s</w:t>
      </w:r>
      <w:r>
        <w:t xml:space="preserve"> subsections 150AE(12) and 150AF(9) so that these subsections only apply to taxpayers who are Australian residents, whose taxable income for the year is greater than $6,000, and who have a spouse who is also receiving </w:t>
      </w:r>
      <w:proofErr w:type="spellStart"/>
      <w:r>
        <w:t>SAPTO</w:t>
      </w:r>
      <w:proofErr w:type="spellEnd"/>
      <w:r>
        <w:t xml:space="preserve">.  </w:t>
      </w:r>
      <w:r w:rsidR="00AE54BE">
        <w:t>For these subsections, i</w:t>
      </w:r>
      <w:r>
        <w:t xml:space="preserve">t does not matter if the spouse is an Australian resident for tax purposes, or not. </w:t>
      </w:r>
    </w:p>
    <w:p w14:paraId="10BCC341" w14:textId="1C5CBFB8" w:rsidR="002F0034" w:rsidRDefault="002F0034" w:rsidP="002F0034">
      <w:r>
        <w:t>The Regulation also insert</w:t>
      </w:r>
      <w:r w:rsidR="00AE54BE">
        <w:t>s</w:t>
      </w:r>
      <w:r>
        <w:t xml:space="preserve"> new subsections into sections 150AE and 150AF to deal with the transfer of </w:t>
      </w:r>
      <w:proofErr w:type="spellStart"/>
      <w:r>
        <w:t>SAPTO</w:t>
      </w:r>
      <w:proofErr w:type="spellEnd"/>
      <w:r>
        <w:t xml:space="preserve"> between foreign residents.  </w:t>
      </w:r>
      <w:r w:rsidR="00AE54BE">
        <w:t>The new subsection </w:t>
      </w:r>
      <w:r>
        <w:t>150AE(13) appl</w:t>
      </w:r>
      <w:r w:rsidR="00617749">
        <w:t>ies</w:t>
      </w:r>
      <w:r>
        <w:t xml:space="preserve"> to foreign residents whose taxable income for the year is greater than $6,000, and provides that the amount of excess </w:t>
      </w:r>
      <w:r w:rsidR="00CE6724">
        <w:t xml:space="preserve">tax offset </w:t>
      </w:r>
      <w:r>
        <w:t xml:space="preserve">which may be transferred is the amount mentioned in paragraph </w:t>
      </w:r>
      <w:r w:rsidR="00F610D5">
        <w:t>150AE</w:t>
      </w:r>
      <w:r>
        <w:t xml:space="preserve">(1)(b), that is, the amount of any unused tax </w:t>
      </w:r>
      <w:r w:rsidR="00CE6724">
        <w:t xml:space="preserve">offset </w:t>
      </w:r>
      <w:r>
        <w:t xml:space="preserve">of the taxpayer.  By directing </w:t>
      </w:r>
      <w:r w:rsidR="00AE54BE">
        <w:t>the taxpayer to apply paragraph </w:t>
      </w:r>
      <w:r w:rsidR="00F7400B">
        <w:t>150AE</w:t>
      </w:r>
      <w:r>
        <w:t xml:space="preserve">(1)(b), when calculating the excess </w:t>
      </w:r>
      <w:r w:rsidR="00CE6724">
        <w:t>offset</w:t>
      </w:r>
      <w:r>
        <w:t xml:space="preserve">, the relevant foreign resident tax rates apply.  </w:t>
      </w:r>
      <w:r w:rsidR="000164B3" w:rsidRPr="000164B3">
        <w:t>This reinstate</w:t>
      </w:r>
      <w:r w:rsidR="000164B3">
        <w:t>s</w:t>
      </w:r>
      <w:r w:rsidR="000164B3" w:rsidRPr="000164B3">
        <w:t xml:space="preserve"> the operation of the </w:t>
      </w:r>
      <w:r w:rsidR="005E123B">
        <w:t>offset</w:t>
      </w:r>
      <w:r w:rsidR="000164B3" w:rsidRPr="000164B3">
        <w:t xml:space="preserve"> in regard to foreign residents as it was prior to the 2012 amendments, which is the intended outcome.</w:t>
      </w:r>
    </w:p>
    <w:p w14:paraId="349B464B" w14:textId="77777777" w:rsidR="002F0034" w:rsidRDefault="00AE54BE" w:rsidP="002F0034">
      <w:r>
        <w:t xml:space="preserve">The </w:t>
      </w:r>
      <w:r w:rsidR="002F0034">
        <w:t>new subsection 150AF(10) mirror</w:t>
      </w:r>
      <w:r>
        <w:t>s</w:t>
      </w:r>
      <w:r w:rsidR="002F0034">
        <w:t xml:space="preserve"> the above treatment in</w:t>
      </w:r>
      <w:r>
        <w:t xml:space="preserve"> section </w:t>
      </w:r>
      <w:r w:rsidR="002F0034">
        <w:t>150AE(13) in regard to a taxpayer who is a trustee.</w:t>
      </w:r>
    </w:p>
    <w:p w14:paraId="43E46F22" w14:textId="77777777" w:rsidR="002F0034" w:rsidRDefault="002F0034" w:rsidP="002F0034">
      <w:r>
        <w:t>The Regulation commence</w:t>
      </w:r>
      <w:r w:rsidR="00AE54BE">
        <w:t>s</w:t>
      </w:r>
      <w:r>
        <w:t xml:space="preserve"> on the day after it is registered and </w:t>
      </w:r>
      <w:r w:rsidR="00AE54BE">
        <w:t>applies</w:t>
      </w:r>
      <w:r>
        <w:t xml:space="preserve"> in relation to the 2012-13 income year and later income years.</w:t>
      </w:r>
    </w:p>
    <w:p w14:paraId="2D88348F" w14:textId="753D9341" w:rsidR="002F0034" w:rsidRDefault="002F0034" w:rsidP="00617749">
      <w:pPr>
        <w:keepNext/>
        <w:keepLines/>
      </w:pPr>
      <w:r>
        <w:t xml:space="preserve">Eligibility for </w:t>
      </w:r>
      <w:proofErr w:type="spellStart"/>
      <w:r>
        <w:t>SAPTO</w:t>
      </w:r>
      <w:proofErr w:type="spellEnd"/>
      <w:r>
        <w:t xml:space="preserve"> for members of a couple is determined by the Australian Taxation Office on assessment of personal income tax returns, which generally occurs at the end of the income year.  Given that th</w:t>
      </w:r>
      <w:r w:rsidR="00617749">
        <w:t>e Regulation</w:t>
      </w:r>
      <w:r>
        <w:t xml:space="preserve"> commence</w:t>
      </w:r>
      <w:r w:rsidR="00617749">
        <w:t>s</w:t>
      </w:r>
      <w:r>
        <w:t xml:space="preserve"> before the end of the 2012-13 financial year, the Regulation </w:t>
      </w:r>
      <w:r w:rsidR="00617749">
        <w:t>does</w:t>
      </w:r>
      <w:r>
        <w:t xml:space="preserve"> not have retrospective effect, since the determination of how much </w:t>
      </w:r>
      <w:proofErr w:type="spellStart"/>
      <w:r>
        <w:t>SAPTO</w:t>
      </w:r>
      <w:proofErr w:type="spellEnd"/>
      <w:r>
        <w:t xml:space="preserve"> may be transferred from one member of a couple to another does not crystallise until 30 June 2013.</w:t>
      </w:r>
    </w:p>
    <w:p w14:paraId="5D55172E" w14:textId="77777777" w:rsidR="002F0034" w:rsidRDefault="002F0034" w:rsidP="002F0034">
      <w:r>
        <w:t>The Act specifies no conditions which need to be satisfied be</w:t>
      </w:r>
      <w:r w:rsidR="00AE54BE">
        <w:t>fore the Governor</w:t>
      </w:r>
      <w:r w:rsidR="00AE54BE">
        <w:noBreakHyphen/>
      </w:r>
      <w:r>
        <w:t>General’s power can be exercised.</w:t>
      </w:r>
    </w:p>
    <w:p w14:paraId="2467399F" w14:textId="77777777" w:rsidR="00AE54BE" w:rsidRDefault="00AE54BE" w:rsidP="002F0034">
      <w:r>
        <w:t>There was no consultation carried out on this Regulation because the amendments are minor and machinery in nature.</w:t>
      </w:r>
    </w:p>
    <w:p w14:paraId="271A508B" w14:textId="77777777" w:rsidR="00FC5EAD" w:rsidRDefault="00FC5EAD" w:rsidP="002F0034"/>
    <w:p w14:paraId="3790BEC9" w14:textId="77777777" w:rsidR="00E4438C" w:rsidRDefault="00E4438C" w:rsidP="00E4438C">
      <w:pPr>
        <w:pStyle w:val="Heading3"/>
        <w:jc w:val="center"/>
      </w:pPr>
      <w:r>
        <w:t>Statement of Compatibility with Human Rights</w:t>
      </w:r>
    </w:p>
    <w:p w14:paraId="46F3FA23" w14:textId="77777777" w:rsidR="00E4438C" w:rsidRPr="00E4438C" w:rsidRDefault="00E4438C" w:rsidP="00E4438C">
      <w:pPr>
        <w:jc w:val="center"/>
        <w:rPr>
          <w:i/>
        </w:rPr>
      </w:pPr>
      <w:r w:rsidRPr="00E4438C">
        <w:rPr>
          <w:i/>
        </w:rPr>
        <w:t>Prepared in accordance with Part 3 of the Human Rights (Parliamentary Scrutiny) Act 2011</w:t>
      </w:r>
    </w:p>
    <w:p w14:paraId="18CFF7BE" w14:textId="3D9D8CDF" w:rsidR="00E4438C" w:rsidRPr="006604E3" w:rsidRDefault="00617749" w:rsidP="00E4438C">
      <w:pPr>
        <w:jc w:val="center"/>
        <w:rPr>
          <w:b/>
          <w:i/>
        </w:rPr>
      </w:pPr>
      <w:r w:rsidRPr="006604E3">
        <w:rPr>
          <w:b/>
          <w:i/>
        </w:rPr>
        <w:t xml:space="preserve">Income Tax Amendment Regulation 2013 (No. </w:t>
      </w:r>
      <w:r w:rsidR="006604E3" w:rsidRPr="006604E3">
        <w:rPr>
          <w:b/>
          <w:i/>
        </w:rPr>
        <w:t>1</w:t>
      </w:r>
      <w:r w:rsidRPr="006604E3">
        <w:rPr>
          <w:b/>
          <w:i/>
        </w:rPr>
        <w:t>)</w:t>
      </w:r>
    </w:p>
    <w:p w14:paraId="7D60047E" w14:textId="77777777" w:rsidR="00E4438C" w:rsidRDefault="00E4438C" w:rsidP="00E4438C">
      <w:r>
        <w:t xml:space="preserve">This Legislative Instrument is compatible with the human rights and freedoms recognised or declared in the international instruments listed in section 3 of the </w:t>
      </w:r>
      <w:r w:rsidRPr="00E4438C">
        <w:rPr>
          <w:i/>
        </w:rPr>
        <w:t>Human Rights (Parliamentary Scrutiny) Act 2011</w:t>
      </w:r>
      <w:r>
        <w:t>.</w:t>
      </w:r>
    </w:p>
    <w:p w14:paraId="6799591F" w14:textId="77777777" w:rsidR="00E4438C" w:rsidRDefault="00E4438C" w:rsidP="00E4438C">
      <w:pPr>
        <w:pStyle w:val="Heading4"/>
      </w:pPr>
      <w:r>
        <w:t xml:space="preserve">Overview of the </w:t>
      </w:r>
      <w:r w:rsidRPr="00E4438C">
        <w:t>Legislative</w:t>
      </w:r>
      <w:r>
        <w:t xml:space="preserve"> Instrument</w:t>
      </w:r>
    </w:p>
    <w:p w14:paraId="6B6A005B" w14:textId="0228F645" w:rsidR="004F2131" w:rsidRDefault="00617749" w:rsidP="004F2131">
      <w:r>
        <w:t xml:space="preserve">The purpose of the </w:t>
      </w:r>
      <w:r w:rsidRPr="00617749">
        <w:rPr>
          <w:i/>
        </w:rPr>
        <w:t xml:space="preserve">Income Tax Amendment Regulation 2013 (No. </w:t>
      </w:r>
      <w:r w:rsidR="006604E3">
        <w:rPr>
          <w:i/>
        </w:rPr>
        <w:t>1</w:t>
      </w:r>
      <w:r w:rsidRPr="00617749">
        <w:rPr>
          <w:i/>
        </w:rPr>
        <w:t>)</w:t>
      </w:r>
      <w:r>
        <w:t xml:space="preserve"> is to amend the </w:t>
      </w:r>
      <w:r w:rsidRPr="002F0034">
        <w:rPr>
          <w:i/>
        </w:rPr>
        <w:t>Income Tax Regulations 1936</w:t>
      </w:r>
      <w:r>
        <w:t xml:space="preserve"> to make </w:t>
      </w:r>
      <w:r w:rsidR="00F610D5">
        <w:t xml:space="preserve">technical </w:t>
      </w:r>
      <w:r>
        <w:t xml:space="preserve">amendments to the way the seniors and pensioners tax offset is determined in the case of foreign residents for tax purposes.  </w:t>
      </w:r>
    </w:p>
    <w:p w14:paraId="00C8DF72" w14:textId="1E86083D" w:rsidR="00E4438C" w:rsidRDefault="00E4438C" w:rsidP="004F2131">
      <w:pPr>
        <w:pStyle w:val="Heading4"/>
      </w:pPr>
      <w:r>
        <w:lastRenderedPageBreak/>
        <w:t>Human rights implications</w:t>
      </w:r>
    </w:p>
    <w:p w14:paraId="420CB5FD" w14:textId="6EC3E55F" w:rsidR="0086079F" w:rsidRDefault="0086079F" w:rsidP="0086079F">
      <w:r>
        <w:t>The right to equality and non-discrimination is expressed in article 26 of the International Covenant on Civil and Political Rights as: ‘</w:t>
      </w:r>
      <w:r w:rsidRPr="0086079F">
        <w:t>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r>
        <w:t>’  Engagement with these rights depends on viewing residency for tax purposes as falling within ‘other status’.</w:t>
      </w:r>
    </w:p>
    <w:p w14:paraId="7CAE6F8B" w14:textId="77777777" w:rsidR="0086079F" w:rsidRDefault="0086079F" w:rsidP="0086079F">
      <w:r>
        <w:t>There is a well-established body of international law and practice recognising that taxation laws of a State can differentiate between the tax treatment of residents of that State and the tax treatment of non-residents.  For example, treaties to prevent double taxation use residence status as a way to allocate taxing rights between States.  At the same time, discrimination between residents of the same State on the basis of their nationality is prohibited.</w:t>
      </w:r>
    </w:p>
    <w:p w14:paraId="4AFA1005" w14:textId="7E25BC14" w:rsidR="0086079F" w:rsidRDefault="0086079F" w:rsidP="0086079F">
      <w:r>
        <w:t>The different</w:t>
      </w:r>
      <w:r w:rsidR="004F2131">
        <w:t>ial</w:t>
      </w:r>
      <w:r>
        <w:t xml:space="preserve"> treatment in this measure according to </w:t>
      </w:r>
      <w:r w:rsidR="004F2131">
        <w:t>an individual’s</w:t>
      </w:r>
      <w:r>
        <w:t xml:space="preserve"> residence status (as opposed to their nationality) </w:t>
      </w:r>
      <w:r w:rsidR="00B01D46">
        <w:t xml:space="preserve">is </w:t>
      </w:r>
      <w:r>
        <w:t>consistent with that body of international law and practice.</w:t>
      </w:r>
    </w:p>
    <w:p w14:paraId="676D9942" w14:textId="7E4A2977" w:rsidR="0086079F" w:rsidRDefault="0086079F" w:rsidP="00E4438C">
      <w:r>
        <w:t xml:space="preserve">In light of this, there is no basis to conclude that this different treatment amounts to discrimination on the basis of ‘other status’ under the </w:t>
      </w:r>
      <w:r w:rsidR="00B01D46">
        <w:t xml:space="preserve">international </w:t>
      </w:r>
      <w:r>
        <w:t xml:space="preserve">instruments listed in section 3 of the </w:t>
      </w:r>
      <w:r w:rsidRPr="00E4438C">
        <w:rPr>
          <w:i/>
        </w:rPr>
        <w:t>Human Rights (Parliamentary Scrutiny) Act 2011</w:t>
      </w:r>
      <w:r>
        <w:rPr>
          <w:i/>
        </w:rPr>
        <w:t>.</w:t>
      </w:r>
    </w:p>
    <w:p w14:paraId="2C0AC700" w14:textId="77777777" w:rsidR="00E4438C" w:rsidRDefault="00E4438C" w:rsidP="00E4438C">
      <w:pPr>
        <w:pStyle w:val="Heading4"/>
      </w:pPr>
      <w:r>
        <w:t>Conclusion</w:t>
      </w:r>
    </w:p>
    <w:p w14:paraId="34811C09" w14:textId="787C73EE" w:rsidR="00E4438C" w:rsidRDefault="00E4438C" w:rsidP="00E4438C">
      <w:r>
        <w:t>This Legislative Instrument is compatible with</w:t>
      </w:r>
      <w:r w:rsidR="00966104">
        <w:t xml:space="preserve"> recognised</w:t>
      </w:r>
      <w:r>
        <w:t xml:space="preserve"> human rights</w:t>
      </w:r>
      <w:r w:rsidR="00966104">
        <w:t xml:space="preserve"> and freedoms</w:t>
      </w:r>
      <w:r w:rsidR="00A12CB6">
        <w:t>.</w:t>
      </w:r>
    </w:p>
    <w:p w14:paraId="3B62011F" w14:textId="10F8C4A5" w:rsidR="00E4438C" w:rsidRDefault="00E4438C" w:rsidP="00E4438C"/>
    <w:sectPr w:rsidR="00E4438C" w:rsidSect="00392BBA">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F17"/>
    <w:rsid w:val="000164B3"/>
    <w:rsid w:val="00016EA2"/>
    <w:rsid w:val="00095211"/>
    <w:rsid w:val="000C10DF"/>
    <w:rsid w:val="00113B45"/>
    <w:rsid w:val="001E6A74"/>
    <w:rsid w:val="001F41D0"/>
    <w:rsid w:val="00220F16"/>
    <w:rsid w:val="00254C5B"/>
    <w:rsid w:val="002B7BA3"/>
    <w:rsid w:val="002F0034"/>
    <w:rsid w:val="003342CD"/>
    <w:rsid w:val="00335042"/>
    <w:rsid w:val="003572A3"/>
    <w:rsid w:val="00392BBA"/>
    <w:rsid w:val="003B446B"/>
    <w:rsid w:val="0043111D"/>
    <w:rsid w:val="00485048"/>
    <w:rsid w:val="004E39E1"/>
    <w:rsid w:val="004F2131"/>
    <w:rsid w:val="00503E44"/>
    <w:rsid w:val="00515283"/>
    <w:rsid w:val="0055675D"/>
    <w:rsid w:val="005833BE"/>
    <w:rsid w:val="005D7D5A"/>
    <w:rsid w:val="005E123B"/>
    <w:rsid w:val="0060130D"/>
    <w:rsid w:val="00617749"/>
    <w:rsid w:val="0064129F"/>
    <w:rsid w:val="00647315"/>
    <w:rsid w:val="006604E3"/>
    <w:rsid w:val="00733BC7"/>
    <w:rsid w:val="007B5D5B"/>
    <w:rsid w:val="007E018D"/>
    <w:rsid w:val="00807E7D"/>
    <w:rsid w:val="00831675"/>
    <w:rsid w:val="0086079F"/>
    <w:rsid w:val="0088467C"/>
    <w:rsid w:val="008D16F7"/>
    <w:rsid w:val="00966104"/>
    <w:rsid w:val="009E2F86"/>
    <w:rsid w:val="009F30EE"/>
    <w:rsid w:val="00A12209"/>
    <w:rsid w:val="00A12CB6"/>
    <w:rsid w:val="00A36DF3"/>
    <w:rsid w:val="00A532DD"/>
    <w:rsid w:val="00A80BCF"/>
    <w:rsid w:val="00AE54BE"/>
    <w:rsid w:val="00B01D46"/>
    <w:rsid w:val="00B07B0C"/>
    <w:rsid w:val="00B221D9"/>
    <w:rsid w:val="00B346D1"/>
    <w:rsid w:val="00B54CEC"/>
    <w:rsid w:val="00B8712B"/>
    <w:rsid w:val="00BC5721"/>
    <w:rsid w:val="00BD61A2"/>
    <w:rsid w:val="00BE484D"/>
    <w:rsid w:val="00C37E05"/>
    <w:rsid w:val="00C55D29"/>
    <w:rsid w:val="00CE6724"/>
    <w:rsid w:val="00D34626"/>
    <w:rsid w:val="00D4257A"/>
    <w:rsid w:val="00DB0F17"/>
    <w:rsid w:val="00DC0CDE"/>
    <w:rsid w:val="00E0624D"/>
    <w:rsid w:val="00E4438C"/>
    <w:rsid w:val="00E457F3"/>
    <w:rsid w:val="00E6136C"/>
    <w:rsid w:val="00EB7E71"/>
    <w:rsid w:val="00EE6AB6"/>
    <w:rsid w:val="00F109D4"/>
    <w:rsid w:val="00F20596"/>
    <w:rsid w:val="00F610D5"/>
    <w:rsid w:val="00F71DC7"/>
    <w:rsid w:val="00F7400B"/>
    <w:rsid w:val="00FC5EAD"/>
    <w:rsid w:val="00FC7616"/>
    <w:rsid w:val="00FF10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4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character" w:styleId="CommentReference">
    <w:name w:val="annotation reference"/>
    <w:basedOn w:val="DefaultParagraphFont"/>
    <w:uiPriority w:val="99"/>
    <w:semiHidden/>
    <w:unhideWhenUsed/>
    <w:rsid w:val="00485048"/>
    <w:rPr>
      <w:sz w:val="16"/>
      <w:szCs w:val="16"/>
    </w:rPr>
  </w:style>
  <w:style w:type="paragraph" w:styleId="CommentText">
    <w:name w:val="annotation text"/>
    <w:basedOn w:val="Normal"/>
    <w:link w:val="CommentTextChar"/>
    <w:uiPriority w:val="99"/>
    <w:semiHidden/>
    <w:unhideWhenUsed/>
    <w:rsid w:val="00485048"/>
    <w:rPr>
      <w:sz w:val="20"/>
    </w:rPr>
  </w:style>
  <w:style w:type="character" w:customStyle="1" w:styleId="CommentTextChar">
    <w:name w:val="Comment Text Char"/>
    <w:basedOn w:val="DefaultParagraphFont"/>
    <w:link w:val="CommentText"/>
    <w:uiPriority w:val="99"/>
    <w:semiHidden/>
    <w:rsid w:val="00485048"/>
  </w:style>
  <w:style w:type="paragraph" w:styleId="CommentSubject">
    <w:name w:val="annotation subject"/>
    <w:basedOn w:val="CommentText"/>
    <w:next w:val="CommentText"/>
    <w:link w:val="CommentSubjectChar"/>
    <w:uiPriority w:val="99"/>
    <w:semiHidden/>
    <w:unhideWhenUsed/>
    <w:rsid w:val="00485048"/>
    <w:rPr>
      <w:b/>
      <w:bCs/>
    </w:rPr>
  </w:style>
  <w:style w:type="character" w:customStyle="1" w:styleId="CommentSubjectChar">
    <w:name w:val="Comment Subject Char"/>
    <w:basedOn w:val="CommentTextChar"/>
    <w:link w:val="CommentSubject"/>
    <w:uiPriority w:val="99"/>
    <w:semiHidden/>
    <w:rsid w:val="004850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character" w:styleId="CommentReference">
    <w:name w:val="annotation reference"/>
    <w:basedOn w:val="DefaultParagraphFont"/>
    <w:uiPriority w:val="99"/>
    <w:semiHidden/>
    <w:unhideWhenUsed/>
    <w:rsid w:val="00485048"/>
    <w:rPr>
      <w:sz w:val="16"/>
      <w:szCs w:val="16"/>
    </w:rPr>
  </w:style>
  <w:style w:type="paragraph" w:styleId="CommentText">
    <w:name w:val="annotation text"/>
    <w:basedOn w:val="Normal"/>
    <w:link w:val="CommentTextChar"/>
    <w:uiPriority w:val="99"/>
    <w:semiHidden/>
    <w:unhideWhenUsed/>
    <w:rsid w:val="00485048"/>
    <w:rPr>
      <w:sz w:val="20"/>
    </w:rPr>
  </w:style>
  <w:style w:type="character" w:customStyle="1" w:styleId="CommentTextChar">
    <w:name w:val="Comment Text Char"/>
    <w:basedOn w:val="DefaultParagraphFont"/>
    <w:link w:val="CommentText"/>
    <w:uiPriority w:val="99"/>
    <w:semiHidden/>
    <w:rsid w:val="00485048"/>
  </w:style>
  <w:style w:type="paragraph" w:styleId="CommentSubject">
    <w:name w:val="annotation subject"/>
    <w:basedOn w:val="CommentText"/>
    <w:next w:val="CommentText"/>
    <w:link w:val="CommentSubjectChar"/>
    <w:uiPriority w:val="99"/>
    <w:semiHidden/>
    <w:unhideWhenUsed/>
    <w:rsid w:val="00485048"/>
    <w:rPr>
      <w:b/>
      <w:bCs/>
    </w:rPr>
  </w:style>
  <w:style w:type="character" w:customStyle="1" w:styleId="CommentSubjectChar">
    <w:name w:val="Comment Subject Char"/>
    <w:basedOn w:val="CommentTextChar"/>
    <w:link w:val="CommentSubject"/>
    <w:uiPriority w:val="99"/>
    <w:semiHidden/>
    <w:rsid w:val="004850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arliamentary\Xco%20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78b04f6-f261-4499-b462-41ddd755ff66">2013RG-27-500</_dlc_DocId>
    <_dlc_DocIdUrl xmlns="378b04f6-f261-4499-b462-41ddd755ff66">
      <Url>http://tweb/sites/rg/ldp/_layouts/DocIdRedir.aspx?ID=2013RG-27-500</Url>
      <Description>2013RG-27-500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General Content" ma:contentTypeID="0x010100E726210826AA43828690450C811EB923009CA11FFD1E014DF4B1FA162D0F61129800080350834F0B46469CE5D2ECAC346F75" ma:contentTypeVersion="23" ma:contentTypeDescription="If you are creating a Word, PowerPoint or Excel document use the options available in the drop down list; for all other documents leave the content type as General Content." ma:contentTypeScope="" ma:versionID="53dc7e552d959ada8d97302801dbabe7">
  <xsd:schema xmlns:xsd="http://www.w3.org/2001/XMLSchema" xmlns:xs="http://www.w3.org/2001/XMLSchema" xmlns:p="http://schemas.microsoft.com/office/2006/metadata/properties" xmlns:ns2="378b04f6-f261-4499-b462-41ddd755ff66" targetNamespace="http://schemas.microsoft.com/office/2006/metadata/properties" ma:root="true" ma:fieldsID="8b996ababbe5a57890161772b35c4b0b" ns2:_="">
    <xsd:import namespace="378b04f6-f261-4499-b462-41ddd755ff66"/>
    <xsd:element name="properties">
      <xsd:complexType>
        <xsd:sequence>
          <xsd:element name="documentManagement">
            <xsd:complexType>
              <xsd:all>
                <xsd:element ref="ns2:_dlc_DocId" minOccurs="0"/>
                <xsd:element ref="ns2:_dlc_DocIdPersistId" minOccurs="0"/>
                <xsd:element ref="ns2: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b04f6-f261-4499-b462-41ddd755f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Treasury Document Audit Policy</p:Name>
  <p:Description/>
  <p:Statement/>
  <p:PolicyItems>
    <p:PolicyItem featureId="Microsoft.Office.RecordsManagement.PolicyFeatures.PolicyAudit" staticId="0x010100E726210826AA43828690450C811EB923|1757814118" UniqueId="cd6ee51b-74b3-452a-9d55-03bd9a48be8f">
      <p:Name>Auditing</p:Name>
      <p:Description>Audits user actions on documents and list items to the Audit Log.</p:Description>
      <p:CustomData>
        <Audit>
          <Update/>
          <CheckInOut/>
          <MoveCopy/>
          <DeleteRestore/>
        </Audit>
      </p:CustomData>
    </p:PolicyItem>
  </p:PolicyItems>
</p:Policy>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806AF-A01E-449E-AE26-2E89F5F5FB99}">
  <ds:schemaRefs>
    <ds:schemaRef ds:uri="http://schemas.microsoft.com/sharepoint/v3/contenttype/forms"/>
  </ds:schemaRefs>
</ds:datastoreItem>
</file>

<file path=customXml/itemProps2.xml><?xml version="1.0" encoding="utf-8"?>
<ds:datastoreItem xmlns:ds="http://schemas.openxmlformats.org/officeDocument/2006/customXml" ds:itemID="{7E7546A3-6F3C-4EDA-BA68-B9C4906ED4E2}">
  <ds:schemaRefs>
    <ds:schemaRef ds:uri="http://www.w3.org/XML/1998/namespace"/>
    <ds:schemaRef ds:uri="http://purl.org/dc/terms/"/>
    <ds:schemaRef ds:uri="http://schemas.microsoft.com/office/2006/documentManagement/types"/>
    <ds:schemaRef ds:uri="http://purl.org/dc/elements/1.1/"/>
    <ds:schemaRef ds:uri="http://schemas.microsoft.com/office/2006/metadata/properties"/>
    <ds:schemaRef ds:uri="378b04f6-f261-4499-b462-41ddd755ff66"/>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E9767A52-4339-41BC-AE94-243FCE865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b04f6-f261-4499-b462-41ddd755f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4B30CC-9E24-4035-9BF3-56A75FC3717A}">
  <ds:schemaRefs>
    <ds:schemaRef ds:uri="office.server.policy"/>
  </ds:schemaRefs>
</ds:datastoreItem>
</file>

<file path=customXml/itemProps5.xml><?xml version="1.0" encoding="utf-8"?>
<ds:datastoreItem xmlns:ds="http://schemas.openxmlformats.org/officeDocument/2006/customXml" ds:itemID="{900773A3-88E5-49D7-BB45-6F320BF4A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Xco Explanatory Statement.dotm</Template>
  <TotalTime>0</TotalTime>
  <Pages>3</Pages>
  <Words>1181</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Bennett, Elizabeth</dc:creator>
  <cp:lastModifiedBy>Hilhorst, Matt</cp:lastModifiedBy>
  <cp:revision>2</cp:revision>
  <cp:lastPrinted>2011-09-27T02:53:00Z</cp:lastPrinted>
  <dcterms:created xsi:type="dcterms:W3CDTF">2013-06-11T01:00:00Z</dcterms:created>
  <dcterms:modified xsi:type="dcterms:W3CDTF">2013-06-11T01:00:00Z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-919331401</vt:i4>
  </property>
  <property fmtid="{D5CDD505-2E9C-101B-9397-08002B2CF9AE}" pid="3" name="_NewReviewCycle">
    <vt:lpwstr/>
  </property>
  <property fmtid="{D5CDD505-2E9C-101B-9397-08002B2CF9AE}" pid="4" name="_EmailSubject">
    <vt:lpwstr>FRLI Form - Income Tax Amendment Regulation 2013 (No. 1)</vt:lpwstr>
  </property>
  <property fmtid="{D5CDD505-2E9C-101B-9397-08002B2CF9AE}" pid="5" name="_AuthorEmail">
    <vt:lpwstr>Elizabeth.Bennett@TREASURY.GOV.AU</vt:lpwstr>
  </property>
  <property fmtid="{D5CDD505-2E9C-101B-9397-08002B2CF9AE}" pid="6" name="_AuthorEmailDisplayName">
    <vt:lpwstr>Bennett, Elizabeth</vt:lpwstr>
  </property>
  <property fmtid="{D5CDD505-2E9C-101B-9397-08002B2CF9AE}" pid="7" name="ContentTypeId">
    <vt:lpwstr>0x010100E726210826AA43828690450C811EB923009CA11FFD1E014DF4B1FA162D0F61129800080350834F0B46469CE5D2ECAC346F75</vt:lpwstr>
  </property>
  <property fmtid="{D5CDD505-2E9C-101B-9397-08002B2CF9AE}" pid="8" name="_dlc_DocIdItemGuid">
    <vt:lpwstr>01ed68f0-0aa5-4802-9c19-b6361730cd19</vt:lpwstr>
  </property>
  <property fmtid="{D5CDD505-2E9C-101B-9397-08002B2CF9AE}" pid="9" name="_PreviousAdHocReviewCycleID">
    <vt:i4>-2119910230</vt:i4>
  </property>
  <property fmtid="{D5CDD505-2E9C-101B-9397-08002B2CF9AE}" pid="10" name="_ReviewingToolsShownOnce">
    <vt:lpwstr/>
  </property>
</Properties>
</file>