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12" w:rsidRDefault="00EE1412">
      <w:pPr>
        <w:pStyle w:val="Title"/>
        <w:rPr>
          <w:u w:val="none"/>
        </w:rPr>
      </w:pPr>
      <w:r w:rsidRPr="005F786D">
        <w:rPr>
          <w:u w:val="none"/>
        </w:rPr>
        <w:t>EXPLANATORY STATEMENT</w:t>
      </w:r>
    </w:p>
    <w:p w:rsidR="005F786D" w:rsidRPr="005F786D" w:rsidRDefault="005F786D" w:rsidP="005F786D">
      <w:pPr>
        <w:pStyle w:val="Title"/>
        <w:spacing w:before="240"/>
        <w:rPr>
          <w:u w:val="none"/>
        </w:rPr>
      </w:pPr>
      <w:r>
        <w:rPr>
          <w:u w:val="none"/>
        </w:rPr>
        <w:t>Prepared by the Australian Communications and Media Authority</w:t>
      </w:r>
    </w:p>
    <w:p w:rsidR="00EE1412" w:rsidRPr="003D07F2" w:rsidRDefault="00EE1412"/>
    <w:p w:rsidR="00EE1412" w:rsidRPr="00565DDD" w:rsidRDefault="00EE1412">
      <w:pPr>
        <w:jc w:val="center"/>
        <w:rPr>
          <w:b/>
          <w:sz w:val="28"/>
          <w:szCs w:val="28"/>
        </w:rPr>
      </w:pPr>
      <w:r w:rsidRPr="00565DDD">
        <w:rPr>
          <w:b/>
          <w:i/>
          <w:sz w:val="28"/>
          <w:szCs w:val="28"/>
        </w:rPr>
        <w:t xml:space="preserve">Telecommunications (Annual Carrier Licence Charge) Determination </w:t>
      </w:r>
      <w:r w:rsidR="00392BB6" w:rsidRPr="00565DDD">
        <w:rPr>
          <w:b/>
          <w:i/>
          <w:sz w:val="28"/>
          <w:szCs w:val="28"/>
        </w:rPr>
        <w:t>201</w:t>
      </w:r>
      <w:r w:rsidR="00C51C79" w:rsidRPr="00565DDD">
        <w:rPr>
          <w:b/>
          <w:i/>
          <w:sz w:val="28"/>
          <w:szCs w:val="28"/>
        </w:rPr>
        <w:t>3</w:t>
      </w:r>
    </w:p>
    <w:p w:rsidR="00EE1412" w:rsidRPr="003D07F2" w:rsidRDefault="00EE1412"/>
    <w:p w:rsidR="006871CD" w:rsidRPr="003D07F2" w:rsidRDefault="006871CD" w:rsidP="006871CD">
      <w:pPr>
        <w:tabs>
          <w:tab w:val="center" w:pos="4111"/>
        </w:tabs>
        <w:jc w:val="center"/>
        <w:rPr>
          <w:i/>
          <w:szCs w:val="24"/>
        </w:rPr>
      </w:pPr>
      <w:r w:rsidRPr="003D07F2">
        <w:rPr>
          <w:i/>
          <w:szCs w:val="24"/>
        </w:rPr>
        <w:t>Telecommunications (Carrier Licence Charges) Act 1997</w:t>
      </w:r>
    </w:p>
    <w:p w:rsidR="006871CD" w:rsidRPr="003D07F2" w:rsidRDefault="006871CD" w:rsidP="006871CD"/>
    <w:p w:rsidR="00954C4F" w:rsidRPr="003D07F2" w:rsidRDefault="00954C4F" w:rsidP="00954C4F">
      <w:r w:rsidRPr="003D07F2">
        <w:t xml:space="preserve">The </w:t>
      </w:r>
      <w:r w:rsidRPr="003D07F2">
        <w:rPr>
          <w:i/>
        </w:rPr>
        <w:t>Telecommunications (Annual Carrier Li</w:t>
      </w:r>
      <w:r w:rsidR="00392BB6" w:rsidRPr="003D07F2">
        <w:rPr>
          <w:i/>
        </w:rPr>
        <w:t>cence Charge) Determination 201</w:t>
      </w:r>
      <w:r w:rsidR="00C51C79">
        <w:rPr>
          <w:i/>
        </w:rPr>
        <w:t>3</w:t>
      </w:r>
      <w:r w:rsidRPr="003D07F2">
        <w:rPr>
          <w:i/>
        </w:rPr>
        <w:t xml:space="preserve"> </w:t>
      </w:r>
      <w:r w:rsidRPr="003D07F2">
        <w:t>(</w:t>
      </w:r>
      <w:r w:rsidR="00F40836" w:rsidRPr="003D07F2">
        <w:t>the Determination</w:t>
      </w:r>
      <w:r w:rsidRPr="003D07F2">
        <w:t xml:space="preserve">) is made by the Australian Communications and Media Authority (the ACMA) </w:t>
      </w:r>
      <w:r w:rsidR="00F24ABE">
        <w:t>under</w:t>
      </w:r>
      <w:r w:rsidRPr="003D07F2">
        <w:t xml:space="preserve"> </w:t>
      </w:r>
      <w:r w:rsidR="002F7A11" w:rsidRPr="003D07F2">
        <w:t>sub</w:t>
      </w:r>
      <w:r w:rsidRPr="003D07F2">
        <w:t>section 14</w:t>
      </w:r>
      <w:r w:rsidR="002F7A11" w:rsidRPr="003D07F2">
        <w:t>(1)</w:t>
      </w:r>
      <w:r w:rsidRPr="003D07F2">
        <w:t xml:space="preserve"> of the </w:t>
      </w:r>
      <w:r w:rsidRPr="003D07F2">
        <w:rPr>
          <w:i/>
        </w:rPr>
        <w:t>Telecommunications (Carrier Licence Charges) Act 1997</w:t>
      </w:r>
      <w:r w:rsidRPr="003D07F2">
        <w:t xml:space="preserve"> (</w:t>
      </w:r>
      <w:r w:rsidR="00F40836" w:rsidRPr="003D07F2">
        <w:t>the Act</w:t>
      </w:r>
      <w:r w:rsidRPr="003D07F2">
        <w:t>).</w:t>
      </w:r>
    </w:p>
    <w:p w:rsidR="00EE1412" w:rsidRPr="003D07F2" w:rsidRDefault="00EE1412"/>
    <w:p w:rsidR="0067021B" w:rsidRPr="003D07F2" w:rsidRDefault="005F786D">
      <w:pPr>
        <w:rPr>
          <w:b/>
        </w:rPr>
      </w:pPr>
      <w:r>
        <w:rPr>
          <w:b/>
        </w:rPr>
        <w:t>Background</w:t>
      </w:r>
    </w:p>
    <w:p w:rsidR="00D471DF" w:rsidRPr="003D07F2" w:rsidRDefault="00D471DF">
      <w:pPr>
        <w:rPr>
          <w:b/>
        </w:rPr>
      </w:pPr>
    </w:p>
    <w:p w:rsidR="00EE1412" w:rsidRPr="003D07F2" w:rsidRDefault="00EE1412">
      <w:r w:rsidRPr="003D07F2">
        <w:t>Section 12 of the Act</w:t>
      </w:r>
      <w:r w:rsidR="00802BEE" w:rsidRPr="003D07F2">
        <w:t xml:space="preserve"> </w:t>
      </w:r>
      <w:r w:rsidRPr="003D07F2">
        <w:t>provides that a charge is imposed</w:t>
      </w:r>
      <w:r w:rsidR="000C7AA9">
        <w:t xml:space="preserve"> by Part 3</w:t>
      </w:r>
      <w:r w:rsidRPr="003D07F2">
        <w:t xml:space="preserve"> on a carrier licence that is in force at the beginning of a financial year</w:t>
      </w:r>
      <w:r w:rsidR="000C7AA9">
        <w:t xml:space="preserve"> (an annual carrier licence charge)</w:t>
      </w:r>
      <w:r w:rsidRPr="003D07F2">
        <w:t xml:space="preserve">.  </w:t>
      </w:r>
    </w:p>
    <w:p w:rsidR="00EE1412" w:rsidRPr="003D07F2" w:rsidRDefault="00EE1412"/>
    <w:p w:rsidR="00EE1412" w:rsidRPr="003D07F2" w:rsidRDefault="00EE1412">
      <w:r w:rsidRPr="003D07F2">
        <w:t>Subsection 14(1) of the</w:t>
      </w:r>
      <w:r w:rsidRPr="003D07F2">
        <w:rPr>
          <w:i/>
        </w:rPr>
        <w:t xml:space="preserve"> </w:t>
      </w:r>
      <w:r w:rsidRPr="003D07F2">
        <w:t>Act</w:t>
      </w:r>
      <w:r w:rsidRPr="003D07F2">
        <w:rPr>
          <w:i/>
        </w:rPr>
        <w:t xml:space="preserve"> </w:t>
      </w:r>
      <w:r w:rsidRPr="003D07F2">
        <w:t>provides</w:t>
      </w:r>
      <w:r w:rsidR="00F24ABE">
        <w:t xml:space="preserve"> that the amount of </w:t>
      </w:r>
      <w:r w:rsidR="000C7AA9">
        <w:t xml:space="preserve">an annual carrier licence </w:t>
      </w:r>
      <w:r w:rsidR="00F24ABE">
        <w:t>charge</w:t>
      </w:r>
      <w:r w:rsidR="000C7AA9">
        <w:t xml:space="preserve"> imposed on a carrier licence </w:t>
      </w:r>
      <w:r w:rsidRPr="003D07F2">
        <w:t>is the amount ascertained in accordance with a written determination made by the AC</w:t>
      </w:r>
      <w:r w:rsidR="00E904FD" w:rsidRPr="003D07F2">
        <w:t>M</w:t>
      </w:r>
      <w:r w:rsidRPr="003D07F2">
        <w:t xml:space="preserve">A.  </w:t>
      </w:r>
    </w:p>
    <w:p w:rsidR="00EE1412" w:rsidRPr="003D07F2" w:rsidRDefault="00EE1412"/>
    <w:p w:rsidR="00557FF3" w:rsidRDefault="00540EA3" w:rsidP="00540EA3">
      <w:r w:rsidRPr="003D07F2">
        <w:t>S</w:t>
      </w:r>
      <w:r w:rsidR="00D40DD1" w:rsidRPr="003D07F2">
        <w:t>ubs</w:t>
      </w:r>
      <w:r w:rsidRPr="003D07F2">
        <w:t>ection 15</w:t>
      </w:r>
      <w:r w:rsidR="005602F2" w:rsidRPr="003D07F2">
        <w:t>(</w:t>
      </w:r>
      <w:r w:rsidRPr="003D07F2">
        <w:t>1) of the Act</w:t>
      </w:r>
      <w:r w:rsidR="00D40DD1" w:rsidRPr="003D07F2">
        <w:t xml:space="preserve"> provides that the total of</w:t>
      </w:r>
      <w:r w:rsidR="00F24ABE">
        <w:t xml:space="preserve"> the</w:t>
      </w:r>
      <w:r w:rsidR="00D40DD1" w:rsidRPr="003D07F2">
        <w:t xml:space="preserve"> </w:t>
      </w:r>
      <w:r w:rsidR="000C7AA9">
        <w:t xml:space="preserve">annual carrier licence </w:t>
      </w:r>
      <w:r w:rsidR="00D40DD1" w:rsidRPr="003D07F2">
        <w:t>charges</w:t>
      </w:r>
      <w:r w:rsidR="00F24ABE">
        <w:t xml:space="preserve"> that are</w:t>
      </w:r>
      <w:r w:rsidR="00D40DD1" w:rsidRPr="003D07F2">
        <w:t xml:space="preserve"> imposed on carrier licences in force at the beginning of a financial year must not exceed the sum of the amounts determined </w:t>
      </w:r>
      <w:r w:rsidR="002C45F5">
        <w:t>under</w:t>
      </w:r>
      <w:r w:rsidR="00D40DD1" w:rsidRPr="003D07F2">
        <w:t xml:space="preserve"> paragraphs 15(1)(a)</w:t>
      </w:r>
      <w:r w:rsidR="00F24ABE">
        <w:t xml:space="preserve"> to</w:t>
      </w:r>
      <w:r w:rsidR="00D40DD1" w:rsidRPr="003D07F2">
        <w:t xml:space="preserve"> (d).</w:t>
      </w:r>
      <w:r w:rsidRPr="003D07F2">
        <w:t xml:space="preserve"> </w:t>
      </w:r>
    </w:p>
    <w:p w:rsidR="00557FF3" w:rsidRPr="003D07F2" w:rsidRDefault="00557FF3" w:rsidP="00540EA3"/>
    <w:p w:rsidR="000C7AA9" w:rsidRDefault="003A3541" w:rsidP="00557FF3">
      <w:pPr>
        <w:rPr>
          <w:szCs w:val="24"/>
        </w:rPr>
      </w:pPr>
      <w:r>
        <w:rPr>
          <w:szCs w:val="24"/>
        </w:rPr>
        <w:t xml:space="preserve">On 4 July 2011 the Minister for Broadband, Communications and the Digital Economy issued </w:t>
      </w:r>
      <w:r w:rsidR="00023E4E">
        <w:t xml:space="preserve">the </w:t>
      </w:r>
      <w:r w:rsidR="00023E4E" w:rsidRPr="000E3271">
        <w:rPr>
          <w:i/>
        </w:rPr>
        <w:t xml:space="preserve">Australian Communications and Media Authority (Annual Carrier Licence Charge) </w:t>
      </w:r>
      <w:r w:rsidR="00023E4E">
        <w:rPr>
          <w:i/>
        </w:rPr>
        <w:t>D</w:t>
      </w:r>
      <w:r w:rsidR="00023E4E" w:rsidRPr="000E3271">
        <w:rPr>
          <w:i/>
        </w:rPr>
        <w:t>irection 2011</w:t>
      </w:r>
      <w:r w:rsidR="00023E4E">
        <w:t xml:space="preserve"> (the </w:t>
      </w:r>
      <w:r w:rsidR="0092688E">
        <w:t xml:space="preserve">Ministerial </w:t>
      </w:r>
      <w:r w:rsidR="00023E4E">
        <w:t>Direction).  T</w:t>
      </w:r>
      <w:r w:rsidR="00023E4E">
        <w:rPr>
          <w:szCs w:val="24"/>
        </w:rPr>
        <w:t xml:space="preserve">he </w:t>
      </w:r>
      <w:r w:rsidR="0092688E">
        <w:rPr>
          <w:szCs w:val="24"/>
        </w:rPr>
        <w:t xml:space="preserve">Ministerial </w:t>
      </w:r>
      <w:r w:rsidR="00023E4E">
        <w:rPr>
          <w:szCs w:val="24"/>
        </w:rPr>
        <w:t>Direction</w:t>
      </w:r>
      <w:r>
        <w:rPr>
          <w:szCs w:val="24"/>
        </w:rPr>
        <w:t xml:space="preserve"> requires the ACMA to make </w:t>
      </w:r>
      <w:r w:rsidR="00023E4E">
        <w:rPr>
          <w:szCs w:val="24"/>
        </w:rPr>
        <w:t xml:space="preserve">such </w:t>
      </w:r>
      <w:r>
        <w:rPr>
          <w:szCs w:val="24"/>
        </w:rPr>
        <w:t>determinations</w:t>
      </w:r>
      <w:r w:rsidR="00023E4E">
        <w:rPr>
          <w:szCs w:val="24"/>
        </w:rPr>
        <w:t xml:space="preserve"> as are </w:t>
      </w:r>
      <w:r w:rsidR="00023E4E" w:rsidRPr="003C1B80">
        <w:rPr>
          <w:szCs w:val="24"/>
        </w:rPr>
        <w:t>necessary</w:t>
      </w:r>
      <w:r w:rsidRPr="003C1B80">
        <w:rPr>
          <w:szCs w:val="24"/>
        </w:rPr>
        <w:t xml:space="preserve"> under subsection 14(1) of the Act</w:t>
      </w:r>
      <w:r w:rsidR="003C1B80" w:rsidRPr="003C1B80">
        <w:rPr>
          <w:szCs w:val="24"/>
        </w:rPr>
        <w:t xml:space="preserve"> </w:t>
      </w:r>
      <w:r w:rsidR="003C1B80" w:rsidRPr="003C1B80">
        <w:rPr>
          <w:bCs/>
          <w:iCs/>
          <w:szCs w:val="24"/>
        </w:rPr>
        <w:t xml:space="preserve">to have the </w:t>
      </w:r>
      <w:r w:rsidR="003C1B80" w:rsidRPr="003C1B80">
        <w:rPr>
          <w:szCs w:val="24"/>
        </w:rPr>
        <w:t xml:space="preserve">effect of imposing an annual carrier licence charge of </w:t>
      </w:r>
      <w:r w:rsidR="003C1B80">
        <w:rPr>
          <w:szCs w:val="24"/>
        </w:rPr>
        <w:t xml:space="preserve">$0 </w:t>
      </w:r>
      <w:r w:rsidR="003C1B80" w:rsidRPr="003C1B80">
        <w:rPr>
          <w:szCs w:val="24"/>
        </w:rPr>
        <w:t>on a</w:t>
      </w:r>
      <w:r w:rsidR="000C7AA9">
        <w:rPr>
          <w:szCs w:val="24"/>
        </w:rPr>
        <w:t xml:space="preserve"> carrier</w:t>
      </w:r>
      <w:r w:rsidR="003C1B80" w:rsidRPr="003C1B80">
        <w:rPr>
          <w:szCs w:val="24"/>
        </w:rPr>
        <w:t xml:space="preserve"> licence </w:t>
      </w:r>
      <w:r w:rsidR="000C7AA9">
        <w:rPr>
          <w:szCs w:val="24"/>
        </w:rPr>
        <w:t xml:space="preserve">that is: </w:t>
      </w:r>
    </w:p>
    <w:p w:rsidR="000C7AA9" w:rsidRDefault="003C1B80" w:rsidP="000C7AA9">
      <w:pPr>
        <w:numPr>
          <w:ilvl w:val="0"/>
          <w:numId w:val="23"/>
        </w:numPr>
        <w:rPr>
          <w:szCs w:val="24"/>
        </w:rPr>
      </w:pPr>
      <w:r w:rsidRPr="003C1B80">
        <w:rPr>
          <w:szCs w:val="24"/>
        </w:rPr>
        <w:t>in force at the beginning of a relevant financial year</w:t>
      </w:r>
      <w:r w:rsidR="000C7AA9">
        <w:rPr>
          <w:szCs w:val="24"/>
        </w:rPr>
        <w:t>;</w:t>
      </w:r>
      <w:r w:rsidRPr="003C1B80">
        <w:rPr>
          <w:szCs w:val="24"/>
        </w:rPr>
        <w:t xml:space="preserve"> and </w:t>
      </w:r>
    </w:p>
    <w:p w:rsidR="000C7AA9" w:rsidRDefault="003C1B80" w:rsidP="000C7AA9">
      <w:pPr>
        <w:numPr>
          <w:ilvl w:val="0"/>
          <w:numId w:val="23"/>
        </w:numPr>
        <w:rPr>
          <w:szCs w:val="24"/>
        </w:rPr>
      </w:pPr>
      <w:r w:rsidRPr="003C1B80">
        <w:rPr>
          <w:szCs w:val="24"/>
        </w:rPr>
        <w:t xml:space="preserve">held by a carrier that was a </w:t>
      </w:r>
      <w:r w:rsidR="00B235FC">
        <w:rPr>
          <w:szCs w:val="24"/>
        </w:rPr>
        <w:t xml:space="preserve">“USO non-participating person” </w:t>
      </w:r>
      <w:r w:rsidRPr="003C1B80">
        <w:rPr>
          <w:szCs w:val="24"/>
        </w:rPr>
        <w:t xml:space="preserve">within the meaning of the </w:t>
      </w:r>
      <w:r w:rsidRPr="003C1B80">
        <w:rPr>
          <w:i/>
          <w:szCs w:val="24"/>
        </w:rPr>
        <w:t>Telecommunications (Participating Persons) Determination 2011 (No. 1)</w:t>
      </w:r>
      <w:r w:rsidR="00B235FC">
        <w:rPr>
          <w:szCs w:val="24"/>
        </w:rPr>
        <w:t xml:space="preserve"> </w:t>
      </w:r>
      <w:r w:rsidRPr="003C1B80">
        <w:rPr>
          <w:szCs w:val="24"/>
        </w:rPr>
        <w:t xml:space="preserve">for the eligible revenue period immediately preceding that financial year. </w:t>
      </w:r>
      <w:r w:rsidR="00D3287D">
        <w:rPr>
          <w:szCs w:val="24"/>
        </w:rPr>
        <w:t xml:space="preserve"> </w:t>
      </w:r>
    </w:p>
    <w:p w:rsidR="0092688E" w:rsidRPr="003C1B80" w:rsidRDefault="003C1B80" w:rsidP="000C7AA9">
      <w:pPr>
        <w:spacing w:before="240"/>
      </w:pPr>
      <w:r w:rsidRPr="003C1B80">
        <w:rPr>
          <w:szCs w:val="24"/>
        </w:rPr>
        <w:t xml:space="preserve">The </w:t>
      </w:r>
      <w:r w:rsidR="00D3287D">
        <w:rPr>
          <w:szCs w:val="24"/>
        </w:rPr>
        <w:t xml:space="preserve">Ministerial </w:t>
      </w:r>
      <w:r>
        <w:rPr>
          <w:szCs w:val="24"/>
        </w:rPr>
        <w:t>D</w:t>
      </w:r>
      <w:r w:rsidRPr="003C1B80">
        <w:rPr>
          <w:szCs w:val="24"/>
        </w:rPr>
        <w:t xml:space="preserve">irection </w:t>
      </w:r>
      <w:r>
        <w:rPr>
          <w:szCs w:val="24"/>
        </w:rPr>
        <w:t>d</w:t>
      </w:r>
      <w:r w:rsidRPr="003C1B80">
        <w:rPr>
          <w:szCs w:val="24"/>
        </w:rPr>
        <w:t>efines relevant financial year as the financial year that begins on 1 July 2011 and each later financial year.</w:t>
      </w:r>
    </w:p>
    <w:p w:rsidR="00023E4E" w:rsidRPr="003D07F2" w:rsidRDefault="00023E4E" w:rsidP="00540EA3"/>
    <w:p w:rsidR="00715E1F" w:rsidRPr="003D07F2" w:rsidRDefault="00715E1F" w:rsidP="00540EA3">
      <w:pPr>
        <w:rPr>
          <w:b/>
        </w:rPr>
      </w:pPr>
      <w:r w:rsidRPr="003D07F2">
        <w:rPr>
          <w:b/>
        </w:rPr>
        <w:t>Purpose</w:t>
      </w:r>
    </w:p>
    <w:p w:rsidR="00715E1F" w:rsidRPr="003D07F2" w:rsidRDefault="00715E1F" w:rsidP="00540EA3"/>
    <w:p w:rsidR="00F0788F" w:rsidRDefault="00715E1F" w:rsidP="003A3541">
      <w:r w:rsidRPr="003D07F2">
        <w:t>The purpose of the Determination</w:t>
      </w:r>
      <w:r w:rsidR="003A3541">
        <w:t xml:space="preserve"> is to set out </w:t>
      </w:r>
      <w:r w:rsidR="006A1C3D">
        <w:t>a</w:t>
      </w:r>
      <w:r w:rsidR="00B55ED0">
        <w:t xml:space="preserve"> method for </w:t>
      </w:r>
      <w:r w:rsidR="00F24ABE">
        <w:t>ascertaining</w:t>
      </w:r>
      <w:r w:rsidR="00B55ED0">
        <w:t xml:space="preserve"> the</w:t>
      </w:r>
      <w:r w:rsidR="003A3541">
        <w:t xml:space="preserve"> amount of </w:t>
      </w:r>
      <w:r w:rsidR="000C7AA9">
        <w:t xml:space="preserve">annual carrier licence </w:t>
      </w:r>
      <w:r w:rsidR="003A3541">
        <w:t xml:space="preserve">charge imposed on </w:t>
      </w:r>
      <w:r w:rsidR="00F24ABE">
        <w:t xml:space="preserve">each </w:t>
      </w:r>
      <w:r w:rsidR="003A3541">
        <w:t>carrier licence</w:t>
      </w:r>
      <w:r w:rsidR="00F24ABE">
        <w:t xml:space="preserve"> that was</w:t>
      </w:r>
      <w:r w:rsidR="003A3541">
        <w:t xml:space="preserve"> in force at the beginning of the 2012-2013 financial year, in accordance with subsection 15(1) of the Act and</w:t>
      </w:r>
      <w:r w:rsidR="003A3541" w:rsidRPr="003A3541">
        <w:t xml:space="preserve"> </w:t>
      </w:r>
      <w:r w:rsidR="003A3541">
        <w:t>the</w:t>
      </w:r>
      <w:r w:rsidR="00023E4E">
        <w:t xml:space="preserve"> </w:t>
      </w:r>
      <w:r w:rsidR="00F24ABE">
        <w:t xml:space="preserve">Ministerial </w:t>
      </w:r>
      <w:r w:rsidR="00023E4E">
        <w:t>Direction</w:t>
      </w:r>
      <w:r w:rsidR="003A3541">
        <w:t>.</w:t>
      </w:r>
    </w:p>
    <w:p w:rsidR="00F24ABE" w:rsidRPr="003D07F2" w:rsidRDefault="00F24ABE" w:rsidP="00540EA3"/>
    <w:p w:rsidR="000770B4" w:rsidRDefault="00F24ABE">
      <w:pPr>
        <w:rPr>
          <w:b/>
        </w:rPr>
      </w:pPr>
      <w:r>
        <w:rPr>
          <w:b/>
        </w:rPr>
        <w:br w:type="page"/>
      </w:r>
      <w:r w:rsidR="003C1B80">
        <w:rPr>
          <w:b/>
        </w:rPr>
        <w:lastRenderedPageBreak/>
        <w:t>Operation</w:t>
      </w:r>
    </w:p>
    <w:p w:rsidR="00E83847" w:rsidRPr="003D07F2" w:rsidRDefault="00E83847"/>
    <w:p w:rsidR="003C1B80" w:rsidRDefault="003C1B80" w:rsidP="003C1B80">
      <w:pPr>
        <w:rPr>
          <w:szCs w:val="24"/>
        </w:rPr>
      </w:pPr>
      <w:r>
        <w:rPr>
          <w:szCs w:val="24"/>
        </w:rPr>
        <w:t>The Determination applies to carrier licences that were in force at the beginning of the 2012-2013 financial year.</w:t>
      </w:r>
    </w:p>
    <w:p w:rsidR="00F24ABE" w:rsidRDefault="00F24ABE">
      <w:pPr>
        <w:rPr>
          <w:szCs w:val="24"/>
        </w:rPr>
      </w:pPr>
    </w:p>
    <w:p w:rsidR="00CF4641" w:rsidRDefault="003C1B80">
      <w:pPr>
        <w:rPr>
          <w:szCs w:val="24"/>
        </w:rPr>
      </w:pPr>
      <w:r>
        <w:rPr>
          <w:szCs w:val="24"/>
        </w:rPr>
        <w:t>T</w:t>
      </w:r>
      <w:r w:rsidR="00471831">
        <w:rPr>
          <w:szCs w:val="24"/>
        </w:rPr>
        <w:t xml:space="preserve">he Determination </w:t>
      </w:r>
      <w:r w:rsidR="00CF4641">
        <w:rPr>
          <w:szCs w:val="24"/>
        </w:rPr>
        <w:t xml:space="preserve">has the effect of imposing an annual carrier licence charge of $0 on </w:t>
      </w:r>
      <w:r>
        <w:rPr>
          <w:szCs w:val="24"/>
        </w:rPr>
        <w:t>a</w:t>
      </w:r>
      <w:r w:rsidR="00CF4641">
        <w:rPr>
          <w:szCs w:val="24"/>
        </w:rPr>
        <w:t xml:space="preserve"> </w:t>
      </w:r>
      <w:r w:rsidR="00B235FC">
        <w:rPr>
          <w:szCs w:val="24"/>
        </w:rPr>
        <w:t xml:space="preserve">carrier </w:t>
      </w:r>
      <w:r w:rsidR="00CF4641">
        <w:rPr>
          <w:szCs w:val="24"/>
        </w:rPr>
        <w:t xml:space="preserve">licence </w:t>
      </w:r>
      <w:r w:rsidR="00296D10">
        <w:rPr>
          <w:szCs w:val="24"/>
        </w:rPr>
        <w:t xml:space="preserve">that was </w:t>
      </w:r>
      <w:r w:rsidR="00CF4641">
        <w:rPr>
          <w:szCs w:val="24"/>
        </w:rPr>
        <w:t xml:space="preserve">held by a carrier that was a USO non-participating person </w:t>
      </w:r>
      <w:r w:rsidRPr="003C1B80">
        <w:rPr>
          <w:szCs w:val="24"/>
        </w:rPr>
        <w:t xml:space="preserve">for the eligible revenue period </w:t>
      </w:r>
      <w:r w:rsidR="00B235FC">
        <w:rPr>
          <w:szCs w:val="24"/>
        </w:rPr>
        <w:t>that began on 1 July 2011 and ended on 30 June 2012.</w:t>
      </w:r>
    </w:p>
    <w:p w:rsidR="00B235FC" w:rsidRDefault="00B235FC">
      <w:pPr>
        <w:rPr>
          <w:szCs w:val="24"/>
        </w:rPr>
      </w:pPr>
    </w:p>
    <w:p w:rsidR="00E7056E" w:rsidRDefault="00B235FC">
      <w:pPr>
        <w:rPr>
          <w:szCs w:val="24"/>
        </w:rPr>
      </w:pPr>
      <w:r>
        <w:rPr>
          <w:szCs w:val="24"/>
        </w:rPr>
        <w:t>T</w:t>
      </w:r>
      <w:r w:rsidR="00CF4641">
        <w:rPr>
          <w:szCs w:val="24"/>
        </w:rPr>
        <w:t xml:space="preserve">he Determination </w:t>
      </w:r>
      <w:r w:rsidR="00471831">
        <w:rPr>
          <w:szCs w:val="24"/>
        </w:rPr>
        <w:t xml:space="preserve">sets out </w:t>
      </w:r>
      <w:r w:rsidR="006A1C3D">
        <w:rPr>
          <w:szCs w:val="24"/>
        </w:rPr>
        <w:t>a</w:t>
      </w:r>
      <w:r w:rsidR="00E7056E">
        <w:rPr>
          <w:szCs w:val="24"/>
        </w:rPr>
        <w:t xml:space="preserve"> method for ascertaining the</w:t>
      </w:r>
      <w:r w:rsidR="002448BA">
        <w:rPr>
          <w:szCs w:val="24"/>
        </w:rPr>
        <w:t xml:space="preserve"> amount of</w:t>
      </w:r>
      <w:r>
        <w:rPr>
          <w:szCs w:val="24"/>
        </w:rPr>
        <w:t xml:space="preserve"> annual</w:t>
      </w:r>
      <w:r w:rsidR="00E7056E">
        <w:rPr>
          <w:szCs w:val="24"/>
        </w:rPr>
        <w:t xml:space="preserve"> carrier licence charge</w:t>
      </w:r>
      <w:r w:rsidR="00745177">
        <w:rPr>
          <w:szCs w:val="24"/>
        </w:rPr>
        <w:t xml:space="preserve"> on each </w:t>
      </w:r>
      <w:r w:rsidR="00CF4641">
        <w:rPr>
          <w:szCs w:val="24"/>
        </w:rPr>
        <w:t xml:space="preserve">other carrier licence </w:t>
      </w:r>
      <w:r w:rsidR="00745177">
        <w:rPr>
          <w:szCs w:val="24"/>
        </w:rPr>
        <w:t>that was</w:t>
      </w:r>
      <w:r w:rsidR="00DB1EBC">
        <w:rPr>
          <w:szCs w:val="24"/>
        </w:rPr>
        <w:t xml:space="preserve"> </w:t>
      </w:r>
      <w:r w:rsidR="00CF4641">
        <w:rPr>
          <w:szCs w:val="24"/>
        </w:rPr>
        <w:t>in force at the beginning of the 201</w:t>
      </w:r>
      <w:r w:rsidR="00C51C79">
        <w:rPr>
          <w:szCs w:val="24"/>
        </w:rPr>
        <w:t>2</w:t>
      </w:r>
      <w:r w:rsidR="00CF4641">
        <w:rPr>
          <w:szCs w:val="24"/>
        </w:rPr>
        <w:t>-201</w:t>
      </w:r>
      <w:r w:rsidR="00C51C79">
        <w:rPr>
          <w:szCs w:val="24"/>
        </w:rPr>
        <w:t>3</w:t>
      </w:r>
      <w:r w:rsidR="00CF4641">
        <w:rPr>
          <w:szCs w:val="24"/>
        </w:rPr>
        <w:t xml:space="preserve"> financial year</w:t>
      </w:r>
      <w:r w:rsidR="00603868">
        <w:rPr>
          <w:szCs w:val="24"/>
        </w:rPr>
        <w:t>.</w:t>
      </w:r>
      <w:r w:rsidR="00DB1EBC">
        <w:rPr>
          <w:szCs w:val="24"/>
        </w:rPr>
        <w:t xml:space="preserve">  (Further information about that method is set out below in the notes on section 6 of the Determination.)</w:t>
      </w:r>
    </w:p>
    <w:p w:rsidR="00707194" w:rsidRDefault="00707194">
      <w:pPr>
        <w:rPr>
          <w:szCs w:val="24"/>
        </w:rPr>
      </w:pPr>
    </w:p>
    <w:p w:rsidR="006B7C95" w:rsidRPr="000770B4" w:rsidRDefault="006B7C95" w:rsidP="006B7C95">
      <w:pPr>
        <w:rPr>
          <w:b/>
        </w:rPr>
      </w:pPr>
      <w:r>
        <w:rPr>
          <w:b/>
          <w:szCs w:val="24"/>
        </w:rPr>
        <w:t>Regulation Impact</w:t>
      </w:r>
    </w:p>
    <w:p w:rsidR="006B7C95" w:rsidRPr="003D07F2" w:rsidRDefault="006B7C95" w:rsidP="006B7C95"/>
    <w:p w:rsidR="006B7C95" w:rsidRDefault="006B7C95" w:rsidP="006B7C95">
      <w:r w:rsidRPr="003D07F2">
        <w:t xml:space="preserve">On </w:t>
      </w:r>
      <w:r>
        <w:t>15 April 2013</w:t>
      </w:r>
      <w:r w:rsidRPr="003D07F2">
        <w:t xml:space="preserve"> the Office of Best Practice Regulation advised that a Regulation Impact Statement was not required for the Determination</w:t>
      </w:r>
      <w:r>
        <w:t xml:space="preserve"> then proposed to be made on the basis that the changes would be minor in nature</w:t>
      </w:r>
      <w:r w:rsidRPr="003D07F2">
        <w:t xml:space="preserve"> (reference number ID </w:t>
      </w:r>
      <w:r>
        <w:t>2013/14937</w:t>
      </w:r>
      <w:r w:rsidRPr="003D07F2">
        <w:t>)</w:t>
      </w:r>
      <w:r w:rsidR="00745177">
        <w:t>.</w:t>
      </w:r>
    </w:p>
    <w:p w:rsidR="006B7C95" w:rsidRDefault="006B7C95">
      <w:pPr>
        <w:rPr>
          <w:b/>
          <w:szCs w:val="24"/>
        </w:rPr>
      </w:pPr>
    </w:p>
    <w:p w:rsidR="00707194" w:rsidRPr="00707194" w:rsidRDefault="00352856">
      <w:pPr>
        <w:rPr>
          <w:b/>
          <w:szCs w:val="24"/>
        </w:rPr>
      </w:pPr>
      <w:r w:rsidRPr="00352856">
        <w:rPr>
          <w:b/>
          <w:szCs w:val="24"/>
        </w:rPr>
        <w:t>Consultation</w:t>
      </w:r>
    </w:p>
    <w:p w:rsidR="00707194" w:rsidRDefault="00707194">
      <w:pPr>
        <w:rPr>
          <w:szCs w:val="24"/>
        </w:rPr>
      </w:pPr>
    </w:p>
    <w:p w:rsidR="002448BA" w:rsidRDefault="00DB1EBC" w:rsidP="002448BA">
      <w:r>
        <w:t>Consultation was n</w:t>
      </w:r>
      <w:r w:rsidR="001319FF">
        <w:t xml:space="preserve">ot undertaken before making the </w:t>
      </w:r>
      <w:r>
        <w:t>Determination.  The ACMA</w:t>
      </w:r>
      <w:r w:rsidR="006A1C3D">
        <w:t xml:space="preserve"> </w:t>
      </w:r>
      <w:r>
        <w:t xml:space="preserve">considered that consultation was unnecessary on the basis that the Determination </w:t>
      </w:r>
      <w:r w:rsidR="00745177">
        <w:t>is</w:t>
      </w:r>
      <w:r>
        <w:t xml:space="preserve"> minor in nature and does not substantially alter existing arrangements.</w:t>
      </w:r>
      <w:r w:rsidR="00040CC7">
        <w:t xml:space="preserve">  </w:t>
      </w:r>
    </w:p>
    <w:p w:rsidR="0092688E" w:rsidRDefault="0092688E" w:rsidP="0092688E">
      <w:pPr>
        <w:rPr>
          <w:szCs w:val="24"/>
        </w:rPr>
      </w:pPr>
    </w:p>
    <w:p w:rsidR="0092688E" w:rsidRDefault="004C304B" w:rsidP="0092688E">
      <w:pPr>
        <w:rPr>
          <w:szCs w:val="24"/>
        </w:rPr>
      </w:pPr>
      <w:r>
        <w:rPr>
          <w:szCs w:val="24"/>
        </w:rPr>
        <w:t xml:space="preserve">The </w:t>
      </w:r>
      <w:r w:rsidR="0092688E">
        <w:rPr>
          <w:szCs w:val="24"/>
        </w:rPr>
        <w:t xml:space="preserve">provisions </w:t>
      </w:r>
      <w:r>
        <w:rPr>
          <w:szCs w:val="24"/>
        </w:rPr>
        <w:t>of the Determination</w:t>
      </w:r>
      <w:r w:rsidR="00891E30">
        <w:rPr>
          <w:szCs w:val="24"/>
        </w:rPr>
        <w:t xml:space="preserve"> which impose</w:t>
      </w:r>
      <w:r w:rsidR="0092688E">
        <w:rPr>
          <w:szCs w:val="24"/>
        </w:rPr>
        <w:t xml:space="preserve"> </w:t>
      </w:r>
      <w:r w:rsidR="00891E30">
        <w:rPr>
          <w:szCs w:val="24"/>
        </w:rPr>
        <w:t xml:space="preserve">an annual carrier licence charge of $0 on </w:t>
      </w:r>
      <w:r w:rsidR="006A1C3D">
        <w:rPr>
          <w:szCs w:val="24"/>
        </w:rPr>
        <w:t>certain carrier licences are</w:t>
      </w:r>
      <w:r w:rsidR="00891E30">
        <w:rPr>
          <w:szCs w:val="24"/>
        </w:rPr>
        <w:t xml:space="preserve"> in accordance with</w:t>
      </w:r>
      <w:r>
        <w:rPr>
          <w:szCs w:val="24"/>
        </w:rPr>
        <w:t xml:space="preserve"> the </w:t>
      </w:r>
      <w:r w:rsidR="0092688E">
        <w:rPr>
          <w:szCs w:val="24"/>
        </w:rPr>
        <w:t xml:space="preserve">Ministerial </w:t>
      </w:r>
      <w:r>
        <w:rPr>
          <w:szCs w:val="24"/>
        </w:rPr>
        <w:t>Direc</w:t>
      </w:r>
      <w:r w:rsidR="00867EB5">
        <w:rPr>
          <w:szCs w:val="24"/>
        </w:rPr>
        <w:t>tion by</w:t>
      </w:r>
      <w:r w:rsidR="0092688E">
        <w:rPr>
          <w:szCs w:val="24"/>
        </w:rPr>
        <w:t xml:space="preserve"> which the ACMA is bound.</w:t>
      </w:r>
    </w:p>
    <w:p w:rsidR="0092688E" w:rsidRDefault="0092688E" w:rsidP="0092688E">
      <w:pPr>
        <w:rPr>
          <w:szCs w:val="24"/>
        </w:rPr>
      </w:pPr>
    </w:p>
    <w:p w:rsidR="007F6FA6" w:rsidRDefault="0092688E" w:rsidP="00E55DCF">
      <w:pPr>
        <w:rPr>
          <w:szCs w:val="24"/>
        </w:rPr>
      </w:pPr>
      <w:r>
        <w:rPr>
          <w:szCs w:val="24"/>
        </w:rPr>
        <w:t>The</w:t>
      </w:r>
      <w:r w:rsidR="001319FF">
        <w:rPr>
          <w:szCs w:val="24"/>
        </w:rPr>
        <w:t xml:space="preserve"> provisions of the Determination </w:t>
      </w:r>
      <w:r w:rsidR="00891E30">
        <w:rPr>
          <w:szCs w:val="24"/>
        </w:rPr>
        <w:t xml:space="preserve">which set out </w:t>
      </w:r>
      <w:r w:rsidR="006A1C3D">
        <w:rPr>
          <w:szCs w:val="24"/>
        </w:rPr>
        <w:t>a</w:t>
      </w:r>
      <w:r w:rsidR="00891E30">
        <w:rPr>
          <w:szCs w:val="24"/>
        </w:rPr>
        <w:t xml:space="preserve"> method for</w:t>
      </w:r>
      <w:r w:rsidRPr="003D07F2">
        <w:t xml:space="preserve"> </w:t>
      </w:r>
      <w:r>
        <w:t xml:space="preserve">ascertaining </w:t>
      </w:r>
      <w:r w:rsidRPr="003D07F2">
        <w:t xml:space="preserve">the amount of annual carrier licence charge </w:t>
      </w:r>
      <w:r w:rsidRPr="003D07F2">
        <w:rPr>
          <w:szCs w:val="24"/>
        </w:rPr>
        <w:t xml:space="preserve">imposed on </w:t>
      </w:r>
      <w:r>
        <w:rPr>
          <w:szCs w:val="24"/>
        </w:rPr>
        <w:t>other</w:t>
      </w:r>
      <w:r w:rsidRPr="003D07F2">
        <w:rPr>
          <w:szCs w:val="24"/>
        </w:rPr>
        <w:t xml:space="preserve"> carrier licence</w:t>
      </w:r>
      <w:r>
        <w:rPr>
          <w:szCs w:val="24"/>
        </w:rPr>
        <w:t>s</w:t>
      </w:r>
      <w:r w:rsidR="00AC35F6">
        <w:rPr>
          <w:szCs w:val="24"/>
        </w:rPr>
        <w:t xml:space="preserve"> </w:t>
      </w:r>
      <w:r>
        <w:rPr>
          <w:szCs w:val="24"/>
        </w:rPr>
        <w:t>is the</w:t>
      </w:r>
      <w:r w:rsidRPr="0092688E">
        <w:rPr>
          <w:szCs w:val="24"/>
        </w:rPr>
        <w:t xml:space="preserve"> </w:t>
      </w:r>
      <w:r>
        <w:rPr>
          <w:szCs w:val="24"/>
        </w:rPr>
        <w:t>same as the method</w:t>
      </w:r>
      <w:r w:rsidR="007F6FA6">
        <w:rPr>
          <w:szCs w:val="24"/>
        </w:rPr>
        <w:t xml:space="preserve"> set out in the</w:t>
      </w:r>
      <w:r w:rsidR="007F6FA6" w:rsidRPr="007F6FA6">
        <w:rPr>
          <w:i/>
        </w:rPr>
        <w:t xml:space="preserve"> </w:t>
      </w:r>
      <w:r w:rsidR="007F6FA6" w:rsidRPr="003D07F2">
        <w:rPr>
          <w:i/>
        </w:rPr>
        <w:t>Telecommunications (Annual Carrier Licence Charge) Determination 201</w:t>
      </w:r>
      <w:r w:rsidR="007F6FA6">
        <w:rPr>
          <w:i/>
        </w:rPr>
        <w:t>2</w:t>
      </w:r>
      <w:r w:rsidR="00AC35F6">
        <w:rPr>
          <w:i/>
        </w:rPr>
        <w:t xml:space="preserve"> </w:t>
      </w:r>
      <w:r w:rsidR="00AC35F6">
        <w:t>(which was used to</w:t>
      </w:r>
      <w:r w:rsidR="007F6FA6">
        <w:rPr>
          <w:szCs w:val="24"/>
        </w:rPr>
        <w:t xml:space="preserve"> ascertain the a</w:t>
      </w:r>
      <w:r w:rsidR="00360EB7">
        <w:rPr>
          <w:szCs w:val="24"/>
        </w:rPr>
        <w:t xml:space="preserve">mount of </w:t>
      </w:r>
      <w:r w:rsidR="000C7AA9">
        <w:rPr>
          <w:szCs w:val="24"/>
        </w:rPr>
        <w:t xml:space="preserve">annual carrier licence </w:t>
      </w:r>
      <w:r w:rsidR="007F6FA6">
        <w:rPr>
          <w:szCs w:val="24"/>
        </w:rPr>
        <w:t>charge</w:t>
      </w:r>
      <w:r>
        <w:rPr>
          <w:szCs w:val="24"/>
        </w:rPr>
        <w:t xml:space="preserve"> imposed on carrier licences in force at the beginning of the </w:t>
      </w:r>
      <w:r w:rsidR="00296D10">
        <w:rPr>
          <w:szCs w:val="24"/>
        </w:rPr>
        <w:t>2011-2012</w:t>
      </w:r>
      <w:r>
        <w:rPr>
          <w:szCs w:val="24"/>
        </w:rPr>
        <w:t xml:space="preserve"> financial year</w:t>
      </w:r>
      <w:r w:rsidR="00AC35F6">
        <w:rPr>
          <w:szCs w:val="24"/>
        </w:rPr>
        <w:t>)</w:t>
      </w:r>
      <w:r w:rsidR="007F6FA6">
        <w:rPr>
          <w:szCs w:val="24"/>
        </w:rPr>
        <w:t>.</w:t>
      </w:r>
    </w:p>
    <w:p w:rsidR="007F6FA6" w:rsidRDefault="007F6FA6" w:rsidP="00E55DCF">
      <w:pPr>
        <w:rPr>
          <w:szCs w:val="24"/>
        </w:rPr>
      </w:pPr>
    </w:p>
    <w:p w:rsidR="00296D10" w:rsidRDefault="0029363B" w:rsidP="00DC22BF">
      <w:pPr>
        <w:rPr>
          <w:rFonts w:ascii="Arial" w:hAnsi="Arial" w:cs="Arial"/>
          <w:sz w:val="22"/>
          <w:szCs w:val="22"/>
        </w:rPr>
      </w:pPr>
      <w:r>
        <w:rPr>
          <w:szCs w:val="24"/>
        </w:rPr>
        <w:t>T</w:t>
      </w:r>
      <w:r w:rsidR="00D126A0">
        <w:rPr>
          <w:szCs w:val="24"/>
        </w:rPr>
        <w:t>he</w:t>
      </w:r>
      <w:r w:rsidR="007F6FA6">
        <w:rPr>
          <w:szCs w:val="24"/>
        </w:rPr>
        <w:t xml:space="preserve"> method</w:t>
      </w:r>
      <w:r w:rsidR="00AC35F6">
        <w:rPr>
          <w:szCs w:val="24"/>
        </w:rPr>
        <w:t xml:space="preserve"> </w:t>
      </w:r>
      <w:r>
        <w:rPr>
          <w:szCs w:val="24"/>
        </w:rPr>
        <w:t xml:space="preserve">had been the subject of consultation </w:t>
      </w:r>
      <w:r w:rsidR="00E44997">
        <w:rPr>
          <w:szCs w:val="24"/>
        </w:rPr>
        <w:t>as part of a review of the ACMA’s cost recovery arrangements</w:t>
      </w:r>
      <w:r w:rsidR="007F6FA6">
        <w:rPr>
          <w:szCs w:val="24"/>
        </w:rPr>
        <w:t xml:space="preserve"> </w:t>
      </w:r>
      <w:r w:rsidR="00AC35F6">
        <w:rPr>
          <w:szCs w:val="24"/>
        </w:rPr>
        <w:t>in</w:t>
      </w:r>
      <w:r w:rsidR="007F6FA6">
        <w:rPr>
          <w:szCs w:val="24"/>
        </w:rPr>
        <w:t xml:space="preserve"> late 2011</w:t>
      </w:r>
      <w:r w:rsidR="009A685E">
        <w:rPr>
          <w:szCs w:val="24"/>
        </w:rPr>
        <w:t>.</w:t>
      </w:r>
      <w:r w:rsidR="00D126A0">
        <w:rPr>
          <w:szCs w:val="24"/>
        </w:rPr>
        <w:t xml:space="preserve">  </w:t>
      </w:r>
      <w:r w:rsidR="00E44997">
        <w:rPr>
          <w:szCs w:val="24"/>
        </w:rPr>
        <w:t xml:space="preserve">A </w:t>
      </w:r>
      <w:r w:rsidR="009A685E">
        <w:rPr>
          <w:szCs w:val="24"/>
        </w:rPr>
        <w:t>discussion paper for</w:t>
      </w:r>
      <w:r w:rsidR="00E44997">
        <w:rPr>
          <w:szCs w:val="24"/>
        </w:rPr>
        <w:t xml:space="preserve"> that review</w:t>
      </w:r>
      <w:r w:rsidR="00EC300F">
        <w:rPr>
          <w:szCs w:val="24"/>
        </w:rPr>
        <w:t xml:space="preserve"> </w:t>
      </w:r>
      <w:r w:rsidR="009A685E">
        <w:rPr>
          <w:szCs w:val="24"/>
        </w:rPr>
        <w:t>dated October</w:t>
      </w:r>
      <w:r w:rsidR="00EC300F">
        <w:rPr>
          <w:szCs w:val="24"/>
        </w:rPr>
        <w:t xml:space="preserve"> 2011</w:t>
      </w:r>
      <w:r w:rsidR="009A685E">
        <w:rPr>
          <w:szCs w:val="24"/>
        </w:rPr>
        <w:t xml:space="preserve"> </w:t>
      </w:r>
      <w:r w:rsidR="00A368EC">
        <w:rPr>
          <w:szCs w:val="24"/>
        </w:rPr>
        <w:t xml:space="preserve">explained </w:t>
      </w:r>
      <w:r w:rsidR="00FC0EE3">
        <w:rPr>
          <w:szCs w:val="24"/>
        </w:rPr>
        <w:t>how</w:t>
      </w:r>
      <w:r w:rsidR="00A368EC">
        <w:rPr>
          <w:szCs w:val="24"/>
        </w:rPr>
        <w:t xml:space="preserve"> </w:t>
      </w:r>
      <w:r w:rsidR="00D126A0">
        <w:rPr>
          <w:szCs w:val="24"/>
        </w:rPr>
        <w:t xml:space="preserve">there would be a change in </w:t>
      </w:r>
      <w:r w:rsidR="00FC0EE3">
        <w:rPr>
          <w:szCs w:val="24"/>
        </w:rPr>
        <w:t xml:space="preserve">the </w:t>
      </w:r>
      <w:r w:rsidR="00D126A0">
        <w:rPr>
          <w:szCs w:val="24"/>
        </w:rPr>
        <w:t>method</w:t>
      </w:r>
      <w:r w:rsidR="00FC0EE3">
        <w:rPr>
          <w:szCs w:val="24"/>
        </w:rPr>
        <w:t xml:space="preserve"> used to calculate the amount of annual carrier licence charge imposed</w:t>
      </w:r>
      <w:r w:rsidR="00D126A0">
        <w:rPr>
          <w:szCs w:val="24"/>
        </w:rPr>
        <w:t xml:space="preserve"> </w:t>
      </w:r>
      <w:r w:rsidR="00EC300F">
        <w:rPr>
          <w:szCs w:val="24"/>
        </w:rPr>
        <w:t>as a consequence of the Ministerial Direction</w:t>
      </w:r>
      <w:r w:rsidR="00E44997">
        <w:rPr>
          <w:szCs w:val="24"/>
        </w:rPr>
        <w:t xml:space="preserve"> and</w:t>
      </w:r>
      <w:r w:rsidR="00FC0EE3">
        <w:rPr>
          <w:szCs w:val="24"/>
        </w:rPr>
        <w:t xml:space="preserve"> noted</w:t>
      </w:r>
      <w:r w:rsidR="00E44997">
        <w:rPr>
          <w:szCs w:val="24"/>
        </w:rPr>
        <w:t xml:space="preserve"> that </w:t>
      </w:r>
      <w:r w:rsidR="00E55DCF">
        <w:rPr>
          <w:szCs w:val="24"/>
        </w:rPr>
        <w:t>the change would have an impact on the</w:t>
      </w:r>
      <w:r w:rsidR="00B45479">
        <w:rPr>
          <w:szCs w:val="24"/>
        </w:rPr>
        <w:t xml:space="preserve"> calculation of the</w:t>
      </w:r>
      <w:r w:rsidR="00A9554D">
        <w:rPr>
          <w:szCs w:val="24"/>
        </w:rPr>
        <w:t xml:space="preserve"> charge for the </w:t>
      </w:r>
      <w:r w:rsidR="00E55DCF">
        <w:rPr>
          <w:szCs w:val="24"/>
        </w:rPr>
        <w:t>2011-2012 financial year and onwards.</w:t>
      </w:r>
      <w:r w:rsidR="00296D10">
        <w:rPr>
          <w:rFonts w:ascii="Arial" w:hAnsi="Arial" w:cs="Arial"/>
          <w:sz w:val="22"/>
          <w:szCs w:val="22"/>
        </w:rPr>
        <w:t xml:space="preserve">  </w:t>
      </w:r>
    </w:p>
    <w:p w:rsidR="00296D10" w:rsidRDefault="00296D10" w:rsidP="00DC22BF">
      <w:pPr>
        <w:rPr>
          <w:rFonts w:ascii="Arial" w:hAnsi="Arial" w:cs="Arial"/>
          <w:sz w:val="22"/>
          <w:szCs w:val="22"/>
        </w:rPr>
      </w:pPr>
    </w:p>
    <w:p w:rsidR="006F093F" w:rsidRDefault="00D126A0" w:rsidP="00DC22BF">
      <w:pPr>
        <w:rPr>
          <w:szCs w:val="24"/>
        </w:rPr>
      </w:pPr>
      <w:r>
        <w:rPr>
          <w:szCs w:val="24"/>
        </w:rPr>
        <w:t>The</w:t>
      </w:r>
      <w:r w:rsidR="00040CC7">
        <w:rPr>
          <w:szCs w:val="24"/>
        </w:rPr>
        <w:t xml:space="preserve"> method</w:t>
      </w:r>
      <w:r w:rsidR="00FC0EE3">
        <w:rPr>
          <w:szCs w:val="24"/>
        </w:rPr>
        <w:t xml:space="preserve"> as c</w:t>
      </w:r>
      <w:r w:rsidR="00B45479">
        <w:rPr>
          <w:szCs w:val="24"/>
        </w:rPr>
        <w:t xml:space="preserve">hanged </w:t>
      </w:r>
      <w:r w:rsidR="006F093F">
        <w:rPr>
          <w:szCs w:val="24"/>
        </w:rPr>
        <w:t>wa</w:t>
      </w:r>
      <w:r w:rsidR="00040CC7">
        <w:rPr>
          <w:szCs w:val="24"/>
        </w:rPr>
        <w:t>s</w:t>
      </w:r>
      <w:r w:rsidR="00E44997">
        <w:rPr>
          <w:szCs w:val="24"/>
        </w:rPr>
        <w:t xml:space="preserve"> also described</w:t>
      </w:r>
      <w:r w:rsidR="00935D6F">
        <w:rPr>
          <w:szCs w:val="24"/>
        </w:rPr>
        <w:t xml:space="preserve"> </w:t>
      </w:r>
      <w:r w:rsidR="00E44997">
        <w:rPr>
          <w:szCs w:val="24"/>
        </w:rPr>
        <w:t>in</w:t>
      </w:r>
      <w:r w:rsidR="006F093F">
        <w:rPr>
          <w:szCs w:val="24"/>
        </w:rPr>
        <w:t xml:space="preserve"> detail in</w:t>
      </w:r>
      <w:r w:rsidR="007F6FA6">
        <w:rPr>
          <w:szCs w:val="24"/>
        </w:rPr>
        <w:t xml:space="preserve"> the</w:t>
      </w:r>
      <w:r w:rsidR="00040CC7">
        <w:rPr>
          <w:szCs w:val="24"/>
        </w:rPr>
        <w:t xml:space="preserve"> Cost Recovery Impact Statement for the charging period 1 July 2011 to 30 June 2012</w:t>
      </w:r>
      <w:r w:rsidR="00231D98">
        <w:rPr>
          <w:szCs w:val="24"/>
        </w:rPr>
        <w:t xml:space="preserve"> (the CRIS), which is publicly available on the ACMA’s website</w:t>
      </w:r>
      <w:r w:rsidR="006F093F">
        <w:rPr>
          <w:szCs w:val="24"/>
        </w:rPr>
        <w:t>.  The CRIS indicated</w:t>
      </w:r>
      <w:r w:rsidR="00643529">
        <w:rPr>
          <w:szCs w:val="24"/>
        </w:rPr>
        <w:t xml:space="preserve"> that</w:t>
      </w:r>
      <w:r w:rsidR="006F093F">
        <w:rPr>
          <w:szCs w:val="24"/>
        </w:rPr>
        <w:t xml:space="preserve"> the method wa</w:t>
      </w:r>
      <w:r w:rsidR="00C81FBA">
        <w:rPr>
          <w:szCs w:val="24"/>
        </w:rPr>
        <w:t>s part of</w:t>
      </w:r>
      <w:r w:rsidR="00643529">
        <w:rPr>
          <w:szCs w:val="24"/>
        </w:rPr>
        <w:t xml:space="preserve"> the</w:t>
      </w:r>
      <w:r w:rsidR="00C81FBA">
        <w:rPr>
          <w:szCs w:val="24"/>
        </w:rPr>
        <w:t xml:space="preserve"> ACMA’s cost recovery arrangements</w:t>
      </w:r>
      <w:r w:rsidR="007F6FA6">
        <w:rPr>
          <w:szCs w:val="24"/>
        </w:rPr>
        <w:t xml:space="preserve"> and</w:t>
      </w:r>
      <w:r w:rsidR="00935D6F">
        <w:rPr>
          <w:szCs w:val="24"/>
        </w:rPr>
        <w:t xml:space="preserve"> </w:t>
      </w:r>
      <w:r w:rsidR="00E027A9">
        <w:rPr>
          <w:szCs w:val="24"/>
        </w:rPr>
        <w:t>would be</w:t>
      </w:r>
      <w:r w:rsidR="00AC35F6">
        <w:rPr>
          <w:szCs w:val="24"/>
        </w:rPr>
        <w:t xml:space="preserve"> </w:t>
      </w:r>
      <w:r w:rsidR="00935D6F">
        <w:rPr>
          <w:szCs w:val="24"/>
        </w:rPr>
        <w:t xml:space="preserve">used to calculate estimated </w:t>
      </w:r>
      <w:r w:rsidR="001A7D52">
        <w:rPr>
          <w:szCs w:val="24"/>
        </w:rPr>
        <w:t xml:space="preserve">cost recovery </w:t>
      </w:r>
      <w:r w:rsidR="00935D6F">
        <w:rPr>
          <w:szCs w:val="24"/>
        </w:rPr>
        <w:t>revenue</w:t>
      </w:r>
      <w:r w:rsidR="001A7D52">
        <w:rPr>
          <w:szCs w:val="24"/>
        </w:rPr>
        <w:t xml:space="preserve"> and expenses for a five year period ending</w:t>
      </w:r>
      <w:r w:rsidR="00AC35F6">
        <w:rPr>
          <w:szCs w:val="24"/>
        </w:rPr>
        <w:t xml:space="preserve"> on</w:t>
      </w:r>
      <w:r w:rsidR="007D4569">
        <w:rPr>
          <w:szCs w:val="24"/>
        </w:rPr>
        <w:t xml:space="preserve"> 30 June 2017</w:t>
      </w:r>
      <w:r w:rsidR="00E55DCF">
        <w:rPr>
          <w:szCs w:val="24"/>
        </w:rPr>
        <w:t>.</w:t>
      </w:r>
    </w:p>
    <w:p w:rsidR="006F093F" w:rsidRDefault="006F093F" w:rsidP="00DC22BF">
      <w:pPr>
        <w:rPr>
          <w:szCs w:val="24"/>
        </w:rPr>
      </w:pPr>
    </w:p>
    <w:p w:rsidR="00A36203" w:rsidRPr="00FC0EE3" w:rsidRDefault="006F093F" w:rsidP="00DC22BF">
      <w:pPr>
        <w:rPr>
          <w:szCs w:val="24"/>
        </w:rPr>
      </w:pPr>
      <w:r>
        <w:rPr>
          <w:szCs w:val="24"/>
        </w:rPr>
        <w:t>The Determination is consistent with these arrangements.</w:t>
      </w:r>
    </w:p>
    <w:p w:rsidR="003D0860" w:rsidRPr="003D0860" w:rsidRDefault="00FC0EE3" w:rsidP="00A36203">
      <w:pPr>
        <w:rPr>
          <w:b/>
          <w:lang w:val="en-US"/>
        </w:rPr>
      </w:pPr>
      <w:r>
        <w:br/>
      </w:r>
      <w:r w:rsidR="00C674FD" w:rsidRPr="00C674FD">
        <w:rPr>
          <w:b/>
          <w:lang w:val="en-US"/>
        </w:rPr>
        <w:t>Notes on Sections</w:t>
      </w:r>
    </w:p>
    <w:p w:rsidR="003D0860" w:rsidRPr="003D0860" w:rsidRDefault="003D0860" w:rsidP="003D0860">
      <w:pPr>
        <w:pStyle w:val="ACMABodyText"/>
        <w:spacing w:before="0" w:after="0"/>
      </w:pPr>
    </w:p>
    <w:p w:rsidR="003D0860" w:rsidRPr="003D0860" w:rsidRDefault="00C674FD" w:rsidP="003D0860">
      <w:pPr>
        <w:pStyle w:val="ACMABodyText"/>
        <w:spacing w:before="0"/>
      </w:pPr>
      <w:r w:rsidRPr="00C674FD">
        <w:t>The provisions of the Determination are described in Attachment 1.</w:t>
      </w:r>
    </w:p>
    <w:p w:rsidR="003D0860" w:rsidRPr="003D0860" w:rsidRDefault="00C674FD" w:rsidP="003D0860">
      <w:pPr>
        <w:pStyle w:val="ACMABodyText"/>
        <w:spacing w:before="240" w:after="0"/>
        <w:rPr>
          <w:b/>
          <w:snapToGrid/>
          <w:lang w:val="en-US"/>
        </w:rPr>
      </w:pPr>
      <w:r w:rsidRPr="00C674FD">
        <w:rPr>
          <w:b/>
          <w:snapToGrid/>
          <w:lang w:val="en-US"/>
        </w:rPr>
        <w:t>Statement of Compatibility with Human Rights</w:t>
      </w:r>
    </w:p>
    <w:p w:rsidR="003D0860" w:rsidRPr="003D0860" w:rsidRDefault="003D0860" w:rsidP="003D0860">
      <w:pPr>
        <w:pStyle w:val="ACMABodyTextChar"/>
        <w:spacing w:before="0" w:after="0"/>
        <w:jc w:val="both"/>
      </w:pPr>
    </w:p>
    <w:p w:rsidR="002D06F7" w:rsidRPr="003D07F2" w:rsidRDefault="00CF46C8">
      <w:r w:rsidRPr="00CF46C8">
        <w:t xml:space="preserve">A statement of compatibility with human rights for the purposes of Part 3 of the </w:t>
      </w:r>
      <w:r w:rsidRPr="00CF46C8">
        <w:rPr>
          <w:i/>
        </w:rPr>
        <w:t>Human Rights (Parliamentary Scrutiny) Act 2011</w:t>
      </w:r>
      <w:r w:rsidRPr="00CF46C8">
        <w:t xml:space="preserve"> is set out in Attachment 2.</w:t>
      </w:r>
    </w:p>
    <w:p w:rsidR="00163BD9" w:rsidRPr="003D07F2" w:rsidRDefault="00163BD9" w:rsidP="00163BD9"/>
    <w:p w:rsidR="00EE1412" w:rsidRPr="003D07F2" w:rsidRDefault="00EE1412">
      <w:pPr>
        <w:jc w:val="right"/>
        <w:rPr>
          <w:b/>
        </w:rPr>
      </w:pPr>
      <w:r w:rsidRPr="003D07F2">
        <w:br w:type="page"/>
      </w:r>
      <w:r w:rsidRPr="003D07F2">
        <w:rPr>
          <w:b/>
        </w:rPr>
        <w:lastRenderedPageBreak/>
        <w:t>Attachment 1</w:t>
      </w:r>
    </w:p>
    <w:p w:rsidR="00EE1412" w:rsidRPr="003D07F2" w:rsidRDefault="00EE1412" w:rsidP="0074284F">
      <w:pPr>
        <w:pStyle w:val="Heading1"/>
      </w:pPr>
      <w:r w:rsidRPr="003D07F2">
        <w:rPr>
          <w:rFonts w:ascii="Times New Roman" w:hAnsi="Times New Roman"/>
        </w:rPr>
        <w:t>Notes on</w:t>
      </w:r>
      <w:r w:rsidR="00903536">
        <w:rPr>
          <w:rFonts w:ascii="Times New Roman" w:hAnsi="Times New Roman"/>
        </w:rPr>
        <w:t xml:space="preserve"> section of</w:t>
      </w:r>
      <w:r w:rsidRPr="003D07F2">
        <w:rPr>
          <w:rFonts w:ascii="Times New Roman" w:hAnsi="Times New Roman"/>
        </w:rPr>
        <w:t xml:space="preserve"> the </w:t>
      </w:r>
      <w:r w:rsidR="0074284F">
        <w:rPr>
          <w:rFonts w:ascii="Times New Roman" w:hAnsi="Times New Roman"/>
        </w:rPr>
        <w:t>Determination</w:t>
      </w:r>
    </w:p>
    <w:p w:rsidR="00EE1412" w:rsidRPr="003D07F2" w:rsidRDefault="00EE1412" w:rsidP="006F093F">
      <w:pPr>
        <w:spacing w:before="240"/>
      </w:pPr>
      <w:r w:rsidRPr="003D07F2">
        <w:rPr>
          <w:b/>
        </w:rPr>
        <w:t>Section 1 - Name of Determination</w:t>
      </w:r>
    </w:p>
    <w:p w:rsidR="00EE1412" w:rsidRPr="003D07F2" w:rsidRDefault="00EE1412"/>
    <w:p w:rsidR="00EE1412" w:rsidRPr="00077875" w:rsidRDefault="00EE1412" w:rsidP="00077875">
      <w:r w:rsidRPr="003D07F2">
        <w:t xml:space="preserve">This </w:t>
      </w:r>
      <w:r w:rsidR="007E24AD" w:rsidRPr="003D07F2">
        <w:t xml:space="preserve">section </w:t>
      </w:r>
      <w:r w:rsidR="00077875">
        <w:t>provides that</w:t>
      </w:r>
      <w:r w:rsidR="007E24AD" w:rsidRPr="003D07F2">
        <w:t xml:space="preserve"> the name of the Determination</w:t>
      </w:r>
      <w:r w:rsidR="00077875">
        <w:t xml:space="preserve"> is the</w:t>
      </w:r>
      <w:r w:rsidR="00077875" w:rsidRPr="00077875">
        <w:rPr>
          <w:i/>
          <w:szCs w:val="24"/>
        </w:rPr>
        <w:t xml:space="preserve"> Telecommunications (Annual Carrier Licence Charge) Determination 2013</w:t>
      </w:r>
      <w:r w:rsidR="007E24AD" w:rsidRPr="003D07F2">
        <w:t xml:space="preserve">. </w:t>
      </w:r>
    </w:p>
    <w:p w:rsidR="00EE1412" w:rsidRPr="003D07F2" w:rsidRDefault="00EE1412"/>
    <w:p w:rsidR="00EE1412" w:rsidRPr="003D07F2" w:rsidRDefault="00EE1412">
      <w:r w:rsidRPr="003D07F2">
        <w:rPr>
          <w:b/>
        </w:rPr>
        <w:t>Section 2 - Commencement</w:t>
      </w:r>
    </w:p>
    <w:p w:rsidR="00EE1412" w:rsidRPr="003D07F2" w:rsidRDefault="00EE1412"/>
    <w:p w:rsidR="00135056" w:rsidRPr="003D07F2" w:rsidRDefault="00EE1412">
      <w:r w:rsidRPr="003D07F2">
        <w:t xml:space="preserve">This section provides </w:t>
      </w:r>
      <w:r w:rsidR="00135056" w:rsidRPr="003D07F2">
        <w:t>that the Determination commences on the</w:t>
      </w:r>
      <w:r w:rsidR="00EF69B0">
        <w:t xml:space="preserve"> </w:t>
      </w:r>
      <w:r w:rsidR="00077875">
        <w:t xml:space="preserve">later of the </w:t>
      </w:r>
      <w:r w:rsidR="00EF69B0">
        <w:t>day</w:t>
      </w:r>
      <w:r w:rsidR="00135056" w:rsidRPr="003D07F2">
        <w:t xml:space="preserve"> </w:t>
      </w:r>
      <w:r w:rsidR="008C6E0A">
        <w:t>after it</w:t>
      </w:r>
      <w:r w:rsidR="00077875">
        <w:t xml:space="preserve"> i</w:t>
      </w:r>
      <w:r w:rsidR="008C6E0A">
        <w:t>s regist</w:t>
      </w:r>
      <w:r w:rsidR="00077875">
        <w:t>ered</w:t>
      </w:r>
      <w:r w:rsidR="008C6E0A">
        <w:t xml:space="preserve"> </w:t>
      </w:r>
      <w:r w:rsidR="00077875">
        <w:t xml:space="preserve">and </w:t>
      </w:r>
      <w:r w:rsidR="008C6E0A">
        <w:t>the commencement of the</w:t>
      </w:r>
      <w:r w:rsidR="008C6E0A" w:rsidRPr="008C6E0A">
        <w:rPr>
          <w:i/>
        </w:rPr>
        <w:t xml:space="preserve"> </w:t>
      </w:r>
      <w:r w:rsidR="008C6E0A" w:rsidRPr="003D07F2">
        <w:rPr>
          <w:i/>
        </w:rPr>
        <w:t xml:space="preserve">Telecommunications (Specification of Costs by </w:t>
      </w:r>
      <w:r w:rsidR="00A471B9">
        <w:rPr>
          <w:i/>
        </w:rPr>
        <w:t xml:space="preserve">the </w:t>
      </w:r>
      <w:r w:rsidR="008C6E0A" w:rsidRPr="003D07F2">
        <w:rPr>
          <w:i/>
        </w:rPr>
        <w:t xml:space="preserve">ACMA) Determination </w:t>
      </w:r>
      <w:r w:rsidR="00EF69B0" w:rsidRPr="003D07F2">
        <w:rPr>
          <w:i/>
        </w:rPr>
        <w:t>201</w:t>
      </w:r>
      <w:r w:rsidR="00A36203">
        <w:rPr>
          <w:i/>
        </w:rPr>
        <w:t>3</w:t>
      </w:r>
      <w:r w:rsidR="00077875">
        <w:rPr>
          <w:i/>
        </w:rPr>
        <w:t>.</w:t>
      </w:r>
      <w:r w:rsidR="00077875" w:rsidDel="00077875">
        <w:t xml:space="preserve"> </w:t>
      </w:r>
    </w:p>
    <w:p w:rsidR="006F093F" w:rsidRDefault="006F093F">
      <w:pPr>
        <w:rPr>
          <w:b/>
        </w:rPr>
      </w:pPr>
    </w:p>
    <w:p w:rsidR="00135056" w:rsidRPr="003D07F2" w:rsidRDefault="00135056">
      <w:pPr>
        <w:rPr>
          <w:b/>
        </w:rPr>
      </w:pPr>
      <w:r w:rsidRPr="003D07F2">
        <w:rPr>
          <w:b/>
        </w:rPr>
        <w:t>Section 3 - Application</w:t>
      </w:r>
    </w:p>
    <w:p w:rsidR="00135056" w:rsidRPr="003D07F2" w:rsidRDefault="00135056"/>
    <w:p w:rsidR="008C6E0A" w:rsidRPr="003D07F2" w:rsidDel="008C6E0A" w:rsidRDefault="00135056" w:rsidP="008C6E0A">
      <w:r w:rsidRPr="003D07F2">
        <w:t xml:space="preserve">This section provides </w:t>
      </w:r>
      <w:r w:rsidR="008C6E0A">
        <w:t xml:space="preserve">that the Determination applies to carrier licences that were in force </w:t>
      </w:r>
      <w:r w:rsidR="00EF69B0">
        <w:t>at the beginning of the 201</w:t>
      </w:r>
      <w:r w:rsidR="00A36203">
        <w:t>2</w:t>
      </w:r>
      <w:r w:rsidR="00EF69B0">
        <w:t>-201</w:t>
      </w:r>
      <w:r w:rsidR="00A36203">
        <w:t>3</w:t>
      </w:r>
      <w:r w:rsidR="00EF69B0">
        <w:t xml:space="preserve"> financial year (i.e. </w:t>
      </w:r>
      <w:r w:rsidR="008C6E0A">
        <w:t>on 1 July 201</w:t>
      </w:r>
      <w:r w:rsidR="00A36203">
        <w:t>2</w:t>
      </w:r>
      <w:r w:rsidR="00EF69B0">
        <w:t>)</w:t>
      </w:r>
      <w:r w:rsidR="008C6E0A">
        <w:t>.</w:t>
      </w:r>
    </w:p>
    <w:p w:rsidR="00EE1412" w:rsidRPr="003D07F2" w:rsidRDefault="00EE1412"/>
    <w:p w:rsidR="00EE1412" w:rsidRPr="003D07F2" w:rsidRDefault="00EE1412">
      <w:r w:rsidRPr="003D07F2">
        <w:rPr>
          <w:b/>
        </w:rPr>
        <w:t xml:space="preserve">Section </w:t>
      </w:r>
      <w:r w:rsidR="00135056" w:rsidRPr="003D07F2">
        <w:rPr>
          <w:b/>
        </w:rPr>
        <w:t xml:space="preserve">4 </w:t>
      </w:r>
      <w:r w:rsidRPr="003D07F2">
        <w:rPr>
          <w:b/>
        </w:rPr>
        <w:t>- Definition</w:t>
      </w:r>
      <w:r w:rsidR="00326380" w:rsidRPr="003D07F2">
        <w:rPr>
          <w:b/>
        </w:rPr>
        <w:t>s</w:t>
      </w:r>
    </w:p>
    <w:p w:rsidR="00EE1412" w:rsidRPr="003D07F2" w:rsidRDefault="00EE1412"/>
    <w:p w:rsidR="00077875" w:rsidRDefault="00EE1412">
      <w:r w:rsidRPr="003D07F2">
        <w:t>This section sets out the definitions of key terms used in the Determination</w:t>
      </w:r>
      <w:r w:rsidR="00CC00A1">
        <w:t xml:space="preserve"> as follows:</w:t>
      </w:r>
    </w:p>
    <w:p w:rsidR="00CC00A1" w:rsidRDefault="00CC00A1" w:rsidP="006F093F">
      <w:pPr>
        <w:pStyle w:val="definition"/>
        <w:spacing w:before="240"/>
        <w:ind w:left="426"/>
        <w:jc w:val="left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Telecommunications (Carrier Licence Charges) Act 1997</w:t>
      </w:r>
      <w:r>
        <w:t>.</w:t>
      </w:r>
    </w:p>
    <w:p w:rsidR="00CC00A1" w:rsidRPr="00CC00A1" w:rsidRDefault="00CC00A1" w:rsidP="006F093F">
      <w:pPr>
        <w:pStyle w:val="definition"/>
        <w:ind w:left="426"/>
        <w:jc w:val="left"/>
        <w:rPr>
          <w:b/>
        </w:rPr>
      </w:pPr>
      <w:r w:rsidRPr="00CC00A1">
        <w:rPr>
          <w:b/>
          <w:i/>
        </w:rPr>
        <w:t>carrier licence</w:t>
      </w:r>
      <w:r w:rsidRPr="00CC00A1">
        <w:rPr>
          <w:b/>
        </w:rPr>
        <w:t xml:space="preserve"> </w:t>
      </w:r>
      <w:r w:rsidRPr="00CC00A1">
        <w:t>means</w:t>
      </w:r>
      <w:r w:rsidR="00603185">
        <w:t xml:space="preserve"> a carrier licence to which the</w:t>
      </w:r>
      <w:r w:rsidRPr="00CC00A1">
        <w:t xml:space="preserve"> Determination applies, as provided by section 3.</w:t>
      </w:r>
    </w:p>
    <w:p w:rsidR="00CC00A1" w:rsidRDefault="00CC00A1" w:rsidP="006F093F">
      <w:pPr>
        <w:pStyle w:val="definition"/>
        <w:ind w:left="426"/>
        <w:jc w:val="left"/>
      </w:pPr>
      <w:r w:rsidRPr="00CC00A1">
        <w:rPr>
          <w:b/>
          <w:i/>
        </w:rPr>
        <w:t>carrier licence charge</w:t>
      </w:r>
      <w:r w:rsidRPr="00CC00A1">
        <w:t xml:space="preserve"> means charge within the meaning of Part 3 of the Act.</w:t>
      </w:r>
    </w:p>
    <w:p w:rsidR="00CC00A1" w:rsidRDefault="00CC00A1" w:rsidP="006F093F">
      <w:pPr>
        <w:pStyle w:val="definition"/>
        <w:ind w:left="426"/>
        <w:jc w:val="left"/>
        <w:rPr>
          <w:i/>
        </w:rPr>
      </w:pPr>
      <w:r>
        <w:rPr>
          <w:b/>
          <w:i/>
        </w:rPr>
        <w:t>eligibl</w:t>
      </w:r>
      <w:bookmarkStart w:id="0" w:name="_GoBack"/>
      <w:bookmarkEnd w:id="0"/>
      <w:r>
        <w:rPr>
          <w:b/>
          <w:i/>
        </w:rPr>
        <w:t>e revenue period</w:t>
      </w:r>
      <w:r>
        <w:rPr>
          <w:b/>
        </w:rPr>
        <w:t xml:space="preserve"> </w:t>
      </w:r>
      <w:r>
        <w:t xml:space="preserve">has the same meaning as in the </w:t>
      </w:r>
      <w:r>
        <w:rPr>
          <w:i/>
        </w:rPr>
        <w:t>Telecommunications (Consumer Protection and Service Standards) Act 1999.</w:t>
      </w:r>
    </w:p>
    <w:p w:rsidR="00CC00A1" w:rsidRDefault="00CC00A1" w:rsidP="006F093F">
      <w:pPr>
        <w:pStyle w:val="definition"/>
        <w:ind w:left="426"/>
        <w:jc w:val="left"/>
      </w:pPr>
      <w:r>
        <w:rPr>
          <w:b/>
          <w:i/>
        </w:rPr>
        <w:t xml:space="preserve">exempt carrier licence </w:t>
      </w:r>
      <w:r>
        <w:t>means a carrier licence that was held by a carrier that was a USO non-participating person for the eligible revenue period that began on 1 July 2011 and ended on 30 June 2012.</w:t>
      </w:r>
    </w:p>
    <w:p w:rsidR="00EE1412" w:rsidRPr="003D07F2" w:rsidRDefault="00CC00A1" w:rsidP="006F093F">
      <w:pPr>
        <w:pStyle w:val="definition"/>
        <w:ind w:left="426"/>
        <w:jc w:val="left"/>
      </w:pPr>
      <w:r>
        <w:rPr>
          <w:b/>
          <w:i/>
        </w:rPr>
        <w:t xml:space="preserve">USO non-participating person </w:t>
      </w:r>
      <w:r w:rsidRPr="00A3781F">
        <w:t>has the same meaning as in the</w:t>
      </w:r>
      <w:r>
        <w:rPr>
          <w:i/>
        </w:rPr>
        <w:t xml:space="preserve"> Telecommunications (Participating Per</w:t>
      </w:r>
      <w:r w:rsidR="00947448">
        <w:rPr>
          <w:i/>
        </w:rPr>
        <w:t>sons) Determination 2011 (No.1)</w:t>
      </w:r>
      <w:r w:rsidR="00EE1412" w:rsidRPr="003D07F2">
        <w:t>.</w:t>
      </w:r>
    </w:p>
    <w:p w:rsidR="00EE1412" w:rsidRPr="003D07F2" w:rsidRDefault="00EE1412">
      <w:pPr>
        <w:rPr>
          <w:b/>
        </w:rPr>
      </w:pPr>
    </w:p>
    <w:p w:rsidR="00EF69B0" w:rsidRPr="003D07F2" w:rsidRDefault="00EF69B0" w:rsidP="00EF69B0">
      <w:pPr>
        <w:rPr>
          <w:b/>
        </w:rPr>
      </w:pPr>
      <w:r w:rsidRPr="003D07F2">
        <w:rPr>
          <w:b/>
        </w:rPr>
        <w:t>Section 5</w:t>
      </w:r>
      <w:r w:rsidR="005A2442">
        <w:rPr>
          <w:b/>
        </w:rPr>
        <w:t xml:space="preserve"> </w:t>
      </w:r>
      <w:r w:rsidRPr="003D07F2">
        <w:rPr>
          <w:b/>
        </w:rPr>
        <w:t xml:space="preserve">– </w:t>
      </w:r>
      <w:r w:rsidR="005A2442">
        <w:rPr>
          <w:b/>
        </w:rPr>
        <w:t>C</w:t>
      </w:r>
      <w:r w:rsidRPr="003D07F2">
        <w:rPr>
          <w:b/>
        </w:rPr>
        <w:t>arrier licence charge</w:t>
      </w:r>
      <w:r w:rsidR="005A2442">
        <w:rPr>
          <w:b/>
        </w:rPr>
        <w:t xml:space="preserve"> – exempt carrier licences</w:t>
      </w:r>
    </w:p>
    <w:p w:rsidR="00EF69B0" w:rsidRDefault="00EF69B0">
      <w:pPr>
        <w:rPr>
          <w:b/>
        </w:rPr>
      </w:pPr>
    </w:p>
    <w:p w:rsidR="009873AC" w:rsidRDefault="009873AC" w:rsidP="006F093F">
      <w:pPr>
        <w:rPr>
          <w:szCs w:val="24"/>
        </w:rPr>
      </w:pPr>
      <w:r>
        <w:t>This s</w:t>
      </w:r>
      <w:r w:rsidR="00C674FD" w:rsidRPr="00C674FD">
        <w:t xml:space="preserve">ection </w:t>
      </w:r>
      <w:r w:rsidR="005A2442">
        <w:t xml:space="preserve">provides that the amount of carrier licence </w:t>
      </w:r>
      <w:r>
        <w:t xml:space="preserve">charge </w:t>
      </w:r>
      <w:r w:rsidR="005A2442">
        <w:t>imposed on an exempt carrier licence is $0</w:t>
      </w:r>
      <w:r>
        <w:t>, in accordance with the Ministerial Direction</w:t>
      </w:r>
      <w:r w:rsidR="005A2442">
        <w:t xml:space="preserve">. </w:t>
      </w:r>
    </w:p>
    <w:p w:rsidR="00EF69B0" w:rsidRDefault="00EF69B0">
      <w:pPr>
        <w:rPr>
          <w:b/>
        </w:rPr>
      </w:pPr>
    </w:p>
    <w:p w:rsidR="00EE1412" w:rsidRPr="003D07F2" w:rsidRDefault="00EE1412">
      <w:pPr>
        <w:rPr>
          <w:b/>
        </w:rPr>
      </w:pPr>
      <w:r w:rsidRPr="003D07F2">
        <w:rPr>
          <w:b/>
        </w:rPr>
        <w:t xml:space="preserve">Section </w:t>
      </w:r>
      <w:r w:rsidR="00EF69B0">
        <w:rPr>
          <w:b/>
        </w:rPr>
        <w:t xml:space="preserve">6 </w:t>
      </w:r>
      <w:r w:rsidRPr="003D07F2">
        <w:rPr>
          <w:b/>
        </w:rPr>
        <w:t xml:space="preserve">– Method of ascertaining </w:t>
      </w:r>
      <w:r w:rsidR="007E24AD" w:rsidRPr="003D07F2">
        <w:rPr>
          <w:b/>
        </w:rPr>
        <w:t xml:space="preserve">carrier licence </w:t>
      </w:r>
      <w:r w:rsidRPr="003D07F2">
        <w:rPr>
          <w:b/>
        </w:rPr>
        <w:t>charge</w:t>
      </w:r>
      <w:r w:rsidR="002678D0">
        <w:rPr>
          <w:b/>
        </w:rPr>
        <w:t xml:space="preserve"> – other carrier licences</w:t>
      </w:r>
    </w:p>
    <w:p w:rsidR="00EE1412" w:rsidRPr="003D07F2" w:rsidRDefault="00EE1412"/>
    <w:p w:rsidR="00903536" w:rsidRDefault="00EE1412">
      <w:r w:rsidRPr="003D07F2">
        <w:t xml:space="preserve">This section </w:t>
      </w:r>
      <w:r w:rsidR="009873AC">
        <w:t xml:space="preserve">sets out </w:t>
      </w:r>
      <w:r w:rsidR="00B45479">
        <w:t>a</w:t>
      </w:r>
      <w:r w:rsidR="009873AC">
        <w:t xml:space="preserve"> method for ascertaining </w:t>
      </w:r>
      <w:r w:rsidR="006F093F">
        <w:t>the</w:t>
      </w:r>
      <w:r w:rsidR="007E24AD" w:rsidRPr="003D07F2">
        <w:t xml:space="preserve"> </w:t>
      </w:r>
      <w:r w:rsidR="009873AC">
        <w:t xml:space="preserve">amount of </w:t>
      </w:r>
      <w:r w:rsidR="007E24AD" w:rsidRPr="003D07F2">
        <w:t xml:space="preserve">carrier licence </w:t>
      </w:r>
      <w:r w:rsidRPr="003D07F2">
        <w:t xml:space="preserve">charge </w:t>
      </w:r>
      <w:r w:rsidR="009873AC">
        <w:t xml:space="preserve">imposed on a carrier licence </w:t>
      </w:r>
      <w:r w:rsidR="00FB5088">
        <w:t>that is not an exempt carrier licence</w:t>
      </w:r>
      <w:r w:rsidR="00903536">
        <w:t xml:space="preserve"> (a relevant carrier licence).</w:t>
      </w:r>
    </w:p>
    <w:p w:rsidR="00903536" w:rsidRPr="003D07F2" w:rsidRDefault="00903536"/>
    <w:p w:rsidR="00FB5088" w:rsidRDefault="00FB5088">
      <w:r>
        <w:t>The amount is ascertained</w:t>
      </w:r>
      <w:r w:rsidR="00DE48D2">
        <w:t xml:space="preserve">, for </w:t>
      </w:r>
      <w:r w:rsidR="00903536">
        <w:t>a</w:t>
      </w:r>
      <w:r w:rsidR="00DE48D2">
        <w:t xml:space="preserve"> relevant carrier licence,</w:t>
      </w:r>
      <w:r>
        <w:t xml:space="preserve"> using the</w:t>
      </w:r>
      <w:r w:rsidR="006F093F">
        <w:t xml:space="preserve"> following</w:t>
      </w:r>
      <w:r>
        <w:t xml:space="preserve"> formula:</w:t>
      </w:r>
    </w:p>
    <w:p w:rsidR="00FB5088" w:rsidRDefault="00FB5088"/>
    <w:tbl>
      <w:tblPr>
        <w:tblW w:w="2730" w:type="dxa"/>
        <w:tblInd w:w="1440" w:type="dxa"/>
        <w:tblLook w:val="04A0"/>
      </w:tblPr>
      <w:tblGrid>
        <w:gridCol w:w="2020"/>
        <w:gridCol w:w="710"/>
      </w:tblGrid>
      <w:tr w:rsidR="00FB5088" w:rsidRPr="002E5721" w:rsidTr="00FB5088">
        <w:trPr>
          <w:trHeight w:val="315"/>
        </w:trPr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088" w:rsidRPr="002E5721" w:rsidRDefault="00FB5088" w:rsidP="00FB5088">
            <w:pPr>
              <w:jc w:val="right"/>
              <w:rPr>
                <w:b/>
                <w:bCs/>
                <w:color w:val="000000"/>
              </w:rPr>
            </w:pPr>
            <w:r w:rsidRPr="002E5721">
              <w:rPr>
                <w:b/>
                <w:bCs/>
                <w:color w:val="000000"/>
              </w:rPr>
              <w:lastRenderedPageBreak/>
              <w:t xml:space="preserve">(MCA - OTC) </w:t>
            </w:r>
            <w:r w:rsidRPr="002E5721">
              <w:rPr>
                <w:color w:val="000000"/>
                <w:sz w:val="28"/>
              </w:rPr>
              <w:t>×</w:t>
            </w:r>
            <w:r w:rsidRPr="002E572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088" w:rsidRPr="002E5721" w:rsidRDefault="00FB5088" w:rsidP="00FB5088">
            <w:pPr>
              <w:jc w:val="center"/>
              <w:rPr>
                <w:b/>
                <w:bCs/>
                <w:color w:val="000000"/>
              </w:rPr>
            </w:pPr>
            <w:r w:rsidRPr="002E5721">
              <w:rPr>
                <w:b/>
                <w:bCs/>
                <w:color w:val="000000"/>
              </w:rPr>
              <w:t>ER</w:t>
            </w:r>
          </w:p>
        </w:tc>
      </w:tr>
      <w:tr w:rsidR="00FB5088" w:rsidRPr="002E5721" w:rsidTr="00FB5088">
        <w:trPr>
          <w:trHeight w:val="315"/>
        </w:trPr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088" w:rsidRPr="002E5721" w:rsidRDefault="00FB5088" w:rsidP="00FB5088">
            <w:pPr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088" w:rsidRPr="002E5721" w:rsidRDefault="00FB5088" w:rsidP="00FB5088">
            <w:pPr>
              <w:jc w:val="center"/>
              <w:rPr>
                <w:b/>
                <w:bCs/>
                <w:color w:val="000000"/>
              </w:rPr>
            </w:pPr>
            <w:r w:rsidRPr="002E5721">
              <w:rPr>
                <w:b/>
                <w:bCs/>
                <w:color w:val="000000"/>
              </w:rPr>
              <w:t>TER</w:t>
            </w:r>
          </w:p>
        </w:tc>
      </w:tr>
    </w:tbl>
    <w:p w:rsidR="00FB5088" w:rsidRDefault="00FB5088"/>
    <w:p w:rsidR="00FB5088" w:rsidRDefault="00FB5088">
      <w:r>
        <w:t>Where:</w:t>
      </w:r>
    </w:p>
    <w:p w:rsidR="00557FF3" w:rsidRDefault="00FB5088">
      <w:pPr>
        <w:numPr>
          <w:ilvl w:val="0"/>
          <w:numId w:val="20"/>
        </w:numPr>
      </w:pPr>
      <w:r>
        <w:t xml:space="preserve">MCA </w:t>
      </w:r>
      <w:r w:rsidR="00BA49FF">
        <w:t>(</w:t>
      </w:r>
      <w:r>
        <w:t>maximum charge amount</w:t>
      </w:r>
      <w:r w:rsidR="00BA49FF">
        <w:t>) is</w:t>
      </w:r>
      <w:r w:rsidR="00DE48D2">
        <w:t xml:space="preserve"> the total sum of the amounts determined under subsection 15(1) of the Act</w:t>
      </w:r>
    </w:p>
    <w:p w:rsidR="00BA49FF" w:rsidRDefault="00FB5088">
      <w:pPr>
        <w:numPr>
          <w:ilvl w:val="0"/>
          <w:numId w:val="20"/>
        </w:numPr>
      </w:pPr>
      <w:r>
        <w:t xml:space="preserve">OTC </w:t>
      </w:r>
      <w:r w:rsidR="00BA49FF">
        <w:t>(</w:t>
      </w:r>
      <w:r>
        <w:t>other teleco</w:t>
      </w:r>
      <w:r w:rsidR="00BA49FF">
        <w:t>mmunication costs) is</w:t>
      </w:r>
      <w:r w:rsidR="00C66FA8">
        <w:t xml:space="preserve"> an amount </w:t>
      </w:r>
      <w:r w:rsidR="00BA49FF">
        <w:t>relating</w:t>
      </w:r>
      <w:r w:rsidR="00C66FA8">
        <w:t xml:space="preserve"> to costs that</w:t>
      </w:r>
      <w:r w:rsidR="00BA49FF">
        <w:t xml:space="preserve">: </w:t>
      </w:r>
    </w:p>
    <w:p w:rsidR="00BA49FF" w:rsidRDefault="00C66FA8" w:rsidP="00BA49FF">
      <w:pPr>
        <w:numPr>
          <w:ilvl w:val="0"/>
          <w:numId w:val="21"/>
        </w:numPr>
        <w:ind w:left="1418" w:hanging="709"/>
      </w:pPr>
      <w:r>
        <w:t xml:space="preserve">are part of the proportion of </w:t>
      </w:r>
      <w:r w:rsidR="00BA49FF">
        <w:t xml:space="preserve">the </w:t>
      </w:r>
      <w:r>
        <w:t>ACMA</w:t>
      </w:r>
      <w:r w:rsidR="00BA49FF">
        <w:t>’s</w:t>
      </w:r>
      <w:r>
        <w:t xml:space="preserve"> costs for the 2011-2012 financial year that is a</w:t>
      </w:r>
      <w:r w:rsidR="00DE48D2">
        <w:t>ttributable to the ACMA’s telecommunications functions and powers</w:t>
      </w:r>
      <w:r>
        <w:t xml:space="preserve">; and </w:t>
      </w:r>
    </w:p>
    <w:p w:rsidR="00557FF3" w:rsidRDefault="00DE48D2" w:rsidP="00BA49FF">
      <w:pPr>
        <w:numPr>
          <w:ilvl w:val="0"/>
          <w:numId w:val="21"/>
        </w:numPr>
        <w:ind w:left="1418" w:hanging="709"/>
      </w:pPr>
      <w:r>
        <w:t>have been recovered from telecommunications charges (other than</w:t>
      </w:r>
      <w:r w:rsidR="00C66FA8">
        <w:t xml:space="preserve"> annual carrier licence charges)</w:t>
      </w:r>
      <w:r>
        <w:t xml:space="preserve"> or the ACMA considers are not appropriate to recover from carriers</w:t>
      </w:r>
      <w:r w:rsidR="00BA49FF">
        <w:t xml:space="preserve"> because of the nature of the activities with which the costs are associated</w:t>
      </w:r>
    </w:p>
    <w:p w:rsidR="00557FF3" w:rsidRDefault="00FB5088">
      <w:pPr>
        <w:numPr>
          <w:ilvl w:val="0"/>
          <w:numId w:val="20"/>
        </w:numPr>
      </w:pPr>
      <w:r>
        <w:t>ER</w:t>
      </w:r>
      <w:r w:rsidR="00BA49FF">
        <w:t xml:space="preserve"> (eligible revenue)</w:t>
      </w:r>
      <w:r w:rsidR="00C66FA8">
        <w:t xml:space="preserve">, for the </w:t>
      </w:r>
      <w:r w:rsidR="00BA49FF">
        <w:t xml:space="preserve">holder of the </w:t>
      </w:r>
      <w:r w:rsidR="00C66FA8">
        <w:t>relevant carrier</w:t>
      </w:r>
      <w:r w:rsidR="00BA49FF">
        <w:t xml:space="preserve"> licence</w:t>
      </w:r>
      <w:r w:rsidR="00C66FA8">
        <w:t>,</w:t>
      </w:r>
      <w:r w:rsidR="00BA49FF">
        <w:t xml:space="preserve"> is th</w:t>
      </w:r>
      <w:r w:rsidR="0076291A">
        <w:t>e</w:t>
      </w:r>
      <w:r w:rsidR="00BA49FF">
        <w:t xml:space="preserve"> holder’s</w:t>
      </w:r>
      <w:r>
        <w:t xml:space="preserve"> eligible revenue</w:t>
      </w:r>
      <w:r w:rsidR="00DE48D2">
        <w:t xml:space="preserve"> for the 2011-2012 financial year</w:t>
      </w:r>
    </w:p>
    <w:p w:rsidR="00EE1412" w:rsidRDefault="00FB5088" w:rsidP="00BA49FF">
      <w:pPr>
        <w:numPr>
          <w:ilvl w:val="0"/>
          <w:numId w:val="20"/>
        </w:numPr>
      </w:pPr>
      <w:r>
        <w:t xml:space="preserve">TER </w:t>
      </w:r>
      <w:r w:rsidR="00BA49FF">
        <w:t>(</w:t>
      </w:r>
      <w:r>
        <w:t>total eligible revenue</w:t>
      </w:r>
      <w:r w:rsidR="00BA49FF">
        <w:t xml:space="preserve">) is </w:t>
      </w:r>
      <w:r w:rsidR="00DE48D2">
        <w:t xml:space="preserve">the </w:t>
      </w:r>
      <w:r w:rsidR="00BA49FF">
        <w:t xml:space="preserve">total </w:t>
      </w:r>
      <w:r w:rsidR="00DE48D2">
        <w:t xml:space="preserve">sum of </w:t>
      </w:r>
      <w:r w:rsidR="00BA49FF">
        <w:t xml:space="preserve">the </w:t>
      </w:r>
      <w:r w:rsidR="00DE48D2">
        <w:t>eligible revenue</w:t>
      </w:r>
      <w:r w:rsidR="00A471B9">
        <w:t>s</w:t>
      </w:r>
      <w:r w:rsidR="00DE48D2">
        <w:t xml:space="preserve"> for the 2011-2012 financial year</w:t>
      </w:r>
      <w:r w:rsidR="00B55ED0">
        <w:t xml:space="preserve"> for </w:t>
      </w:r>
      <w:r w:rsidR="00A471B9">
        <w:t>all</w:t>
      </w:r>
      <w:r w:rsidR="00B55ED0">
        <w:t xml:space="preserve"> </w:t>
      </w:r>
      <w:r w:rsidR="00BA49FF">
        <w:t>holder</w:t>
      </w:r>
      <w:r w:rsidR="00A471B9">
        <w:t>s</w:t>
      </w:r>
      <w:r w:rsidR="00BA49FF">
        <w:t xml:space="preserve"> of a relevant carrier licence</w:t>
      </w:r>
      <w:r w:rsidR="00603185">
        <w:t>.</w:t>
      </w:r>
    </w:p>
    <w:p w:rsidR="00BA49FF" w:rsidRPr="003D07F2" w:rsidRDefault="00BA49FF" w:rsidP="00BA49FF">
      <w:pPr>
        <w:ind w:left="720"/>
      </w:pPr>
    </w:p>
    <w:p w:rsidR="00492E36" w:rsidRPr="003D07F2" w:rsidRDefault="0091421B" w:rsidP="00492E36">
      <w:r>
        <w:t>T</w:t>
      </w:r>
      <w:r w:rsidR="00252BF1">
        <w:t>he total charge</w:t>
      </w:r>
      <w:r w:rsidR="00B80A64">
        <w:t xml:space="preserve"> amount</w:t>
      </w:r>
      <w:r>
        <w:t xml:space="preserve"> is </w:t>
      </w:r>
      <w:r w:rsidR="0076291A">
        <w:t>calculated</w:t>
      </w:r>
      <w:r w:rsidR="00252BF1">
        <w:t xml:space="preserve"> by </w:t>
      </w:r>
      <w:r w:rsidR="00B437AE">
        <w:t>subtracting</w:t>
      </w:r>
      <w:r w:rsidR="00B437AE" w:rsidRPr="003D07F2">
        <w:t xml:space="preserve"> </w:t>
      </w:r>
      <w:r w:rsidR="00FD1159" w:rsidRPr="003D07F2">
        <w:t xml:space="preserve">the </w:t>
      </w:r>
      <w:r w:rsidR="00492E36" w:rsidRPr="003D07F2">
        <w:t xml:space="preserve">other </w:t>
      </w:r>
      <w:r w:rsidR="005F0796" w:rsidRPr="003D07F2">
        <w:t xml:space="preserve">telecommunication </w:t>
      </w:r>
      <w:r w:rsidR="00C66FA8">
        <w:t xml:space="preserve">costs </w:t>
      </w:r>
      <w:r w:rsidR="00473147">
        <w:t>from the</w:t>
      </w:r>
      <w:r w:rsidR="00C66FA8">
        <w:t xml:space="preserve"> maximum charge amount</w:t>
      </w:r>
      <w:r w:rsidR="005F0796" w:rsidRPr="003D07F2">
        <w:t>. The</w:t>
      </w:r>
      <w:r w:rsidR="00492E36" w:rsidRPr="003D07F2">
        <w:t xml:space="preserve"> total </w:t>
      </w:r>
      <w:r w:rsidR="00473147">
        <w:t xml:space="preserve">charge </w:t>
      </w:r>
      <w:r>
        <w:t xml:space="preserve">amount </w:t>
      </w:r>
      <w:r w:rsidR="005F0796" w:rsidRPr="003D07F2">
        <w:t xml:space="preserve">is </w:t>
      </w:r>
      <w:r w:rsidR="00473147">
        <w:t xml:space="preserve">then </w:t>
      </w:r>
      <w:r w:rsidR="005F0796" w:rsidRPr="003D07F2">
        <w:t xml:space="preserve">allocated </w:t>
      </w:r>
      <w:r w:rsidR="00492E36" w:rsidRPr="003D07F2">
        <w:t>to</w:t>
      </w:r>
      <w:r w:rsidR="0076291A">
        <w:t xml:space="preserve"> each holder of</w:t>
      </w:r>
      <w:r w:rsidR="00492E36" w:rsidRPr="003D07F2">
        <w:t xml:space="preserve"> </w:t>
      </w:r>
      <w:r w:rsidR="0076291A">
        <w:t xml:space="preserve">a </w:t>
      </w:r>
      <w:r w:rsidR="00C66FA8">
        <w:t xml:space="preserve">relevant </w:t>
      </w:r>
      <w:r w:rsidR="00492E36" w:rsidRPr="003D07F2">
        <w:t>carrier</w:t>
      </w:r>
      <w:r w:rsidR="0076291A">
        <w:t xml:space="preserve"> licence</w:t>
      </w:r>
      <w:r w:rsidR="00473147">
        <w:t xml:space="preserve"> </w:t>
      </w:r>
      <w:r w:rsidR="0076291A">
        <w:t>in the same proportion of that holder’s</w:t>
      </w:r>
      <w:r w:rsidR="00492E36" w:rsidRPr="003D07F2">
        <w:t xml:space="preserve"> eligible revenue</w:t>
      </w:r>
      <w:r w:rsidR="0076291A">
        <w:t xml:space="preserve"> to the total </w:t>
      </w:r>
      <w:r w:rsidR="00B80A64">
        <w:t>eligible revenue</w:t>
      </w:r>
      <w:r w:rsidR="005F3FEB">
        <w:t>.</w:t>
      </w:r>
    </w:p>
    <w:p w:rsidR="00492E36" w:rsidRPr="003D07F2" w:rsidRDefault="00492E36"/>
    <w:p w:rsidR="00EE1412" w:rsidRPr="003D07F2" w:rsidRDefault="00EE1412">
      <w:pPr>
        <w:rPr>
          <w:b/>
        </w:rPr>
      </w:pPr>
      <w:r w:rsidRPr="003D07F2">
        <w:rPr>
          <w:b/>
        </w:rPr>
        <w:t>Schedule 1</w:t>
      </w:r>
    </w:p>
    <w:p w:rsidR="00EE1412" w:rsidRPr="003D07F2" w:rsidRDefault="00EE1412"/>
    <w:p w:rsidR="006B7C95" w:rsidRDefault="006B7C95">
      <w:r>
        <w:t>Schedule 1 sets out, for each holder of a relevant carrier licence, the holder’s:</w:t>
      </w:r>
    </w:p>
    <w:p w:rsidR="006B7C95" w:rsidRDefault="006B7C95" w:rsidP="006B7C95">
      <w:pPr>
        <w:numPr>
          <w:ilvl w:val="0"/>
          <w:numId w:val="22"/>
        </w:numPr>
      </w:pPr>
      <w:r>
        <w:t xml:space="preserve">name, </w:t>
      </w:r>
    </w:p>
    <w:p w:rsidR="006B7C95" w:rsidRDefault="006B7C95" w:rsidP="006B7C95">
      <w:pPr>
        <w:numPr>
          <w:ilvl w:val="0"/>
          <w:numId w:val="22"/>
        </w:numPr>
      </w:pPr>
      <w:r>
        <w:t>ACN/ARBN</w:t>
      </w:r>
      <w:r w:rsidR="0088410D">
        <w:t>/ABN</w:t>
      </w:r>
      <w:r>
        <w:t>, and</w:t>
      </w:r>
    </w:p>
    <w:p w:rsidR="00EE1412" w:rsidRDefault="007D21EF" w:rsidP="006B7C95">
      <w:pPr>
        <w:numPr>
          <w:ilvl w:val="0"/>
          <w:numId w:val="22"/>
        </w:numPr>
      </w:pPr>
      <w:r w:rsidRPr="003D07F2">
        <w:t xml:space="preserve">eligible revenue for the </w:t>
      </w:r>
      <w:r w:rsidR="00FD1159" w:rsidRPr="003D07F2">
        <w:t>20</w:t>
      </w:r>
      <w:r w:rsidR="00473147">
        <w:t>1</w:t>
      </w:r>
      <w:r w:rsidR="009348F6">
        <w:t>1</w:t>
      </w:r>
      <w:r w:rsidR="005F0796" w:rsidRPr="003D07F2">
        <w:t>-</w:t>
      </w:r>
      <w:r w:rsidR="00961BF3" w:rsidRPr="003D07F2">
        <w:t>20</w:t>
      </w:r>
      <w:r w:rsidR="00FD1159" w:rsidRPr="003D07F2">
        <w:t>1</w:t>
      </w:r>
      <w:r w:rsidR="009348F6">
        <w:t>2</w:t>
      </w:r>
      <w:r w:rsidR="00EE1412" w:rsidRPr="003D07F2">
        <w:t xml:space="preserve"> financial year</w:t>
      </w:r>
      <w:r w:rsidR="008128B8" w:rsidRPr="003D07F2">
        <w:t xml:space="preserve"> as </w:t>
      </w:r>
      <w:r w:rsidR="0014255C">
        <w:t>assessed</w:t>
      </w:r>
      <w:r w:rsidR="008128B8" w:rsidRPr="003D07F2">
        <w:t xml:space="preserve"> by the ACMA under </w:t>
      </w:r>
      <w:r w:rsidR="0014255C">
        <w:t>sub</w:t>
      </w:r>
      <w:r w:rsidR="008128B8" w:rsidRPr="003D07F2">
        <w:t>section 20F</w:t>
      </w:r>
      <w:r w:rsidR="0014255C">
        <w:t>(1)</w:t>
      </w:r>
      <w:r w:rsidR="008128B8" w:rsidRPr="003D07F2">
        <w:t xml:space="preserve"> of the </w:t>
      </w:r>
      <w:r w:rsidR="008128B8" w:rsidRPr="003D07F2">
        <w:rPr>
          <w:i/>
        </w:rPr>
        <w:t>Telecommunications (Consumer Protection and Service Standards) Act 1999</w:t>
      </w:r>
      <w:r w:rsidR="00EE1412" w:rsidRPr="003D07F2">
        <w:t>.</w:t>
      </w:r>
      <w:r w:rsidR="00730E66" w:rsidRPr="003D07F2">
        <w:t xml:space="preserve"> </w:t>
      </w:r>
    </w:p>
    <w:p w:rsidR="000400CF" w:rsidRPr="006905C0" w:rsidRDefault="000400CF" w:rsidP="000400CF">
      <w:pPr>
        <w:jc w:val="right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Attachment 2</w:t>
      </w:r>
    </w:p>
    <w:p w:rsidR="000400CF" w:rsidRDefault="000400CF" w:rsidP="000400CF">
      <w:pPr>
        <w:jc w:val="center"/>
      </w:pPr>
    </w:p>
    <w:p w:rsidR="000400CF" w:rsidRPr="00557FF3" w:rsidRDefault="000400CF" w:rsidP="000400CF">
      <w:pPr>
        <w:jc w:val="center"/>
        <w:rPr>
          <w:b/>
          <w:sz w:val="28"/>
          <w:szCs w:val="28"/>
        </w:rPr>
      </w:pPr>
      <w:r w:rsidRPr="00557FF3">
        <w:rPr>
          <w:b/>
          <w:sz w:val="28"/>
          <w:szCs w:val="28"/>
        </w:rPr>
        <w:t>Statement of Compatibility with Human Rights</w:t>
      </w:r>
    </w:p>
    <w:p w:rsidR="000400CF" w:rsidRPr="00922F62" w:rsidRDefault="000400CF" w:rsidP="000400CF">
      <w:pPr>
        <w:spacing w:before="120"/>
        <w:jc w:val="center"/>
      </w:pPr>
      <w:r w:rsidRPr="00922F62">
        <w:t>Prepared in accordance with Part 3 of the</w:t>
      </w:r>
      <w:r w:rsidRPr="00922F62">
        <w:rPr>
          <w:i/>
        </w:rPr>
        <w:t xml:space="preserve"> Human Rights (Parliamentary Scrutiny) Act 2011</w:t>
      </w:r>
    </w:p>
    <w:p w:rsidR="000400CF" w:rsidRPr="00557FF3" w:rsidRDefault="000400CF" w:rsidP="000400CF">
      <w:pPr>
        <w:spacing w:before="120"/>
        <w:jc w:val="center"/>
        <w:rPr>
          <w:rFonts w:ascii="Arial" w:hAnsi="Arial" w:cs="Arial"/>
          <w:sz w:val="28"/>
          <w:szCs w:val="28"/>
        </w:rPr>
      </w:pPr>
    </w:p>
    <w:p w:rsidR="000400CF" w:rsidRPr="00557FF3" w:rsidRDefault="000400CF" w:rsidP="000400CF">
      <w:pPr>
        <w:pStyle w:val="ACMABodyTextChar"/>
        <w:jc w:val="center"/>
        <w:rPr>
          <w:b/>
          <w:i/>
          <w:sz w:val="28"/>
          <w:szCs w:val="28"/>
        </w:rPr>
      </w:pPr>
      <w:r w:rsidRPr="00557FF3">
        <w:rPr>
          <w:b/>
          <w:i/>
          <w:sz w:val="28"/>
          <w:szCs w:val="28"/>
        </w:rPr>
        <w:t>Telecommunications (Annual Carrier Licence Charge) Determination 201</w:t>
      </w:r>
      <w:r w:rsidR="009348F6" w:rsidRPr="00557FF3">
        <w:rPr>
          <w:b/>
          <w:i/>
          <w:sz w:val="28"/>
          <w:szCs w:val="28"/>
        </w:rPr>
        <w:t>3</w:t>
      </w:r>
    </w:p>
    <w:p w:rsidR="00557FF3" w:rsidRDefault="000400CF" w:rsidP="00557FF3">
      <w:pPr>
        <w:rPr>
          <w:b/>
          <w:sz w:val="28"/>
        </w:rPr>
      </w:pPr>
      <w:r w:rsidRPr="00922F62">
        <w:t xml:space="preserve">This Legislative Instrument is compatible with the human rights and freedoms recognised or declared in the international instruments listed in section 3 of the </w:t>
      </w:r>
      <w:r w:rsidRPr="00922F62">
        <w:rPr>
          <w:i/>
        </w:rPr>
        <w:t>Human Rights (Parliamentary Scrutiny) Act 2011</w:t>
      </w:r>
      <w:r w:rsidRPr="00922F62">
        <w:t>.</w:t>
      </w:r>
    </w:p>
    <w:p w:rsidR="00557FF3" w:rsidRDefault="000400CF" w:rsidP="00557FF3">
      <w:pPr>
        <w:spacing w:before="240"/>
      </w:pPr>
      <w:r w:rsidRPr="00922F62">
        <w:rPr>
          <w:b/>
          <w:sz w:val="28"/>
        </w:rPr>
        <w:t>Overview of the Legislative Instrument</w:t>
      </w:r>
    </w:p>
    <w:p w:rsidR="007B26DF" w:rsidRPr="003D07F2" w:rsidRDefault="007B26DF" w:rsidP="00557FF3">
      <w:pPr>
        <w:spacing w:before="240"/>
      </w:pPr>
      <w:r w:rsidRPr="003D07F2">
        <w:t>Section 12 of</w:t>
      </w:r>
      <w:r>
        <w:t xml:space="preserve"> the</w:t>
      </w:r>
      <w:r w:rsidRPr="003D07F2">
        <w:t xml:space="preserve"> </w:t>
      </w:r>
      <w:r w:rsidRPr="007E5461">
        <w:rPr>
          <w:i/>
        </w:rPr>
        <w:t>Telecommunications (</w:t>
      </w:r>
      <w:r>
        <w:rPr>
          <w:i/>
        </w:rPr>
        <w:t xml:space="preserve">Carrier Licence Charges) Act 1997 </w:t>
      </w:r>
      <w:r>
        <w:t>(</w:t>
      </w:r>
      <w:r w:rsidRPr="003D07F2">
        <w:t>the Act</w:t>
      </w:r>
      <w:r>
        <w:t>)</w:t>
      </w:r>
      <w:r w:rsidRPr="003D07F2">
        <w:t xml:space="preserve"> provides that a charge is imposed</w:t>
      </w:r>
      <w:r w:rsidR="00B45479">
        <w:t xml:space="preserve"> by Part 3</w:t>
      </w:r>
      <w:r w:rsidRPr="003D07F2">
        <w:t xml:space="preserve"> on a carrier licence that is in force at the beginning of a financial year</w:t>
      </w:r>
      <w:r w:rsidR="00B45479">
        <w:t xml:space="preserve"> (an annual carrier licence charge)</w:t>
      </w:r>
      <w:r w:rsidRPr="003D07F2">
        <w:t xml:space="preserve">.  </w:t>
      </w:r>
    </w:p>
    <w:p w:rsidR="00B55ED0" w:rsidRDefault="00B55ED0" w:rsidP="00557FF3">
      <w:pPr>
        <w:pStyle w:val="ACMABodyTextChar"/>
        <w:spacing w:before="0" w:after="0" w:line="240" w:lineRule="auto"/>
        <w:rPr>
          <w:i/>
        </w:rPr>
      </w:pPr>
    </w:p>
    <w:p w:rsidR="000400CF" w:rsidRDefault="0022553D" w:rsidP="00557FF3">
      <w:pPr>
        <w:pStyle w:val="ACMABodyTextChar"/>
        <w:spacing w:before="0" w:after="0" w:line="240" w:lineRule="auto"/>
        <w:rPr>
          <w:i/>
        </w:rPr>
      </w:pPr>
      <w:r>
        <w:t>Subs</w:t>
      </w:r>
      <w:r w:rsidR="000400CF">
        <w:t xml:space="preserve">ection </w:t>
      </w:r>
      <w:r>
        <w:t>14(1)</w:t>
      </w:r>
      <w:r w:rsidR="000400CF">
        <w:t xml:space="preserve"> of the </w:t>
      </w:r>
      <w:r w:rsidR="007B26DF">
        <w:t xml:space="preserve">Act </w:t>
      </w:r>
      <w:r w:rsidR="000400CF">
        <w:t xml:space="preserve">provides that </w:t>
      </w:r>
      <w:r>
        <w:t xml:space="preserve">the amount of </w:t>
      </w:r>
      <w:r w:rsidR="00B45479">
        <w:t xml:space="preserve">an annual carrier licence </w:t>
      </w:r>
      <w:r w:rsidR="000400CF">
        <w:t>charge imposed on a carrier licence</w:t>
      </w:r>
      <w:r>
        <w:t xml:space="preserve"> is the amount ascertained in accordance with a written determination made by the </w:t>
      </w:r>
      <w:r w:rsidR="007B26DF">
        <w:t xml:space="preserve">Australian Communications and Media Authority (the </w:t>
      </w:r>
      <w:r>
        <w:t>ACMA</w:t>
      </w:r>
      <w:r w:rsidR="007B26DF">
        <w:t>)</w:t>
      </w:r>
      <w:r w:rsidR="000400CF">
        <w:t xml:space="preserve">.  </w:t>
      </w:r>
    </w:p>
    <w:p w:rsidR="000400CF" w:rsidRDefault="00387853" w:rsidP="00557FF3">
      <w:pPr>
        <w:pStyle w:val="ACMABodyText"/>
        <w:spacing w:before="0" w:after="0" w:line="240" w:lineRule="auto"/>
      </w:pPr>
      <w:r>
        <w:t xml:space="preserve"> </w:t>
      </w:r>
    </w:p>
    <w:p w:rsidR="00B45479" w:rsidRPr="003D07F2" w:rsidRDefault="007B26DF" w:rsidP="00B45479">
      <w:pPr>
        <w:pStyle w:val="ACMABodyTextChar"/>
        <w:spacing w:line="240" w:lineRule="auto"/>
      </w:pPr>
      <w:r w:rsidRPr="00D16EC1">
        <w:t xml:space="preserve">The </w:t>
      </w:r>
      <w:r w:rsidRPr="00D16EC1">
        <w:rPr>
          <w:i/>
        </w:rPr>
        <w:t>Telecommunications (</w:t>
      </w:r>
      <w:r>
        <w:rPr>
          <w:i/>
        </w:rPr>
        <w:t>Annual Carrier Licence Charge</w:t>
      </w:r>
      <w:r w:rsidRPr="00D16EC1">
        <w:rPr>
          <w:i/>
        </w:rPr>
        <w:t>) Determination 201</w:t>
      </w:r>
      <w:r w:rsidR="00D3287D">
        <w:rPr>
          <w:i/>
        </w:rPr>
        <w:t xml:space="preserve">3 </w:t>
      </w:r>
      <w:r w:rsidRPr="00D16EC1">
        <w:t xml:space="preserve">has been made by </w:t>
      </w:r>
      <w:r>
        <w:t xml:space="preserve">the ACMA to </w:t>
      </w:r>
      <w:r w:rsidRPr="00C674FD">
        <w:t xml:space="preserve">set out the method for </w:t>
      </w:r>
      <w:r w:rsidR="00B55ED0">
        <w:t xml:space="preserve">ascertaining </w:t>
      </w:r>
      <w:r w:rsidRPr="00C674FD">
        <w:t>the amount of</w:t>
      </w:r>
      <w:r w:rsidR="00B45479">
        <w:t xml:space="preserve"> annual carrier licence</w:t>
      </w:r>
      <w:r w:rsidR="00F31415">
        <w:t xml:space="preserve"> charge imposed </w:t>
      </w:r>
      <w:r w:rsidR="00903536">
        <w:t>on each</w:t>
      </w:r>
      <w:r w:rsidRPr="00C674FD">
        <w:t xml:space="preserve"> carrier licence that was in force at the beginning of the 201</w:t>
      </w:r>
      <w:r>
        <w:t>2</w:t>
      </w:r>
      <w:r w:rsidRPr="00C674FD">
        <w:t>-201</w:t>
      </w:r>
      <w:r>
        <w:t>3</w:t>
      </w:r>
      <w:r w:rsidRPr="00C674FD">
        <w:t xml:space="preserve"> financial year.</w:t>
      </w:r>
    </w:p>
    <w:p w:rsidR="00557FF3" w:rsidRDefault="000400CF" w:rsidP="00557FF3">
      <w:pPr>
        <w:spacing w:before="240"/>
        <w:rPr>
          <w:b/>
          <w:sz w:val="28"/>
        </w:rPr>
      </w:pPr>
      <w:r w:rsidRPr="00922F62">
        <w:rPr>
          <w:b/>
          <w:sz w:val="28"/>
        </w:rPr>
        <w:t>Human rights implications</w:t>
      </w:r>
    </w:p>
    <w:p w:rsidR="00557FF3" w:rsidRDefault="000400CF" w:rsidP="00557FF3">
      <w:pPr>
        <w:spacing w:before="240"/>
      </w:pPr>
      <w:r w:rsidRPr="00922F62">
        <w:t>This Legislative Instrument does not engage any of the applicable rights or freedoms.</w:t>
      </w:r>
    </w:p>
    <w:p w:rsidR="00557FF3" w:rsidRDefault="000400CF" w:rsidP="00557FF3">
      <w:pPr>
        <w:spacing w:before="240"/>
        <w:rPr>
          <w:b/>
          <w:sz w:val="28"/>
        </w:rPr>
      </w:pPr>
      <w:r w:rsidRPr="00922F62">
        <w:rPr>
          <w:b/>
          <w:sz w:val="28"/>
        </w:rPr>
        <w:t>Conclusion</w:t>
      </w:r>
    </w:p>
    <w:p w:rsidR="000400CF" w:rsidRPr="00922F62" w:rsidRDefault="000400CF" w:rsidP="00557FF3">
      <w:pPr>
        <w:spacing w:before="240"/>
      </w:pPr>
      <w:r w:rsidRPr="00922F62">
        <w:t>This Legislative Instrument is compatible with human rights as it does not raise any human rights issues.</w:t>
      </w:r>
    </w:p>
    <w:p w:rsidR="000400CF" w:rsidRPr="007B26DF" w:rsidRDefault="000400CF" w:rsidP="000400CF">
      <w:pPr>
        <w:spacing w:before="120"/>
        <w:rPr>
          <w:sz w:val="28"/>
          <w:szCs w:val="28"/>
        </w:rPr>
      </w:pPr>
    </w:p>
    <w:p w:rsidR="000400CF" w:rsidRPr="007B26DF" w:rsidRDefault="007B26DF" w:rsidP="007B26DF">
      <w:pPr>
        <w:jc w:val="center"/>
        <w:rPr>
          <w:b/>
          <w:sz w:val="28"/>
          <w:szCs w:val="28"/>
        </w:rPr>
      </w:pPr>
      <w:r w:rsidRPr="007B26DF">
        <w:rPr>
          <w:b/>
          <w:sz w:val="28"/>
          <w:szCs w:val="28"/>
        </w:rPr>
        <w:t>Australian Communications and Media Authority</w:t>
      </w:r>
    </w:p>
    <w:p w:rsidR="000400CF" w:rsidRPr="003D07F2" w:rsidRDefault="000400CF"/>
    <w:sectPr w:rsidR="000400CF" w:rsidRPr="003D07F2" w:rsidSect="002449D0">
      <w:footerReference w:type="even" r:id="rId8"/>
      <w:footerReference w:type="default" r:id="rId9"/>
      <w:pgSz w:w="11907" w:h="16840" w:code="9"/>
      <w:pgMar w:top="1361" w:right="1701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79" w:rsidRDefault="00B45479">
      <w:r>
        <w:separator/>
      </w:r>
    </w:p>
  </w:endnote>
  <w:endnote w:type="continuationSeparator" w:id="0">
    <w:p w:rsidR="00B45479" w:rsidRDefault="00B4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79" w:rsidRDefault="00E63BF0" w:rsidP="00324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54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479" w:rsidRDefault="00B45479" w:rsidP="003620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79" w:rsidRDefault="00E63BF0" w:rsidP="00324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54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4BE">
      <w:rPr>
        <w:rStyle w:val="PageNumber"/>
        <w:noProof/>
      </w:rPr>
      <w:t>5</w:t>
    </w:r>
    <w:r>
      <w:rPr>
        <w:rStyle w:val="PageNumber"/>
      </w:rPr>
      <w:fldChar w:fldCharType="end"/>
    </w:r>
  </w:p>
  <w:p w:rsidR="00B45479" w:rsidRDefault="00B45479" w:rsidP="003620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79" w:rsidRDefault="00B45479">
      <w:r>
        <w:separator/>
      </w:r>
    </w:p>
  </w:footnote>
  <w:footnote w:type="continuationSeparator" w:id="0">
    <w:p w:rsidR="00B45479" w:rsidRDefault="00B45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4"/>
      </v:shape>
    </w:pict>
  </w:numPicBullet>
  <w:abstractNum w:abstractNumId="0">
    <w:nsid w:val="0B56201D"/>
    <w:multiLevelType w:val="hybridMultilevel"/>
    <w:tmpl w:val="77CAFB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718C7"/>
    <w:multiLevelType w:val="hybridMultilevel"/>
    <w:tmpl w:val="7E760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368E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3">
    <w:nsid w:val="0F0B39BA"/>
    <w:multiLevelType w:val="singleLevel"/>
    <w:tmpl w:val="5FFCA9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3B74A6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5">
    <w:nsid w:val="1AA433CB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6">
    <w:nsid w:val="2AB47B72"/>
    <w:multiLevelType w:val="singleLevel"/>
    <w:tmpl w:val="3C2262C4"/>
    <w:lvl w:ilvl="0">
      <w:start w:val="3"/>
      <w:numFmt w:val="decimal"/>
      <w:lvlText w:val="%1"/>
      <w:lvlJc w:val="left"/>
      <w:pPr>
        <w:tabs>
          <w:tab w:val="num" w:pos="1841"/>
        </w:tabs>
        <w:ind w:left="1841" w:hanging="990"/>
      </w:pPr>
      <w:rPr>
        <w:rFonts w:hint="default"/>
      </w:rPr>
    </w:lvl>
  </w:abstractNum>
  <w:abstractNum w:abstractNumId="7">
    <w:nsid w:val="2B562E3E"/>
    <w:multiLevelType w:val="hybridMultilevel"/>
    <w:tmpl w:val="F24AA83E"/>
    <w:lvl w:ilvl="0" w:tplc="950A31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65D05"/>
    <w:multiLevelType w:val="hybridMultilevel"/>
    <w:tmpl w:val="1F929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929D7"/>
    <w:multiLevelType w:val="hybridMultilevel"/>
    <w:tmpl w:val="9F4C90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854221"/>
    <w:multiLevelType w:val="hybridMultilevel"/>
    <w:tmpl w:val="6478D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A75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FD5417"/>
    <w:multiLevelType w:val="hybridMultilevel"/>
    <w:tmpl w:val="8C1CA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80CD4"/>
    <w:multiLevelType w:val="hybridMultilevel"/>
    <w:tmpl w:val="B5169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415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1C25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DE31124"/>
    <w:multiLevelType w:val="singleLevel"/>
    <w:tmpl w:val="11868468"/>
    <w:lvl w:ilvl="0">
      <w:start w:val="1"/>
      <w:numFmt w:val="bullet"/>
      <w:lvlText w:val=""/>
      <w:lvlJc w:val="left"/>
      <w:pPr>
        <w:tabs>
          <w:tab w:val="num" w:pos="964"/>
        </w:tabs>
        <w:ind w:left="964" w:hanging="454"/>
      </w:pPr>
      <w:rPr>
        <w:rFonts w:ascii="Wingdings" w:hAnsi="Wingdings" w:hint="default"/>
      </w:rPr>
    </w:lvl>
  </w:abstractNum>
  <w:abstractNum w:abstractNumId="17">
    <w:nsid w:val="62A81464"/>
    <w:multiLevelType w:val="singleLevel"/>
    <w:tmpl w:val="F1A0227C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18">
    <w:nsid w:val="635B68B9"/>
    <w:multiLevelType w:val="hybridMultilevel"/>
    <w:tmpl w:val="BCAA3580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294D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0938C7"/>
    <w:multiLevelType w:val="hybridMultilevel"/>
    <w:tmpl w:val="CCBAB15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181293"/>
    <w:multiLevelType w:val="hybridMultilevel"/>
    <w:tmpl w:val="8F428018"/>
    <w:lvl w:ilvl="0" w:tplc="EA100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90953"/>
    <w:multiLevelType w:val="singleLevel"/>
    <w:tmpl w:val="BA62F3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19"/>
  </w:num>
  <w:num w:numId="8">
    <w:abstractNumId w:val="22"/>
  </w:num>
  <w:num w:numId="9">
    <w:abstractNumId w:val="11"/>
  </w:num>
  <w:num w:numId="10">
    <w:abstractNumId w:val="6"/>
  </w:num>
  <w:num w:numId="11">
    <w:abstractNumId w:val="3"/>
  </w:num>
  <w:num w:numId="12">
    <w:abstractNumId w:val="16"/>
  </w:num>
  <w:num w:numId="13">
    <w:abstractNumId w:val="9"/>
  </w:num>
  <w:num w:numId="14">
    <w:abstractNumId w:val="18"/>
  </w:num>
  <w:num w:numId="15">
    <w:abstractNumId w:val="20"/>
  </w:num>
  <w:num w:numId="16">
    <w:abstractNumId w:val="21"/>
  </w:num>
  <w:num w:numId="17">
    <w:abstractNumId w:val="0"/>
  </w:num>
  <w:num w:numId="18">
    <w:abstractNumId w:val="13"/>
  </w:num>
  <w:num w:numId="19">
    <w:abstractNumId w:val="10"/>
  </w:num>
  <w:num w:numId="20">
    <w:abstractNumId w:val="12"/>
  </w:num>
  <w:num w:numId="21">
    <w:abstractNumId w:val="7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4FD"/>
    <w:rsid w:val="00000F7F"/>
    <w:rsid w:val="00005812"/>
    <w:rsid w:val="00007D84"/>
    <w:rsid w:val="00013775"/>
    <w:rsid w:val="00013A55"/>
    <w:rsid w:val="00015232"/>
    <w:rsid w:val="0001587A"/>
    <w:rsid w:val="000219D1"/>
    <w:rsid w:val="00023E4E"/>
    <w:rsid w:val="00030A97"/>
    <w:rsid w:val="00030AFE"/>
    <w:rsid w:val="000400CF"/>
    <w:rsid w:val="00040CC7"/>
    <w:rsid w:val="0004658C"/>
    <w:rsid w:val="00056268"/>
    <w:rsid w:val="00061BFF"/>
    <w:rsid w:val="00071E68"/>
    <w:rsid w:val="000729FB"/>
    <w:rsid w:val="000770B4"/>
    <w:rsid w:val="00077875"/>
    <w:rsid w:val="00080636"/>
    <w:rsid w:val="0009750F"/>
    <w:rsid w:val="000A3429"/>
    <w:rsid w:val="000B4ADA"/>
    <w:rsid w:val="000C436D"/>
    <w:rsid w:val="000C7AA9"/>
    <w:rsid w:val="000E2413"/>
    <w:rsid w:val="000E3271"/>
    <w:rsid w:val="0011770D"/>
    <w:rsid w:val="001269D7"/>
    <w:rsid w:val="001319FF"/>
    <w:rsid w:val="0013282C"/>
    <w:rsid w:val="0013346B"/>
    <w:rsid w:val="00135056"/>
    <w:rsid w:val="001406EB"/>
    <w:rsid w:val="0014255C"/>
    <w:rsid w:val="0014491D"/>
    <w:rsid w:val="00150664"/>
    <w:rsid w:val="001554FB"/>
    <w:rsid w:val="00163311"/>
    <w:rsid w:val="00163BD9"/>
    <w:rsid w:val="001664D7"/>
    <w:rsid w:val="00171945"/>
    <w:rsid w:val="001907F9"/>
    <w:rsid w:val="00191E34"/>
    <w:rsid w:val="00196C58"/>
    <w:rsid w:val="001A7D52"/>
    <w:rsid w:val="001C046D"/>
    <w:rsid w:val="001C3591"/>
    <w:rsid w:val="001D02FA"/>
    <w:rsid w:val="001F2F6E"/>
    <w:rsid w:val="001F6A0D"/>
    <w:rsid w:val="00203AC6"/>
    <w:rsid w:val="0020690E"/>
    <w:rsid w:val="00211F52"/>
    <w:rsid w:val="002132B0"/>
    <w:rsid w:val="00220128"/>
    <w:rsid w:val="0022553D"/>
    <w:rsid w:val="00231D98"/>
    <w:rsid w:val="00235738"/>
    <w:rsid w:val="0024212C"/>
    <w:rsid w:val="0024442D"/>
    <w:rsid w:val="002448BA"/>
    <w:rsid w:val="002449D0"/>
    <w:rsid w:val="00245B2A"/>
    <w:rsid w:val="00252BF1"/>
    <w:rsid w:val="002678D0"/>
    <w:rsid w:val="00274964"/>
    <w:rsid w:val="00275B7D"/>
    <w:rsid w:val="002837FE"/>
    <w:rsid w:val="00284629"/>
    <w:rsid w:val="00284F35"/>
    <w:rsid w:val="00285D8D"/>
    <w:rsid w:val="0029132C"/>
    <w:rsid w:val="0029363B"/>
    <w:rsid w:val="00294DC8"/>
    <w:rsid w:val="00296080"/>
    <w:rsid w:val="00296D10"/>
    <w:rsid w:val="002A443C"/>
    <w:rsid w:val="002C45F5"/>
    <w:rsid w:val="002D06F7"/>
    <w:rsid w:val="002D3A7A"/>
    <w:rsid w:val="002D5054"/>
    <w:rsid w:val="002F7A11"/>
    <w:rsid w:val="00303C21"/>
    <w:rsid w:val="00314564"/>
    <w:rsid w:val="00320B0F"/>
    <w:rsid w:val="00320BE7"/>
    <w:rsid w:val="00322B91"/>
    <w:rsid w:val="00323639"/>
    <w:rsid w:val="003249BC"/>
    <w:rsid w:val="00326380"/>
    <w:rsid w:val="00326711"/>
    <w:rsid w:val="0032685B"/>
    <w:rsid w:val="00331A33"/>
    <w:rsid w:val="00335031"/>
    <w:rsid w:val="00337CDC"/>
    <w:rsid w:val="00346E30"/>
    <w:rsid w:val="00350303"/>
    <w:rsid w:val="00352856"/>
    <w:rsid w:val="00352B8E"/>
    <w:rsid w:val="003576B6"/>
    <w:rsid w:val="0036071B"/>
    <w:rsid w:val="00360EB7"/>
    <w:rsid w:val="0036201F"/>
    <w:rsid w:val="00372245"/>
    <w:rsid w:val="0037553D"/>
    <w:rsid w:val="003756DB"/>
    <w:rsid w:val="00376AA6"/>
    <w:rsid w:val="0038340C"/>
    <w:rsid w:val="00387853"/>
    <w:rsid w:val="00392BB6"/>
    <w:rsid w:val="003A3541"/>
    <w:rsid w:val="003A57FB"/>
    <w:rsid w:val="003C1B80"/>
    <w:rsid w:val="003C44BE"/>
    <w:rsid w:val="003D07F2"/>
    <w:rsid w:val="003D0844"/>
    <w:rsid w:val="003D0860"/>
    <w:rsid w:val="003D4F96"/>
    <w:rsid w:val="003E1655"/>
    <w:rsid w:val="003E7700"/>
    <w:rsid w:val="003F213F"/>
    <w:rsid w:val="00414F7E"/>
    <w:rsid w:val="0042165C"/>
    <w:rsid w:val="00433580"/>
    <w:rsid w:val="004336A5"/>
    <w:rsid w:val="0044511E"/>
    <w:rsid w:val="00471831"/>
    <w:rsid w:val="00472CB3"/>
    <w:rsid w:val="00473147"/>
    <w:rsid w:val="00473BDA"/>
    <w:rsid w:val="004751AD"/>
    <w:rsid w:val="00485728"/>
    <w:rsid w:val="004866CF"/>
    <w:rsid w:val="00491D88"/>
    <w:rsid w:val="00492E36"/>
    <w:rsid w:val="00496A22"/>
    <w:rsid w:val="004A182B"/>
    <w:rsid w:val="004B18C2"/>
    <w:rsid w:val="004B2295"/>
    <w:rsid w:val="004C304B"/>
    <w:rsid w:val="004C5ECC"/>
    <w:rsid w:val="004C6503"/>
    <w:rsid w:val="004E5E06"/>
    <w:rsid w:val="004F30EA"/>
    <w:rsid w:val="004F5249"/>
    <w:rsid w:val="00502991"/>
    <w:rsid w:val="005079C4"/>
    <w:rsid w:val="00507B18"/>
    <w:rsid w:val="0052420F"/>
    <w:rsid w:val="005318E7"/>
    <w:rsid w:val="00540EA3"/>
    <w:rsid w:val="00546DED"/>
    <w:rsid w:val="00557FF3"/>
    <w:rsid w:val="005602F2"/>
    <w:rsid w:val="005647C8"/>
    <w:rsid w:val="00565DDD"/>
    <w:rsid w:val="00585C84"/>
    <w:rsid w:val="005A09BA"/>
    <w:rsid w:val="005A2442"/>
    <w:rsid w:val="005B1FA6"/>
    <w:rsid w:val="005C0C4B"/>
    <w:rsid w:val="005D1E2D"/>
    <w:rsid w:val="005D59E3"/>
    <w:rsid w:val="005E6A22"/>
    <w:rsid w:val="005F0796"/>
    <w:rsid w:val="005F1EBE"/>
    <w:rsid w:val="005F3FEB"/>
    <w:rsid w:val="005F786D"/>
    <w:rsid w:val="00600083"/>
    <w:rsid w:val="00600D47"/>
    <w:rsid w:val="00603185"/>
    <w:rsid w:val="00603868"/>
    <w:rsid w:val="00607910"/>
    <w:rsid w:val="00611468"/>
    <w:rsid w:val="00623F54"/>
    <w:rsid w:val="00634A64"/>
    <w:rsid w:val="00640511"/>
    <w:rsid w:val="00643529"/>
    <w:rsid w:val="0065068A"/>
    <w:rsid w:val="0066179F"/>
    <w:rsid w:val="006623F9"/>
    <w:rsid w:val="00665ED7"/>
    <w:rsid w:val="0067021B"/>
    <w:rsid w:val="006733D2"/>
    <w:rsid w:val="00684475"/>
    <w:rsid w:val="006858C3"/>
    <w:rsid w:val="006871CD"/>
    <w:rsid w:val="00693AF9"/>
    <w:rsid w:val="00693F84"/>
    <w:rsid w:val="00697F9A"/>
    <w:rsid w:val="006A1C3D"/>
    <w:rsid w:val="006B2115"/>
    <w:rsid w:val="006B7C95"/>
    <w:rsid w:val="006C1470"/>
    <w:rsid w:val="006C49E9"/>
    <w:rsid w:val="006D40A7"/>
    <w:rsid w:val="006E018F"/>
    <w:rsid w:val="006E0B19"/>
    <w:rsid w:val="006E116D"/>
    <w:rsid w:val="006E1DFC"/>
    <w:rsid w:val="006F093F"/>
    <w:rsid w:val="006F3891"/>
    <w:rsid w:val="007037A2"/>
    <w:rsid w:val="00707194"/>
    <w:rsid w:val="00715664"/>
    <w:rsid w:val="00715E1F"/>
    <w:rsid w:val="00720C71"/>
    <w:rsid w:val="0072563A"/>
    <w:rsid w:val="00730E66"/>
    <w:rsid w:val="00732A69"/>
    <w:rsid w:val="007419B7"/>
    <w:rsid w:val="0074284F"/>
    <w:rsid w:val="00743B6F"/>
    <w:rsid w:val="00745177"/>
    <w:rsid w:val="007468BE"/>
    <w:rsid w:val="00752BE1"/>
    <w:rsid w:val="007534CD"/>
    <w:rsid w:val="007544CE"/>
    <w:rsid w:val="0075573E"/>
    <w:rsid w:val="00761FC5"/>
    <w:rsid w:val="0076291A"/>
    <w:rsid w:val="00766E70"/>
    <w:rsid w:val="007822AC"/>
    <w:rsid w:val="00786D30"/>
    <w:rsid w:val="00790FD3"/>
    <w:rsid w:val="007968A2"/>
    <w:rsid w:val="007A20B3"/>
    <w:rsid w:val="007A5ECC"/>
    <w:rsid w:val="007B0AD9"/>
    <w:rsid w:val="007B26DF"/>
    <w:rsid w:val="007B3010"/>
    <w:rsid w:val="007B33C4"/>
    <w:rsid w:val="007B3DC0"/>
    <w:rsid w:val="007C1DDF"/>
    <w:rsid w:val="007D21EF"/>
    <w:rsid w:val="007D4569"/>
    <w:rsid w:val="007E24AD"/>
    <w:rsid w:val="007E4601"/>
    <w:rsid w:val="007E4B11"/>
    <w:rsid w:val="007E68D6"/>
    <w:rsid w:val="007F1E88"/>
    <w:rsid w:val="007F697F"/>
    <w:rsid w:val="007F6FA6"/>
    <w:rsid w:val="00802BEE"/>
    <w:rsid w:val="00807B7C"/>
    <w:rsid w:val="008128B8"/>
    <w:rsid w:val="0081556C"/>
    <w:rsid w:val="00816C0C"/>
    <w:rsid w:val="008342EB"/>
    <w:rsid w:val="00841A92"/>
    <w:rsid w:val="008468F1"/>
    <w:rsid w:val="008611E5"/>
    <w:rsid w:val="00867EB5"/>
    <w:rsid w:val="0088410D"/>
    <w:rsid w:val="00885193"/>
    <w:rsid w:val="008851F5"/>
    <w:rsid w:val="00891A5A"/>
    <w:rsid w:val="00891E30"/>
    <w:rsid w:val="008B72CE"/>
    <w:rsid w:val="008C6E0A"/>
    <w:rsid w:val="008D0115"/>
    <w:rsid w:val="008E053E"/>
    <w:rsid w:val="008F0BA5"/>
    <w:rsid w:val="00900FD2"/>
    <w:rsid w:val="00903536"/>
    <w:rsid w:val="009040A3"/>
    <w:rsid w:val="00904BBF"/>
    <w:rsid w:val="00905E53"/>
    <w:rsid w:val="0091421B"/>
    <w:rsid w:val="009162B4"/>
    <w:rsid w:val="009215E6"/>
    <w:rsid w:val="0092688E"/>
    <w:rsid w:val="009348F6"/>
    <w:rsid w:val="00935D6F"/>
    <w:rsid w:val="00940F03"/>
    <w:rsid w:val="00940F0C"/>
    <w:rsid w:val="00947448"/>
    <w:rsid w:val="00950AF0"/>
    <w:rsid w:val="00954C4F"/>
    <w:rsid w:val="00961BF3"/>
    <w:rsid w:val="00973A7B"/>
    <w:rsid w:val="009803AA"/>
    <w:rsid w:val="009873AC"/>
    <w:rsid w:val="009A0730"/>
    <w:rsid w:val="009A685E"/>
    <w:rsid w:val="009B0220"/>
    <w:rsid w:val="009C031B"/>
    <w:rsid w:val="009C06A3"/>
    <w:rsid w:val="009E000D"/>
    <w:rsid w:val="009E37D6"/>
    <w:rsid w:val="009E4DDB"/>
    <w:rsid w:val="009F5F15"/>
    <w:rsid w:val="00A0330B"/>
    <w:rsid w:val="00A0527A"/>
    <w:rsid w:val="00A207FA"/>
    <w:rsid w:val="00A34060"/>
    <w:rsid w:val="00A3571F"/>
    <w:rsid w:val="00A36203"/>
    <w:rsid w:val="00A368EC"/>
    <w:rsid w:val="00A36E4F"/>
    <w:rsid w:val="00A407D4"/>
    <w:rsid w:val="00A471B9"/>
    <w:rsid w:val="00A50313"/>
    <w:rsid w:val="00A520B0"/>
    <w:rsid w:val="00A523DD"/>
    <w:rsid w:val="00A5448E"/>
    <w:rsid w:val="00A63EA1"/>
    <w:rsid w:val="00A714A4"/>
    <w:rsid w:val="00A83E36"/>
    <w:rsid w:val="00A90C5B"/>
    <w:rsid w:val="00A9476F"/>
    <w:rsid w:val="00A9554D"/>
    <w:rsid w:val="00AA72AE"/>
    <w:rsid w:val="00AB426D"/>
    <w:rsid w:val="00AC19FC"/>
    <w:rsid w:val="00AC35F6"/>
    <w:rsid w:val="00AF277B"/>
    <w:rsid w:val="00B15A9D"/>
    <w:rsid w:val="00B166C3"/>
    <w:rsid w:val="00B235FC"/>
    <w:rsid w:val="00B40B66"/>
    <w:rsid w:val="00B437AE"/>
    <w:rsid w:val="00B43C6C"/>
    <w:rsid w:val="00B45479"/>
    <w:rsid w:val="00B4564F"/>
    <w:rsid w:val="00B47E2C"/>
    <w:rsid w:val="00B55ED0"/>
    <w:rsid w:val="00B57F28"/>
    <w:rsid w:val="00B8012D"/>
    <w:rsid w:val="00B80A64"/>
    <w:rsid w:val="00B87E60"/>
    <w:rsid w:val="00B87EBF"/>
    <w:rsid w:val="00B90A51"/>
    <w:rsid w:val="00B9139A"/>
    <w:rsid w:val="00BA49FF"/>
    <w:rsid w:val="00BA72E6"/>
    <w:rsid w:val="00BB115D"/>
    <w:rsid w:val="00BB469A"/>
    <w:rsid w:val="00BB7537"/>
    <w:rsid w:val="00BC037D"/>
    <w:rsid w:val="00BC7B4D"/>
    <w:rsid w:val="00BD0A55"/>
    <w:rsid w:val="00BD24D5"/>
    <w:rsid w:val="00BD448E"/>
    <w:rsid w:val="00BE04C1"/>
    <w:rsid w:val="00BE5591"/>
    <w:rsid w:val="00BF33A6"/>
    <w:rsid w:val="00BF457A"/>
    <w:rsid w:val="00BF7BA3"/>
    <w:rsid w:val="00C10090"/>
    <w:rsid w:val="00C11FB6"/>
    <w:rsid w:val="00C15E1D"/>
    <w:rsid w:val="00C201C5"/>
    <w:rsid w:val="00C256D8"/>
    <w:rsid w:val="00C264ED"/>
    <w:rsid w:val="00C41D55"/>
    <w:rsid w:val="00C42716"/>
    <w:rsid w:val="00C44A0D"/>
    <w:rsid w:val="00C51C79"/>
    <w:rsid w:val="00C63B9E"/>
    <w:rsid w:val="00C65B68"/>
    <w:rsid w:val="00C66FA8"/>
    <w:rsid w:val="00C674FD"/>
    <w:rsid w:val="00C819A8"/>
    <w:rsid w:val="00C81FBA"/>
    <w:rsid w:val="00C9296E"/>
    <w:rsid w:val="00C96189"/>
    <w:rsid w:val="00CA542A"/>
    <w:rsid w:val="00CA6EFD"/>
    <w:rsid w:val="00CA7AC3"/>
    <w:rsid w:val="00CB0826"/>
    <w:rsid w:val="00CB13D0"/>
    <w:rsid w:val="00CB16D1"/>
    <w:rsid w:val="00CB6C9C"/>
    <w:rsid w:val="00CB75CC"/>
    <w:rsid w:val="00CC00A1"/>
    <w:rsid w:val="00CC050F"/>
    <w:rsid w:val="00CC1C83"/>
    <w:rsid w:val="00CD1CAB"/>
    <w:rsid w:val="00CF1424"/>
    <w:rsid w:val="00CF4641"/>
    <w:rsid w:val="00CF46C8"/>
    <w:rsid w:val="00D056E1"/>
    <w:rsid w:val="00D126A0"/>
    <w:rsid w:val="00D23E6B"/>
    <w:rsid w:val="00D27D20"/>
    <w:rsid w:val="00D31C10"/>
    <w:rsid w:val="00D3287D"/>
    <w:rsid w:val="00D40DD1"/>
    <w:rsid w:val="00D465F2"/>
    <w:rsid w:val="00D471DF"/>
    <w:rsid w:val="00D55D60"/>
    <w:rsid w:val="00D561A5"/>
    <w:rsid w:val="00D645F0"/>
    <w:rsid w:val="00D9647E"/>
    <w:rsid w:val="00DA66F2"/>
    <w:rsid w:val="00DB1EBC"/>
    <w:rsid w:val="00DC001A"/>
    <w:rsid w:val="00DC22BF"/>
    <w:rsid w:val="00DC6FC0"/>
    <w:rsid w:val="00DC7908"/>
    <w:rsid w:val="00DD1DDE"/>
    <w:rsid w:val="00DD787F"/>
    <w:rsid w:val="00DE48D2"/>
    <w:rsid w:val="00DF57BF"/>
    <w:rsid w:val="00DF6F6D"/>
    <w:rsid w:val="00E027A9"/>
    <w:rsid w:val="00E12650"/>
    <w:rsid w:val="00E12F04"/>
    <w:rsid w:val="00E13E7C"/>
    <w:rsid w:val="00E246C6"/>
    <w:rsid w:val="00E3065F"/>
    <w:rsid w:val="00E37BCE"/>
    <w:rsid w:val="00E41565"/>
    <w:rsid w:val="00E44655"/>
    <w:rsid w:val="00E44997"/>
    <w:rsid w:val="00E5250D"/>
    <w:rsid w:val="00E55DCF"/>
    <w:rsid w:val="00E63BF0"/>
    <w:rsid w:val="00E6670E"/>
    <w:rsid w:val="00E7056E"/>
    <w:rsid w:val="00E776DC"/>
    <w:rsid w:val="00E804BA"/>
    <w:rsid w:val="00E833D5"/>
    <w:rsid w:val="00E83847"/>
    <w:rsid w:val="00E904FD"/>
    <w:rsid w:val="00EB02AA"/>
    <w:rsid w:val="00EB763F"/>
    <w:rsid w:val="00EB7EAD"/>
    <w:rsid w:val="00EC300F"/>
    <w:rsid w:val="00ED31BA"/>
    <w:rsid w:val="00EE1412"/>
    <w:rsid w:val="00EE4FCD"/>
    <w:rsid w:val="00EF69B0"/>
    <w:rsid w:val="00EF7124"/>
    <w:rsid w:val="00F07166"/>
    <w:rsid w:val="00F0788F"/>
    <w:rsid w:val="00F22AEF"/>
    <w:rsid w:val="00F24ABE"/>
    <w:rsid w:val="00F27D6D"/>
    <w:rsid w:val="00F31415"/>
    <w:rsid w:val="00F37E6D"/>
    <w:rsid w:val="00F402F4"/>
    <w:rsid w:val="00F40836"/>
    <w:rsid w:val="00F45814"/>
    <w:rsid w:val="00F50CB7"/>
    <w:rsid w:val="00F63AAD"/>
    <w:rsid w:val="00F75A8B"/>
    <w:rsid w:val="00F75E53"/>
    <w:rsid w:val="00F80513"/>
    <w:rsid w:val="00F868BC"/>
    <w:rsid w:val="00F90870"/>
    <w:rsid w:val="00F91BD5"/>
    <w:rsid w:val="00FB5088"/>
    <w:rsid w:val="00FB76A5"/>
    <w:rsid w:val="00FC0EE3"/>
    <w:rsid w:val="00FC1055"/>
    <w:rsid w:val="00FD1159"/>
    <w:rsid w:val="00FE341B"/>
    <w:rsid w:val="00FF3D71"/>
    <w:rsid w:val="00FF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9D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449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4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49D0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2449D0"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244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A72AE"/>
    <w:rPr>
      <w:sz w:val="16"/>
      <w:szCs w:val="16"/>
    </w:rPr>
  </w:style>
  <w:style w:type="paragraph" w:styleId="CommentText">
    <w:name w:val="annotation text"/>
    <w:basedOn w:val="Normal"/>
    <w:semiHidden/>
    <w:rsid w:val="00AA72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72AE"/>
    <w:rPr>
      <w:b/>
      <w:bCs/>
    </w:rPr>
  </w:style>
  <w:style w:type="character" w:styleId="PageNumber">
    <w:name w:val="page number"/>
    <w:basedOn w:val="DefaultParagraphFont"/>
    <w:rsid w:val="0036201F"/>
  </w:style>
  <w:style w:type="paragraph" w:customStyle="1" w:styleId="ACMABodyTextChar">
    <w:name w:val="ACMA Body Text Char"/>
    <w:link w:val="ACMABodyTextCharChar"/>
    <w:rsid w:val="003D0860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Char">
    <w:name w:val="ACMA Body Text Char Char"/>
    <w:link w:val="ACMABodyTextChar"/>
    <w:rsid w:val="003D0860"/>
    <w:rPr>
      <w:snapToGrid w:val="0"/>
      <w:sz w:val="24"/>
      <w:lang w:eastAsia="en-US"/>
    </w:rPr>
  </w:style>
  <w:style w:type="paragraph" w:customStyle="1" w:styleId="ACMABodyText">
    <w:name w:val="ACMA Body Text"/>
    <w:link w:val="ACMABodyTextChar1"/>
    <w:rsid w:val="003D0860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ACMABodyTextChar1">
    <w:name w:val="ACMA Body Text Char1"/>
    <w:link w:val="ACMABodyText"/>
    <w:rsid w:val="003D0860"/>
    <w:rPr>
      <w:snapToGrid w:val="0"/>
      <w:sz w:val="24"/>
      <w:lang w:eastAsia="en-US"/>
    </w:rPr>
  </w:style>
  <w:style w:type="paragraph" w:customStyle="1" w:styleId="definition">
    <w:name w:val="definition"/>
    <w:basedOn w:val="Normal"/>
    <w:rsid w:val="00CC00A1"/>
    <w:pPr>
      <w:spacing w:before="80" w:line="260" w:lineRule="exact"/>
      <w:ind w:left="964"/>
      <w:jc w:val="both"/>
    </w:pPr>
    <w:rPr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DACA-B83F-44C1-91F7-ABBA19AA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1634</Words>
  <Characters>8805</Characters>
  <Application>Microsoft Office Word</Application>
  <DocSecurity>6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 Communications Authority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crobert</dc:creator>
  <cp:lastModifiedBy>Jay Jeyalingam</cp:lastModifiedBy>
  <cp:revision>2</cp:revision>
  <cp:lastPrinted>2013-05-14T04:23:00Z</cp:lastPrinted>
  <dcterms:created xsi:type="dcterms:W3CDTF">2013-05-21T07:12:00Z</dcterms:created>
  <dcterms:modified xsi:type="dcterms:W3CDTF">2013-05-21T07:12:00Z</dcterms:modified>
</cp:coreProperties>
</file>