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50" w:rsidRPr="00390DE4" w:rsidRDefault="00E00750" w:rsidP="00E00750">
      <w:pPr>
        <w:pStyle w:val="Title"/>
      </w:pPr>
      <w:bookmarkStart w:id="0" w:name="_GoBack"/>
      <w:bookmarkEnd w:id="0"/>
      <w:r w:rsidRPr="008936B6">
        <w:t xml:space="preserve">Explanatory Statement </w:t>
      </w:r>
    </w:p>
    <w:p w:rsidR="00E00750" w:rsidRPr="00824A97" w:rsidRDefault="00E00750" w:rsidP="00E00750">
      <w:pPr>
        <w:rPr>
          <w:sz w:val="24"/>
        </w:rPr>
      </w:pPr>
    </w:p>
    <w:p w:rsidR="00E00750" w:rsidRPr="00824A97" w:rsidRDefault="00E00750" w:rsidP="00E00750">
      <w:pPr>
        <w:pStyle w:val="Heading1"/>
      </w:pPr>
      <w:r w:rsidRPr="00824A97">
        <w:t>Broadcasting Services Act 1992</w:t>
      </w:r>
    </w:p>
    <w:p w:rsidR="00E00750" w:rsidRPr="00824A97" w:rsidRDefault="00E00750" w:rsidP="00E00750"/>
    <w:p w:rsidR="00E00750" w:rsidRPr="00034797" w:rsidRDefault="00E00750" w:rsidP="00E00750">
      <w:pPr>
        <w:jc w:val="center"/>
        <w:rPr>
          <w:b/>
          <w:sz w:val="28"/>
          <w:szCs w:val="28"/>
        </w:rPr>
      </w:pPr>
      <w:r w:rsidRPr="00034797">
        <w:rPr>
          <w:b/>
          <w:sz w:val="28"/>
          <w:szCs w:val="28"/>
        </w:rPr>
        <w:t>Broadcasting Services (Events) Notice (No. 1) 2010</w:t>
      </w:r>
    </w:p>
    <w:p w:rsidR="00E00750" w:rsidRPr="00824A97" w:rsidRDefault="00E00750" w:rsidP="00E00750">
      <w:pPr>
        <w:jc w:val="center"/>
        <w:rPr>
          <w:b/>
          <w:sz w:val="28"/>
          <w:szCs w:val="28"/>
        </w:rPr>
      </w:pPr>
      <w:r w:rsidRPr="00034797">
        <w:rPr>
          <w:b/>
          <w:sz w:val="28"/>
          <w:szCs w:val="28"/>
        </w:rPr>
        <w:t xml:space="preserve">(Amendment No. </w:t>
      </w:r>
      <w:r w:rsidR="00034797">
        <w:rPr>
          <w:b/>
          <w:sz w:val="28"/>
          <w:szCs w:val="28"/>
        </w:rPr>
        <w:t>6</w:t>
      </w:r>
      <w:r w:rsidRPr="00034797">
        <w:rPr>
          <w:b/>
          <w:sz w:val="28"/>
          <w:szCs w:val="28"/>
        </w:rPr>
        <w:t xml:space="preserve"> of 201</w:t>
      </w:r>
      <w:r w:rsidR="009504F9" w:rsidRPr="00034797">
        <w:rPr>
          <w:b/>
          <w:sz w:val="28"/>
          <w:szCs w:val="28"/>
        </w:rPr>
        <w:t>3</w:t>
      </w:r>
      <w:r w:rsidRPr="00034797">
        <w:rPr>
          <w:b/>
          <w:sz w:val="28"/>
          <w:szCs w:val="28"/>
        </w:rPr>
        <w:t>)</w:t>
      </w:r>
    </w:p>
    <w:p w:rsidR="00E00750" w:rsidRPr="00824A97" w:rsidRDefault="00E00750" w:rsidP="00E00750">
      <w:pPr>
        <w:pStyle w:val="BodyText3"/>
      </w:pPr>
    </w:p>
    <w:p w:rsidR="00E00750" w:rsidRPr="00824A97" w:rsidRDefault="00E00750" w:rsidP="00E00750">
      <w:pPr>
        <w:pStyle w:val="BodyText3"/>
      </w:pPr>
    </w:p>
    <w:p w:rsidR="00E00750" w:rsidRPr="00824A97" w:rsidRDefault="00E00750" w:rsidP="00E00750">
      <w:pPr>
        <w:pStyle w:val="BodyText"/>
      </w:pPr>
      <w:r w:rsidRPr="00824A97">
        <w:t xml:space="preserve">Issued by the Authority of the Minister for Broadband, Communications </w:t>
      </w:r>
    </w:p>
    <w:p w:rsidR="00E00750" w:rsidRPr="00824A97" w:rsidRDefault="00E00750" w:rsidP="00E00750">
      <w:pPr>
        <w:pStyle w:val="BodyText"/>
      </w:pPr>
      <w:r w:rsidRPr="00824A97">
        <w:t>and the Digital Economy</w:t>
      </w:r>
    </w:p>
    <w:p w:rsidR="00E00750" w:rsidRPr="00824A97" w:rsidRDefault="00E00750" w:rsidP="00E00750">
      <w:pPr>
        <w:rPr>
          <w:sz w:val="24"/>
        </w:rPr>
      </w:pPr>
    </w:p>
    <w:p w:rsidR="00E00750" w:rsidRPr="0023682E" w:rsidRDefault="00E00750" w:rsidP="00E00750">
      <w:pPr>
        <w:rPr>
          <w:sz w:val="24"/>
          <w:u w:val="single"/>
        </w:rPr>
      </w:pPr>
      <w:r w:rsidRPr="0023682E">
        <w:rPr>
          <w:sz w:val="24"/>
          <w:u w:val="single"/>
        </w:rPr>
        <w:t>Purpose</w:t>
      </w:r>
    </w:p>
    <w:p w:rsidR="00E00750" w:rsidRPr="0023682E" w:rsidRDefault="00E00750" w:rsidP="00E00750">
      <w:pPr>
        <w:rPr>
          <w:sz w:val="24"/>
          <w:szCs w:val="24"/>
        </w:rPr>
      </w:pPr>
    </w:p>
    <w:p w:rsidR="00E00750" w:rsidRPr="0023682E" w:rsidRDefault="00E00750" w:rsidP="00E00750">
      <w:pPr>
        <w:rPr>
          <w:sz w:val="24"/>
          <w:szCs w:val="24"/>
        </w:rPr>
      </w:pPr>
      <w:r w:rsidRPr="00034797">
        <w:rPr>
          <w:sz w:val="24"/>
          <w:szCs w:val="24"/>
        </w:rPr>
        <w:t xml:space="preserve">The </w:t>
      </w:r>
      <w:r w:rsidRPr="00034797">
        <w:rPr>
          <w:i/>
          <w:sz w:val="24"/>
          <w:szCs w:val="24"/>
        </w:rPr>
        <w:t xml:space="preserve">Broadcasting Services (Events) Notice (No. 1) 2010 (Amendment No. </w:t>
      </w:r>
      <w:r w:rsidR="00034797">
        <w:rPr>
          <w:i/>
          <w:sz w:val="24"/>
          <w:szCs w:val="24"/>
        </w:rPr>
        <w:t>6</w:t>
      </w:r>
      <w:r w:rsidR="001A4680" w:rsidRPr="00034797">
        <w:rPr>
          <w:i/>
          <w:sz w:val="24"/>
          <w:szCs w:val="24"/>
        </w:rPr>
        <w:t xml:space="preserve"> </w:t>
      </w:r>
      <w:r w:rsidRPr="00034797">
        <w:rPr>
          <w:i/>
          <w:sz w:val="24"/>
          <w:szCs w:val="24"/>
        </w:rPr>
        <w:t>of 201</w:t>
      </w:r>
      <w:r w:rsidR="009504F9" w:rsidRPr="00034797">
        <w:rPr>
          <w:i/>
          <w:sz w:val="24"/>
          <w:szCs w:val="24"/>
        </w:rPr>
        <w:t>3</w:t>
      </w:r>
      <w:r w:rsidRPr="00034797">
        <w:rPr>
          <w:i/>
          <w:sz w:val="24"/>
          <w:szCs w:val="24"/>
        </w:rPr>
        <w:t>)</w:t>
      </w:r>
      <w:r w:rsidRPr="00231C71">
        <w:rPr>
          <w:sz w:val="24"/>
          <w:szCs w:val="24"/>
        </w:rPr>
        <w:t xml:space="preserve"> (the Notice) is made by the Minister for Broadband, Communications and the Digital Economy (the Minister) under subsection 115(2) of</w:t>
      </w:r>
      <w:r w:rsidRPr="0023682E">
        <w:rPr>
          <w:sz w:val="24"/>
          <w:szCs w:val="24"/>
        </w:rPr>
        <w:t xml:space="preserve"> the </w:t>
      </w:r>
      <w:r w:rsidRPr="0023682E">
        <w:rPr>
          <w:i/>
          <w:sz w:val="24"/>
          <w:szCs w:val="24"/>
        </w:rPr>
        <w:t>Broadcasting Services Act 1992</w:t>
      </w:r>
      <w:r w:rsidRPr="0023682E">
        <w:rPr>
          <w:sz w:val="24"/>
          <w:szCs w:val="24"/>
        </w:rPr>
        <w:t xml:space="preserve"> (the BSA). </w:t>
      </w:r>
    </w:p>
    <w:p w:rsidR="00E00750" w:rsidRPr="0023682E" w:rsidRDefault="00E00750" w:rsidP="00E00750">
      <w:pPr>
        <w:rPr>
          <w:sz w:val="24"/>
          <w:szCs w:val="24"/>
        </w:rPr>
      </w:pPr>
    </w:p>
    <w:p w:rsidR="00034797" w:rsidRDefault="00E00750" w:rsidP="00E00750">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w:t>
      </w:r>
      <w:r w:rsidR="008C2708">
        <w:rPr>
          <w:sz w:val="24"/>
          <w:szCs w:val="24"/>
        </w:rPr>
        <w:t xml:space="preserve"> </w:t>
      </w:r>
      <w:r w:rsidR="00072C8C">
        <w:rPr>
          <w:sz w:val="24"/>
          <w:szCs w:val="24"/>
        </w:rPr>
        <w:t>certain</w:t>
      </w:r>
      <w:r w:rsidR="00072C8C" w:rsidRPr="0023682E">
        <w:rPr>
          <w:sz w:val="24"/>
          <w:szCs w:val="24"/>
        </w:rPr>
        <w:t xml:space="preserve"> </w:t>
      </w:r>
      <w:r w:rsidRPr="0023682E">
        <w:rPr>
          <w:sz w:val="24"/>
          <w:szCs w:val="24"/>
        </w:rPr>
        <w:t>event</w:t>
      </w:r>
      <w:r w:rsidR="00072C8C">
        <w:rPr>
          <w:sz w:val="24"/>
          <w:szCs w:val="24"/>
        </w:rPr>
        <w:t>s</w:t>
      </w:r>
      <w:r w:rsidRPr="0023682E">
        <w:rPr>
          <w:sz w:val="24"/>
          <w:szCs w:val="24"/>
        </w:rPr>
        <w:t xml:space="preserve"> from the Principal Notice</w:t>
      </w:r>
      <w:r w:rsidR="00034797">
        <w:rPr>
          <w:sz w:val="24"/>
          <w:szCs w:val="24"/>
        </w:rPr>
        <w:t xml:space="preserve">. </w:t>
      </w:r>
      <w:r w:rsidRPr="0023682E">
        <w:rPr>
          <w:sz w:val="24"/>
          <w:szCs w:val="24"/>
        </w:rPr>
        <w:t xml:space="preserve"> </w:t>
      </w:r>
    </w:p>
    <w:p w:rsidR="00034797" w:rsidRDefault="00034797" w:rsidP="00E00750">
      <w:pPr>
        <w:rPr>
          <w:sz w:val="24"/>
          <w:szCs w:val="24"/>
        </w:rPr>
      </w:pPr>
    </w:p>
    <w:p w:rsidR="00E00750" w:rsidRPr="0023682E" w:rsidRDefault="00E00750" w:rsidP="00E00750">
      <w:pPr>
        <w:rPr>
          <w:sz w:val="24"/>
          <w:szCs w:val="24"/>
        </w:rPr>
      </w:pPr>
      <w:r w:rsidRPr="0023682E">
        <w:rPr>
          <w:sz w:val="24"/>
          <w:szCs w:val="24"/>
        </w:rPr>
        <w:t xml:space="preserve">This Notice is a legislative instrument for the purposes of subsection 6(d) of the </w:t>
      </w:r>
      <w:r w:rsidRPr="0023682E">
        <w:rPr>
          <w:i/>
          <w:sz w:val="24"/>
          <w:szCs w:val="24"/>
        </w:rPr>
        <w:t>Legislative Instruments Act 2003</w:t>
      </w:r>
      <w:r w:rsidRPr="0023682E">
        <w:rPr>
          <w:sz w:val="24"/>
          <w:szCs w:val="24"/>
        </w:rPr>
        <w:t>.</w:t>
      </w:r>
    </w:p>
    <w:p w:rsidR="00E00750" w:rsidRPr="0023682E" w:rsidRDefault="00E00750" w:rsidP="00E00750">
      <w:pPr>
        <w:rPr>
          <w:sz w:val="24"/>
          <w:szCs w:val="24"/>
        </w:rPr>
      </w:pPr>
    </w:p>
    <w:p w:rsidR="00E00750" w:rsidRPr="0023682E" w:rsidRDefault="00E00750" w:rsidP="00E00750">
      <w:pPr>
        <w:rPr>
          <w:sz w:val="24"/>
          <w:u w:val="single"/>
        </w:rPr>
      </w:pPr>
      <w:r w:rsidRPr="0023682E">
        <w:rPr>
          <w:sz w:val="24"/>
          <w:u w:val="single"/>
        </w:rPr>
        <w:t>Background</w:t>
      </w:r>
    </w:p>
    <w:p w:rsidR="00E00750" w:rsidRPr="0023682E" w:rsidRDefault="00E00750" w:rsidP="00E00750">
      <w:pPr>
        <w:rPr>
          <w:sz w:val="24"/>
        </w:rPr>
      </w:pPr>
    </w:p>
    <w:p w:rsidR="00E00750" w:rsidRPr="0023682E" w:rsidRDefault="00E00750" w:rsidP="00E00750">
      <w:pPr>
        <w:rPr>
          <w:i/>
          <w:sz w:val="24"/>
        </w:rPr>
      </w:pPr>
      <w:r w:rsidRPr="0023682E">
        <w:rPr>
          <w:i/>
          <w:sz w:val="24"/>
        </w:rPr>
        <w:t xml:space="preserve">Legislative background </w:t>
      </w:r>
    </w:p>
    <w:p w:rsidR="00E00750" w:rsidRPr="0023682E" w:rsidRDefault="00E00750" w:rsidP="00E00750">
      <w:pPr>
        <w:rPr>
          <w:sz w:val="24"/>
        </w:rPr>
      </w:pPr>
    </w:p>
    <w:p w:rsidR="00E00750" w:rsidRPr="0023682E" w:rsidRDefault="00E00750" w:rsidP="00E00750">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by </w:t>
      </w:r>
      <w:r w:rsidR="00B0439A">
        <w:rPr>
          <w:i w:val="0"/>
          <w:szCs w:val="24"/>
        </w:rPr>
        <w:t>legislative instrument</w:t>
      </w:r>
      <w:r w:rsidRPr="0023682E">
        <w:rPr>
          <w:i w:val="0"/>
          <w:szCs w:val="24"/>
        </w:rPr>
        <w:t xml:space="preserve">, specify events that in the Minister’s opinion should be televised free to the </w:t>
      </w:r>
      <w:r w:rsidR="00072C8C">
        <w:rPr>
          <w:i w:val="0"/>
          <w:szCs w:val="24"/>
        </w:rPr>
        <w:t xml:space="preserve">general </w:t>
      </w:r>
      <w:r w:rsidRPr="0023682E">
        <w:rPr>
          <w:i w:val="0"/>
          <w:szCs w:val="24"/>
        </w:rPr>
        <w:t xml:space="preserve">public. Such a notice is commonly known as the anti-siphoning list. </w:t>
      </w:r>
    </w:p>
    <w:p w:rsidR="00E00750" w:rsidRPr="0023682E" w:rsidRDefault="00E00750" w:rsidP="00E00750">
      <w:pPr>
        <w:pStyle w:val="Heading1"/>
        <w:keepNext w:val="0"/>
        <w:jc w:val="left"/>
        <w:rPr>
          <w:i w:val="0"/>
          <w:szCs w:val="24"/>
        </w:rPr>
      </w:pPr>
    </w:p>
    <w:p w:rsidR="00034797" w:rsidRDefault="00E00750" w:rsidP="00E00750">
      <w:pPr>
        <w:pStyle w:val="Heading1"/>
        <w:jc w:val="left"/>
        <w:rPr>
          <w:i w:val="0"/>
          <w:szCs w:val="24"/>
        </w:rPr>
      </w:pPr>
      <w:r w:rsidRPr="0023682E">
        <w:rPr>
          <w:i w:val="0"/>
          <w:szCs w:val="24"/>
        </w:rPr>
        <w:t xml:space="preserve">The inclusion of an event in a subsection 115(1) notice triggers a licence condition for subscription television broadcasters </w:t>
      </w:r>
      <w:r>
        <w:rPr>
          <w:i w:val="0"/>
          <w:szCs w:val="24"/>
        </w:rPr>
        <w:t>that</w:t>
      </w:r>
      <w:r w:rsidRPr="0023682E">
        <w:rPr>
          <w:i w:val="0"/>
          <w:szCs w:val="24"/>
        </w:rPr>
        <w:t xml:space="preserve"> prohibits the subscription television broadcasters from acquiring rights to televise the event ahead of </w:t>
      </w:r>
      <w:r>
        <w:rPr>
          <w:i w:val="0"/>
          <w:szCs w:val="24"/>
        </w:rPr>
        <w:t xml:space="preserve">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 10(1)(e) of Schedule 2 to the BSA).</w:t>
      </w:r>
    </w:p>
    <w:p w:rsidR="00034797" w:rsidRDefault="00034797" w:rsidP="00E00750">
      <w:pPr>
        <w:pStyle w:val="Heading1"/>
        <w:jc w:val="left"/>
        <w:rPr>
          <w:i w:val="0"/>
          <w:szCs w:val="24"/>
        </w:rPr>
      </w:pPr>
    </w:p>
    <w:p w:rsidR="00E00750" w:rsidRDefault="00E00750" w:rsidP="00E00750">
      <w:pPr>
        <w:rPr>
          <w:sz w:val="24"/>
          <w:szCs w:val="24"/>
        </w:rPr>
      </w:pPr>
      <w:r w:rsidRPr="0023682E">
        <w:rPr>
          <w:sz w:val="24"/>
          <w:szCs w:val="24"/>
        </w:rPr>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rsidR="00034797" w:rsidRDefault="00034797" w:rsidP="00E00750">
      <w:pPr>
        <w:rPr>
          <w:sz w:val="24"/>
          <w:szCs w:val="24"/>
        </w:rPr>
      </w:pPr>
    </w:p>
    <w:p w:rsidR="00034797" w:rsidRPr="0023682E" w:rsidRDefault="00034797" w:rsidP="00E00750">
      <w:pPr>
        <w:rPr>
          <w:sz w:val="24"/>
          <w:szCs w:val="24"/>
        </w:rPr>
      </w:pPr>
      <w:r>
        <w:rPr>
          <w:sz w:val="24"/>
          <w:szCs w:val="24"/>
        </w:rPr>
        <w:t>Subsection 115(1AA) of the BSA provides that an event specified in a notice made by the Minister under subsection 115(1) – i.e. the anti-siphoning list – is removed from the list 2,016 hours (12 weeks) prior to its commencement, unless the Minister makes a declaration that the event in question should continue to be in the notice after that time</w:t>
      </w:r>
      <w:r w:rsidR="00846CAC">
        <w:rPr>
          <w:sz w:val="24"/>
          <w:szCs w:val="24"/>
        </w:rPr>
        <w:t xml:space="preserve">. This </w:t>
      </w:r>
      <w:r>
        <w:rPr>
          <w:sz w:val="24"/>
          <w:szCs w:val="24"/>
        </w:rPr>
        <w:t>is commonly known as the ‘automatic delisting provision</w:t>
      </w:r>
      <w:r w:rsidR="000F35B7">
        <w:rPr>
          <w:sz w:val="24"/>
          <w:szCs w:val="24"/>
        </w:rPr>
        <w:t>’</w:t>
      </w:r>
      <w:r>
        <w:rPr>
          <w:sz w:val="24"/>
          <w:szCs w:val="24"/>
        </w:rPr>
        <w:t xml:space="preserve">.   </w:t>
      </w:r>
    </w:p>
    <w:p w:rsidR="00E00750" w:rsidRPr="0023682E" w:rsidRDefault="00E00750" w:rsidP="00E00750">
      <w:pPr>
        <w:rPr>
          <w:sz w:val="24"/>
          <w:szCs w:val="24"/>
        </w:rPr>
      </w:pPr>
      <w:r w:rsidRPr="0023682E">
        <w:rPr>
          <w:sz w:val="24"/>
          <w:szCs w:val="24"/>
        </w:rPr>
        <w:t xml:space="preserve"> </w:t>
      </w:r>
    </w:p>
    <w:p w:rsidR="00E00750" w:rsidRDefault="00E00750" w:rsidP="00E00750">
      <w:pPr>
        <w:rPr>
          <w:sz w:val="24"/>
          <w:szCs w:val="24"/>
        </w:rPr>
      </w:pPr>
      <w:r w:rsidRPr="00B818F3">
        <w:rPr>
          <w:sz w:val="24"/>
          <w:szCs w:val="24"/>
        </w:rPr>
        <w:t xml:space="preserve">The purpose of this </w:t>
      </w:r>
      <w:r w:rsidRPr="002A7865">
        <w:rPr>
          <w:sz w:val="24"/>
          <w:szCs w:val="24"/>
        </w:rPr>
        <w:t xml:space="preserve">Notice is to amend the Principal Notice to remove from the current anti-siphoning list </w:t>
      </w:r>
      <w:r w:rsidR="00232D98">
        <w:rPr>
          <w:sz w:val="24"/>
          <w:szCs w:val="24"/>
        </w:rPr>
        <w:t>any</w:t>
      </w:r>
      <w:r w:rsidR="00AA0CDC">
        <w:rPr>
          <w:sz w:val="24"/>
          <w:szCs w:val="24"/>
        </w:rPr>
        <w:t xml:space="preserve"> matches</w:t>
      </w:r>
      <w:r w:rsidR="001A7E63">
        <w:rPr>
          <w:sz w:val="24"/>
          <w:szCs w:val="24"/>
        </w:rPr>
        <w:t xml:space="preserve"> </w:t>
      </w:r>
      <w:r w:rsidR="00232D98">
        <w:rPr>
          <w:sz w:val="24"/>
          <w:szCs w:val="24"/>
        </w:rPr>
        <w:t xml:space="preserve">held as part of </w:t>
      </w:r>
      <w:r w:rsidR="000D4E95">
        <w:rPr>
          <w:sz w:val="24"/>
          <w:szCs w:val="24"/>
        </w:rPr>
        <w:t xml:space="preserve">the </w:t>
      </w:r>
      <w:r w:rsidR="00034797">
        <w:rPr>
          <w:sz w:val="24"/>
          <w:szCs w:val="24"/>
        </w:rPr>
        <w:t>United States Open tennis tournament (‘ the US Open’) for the year</w:t>
      </w:r>
      <w:r w:rsidR="00846CAC">
        <w:rPr>
          <w:sz w:val="24"/>
          <w:szCs w:val="24"/>
        </w:rPr>
        <w:t>s</w:t>
      </w:r>
      <w:r w:rsidR="00034797">
        <w:rPr>
          <w:sz w:val="24"/>
          <w:szCs w:val="24"/>
        </w:rPr>
        <w:t xml:space="preserve"> </w:t>
      </w:r>
      <w:r w:rsidR="000D4E95">
        <w:rPr>
          <w:sz w:val="24"/>
          <w:szCs w:val="24"/>
        </w:rPr>
        <w:t>201</w:t>
      </w:r>
      <w:r w:rsidR="001A7E63">
        <w:rPr>
          <w:sz w:val="24"/>
          <w:szCs w:val="24"/>
        </w:rPr>
        <w:t>3</w:t>
      </w:r>
      <w:r w:rsidR="009504F9">
        <w:rPr>
          <w:sz w:val="24"/>
          <w:szCs w:val="24"/>
        </w:rPr>
        <w:t>, 2014, 2015 and 2016</w:t>
      </w:r>
      <w:r w:rsidR="00034797">
        <w:rPr>
          <w:sz w:val="24"/>
          <w:szCs w:val="24"/>
        </w:rPr>
        <w:t xml:space="preserve">. </w:t>
      </w:r>
      <w:r w:rsidR="000D4E95">
        <w:rPr>
          <w:sz w:val="24"/>
          <w:szCs w:val="24"/>
        </w:rPr>
        <w:t xml:space="preserve"> </w:t>
      </w:r>
    </w:p>
    <w:p w:rsidR="00E00750" w:rsidRDefault="008C2708" w:rsidP="00E00750">
      <w:pPr>
        <w:rPr>
          <w:sz w:val="24"/>
          <w:szCs w:val="24"/>
        </w:rPr>
      </w:pPr>
      <w:r>
        <w:rPr>
          <w:sz w:val="24"/>
          <w:szCs w:val="24"/>
        </w:rPr>
        <w:lastRenderedPageBreak/>
        <w:t>The event</w:t>
      </w:r>
      <w:r w:rsidR="000D4E95">
        <w:rPr>
          <w:sz w:val="24"/>
          <w:szCs w:val="24"/>
        </w:rPr>
        <w:t>s</w:t>
      </w:r>
      <w:r w:rsidR="00E00750" w:rsidRPr="00B818F3">
        <w:rPr>
          <w:sz w:val="24"/>
          <w:szCs w:val="24"/>
        </w:rPr>
        <w:t xml:space="preserve"> to be removed </w:t>
      </w:r>
      <w:r w:rsidR="000D4E95">
        <w:rPr>
          <w:sz w:val="24"/>
          <w:szCs w:val="24"/>
        </w:rPr>
        <w:t>are</w:t>
      </w:r>
      <w:r w:rsidR="00E00750" w:rsidRPr="00B818F3">
        <w:rPr>
          <w:sz w:val="24"/>
          <w:szCs w:val="24"/>
        </w:rPr>
        <w:t xml:space="preserve"> specified in Item </w:t>
      </w:r>
      <w:r w:rsidR="001A7E63">
        <w:rPr>
          <w:sz w:val="24"/>
          <w:szCs w:val="24"/>
        </w:rPr>
        <w:t>9</w:t>
      </w:r>
      <w:r w:rsidR="00E00750" w:rsidRPr="00B818F3">
        <w:rPr>
          <w:sz w:val="24"/>
          <w:szCs w:val="24"/>
        </w:rPr>
        <w:t>.</w:t>
      </w:r>
      <w:r w:rsidR="009504F9">
        <w:rPr>
          <w:sz w:val="24"/>
          <w:szCs w:val="24"/>
        </w:rPr>
        <w:t>3</w:t>
      </w:r>
      <w:r w:rsidR="00E00750">
        <w:rPr>
          <w:sz w:val="24"/>
          <w:szCs w:val="24"/>
        </w:rPr>
        <w:t xml:space="preserve"> </w:t>
      </w:r>
      <w:r w:rsidR="00E00750" w:rsidRPr="00B818F3">
        <w:rPr>
          <w:sz w:val="24"/>
          <w:szCs w:val="24"/>
        </w:rPr>
        <w:t>of the Schedule to the Principal Notice, as amended by this Notice.</w:t>
      </w:r>
    </w:p>
    <w:p w:rsidR="00E00750" w:rsidRPr="0023682E" w:rsidRDefault="00E00750" w:rsidP="00E00750">
      <w:pPr>
        <w:rPr>
          <w:sz w:val="24"/>
          <w:szCs w:val="24"/>
        </w:rPr>
      </w:pPr>
    </w:p>
    <w:p w:rsidR="00165AC2" w:rsidRPr="0023682E" w:rsidRDefault="000D4E95" w:rsidP="00165AC2">
      <w:pPr>
        <w:rPr>
          <w:i/>
          <w:sz w:val="24"/>
          <w:szCs w:val="24"/>
        </w:rPr>
      </w:pPr>
      <w:r>
        <w:rPr>
          <w:i/>
          <w:sz w:val="24"/>
          <w:szCs w:val="24"/>
        </w:rPr>
        <w:t xml:space="preserve">The </w:t>
      </w:r>
      <w:r w:rsidR="00536037">
        <w:rPr>
          <w:i/>
          <w:sz w:val="24"/>
          <w:szCs w:val="24"/>
        </w:rPr>
        <w:t>201</w:t>
      </w:r>
      <w:r w:rsidR="001A7E63">
        <w:rPr>
          <w:i/>
          <w:sz w:val="24"/>
          <w:szCs w:val="24"/>
        </w:rPr>
        <w:t>3</w:t>
      </w:r>
      <w:r w:rsidR="009504F9">
        <w:rPr>
          <w:i/>
          <w:sz w:val="24"/>
          <w:szCs w:val="24"/>
        </w:rPr>
        <w:t>, 2014, 2015 and 2016</w:t>
      </w:r>
      <w:r w:rsidR="00536037">
        <w:rPr>
          <w:i/>
          <w:sz w:val="24"/>
          <w:szCs w:val="24"/>
        </w:rPr>
        <w:t xml:space="preserve"> </w:t>
      </w:r>
      <w:r w:rsidR="009504F9">
        <w:rPr>
          <w:i/>
          <w:sz w:val="24"/>
          <w:szCs w:val="24"/>
        </w:rPr>
        <w:t>U</w:t>
      </w:r>
      <w:r w:rsidR="00A7536C">
        <w:rPr>
          <w:i/>
          <w:sz w:val="24"/>
          <w:szCs w:val="24"/>
        </w:rPr>
        <w:t xml:space="preserve">S Open </w:t>
      </w:r>
    </w:p>
    <w:p w:rsidR="005C0A78" w:rsidRDefault="005C0A78" w:rsidP="005C0A78">
      <w:pPr>
        <w:rPr>
          <w:sz w:val="24"/>
          <w:szCs w:val="24"/>
        </w:rPr>
      </w:pPr>
    </w:p>
    <w:p w:rsidR="00A7536C" w:rsidRPr="00A7536C" w:rsidRDefault="00A7536C" w:rsidP="00A7536C">
      <w:pPr>
        <w:rPr>
          <w:sz w:val="24"/>
          <w:szCs w:val="24"/>
          <w:lang w:val="en-GB"/>
        </w:rPr>
      </w:pPr>
      <w:r>
        <w:rPr>
          <w:rStyle w:val="Abc-TextChar"/>
        </w:rPr>
        <w:t>T</w:t>
      </w:r>
      <w:r w:rsidRPr="005A1DA3">
        <w:rPr>
          <w:rStyle w:val="Abc-TextChar"/>
        </w:rPr>
        <w:t xml:space="preserve">he US Open is </w:t>
      </w:r>
      <w:r>
        <w:rPr>
          <w:rStyle w:val="Abc-TextChar"/>
        </w:rPr>
        <w:t xml:space="preserve">a tennis tournament </w:t>
      </w:r>
      <w:r w:rsidRPr="005A1DA3">
        <w:rPr>
          <w:rStyle w:val="Abc-TextChar"/>
        </w:rPr>
        <w:t>held annually in New York in late August and early September for a two week period.</w:t>
      </w:r>
      <w:r>
        <w:rPr>
          <w:rStyle w:val="Abc-TextChar"/>
        </w:rPr>
        <w:t xml:space="preserve"> The US Open is organised and run by </w:t>
      </w:r>
      <w:r w:rsidR="001F624A" w:rsidRPr="00A7536C">
        <w:rPr>
          <w:sz w:val="24"/>
          <w:szCs w:val="24"/>
          <w:lang w:val="en-GB"/>
        </w:rPr>
        <w:t xml:space="preserve">United States Tennis Association </w:t>
      </w:r>
      <w:r w:rsidR="005C0A78" w:rsidRPr="00A7536C">
        <w:rPr>
          <w:sz w:val="24"/>
          <w:szCs w:val="24"/>
          <w:lang w:val="en-GB"/>
        </w:rPr>
        <w:t>(</w:t>
      </w:r>
      <w:r w:rsidRPr="00A7536C">
        <w:rPr>
          <w:sz w:val="24"/>
          <w:szCs w:val="24"/>
          <w:lang w:val="en-GB"/>
        </w:rPr>
        <w:t xml:space="preserve">‘the </w:t>
      </w:r>
      <w:r w:rsidR="005C0A78" w:rsidRPr="00A7536C">
        <w:rPr>
          <w:sz w:val="24"/>
          <w:szCs w:val="24"/>
          <w:lang w:val="en-GB"/>
        </w:rPr>
        <w:t>US</w:t>
      </w:r>
      <w:r w:rsidRPr="00A7536C">
        <w:rPr>
          <w:sz w:val="24"/>
          <w:szCs w:val="24"/>
          <w:lang w:val="en-GB"/>
        </w:rPr>
        <w:t xml:space="preserve"> </w:t>
      </w:r>
      <w:r w:rsidR="005C0A78" w:rsidRPr="00A7536C">
        <w:rPr>
          <w:sz w:val="24"/>
          <w:szCs w:val="24"/>
          <w:lang w:val="en-GB"/>
        </w:rPr>
        <w:t>T</w:t>
      </w:r>
      <w:r w:rsidRPr="00A7536C">
        <w:rPr>
          <w:sz w:val="24"/>
          <w:szCs w:val="24"/>
          <w:lang w:val="en-GB"/>
        </w:rPr>
        <w:t>ennis Association</w:t>
      </w:r>
      <w:r>
        <w:rPr>
          <w:sz w:val="24"/>
          <w:szCs w:val="24"/>
          <w:lang w:val="en-GB"/>
        </w:rPr>
        <w:t>’</w:t>
      </w:r>
      <w:r w:rsidRPr="00A7536C">
        <w:rPr>
          <w:sz w:val="24"/>
          <w:szCs w:val="24"/>
          <w:lang w:val="en-GB"/>
        </w:rPr>
        <w:t xml:space="preserve">). </w:t>
      </w:r>
    </w:p>
    <w:p w:rsidR="001F624A" w:rsidRDefault="001F624A" w:rsidP="001F624A">
      <w:pPr>
        <w:rPr>
          <w:sz w:val="24"/>
          <w:szCs w:val="24"/>
          <w:lang w:val="en-GB"/>
        </w:rPr>
      </w:pPr>
    </w:p>
    <w:p w:rsidR="00A7536C" w:rsidRDefault="00A7536C" w:rsidP="00A7536C">
      <w:pPr>
        <w:rPr>
          <w:sz w:val="24"/>
          <w:szCs w:val="24"/>
          <w:lang w:val="en-GB"/>
        </w:rPr>
      </w:pPr>
      <w:r w:rsidRPr="00A7536C">
        <w:rPr>
          <w:sz w:val="24"/>
          <w:szCs w:val="24"/>
          <w:lang w:val="en-GB"/>
        </w:rPr>
        <w:t xml:space="preserve">Over recent years, the US Open has received </w:t>
      </w:r>
      <w:r w:rsidR="003B5872">
        <w:rPr>
          <w:sz w:val="24"/>
          <w:szCs w:val="24"/>
          <w:lang w:val="en-GB"/>
        </w:rPr>
        <w:t>very limited</w:t>
      </w:r>
      <w:r w:rsidRPr="00A7536C">
        <w:rPr>
          <w:sz w:val="24"/>
          <w:szCs w:val="24"/>
          <w:lang w:val="en-GB"/>
        </w:rPr>
        <w:t xml:space="preserve"> free-to-air coverage in Australia, notwithstanding the inclusion of matches of the US Open on the anti-siphoning list. Where free-to-air broadcasters demonstrate little interest in providing coverage of particular sporting events, it is reasonable that the events no longer be protected under the anti-siphoning scheme. This provides </w:t>
      </w:r>
      <w:r w:rsidR="000F35B7">
        <w:rPr>
          <w:sz w:val="24"/>
          <w:szCs w:val="24"/>
          <w:lang w:val="en-GB"/>
        </w:rPr>
        <w:t xml:space="preserve">subscription television </w:t>
      </w:r>
      <w:r w:rsidRPr="00A7536C">
        <w:rPr>
          <w:sz w:val="24"/>
          <w:szCs w:val="24"/>
          <w:lang w:val="en-GB"/>
        </w:rPr>
        <w:t xml:space="preserve">broadcasters with an opportunity to acquire the rights, </w:t>
      </w:r>
      <w:r w:rsidR="00420400">
        <w:rPr>
          <w:sz w:val="24"/>
          <w:szCs w:val="24"/>
          <w:lang w:val="en-GB"/>
        </w:rPr>
        <w:t xml:space="preserve">potentially </w:t>
      </w:r>
      <w:r w:rsidRPr="00A7536C">
        <w:rPr>
          <w:sz w:val="24"/>
          <w:szCs w:val="24"/>
          <w:lang w:val="en-GB"/>
        </w:rPr>
        <w:t xml:space="preserve">enabling them to offer full and complete coverage of these events. </w:t>
      </w:r>
    </w:p>
    <w:p w:rsidR="00AB3F34" w:rsidRDefault="00AB3F34" w:rsidP="00165AC2">
      <w:pPr>
        <w:rPr>
          <w:sz w:val="24"/>
          <w:szCs w:val="24"/>
          <w:lang w:val="en-GB"/>
        </w:rPr>
      </w:pPr>
      <w:bookmarkStart w:id="1" w:name="OLE_LINK2"/>
      <w:bookmarkStart w:id="2" w:name="OLE_LINK3"/>
    </w:p>
    <w:p w:rsidR="005319FC" w:rsidRDefault="005319FC" w:rsidP="00165AC2">
      <w:pPr>
        <w:rPr>
          <w:sz w:val="24"/>
          <w:szCs w:val="24"/>
          <w:lang w:val="en-GB"/>
        </w:rPr>
      </w:pPr>
      <w:r>
        <w:rPr>
          <w:sz w:val="24"/>
          <w:szCs w:val="24"/>
          <w:lang w:val="en-GB"/>
        </w:rPr>
        <w:t xml:space="preserve">Furthermore, the </w:t>
      </w:r>
      <w:r w:rsidRPr="005319FC">
        <w:rPr>
          <w:sz w:val="24"/>
          <w:szCs w:val="24"/>
          <w:lang w:val="en-GB"/>
        </w:rPr>
        <w:t>US Tennis Association, represented by sports rights broker the International Management Group of America (IMG), have</w:t>
      </w:r>
      <w:r>
        <w:rPr>
          <w:sz w:val="24"/>
          <w:szCs w:val="24"/>
          <w:lang w:val="en-GB"/>
        </w:rPr>
        <w:t xml:space="preserve"> advised the government that the Australian broadcast rights to the US Open for the 2013 to 2016 period have been made available to free-to-air broadcasters in Australia, </w:t>
      </w:r>
      <w:r w:rsidR="003B5872">
        <w:rPr>
          <w:sz w:val="24"/>
          <w:szCs w:val="24"/>
          <w:lang w:val="en-GB"/>
        </w:rPr>
        <w:t>and that none of the</w:t>
      </w:r>
      <w:r>
        <w:rPr>
          <w:sz w:val="24"/>
          <w:szCs w:val="24"/>
          <w:lang w:val="en-GB"/>
        </w:rPr>
        <w:t xml:space="preserve">se broadcasters have taken up to the opportunity to acquire any such rights. </w:t>
      </w:r>
    </w:p>
    <w:p w:rsidR="005319FC" w:rsidRDefault="005319FC" w:rsidP="00165AC2">
      <w:pPr>
        <w:rPr>
          <w:sz w:val="24"/>
          <w:szCs w:val="24"/>
          <w:lang w:val="en-GB"/>
        </w:rPr>
      </w:pPr>
    </w:p>
    <w:p w:rsidR="005319FC" w:rsidRDefault="000C0533" w:rsidP="005319FC">
      <w:pPr>
        <w:rPr>
          <w:rStyle w:val="Abc-TextChar"/>
        </w:rPr>
      </w:pPr>
      <w:r>
        <w:rPr>
          <w:sz w:val="24"/>
          <w:szCs w:val="24"/>
          <w:lang w:val="en-GB"/>
        </w:rPr>
        <w:t>Th</w:t>
      </w:r>
      <w:r w:rsidR="005319FC">
        <w:rPr>
          <w:sz w:val="24"/>
          <w:szCs w:val="24"/>
          <w:lang w:val="en-GB"/>
        </w:rPr>
        <w:t xml:space="preserve">is Notice will </w:t>
      </w:r>
      <w:r w:rsidR="005319FC" w:rsidRPr="002A7865">
        <w:rPr>
          <w:sz w:val="24"/>
          <w:szCs w:val="24"/>
        </w:rPr>
        <w:t xml:space="preserve">remove from the current anti-siphoning list </w:t>
      </w:r>
      <w:r w:rsidR="005319FC">
        <w:rPr>
          <w:sz w:val="24"/>
          <w:szCs w:val="24"/>
        </w:rPr>
        <w:t xml:space="preserve">any matches held as part of the US Open for the years 2013, 2014, 2015 and 2016 and </w:t>
      </w:r>
      <w:r w:rsidR="005319FC">
        <w:rPr>
          <w:rStyle w:val="Abc-TextChar"/>
        </w:rPr>
        <w:t xml:space="preserve">allow subscription broadcasters an opportunity to acquire the rights without restriction under the anti-siphoning scheme. </w:t>
      </w:r>
    </w:p>
    <w:p w:rsidR="005319FC" w:rsidRDefault="005319FC" w:rsidP="00165AC2">
      <w:pPr>
        <w:rPr>
          <w:sz w:val="24"/>
          <w:szCs w:val="24"/>
          <w:lang w:val="en-GB"/>
        </w:rPr>
      </w:pPr>
      <w:r>
        <w:rPr>
          <w:sz w:val="24"/>
          <w:szCs w:val="24"/>
          <w:lang w:val="en-GB"/>
        </w:rPr>
        <w:t xml:space="preserve"> </w:t>
      </w:r>
    </w:p>
    <w:bookmarkEnd w:id="1"/>
    <w:bookmarkEnd w:id="2"/>
    <w:p w:rsidR="00E00750" w:rsidRPr="0023682E" w:rsidRDefault="00E00750" w:rsidP="00E00750">
      <w:pPr>
        <w:ind w:right="91"/>
        <w:rPr>
          <w:sz w:val="24"/>
          <w:szCs w:val="24"/>
          <w:u w:val="single"/>
        </w:rPr>
      </w:pPr>
      <w:r w:rsidRPr="0023682E">
        <w:rPr>
          <w:sz w:val="24"/>
          <w:szCs w:val="24"/>
          <w:u w:val="single"/>
        </w:rPr>
        <w:t>Notes on Clauses</w:t>
      </w:r>
    </w:p>
    <w:p w:rsidR="00E00750" w:rsidRPr="0023682E" w:rsidRDefault="00E00750" w:rsidP="00E00750">
      <w:pPr>
        <w:ind w:right="91"/>
        <w:rPr>
          <w:sz w:val="24"/>
          <w:szCs w:val="24"/>
        </w:rPr>
      </w:pPr>
    </w:p>
    <w:p w:rsidR="00E00750" w:rsidRPr="0023682E" w:rsidRDefault="00E00750" w:rsidP="00E00750">
      <w:pPr>
        <w:ind w:right="91"/>
        <w:rPr>
          <w:sz w:val="24"/>
          <w:szCs w:val="24"/>
        </w:rPr>
      </w:pPr>
      <w:r w:rsidRPr="0023682E">
        <w:rPr>
          <w:sz w:val="24"/>
          <w:szCs w:val="24"/>
          <w:u w:val="single"/>
        </w:rPr>
        <w:t>Clause 1</w:t>
      </w:r>
      <w:r w:rsidRPr="0023682E">
        <w:rPr>
          <w:sz w:val="24"/>
          <w:szCs w:val="24"/>
        </w:rPr>
        <w:t xml:space="preserve"> provides that the name of the Notice is the </w:t>
      </w:r>
      <w:r w:rsidRPr="00464173">
        <w:rPr>
          <w:i/>
          <w:iCs/>
          <w:sz w:val="24"/>
          <w:szCs w:val="24"/>
        </w:rPr>
        <w:t xml:space="preserve">Broadcasting Services (Events) Notice (No. 1) 2010 </w:t>
      </w:r>
      <w:r w:rsidR="005C6C2E" w:rsidRPr="00464173">
        <w:rPr>
          <w:i/>
          <w:iCs/>
          <w:sz w:val="24"/>
          <w:szCs w:val="24"/>
        </w:rPr>
        <w:t xml:space="preserve">(Amendment No. </w:t>
      </w:r>
      <w:r w:rsidR="000F35B7" w:rsidRPr="00464173">
        <w:rPr>
          <w:i/>
          <w:iCs/>
          <w:sz w:val="24"/>
          <w:szCs w:val="24"/>
        </w:rPr>
        <w:t>6</w:t>
      </w:r>
      <w:r w:rsidR="005C6C2E" w:rsidRPr="00464173">
        <w:rPr>
          <w:i/>
          <w:iCs/>
          <w:sz w:val="24"/>
          <w:szCs w:val="24"/>
        </w:rPr>
        <w:t xml:space="preserve"> of 201</w:t>
      </w:r>
      <w:r w:rsidR="009504F9" w:rsidRPr="00464173">
        <w:rPr>
          <w:i/>
          <w:iCs/>
          <w:sz w:val="24"/>
          <w:szCs w:val="24"/>
        </w:rPr>
        <w:t>3</w:t>
      </w:r>
      <w:r w:rsidR="005C6C2E" w:rsidRPr="00464173">
        <w:rPr>
          <w:i/>
          <w:iCs/>
          <w:sz w:val="24"/>
          <w:szCs w:val="24"/>
        </w:rPr>
        <w:t>)</w:t>
      </w:r>
      <w:r w:rsidRPr="005319FC">
        <w:rPr>
          <w:iCs/>
          <w:sz w:val="24"/>
          <w:szCs w:val="24"/>
        </w:rPr>
        <w:t>.</w:t>
      </w:r>
    </w:p>
    <w:p w:rsidR="00E00750" w:rsidRPr="0023682E" w:rsidRDefault="00E00750" w:rsidP="00E00750">
      <w:pPr>
        <w:ind w:right="91"/>
        <w:rPr>
          <w:sz w:val="24"/>
          <w:szCs w:val="24"/>
        </w:rPr>
      </w:pPr>
    </w:p>
    <w:p w:rsidR="00E00750" w:rsidRPr="0023682E" w:rsidRDefault="00E00750" w:rsidP="00E00750">
      <w:pPr>
        <w:rPr>
          <w:sz w:val="24"/>
          <w:szCs w:val="24"/>
        </w:rPr>
      </w:pPr>
      <w:r w:rsidRPr="0023682E">
        <w:rPr>
          <w:sz w:val="24"/>
          <w:szCs w:val="24"/>
          <w:u w:val="single"/>
        </w:rPr>
        <w:t>Clause 2</w:t>
      </w:r>
      <w:r w:rsidRPr="0023682E">
        <w:rPr>
          <w:sz w:val="24"/>
          <w:szCs w:val="24"/>
        </w:rPr>
        <w:t xml:space="preserve"> provides that the Notice will commence on the day it is registered on the Federal Register of Legislative Instruments.</w:t>
      </w:r>
    </w:p>
    <w:p w:rsidR="00E00750" w:rsidRPr="0023682E" w:rsidRDefault="00E00750" w:rsidP="00E00750">
      <w:pPr>
        <w:ind w:right="91"/>
        <w:rPr>
          <w:sz w:val="24"/>
          <w:szCs w:val="24"/>
        </w:rPr>
      </w:pPr>
    </w:p>
    <w:p w:rsidR="00E00750" w:rsidRPr="0023682E" w:rsidRDefault="00E00750" w:rsidP="00E00750">
      <w:pPr>
        <w:ind w:right="91"/>
        <w:rPr>
          <w:sz w:val="24"/>
          <w:szCs w:val="24"/>
        </w:rPr>
      </w:pPr>
      <w:r w:rsidRPr="0023682E">
        <w:rPr>
          <w:sz w:val="24"/>
          <w:szCs w:val="24"/>
          <w:u w:val="single"/>
        </w:rPr>
        <w:t>Clause 3</w:t>
      </w:r>
      <w:r w:rsidRPr="0023682E">
        <w:rPr>
          <w:sz w:val="24"/>
          <w:szCs w:val="24"/>
        </w:rPr>
        <w:t xml:space="preserve"> is a definitions clause.</w:t>
      </w:r>
    </w:p>
    <w:p w:rsidR="00E00750" w:rsidRPr="0023682E" w:rsidRDefault="00E00750" w:rsidP="00E00750">
      <w:pPr>
        <w:ind w:right="91"/>
        <w:rPr>
          <w:sz w:val="24"/>
          <w:szCs w:val="24"/>
        </w:rPr>
      </w:pPr>
    </w:p>
    <w:p w:rsidR="003F2D32" w:rsidRDefault="00E00750" w:rsidP="003F2D32">
      <w:pPr>
        <w:ind w:right="91"/>
        <w:rPr>
          <w:sz w:val="24"/>
          <w:szCs w:val="24"/>
        </w:rPr>
      </w:pPr>
      <w:r w:rsidRPr="0023682E">
        <w:rPr>
          <w:sz w:val="24"/>
          <w:szCs w:val="24"/>
          <w:u w:val="single"/>
        </w:rPr>
        <w:t>Clause 4</w:t>
      </w:r>
      <w:r w:rsidRPr="0023682E">
        <w:rPr>
          <w:sz w:val="24"/>
          <w:szCs w:val="24"/>
        </w:rPr>
        <w:t xml:space="preserve"> is the main operative clause. </w:t>
      </w:r>
      <w:r>
        <w:rPr>
          <w:sz w:val="24"/>
          <w:szCs w:val="24"/>
        </w:rPr>
        <w:t>It provides that the Principal Notice is amended by substitut</w:t>
      </w:r>
      <w:r w:rsidR="00095E59">
        <w:rPr>
          <w:sz w:val="24"/>
          <w:szCs w:val="24"/>
        </w:rPr>
        <w:t xml:space="preserve">ing existing Item </w:t>
      </w:r>
      <w:r w:rsidR="001A7E63">
        <w:rPr>
          <w:sz w:val="24"/>
          <w:szCs w:val="24"/>
        </w:rPr>
        <w:t>9</w:t>
      </w:r>
      <w:r w:rsidR="00165AC2">
        <w:rPr>
          <w:sz w:val="24"/>
          <w:szCs w:val="24"/>
        </w:rPr>
        <w:t>.</w:t>
      </w:r>
      <w:r w:rsidR="009504F9">
        <w:rPr>
          <w:sz w:val="24"/>
          <w:szCs w:val="24"/>
        </w:rPr>
        <w:t>3</w:t>
      </w:r>
      <w:r>
        <w:rPr>
          <w:sz w:val="24"/>
          <w:szCs w:val="24"/>
        </w:rPr>
        <w:t xml:space="preserve"> of the Schedule to the Prin</w:t>
      </w:r>
      <w:r w:rsidR="00165AC2">
        <w:rPr>
          <w:sz w:val="24"/>
          <w:szCs w:val="24"/>
        </w:rPr>
        <w:t xml:space="preserve">cipal Notice with a new Item </w:t>
      </w:r>
      <w:r w:rsidR="001A7E63">
        <w:rPr>
          <w:sz w:val="24"/>
          <w:szCs w:val="24"/>
        </w:rPr>
        <w:t>9</w:t>
      </w:r>
      <w:r w:rsidR="00095E59">
        <w:rPr>
          <w:sz w:val="24"/>
          <w:szCs w:val="24"/>
        </w:rPr>
        <w:t>.</w:t>
      </w:r>
      <w:r w:rsidR="009504F9">
        <w:rPr>
          <w:sz w:val="24"/>
          <w:szCs w:val="24"/>
        </w:rPr>
        <w:t>3</w:t>
      </w:r>
      <w:r>
        <w:rPr>
          <w:sz w:val="24"/>
          <w:szCs w:val="24"/>
        </w:rPr>
        <w:t>. This amendment has the effect of removing certain event</w:t>
      </w:r>
      <w:r w:rsidR="008C6711">
        <w:rPr>
          <w:sz w:val="24"/>
          <w:szCs w:val="24"/>
        </w:rPr>
        <w:t>s</w:t>
      </w:r>
      <w:r>
        <w:rPr>
          <w:sz w:val="24"/>
          <w:szCs w:val="24"/>
        </w:rPr>
        <w:t xml:space="preserve"> from the Principal Notice. </w:t>
      </w:r>
    </w:p>
    <w:p w:rsidR="00E00750" w:rsidRDefault="00E00750" w:rsidP="00E00750">
      <w:pPr>
        <w:rPr>
          <w:sz w:val="24"/>
          <w:szCs w:val="24"/>
        </w:rPr>
      </w:pPr>
    </w:p>
    <w:p w:rsidR="009504F9" w:rsidRDefault="00E00750" w:rsidP="009504F9">
      <w:pPr>
        <w:rPr>
          <w:sz w:val="24"/>
          <w:szCs w:val="24"/>
        </w:rPr>
      </w:pPr>
      <w:r w:rsidRPr="007B1427">
        <w:rPr>
          <w:sz w:val="24"/>
          <w:szCs w:val="24"/>
        </w:rPr>
        <w:t xml:space="preserve">The effect of new Item </w:t>
      </w:r>
      <w:r w:rsidR="001A7E63" w:rsidRPr="007B1427">
        <w:rPr>
          <w:sz w:val="24"/>
          <w:szCs w:val="24"/>
        </w:rPr>
        <w:t>9</w:t>
      </w:r>
      <w:r w:rsidR="00095E59" w:rsidRPr="007B1427">
        <w:rPr>
          <w:sz w:val="24"/>
          <w:szCs w:val="24"/>
        </w:rPr>
        <w:t>.</w:t>
      </w:r>
      <w:r w:rsidR="009504F9" w:rsidRPr="007B1427">
        <w:rPr>
          <w:sz w:val="24"/>
          <w:szCs w:val="24"/>
        </w:rPr>
        <w:t>3</w:t>
      </w:r>
      <w:r w:rsidRPr="007B1427">
        <w:rPr>
          <w:sz w:val="24"/>
          <w:szCs w:val="24"/>
        </w:rPr>
        <w:t xml:space="preserve"> is that each </w:t>
      </w:r>
      <w:r w:rsidR="001A7E63" w:rsidRPr="007B1427">
        <w:rPr>
          <w:sz w:val="24"/>
          <w:szCs w:val="24"/>
        </w:rPr>
        <w:t>match</w:t>
      </w:r>
      <w:r w:rsidR="00EE6AFA" w:rsidRPr="007B1427">
        <w:rPr>
          <w:sz w:val="24"/>
          <w:szCs w:val="24"/>
        </w:rPr>
        <w:t xml:space="preserve"> of </w:t>
      </w:r>
      <w:r w:rsidR="007B1427" w:rsidRPr="007B1427">
        <w:rPr>
          <w:sz w:val="24"/>
          <w:szCs w:val="24"/>
        </w:rPr>
        <w:t xml:space="preserve">the men’s and women’s singles quarter-finals, semi-finals and final of </w:t>
      </w:r>
      <w:r w:rsidR="00EE6AFA" w:rsidRPr="007B1427">
        <w:rPr>
          <w:sz w:val="24"/>
          <w:szCs w:val="24"/>
        </w:rPr>
        <w:t xml:space="preserve">the </w:t>
      </w:r>
      <w:r w:rsidR="00464173">
        <w:rPr>
          <w:sz w:val="24"/>
          <w:szCs w:val="24"/>
        </w:rPr>
        <w:t>US Open</w:t>
      </w:r>
      <w:r w:rsidR="00087845" w:rsidRPr="007B1427">
        <w:rPr>
          <w:sz w:val="24"/>
          <w:szCs w:val="24"/>
        </w:rPr>
        <w:t xml:space="preserve"> will remain listed in the Principal Notice,</w:t>
      </w:r>
      <w:r w:rsidR="00165AC2" w:rsidRPr="007B1427">
        <w:rPr>
          <w:sz w:val="24"/>
          <w:szCs w:val="24"/>
        </w:rPr>
        <w:t xml:space="preserve"> </w:t>
      </w:r>
      <w:r w:rsidRPr="007B1427">
        <w:rPr>
          <w:sz w:val="24"/>
          <w:szCs w:val="24"/>
        </w:rPr>
        <w:t xml:space="preserve">except </w:t>
      </w:r>
      <w:r w:rsidR="008C6711" w:rsidRPr="007B1427">
        <w:rPr>
          <w:sz w:val="24"/>
          <w:szCs w:val="24"/>
        </w:rPr>
        <w:t xml:space="preserve">for </w:t>
      </w:r>
      <w:r w:rsidR="003B2904">
        <w:rPr>
          <w:sz w:val="24"/>
          <w:szCs w:val="24"/>
        </w:rPr>
        <w:t>any</w:t>
      </w:r>
      <w:r w:rsidR="00995504" w:rsidRPr="007B1427">
        <w:rPr>
          <w:sz w:val="24"/>
          <w:szCs w:val="24"/>
        </w:rPr>
        <w:t xml:space="preserve"> matches </w:t>
      </w:r>
      <w:r w:rsidR="00EE6AFA" w:rsidRPr="007B1427">
        <w:rPr>
          <w:sz w:val="24"/>
          <w:szCs w:val="24"/>
        </w:rPr>
        <w:t>of the 201</w:t>
      </w:r>
      <w:r w:rsidR="003F584E" w:rsidRPr="007B1427">
        <w:rPr>
          <w:sz w:val="24"/>
          <w:szCs w:val="24"/>
        </w:rPr>
        <w:t>3</w:t>
      </w:r>
      <w:r w:rsidR="007B1427" w:rsidRPr="007B1427">
        <w:rPr>
          <w:sz w:val="24"/>
          <w:szCs w:val="24"/>
        </w:rPr>
        <w:t>, 2014, 2015, and 2016</w:t>
      </w:r>
      <w:r w:rsidR="004F3607" w:rsidRPr="007B1427">
        <w:rPr>
          <w:sz w:val="24"/>
          <w:szCs w:val="24"/>
        </w:rPr>
        <w:t xml:space="preserve"> </w:t>
      </w:r>
      <w:r w:rsidR="008C6711" w:rsidRPr="007B1427">
        <w:rPr>
          <w:sz w:val="24"/>
          <w:szCs w:val="24"/>
        </w:rPr>
        <w:t>tournament</w:t>
      </w:r>
      <w:r w:rsidR="007B1427" w:rsidRPr="007B1427">
        <w:rPr>
          <w:sz w:val="24"/>
          <w:szCs w:val="24"/>
        </w:rPr>
        <w:t>s</w:t>
      </w:r>
      <w:r w:rsidR="00087845" w:rsidRPr="007B1427">
        <w:rPr>
          <w:sz w:val="24"/>
          <w:szCs w:val="24"/>
        </w:rPr>
        <w:t>.</w:t>
      </w:r>
      <w:r w:rsidR="002956C6" w:rsidRPr="007B1427">
        <w:rPr>
          <w:sz w:val="24"/>
          <w:szCs w:val="24"/>
        </w:rPr>
        <w:t xml:space="preserve"> That is, </w:t>
      </w:r>
      <w:r w:rsidR="007B1427" w:rsidRPr="007B1427">
        <w:rPr>
          <w:sz w:val="24"/>
          <w:szCs w:val="24"/>
        </w:rPr>
        <w:t xml:space="preserve">the men’s and women’s singles quarter-finals, semi-finals and final of the </w:t>
      </w:r>
      <w:r w:rsidR="00464173">
        <w:rPr>
          <w:sz w:val="24"/>
          <w:szCs w:val="24"/>
        </w:rPr>
        <w:t>US Open</w:t>
      </w:r>
      <w:r w:rsidR="002956C6" w:rsidRPr="007B1427">
        <w:rPr>
          <w:sz w:val="24"/>
          <w:szCs w:val="24"/>
        </w:rPr>
        <w:t xml:space="preserve"> </w:t>
      </w:r>
      <w:r w:rsidR="007B1427" w:rsidRPr="007B1427">
        <w:rPr>
          <w:sz w:val="24"/>
          <w:szCs w:val="24"/>
        </w:rPr>
        <w:t xml:space="preserve">from 2017 and beyond </w:t>
      </w:r>
      <w:r w:rsidR="002956C6" w:rsidRPr="007B1427">
        <w:rPr>
          <w:sz w:val="24"/>
          <w:szCs w:val="24"/>
        </w:rPr>
        <w:t xml:space="preserve">will remain </w:t>
      </w:r>
      <w:r w:rsidR="009504F9" w:rsidRPr="007B1427">
        <w:rPr>
          <w:sz w:val="24"/>
          <w:szCs w:val="24"/>
        </w:rPr>
        <w:t>listed in the Principal Notice.</w:t>
      </w:r>
    </w:p>
    <w:p w:rsidR="00630A99" w:rsidRDefault="00E00750" w:rsidP="0012419D">
      <w:pPr>
        <w:keepNext/>
        <w:rPr>
          <w:sz w:val="24"/>
          <w:szCs w:val="24"/>
          <w:u w:val="single"/>
        </w:rPr>
      </w:pPr>
      <w:r w:rsidRPr="002813E1">
        <w:rPr>
          <w:sz w:val="24"/>
          <w:szCs w:val="24"/>
          <w:u w:val="single"/>
        </w:rPr>
        <w:lastRenderedPageBreak/>
        <w:t xml:space="preserve">Statement of Compatibility with Human Rights (prepared in accordance with Part 3 of the </w:t>
      </w:r>
      <w:r w:rsidRPr="002813E1">
        <w:rPr>
          <w:i/>
          <w:sz w:val="24"/>
          <w:szCs w:val="24"/>
          <w:u w:val="single"/>
        </w:rPr>
        <w:t>Human Rights (Parliamentary Scrutiny) Act 2011</w:t>
      </w:r>
      <w:r w:rsidRPr="002813E1">
        <w:rPr>
          <w:sz w:val="24"/>
          <w:szCs w:val="24"/>
          <w:u w:val="single"/>
        </w:rPr>
        <w:t>)</w:t>
      </w:r>
    </w:p>
    <w:p w:rsidR="00630A99" w:rsidRDefault="00630A99" w:rsidP="0012419D">
      <w:pPr>
        <w:keepNext/>
        <w:rPr>
          <w:sz w:val="24"/>
          <w:szCs w:val="24"/>
          <w:u w:val="single"/>
        </w:rPr>
      </w:pPr>
    </w:p>
    <w:p w:rsidR="00630A99" w:rsidRDefault="00E00750" w:rsidP="0012419D">
      <w:pPr>
        <w:keepNext/>
        <w:rPr>
          <w:sz w:val="24"/>
          <w:szCs w:val="24"/>
        </w:rPr>
      </w:pPr>
      <w:r w:rsidRPr="00CA2B84">
        <w:rPr>
          <w:sz w:val="24"/>
          <w:szCs w:val="24"/>
        </w:rPr>
        <w:t xml:space="preserve">This </w:t>
      </w:r>
      <w:r>
        <w:rPr>
          <w:sz w:val="24"/>
          <w:szCs w:val="24"/>
        </w:rPr>
        <w:t>Notice</w:t>
      </w:r>
      <w:r w:rsidRPr="00CA2B84">
        <w:rPr>
          <w:sz w:val="24"/>
          <w:szCs w:val="24"/>
        </w:rPr>
        <w:t xml:space="preserve"> is compatible with the human rights and freedoms recognised or declared in the international instruments listed in section 3 of the </w:t>
      </w:r>
      <w:r w:rsidRPr="00CA2B84">
        <w:rPr>
          <w:i/>
          <w:sz w:val="24"/>
          <w:szCs w:val="24"/>
        </w:rPr>
        <w:t>Human Rights (Parliamentary Scrutiny) Act 2011</w:t>
      </w:r>
      <w:r w:rsidRPr="00CA2B84">
        <w:rPr>
          <w:sz w:val="24"/>
          <w:szCs w:val="24"/>
        </w:rPr>
        <w:t>.</w:t>
      </w:r>
      <w:r w:rsidR="00365687">
        <w:rPr>
          <w:sz w:val="24"/>
          <w:szCs w:val="24"/>
        </w:rPr>
        <w:t xml:space="preserve"> This is because the Notice does not limit or regulate the right to enjoy culture.</w:t>
      </w:r>
    </w:p>
    <w:p w:rsidR="00E00750" w:rsidRDefault="00E00750" w:rsidP="00E00750">
      <w:pPr>
        <w:rPr>
          <w:sz w:val="24"/>
          <w:szCs w:val="24"/>
        </w:rPr>
      </w:pPr>
    </w:p>
    <w:p w:rsidR="00E00750" w:rsidRDefault="00E00750" w:rsidP="00E00750">
      <w:pPr>
        <w:rPr>
          <w:sz w:val="24"/>
          <w:szCs w:val="24"/>
        </w:rPr>
      </w:pPr>
      <w:r>
        <w:rPr>
          <w:sz w:val="24"/>
          <w:szCs w:val="24"/>
        </w:rPr>
        <w:t xml:space="preserve">Australia is a signatory to the International Covenant on Civil and Political Rights (the ICCPR) and the International Covenant on Economic, Social and Cultural Rights (ICESCR) (two of the </w:t>
      </w:r>
      <w:r w:rsidRPr="00CA2B84">
        <w:rPr>
          <w:sz w:val="24"/>
          <w:szCs w:val="24"/>
        </w:rPr>
        <w:t xml:space="preserve">international instruments listed in section 3 of the </w:t>
      </w:r>
      <w:r w:rsidRPr="00CA2B84">
        <w:rPr>
          <w:i/>
          <w:sz w:val="24"/>
          <w:szCs w:val="24"/>
        </w:rPr>
        <w:t>Human Rights (Parliamentary Scrutiny) Act 2011</w:t>
      </w:r>
      <w:r w:rsidRPr="007747B8">
        <w:rPr>
          <w:sz w:val="24"/>
          <w:szCs w:val="24"/>
        </w:rPr>
        <w:t>)</w:t>
      </w:r>
      <w:r>
        <w:rPr>
          <w:sz w:val="24"/>
          <w:szCs w:val="24"/>
        </w:rPr>
        <w:t xml:space="preserve">. Article 19(2) of the ICCPR protects freedom of expression, including the right to seek, receive and impart information and ideas of all kinds, and the means of their dissemination. Article 15(1) of the ICESCR protects the right of everyone to take part in cultural life. Cultural life includes sports. </w:t>
      </w:r>
    </w:p>
    <w:p w:rsidR="00E00750" w:rsidRDefault="00E00750" w:rsidP="00E00750">
      <w:pPr>
        <w:rPr>
          <w:sz w:val="24"/>
          <w:szCs w:val="24"/>
        </w:rPr>
      </w:pPr>
    </w:p>
    <w:p w:rsidR="00DA01FF" w:rsidRDefault="00E00750" w:rsidP="00464173">
      <w:pPr>
        <w:rPr>
          <w:sz w:val="24"/>
          <w:szCs w:val="24"/>
        </w:rPr>
      </w:pPr>
      <w:r w:rsidRPr="00365687">
        <w:rPr>
          <w:sz w:val="24"/>
          <w:szCs w:val="24"/>
        </w:rPr>
        <w:t>The purpose of the Principal Notice i</w:t>
      </w:r>
      <w:r w:rsidR="00365687" w:rsidRPr="00365687">
        <w:rPr>
          <w:sz w:val="24"/>
          <w:szCs w:val="24"/>
        </w:rPr>
        <w:t>s to provide the opportunity for</w:t>
      </w:r>
      <w:r w:rsidRPr="00365687">
        <w:rPr>
          <w:sz w:val="24"/>
          <w:szCs w:val="24"/>
        </w:rPr>
        <w:t xml:space="preserve"> </w:t>
      </w:r>
      <w:r w:rsidR="00D64A0E" w:rsidRPr="00365687">
        <w:rPr>
          <w:sz w:val="24"/>
          <w:szCs w:val="24"/>
        </w:rPr>
        <w:t>specified events</w:t>
      </w:r>
      <w:r w:rsidRPr="00365687">
        <w:rPr>
          <w:sz w:val="24"/>
          <w:szCs w:val="24"/>
        </w:rPr>
        <w:t xml:space="preserve"> </w:t>
      </w:r>
      <w:r w:rsidR="00365687" w:rsidRPr="00365687">
        <w:rPr>
          <w:sz w:val="24"/>
          <w:szCs w:val="24"/>
        </w:rPr>
        <w:t>to be</w:t>
      </w:r>
      <w:r w:rsidR="00D64A0E" w:rsidRPr="00365687">
        <w:rPr>
          <w:sz w:val="24"/>
          <w:szCs w:val="24"/>
        </w:rPr>
        <w:t xml:space="preserve"> </w:t>
      </w:r>
      <w:r w:rsidRPr="00365687">
        <w:rPr>
          <w:sz w:val="24"/>
          <w:szCs w:val="24"/>
        </w:rPr>
        <w:t xml:space="preserve">televised free to the Australian public. </w:t>
      </w:r>
      <w:r w:rsidR="00464173">
        <w:rPr>
          <w:sz w:val="24"/>
          <w:szCs w:val="24"/>
        </w:rPr>
        <w:t>However, w</w:t>
      </w:r>
      <w:r w:rsidR="00464173" w:rsidRPr="00A7536C">
        <w:rPr>
          <w:sz w:val="24"/>
          <w:szCs w:val="24"/>
          <w:lang w:val="en-GB"/>
        </w:rPr>
        <w:t>here free-to-air broadcasters demonstrate little interest in providing coverage of events</w:t>
      </w:r>
      <w:r w:rsidR="00464173">
        <w:rPr>
          <w:sz w:val="24"/>
          <w:szCs w:val="24"/>
          <w:lang w:val="en-GB"/>
        </w:rPr>
        <w:t xml:space="preserve"> included on the Principal Notice</w:t>
      </w:r>
      <w:r w:rsidR="00464173" w:rsidRPr="00A7536C">
        <w:rPr>
          <w:sz w:val="24"/>
          <w:szCs w:val="24"/>
          <w:lang w:val="en-GB"/>
        </w:rPr>
        <w:t>, it is reasonable that the</w:t>
      </w:r>
      <w:r w:rsidR="000C0533">
        <w:rPr>
          <w:sz w:val="24"/>
          <w:szCs w:val="24"/>
          <w:lang w:val="en-GB"/>
        </w:rPr>
        <w:t>se</w:t>
      </w:r>
      <w:r w:rsidR="00464173" w:rsidRPr="00A7536C">
        <w:rPr>
          <w:sz w:val="24"/>
          <w:szCs w:val="24"/>
          <w:lang w:val="en-GB"/>
        </w:rPr>
        <w:t xml:space="preserve"> events no lon</w:t>
      </w:r>
      <w:r w:rsidR="00B0439A">
        <w:rPr>
          <w:sz w:val="24"/>
          <w:szCs w:val="24"/>
          <w:lang w:val="en-GB"/>
        </w:rPr>
        <w:t>ger be protected under the anti</w:t>
      </w:r>
      <w:r w:rsidR="00B0439A">
        <w:rPr>
          <w:sz w:val="24"/>
          <w:szCs w:val="24"/>
          <w:lang w:val="en-GB"/>
        </w:rPr>
        <w:noBreakHyphen/>
      </w:r>
      <w:r w:rsidR="00464173" w:rsidRPr="00A7536C">
        <w:rPr>
          <w:sz w:val="24"/>
          <w:szCs w:val="24"/>
          <w:lang w:val="en-GB"/>
        </w:rPr>
        <w:t xml:space="preserve">siphoning scheme. </w:t>
      </w:r>
      <w:r w:rsidR="003B2904">
        <w:rPr>
          <w:sz w:val="24"/>
          <w:szCs w:val="24"/>
        </w:rPr>
        <w:t xml:space="preserve">The </w:t>
      </w:r>
      <w:r w:rsidR="00DA01FF">
        <w:rPr>
          <w:sz w:val="24"/>
          <w:szCs w:val="24"/>
        </w:rPr>
        <w:t xml:space="preserve">rights holder of the </w:t>
      </w:r>
      <w:r w:rsidR="00464173">
        <w:rPr>
          <w:sz w:val="24"/>
          <w:szCs w:val="24"/>
        </w:rPr>
        <w:t xml:space="preserve">US Open – the US Tennis Association – </w:t>
      </w:r>
      <w:r w:rsidR="00DA01FF">
        <w:rPr>
          <w:sz w:val="24"/>
          <w:szCs w:val="24"/>
        </w:rPr>
        <w:t xml:space="preserve">has made available the </w:t>
      </w:r>
      <w:r w:rsidR="0039048F">
        <w:rPr>
          <w:sz w:val="24"/>
          <w:szCs w:val="24"/>
        </w:rPr>
        <w:t xml:space="preserve">Australian </w:t>
      </w:r>
      <w:r w:rsidR="00DA01FF">
        <w:rPr>
          <w:sz w:val="24"/>
          <w:szCs w:val="24"/>
        </w:rPr>
        <w:t xml:space="preserve">broadcast rights to the </w:t>
      </w:r>
      <w:r w:rsidR="003B2904">
        <w:rPr>
          <w:sz w:val="24"/>
          <w:szCs w:val="24"/>
        </w:rPr>
        <w:t xml:space="preserve">2013 to 2016 tournaments </w:t>
      </w:r>
      <w:r w:rsidR="00DA01FF">
        <w:rPr>
          <w:sz w:val="24"/>
          <w:szCs w:val="24"/>
        </w:rPr>
        <w:t xml:space="preserve">to </w:t>
      </w:r>
      <w:r w:rsidR="00464173">
        <w:rPr>
          <w:sz w:val="24"/>
          <w:szCs w:val="24"/>
        </w:rPr>
        <w:t xml:space="preserve">Australian </w:t>
      </w:r>
      <w:r w:rsidR="00DA01FF">
        <w:rPr>
          <w:sz w:val="24"/>
          <w:szCs w:val="24"/>
        </w:rPr>
        <w:t xml:space="preserve">free-to-air </w:t>
      </w:r>
      <w:r w:rsidR="000C0533">
        <w:rPr>
          <w:sz w:val="24"/>
          <w:szCs w:val="24"/>
        </w:rPr>
        <w:t xml:space="preserve">broadcasters </w:t>
      </w:r>
      <w:r w:rsidR="00464173">
        <w:rPr>
          <w:sz w:val="24"/>
          <w:szCs w:val="24"/>
        </w:rPr>
        <w:t>and n</w:t>
      </w:r>
      <w:r w:rsidR="00DA01FF">
        <w:rPr>
          <w:sz w:val="24"/>
          <w:szCs w:val="24"/>
        </w:rPr>
        <w:t>one of these broadcasters have acquired any such rights.</w:t>
      </w:r>
    </w:p>
    <w:p w:rsidR="00DA01FF" w:rsidRDefault="00DA01FF" w:rsidP="00E00750">
      <w:pPr>
        <w:rPr>
          <w:sz w:val="24"/>
          <w:szCs w:val="24"/>
        </w:rPr>
      </w:pPr>
    </w:p>
    <w:p w:rsidR="00E00750" w:rsidRDefault="00DA01FF" w:rsidP="00E00750">
      <w:pPr>
        <w:rPr>
          <w:sz w:val="24"/>
          <w:szCs w:val="24"/>
        </w:rPr>
      </w:pPr>
      <w:r>
        <w:rPr>
          <w:sz w:val="24"/>
          <w:szCs w:val="24"/>
        </w:rPr>
        <w:t xml:space="preserve">In order to facilitate broadcast coverage of these tournaments in Australia, for the benefit of Australian tennis fans, it is appropriate to remove any matches held as part of these tournaments from the anti-siphoning list. </w:t>
      </w:r>
      <w:r w:rsidR="008C5609">
        <w:rPr>
          <w:sz w:val="24"/>
          <w:szCs w:val="24"/>
        </w:rPr>
        <w:t xml:space="preserve">This </w:t>
      </w:r>
      <w:r>
        <w:rPr>
          <w:sz w:val="24"/>
          <w:szCs w:val="24"/>
        </w:rPr>
        <w:t>will enable subscription television broadcasters to a</w:t>
      </w:r>
      <w:r w:rsidR="000C0533">
        <w:rPr>
          <w:sz w:val="24"/>
          <w:szCs w:val="24"/>
        </w:rPr>
        <w:t>cquire broadcast rights to the tournament for the 2013 to 2016 period</w:t>
      </w:r>
      <w:r>
        <w:rPr>
          <w:sz w:val="24"/>
          <w:szCs w:val="24"/>
        </w:rPr>
        <w:t xml:space="preserve"> </w:t>
      </w:r>
      <w:r w:rsidR="00AB3F34">
        <w:rPr>
          <w:sz w:val="24"/>
          <w:szCs w:val="24"/>
        </w:rPr>
        <w:t>now</w:t>
      </w:r>
      <w:r w:rsidR="000C0533">
        <w:rPr>
          <w:sz w:val="24"/>
          <w:szCs w:val="24"/>
        </w:rPr>
        <w:t xml:space="preserve">, </w:t>
      </w:r>
      <w:r>
        <w:rPr>
          <w:sz w:val="24"/>
          <w:szCs w:val="24"/>
        </w:rPr>
        <w:t>without restriction under the anti-siphoning scheme</w:t>
      </w:r>
      <w:r w:rsidR="00AB3F34">
        <w:rPr>
          <w:sz w:val="24"/>
          <w:szCs w:val="24"/>
        </w:rPr>
        <w:t xml:space="preserve">, rather than having to wait </w:t>
      </w:r>
      <w:r w:rsidR="00846CAC">
        <w:rPr>
          <w:sz w:val="24"/>
          <w:szCs w:val="24"/>
        </w:rPr>
        <w:t>for an Australian free-to-air broadcaster to acquire such rights</w:t>
      </w:r>
      <w:r w:rsidR="00B0439A">
        <w:rPr>
          <w:sz w:val="24"/>
          <w:szCs w:val="24"/>
        </w:rPr>
        <w:t xml:space="preserve"> first</w:t>
      </w:r>
      <w:r w:rsidR="00846CAC">
        <w:rPr>
          <w:sz w:val="24"/>
          <w:szCs w:val="24"/>
        </w:rPr>
        <w:t xml:space="preserve">, or </w:t>
      </w:r>
      <w:r w:rsidR="00AB3F34">
        <w:rPr>
          <w:sz w:val="24"/>
          <w:szCs w:val="24"/>
        </w:rPr>
        <w:t>for the events to automatically</w:t>
      </w:r>
      <w:r w:rsidR="00846CAC">
        <w:rPr>
          <w:sz w:val="24"/>
          <w:szCs w:val="24"/>
        </w:rPr>
        <w:t xml:space="preserve"> delist 12 weeks prior to the </w:t>
      </w:r>
      <w:r w:rsidR="00AB3F34">
        <w:rPr>
          <w:sz w:val="24"/>
          <w:szCs w:val="24"/>
        </w:rPr>
        <w:t>commencement</w:t>
      </w:r>
      <w:r w:rsidR="00846CAC">
        <w:rPr>
          <w:sz w:val="24"/>
          <w:szCs w:val="24"/>
        </w:rPr>
        <w:t xml:space="preserve"> of each event (match)</w:t>
      </w:r>
      <w:r w:rsidR="00AB3F34">
        <w:rPr>
          <w:sz w:val="24"/>
          <w:szCs w:val="24"/>
        </w:rPr>
        <w:t xml:space="preserve">. </w:t>
      </w:r>
      <w:r w:rsidR="00B0439A">
        <w:rPr>
          <w:sz w:val="24"/>
          <w:szCs w:val="24"/>
        </w:rPr>
        <w:t xml:space="preserve">Enabling subscription television broadcasters to acquire these rights in 2013 will </w:t>
      </w:r>
      <w:r w:rsidR="00852A06">
        <w:rPr>
          <w:sz w:val="24"/>
          <w:szCs w:val="24"/>
        </w:rPr>
        <w:t xml:space="preserve">maximise the opportunity for </w:t>
      </w:r>
      <w:r w:rsidR="00497D1D">
        <w:rPr>
          <w:sz w:val="24"/>
          <w:szCs w:val="24"/>
        </w:rPr>
        <w:t xml:space="preserve">television </w:t>
      </w:r>
      <w:r w:rsidR="00852A06">
        <w:rPr>
          <w:sz w:val="24"/>
          <w:szCs w:val="24"/>
        </w:rPr>
        <w:t xml:space="preserve">coverage of the US Open to be made available </w:t>
      </w:r>
      <w:r w:rsidR="00497D1D">
        <w:rPr>
          <w:sz w:val="24"/>
          <w:szCs w:val="24"/>
        </w:rPr>
        <w:t>in</w:t>
      </w:r>
      <w:r w:rsidR="00852A06">
        <w:rPr>
          <w:sz w:val="24"/>
          <w:szCs w:val="24"/>
        </w:rPr>
        <w:t xml:space="preserve"> Australia</w:t>
      </w:r>
      <w:r w:rsidR="00497D1D">
        <w:rPr>
          <w:sz w:val="24"/>
          <w:szCs w:val="24"/>
        </w:rPr>
        <w:t>.</w:t>
      </w:r>
      <w:r w:rsidR="00B0439A">
        <w:rPr>
          <w:sz w:val="24"/>
          <w:szCs w:val="24"/>
        </w:rPr>
        <w:t xml:space="preserve"> Facilitating this early acquisition of television broadcast rights will promote the right to freedom of expression and the right to participate in cultural life consistent with the ICCPR and </w:t>
      </w:r>
      <w:r w:rsidR="00B0439A" w:rsidRPr="00B0439A">
        <w:rPr>
          <w:sz w:val="24"/>
          <w:szCs w:val="24"/>
        </w:rPr>
        <w:t>ICESCR</w:t>
      </w:r>
      <w:r w:rsidR="00B0439A">
        <w:rPr>
          <w:sz w:val="24"/>
          <w:szCs w:val="24"/>
        </w:rPr>
        <w:t xml:space="preserve"> respectively. </w:t>
      </w:r>
    </w:p>
    <w:p w:rsidR="00464173" w:rsidRDefault="00464173" w:rsidP="00E00750">
      <w:pPr>
        <w:rPr>
          <w:sz w:val="24"/>
          <w:szCs w:val="24"/>
        </w:rPr>
      </w:pPr>
    </w:p>
    <w:p w:rsidR="00E00750" w:rsidRPr="0023682E" w:rsidRDefault="00E00750" w:rsidP="00E00750">
      <w:pPr>
        <w:rPr>
          <w:sz w:val="24"/>
          <w:szCs w:val="24"/>
          <w:u w:val="single"/>
        </w:rPr>
      </w:pPr>
      <w:r w:rsidRPr="0023682E">
        <w:rPr>
          <w:sz w:val="24"/>
          <w:szCs w:val="24"/>
          <w:u w:val="single"/>
        </w:rPr>
        <w:t>Consultation</w:t>
      </w:r>
    </w:p>
    <w:p w:rsidR="00E00750" w:rsidRPr="0023682E" w:rsidRDefault="00E00750" w:rsidP="00E00750">
      <w:pPr>
        <w:rPr>
          <w:sz w:val="24"/>
          <w:szCs w:val="24"/>
        </w:rPr>
      </w:pPr>
    </w:p>
    <w:p w:rsidR="00E00750" w:rsidRDefault="00E00750" w:rsidP="008C2708">
      <w:r w:rsidRPr="008D6495">
        <w:rPr>
          <w:sz w:val="24"/>
          <w:szCs w:val="24"/>
        </w:rPr>
        <w:t xml:space="preserve">The office of the Minister consulted with the </w:t>
      </w:r>
      <w:r w:rsidR="00DA01FF">
        <w:rPr>
          <w:sz w:val="24"/>
          <w:szCs w:val="24"/>
        </w:rPr>
        <w:t>US</w:t>
      </w:r>
      <w:r w:rsidR="00464173">
        <w:rPr>
          <w:sz w:val="24"/>
          <w:szCs w:val="24"/>
        </w:rPr>
        <w:t xml:space="preserve"> Tennis Association, IMG</w:t>
      </w:r>
      <w:r w:rsidR="00E92E8D">
        <w:rPr>
          <w:sz w:val="24"/>
          <w:szCs w:val="24"/>
        </w:rPr>
        <w:t>, Australia’s three free-to-air commercial television networks and Fox Sports</w:t>
      </w:r>
      <w:r w:rsidR="009504F9">
        <w:rPr>
          <w:sz w:val="24"/>
          <w:szCs w:val="24"/>
        </w:rPr>
        <w:t xml:space="preserve"> in relation to this Notice.</w:t>
      </w:r>
    </w:p>
    <w:p w:rsidR="00E00750" w:rsidRPr="00C70E91" w:rsidRDefault="00E00750" w:rsidP="00E00750"/>
    <w:p w:rsidR="002C0CD5" w:rsidRPr="00E00750" w:rsidRDefault="002C0CD5" w:rsidP="00E00750"/>
    <w:sectPr w:rsidR="002C0CD5" w:rsidRPr="00E00750" w:rsidSect="002E4200">
      <w:headerReference w:type="default" r:id="rId8"/>
      <w:footerReference w:type="first" r:id="rId9"/>
      <w:pgSz w:w="11906" w:h="16838" w:code="9"/>
      <w:pgMar w:top="1276"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DC" w:rsidRDefault="003C43DC" w:rsidP="009A5536">
      <w:r>
        <w:separator/>
      </w:r>
    </w:p>
  </w:endnote>
  <w:endnote w:type="continuationSeparator" w:id="0">
    <w:p w:rsidR="003C43DC" w:rsidRDefault="003C43DC" w:rsidP="009A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65" w:rsidRDefault="009E1B65">
    <w:pPr>
      <w:pStyle w:val="Footer"/>
      <w:jc w:val="center"/>
    </w:pPr>
  </w:p>
  <w:p w:rsidR="009E1B65" w:rsidRDefault="009E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DC" w:rsidRDefault="003C43DC" w:rsidP="009A5536">
      <w:r>
        <w:separator/>
      </w:r>
    </w:p>
  </w:footnote>
  <w:footnote w:type="continuationSeparator" w:id="0">
    <w:p w:rsidR="003C43DC" w:rsidRDefault="003C43DC" w:rsidP="009A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65" w:rsidRDefault="009E1B65">
    <w:pPr>
      <w:pStyle w:val="Header"/>
    </w:pPr>
    <w:r>
      <w:tab/>
    </w:r>
    <w:r w:rsidR="005C6C2E">
      <w:rPr>
        <w:rStyle w:val="PageNumber"/>
      </w:rPr>
      <w:fldChar w:fldCharType="begin"/>
    </w:r>
    <w:r>
      <w:rPr>
        <w:rStyle w:val="PageNumber"/>
      </w:rPr>
      <w:instrText xml:space="preserve"> PAGE </w:instrText>
    </w:r>
    <w:r w:rsidR="005C6C2E">
      <w:rPr>
        <w:rStyle w:val="PageNumber"/>
      </w:rPr>
      <w:fldChar w:fldCharType="separate"/>
    </w:r>
    <w:r w:rsidR="005E2FC7">
      <w:rPr>
        <w:rStyle w:val="PageNumber"/>
        <w:noProof/>
      </w:rPr>
      <w:t>2</w:t>
    </w:r>
    <w:r w:rsidR="005C6C2E">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CD5"/>
    <w:rsid w:val="00005672"/>
    <w:rsid w:val="00014D0F"/>
    <w:rsid w:val="00034797"/>
    <w:rsid w:val="00052478"/>
    <w:rsid w:val="00072C8C"/>
    <w:rsid w:val="000748D2"/>
    <w:rsid w:val="000806AE"/>
    <w:rsid w:val="00082742"/>
    <w:rsid w:val="00087845"/>
    <w:rsid w:val="00095E59"/>
    <w:rsid w:val="00096138"/>
    <w:rsid w:val="0009720F"/>
    <w:rsid w:val="000A704C"/>
    <w:rsid w:val="000B4CD8"/>
    <w:rsid w:val="000C0533"/>
    <w:rsid w:val="000C1A81"/>
    <w:rsid w:val="000D4E95"/>
    <w:rsid w:val="000E2948"/>
    <w:rsid w:val="000F00D4"/>
    <w:rsid w:val="000F35B7"/>
    <w:rsid w:val="001013DD"/>
    <w:rsid w:val="001025F0"/>
    <w:rsid w:val="001052C9"/>
    <w:rsid w:val="00113F27"/>
    <w:rsid w:val="0012015C"/>
    <w:rsid w:val="0012419D"/>
    <w:rsid w:val="0012623C"/>
    <w:rsid w:val="001327CE"/>
    <w:rsid w:val="00136D23"/>
    <w:rsid w:val="00153A37"/>
    <w:rsid w:val="00165AC2"/>
    <w:rsid w:val="00167F68"/>
    <w:rsid w:val="00197E23"/>
    <w:rsid w:val="001A4680"/>
    <w:rsid w:val="001A4D94"/>
    <w:rsid w:val="001A7E63"/>
    <w:rsid w:val="001B341A"/>
    <w:rsid w:val="001C6DC2"/>
    <w:rsid w:val="001E5B1D"/>
    <w:rsid w:val="001F624A"/>
    <w:rsid w:val="00203EBE"/>
    <w:rsid w:val="00212890"/>
    <w:rsid w:val="00231C71"/>
    <w:rsid w:val="00232D98"/>
    <w:rsid w:val="00252855"/>
    <w:rsid w:val="0026336A"/>
    <w:rsid w:val="002817A8"/>
    <w:rsid w:val="002956C6"/>
    <w:rsid w:val="00297734"/>
    <w:rsid w:val="002A2C10"/>
    <w:rsid w:val="002A7865"/>
    <w:rsid w:val="002C0030"/>
    <w:rsid w:val="002C0CD5"/>
    <w:rsid w:val="002E4200"/>
    <w:rsid w:val="002E59BE"/>
    <w:rsid w:val="002F4E99"/>
    <w:rsid w:val="00300D7D"/>
    <w:rsid w:val="00303DE4"/>
    <w:rsid w:val="00304AAE"/>
    <w:rsid w:val="00312292"/>
    <w:rsid w:val="00315E5C"/>
    <w:rsid w:val="0034299C"/>
    <w:rsid w:val="003431F5"/>
    <w:rsid w:val="00362FC5"/>
    <w:rsid w:val="00365687"/>
    <w:rsid w:val="0039048F"/>
    <w:rsid w:val="00390DE4"/>
    <w:rsid w:val="003A1A35"/>
    <w:rsid w:val="003A1EFF"/>
    <w:rsid w:val="003A39A2"/>
    <w:rsid w:val="003B2904"/>
    <w:rsid w:val="003B5872"/>
    <w:rsid w:val="003C43DC"/>
    <w:rsid w:val="003F2D32"/>
    <w:rsid w:val="003F584E"/>
    <w:rsid w:val="004024C4"/>
    <w:rsid w:val="00420400"/>
    <w:rsid w:val="00442A12"/>
    <w:rsid w:val="00464173"/>
    <w:rsid w:val="0047601F"/>
    <w:rsid w:val="00485E9A"/>
    <w:rsid w:val="00491C97"/>
    <w:rsid w:val="00493CD6"/>
    <w:rsid w:val="00497D1D"/>
    <w:rsid w:val="00497F62"/>
    <w:rsid w:val="004A19EE"/>
    <w:rsid w:val="004B75EA"/>
    <w:rsid w:val="004D15C1"/>
    <w:rsid w:val="004D5004"/>
    <w:rsid w:val="004E4107"/>
    <w:rsid w:val="004E62AC"/>
    <w:rsid w:val="004E63CD"/>
    <w:rsid w:val="004F3607"/>
    <w:rsid w:val="00501EB5"/>
    <w:rsid w:val="00517442"/>
    <w:rsid w:val="00517B36"/>
    <w:rsid w:val="005319FC"/>
    <w:rsid w:val="00531F51"/>
    <w:rsid w:val="00536037"/>
    <w:rsid w:val="0055586C"/>
    <w:rsid w:val="0056157E"/>
    <w:rsid w:val="0056237D"/>
    <w:rsid w:val="005627A9"/>
    <w:rsid w:val="00565D03"/>
    <w:rsid w:val="005704CF"/>
    <w:rsid w:val="00573EA4"/>
    <w:rsid w:val="00591655"/>
    <w:rsid w:val="005A03F1"/>
    <w:rsid w:val="005A2F9A"/>
    <w:rsid w:val="005A39C8"/>
    <w:rsid w:val="005B1E56"/>
    <w:rsid w:val="005B3007"/>
    <w:rsid w:val="005C0A78"/>
    <w:rsid w:val="005C6C2E"/>
    <w:rsid w:val="005D6D6F"/>
    <w:rsid w:val="005E26DD"/>
    <w:rsid w:val="005E2FC7"/>
    <w:rsid w:val="00630A99"/>
    <w:rsid w:val="0064376A"/>
    <w:rsid w:val="00672CB7"/>
    <w:rsid w:val="006A23D1"/>
    <w:rsid w:val="006B0888"/>
    <w:rsid w:val="006B5F71"/>
    <w:rsid w:val="006E201C"/>
    <w:rsid w:val="006E26CE"/>
    <w:rsid w:val="006E6EBE"/>
    <w:rsid w:val="007206B3"/>
    <w:rsid w:val="007306D4"/>
    <w:rsid w:val="00735ADF"/>
    <w:rsid w:val="007747B8"/>
    <w:rsid w:val="00783680"/>
    <w:rsid w:val="00786677"/>
    <w:rsid w:val="00786989"/>
    <w:rsid w:val="00793059"/>
    <w:rsid w:val="00793FB7"/>
    <w:rsid w:val="00795426"/>
    <w:rsid w:val="007A6680"/>
    <w:rsid w:val="007B1427"/>
    <w:rsid w:val="007B7A27"/>
    <w:rsid w:val="007E0BA1"/>
    <w:rsid w:val="008011DF"/>
    <w:rsid w:val="00806F4C"/>
    <w:rsid w:val="00807748"/>
    <w:rsid w:val="00821D0E"/>
    <w:rsid w:val="00846CAC"/>
    <w:rsid w:val="00852A06"/>
    <w:rsid w:val="00870B67"/>
    <w:rsid w:val="0088469E"/>
    <w:rsid w:val="00884CA9"/>
    <w:rsid w:val="00890C86"/>
    <w:rsid w:val="00893980"/>
    <w:rsid w:val="008A40E1"/>
    <w:rsid w:val="008C054F"/>
    <w:rsid w:val="008C1030"/>
    <w:rsid w:val="008C219A"/>
    <w:rsid w:val="008C2708"/>
    <w:rsid w:val="008C5609"/>
    <w:rsid w:val="008C6711"/>
    <w:rsid w:val="008C797A"/>
    <w:rsid w:val="008D6495"/>
    <w:rsid w:val="00907575"/>
    <w:rsid w:val="00931AE8"/>
    <w:rsid w:val="00950280"/>
    <w:rsid w:val="009504F9"/>
    <w:rsid w:val="00951AE3"/>
    <w:rsid w:val="0095211D"/>
    <w:rsid w:val="00952E77"/>
    <w:rsid w:val="009651E8"/>
    <w:rsid w:val="00970E5C"/>
    <w:rsid w:val="00990F64"/>
    <w:rsid w:val="00995504"/>
    <w:rsid w:val="009A5536"/>
    <w:rsid w:val="009B4C72"/>
    <w:rsid w:val="009C1FA2"/>
    <w:rsid w:val="009E1B65"/>
    <w:rsid w:val="009F630F"/>
    <w:rsid w:val="00A06420"/>
    <w:rsid w:val="00A07244"/>
    <w:rsid w:val="00A1445B"/>
    <w:rsid w:val="00A229C7"/>
    <w:rsid w:val="00A22D9D"/>
    <w:rsid w:val="00A2416B"/>
    <w:rsid w:val="00A413D6"/>
    <w:rsid w:val="00A53DB2"/>
    <w:rsid w:val="00A661AA"/>
    <w:rsid w:val="00A7536C"/>
    <w:rsid w:val="00A96997"/>
    <w:rsid w:val="00AA0289"/>
    <w:rsid w:val="00AA0CDC"/>
    <w:rsid w:val="00AB3F34"/>
    <w:rsid w:val="00AD1746"/>
    <w:rsid w:val="00AF1019"/>
    <w:rsid w:val="00B0439A"/>
    <w:rsid w:val="00B1639B"/>
    <w:rsid w:val="00B2617E"/>
    <w:rsid w:val="00B33CFF"/>
    <w:rsid w:val="00B40AAF"/>
    <w:rsid w:val="00B46290"/>
    <w:rsid w:val="00B47512"/>
    <w:rsid w:val="00B61477"/>
    <w:rsid w:val="00B818F3"/>
    <w:rsid w:val="00B94CF2"/>
    <w:rsid w:val="00BA0882"/>
    <w:rsid w:val="00BA126E"/>
    <w:rsid w:val="00BB3ACB"/>
    <w:rsid w:val="00BD4974"/>
    <w:rsid w:val="00BE7391"/>
    <w:rsid w:val="00BF3E5E"/>
    <w:rsid w:val="00BF4247"/>
    <w:rsid w:val="00BF788E"/>
    <w:rsid w:val="00C1272C"/>
    <w:rsid w:val="00C329E8"/>
    <w:rsid w:val="00C414F3"/>
    <w:rsid w:val="00C43C9A"/>
    <w:rsid w:val="00C47D42"/>
    <w:rsid w:val="00C53D90"/>
    <w:rsid w:val="00C55C56"/>
    <w:rsid w:val="00C563B1"/>
    <w:rsid w:val="00C7008B"/>
    <w:rsid w:val="00C70E91"/>
    <w:rsid w:val="00C9128D"/>
    <w:rsid w:val="00CB0424"/>
    <w:rsid w:val="00CC27D8"/>
    <w:rsid w:val="00CC3F85"/>
    <w:rsid w:val="00CE05BE"/>
    <w:rsid w:val="00CE21C9"/>
    <w:rsid w:val="00CF585A"/>
    <w:rsid w:val="00D143D2"/>
    <w:rsid w:val="00D155F5"/>
    <w:rsid w:val="00D15F72"/>
    <w:rsid w:val="00D17C05"/>
    <w:rsid w:val="00D326BF"/>
    <w:rsid w:val="00D505EA"/>
    <w:rsid w:val="00D64A0E"/>
    <w:rsid w:val="00D75085"/>
    <w:rsid w:val="00D800FE"/>
    <w:rsid w:val="00DA01FF"/>
    <w:rsid w:val="00DA72D3"/>
    <w:rsid w:val="00DB1D2E"/>
    <w:rsid w:val="00DC0F57"/>
    <w:rsid w:val="00DD07A1"/>
    <w:rsid w:val="00DD1527"/>
    <w:rsid w:val="00E00750"/>
    <w:rsid w:val="00E02AEF"/>
    <w:rsid w:val="00E2167F"/>
    <w:rsid w:val="00E21D4E"/>
    <w:rsid w:val="00E47933"/>
    <w:rsid w:val="00E65C61"/>
    <w:rsid w:val="00E85A7F"/>
    <w:rsid w:val="00E92E8D"/>
    <w:rsid w:val="00EA58B4"/>
    <w:rsid w:val="00EA7478"/>
    <w:rsid w:val="00EB02B1"/>
    <w:rsid w:val="00EB05F7"/>
    <w:rsid w:val="00EB258C"/>
    <w:rsid w:val="00EB445D"/>
    <w:rsid w:val="00EB7F55"/>
    <w:rsid w:val="00EE4315"/>
    <w:rsid w:val="00EE6AFA"/>
    <w:rsid w:val="00EF032E"/>
    <w:rsid w:val="00F2257C"/>
    <w:rsid w:val="00F47B73"/>
    <w:rsid w:val="00F600C5"/>
    <w:rsid w:val="00F670AB"/>
    <w:rsid w:val="00F75353"/>
    <w:rsid w:val="00F86FCF"/>
    <w:rsid w:val="00F94EFF"/>
    <w:rsid w:val="00FA7522"/>
    <w:rsid w:val="00FB6395"/>
    <w:rsid w:val="00FC1B28"/>
    <w:rsid w:val="00FC6D97"/>
    <w:rsid w:val="00FD6285"/>
    <w:rsid w:val="00FF532E"/>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C0CD5"/>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CD5"/>
    <w:rPr>
      <w:rFonts w:ascii="Times New Roman" w:eastAsia="Times New Roman" w:hAnsi="Times New Roman" w:cs="Times New Roman"/>
      <w:i/>
      <w:sz w:val="24"/>
      <w:szCs w:val="20"/>
      <w:lang w:eastAsia="en-AU"/>
    </w:rPr>
  </w:style>
  <w:style w:type="paragraph" w:styleId="Title">
    <w:name w:val="Title"/>
    <w:basedOn w:val="Normal"/>
    <w:link w:val="TitleChar"/>
    <w:qFormat/>
    <w:rsid w:val="002C0CD5"/>
    <w:pPr>
      <w:jc w:val="center"/>
    </w:pPr>
    <w:rPr>
      <w:b/>
      <w:sz w:val="24"/>
      <w:u w:val="single"/>
      <w:lang w:val="en-GB" w:eastAsia="en-US"/>
    </w:rPr>
  </w:style>
  <w:style w:type="character" w:customStyle="1" w:styleId="TitleChar">
    <w:name w:val="Title Char"/>
    <w:basedOn w:val="DefaultParagraphFont"/>
    <w:link w:val="Title"/>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rsid w:val="002C0CD5"/>
    <w:pPr>
      <w:tabs>
        <w:tab w:val="center" w:pos="4320"/>
        <w:tab w:val="right" w:pos="8640"/>
      </w:tabs>
    </w:pPr>
    <w:rPr>
      <w:sz w:val="24"/>
    </w:rPr>
  </w:style>
  <w:style w:type="character" w:customStyle="1" w:styleId="HeaderChar">
    <w:name w:val="Header Char"/>
    <w:basedOn w:val="DefaultParagraphFont"/>
    <w:link w:val="Header"/>
    <w:rsid w:val="002C0CD5"/>
    <w:rPr>
      <w:rFonts w:ascii="Times New Roman" w:eastAsia="Times New Roman" w:hAnsi="Times New Roman" w:cs="Times New Roman"/>
      <w:sz w:val="24"/>
      <w:szCs w:val="20"/>
      <w:lang w:eastAsia="en-AU"/>
    </w:rPr>
  </w:style>
  <w:style w:type="character" w:styleId="PageNumber">
    <w:name w:val="page number"/>
    <w:basedOn w:val="DefaultParagraphFont"/>
    <w:rsid w:val="002C0CD5"/>
  </w:style>
  <w:style w:type="character" w:styleId="CommentReference">
    <w:name w:val="annotation reference"/>
    <w:basedOn w:val="DefaultParagraphFont"/>
    <w:semiHidden/>
    <w:rsid w:val="002C0CD5"/>
    <w:rPr>
      <w:sz w:val="16"/>
      <w:szCs w:val="16"/>
    </w:rPr>
  </w:style>
  <w:style w:type="paragraph" w:styleId="CommentText">
    <w:name w:val="annotation text"/>
    <w:basedOn w:val="Normal"/>
    <w:link w:val="CommentTextChar"/>
    <w:semiHidden/>
    <w:rsid w:val="002C0CD5"/>
  </w:style>
  <w:style w:type="character" w:customStyle="1" w:styleId="CommentTextChar">
    <w:name w:val="Comment Text Char"/>
    <w:basedOn w:val="DefaultParagraphFont"/>
    <w:link w:val="CommentText"/>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rFonts w:ascii="Times New Roman" w:eastAsia="Times New Roman" w:hAnsi="Times New Roman" w:cs="Times New Roman"/>
      <w:b/>
      <w:bCs/>
      <w:sz w:val="20"/>
      <w:szCs w:val="20"/>
      <w:lang w:eastAsia="en-AU"/>
    </w:rPr>
  </w:style>
  <w:style w:type="paragraph" w:customStyle="1" w:styleId="Abc-Text">
    <w:name w:val="Abc - Text"/>
    <w:basedOn w:val="Normal"/>
    <w:link w:val="Abc-TextChar"/>
    <w:unhideWhenUsed/>
    <w:qFormat/>
    <w:rsid w:val="00A7536C"/>
    <w:rPr>
      <w:rFonts w:eastAsia="Calibri"/>
      <w:color w:val="000000"/>
      <w:sz w:val="24"/>
      <w:szCs w:val="24"/>
    </w:rPr>
  </w:style>
  <w:style w:type="character" w:customStyle="1" w:styleId="Abc-TextChar">
    <w:name w:val="Abc - Text Char"/>
    <w:link w:val="Abc-Text"/>
    <w:rsid w:val="00A7536C"/>
    <w:rPr>
      <w:rFonts w:ascii="Times New Roman" w:eastAsia="Calibri"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986662061">
      <w:bodyDiv w:val="1"/>
      <w:marLeft w:val="0"/>
      <w:marRight w:val="0"/>
      <w:marTop w:val="0"/>
      <w:marBottom w:val="0"/>
      <w:divBdr>
        <w:top w:val="none" w:sz="0" w:space="0" w:color="auto"/>
        <w:left w:val="none" w:sz="0" w:space="0" w:color="auto"/>
        <w:bottom w:val="none" w:sz="0" w:space="0" w:color="auto"/>
        <w:right w:val="none" w:sz="0" w:space="0" w:color="auto"/>
      </w:divBdr>
    </w:div>
    <w:div w:id="1439595232">
      <w:bodyDiv w:val="1"/>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sChild>
            <w:div w:id="1964118512">
              <w:marLeft w:val="0"/>
              <w:marRight w:val="0"/>
              <w:marTop w:val="0"/>
              <w:marBottom w:val="0"/>
              <w:divBdr>
                <w:top w:val="none" w:sz="0" w:space="0" w:color="auto"/>
                <w:left w:val="none" w:sz="0" w:space="0" w:color="auto"/>
                <w:bottom w:val="none" w:sz="0" w:space="0" w:color="auto"/>
                <w:right w:val="none" w:sz="0" w:space="0" w:color="auto"/>
              </w:divBdr>
              <w:divsChild>
                <w:div w:id="815411800">
                  <w:marLeft w:val="0"/>
                  <w:marRight w:val="0"/>
                  <w:marTop w:val="0"/>
                  <w:marBottom w:val="0"/>
                  <w:divBdr>
                    <w:top w:val="none" w:sz="0" w:space="0" w:color="auto"/>
                    <w:left w:val="none" w:sz="0" w:space="0" w:color="auto"/>
                    <w:bottom w:val="none" w:sz="0" w:space="0" w:color="auto"/>
                    <w:right w:val="none" w:sz="0" w:space="0" w:color="auto"/>
                  </w:divBdr>
                  <w:divsChild>
                    <w:div w:id="1007058283">
                      <w:marLeft w:val="0"/>
                      <w:marRight w:val="0"/>
                      <w:marTop w:val="0"/>
                      <w:marBottom w:val="0"/>
                      <w:divBdr>
                        <w:top w:val="none" w:sz="0" w:space="0" w:color="auto"/>
                        <w:left w:val="none" w:sz="0" w:space="0" w:color="auto"/>
                        <w:bottom w:val="none" w:sz="0" w:space="0" w:color="auto"/>
                        <w:right w:val="none" w:sz="0" w:space="0" w:color="auto"/>
                      </w:divBdr>
                      <w:divsChild>
                        <w:div w:id="211314660">
                          <w:marLeft w:val="0"/>
                          <w:marRight w:val="0"/>
                          <w:marTop w:val="0"/>
                          <w:marBottom w:val="0"/>
                          <w:divBdr>
                            <w:top w:val="single" w:sz="6" w:space="0" w:color="828282"/>
                            <w:left w:val="single" w:sz="6" w:space="0" w:color="828282"/>
                            <w:bottom w:val="single" w:sz="6" w:space="0" w:color="828282"/>
                            <w:right w:val="single" w:sz="6" w:space="0" w:color="828282"/>
                          </w:divBdr>
                          <w:divsChild>
                            <w:div w:id="1460299016">
                              <w:marLeft w:val="0"/>
                              <w:marRight w:val="0"/>
                              <w:marTop w:val="0"/>
                              <w:marBottom w:val="0"/>
                              <w:divBdr>
                                <w:top w:val="none" w:sz="0" w:space="0" w:color="auto"/>
                                <w:left w:val="none" w:sz="0" w:space="0" w:color="auto"/>
                                <w:bottom w:val="none" w:sz="0" w:space="0" w:color="auto"/>
                                <w:right w:val="none" w:sz="0" w:space="0" w:color="auto"/>
                              </w:divBdr>
                              <w:divsChild>
                                <w:div w:id="1290477252">
                                  <w:marLeft w:val="0"/>
                                  <w:marRight w:val="0"/>
                                  <w:marTop w:val="0"/>
                                  <w:marBottom w:val="0"/>
                                  <w:divBdr>
                                    <w:top w:val="none" w:sz="0" w:space="0" w:color="auto"/>
                                    <w:left w:val="none" w:sz="0" w:space="0" w:color="auto"/>
                                    <w:bottom w:val="none" w:sz="0" w:space="0" w:color="auto"/>
                                    <w:right w:val="none" w:sz="0" w:space="0" w:color="auto"/>
                                  </w:divBdr>
                                  <w:divsChild>
                                    <w:div w:id="463542546">
                                      <w:marLeft w:val="0"/>
                                      <w:marRight w:val="0"/>
                                      <w:marTop w:val="0"/>
                                      <w:marBottom w:val="0"/>
                                      <w:divBdr>
                                        <w:top w:val="none" w:sz="0" w:space="0" w:color="auto"/>
                                        <w:left w:val="none" w:sz="0" w:space="0" w:color="auto"/>
                                        <w:bottom w:val="none" w:sz="0" w:space="0" w:color="auto"/>
                                        <w:right w:val="none" w:sz="0" w:space="0" w:color="auto"/>
                                      </w:divBdr>
                                      <w:divsChild>
                                        <w:div w:id="592977639">
                                          <w:marLeft w:val="0"/>
                                          <w:marRight w:val="0"/>
                                          <w:marTop w:val="0"/>
                                          <w:marBottom w:val="0"/>
                                          <w:divBdr>
                                            <w:top w:val="none" w:sz="0" w:space="0" w:color="auto"/>
                                            <w:left w:val="none" w:sz="0" w:space="0" w:color="auto"/>
                                            <w:bottom w:val="none" w:sz="0" w:space="0" w:color="auto"/>
                                            <w:right w:val="none" w:sz="0" w:space="0" w:color="auto"/>
                                          </w:divBdr>
                                          <w:divsChild>
                                            <w:div w:id="1352686826">
                                              <w:marLeft w:val="0"/>
                                              <w:marRight w:val="0"/>
                                              <w:marTop w:val="0"/>
                                              <w:marBottom w:val="0"/>
                                              <w:divBdr>
                                                <w:top w:val="none" w:sz="0" w:space="0" w:color="auto"/>
                                                <w:left w:val="none" w:sz="0" w:space="0" w:color="auto"/>
                                                <w:bottom w:val="none" w:sz="0" w:space="0" w:color="auto"/>
                                                <w:right w:val="none" w:sz="0" w:space="0" w:color="auto"/>
                                              </w:divBdr>
                                              <w:divsChild>
                                                <w:div w:id="3748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7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892D-F081-4920-87C8-A8C5574C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bcrowley</dc:creator>
  <cp:lastModifiedBy>bmetschke</cp:lastModifiedBy>
  <cp:revision>2</cp:revision>
  <cp:lastPrinted>2012-04-26T01:32:00Z</cp:lastPrinted>
  <dcterms:created xsi:type="dcterms:W3CDTF">2013-06-02T23:02:00Z</dcterms:created>
  <dcterms:modified xsi:type="dcterms:W3CDTF">2013-06-02T23:02:00Z</dcterms:modified>
</cp:coreProperties>
</file>