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C" w:rsidRPr="00105ABD" w:rsidRDefault="009077DC" w:rsidP="009077DC">
      <w:pPr>
        <w:pStyle w:val="Style3"/>
        <w:spacing w:before="240"/>
      </w:pPr>
      <w:r w:rsidRPr="00105ABD">
        <w:t xml:space="preserve">EXPLANATORY </w:t>
      </w:r>
      <w:r w:rsidR="00906346">
        <w:t>STATEMENT</w:t>
      </w:r>
    </w:p>
    <w:p w:rsidR="00C866C4" w:rsidRPr="00C866C4" w:rsidRDefault="00C866C4" w:rsidP="00C866C4">
      <w:pPr>
        <w:spacing w:before="0"/>
        <w:ind w:right="91"/>
        <w:jc w:val="center"/>
        <w:rPr>
          <w:b/>
          <w:bCs/>
          <w:sz w:val="28"/>
          <w:u w:val="single"/>
        </w:rPr>
      </w:pPr>
      <w:r w:rsidRPr="00C866C4">
        <w:rPr>
          <w:b/>
          <w:bCs/>
          <w:sz w:val="28"/>
          <w:u w:val="single"/>
        </w:rPr>
        <w:t>Select Legis</w:t>
      </w:r>
      <w:r w:rsidR="008B586C">
        <w:rPr>
          <w:b/>
          <w:bCs/>
          <w:sz w:val="28"/>
          <w:u w:val="single"/>
        </w:rPr>
        <w:t>lative Instrument 2013 No.</w:t>
      </w:r>
      <w:r w:rsidR="005066FB">
        <w:rPr>
          <w:b/>
          <w:bCs/>
          <w:sz w:val="28"/>
          <w:u w:val="single"/>
        </w:rPr>
        <w:t xml:space="preserve"> 104</w:t>
      </w:r>
    </w:p>
    <w:p w:rsidR="00C866C4" w:rsidRPr="00C866C4" w:rsidRDefault="00C866C4" w:rsidP="00C866C4">
      <w:pPr>
        <w:keepNext/>
        <w:ind w:right="91"/>
        <w:jc w:val="center"/>
        <w:outlineLvl w:val="5"/>
        <w:rPr>
          <w:u w:val="single"/>
        </w:rPr>
      </w:pPr>
      <w:r w:rsidRPr="00C866C4">
        <w:rPr>
          <w:u w:val="single"/>
        </w:rPr>
        <w:t xml:space="preserve">Issued by the Authority of the </w:t>
      </w:r>
      <w:r w:rsidR="00E008B1">
        <w:rPr>
          <w:u w:val="single"/>
        </w:rPr>
        <w:t>Parliamentary Secretary</w:t>
      </w:r>
      <w:r w:rsidRPr="00C866C4">
        <w:rPr>
          <w:u w:val="single"/>
        </w:rPr>
        <w:t xml:space="preserve"> for Climate Change, Industry and Innovation</w:t>
      </w:r>
    </w:p>
    <w:p w:rsidR="00190BC9" w:rsidRDefault="00190BC9" w:rsidP="003B1707">
      <w:pPr>
        <w:jc w:val="center"/>
        <w:rPr>
          <w:i/>
        </w:rPr>
      </w:pPr>
      <w:r w:rsidRPr="00BA1A82">
        <w:rPr>
          <w:i/>
        </w:rPr>
        <w:t>National Greenhouse and Energy Reporting</w:t>
      </w:r>
      <w:r>
        <w:rPr>
          <w:i/>
        </w:rPr>
        <w:t xml:space="preserve"> Act 2007</w:t>
      </w:r>
    </w:p>
    <w:p w:rsidR="003B1707" w:rsidRDefault="003B1707" w:rsidP="003B1707">
      <w:pPr>
        <w:jc w:val="center"/>
        <w:rPr>
          <w:i/>
        </w:rPr>
      </w:pPr>
      <w:r w:rsidRPr="003B1707">
        <w:rPr>
          <w:i/>
        </w:rPr>
        <w:t>National Greenhouse and Energy Reporting</w:t>
      </w:r>
      <w:r w:rsidR="00683BA6">
        <w:rPr>
          <w:i/>
        </w:rPr>
        <w:t xml:space="preserve"> Amendment (LNG, </w:t>
      </w:r>
      <w:r w:rsidRPr="003B1707">
        <w:rPr>
          <w:i/>
        </w:rPr>
        <w:t>LPG, Opt-in Scheme and Other Measures) Regulation 2013</w:t>
      </w:r>
    </w:p>
    <w:p w:rsidR="000C4649" w:rsidRDefault="003437E6" w:rsidP="000C4649">
      <w:r w:rsidRPr="003437E6">
        <w:t xml:space="preserve">Section 77 of the </w:t>
      </w:r>
      <w:r w:rsidRPr="003437E6">
        <w:rPr>
          <w:i/>
        </w:rPr>
        <w:t>National Greenhouse and Energy Reporting Act 2007</w:t>
      </w:r>
      <w:r w:rsidRPr="003437E6">
        <w:t xml:space="preserve"> (the </w:t>
      </w:r>
      <w:proofErr w:type="spellStart"/>
      <w:r w:rsidRPr="003437E6">
        <w:t>NGER</w:t>
      </w:r>
      <w:proofErr w:type="spellEnd"/>
      <w:r w:rsidRPr="003437E6">
        <w:t xml:space="preserve"> Act) provides, in part, that the Governor General may make regulations required or permitted by the </w:t>
      </w:r>
      <w:proofErr w:type="spellStart"/>
      <w:r w:rsidRPr="003437E6">
        <w:t>NGER</w:t>
      </w:r>
      <w:proofErr w:type="spellEnd"/>
      <w:r w:rsidRPr="003437E6">
        <w:t xml:space="preserve"> Act, or necessary or convenient to be prescribed for carrying out or giving effect to the </w:t>
      </w:r>
      <w:proofErr w:type="spellStart"/>
      <w:r w:rsidRPr="003437E6">
        <w:t>NGER</w:t>
      </w:r>
      <w:proofErr w:type="spellEnd"/>
      <w:r w:rsidRPr="003437E6">
        <w:t xml:space="preserve"> Act. </w:t>
      </w:r>
      <w:r w:rsidR="000C4649">
        <w:t xml:space="preserve">The </w:t>
      </w:r>
      <w:proofErr w:type="spellStart"/>
      <w:r>
        <w:t>NGER</w:t>
      </w:r>
      <w:proofErr w:type="spellEnd"/>
      <w:r w:rsidR="00056BCE">
        <w:t xml:space="preserve"> Act </w:t>
      </w:r>
      <w:r w:rsidR="00986450">
        <w:t xml:space="preserve">and its supporting legislative instrument, the </w:t>
      </w:r>
      <w:r w:rsidR="00986450" w:rsidRPr="003437E6">
        <w:rPr>
          <w:i/>
        </w:rPr>
        <w:t>National Greenhouse and Energy Reportin</w:t>
      </w:r>
      <w:r w:rsidR="00986450">
        <w:rPr>
          <w:i/>
        </w:rPr>
        <w:t xml:space="preserve">g Regulations 2008 </w:t>
      </w:r>
      <w:r w:rsidR="00986450">
        <w:t xml:space="preserve">(the </w:t>
      </w:r>
      <w:proofErr w:type="spellStart"/>
      <w:r w:rsidR="00986450">
        <w:t>NGER</w:t>
      </w:r>
      <w:proofErr w:type="spellEnd"/>
      <w:r w:rsidR="00986450">
        <w:t xml:space="preserve"> Regulations) </w:t>
      </w:r>
      <w:r w:rsidR="00056BCE" w:rsidRPr="00056BCE">
        <w:t>provide a data and accounting framework in relat</w:t>
      </w:r>
      <w:r w:rsidR="00CB065F">
        <w:t xml:space="preserve">ion to greenhouse gas emissions, </w:t>
      </w:r>
      <w:r w:rsidR="00056BCE" w:rsidRPr="00056BCE">
        <w:t>en</w:t>
      </w:r>
      <w:r w:rsidR="00056BCE">
        <w:t xml:space="preserve">ergy consumption and </w:t>
      </w:r>
      <w:r w:rsidR="00CB065F">
        <w:t xml:space="preserve">energy production. This framework </w:t>
      </w:r>
      <w:r w:rsidR="00056BCE" w:rsidRPr="00056BCE">
        <w:t>underpin</w:t>
      </w:r>
      <w:r w:rsidR="00056BCE">
        <w:t>s</w:t>
      </w:r>
      <w:r w:rsidR="00056BCE" w:rsidRPr="00056BCE">
        <w:t xml:space="preserve"> the </w:t>
      </w:r>
      <w:r w:rsidR="00056BCE">
        <w:t>carbon pricing mechanism</w:t>
      </w:r>
      <w:r w:rsidR="00056BCE" w:rsidRPr="00056BCE">
        <w:t>.</w:t>
      </w:r>
    </w:p>
    <w:p w:rsidR="003437E6" w:rsidRDefault="003437E6" w:rsidP="00A04A44">
      <w:pPr>
        <w:ind w:right="91"/>
        <w:rPr>
          <w:lang w:val="en-GB"/>
        </w:rPr>
      </w:pPr>
      <w:r w:rsidRPr="003437E6">
        <w:rPr>
          <w:lang w:val="en-GB"/>
        </w:rPr>
        <w:t xml:space="preserve">The </w:t>
      </w:r>
      <w:r w:rsidRPr="003437E6">
        <w:rPr>
          <w:i/>
          <w:lang w:val="en-GB"/>
        </w:rPr>
        <w:t xml:space="preserve">National Greenhouse and Energy Reporting Amendment </w:t>
      </w:r>
      <w:r w:rsidR="00683BA6">
        <w:rPr>
          <w:i/>
        </w:rPr>
        <w:t xml:space="preserve">(LNG, </w:t>
      </w:r>
      <w:r w:rsidR="00C101D7">
        <w:rPr>
          <w:i/>
        </w:rPr>
        <w:t xml:space="preserve">LPG, Opt-in Scheme and Other Measures) </w:t>
      </w:r>
      <w:r w:rsidR="00C101D7">
        <w:rPr>
          <w:i/>
          <w:lang w:val="en-GB"/>
        </w:rPr>
        <w:t>Regulation 2013</w:t>
      </w:r>
      <w:r w:rsidRPr="003437E6">
        <w:rPr>
          <w:lang w:val="en-GB"/>
        </w:rPr>
        <w:t xml:space="preserve"> (the Regulation) amend</w:t>
      </w:r>
      <w:r>
        <w:rPr>
          <w:lang w:val="en-GB"/>
        </w:rPr>
        <w:t>s</w:t>
      </w:r>
      <w:r w:rsidRPr="003437E6">
        <w:rPr>
          <w:lang w:val="en-GB"/>
        </w:rPr>
        <w:t xml:space="preserve"> the </w:t>
      </w:r>
      <w:r w:rsidRPr="003437E6">
        <w:rPr>
          <w:i/>
          <w:lang w:val="en-GB"/>
        </w:rPr>
        <w:t>National Greenhouse and Energy Reporting Regulations 2008</w:t>
      </w:r>
      <w:r w:rsidRPr="003437E6">
        <w:rPr>
          <w:lang w:val="en-GB"/>
        </w:rPr>
        <w:t xml:space="preserve"> (the </w:t>
      </w:r>
      <w:proofErr w:type="spellStart"/>
      <w:r w:rsidRPr="003437E6">
        <w:rPr>
          <w:lang w:val="en-GB"/>
        </w:rPr>
        <w:t>NGER</w:t>
      </w:r>
      <w:proofErr w:type="spellEnd"/>
      <w:r w:rsidRPr="003437E6">
        <w:rPr>
          <w:lang w:val="en-GB"/>
        </w:rPr>
        <w:t xml:space="preserve"> Regulation</w:t>
      </w:r>
      <w:r>
        <w:rPr>
          <w:lang w:val="en-GB"/>
        </w:rPr>
        <w:t>s</w:t>
      </w:r>
      <w:r w:rsidRPr="003437E6">
        <w:rPr>
          <w:lang w:val="en-GB"/>
        </w:rPr>
        <w:t>).</w:t>
      </w:r>
      <w:r w:rsidR="00986450">
        <w:rPr>
          <w:lang w:val="en-GB"/>
        </w:rPr>
        <w:t xml:space="preserve"> </w:t>
      </w:r>
    </w:p>
    <w:p w:rsidR="00B10716" w:rsidRPr="004470C2" w:rsidRDefault="00A04A44" w:rsidP="00B10716">
      <w:pPr>
        <w:tabs>
          <w:tab w:val="left" w:pos="851"/>
        </w:tabs>
        <w:rPr>
          <w:lang w:val="en-GB"/>
        </w:rPr>
      </w:pPr>
      <w:r w:rsidRPr="004470C2">
        <w:rPr>
          <w:lang w:val="en-GB"/>
        </w:rPr>
        <w:t xml:space="preserve">The </w:t>
      </w:r>
      <w:proofErr w:type="spellStart"/>
      <w:r w:rsidR="003437E6">
        <w:rPr>
          <w:lang w:val="en-GB"/>
        </w:rPr>
        <w:t>NGER</w:t>
      </w:r>
      <w:proofErr w:type="spellEnd"/>
      <w:r w:rsidRPr="004470C2">
        <w:rPr>
          <w:lang w:val="en-GB"/>
        </w:rPr>
        <w:t xml:space="preserve"> Regulations are amended </w:t>
      </w:r>
      <w:r w:rsidR="00B10716" w:rsidRPr="004470C2">
        <w:rPr>
          <w:lang w:val="en-GB"/>
        </w:rPr>
        <w:t>to</w:t>
      </w:r>
      <w:r w:rsidR="000945D9">
        <w:rPr>
          <w:lang w:val="en-GB"/>
        </w:rPr>
        <w:t xml:space="preserve"> </w:t>
      </w:r>
      <w:r w:rsidR="00265EB4">
        <w:rPr>
          <w:lang w:val="en-GB"/>
        </w:rPr>
        <w:t>include</w:t>
      </w:r>
      <w:r w:rsidR="000945D9">
        <w:rPr>
          <w:lang w:val="en-GB"/>
        </w:rPr>
        <w:t xml:space="preserve"> specific reporting requirements for </w:t>
      </w:r>
      <w:r w:rsidR="00284E61">
        <w:rPr>
          <w:lang w:val="en-GB"/>
        </w:rPr>
        <w:t>new</w:t>
      </w:r>
      <w:r w:rsidR="000945D9">
        <w:rPr>
          <w:lang w:val="en-GB"/>
        </w:rPr>
        <w:t xml:space="preserve"> categories of liable </w:t>
      </w:r>
      <w:r w:rsidR="00284E61">
        <w:rPr>
          <w:lang w:val="en-GB"/>
        </w:rPr>
        <w:t>entities</w:t>
      </w:r>
      <w:r w:rsidR="000945D9">
        <w:rPr>
          <w:lang w:val="en-GB"/>
        </w:rPr>
        <w:t xml:space="preserve"> under the carbon pricing mechanism</w:t>
      </w:r>
      <w:r w:rsidR="00265EB4">
        <w:rPr>
          <w:lang w:val="en-GB"/>
        </w:rPr>
        <w:t xml:space="preserve">, introduced via amendments to the </w:t>
      </w:r>
      <w:r w:rsidR="00265EB4">
        <w:rPr>
          <w:i/>
          <w:lang w:val="en-GB"/>
        </w:rPr>
        <w:t>Clean Energy Regulations 2011</w:t>
      </w:r>
      <w:r w:rsidR="009E7740">
        <w:rPr>
          <w:lang w:val="en-GB"/>
        </w:rPr>
        <w:t xml:space="preserve">. These new liable entities are: </w:t>
      </w:r>
    </w:p>
    <w:p w:rsidR="009E7740" w:rsidRDefault="009E7740" w:rsidP="009E7740">
      <w:pPr>
        <w:pStyle w:val="ListParagraph"/>
        <w:numPr>
          <w:ilvl w:val="0"/>
          <w:numId w:val="29"/>
        </w:numPr>
      </w:pPr>
      <w:r>
        <w:t>importers, manufacturers, producers and Obligation Transfer Number (</w:t>
      </w:r>
      <w:proofErr w:type="spellStart"/>
      <w:r>
        <w:t>OTN</w:t>
      </w:r>
      <w:proofErr w:type="spellEnd"/>
      <w:r>
        <w:t xml:space="preserve">) holders of non-transport LNG and LPG; </w:t>
      </w:r>
    </w:p>
    <w:p w:rsidR="009E7740" w:rsidRDefault="009E7740" w:rsidP="009E7740">
      <w:pPr>
        <w:pStyle w:val="ListParagraph"/>
        <w:numPr>
          <w:ilvl w:val="0"/>
          <w:numId w:val="29"/>
        </w:numPr>
      </w:pPr>
      <w:r>
        <w:t>participants in the liquid fuel Opt-in Scheme; and</w:t>
      </w:r>
    </w:p>
    <w:p w:rsidR="009E7740" w:rsidRDefault="009E7740" w:rsidP="009E7740">
      <w:pPr>
        <w:pStyle w:val="ListParagraph"/>
        <w:numPr>
          <w:ilvl w:val="0"/>
          <w:numId w:val="29"/>
        </w:numPr>
      </w:pPr>
      <w:r>
        <w:t xml:space="preserve">persons liable for their own use of natural gas.  </w:t>
      </w:r>
    </w:p>
    <w:p w:rsidR="00BE4869" w:rsidRDefault="00BE4869" w:rsidP="00B50EA8">
      <w:pPr>
        <w:rPr>
          <w:lang w:val="en-GB"/>
        </w:rPr>
      </w:pPr>
      <w:r w:rsidRPr="00BE4869">
        <w:rPr>
          <w:lang w:val="en-GB"/>
        </w:rPr>
        <w:t xml:space="preserve">The Regulation also amends the </w:t>
      </w:r>
      <w:proofErr w:type="spellStart"/>
      <w:r w:rsidR="00595F92">
        <w:rPr>
          <w:lang w:val="en-GB"/>
        </w:rPr>
        <w:t>NGER</w:t>
      </w:r>
      <w:proofErr w:type="spellEnd"/>
      <w:r w:rsidR="00FB0306">
        <w:rPr>
          <w:lang w:val="en-GB"/>
        </w:rPr>
        <w:t xml:space="preserve"> Regulations to make </w:t>
      </w:r>
      <w:r w:rsidRPr="00BE4869">
        <w:rPr>
          <w:lang w:val="en-GB"/>
        </w:rPr>
        <w:t>minor change</w:t>
      </w:r>
      <w:r w:rsidR="00595F92">
        <w:rPr>
          <w:lang w:val="en-GB"/>
        </w:rPr>
        <w:t>s</w:t>
      </w:r>
      <w:r w:rsidRPr="00BE4869">
        <w:rPr>
          <w:lang w:val="en-GB"/>
        </w:rPr>
        <w:t xml:space="preserve"> to </w:t>
      </w:r>
      <w:r w:rsidR="0068501E">
        <w:rPr>
          <w:lang w:val="en-GB"/>
        </w:rPr>
        <w:t>specify the methods for measuring amounts of natural gas for the purposes of calculating the potential emissions</w:t>
      </w:r>
      <w:r w:rsidR="00FD6745">
        <w:rPr>
          <w:lang w:val="en-GB"/>
        </w:rPr>
        <w:t xml:space="preserve"> embodied in</w:t>
      </w:r>
      <w:r w:rsidR="00FB0306">
        <w:rPr>
          <w:lang w:val="en-GB"/>
        </w:rPr>
        <w:t xml:space="preserve"> </w:t>
      </w:r>
      <w:r w:rsidR="00FD6745">
        <w:rPr>
          <w:lang w:val="en-GB"/>
        </w:rPr>
        <w:t>them</w:t>
      </w:r>
      <w:r w:rsidR="00E6543F">
        <w:rPr>
          <w:lang w:val="en-GB"/>
        </w:rPr>
        <w:t>.</w:t>
      </w:r>
      <w:r w:rsidR="00595F92">
        <w:rPr>
          <w:lang w:val="en-GB"/>
        </w:rPr>
        <w:t xml:space="preserve"> </w:t>
      </w:r>
    </w:p>
    <w:p w:rsidR="005B70AB" w:rsidRDefault="005B70AB" w:rsidP="00F44CD0">
      <w:pPr>
        <w:ind w:right="91"/>
        <w:rPr>
          <w:i/>
          <w:iCs/>
          <w:u w:val="single"/>
          <w:lang w:val="en-GB"/>
        </w:rPr>
      </w:pPr>
      <w:r w:rsidRPr="005B70AB">
        <w:rPr>
          <w:i/>
          <w:iCs/>
          <w:u w:val="single"/>
          <w:lang w:val="en-GB"/>
        </w:rPr>
        <w:t>Amendments to the reporting requirements of entities liable for amounts of non-transport Liquefied Natural Gas and Liquefied Petroleum Gas</w:t>
      </w:r>
    </w:p>
    <w:p w:rsidR="00A84855" w:rsidRDefault="00A84855" w:rsidP="00A84855">
      <w:pPr>
        <w:ind w:right="91"/>
      </w:pPr>
      <w:r>
        <w:t xml:space="preserve">The </w:t>
      </w:r>
      <w:r w:rsidRPr="00A84855">
        <w:rPr>
          <w:i/>
        </w:rPr>
        <w:t xml:space="preserve">Clean Energy Legislation Amendment Act 2012 </w:t>
      </w:r>
      <w:r>
        <w:t xml:space="preserve">amended the </w:t>
      </w:r>
      <w:r w:rsidRPr="00A84855">
        <w:rPr>
          <w:i/>
        </w:rPr>
        <w:t>Clean Energy Act 2011</w:t>
      </w:r>
      <w:r>
        <w:t xml:space="preserve"> (the CE Act) to apply the carbon price to non-transport Liquefied Natural Gas (LNG) and Liquefied Petroleum Gas (LPG), with effect from 28 June 2012. </w:t>
      </w:r>
    </w:p>
    <w:p w:rsidR="00A84855" w:rsidRDefault="00A84855" w:rsidP="00A84855">
      <w:pPr>
        <w:ind w:right="91"/>
      </w:pPr>
      <w:r>
        <w:t>A person can be a liab</w:t>
      </w:r>
      <w:r w:rsidR="00C85764">
        <w:t>le entity under the carbon pricing mechanism</w:t>
      </w:r>
      <w:r>
        <w:t xml:space="preserve"> in respect of the potential greenhouse gas (</w:t>
      </w:r>
      <w:proofErr w:type="spellStart"/>
      <w:r>
        <w:t>GHG</w:t>
      </w:r>
      <w:proofErr w:type="spellEnd"/>
      <w:r>
        <w:t>) emissions embodied in an amount of L</w:t>
      </w:r>
      <w:r w:rsidR="00C101D7">
        <w:t>N</w:t>
      </w:r>
      <w:r>
        <w:t>G or L</w:t>
      </w:r>
      <w:r w:rsidR="00C101D7">
        <w:t>P</w:t>
      </w:r>
      <w:r>
        <w:t>G that</w:t>
      </w:r>
      <w:r w:rsidR="00C101D7">
        <w:t>:</w:t>
      </w:r>
      <w:r>
        <w:t xml:space="preserve"> has been imported, that has been manufactured or produced in Australia, that the person quoted their </w:t>
      </w:r>
      <w:r>
        <w:lastRenderedPageBreak/>
        <w:t>Obligation Transfer Number (</w:t>
      </w:r>
      <w:proofErr w:type="spellStart"/>
      <w:r>
        <w:t>OTN</w:t>
      </w:r>
      <w:proofErr w:type="spellEnd"/>
      <w:r>
        <w:t>) for when it was supplied to them and i</w:t>
      </w:r>
      <w:r w:rsidR="007F020E">
        <w:t xml:space="preserve">n certain other circumstances. </w:t>
      </w:r>
    </w:p>
    <w:p w:rsidR="007F020E" w:rsidRPr="0032360E" w:rsidRDefault="007F020E" w:rsidP="007F020E">
      <w:pPr>
        <w:tabs>
          <w:tab w:val="num" w:pos="0"/>
        </w:tabs>
        <w:spacing w:before="0"/>
        <w:ind w:right="91"/>
        <w:rPr>
          <w:color w:val="000000"/>
        </w:rPr>
      </w:pPr>
      <w:r>
        <w:rPr>
          <w:color w:val="000000"/>
        </w:rPr>
        <w:t xml:space="preserve">The terms </w:t>
      </w:r>
      <w:r w:rsidR="000977C4">
        <w:rPr>
          <w:color w:val="000000"/>
        </w:rPr>
        <w:t>‘</w:t>
      </w:r>
      <w:r>
        <w:rPr>
          <w:color w:val="000000"/>
        </w:rPr>
        <w:t>import</w:t>
      </w:r>
      <w:r w:rsidR="000977C4">
        <w:rPr>
          <w:color w:val="000000"/>
        </w:rPr>
        <w:t>’</w:t>
      </w:r>
      <w:r>
        <w:rPr>
          <w:color w:val="000000"/>
        </w:rPr>
        <w:t xml:space="preserve">, </w:t>
      </w:r>
      <w:r w:rsidR="000977C4">
        <w:rPr>
          <w:color w:val="000000"/>
        </w:rPr>
        <w:t>‘</w:t>
      </w:r>
      <w:r>
        <w:rPr>
          <w:color w:val="000000"/>
        </w:rPr>
        <w:t>manufacture</w:t>
      </w:r>
      <w:r w:rsidR="000977C4">
        <w:rPr>
          <w:color w:val="000000"/>
        </w:rPr>
        <w:t>’</w:t>
      </w:r>
      <w:r>
        <w:rPr>
          <w:color w:val="000000"/>
        </w:rPr>
        <w:t xml:space="preserve"> and </w:t>
      </w:r>
      <w:r w:rsidR="000977C4">
        <w:rPr>
          <w:color w:val="000000"/>
        </w:rPr>
        <w:t>‘</w:t>
      </w:r>
      <w:r>
        <w:rPr>
          <w:color w:val="000000"/>
        </w:rPr>
        <w:t>produce</w:t>
      </w:r>
      <w:r w:rsidR="000977C4">
        <w:rPr>
          <w:color w:val="000000"/>
        </w:rPr>
        <w:t>’</w:t>
      </w:r>
      <w:r>
        <w:rPr>
          <w:color w:val="000000"/>
        </w:rPr>
        <w:t xml:space="preserve"> should be taken to have the same meaning</w:t>
      </w:r>
      <w:r w:rsidR="00F40185">
        <w:rPr>
          <w:color w:val="000000"/>
        </w:rPr>
        <w:t>s</w:t>
      </w:r>
      <w:r>
        <w:rPr>
          <w:color w:val="000000"/>
        </w:rPr>
        <w:t xml:space="preserve"> as for excise and customs purposes. That is, fuel which </w:t>
      </w:r>
      <w:r w:rsidR="00F40185">
        <w:rPr>
          <w:color w:val="000000"/>
        </w:rPr>
        <w:t>is</w:t>
      </w:r>
      <w:r>
        <w:rPr>
          <w:color w:val="000000"/>
        </w:rPr>
        <w:t xml:space="preserve"> imported into Australia and blended with fuel that was manufactured in Australia should be considered to have been manufactured in Australia.</w:t>
      </w:r>
    </w:p>
    <w:p w:rsidR="00A84855" w:rsidRDefault="00A84855" w:rsidP="00A84855">
      <w:pPr>
        <w:ind w:right="91"/>
      </w:pPr>
      <w:r>
        <w:t xml:space="preserve">Persons who are liable entities under the CE Act are subject to the liability and reporting provisions of that Act and the </w:t>
      </w:r>
      <w:proofErr w:type="spellStart"/>
      <w:r>
        <w:t>NGER</w:t>
      </w:r>
      <w:proofErr w:type="spellEnd"/>
      <w:r>
        <w:t xml:space="preserve"> Act. In particular, they must submit reports under sections 22A and 22AA of the </w:t>
      </w:r>
      <w:proofErr w:type="spellStart"/>
      <w:r>
        <w:t>NGER</w:t>
      </w:r>
      <w:proofErr w:type="spellEnd"/>
      <w:r>
        <w:t xml:space="preserve"> Act. The information required to be set out in these reports is specified in the </w:t>
      </w:r>
      <w:proofErr w:type="spellStart"/>
      <w:r>
        <w:t>NGER</w:t>
      </w:r>
      <w:proofErr w:type="spellEnd"/>
      <w:r>
        <w:t xml:space="preserve"> Regulations. </w:t>
      </w:r>
    </w:p>
    <w:p w:rsidR="00A84855" w:rsidRDefault="00A84855" w:rsidP="00A84855">
      <w:pPr>
        <w:ind w:right="91"/>
      </w:pPr>
      <w:r>
        <w:t xml:space="preserve">The Regulation </w:t>
      </w:r>
      <w:r w:rsidR="00FB0306">
        <w:t xml:space="preserve">amends the </w:t>
      </w:r>
      <w:proofErr w:type="spellStart"/>
      <w:r w:rsidR="00FB0306">
        <w:t>NGER</w:t>
      </w:r>
      <w:proofErr w:type="spellEnd"/>
      <w:r w:rsidR="00FB0306">
        <w:t xml:space="preserve"> Regulations to specify</w:t>
      </w:r>
      <w:r>
        <w:t xml:space="preserve"> </w:t>
      </w:r>
      <w:r w:rsidR="00C85764">
        <w:t>the details that</w:t>
      </w:r>
      <w:r>
        <w:t xml:space="preserve"> persons who are liable entities in respect of the potential </w:t>
      </w:r>
      <w:proofErr w:type="spellStart"/>
      <w:r>
        <w:t>GHG</w:t>
      </w:r>
      <w:proofErr w:type="spellEnd"/>
      <w:r>
        <w:t xml:space="preserve"> emissions embodied in an amount of LPG or LNG must report under sections 22A and 22AA of the </w:t>
      </w:r>
      <w:proofErr w:type="spellStart"/>
      <w:r>
        <w:t>NGER</w:t>
      </w:r>
      <w:proofErr w:type="spellEnd"/>
      <w:r>
        <w:t xml:space="preserve"> Act. These r</w:t>
      </w:r>
      <w:r w:rsidR="006D05C2">
        <w:t xml:space="preserve">eporting </w:t>
      </w:r>
      <w:r w:rsidR="007F0FC0">
        <w:t>r</w:t>
      </w:r>
      <w:r>
        <w:t xml:space="preserve">equirements </w:t>
      </w:r>
      <w:r w:rsidR="001C2BAC">
        <w:t>are</w:t>
      </w:r>
      <w:r>
        <w:t xml:space="preserve"> similar to the existing reporting requirements of other entities under sectio</w:t>
      </w:r>
      <w:r w:rsidR="00135AA8">
        <w:t xml:space="preserve">ns 22A and 22AA of the </w:t>
      </w:r>
      <w:proofErr w:type="spellStart"/>
      <w:r w:rsidR="00135AA8">
        <w:t>NGER</w:t>
      </w:r>
      <w:proofErr w:type="spellEnd"/>
      <w:r w:rsidR="00135AA8">
        <w:t xml:space="preserve"> Act. </w:t>
      </w:r>
      <w:r w:rsidR="00C101D7">
        <w:t xml:space="preserve">They include reportage of </w:t>
      </w:r>
      <w:r w:rsidR="00C101D7" w:rsidRPr="008040C6">
        <w:rPr>
          <w:color w:val="000000"/>
        </w:rPr>
        <w:t>the total amount</w:t>
      </w:r>
      <w:r w:rsidR="00C101D7">
        <w:rPr>
          <w:color w:val="000000"/>
        </w:rPr>
        <w:t xml:space="preserve"> of LNG and</w:t>
      </w:r>
      <w:r w:rsidR="00C101D7" w:rsidRPr="008040C6">
        <w:rPr>
          <w:color w:val="000000"/>
        </w:rPr>
        <w:t xml:space="preserve"> LPG that </w:t>
      </w:r>
      <w:r w:rsidR="00C101D7">
        <w:rPr>
          <w:color w:val="000000"/>
        </w:rPr>
        <w:t xml:space="preserve">was </w:t>
      </w:r>
      <w:r w:rsidR="00C101D7" w:rsidRPr="008040C6">
        <w:rPr>
          <w:color w:val="000000"/>
        </w:rPr>
        <w:t>imported</w:t>
      </w:r>
      <w:r w:rsidR="00C101D7">
        <w:rPr>
          <w:color w:val="000000"/>
        </w:rPr>
        <w:t>, and the total amount of LNG and LPG that was manufactured or produced.</w:t>
      </w:r>
    </w:p>
    <w:p w:rsidR="00F44CD0" w:rsidRDefault="00CD529E" w:rsidP="00CD529E">
      <w:pPr>
        <w:ind w:right="91"/>
        <w:rPr>
          <w:i/>
          <w:iCs/>
          <w:u w:val="single"/>
          <w:lang w:val="en-GB"/>
        </w:rPr>
      </w:pPr>
      <w:r w:rsidRPr="00CD529E">
        <w:rPr>
          <w:i/>
          <w:iCs/>
          <w:u w:val="single"/>
          <w:lang w:val="en-GB"/>
        </w:rPr>
        <w:t xml:space="preserve">Amendments to the reporting requirements of entities liable under the Opt-in Scheme </w:t>
      </w:r>
    </w:p>
    <w:p w:rsidR="00CD529E" w:rsidRDefault="00CD529E" w:rsidP="00CD529E">
      <w:pPr>
        <w:keepNext/>
      </w:pPr>
      <w:r>
        <w:t xml:space="preserve">The Opt-in Scheme, inserted into the CE Act in June 2012 via Division 7, gives certain fuel users the option to manage their fuel tax liability through the carbon pricing mechanism, instead of through the fuel tax system. </w:t>
      </w:r>
    </w:p>
    <w:p w:rsidR="00CD529E" w:rsidRDefault="00CD529E" w:rsidP="00CD529E">
      <w:pPr>
        <w:keepNext/>
      </w:pPr>
      <w:r>
        <w:t>The Opt-in Scheme requires an entity to apply to the Clean Energy Regulator to be declared a Designated Opt-in Person (</w:t>
      </w:r>
      <w:proofErr w:type="spellStart"/>
      <w:r>
        <w:t>DOIP</w:t>
      </w:r>
      <w:proofErr w:type="spellEnd"/>
      <w:r>
        <w:t xml:space="preserve">). A </w:t>
      </w:r>
      <w:proofErr w:type="spellStart"/>
      <w:r>
        <w:t>DOIP</w:t>
      </w:r>
      <w:proofErr w:type="spellEnd"/>
      <w:r>
        <w:t xml:space="preserve"> is a liable entity under the CE Act and is thus subject to the liability and reporting provisions of that Act and the </w:t>
      </w:r>
      <w:proofErr w:type="spellStart"/>
      <w:r>
        <w:t>NGER</w:t>
      </w:r>
      <w:proofErr w:type="spellEnd"/>
      <w:r>
        <w:t xml:space="preserve"> Act for fuel that is opted in, referred to as the ‘opt-in amount’.</w:t>
      </w:r>
    </w:p>
    <w:p w:rsidR="00CD529E" w:rsidRDefault="00CD529E" w:rsidP="00E2582E">
      <w:pPr>
        <w:spacing w:before="0"/>
        <w:ind w:right="91"/>
      </w:pPr>
      <w:r>
        <w:t xml:space="preserve">The Regulation amends the </w:t>
      </w:r>
      <w:proofErr w:type="spellStart"/>
      <w:r>
        <w:t>NGER</w:t>
      </w:r>
      <w:proofErr w:type="spellEnd"/>
      <w:r>
        <w:t xml:space="preserve"> Regulations to stipulate </w:t>
      </w:r>
      <w:r w:rsidR="00856FA9">
        <w:t>the details that</w:t>
      </w:r>
      <w:r>
        <w:t xml:space="preserve"> a </w:t>
      </w:r>
      <w:proofErr w:type="spellStart"/>
      <w:r>
        <w:t>DOIP</w:t>
      </w:r>
      <w:proofErr w:type="spellEnd"/>
      <w:r>
        <w:t xml:space="preserve"> is required to include in reports required by sections 22A and 22AA of the </w:t>
      </w:r>
      <w:proofErr w:type="spellStart"/>
      <w:r>
        <w:t>NGER</w:t>
      </w:r>
      <w:proofErr w:type="spellEnd"/>
      <w:r>
        <w:t xml:space="preserve"> Act in relation to</w:t>
      </w:r>
      <w:r w:rsidR="00E34A16">
        <w:t xml:space="preserve"> the opt-in </w:t>
      </w:r>
      <w:r w:rsidR="000627A7">
        <w:t>a</w:t>
      </w:r>
      <w:r w:rsidR="00E34A16">
        <w:t>mount</w:t>
      </w:r>
      <w:r>
        <w:t xml:space="preserve">. </w:t>
      </w:r>
    </w:p>
    <w:p w:rsidR="00324A80" w:rsidRPr="00F24788" w:rsidRDefault="00324A80" w:rsidP="00324A80">
      <w:pPr>
        <w:spacing w:before="0"/>
        <w:ind w:right="91"/>
        <w:rPr>
          <w:i/>
          <w:u w:val="single"/>
        </w:rPr>
      </w:pPr>
      <w:r>
        <w:rPr>
          <w:i/>
          <w:iCs/>
          <w:u w:val="single"/>
          <w:lang w:val="en-GB"/>
        </w:rPr>
        <w:t>Amendments to the reporting requirements of entities liable as end users of n</w:t>
      </w:r>
      <w:proofErr w:type="spellStart"/>
      <w:r w:rsidRPr="00F24788">
        <w:rPr>
          <w:i/>
          <w:u w:val="single"/>
        </w:rPr>
        <w:t>atural</w:t>
      </w:r>
      <w:proofErr w:type="spellEnd"/>
      <w:r w:rsidRPr="00F24788">
        <w:rPr>
          <w:i/>
          <w:u w:val="single"/>
        </w:rPr>
        <w:t xml:space="preserve"> gas </w:t>
      </w:r>
    </w:p>
    <w:p w:rsidR="00324A80" w:rsidRDefault="00FC41AB" w:rsidP="00324A80">
      <w:pPr>
        <w:widowControl/>
        <w:autoSpaceDE/>
        <w:autoSpaceDN/>
        <w:adjustRightInd/>
      </w:pPr>
      <w:r>
        <w:t xml:space="preserve">Recent amendments to the </w:t>
      </w:r>
      <w:r w:rsidR="00B125B9" w:rsidRPr="00880A7C">
        <w:rPr>
          <w:i/>
        </w:rPr>
        <w:t>Clean Energy Regulations 2011</w:t>
      </w:r>
      <w:r w:rsidR="00B125B9">
        <w:t xml:space="preserve"> include a provision </w:t>
      </w:r>
      <w:r w:rsidR="00324A80">
        <w:t xml:space="preserve">to make an end user of natural gas liable for the potential emissions embodied in the gas they use if no </w:t>
      </w:r>
      <w:r w:rsidR="000627A7">
        <w:t xml:space="preserve">other </w:t>
      </w:r>
      <w:r w:rsidR="00324A80">
        <w:t xml:space="preserve">person is liable for that gas under sections 33, 35, 35A or 20-25 of the CE Act.  </w:t>
      </w:r>
    </w:p>
    <w:p w:rsidR="00324A80" w:rsidRDefault="00324A80" w:rsidP="00324A80">
      <w:pPr>
        <w:widowControl/>
        <w:autoSpaceDE/>
        <w:autoSpaceDN/>
        <w:adjustRightInd/>
      </w:pPr>
      <w:r>
        <w:t>The Regulation amend</w:t>
      </w:r>
      <w:r w:rsidR="00E14D80">
        <w:t>s</w:t>
      </w:r>
      <w:r>
        <w:t xml:space="preserve"> the </w:t>
      </w:r>
      <w:proofErr w:type="spellStart"/>
      <w:r>
        <w:t>NGER</w:t>
      </w:r>
      <w:proofErr w:type="spellEnd"/>
      <w:r>
        <w:t xml:space="preserve"> Regulations to stipulate </w:t>
      </w:r>
      <w:r w:rsidR="00D51D4C">
        <w:t>the details that</w:t>
      </w:r>
      <w:r>
        <w:t xml:space="preserve"> liable end users of natural gas are required to include in the reports required by sections 22A and 22AA of the </w:t>
      </w:r>
      <w:proofErr w:type="spellStart"/>
      <w:r>
        <w:t>NGER</w:t>
      </w:r>
      <w:proofErr w:type="spellEnd"/>
      <w:r>
        <w:t xml:space="preserve"> Act.</w:t>
      </w:r>
    </w:p>
    <w:p w:rsidR="009077DC" w:rsidRPr="00105ABD" w:rsidRDefault="005209B5" w:rsidP="002B0E35">
      <w:pPr>
        <w:widowControl/>
        <w:autoSpaceDE/>
        <w:autoSpaceDN/>
        <w:adjustRightInd/>
        <w:rPr>
          <w:color w:val="000000"/>
        </w:rPr>
      </w:pPr>
      <w:r>
        <w:rPr>
          <w:color w:val="000000"/>
        </w:rPr>
        <w:t>Details of the Regulation</w:t>
      </w:r>
      <w:r w:rsidR="009077DC">
        <w:rPr>
          <w:color w:val="000000"/>
        </w:rPr>
        <w:t xml:space="preserve"> are set out in </w:t>
      </w:r>
      <w:r w:rsidR="009077DC">
        <w:rPr>
          <w:color w:val="000000"/>
          <w:u w:val="single"/>
        </w:rPr>
        <w:t xml:space="preserve">Attachment </w:t>
      </w:r>
      <w:r w:rsidR="005B7D70">
        <w:rPr>
          <w:color w:val="000000"/>
          <w:u w:val="single"/>
        </w:rPr>
        <w:t>A</w:t>
      </w:r>
      <w:r w:rsidR="009077DC">
        <w:rPr>
          <w:color w:val="000000"/>
        </w:rPr>
        <w:t>.</w:t>
      </w:r>
    </w:p>
    <w:p w:rsidR="009077DC" w:rsidRPr="00105ABD" w:rsidRDefault="005209B5" w:rsidP="009077DC">
      <w:pPr>
        <w:widowControl/>
        <w:autoSpaceDE/>
        <w:autoSpaceDN/>
        <w:adjustRightInd/>
        <w:spacing w:before="100" w:beforeAutospacing="1" w:after="100" w:afterAutospacing="1"/>
        <w:ind w:right="91"/>
      </w:pPr>
      <w:r>
        <w:lastRenderedPageBreak/>
        <w:t>The Regulation is</w:t>
      </w:r>
      <w:r w:rsidR="009077DC">
        <w:t xml:space="preserve"> a legislative instrument for the purposes of the </w:t>
      </w:r>
      <w:r w:rsidR="009077DC">
        <w:rPr>
          <w:i/>
          <w:iCs/>
        </w:rPr>
        <w:t>Legislative Instruments Act 2003</w:t>
      </w:r>
      <w:r w:rsidR="009077DC">
        <w:t>.</w:t>
      </w:r>
    </w:p>
    <w:p w:rsidR="004470C2" w:rsidRDefault="00134A11" w:rsidP="004470C2">
      <w:pPr>
        <w:tabs>
          <w:tab w:val="left" w:pos="6521"/>
        </w:tabs>
        <w:spacing w:before="0"/>
        <w:ind w:right="91"/>
      </w:pPr>
      <w:r>
        <w:t>The Regulation</w:t>
      </w:r>
      <w:r w:rsidR="004470C2" w:rsidRPr="008408DC">
        <w:t xml:space="preserve"> commence</w:t>
      </w:r>
      <w:r w:rsidR="002D23A1">
        <w:t>s</w:t>
      </w:r>
      <w:r w:rsidR="004470C2" w:rsidRPr="008408DC">
        <w:t xml:space="preserve"> on 1 July 2013.</w:t>
      </w:r>
    </w:p>
    <w:p w:rsidR="009077DC" w:rsidRPr="009962DF" w:rsidRDefault="009077DC" w:rsidP="00094075">
      <w:pPr>
        <w:keepNext/>
        <w:widowControl/>
        <w:autoSpaceDE/>
        <w:autoSpaceDN/>
        <w:adjustRightInd/>
        <w:rPr>
          <w:b/>
        </w:rPr>
      </w:pPr>
      <w:r w:rsidRPr="009962DF">
        <w:rPr>
          <w:b/>
        </w:rPr>
        <w:t>Consultation</w:t>
      </w:r>
    </w:p>
    <w:p w:rsidR="001458C2" w:rsidRDefault="00514D29" w:rsidP="00514D29">
      <w:r w:rsidRPr="009962DF">
        <w:t xml:space="preserve">The Department of Industry, Innovation, Climate Change, Science, Research and Tertiary Education (the Department) </w:t>
      </w:r>
      <w:r>
        <w:t>published</w:t>
      </w:r>
      <w:r w:rsidRPr="009962DF">
        <w:t xml:space="preserve"> a short consultation paper regarding the </w:t>
      </w:r>
      <w:r>
        <w:t xml:space="preserve">amendments and outlining the additional reporting requirements </w:t>
      </w:r>
      <w:r w:rsidRPr="009962DF">
        <w:t xml:space="preserve">for importers </w:t>
      </w:r>
      <w:r>
        <w:t xml:space="preserve">and manufacturers </w:t>
      </w:r>
      <w:r w:rsidRPr="009962DF">
        <w:t>of LPG or LNG</w:t>
      </w:r>
      <w:r w:rsidR="00146C9E">
        <w:t xml:space="preserve"> and other</w:t>
      </w:r>
      <w:r w:rsidR="002A3884">
        <w:t xml:space="preserve"> </w:t>
      </w:r>
      <w:r w:rsidR="00146C9E">
        <w:t xml:space="preserve">liable </w:t>
      </w:r>
      <w:r w:rsidR="002A3884">
        <w:t>entities</w:t>
      </w:r>
      <w:r>
        <w:t xml:space="preserve">. This consultation paper </w:t>
      </w:r>
      <w:r w:rsidR="00F752F0">
        <w:t xml:space="preserve">and a draft of the amendments were </w:t>
      </w:r>
      <w:r>
        <w:t>published on the Department’</w:t>
      </w:r>
      <w:r w:rsidR="00D86754">
        <w:t>s website</w:t>
      </w:r>
      <w:r w:rsidR="00BA27F5">
        <w:t xml:space="preserve"> on 12 April 2013,</w:t>
      </w:r>
      <w:r w:rsidR="00D86754">
        <w:t xml:space="preserve"> as well as emailed to relevant</w:t>
      </w:r>
      <w:r>
        <w:t xml:space="preserve"> stakeholders. </w:t>
      </w:r>
      <w:r w:rsidR="00BA27F5">
        <w:t xml:space="preserve">Stakeholders were given </w:t>
      </w:r>
      <w:r w:rsidR="00623005">
        <w:t xml:space="preserve">almost </w:t>
      </w:r>
      <w:r w:rsidR="00BA27F5">
        <w:t>4 weeks</w:t>
      </w:r>
      <w:r w:rsidR="00623834">
        <w:t>, until</w:t>
      </w:r>
      <w:r w:rsidR="00BA27F5">
        <w:t xml:space="preserve"> 9 May 2013</w:t>
      </w:r>
      <w:r w:rsidR="00623834">
        <w:t>,</w:t>
      </w:r>
      <w:r w:rsidR="00BA27F5">
        <w:t xml:space="preserve"> to respond</w:t>
      </w:r>
      <w:r w:rsidR="00F752F0">
        <w:t xml:space="preserve">. </w:t>
      </w:r>
    </w:p>
    <w:p w:rsidR="00514D29" w:rsidRDefault="00514D29" w:rsidP="00514D29">
      <w:r>
        <w:t xml:space="preserve">The Department invited comment on the consultation paper and </w:t>
      </w:r>
      <w:proofErr w:type="spellStart"/>
      <w:r w:rsidR="00F752F0">
        <w:t>the</w:t>
      </w:r>
      <w:r>
        <w:t>draft</w:t>
      </w:r>
      <w:proofErr w:type="spellEnd"/>
      <w:r>
        <w:t xml:space="preserve"> amendments </w:t>
      </w:r>
      <w:r w:rsidR="001458C2">
        <w:t>during</w:t>
      </w:r>
      <w:r>
        <w:t xml:space="preserve"> a teleconference with officers of the Department</w:t>
      </w:r>
      <w:r w:rsidR="006B0B05">
        <w:t xml:space="preserve"> </w:t>
      </w:r>
      <w:r w:rsidR="0065338A">
        <w:t>held</w:t>
      </w:r>
      <w:r w:rsidR="00F752F0">
        <w:t xml:space="preserve"> </w:t>
      </w:r>
      <w:r w:rsidR="006B0B05">
        <w:t>on 7 May 2013</w:t>
      </w:r>
      <w:r>
        <w:t xml:space="preserve">. Written </w:t>
      </w:r>
      <w:r w:rsidR="00AE0369">
        <w:t>comments</w:t>
      </w:r>
      <w:r>
        <w:t xml:space="preserve"> were also invited</w:t>
      </w:r>
      <w:r w:rsidR="00EF0167">
        <w:t xml:space="preserve"> to be </w:t>
      </w:r>
      <w:r w:rsidR="00AE0369">
        <w:t>submitted</w:t>
      </w:r>
      <w:r w:rsidR="006F6AAB">
        <w:t xml:space="preserve"> by 9 May 2013</w:t>
      </w:r>
      <w:r>
        <w:t xml:space="preserve">. </w:t>
      </w:r>
    </w:p>
    <w:p w:rsidR="00AE0369" w:rsidRDefault="00AE0369" w:rsidP="00514D29">
      <w:r>
        <w:t xml:space="preserve">The purpose of the </w:t>
      </w:r>
      <w:r w:rsidR="00536394">
        <w:t xml:space="preserve">duel teleconference and written submission </w:t>
      </w:r>
      <w:r>
        <w:t xml:space="preserve">consultation was </w:t>
      </w:r>
      <w:r w:rsidR="005A4521">
        <w:t xml:space="preserve">for the Department </w:t>
      </w:r>
      <w:r>
        <w:t>to seek views on the amendment</w:t>
      </w:r>
      <w:r w:rsidR="00EA38D7">
        <w:t>’</w:t>
      </w:r>
      <w:r>
        <w:t xml:space="preserve">s consistency with reporting requirements already </w:t>
      </w:r>
      <w:r w:rsidR="009265B4">
        <w:t>in</w:t>
      </w:r>
      <w:r>
        <w:t xml:space="preserve"> the </w:t>
      </w:r>
      <w:proofErr w:type="spellStart"/>
      <w:r w:rsidR="000F770B">
        <w:t>NGER</w:t>
      </w:r>
      <w:proofErr w:type="spellEnd"/>
      <w:r w:rsidR="000F770B">
        <w:t xml:space="preserve"> R</w:t>
      </w:r>
      <w:r>
        <w:t>egulation</w:t>
      </w:r>
      <w:r w:rsidR="000F770B">
        <w:t>s</w:t>
      </w:r>
      <w:r>
        <w:t xml:space="preserve"> and on </w:t>
      </w:r>
      <w:r w:rsidR="003A1AED">
        <w:t>the amendment</w:t>
      </w:r>
      <w:r w:rsidR="00EA38D7">
        <w:t>’</w:t>
      </w:r>
      <w:r w:rsidR="003A1AED">
        <w:t>s</w:t>
      </w:r>
      <w:r>
        <w:t xml:space="preserve"> practical operation and application. </w:t>
      </w:r>
    </w:p>
    <w:p w:rsidR="00DA36CB" w:rsidRPr="00514D29" w:rsidRDefault="00500CF4" w:rsidP="00514D29">
      <w:r>
        <w:t>Eight</w:t>
      </w:r>
      <w:r w:rsidR="00DA36CB">
        <w:t xml:space="preserve"> parties participated in the teleconference with the Department to discuss the amendments. </w:t>
      </w:r>
      <w:r>
        <w:t>These</w:t>
      </w:r>
      <w:r w:rsidR="006E7DA5">
        <w:t xml:space="preserve"> were:</w:t>
      </w:r>
      <w:r>
        <w:t xml:space="preserve"> Santos Limited, Australian Petroleum Production and Exploration Association Limited; Origin Energy Limited; </w:t>
      </w:r>
      <w:proofErr w:type="spellStart"/>
      <w:r>
        <w:t>DBP</w:t>
      </w:r>
      <w:proofErr w:type="spellEnd"/>
      <w:r>
        <w:t xml:space="preserve"> Transmission Limited; Chevron Limited; Gas Energy Australia; Arrow Energy Limited and </w:t>
      </w:r>
      <w:proofErr w:type="spellStart"/>
      <w:r>
        <w:t>Elgas</w:t>
      </w:r>
      <w:proofErr w:type="spellEnd"/>
      <w:r>
        <w:t xml:space="preserve"> Limited. </w:t>
      </w:r>
      <w:r w:rsidR="00DA36CB">
        <w:t xml:space="preserve">In addition, </w:t>
      </w:r>
      <w:r w:rsidR="00BD2EDB">
        <w:t>three</w:t>
      </w:r>
      <w:r w:rsidR="00DA36CB">
        <w:t xml:space="preserve"> written submissions were received</w:t>
      </w:r>
      <w:r w:rsidR="00BD2EDB">
        <w:t xml:space="preserve"> from Gas </w:t>
      </w:r>
      <w:r w:rsidR="00EF0BA0">
        <w:t>Energy Australia, Horizon Power and</w:t>
      </w:r>
      <w:r w:rsidR="00BD2EDB">
        <w:t xml:space="preserve"> Origin Energy. </w:t>
      </w:r>
    </w:p>
    <w:p w:rsidR="0045728F" w:rsidRPr="009962DF" w:rsidRDefault="00A1385D" w:rsidP="00094075">
      <w:pPr>
        <w:keepNext/>
        <w:widowControl/>
        <w:autoSpaceDE/>
        <w:autoSpaceDN/>
        <w:adjustRightInd/>
        <w:rPr>
          <w:i/>
          <w:u w:val="single"/>
        </w:rPr>
      </w:pPr>
      <w:r w:rsidRPr="009962DF">
        <w:rPr>
          <w:i/>
          <w:u w:val="single"/>
        </w:rPr>
        <w:t xml:space="preserve">Amendments to the </w:t>
      </w:r>
      <w:r w:rsidR="00FA2AA7" w:rsidRPr="005B70AB">
        <w:rPr>
          <w:i/>
          <w:iCs/>
          <w:u w:val="single"/>
          <w:lang w:val="en-GB"/>
        </w:rPr>
        <w:t>reporting requirements of entities liable for amounts of non-transport Liquefied Natural Gas and Liquefied Petroleum Gas</w:t>
      </w:r>
    </w:p>
    <w:p w:rsidR="00221056" w:rsidRDefault="0045728F" w:rsidP="00094075">
      <w:pPr>
        <w:keepLines/>
      </w:pPr>
      <w:r w:rsidRPr="009962DF">
        <w:t xml:space="preserve">The </w:t>
      </w:r>
      <w:r w:rsidR="009D009E">
        <w:t xml:space="preserve">addition of specific </w:t>
      </w:r>
      <w:r w:rsidR="00221056">
        <w:t>r</w:t>
      </w:r>
      <w:r w:rsidR="009D009E">
        <w:t xml:space="preserve">eporting requirements for </w:t>
      </w:r>
      <w:r w:rsidRPr="009962DF">
        <w:t xml:space="preserve">non-transport LPG and LNG </w:t>
      </w:r>
      <w:r w:rsidR="009D009E">
        <w:t xml:space="preserve">was in response to </w:t>
      </w:r>
      <w:r w:rsidR="00FE6D36">
        <w:t>the</w:t>
      </w:r>
      <w:r w:rsidR="009D009E">
        <w:t xml:space="preserve"> coverage </w:t>
      </w:r>
      <w:r w:rsidR="00FE6D36">
        <w:t xml:space="preserve">of these fuels </w:t>
      </w:r>
      <w:r w:rsidR="009D009E">
        <w:t>under</w:t>
      </w:r>
      <w:r w:rsidRPr="009962DF">
        <w:t xml:space="preserve"> the carbon pricing mechanism </w:t>
      </w:r>
      <w:r w:rsidR="009D009E">
        <w:t xml:space="preserve">via amendments to the CE </w:t>
      </w:r>
      <w:r w:rsidR="000F72B3">
        <w:t>Act and CE Regulations</w:t>
      </w:r>
      <w:r w:rsidR="00CD3CE5">
        <w:t xml:space="preserve"> in 2012</w:t>
      </w:r>
      <w:r w:rsidRPr="009962DF">
        <w:t>. The then</w:t>
      </w:r>
      <w:r w:rsidR="009962DF">
        <w:t xml:space="preserve"> </w:t>
      </w:r>
      <w:r w:rsidRPr="009962DF">
        <w:t>Department of Climate Change and Energy Efficiency (</w:t>
      </w:r>
      <w:proofErr w:type="spellStart"/>
      <w:r w:rsidRPr="009962DF">
        <w:t>DCCEE</w:t>
      </w:r>
      <w:proofErr w:type="spellEnd"/>
      <w:r w:rsidRPr="009962DF">
        <w:t xml:space="preserve">) undertook extensive consultation to develop policy for the carbon pricing mechanism coverage of LPG and LNG and the details for the legislative implementation of that policy in 2011 and 2012. </w:t>
      </w:r>
      <w:bookmarkStart w:id="0" w:name="_GoBack"/>
      <w:bookmarkEnd w:id="0"/>
    </w:p>
    <w:p w:rsidR="00D22C45" w:rsidRDefault="00E46FD6" w:rsidP="00C830B3">
      <w:pPr>
        <w:ind w:right="91"/>
      </w:pPr>
      <w:r w:rsidRPr="00E46FD6">
        <w:t>Minor issues were raised in stakeholder submissions on these amendments following consultation in 2013. These issues were resolved in the final draft of the Regulation.</w:t>
      </w:r>
    </w:p>
    <w:p w:rsidR="00C830B3" w:rsidRDefault="00C830B3" w:rsidP="00C830B3">
      <w:pPr>
        <w:ind w:right="91"/>
        <w:rPr>
          <w:i/>
          <w:iCs/>
          <w:u w:val="single"/>
          <w:lang w:val="en-GB"/>
        </w:rPr>
      </w:pPr>
      <w:r w:rsidRPr="00CD529E">
        <w:rPr>
          <w:i/>
          <w:iCs/>
          <w:u w:val="single"/>
          <w:lang w:val="en-GB"/>
        </w:rPr>
        <w:t xml:space="preserve">Amendments to the reporting requirements of entities liable under the Opt-in Scheme </w:t>
      </w:r>
    </w:p>
    <w:p w:rsidR="006865D8" w:rsidRDefault="000F72B3" w:rsidP="000F72B3">
      <w:r w:rsidRPr="009962DF">
        <w:t xml:space="preserve">The </w:t>
      </w:r>
      <w:r>
        <w:t>addition of specific reporting requirements for participants in the Opt-in Scheme</w:t>
      </w:r>
      <w:r w:rsidRPr="009962DF">
        <w:t xml:space="preserve"> </w:t>
      </w:r>
      <w:r>
        <w:t xml:space="preserve">was in response to the </w:t>
      </w:r>
      <w:r w:rsidR="0040622D">
        <w:t>establishment</w:t>
      </w:r>
      <w:r>
        <w:t xml:space="preserve"> of the Opt-in Scheme </w:t>
      </w:r>
      <w:r w:rsidR="006865D8">
        <w:t>and Designated Opt-in</w:t>
      </w:r>
      <w:r w:rsidR="006E79DE">
        <w:t xml:space="preserve"> Persons (</w:t>
      </w:r>
      <w:proofErr w:type="spellStart"/>
      <w:r w:rsidR="006E79DE">
        <w:t>DOIPs</w:t>
      </w:r>
      <w:proofErr w:type="spellEnd"/>
      <w:r w:rsidR="006E79DE">
        <w:t>) as</w:t>
      </w:r>
      <w:r w:rsidR="007F1E31">
        <w:t xml:space="preserve"> liable </w:t>
      </w:r>
      <w:r w:rsidR="0089095B">
        <w:t>entities</w:t>
      </w:r>
      <w:r w:rsidR="007F1E31">
        <w:t xml:space="preserve"> </w:t>
      </w:r>
      <w:r>
        <w:t xml:space="preserve">via </w:t>
      </w:r>
      <w:r w:rsidR="0040622D">
        <w:t>amendments</w:t>
      </w:r>
      <w:r>
        <w:t xml:space="preserve"> to the CE </w:t>
      </w:r>
      <w:r w:rsidR="0040622D">
        <w:t xml:space="preserve">Act and CE Regulations. </w:t>
      </w:r>
    </w:p>
    <w:p w:rsidR="00D22C45" w:rsidRDefault="00E46FD6" w:rsidP="00D22C45">
      <w:pPr>
        <w:keepNext/>
        <w:keepLines/>
        <w:widowControl/>
        <w:spacing w:before="0"/>
        <w:ind w:right="91"/>
      </w:pPr>
      <w:r w:rsidRPr="00E46FD6">
        <w:lastRenderedPageBreak/>
        <w:t>Minor issues were raised in stakeholder submissions on these amendments following consultation in 2013. These issues were resolved in the final draft of the Regulation.</w:t>
      </w:r>
    </w:p>
    <w:p w:rsidR="00C830B3" w:rsidRPr="00F24788" w:rsidRDefault="00C830B3" w:rsidP="00D22C45">
      <w:pPr>
        <w:widowControl/>
        <w:autoSpaceDE/>
        <w:autoSpaceDN/>
        <w:adjustRightInd/>
        <w:spacing w:before="0" w:after="200" w:line="276" w:lineRule="auto"/>
        <w:rPr>
          <w:i/>
          <w:u w:val="single"/>
        </w:rPr>
      </w:pPr>
      <w:r>
        <w:rPr>
          <w:i/>
          <w:iCs/>
          <w:u w:val="single"/>
          <w:lang w:val="en-GB"/>
        </w:rPr>
        <w:t>Amendments to the reporting requirements of entit</w:t>
      </w:r>
      <w:r w:rsidR="00792C33">
        <w:rPr>
          <w:i/>
          <w:iCs/>
          <w:u w:val="single"/>
          <w:lang w:val="en-GB"/>
        </w:rPr>
        <w:t>ies liable as end-</w:t>
      </w:r>
      <w:r>
        <w:rPr>
          <w:i/>
          <w:iCs/>
          <w:u w:val="single"/>
          <w:lang w:val="en-GB"/>
        </w:rPr>
        <w:t xml:space="preserve">users of </w:t>
      </w:r>
      <w:r w:rsidR="00792C33" w:rsidRPr="00F24788">
        <w:rPr>
          <w:i/>
          <w:u w:val="single"/>
        </w:rPr>
        <w:t>natural</w:t>
      </w:r>
      <w:r w:rsidRPr="00F24788">
        <w:rPr>
          <w:i/>
          <w:u w:val="single"/>
        </w:rPr>
        <w:t xml:space="preserve"> gas </w:t>
      </w:r>
    </w:p>
    <w:p w:rsidR="00C3490C" w:rsidRDefault="00792C33" w:rsidP="00792C33">
      <w:pPr>
        <w:keepLines/>
      </w:pPr>
      <w:r w:rsidRPr="009962DF">
        <w:t xml:space="preserve">The </w:t>
      </w:r>
      <w:r>
        <w:t xml:space="preserve">addition of specific reporting requirements for entities liable as end-users of natural gas was in response to amendments to the CE Act </w:t>
      </w:r>
      <w:r w:rsidR="000D4AC6">
        <w:t xml:space="preserve">which made </w:t>
      </w:r>
      <w:r w:rsidR="00041E33">
        <w:t xml:space="preserve">end </w:t>
      </w:r>
      <w:r w:rsidR="000D4AC6">
        <w:t xml:space="preserve">users of natural gas liable for the potential emissions embodied in the gas they use, if no other person is liable for that gas under other </w:t>
      </w:r>
      <w:r w:rsidR="00486604">
        <w:t>specified</w:t>
      </w:r>
      <w:r w:rsidR="004A7166">
        <w:t xml:space="preserve"> </w:t>
      </w:r>
      <w:r w:rsidR="000D4AC6">
        <w:t xml:space="preserve">sections of the CE Act. This was necessary to account for </w:t>
      </w:r>
      <w:r>
        <w:t xml:space="preserve">situations </w:t>
      </w:r>
      <w:r w:rsidRPr="00792C33">
        <w:t>where no person would be liable for the potential emissions</w:t>
      </w:r>
      <w:r w:rsidR="009E2699">
        <w:t>,</w:t>
      </w:r>
      <w:r w:rsidRPr="00792C33">
        <w:t xml:space="preserve"> </w:t>
      </w:r>
      <w:r w:rsidR="000D4AC6">
        <w:t>due to</w:t>
      </w:r>
      <w:r w:rsidRPr="00792C33">
        <w:t xml:space="preserve"> the CE Act definitions of supply and withdrawal </w:t>
      </w:r>
      <w:r w:rsidR="000D4AC6">
        <w:t>not being able to be met</w:t>
      </w:r>
      <w:r w:rsidRPr="00792C33">
        <w:t xml:space="preserve">. </w:t>
      </w:r>
    </w:p>
    <w:p w:rsidR="00D22C45" w:rsidRDefault="00E46FD6" w:rsidP="00060FDF">
      <w:pPr>
        <w:keepNext/>
        <w:spacing w:after="0"/>
      </w:pPr>
      <w:r w:rsidRPr="00E46FD6">
        <w:t>Minor issues were raised in stakeholder submissions on these amendments following consultation in 2013. These issues were resolved in the final draft of the Regulation.</w:t>
      </w:r>
    </w:p>
    <w:p w:rsidR="00642ECA" w:rsidRPr="00245CBD" w:rsidRDefault="00642ECA" w:rsidP="00060FDF">
      <w:pPr>
        <w:keepNext/>
        <w:spacing w:after="0"/>
        <w:rPr>
          <w:b/>
        </w:rPr>
      </w:pPr>
      <w:r w:rsidRPr="00245CBD">
        <w:rPr>
          <w:b/>
        </w:rPr>
        <w:t xml:space="preserve">Statement of </w:t>
      </w:r>
      <w:r>
        <w:rPr>
          <w:b/>
        </w:rPr>
        <w:t>C</w:t>
      </w:r>
      <w:r w:rsidRPr="00245CBD">
        <w:rPr>
          <w:b/>
        </w:rPr>
        <w:t xml:space="preserve">ompatibility with </w:t>
      </w:r>
      <w:r>
        <w:rPr>
          <w:b/>
        </w:rPr>
        <w:t>H</w:t>
      </w:r>
      <w:r w:rsidRPr="00245CBD">
        <w:rPr>
          <w:b/>
        </w:rPr>
        <w:t xml:space="preserve">uman </w:t>
      </w:r>
      <w:r>
        <w:rPr>
          <w:b/>
        </w:rPr>
        <w:t>R</w:t>
      </w:r>
      <w:r w:rsidRPr="00245CBD">
        <w:rPr>
          <w:b/>
        </w:rPr>
        <w:t>ights</w:t>
      </w:r>
    </w:p>
    <w:p w:rsidR="00642ECA" w:rsidRDefault="00642ECA" w:rsidP="00642ECA">
      <w:pPr>
        <w:spacing w:after="0"/>
      </w:pPr>
      <w:r w:rsidRPr="00245CBD">
        <w:t>A statement of compatibility with human rights for the purposes of Part 3 of the</w:t>
      </w:r>
      <w:r>
        <w:t xml:space="preserve"> </w:t>
      </w:r>
      <w:r w:rsidRPr="00245CBD">
        <w:rPr>
          <w:i/>
        </w:rPr>
        <w:t>Human Rights (Parliamentary Scrutiny) Act 2011</w:t>
      </w:r>
      <w:r w:rsidRPr="00245CBD">
        <w:t xml:space="preserve"> is set out at </w:t>
      </w:r>
      <w:r w:rsidRPr="004F40C1">
        <w:rPr>
          <w:u w:val="single"/>
        </w:rPr>
        <w:t xml:space="preserve">Attachment </w:t>
      </w:r>
      <w:r>
        <w:rPr>
          <w:u w:val="single"/>
        </w:rPr>
        <w:t>B</w:t>
      </w:r>
      <w:r w:rsidRPr="00245CBD">
        <w:t>.</w:t>
      </w:r>
    </w:p>
    <w:p w:rsidR="005A4521" w:rsidRPr="00D86754" w:rsidRDefault="005A4521" w:rsidP="00D86754">
      <w:pPr>
        <w:spacing w:after="0"/>
      </w:pPr>
      <w:r>
        <w:br/>
      </w:r>
    </w:p>
    <w:p w:rsidR="009077DC" w:rsidRPr="00D86754" w:rsidRDefault="009077DC" w:rsidP="00D86754">
      <w:pPr>
        <w:spacing w:after="0"/>
        <w:rPr>
          <w:b/>
        </w:rPr>
      </w:pPr>
    </w:p>
    <w:p w:rsidR="00E2618D" w:rsidRPr="00105ABD" w:rsidRDefault="00E2618D" w:rsidP="000E6DB6">
      <w:pPr>
        <w:tabs>
          <w:tab w:val="left" w:pos="5103"/>
          <w:tab w:val="left" w:pos="5245"/>
        </w:tabs>
        <w:spacing w:before="0"/>
        <w:ind w:left="6480" w:hanging="6480"/>
      </w:pPr>
      <w:r w:rsidRPr="008B586C">
        <w:tab/>
      </w:r>
      <w:r>
        <w:rPr>
          <w:u w:val="single"/>
        </w:rPr>
        <w:t>Authority:</w:t>
      </w:r>
      <w:r w:rsidR="000E6DB6">
        <w:tab/>
        <w:t xml:space="preserve">Section 77 of the </w:t>
      </w:r>
      <w:r w:rsidR="000E6DB6" w:rsidRPr="000E6DB6">
        <w:rPr>
          <w:i/>
        </w:rPr>
        <w:t>National Greenhouse and Energy Reporting Act 2007</w:t>
      </w:r>
    </w:p>
    <w:p w:rsidR="00AE184C" w:rsidRDefault="00AE184C">
      <w:pPr>
        <w:widowControl/>
        <w:autoSpaceDE/>
        <w:autoSpaceDN/>
        <w:adjustRightInd/>
        <w:spacing w:before="0" w:after="200" w:line="276" w:lineRule="auto"/>
      </w:pPr>
      <w:r>
        <w:br w:type="page"/>
      </w:r>
    </w:p>
    <w:p w:rsidR="00AE184C" w:rsidRPr="00AE184C" w:rsidRDefault="00AE184C" w:rsidP="00AE184C">
      <w:pPr>
        <w:keepLines/>
        <w:widowControl/>
        <w:autoSpaceDE/>
        <w:autoSpaceDN/>
        <w:adjustRightInd/>
        <w:spacing w:before="100" w:beforeAutospacing="1" w:after="100" w:afterAutospacing="1"/>
        <w:jc w:val="right"/>
        <w:rPr>
          <w:b/>
          <w:u w:val="single"/>
        </w:rPr>
      </w:pPr>
      <w:r w:rsidRPr="00AE184C">
        <w:rPr>
          <w:b/>
          <w:u w:val="single"/>
        </w:rPr>
        <w:lastRenderedPageBreak/>
        <w:t>Attachment A</w:t>
      </w:r>
    </w:p>
    <w:p w:rsidR="00AE184C" w:rsidRPr="00AE184C" w:rsidRDefault="00AE184C" w:rsidP="00AE184C">
      <w:pPr>
        <w:keepNext/>
        <w:keepLines/>
        <w:rPr>
          <w:b/>
          <w:bCs/>
          <w:u w:val="single"/>
        </w:rPr>
      </w:pPr>
      <w:r w:rsidRPr="00AE184C">
        <w:rPr>
          <w:b/>
          <w:bCs/>
          <w:u w:val="single"/>
        </w:rPr>
        <w:t xml:space="preserve">Details of the </w:t>
      </w:r>
      <w:r w:rsidR="00F1703C" w:rsidRPr="00F1703C">
        <w:rPr>
          <w:b/>
          <w:bCs/>
          <w:i/>
          <w:u w:val="single"/>
          <w:lang w:val="en-GB"/>
        </w:rPr>
        <w:t>National Greenhouse and Ener</w:t>
      </w:r>
      <w:r w:rsidR="00AB357B">
        <w:rPr>
          <w:b/>
          <w:bCs/>
          <w:i/>
          <w:u w:val="single"/>
          <w:lang w:val="en-GB"/>
        </w:rPr>
        <w:t xml:space="preserve">gy Reporting Amendment (LNG, </w:t>
      </w:r>
      <w:r w:rsidR="00F1703C" w:rsidRPr="00F1703C">
        <w:rPr>
          <w:b/>
          <w:bCs/>
          <w:i/>
          <w:u w:val="single"/>
          <w:lang w:val="en-GB"/>
        </w:rPr>
        <w:t xml:space="preserve">LPG, Opt-in Scheme and </w:t>
      </w:r>
      <w:r w:rsidR="00F1703C">
        <w:rPr>
          <w:b/>
          <w:bCs/>
          <w:i/>
          <w:u w:val="single"/>
          <w:lang w:val="en-GB"/>
        </w:rPr>
        <w:t xml:space="preserve">Other Measures) Regulation 2013 </w:t>
      </w:r>
    </w:p>
    <w:p w:rsidR="00AE184C" w:rsidRPr="00AE184C" w:rsidRDefault="00AE184C" w:rsidP="00AE184C">
      <w:pPr>
        <w:keepLines/>
        <w:spacing w:before="0"/>
        <w:ind w:right="91"/>
        <w:rPr>
          <w:b/>
        </w:rPr>
      </w:pPr>
      <w:r w:rsidRPr="00AE184C">
        <w:rPr>
          <w:b/>
        </w:rPr>
        <w:t xml:space="preserve">Section 1 – Name of Regulation </w:t>
      </w:r>
    </w:p>
    <w:p w:rsidR="00AE184C" w:rsidRPr="00AE184C" w:rsidRDefault="00AE184C" w:rsidP="00AE184C">
      <w:pPr>
        <w:keepLines/>
        <w:spacing w:before="0"/>
        <w:ind w:right="91"/>
      </w:pPr>
      <w:r w:rsidRPr="00AE184C">
        <w:t xml:space="preserve">Section 1 provides that the name of the Regulation is the </w:t>
      </w:r>
      <w:r w:rsidR="00953BF7">
        <w:rPr>
          <w:i/>
        </w:rPr>
        <w:t xml:space="preserve">National Greenhouse and Energy </w:t>
      </w:r>
      <w:r w:rsidR="00C047F4">
        <w:rPr>
          <w:i/>
        </w:rPr>
        <w:t>Amendment (</w:t>
      </w:r>
      <w:r w:rsidR="00C41217">
        <w:rPr>
          <w:i/>
        </w:rPr>
        <w:t xml:space="preserve">LNG, </w:t>
      </w:r>
      <w:r w:rsidR="00222D09" w:rsidRPr="00222D09">
        <w:rPr>
          <w:i/>
        </w:rPr>
        <w:t>LPG, Opt-in Scheme and Other Measures</w:t>
      </w:r>
      <w:r w:rsidR="00C047F4">
        <w:rPr>
          <w:i/>
        </w:rPr>
        <w:t>)</w:t>
      </w:r>
      <w:r w:rsidR="00953BF7">
        <w:rPr>
          <w:i/>
        </w:rPr>
        <w:t xml:space="preserve"> Regulation 2013 </w:t>
      </w:r>
      <w:r w:rsidRPr="00AE184C">
        <w:t>(the Regulation).</w:t>
      </w:r>
      <w:r w:rsidR="00F26EC3">
        <w:t xml:space="preserve"> </w:t>
      </w:r>
    </w:p>
    <w:p w:rsidR="00AE184C" w:rsidRPr="00AE184C" w:rsidRDefault="00AE184C" w:rsidP="00AE184C">
      <w:pPr>
        <w:keepLines/>
        <w:spacing w:before="0"/>
        <w:ind w:right="91"/>
        <w:rPr>
          <w:b/>
        </w:rPr>
      </w:pPr>
      <w:r w:rsidRPr="00AE184C">
        <w:rPr>
          <w:b/>
        </w:rPr>
        <w:t>Section 2 – Commencement</w:t>
      </w:r>
    </w:p>
    <w:p w:rsidR="007B09BA" w:rsidRDefault="007B09BA" w:rsidP="007B09BA">
      <w:pPr>
        <w:tabs>
          <w:tab w:val="left" w:pos="6521"/>
        </w:tabs>
        <w:spacing w:before="0"/>
        <w:ind w:right="91"/>
      </w:pPr>
      <w:r>
        <w:t xml:space="preserve">Section 2 provides that </w:t>
      </w:r>
      <w:r w:rsidR="006D7E39" w:rsidRPr="006D7E39">
        <w:t>this Regulation commences</w:t>
      </w:r>
      <w:r w:rsidRPr="006D7E39">
        <w:t xml:space="preserve"> on 1 July 2013.</w:t>
      </w:r>
    </w:p>
    <w:p w:rsidR="00AE184C" w:rsidRPr="00AE184C" w:rsidRDefault="00AE184C" w:rsidP="00AE184C">
      <w:pPr>
        <w:keepLines/>
        <w:spacing w:before="0"/>
        <w:ind w:right="91"/>
        <w:rPr>
          <w:b/>
        </w:rPr>
      </w:pPr>
      <w:r w:rsidRPr="00AE184C">
        <w:rPr>
          <w:b/>
        </w:rPr>
        <w:t>Section 3 – Authority</w:t>
      </w:r>
    </w:p>
    <w:p w:rsidR="00AE184C" w:rsidRPr="00AE184C" w:rsidRDefault="005A3F36" w:rsidP="00AE184C">
      <w:pPr>
        <w:keepLines/>
        <w:spacing w:before="100" w:beforeAutospacing="1" w:after="100" w:afterAutospacing="1"/>
      </w:pPr>
      <w:r>
        <w:t>Section</w:t>
      </w:r>
      <w:r w:rsidR="00AE184C" w:rsidRPr="00AE184C">
        <w:t xml:space="preserve"> </w:t>
      </w:r>
      <w:r>
        <w:t xml:space="preserve">3 </w:t>
      </w:r>
      <w:r w:rsidR="00AE184C" w:rsidRPr="00AE184C">
        <w:t xml:space="preserve">specifies that the Regulation is made under the </w:t>
      </w:r>
      <w:r w:rsidR="006D7E39" w:rsidRPr="006D7E39">
        <w:rPr>
          <w:i/>
        </w:rPr>
        <w:t xml:space="preserve">National Greenhouse and Energy Reporting Act 2007. </w:t>
      </w:r>
      <w:r w:rsidR="00AE184C" w:rsidRPr="006D7E39">
        <w:t xml:space="preserve">  </w:t>
      </w:r>
    </w:p>
    <w:p w:rsidR="00AE184C" w:rsidRPr="00AE184C" w:rsidRDefault="00AE184C" w:rsidP="00AE184C">
      <w:pPr>
        <w:keepLines/>
        <w:spacing w:before="100" w:beforeAutospacing="1" w:after="100" w:afterAutospacing="1"/>
        <w:rPr>
          <w:b/>
        </w:rPr>
      </w:pPr>
      <w:r w:rsidRPr="00AE184C">
        <w:rPr>
          <w:b/>
        </w:rPr>
        <w:t>Section 4 – Schedule(s)</w:t>
      </w:r>
    </w:p>
    <w:p w:rsidR="00AE184C" w:rsidRPr="00AE184C" w:rsidRDefault="005A3F36" w:rsidP="00AE184C">
      <w:pPr>
        <w:keepLines/>
        <w:spacing w:before="100" w:beforeAutospacing="1" w:after="100" w:afterAutospacing="1"/>
      </w:pPr>
      <w:r>
        <w:t>Section</w:t>
      </w:r>
      <w:r w:rsidR="00AE184C" w:rsidRPr="00AE184C">
        <w:t xml:space="preserve"> </w:t>
      </w:r>
      <w:r>
        <w:t xml:space="preserve">4 </w:t>
      </w:r>
      <w:r w:rsidR="00AE184C" w:rsidRPr="00AE184C">
        <w:t>provides that the Regulation amends or repeals each instrument that is specified in a Schedule to the Regulation.</w:t>
      </w:r>
    </w:p>
    <w:p w:rsidR="00AE184C" w:rsidRPr="00AE184C" w:rsidRDefault="00AE184C" w:rsidP="00AE184C">
      <w:pPr>
        <w:keepLines/>
        <w:spacing w:before="100" w:beforeAutospacing="1" w:after="100" w:afterAutospacing="1"/>
        <w:rPr>
          <w:b/>
          <w:u w:val="single"/>
        </w:rPr>
      </w:pPr>
      <w:r w:rsidRPr="00AE184C">
        <w:rPr>
          <w:b/>
          <w:u w:val="single"/>
        </w:rPr>
        <w:t>Schedule 1 – Amendments</w:t>
      </w:r>
    </w:p>
    <w:p w:rsidR="00AE184C" w:rsidRPr="00AE184C" w:rsidRDefault="00DE35FC" w:rsidP="00AE184C">
      <w:pPr>
        <w:keepLines/>
        <w:spacing w:before="100" w:beforeAutospacing="1" w:after="100" w:afterAutospacing="1"/>
        <w:ind w:right="91"/>
        <w:rPr>
          <w:b/>
          <w:highlight w:val="yellow"/>
        </w:rPr>
      </w:pPr>
      <w:r>
        <w:rPr>
          <w:b/>
          <w:bCs/>
          <w:i/>
          <w:iCs/>
          <w:sz w:val="28"/>
          <w:szCs w:val="28"/>
        </w:rPr>
        <w:t>National Greenhouse and</w:t>
      </w:r>
      <w:r w:rsidR="00AE184C" w:rsidRPr="00AE184C">
        <w:rPr>
          <w:b/>
          <w:bCs/>
          <w:i/>
          <w:iCs/>
          <w:sz w:val="28"/>
          <w:szCs w:val="28"/>
        </w:rPr>
        <w:t xml:space="preserve"> Energy </w:t>
      </w:r>
      <w:r>
        <w:rPr>
          <w:b/>
          <w:bCs/>
          <w:i/>
          <w:iCs/>
          <w:sz w:val="28"/>
          <w:szCs w:val="28"/>
        </w:rPr>
        <w:t>Reporting Regulations 2008</w:t>
      </w:r>
    </w:p>
    <w:p w:rsidR="00CC0ECC" w:rsidRPr="00A11CFC" w:rsidRDefault="00CC0ECC" w:rsidP="00CC0ECC">
      <w:pPr>
        <w:spacing w:before="100" w:beforeAutospacing="1" w:after="100" w:afterAutospacing="1"/>
        <w:ind w:right="91"/>
        <w:rPr>
          <w:b/>
          <w:bCs/>
          <w:sz w:val="23"/>
          <w:szCs w:val="23"/>
        </w:rPr>
      </w:pPr>
      <w:r>
        <w:rPr>
          <w:b/>
        </w:rPr>
        <w:t>Item</w:t>
      </w:r>
      <w:r w:rsidR="00846846">
        <w:rPr>
          <w:b/>
        </w:rPr>
        <w:t>s</w:t>
      </w:r>
      <w:r>
        <w:rPr>
          <w:b/>
        </w:rPr>
        <w:t xml:space="preserve"> 1 </w:t>
      </w:r>
      <w:r w:rsidR="00846846">
        <w:rPr>
          <w:b/>
        </w:rPr>
        <w:t>and 2</w:t>
      </w:r>
    </w:p>
    <w:p w:rsidR="00B348F1" w:rsidRDefault="00CC0ECC" w:rsidP="00CC0ECC">
      <w:r>
        <w:t>I</w:t>
      </w:r>
      <w:r w:rsidRPr="00A11CFC">
        <w:t>tem</w:t>
      </w:r>
      <w:r w:rsidR="003C6FE8">
        <w:t>s</w:t>
      </w:r>
      <w:r w:rsidRPr="00A11CFC">
        <w:t xml:space="preserve"> </w:t>
      </w:r>
      <w:r>
        <w:t>1</w:t>
      </w:r>
      <w:r w:rsidR="003C6FE8">
        <w:t xml:space="preserve"> and 2 repeal</w:t>
      </w:r>
      <w:r>
        <w:t xml:space="preserve"> </w:t>
      </w:r>
      <w:r w:rsidR="008D3E53">
        <w:t xml:space="preserve">the existing definitions of liquefied natural gas and liquefied petroleum gas and replace them </w:t>
      </w:r>
      <w:r w:rsidR="0032540A">
        <w:t xml:space="preserve">with new </w:t>
      </w:r>
      <w:r w:rsidR="008D3E53">
        <w:t>definitions</w:t>
      </w:r>
      <w:r w:rsidR="00BA5B8A">
        <w:t>,</w:t>
      </w:r>
      <w:r w:rsidR="0067266A">
        <w:t xml:space="preserve"> which are identical except for their inclusion of the acronyms LNG and LPG</w:t>
      </w:r>
      <w:r w:rsidR="0032540A">
        <w:t>.</w:t>
      </w:r>
      <w:r w:rsidR="004E078E">
        <w:t xml:space="preserve"> </w:t>
      </w:r>
    </w:p>
    <w:p w:rsidR="009455A4" w:rsidRDefault="00F1703C" w:rsidP="00CC0ECC">
      <w:r>
        <w:t xml:space="preserve">New definitions for the terms ‘GST group’ and ‘GST joint venture’ are introduced. </w:t>
      </w:r>
    </w:p>
    <w:p w:rsidR="00B2681D" w:rsidRDefault="00B2681D" w:rsidP="00BB4477">
      <w:pPr>
        <w:keepNext/>
        <w:keepLines/>
        <w:spacing w:before="100" w:beforeAutospacing="1" w:after="100" w:afterAutospacing="1"/>
        <w:ind w:right="91"/>
        <w:rPr>
          <w:b/>
          <w:bCs/>
        </w:rPr>
      </w:pPr>
      <w:r>
        <w:rPr>
          <w:b/>
          <w:bCs/>
        </w:rPr>
        <w:t xml:space="preserve">Items 3 and 4 </w:t>
      </w:r>
    </w:p>
    <w:p w:rsidR="0067266A" w:rsidRPr="00BA5B8A" w:rsidRDefault="00BA5B8A" w:rsidP="00BA5B8A">
      <w:r w:rsidRPr="00BA5B8A">
        <w:t xml:space="preserve">Items </w:t>
      </w:r>
      <w:r>
        <w:t xml:space="preserve">3 and 4 repeal the existing definition of obligation transfer number and replace it with a new definition, which is identical except for the inclusion of the acronym </w:t>
      </w:r>
      <w:proofErr w:type="spellStart"/>
      <w:r>
        <w:t>OTN</w:t>
      </w:r>
      <w:proofErr w:type="spellEnd"/>
      <w:r>
        <w:t xml:space="preserve">. Item 4 also introduces a definition of specified taxable fuel, which has the meaning given by the regulation 3.30 of the </w:t>
      </w:r>
      <w:r>
        <w:rPr>
          <w:i/>
        </w:rPr>
        <w:t xml:space="preserve">Clean Energy Regulations 2011. </w:t>
      </w:r>
    </w:p>
    <w:p w:rsidR="00CC0ECC" w:rsidRPr="00C527C4" w:rsidRDefault="00CC0ECC" w:rsidP="00BB4477">
      <w:pPr>
        <w:keepNext/>
        <w:keepLines/>
        <w:spacing w:before="100" w:beforeAutospacing="1" w:after="100" w:afterAutospacing="1"/>
        <w:ind w:right="91"/>
        <w:rPr>
          <w:b/>
          <w:bCs/>
        </w:rPr>
      </w:pPr>
      <w:r w:rsidRPr="00C527C4">
        <w:rPr>
          <w:b/>
          <w:bCs/>
        </w:rPr>
        <w:t>Item</w:t>
      </w:r>
      <w:r w:rsidR="00846846">
        <w:rPr>
          <w:b/>
          <w:bCs/>
        </w:rPr>
        <w:t>s</w:t>
      </w:r>
      <w:r w:rsidRPr="00C527C4">
        <w:rPr>
          <w:b/>
          <w:bCs/>
        </w:rPr>
        <w:t xml:space="preserve"> 5 </w:t>
      </w:r>
      <w:r w:rsidR="00846846">
        <w:rPr>
          <w:b/>
          <w:bCs/>
        </w:rPr>
        <w:t xml:space="preserve">and 6 </w:t>
      </w:r>
    </w:p>
    <w:p w:rsidR="00685DD9" w:rsidRDefault="00896B37" w:rsidP="00BB4477">
      <w:r>
        <w:t xml:space="preserve">Items 5 and 6 amend regulation 4.19 to clarify that persons need not report information about </w:t>
      </w:r>
      <w:r w:rsidR="00685DD9">
        <w:t xml:space="preserve">a </w:t>
      </w:r>
      <w:r w:rsidR="00685DD9">
        <w:lastRenderedPageBreak/>
        <w:t>generating unit</w:t>
      </w:r>
      <w:r>
        <w:t xml:space="preserve"> producing electricity for the facility if the generating unit’s capacity is 0.5 megawatts of electricity or less, and the generating unit generates 100 000 kilowatt hours or less of electricity in a reporting year. </w:t>
      </w:r>
    </w:p>
    <w:p w:rsidR="00AB2269" w:rsidRPr="00AB2269" w:rsidRDefault="00AB2269" w:rsidP="00AB2269">
      <w:pPr>
        <w:keepNext/>
        <w:keepLines/>
        <w:spacing w:before="100" w:beforeAutospacing="1" w:after="100" w:afterAutospacing="1"/>
        <w:ind w:right="91"/>
        <w:rPr>
          <w:b/>
          <w:bCs/>
        </w:rPr>
      </w:pPr>
      <w:r w:rsidRPr="00AB2269">
        <w:rPr>
          <w:b/>
          <w:bCs/>
        </w:rPr>
        <w:t xml:space="preserve">Item 7 </w:t>
      </w:r>
    </w:p>
    <w:p w:rsidR="00B913B3" w:rsidRDefault="00AB2269" w:rsidP="00B913B3">
      <w:r>
        <w:t xml:space="preserve">Item 7 </w:t>
      </w:r>
      <w:r w:rsidR="007E6610">
        <w:t>amends regulation 4.32F to clarify that</w:t>
      </w:r>
      <w:r w:rsidR="00727A0A">
        <w:t>,</w:t>
      </w:r>
      <w:r>
        <w:t xml:space="preserve"> </w:t>
      </w:r>
      <w:r w:rsidR="00DF3D17">
        <w:t xml:space="preserve">in every instance </w:t>
      </w:r>
      <w:r w:rsidR="00763E4D">
        <w:t>where</w:t>
      </w:r>
      <w:r w:rsidR="00DF3D17">
        <w:t xml:space="preserve"> an </w:t>
      </w:r>
      <w:r>
        <w:t xml:space="preserve">amount of natural gas, LNG or LPG </w:t>
      </w:r>
      <w:r w:rsidR="00763E4D">
        <w:t xml:space="preserve">is </w:t>
      </w:r>
      <w:r>
        <w:t>report</w:t>
      </w:r>
      <w:r w:rsidR="00DF3D17">
        <w:t>ed</w:t>
      </w:r>
      <w:r w:rsidR="00763E4D">
        <w:t xml:space="preserve"> under the </w:t>
      </w:r>
      <w:proofErr w:type="spellStart"/>
      <w:r w:rsidR="00763E4D">
        <w:t>NGER</w:t>
      </w:r>
      <w:proofErr w:type="spellEnd"/>
      <w:r w:rsidR="00763E4D">
        <w:t xml:space="preserve"> Regulations</w:t>
      </w:r>
      <w:r>
        <w:t xml:space="preserve">, </w:t>
      </w:r>
      <w:r w:rsidR="006F0E0B">
        <w:t xml:space="preserve">that amount </w:t>
      </w:r>
      <w:r w:rsidR="00727A0A">
        <w:t xml:space="preserve">is to </w:t>
      </w:r>
      <w:r>
        <w:t>be measured in accordance with the</w:t>
      </w:r>
      <w:r w:rsidR="00DF3D17">
        <w:rPr>
          <w:i/>
        </w:rPr>
        <w:t xml:space="preserve"> National Greenhouse and Energy Reporting (Measurement) Determination 2008 </w:t>
      </w:r>
      <w:r w:rsidR="00DF3D17">
        <w:t>(the</w:t>
      </w:r>
      <w:r>
        <w:t xml:space="preserve"> Measurement Determination</w:t>
      </w:r>
      <w:r w:rsidR="00DF3D17">
        <w:t>),</w:t>
      </w:r>
      <w:r>
        <w:t xml:space="preserve"> and stated in an amount of gigajoules. </w:t>
      </w:r>
    </w:p>
    <w:p w:rsidR="00B913B3" w:rsidRDefault="00AB2269" w:rsidP="00B913B3">
      <w:r w:rsidRPr="00065624">
        <w:rPr>
          <w:b/>
          <w:bCs/>
        </w:rPr>
        <w:t>Item 8</w:t>
      </w:r>
      <w:r>
        <w:t xml:space="preserve"> </w:t>
      </w:r>
    </w:p>
    <w:p w:rsidR="00B913B3" w:rsidRDefault="00A36F09" w:rsidP="00B913B3">
      <w:r>
        <w:t xml:space="preserve">Item 8 amends regulation 4.32K(2) which sets out the information that must be included in a report under section 22A. Item 8 introduces a requirement that persons report the methods in the Measurement Determination that were used to calculate the total amount of natural gas (in gigajoules) supplied by the person that is attributable to the provisional emissions number. </w:t>
      </w:r>
    </w:p>
    <w:p w:rsidR="00B913B3" w:rsidRDefault="00C76FDF" w:rsidP="00B913B3">
      <w:r w:rsidRPr="00C76FDF">
        <w:rPr>
          <w:b/>
          <w:bCs/>
        </w:rPr>
        <w:t xml:space="preserve">Item 9 </w:t>
      </w:r>
    </w:p>
    <w:p w:rsidR="00875715" w:rsidRDefault="00670A94" w:rsidP="00B913B3">
      <w:r>
        <w:t xml:space="preserve">Item 9 repeals existing regulation 4.32L </w:t>
      </w:r>
      <w:r w:rsidR="00424A89">
        <w:t xml:space="preserve">and replaces it with </w:t>
      </w:r>
      <w:r w:rsidR="000416BB">
        <w:t>an amended</w:t>
      </w:r>
      <w:r w:rsidR="00424A89">
        <w:t xml:space="preserve"> reg</w:t>
      </w:r>
      <w:r w:rsidR="000416BB">
        <w:t>ulation</w:t>
      </w:r>
      <w:r w:rsidR="00424A89">
        <w:t xml:space="preserve"> 4.32L, </w:t>
      </w:r>
      <w:r w:rsidR="000416BB">
        <w:t xml:space="preserve">and new regulations </w:t>
      </w:r>
      <w:r w:rsidR="00424A89">
        <w:t xml:space="preserve">4.32LA, 4.32LB and 4.32LC. </w:t>
      </w:r>
    </w:p>
    <w:p w:rsidR="00B913B3" w:rsidRDefault="002841F0" w:rsidP="00B913B3">
      <w:r>
        <w:t>The e</w:t>
      </w:r>
      <w:r w:rsidR="00424A89">
        <w:t xml:space="preserve">xisting regulation 4.32L sets out what a person who has a provisional emissions number for the reporting year under section 35 or 36 of the </w:t>
      </w:r>
      <w:r w:rsidR="00424A89">
        <w:rPr>
          <w:i/>
        </w:rPr>
        <w:t xml:space="preserve">Clean Energy Act 2011 </w:t>
      </w:r>
      <w:r w:rsidR="00424A89">
        <w:t xml:space="preserve">must report in </w:t>
      </w:r>
      <w:r w:rsidR="00742BA5">
        <w:t>a report</w:t>
      </w:r>
      <w:r w:rsidR="00424A89">
        <w:t xml:space="preserve"> under section 22A of the </w:t>
      </w:r>
      <w:r w:rsidR="00424A89" w:rsidRPr="00887821">
        <w:rPr>
          <w:i/>
        </w:rPr>
        <w:t>N</w:t>
      </w:r>
      <w:r w:rsidR="00887821" w:rsidRPr="00887821">
        <w:rPr>
          <w:i/>
        </w:rPr>
        <w:t>ational Greenhouse and Energy Reporting</w:t>
      </w:r>
      <w:r w:rsidR="00424A89" w:rsidRPr="00887821">
        <w:rPr>
          <w:i/>
        </w:rPr>
        <w:t xml:space="preserve"> Act</w:t>
      </w:r>
      <w:r w:rsidR="00887821" w:rsidRPr="00887821">
        <w:rPr>
          <w:i/>
        </w:rPr>
        <w:t xml:space="preserve"> 2007</w:t>
      </w:r>
      <w:r w:rsidR="00424A89">
        <w:t>. Section</w:t>
      </w:r>
      <w:r w:rsidR="00887821">
        <w:t>s</w:t>
      </w:r>
      <w:r w:rsidR="00424A89">
        <w:t xml:space="preserve"> 35 and 36 of the </w:t>
      </w:r>
      <w:r w:rsidR="00424A89">
        <w:rPr>
          <w:i/>
        </w:rPr>
        <w:t xml:space="preserve">Clean Energy Act 2011 </w:t>
      </w:r>
      <w:r w:rsidR="0048701B">
        <w:t>create</w:t>
      </w:r>
      <w:r w:rsidR="00EB4703">
        <w:t xml:space="preserve"> </w:t>
      </w:r>
      <w:r w:rsidR="004D7B05">
        <w:t xml:space="preserve">liability for </w:t>
      </w:r>
      <w:r w:rsidR="0048701B">
        <w:t xml:space="preserve">the </w:t>
      </w:r>
      <w:r w:rsidR="00AA1782">
        <w:t xml:space="preserve">supply of natural gas to a person who quotes the person’s </w:t>
      </w:r>
      <w:proofErr w:type="spellStart"/>
      <w:r w:rsidR="00AA1782">
        <w:t>OTN</w:t>
      </w:r>
      <w:proofErr w:type="spellEnd"/>
      <w:r w:rsidR="00AA1782">
        <w:t xml:space="preserve"> and </w:t>
      </w:r>
      <w:r w:rsidR="00EB4703">
        <w:t>for</w:t>
      </w:r>
      <w:r w:rsidR="00AA1782">
        <w:t xml:space="preserve"> supply of natural gas to a person who misuses the person</w:t>
      </w:r>
      <w:r w:rsidR="00162620">
        <w:t>’</w:t>
      </w:r>
      <w:r w:rsidR="00AA1782">
        <w:t xml:space="preserve">s </w:t>
      </w:r>
      <w:proofErr w:type="spellStart"/>
      <w:r w:rsidR="00AA1782">
        <w:t>OTN</w:t>
      </w:r>
      <w:proofErr w:type="spellEnd"/>
      <w:r w:rsidR="00875715">
        <w:t>,</w:t>
      </w:r>
      <w:r w:rsidR="00AA1782">
        <w:t xml:space="preserve"> respectively. </w:t>
      </w:r>
    </w:p>
    <w:p w:rsidR="00B913B3" w:rsidRDefault="00162620" w:rsidP="00B913B3">
      <w:r>
        <w:t xml:space="preserve">The existing regulation 4.32L has been </w:t>
      </w:r>
      <w:r w:rsidR="00747B30">
        <w:t>amended</w:t>
      </w:r>
      <w:r>
        <w:t xml:space="preserve"> to </w:t>
      </w:r>
      <w:r w:rsidR="00ED0958">
        <w:t xml:space="preserve">include, in addition to the </w:t>
      </w:r>
      <w:r w:rsidR="00763CE9">
        <w:t xml:space="preserve">above </w:t>
      </w:r>
      <w:r w:rsidR="00573A42">
        <w:t>requirements</w:t>
      </w:r>
      <w:r w:rsidR="00ED0958">
        <w:t xml:space="preserve">, </w:t>
      </w:r>
      <w:r>
        <w:t xml:space="preserve">what a person who has a provisional emissions number for the reporting year under section 36D or 36E of the </w:t>
      </w:r>
      <w:r>
        <w:rPr>
          <w:i/>
        </w:rPr>
        <w:t xml:space="preserve">Clean Energy Act 2011 </w:t>
      </w:r>
      <w:r>
        <w:t>must report</w:t>
      </w:r>
      <w:r w:rsidR="00742BA5">
        <w:t xml:space="preserve"> in a report under section 22A of the </w:t>
      </w:r>
      <w:r w:rsidR="00742BA5" w:rsidRPr="00887821">
        <w:rPr>
          <w:i/>
        </w:rPr>
        <w:t>National Greenhouse and Energy Reporting Act 2007</w:t>
      </w:r>
      <w:r>
        <w:t xml:space="preserve">. </w:t>
      </w:r>
      <w:r w:rsidR="00676203">
        <w:t xml:space="preserve">Sections 36D and 36E of the </w:t>
      </w:r>
      <w:r w:rsidR="0002466A">
        <w:rPr>
          <w:i/>
        </w:rPr>
        <w:t xml:space="preserve">Clean Energy Act 2011 </w:t>
      </w:r>
      <w:r w:rsidR="0048701B">
        <w:t>create</w:t>
      </w:r>
      <w:r w:rsidR="0002466A">
        <w:t xml:space="preserve"> </w:t>
      </w:r>
      <w:r w:rsidR="00EB4703">
        <w:t>liability for</w:t>
      </w:r>
      <w:r w:rsidR="0002466A">
        <w:t xml:space="preserve"> </w:t>
      </w:r>
      <w:r w:rsidR="0048701B">
        <w:t xml:space="preserve">the </w:t>
      </w:r>
      <w:r w:rsidR="0002466A">
        <w:t xml:space="preserve">supply of LPG or LNG to a person who quotes the person’s </w:t>
      </w:r>
      <w:proofErr w:type="spellStart"/>
      <w:r w:rsidR="0002466A">
        <w:t>OTN</w:t>
      </w:r>
      <w:proofErr w:type="spellEnd"/>
      <w:r w:rsidR="0002466A">
        <w:t xml:space="preserve"> and </w:t>
      </w:r>
      <w:r w:rsidR="00FD17E4">
        <w:t xml:space="preserve">for </w:t>
      </w:r>
      <w:r w:rsidR="0002466A">
        <w:t xml:space="preserve">the supply of LPG or LNG to a person who misuses the person’s </w:t>
      </w:r>
      <w:proofErr w:type="spellStart"/>
      <w:r w:rsidR="0002466A">
        <w:t>OTN</w:t>
      </w:r>
      <w:proofErr w:type="spellEnd"/>
      <w:r w:rsidR="00875715">
        <w:t>,</w:t>
      </w:r>
      <w:r w:rsidR="0002466A">
        <w:t xml:space="preserve"> respectively. </w:t>
      </w:r>
    </w:p>
    <w:p w:rsidR="00B913B3" w:rsidRDefault="00E44660" w:rsidP="00B913B3">
      <w:r w:rsidRPr="00F70A5D">
        <w:rPr>
          <w:u w:val="single"/>
        </w:rPr>
        <w:t xml:space="preserve">Regulation </w:t>
      </w:r>
      <w:r w:rsidR="00EB0C6A">
        <w:rPr>
          <w:u w:val="single"/>
        </w:rPr>
        <w:t>4.32LA</w:t>
      </w:r>
    </w:p>
    <w:p w:rsidR="00B913B3" w:rsidRDefault="001C2CAF" w:rsidP="00B913B3">
      <w:r w:rsidRPr="001C2CAF">
        <w:t>New regula</w:t>
      </w:r>
      <w:r>
        <w:t xml:space="preserve">tion 4.32LA </w:t>
      </w:r>
      <w:r w:rsidR="002841F0">
        <w:t xml:space="preserve">sets out </w:t>
      </w:r>
      <w:r w:rsidR="00D2743B">
        <w:t xml:space="preserve">what a person who has a provisional emissions number for the reporting year under section 35B of the </w:t>
      </w:r>
      <w:r w:rsidR="00D2743B">
        <w:rPr>
          <w:i/>
        </w:rPr>
        <w:t>Clean Energy Act 2011</w:t>
      </w:r>
      <w:r w:rsidR="00837B7E">
        <w:t xml:space="preserve"> must report in a report under section 22A of the </w:t>
      </w:r>
      <w:r w:rsidR="00837B7E" w:rsidRPr="00887821">
        <w:rPr>
          <w:i/>
        </w:rPr>
        <w:t>National Greenhouse and Energy Reporting Act 2007</w:t>
      </w:r>
      <w:r w:rsidR="00837B7E">
        <w:t xml:space="preserve">. </w:t>
      </w:r>
      <w:r w:rsidR="003831AE">
        <w:t xml:space="preserve">Section 35B of the </w:t>
      </w:r>
      <w:r w:rsidR="003831AE">
        <w:rPr>
          <w:i/>
        </w:rPr>
        <w:t>Clean Energy Act 2011</w:t>
      </w:r>
      <w:r w:rsidR="003831AE">
        <w:t xml:space="preserve"> </w:t>
      </w:r>
      <w:r w:rsidR="003A2B67">
        <w:t>creates liability f</w:t>
      </w:r>
      <w:r w:rsidR="007F5991">
        <w:t xml:space="preserve">or a person for the potential emissions embodied in the gas they use, if no other person is liable for that gas under sections </w:t>
      </w:r>
      <w:r w:rsidR="007F58E8">
        <w:t xml:space="preserve">20-25, </w:t>
      </w:r>
      <w:r w:rsidR="007F5991">
        <w:t>33, 35</w:t>
      </w:r>
      <w:r w:rsidR="007F58E8">
        <w:t xml:space="preserve"> or</w:t>
      </w:r>
      <w:r w:rsidR="007F5991">
        <w:t xml:space="preserve"> 35A of the </w:t>
      </w:r>
      <w:r w:rsidR="00706838">
        <w:rPr>
          <w:i/>
        </w:rPr>
        <w:t>Clean Energy Act 2011</w:t>
      </w:r>
      <w:r w:rsidR="000406B4">
        <w:t xml:space="preserve"> </w:t>
      </w:r>
      <w:r w:rsidR="00ED2E41">
        <w:t xml:space="preserve">and certain conditions are met. </w:t>
      </w:r>
    </w:p>
    <w:p w:rsidR="00B913B3" w:rsidRDefault="0062031A" w:rsidP="00D22C45">
      <w:pPr>
        <w:keepNext/>
        <w:keepLines/>
        <w:widowControl/>
      </w:pPr>
      <w:r>
        <w:lastRenderedPageBreak/>
        <w:t xml:space="preserve">The reporting requirements relate to the report contents and any netted-out numbers that may apply. </w:t>
      </w:r>
    </w:p>
    <w:p w:rsidR="00B913B3" w:rsidRDefault="00E44660" w:rsidP="00B913B3">
      <w:r w:rsidRPr="00F70A5D">
        <w:rPr>
          <w:u w:val="single"/>
        </w:rPr>
        <w:t>Regulation 4.32LB</w:t>
      </w:r>
    </w:p>
    <w:p w:rsidR="003B3200" w:rsidRDefault="005A7E8F" w:rsidP="003B3200">
      <w:r w:rsidRPr="001C2CAF">
        <w:t>New regula</w:t>
      </w:r>
      <w:r>
        <w:t xml:space="preserve">tion 4.32LB sets out what a person who has a provisional emissions number for the reporting year under section 36B or 36C of the </w:t>
      </w:r>
      <w:r>
        <w:rPr>
          <w:i/>
        </w:rPr>
        <w:t>Clean Energy Act 2011</w:t>
      </w:r>
      <w:r>
        <w:t xml:space="preserve"> must report in a report under section 22A of the </w:t>
      </w:r>
      <w:r w:rsidRPr="00887821">
        <w:rPr>
          <w:i/>
        </w:rPr>
        <w:t>National Greenhouse and Energy Reporting Act 2007</w:t>
      </w:r>
      <w:r>
        <w:t xml:space="preserve">. Section 35B and 36C </w:t>
      </w:r>
      <w:r w:rsidR="00835992">
        <w:t xml:space="preserve">of the </w:t>
      </w:r>
      <w:r w:rsidR="00835992">
        <w:rPr>
          <w:i/>
        </w:rPr>
        <w:t>Clean Energy Act 2011</w:t>
      </w:r>
      <w:r w:rsidR="00835992">
        <w:t xml:space="preserve"> </w:t>
      </w:r>
      <w:r>
        <w:t xml:space="preserve">create liability for the importation of LPG or LNG for non-transport use and the production of LPG or LNG </w:t>
      </w:r>
      <w:r w:rsidR="00835992">
        <w:t xml:space="preserve">for non-transport use respectively. </w:t>
      </w:r>
    </w:p>
    <w:p w:rsidR="003B3200" w:rsidRDefault="007261E4" w:rsidP="003B3200">
      <w:r>
        <w:t xml:space="preserve">The reporting requirements relate to the report contents and any netted-out numbers that may apply. </w:t>
      </w:r>
    </w:p>
    <w:p w:rsidR="003B3200" w:rsidRDefault="00F70A5D" w:rsidP="003B3200">
      <w:r w:rsidRPr="00F70A5D">
        <w:rPr>
          <w:u w:val="single"/>
        </w:rPr>
        <w:t xml:space="preserve">Regulation 4.32LC </w:t>
      </w:r>
    </w:p>
    <w:p w:rsidR="003B3200" w:rsidRDefault="008861EA" w:rsidP="003B3200">
      <w:r w:rsidRPr="001C2CAF">
        <w:t>New regula</w:t>
      </w:r>
      <w:r>
        <w:t>tion 4.32LC sets out what a</w:t>
      </w:r>
      <w:r w:rsidR="00EA524E">
        <w:t xml:space="preserve"> </w:t>
      </w:r>
      <w:r w:rsidR="00FA3FEB">
        <w:t>Designated O</w:t>
      </w:r>
      <w:r w:rsidR="00EA524E">
        <w:t>pt-in</w:t>
      </w:r>
      <w:r>
        <w:t xml:space="preserve"> </w:t>
      </w:r>
      <w:r w:rsidR="00FA3FEB">
        <w:t>P</w:t>
      </w:r>
      <w:r>
        <w:t xml:space="preserve">erson </w:t>
      </w:r>
      <w:r w:rsidR="00FA3FEB">
        <w:t>(</w:t>
      </w:r>
      <w:proofErr w:type="spellStart"/>
      <w:r w:rsidR="00FA3FEB">
        <w:t>DOIP</w:t>
      </w:r>
      <w:proofErr w:type="spellEnd"/>
      <w:r w:rsidR="00FA3FEB">
        <w:t xml:space="preserve">) </w:t>
      </w:r>
      <w:r>
        <w:t xml:space="preserve">who has a provisional emissions number for the reporting year under </w:t>
      </w:r>
      <w:r w:rsidR="00EA524E">
        <w:t xml:space="preserve">the Opt-in Scheme </w:t>
      </w:r>
      <w:r w:rsidR="00FA3FEB">
        <w:t>under Part 3,</w:t>
      </w:r>
      <w:r w:rsidR="00EA524E">
        <w:t xml:space="preserve"> Division 7 of</w:t>
      </w:r>
      <w:r>
        <w:t xml:space="preserve"> the </w:t>
      </w:r>
      <w:r>
        <w:rPr>
          <w:i/>
        </w:rPr>
        <w:t>Clean Energy Act 2011</w:t>
      </w:r>
      <w:r>
        <w:t xml:space="preserve"> must report in a report under section 22A of the </w:t>
      </w:r>
      <w:r w:rsidRPr="00887821">
        <w:rPr>
          <w:i/>
        </w:rPr>
        <w:t>National Greenhouse and Energy Reporting Act 2007</w:t>
      </w:r>
      <w:r>
        <w:t xml:space="preserve">. </w:t>
      </w:r>
      <w:r w:rsidR="00FA3FEB">
        <w:t xml:space="preserve">The Opt-in Scheme allows certain large users of a specified taxable fuel to manage their carbon price liability through the carbon price mechanism, rather than through the fuel tax system. A single person, the </w:t>
      </w:r>
      <w:proofErr w:type="spellStart"/>
      <w:r w:rsidR="00E30A16">
        <w:t>DOIP</w:t>
      </w:r>
      <w:proofErr w:type="spellEnd"/>
      <w:r w:rsidR="00FA3FEB">
        <w:t xml:space="preserve">, can manage the specified taxable fuel liabilities of a GST group, a GST joint venture as well as themselves. </w:t>
      </w:r>
    </w:p>
    <w:p w:rsidR="003B3200" w:rsidRDefault="00DA777F" w:rsidP="003B3200">
      <w:r>
        <w:t>New regulation 4.</w:t>
      </w:r>
      <w:r w:rsidR="00875715">
        <w:t xml:space="preserve">32LC </w:t>
      </w:r>
      <w:r>
        <w:t xml:space="preserve">requires a </w:t>
      </w:r>
      <w:proofErr w:type="spellStart"/>
      <w:r>
        <w:t>DOIP</w:t>
      </w:r>
      <w:proofErr w:type="spellEnd"/>
      <w:r>
        <w:t xml:space="preserve"> to provide a separate report for each GST group and GST joint venture for which they were the representative member or the operator respectively. They are also required to provide a separate report for themselves acting in their own capacity, </w:t>
      </w:r>
      <w:r w:rsidR="00D71F7A">
        <w:t>separately</w:t>
      </w:r>
      <w:r>
        <w:t xml:space="preserve"> from any GST group or GST joint venture for which they are the representative member or operator. </w:t>
      </w:r>
      <w:r w:rsidR="0058153F">
        <w:t xml:space="preserve">Certain information is required to be reported for the </w:t>
      </w:r>
      <w:proofErr w:type="spellStart"/>
      <w:r w:rsidR="0058153F">
        <w:t>DOIP</w:t>
      </w:r>
      <w:proofErr w:type="spellEnd"/>
      <w:r w:rsidR="0058153F">
        <w:t xml:space="preserve"> and for each GST group member or GST joint venture participant (</w:t>
      </w:r>
      <w:r w:rsidR="00FA3EE6">
        <w:t>referred</w:t>
      </w:r>
      <w:r w:rsidR="0058153F">
        <w:t xml:space="preserve"> to jointly as a </w:t>
      </w:r>
      <w:r w:rsidR="0058153F">
        <w:rPr>
          <w:b/>
          <w:i/>
        </w:rPr>
        <w:t>partner</w:t>
      </w:r>
      <w:r w:rsidR="00FA3EE6">
        <w:t xml:space="preserve"> of the </w:t>
      </w:r>
      <w:proofErr w:type="spellStart"/>
      <w:r w:rsidR="00FA3EE6">
        <w:t>DOIP</w:t>
      </w:r>
      <w:proofErr w:type="spellEnd"/>
      <w:r w:rsidR="00FA3EE6">
        <w:t>).</w:t>
      </w:r>
    </w:p>
    <w:p w:rsidR="003B3200" w:rsidRDefault="00FA3EE6" w:rsidP="003B3200">
      <w:r>
        <w:t xml:space="preserve">The reporting requirements relate to the report contents and any netted-out numbers that may apply. </w:t>
      </w:r>
    </w:p>
    <w:p w:rsidR="003B3200" w:rsidRDefault="00FA3EE6" w:rsidP="003B3200">
      <w:r>
        <w:rPr>
          <w:b/>
        </w:rPr>
        <w:t xml:space="preserve">Item 10 </w:t>
      </w:r>
    </w:p>
    <w:p w:rsidR="003B3200" w:rsidRDefault="00F90362" w:rsidP="003B3200">
      <w:r>
        <w:t>Item 10 amends</w:t>
      </w:r>
      <w:r w:rsidR="00B71809">
        <w:t xml:space="preserve"> </w:t>
      </w:r>
      <w:r w:rsidR="00DD3A36">
        <w:t>regulation 4.32N to include extra reporting requirements</w:t>
      </w:r>
      <w:r w:rsidR="003B3200">
        <w:t xml:space="preserve"> </w:t>
      </w:r>
      <w:r w:rsidR="00B71809">
        <w:t xml:space="preserve">for new liable entities </w:t>
      </w:r>
      <w:r w:rsidR="006028A3">
        <w:t>for reports under</w:t>
      </w:r>
      <w:r w:rsidR="003B3200">
        <w:t xml:space="preserve"> section 22AA of the </w:t>
      </w:r>
      <w:r w:rsidR="003B3200" w:rsidRPr="00887821">
        <w:rPr>
          <w:i/>
        </w:rPr>
        <w:t>National Greenhouse and Energy Reporting Act 2007</w:t>
      </w:r>
      <w:r w:rsidR="00DD3A36">
        <w:t xml:space="preserve">. </w:t>
      </w:r>
    </w:p>
    <w:p w:rsidR="00DD3A36" w:rsidRDefault="00DD3A36" w:rsidP="005250BB">
      <w:r>
        <w:t xml:space="preserve">New </w:t>
      </w:r>
      <w:proofErr w:type="spellStart"/>
      <w:r>
        <w:t>subregulation</w:t>
      </w:r>
      <w:proofErr w:type="spellEnd"/>
      <w:r>
        <w:t xml:space="preserve"> </w:t>
      </w:r>
      <w:r w:rsidRPr="00DD3A36">
        <w:t>4.32N(6)(b) repeals</w:t>
      </w:r>
      <w:r>
        <w:t xml:space="preserve"> existing </w:t>
      </w:r>
      <w:proofErr w:type="spellStart"/>
      <w:r>
        <w:t>subregulation</w:t>
      </w:r>
      <w:proofErr w:type="spellEnd"/>
      <w:r>
        <w:t xml:space="preserve"> 4.32</w:t>
      </w:r>
      <w:r w:rsidR="004B62A2">
        <w:t>N</w:t>
      </w:r>
      <w:r>
        <w:t>(6)(b) to clarify that only the amount of natural gas attributable to the interim emissions number mentioned in 4.32</w:t>
      </w:r>
      <w:r w:rsidR="004B62A2">
        <w:t>N</w:t>
      </w:r>
      <w:r>
        <w:t xml:space="preserve">(6)(a) must be reported. Amounts of natural gas that were supplied to persons who quoted their </w:t>
      </w:r>
      <w:proofErr w:type="spellStart"/>
      <w:r>
        <w:t>OTN</w:t>
      </w:r>
      <w:proofErr w:type="spellEnd"/>
      <w:r>
        <w:t xml:space="preserve"> for that amount of natural gas</w:t>
      </w:r>
      <w:r w:rsidR="00234E14">
        <w:t>, for example,</w:t>
      </w:r>
      <w:r>
        <w:t xml:space="preserve"> do not need to be reported under this regulation. </w:t>
      </w:r>
    </w:p>
    <w:p w:rsidR="0075701F" w:rsidRPr="007B275F" w:rsidRDefault="00D31B04" w:rsidP="00FA3EE6">
      <w:pPr>
        <w:keepNext/>
        <w:keepLines/>
        <w:spacing w:before="100" w:beforeAutospacing="1" w:after="100" w:afterAutospacing="1"/>
        <w:ind w:right="91"/>
      </w:pPr>
      <w:r>
        <w:lastRenderedPageBreak/>
        <w:t xml:space="preserve">New </w:t>
      </w:r>
      <w:proofErr w:type="spellStart"/>
      <w:r>
        <w:t>subregulation</w:t>
      </w:r>
      <w:r w:rsidR="002034A7">
        <w:t>s</w:t>
      </w:r>
      <w:proofErr w:type="spellEnd"/>
      <w:r>
        <w:t xml:space="preserve"> 4.32</w:t>
      </w:r>
      <w:r w:rsidR="004B64F5">
        <w:t>N</w:t>
      </w:r>
      <w:r>
        <w:t>(</w:t>
      </w:r>
      <w:r w:rsidR="007C621B">
        <w:t>7</w:t>
      </w:r>
      <w:r>
        <w:t>)</w:t>
      </w:r>
      <w:r w:rsidR="002034A7">
        <w:t xml:space="preserve">-(8) create new reporting requirements for </w:t>
      </w:r>
      <w:r w:rsidR="00F90362">
        <w:t>persons who</w:t>
      </w:r>
      <w:r w:rsidR="002034A7">
        <w:t xml:space="preserve"> are</w:t>
      </w:r>
      <w:r w:rsidR="00F90362">
        <w:t xml:space="preserve"> liable for an amount of natural gas applied to their own use under section 35B of the </w:t>
      </w:r>
      <w:r w:rsidR="00F90362">
        <w:rPr>
          <w:i/>
        </w:rPr>
        <w:t>Clean Energy Act 2011</w:t>
      </w:r>
      <w:r w:rsidR="009369CA">
        <w:rPr>
          <w:i/>
        </w:rPr>
        <w:t xml:space="preserve">; </w:t>
      </w:r>
      <w:r w:rsidR="002034A7" w:rsidRPr="002034A7">
        <w:t>persons who are liable</w:t>
      </w:r>
      <w:r w:rsidR="002034A7">
        <w:rPr>
          <w:i/>
        </w:rPr>
        <w:t xml:space="preserve"> </w:t>
      </w:r>
      <w:r w:rsidR="002034A7">
        <w:t xml:space="preserve">for potential emissions embodied in an amount of LNG or </w:t>
      </w:r>
      <w:r w:rsidR="007057C6">
        <w:t>LPG</w:t>
      </w:r>
      <w:r w:rsidR="009369CA">
        <w:t>;</w:t>
      </w:r>
      <w:r w:rsidR="002034A7">
        <w:t xml:space="preserve"> and persons who have a provisional emissions number</w:t>
      </w:r>
      <w:r w:rsidR="007B275F">
        <w:t xml:space="preserve"> under the Opt-in Scheme in section 92A of the </w:t>
      </w:r>
      <w:r w:rsidR="007B275F">
        <w:rPr>
          <w:i/>
        </w:rPr>
        <w:t xml:space="preserve">Clean Energy Act 2011. </w:t>
      </w:r>
    </w:p>
    <w:p w:rsidR="00F61B7B" w:rsidRDefault="00171799" w:rsidP="00F61B7B">
      <w:r w:rsidRPr="00171799">
        <w:t>New r</w:t>
      </w:r>
      <w:r w:rsidR="00F61B7B" w:rsidRPr="00171799">
        <w:t>egulation 4.32N</w:t>
      </w:r>
      <w:r w:rsidR="00EC4018">
        <w:t xml:space="preserve">(9) states that the relevant financial year for all reporting under this regulation ends on 31 March. </w:t>
      </w:r>
    </w:p>
    <w:p w:rsidR="006C3B18" w:rsidRDefault="00B235DF" w:rsidP="00F61B7B">
      <w:pPr>
        <w:rPr>
          <w:b/>
        </w:rPr>
      </w:pPr>
      <w:r>
        <w:rPr>
          <w:b/>
        </w:rPr>
        <w:t>Items 11-12</w:t>
      </w:r>
    </w:p>
    <w:p w:rsidR="006C3B18" w:rsidRPr="00B235DF" w:rsidRDefault="00B235DF" w:rsidP="00B235DF">
      <w:pPr>
        <w:keepNext/>
        <w:keepLines/>
        <w:spacing w:before="100" w:beforeAutospacing="1" w:after="100" w:afterAutospacing="1"/>
        <w:ind w:right="91"/>
      </w:pPr>
      <w:r w:rsidRPr="00B235DF">
        <w:t>Item</w:t>
      </w:r>
      <w:r w:rsidR="0084777D">
        <w:t>s</w:t>
      </w:r>
      <w:r w:rsidRPr="00B235DF">
        <w:t xml:space="preserve"> 11</w:t>
      </w:r>
      <w:r w:rsidR="0084777D">
        <w:t xml:space="preserve"> and 12</w:t>
      </w:r>
      <w:r w:rsidRPr="00B235DF">
        <w:t xml:space="preserve"> amend </w:t>
      </w:r>
      <w:r w:rsidR="00A46719">
        <w:t xml:space="preserve">certain </w:t>
      </w:r>
      <w:r>
        <w:t>regulations</w:t>
      </w:r>
      <w:r w:rsidRPr="00B235DF">
        <w:t xml:space="preserve"> to omit the words “(in gigajoules)</w:t>
      </w:r>
      <w:r>
        <w:t>” and “(in gigajoules)</w:t>
      </w:r>
      <w:r w:rsidRPr="00B235DF">
        <w:t>, measured in accordance with the Measurement Determination”, which now appear in regulation 4.32F(3)</w:t>
      </w:r>
      <w:r w:rsidR="005950DB">
        <w:t xml:space="preserve"> and apply throughout the subdivision</w:t>
      </w:r>
      <w:r w:rsidRPr="00B235DF">
        <w:t xml:space="preserve">. </w:t>
      </w:r>
    </w:p>
    <w:p w:rsidR="00F61B7B" w:rsidRDefault="00F61B7B" w:rsidP="00F61B7B">
      <w:r>
        <w:rPr>
          <w:u w:val="single"/>
        </w:rPr>
        <w:t xml:space="preserve"> </w:t>
      </w:r>
    </w:p>
    <w:p w:rsidR="00FA3EE6" w:rsidRPr="0058153F" w:rsidRDefault="00FA3EE6" w:rsidP="008861EA">
      <w:pPr>
        <w:keepNext/>
        <w:keepLines/>
        <w:spacing w:before="100" w:beforeAutospacing="1" w:after="100" w:afterAutospacing="1"/>
        <w:ind w:right="91"/>
      </w:pPr>
    </w:p>
    <w:p w:rsidR="00AE184C" w:rsidRDefault="00AE184C" w:rsidP="00065624">
      <w:pPr>
        <w:keepNext/>
        <w:keepLines/>
        <w:spacing w:before="100" w:beforeAutospacing="1" w:after="100" w:afterAutospacing="1"/>
        <w:ind w:right="91"/>
      </w:pPr>
      <w:r>
        <w:br w:type="page"/>
      </w:r>
    </w:p>
    <w:p w:rsidR="00AE184C" w:rsidRDefault="00AE184C" w:rsidP="00AE184C">
      <w:pPr>
        <w:widowControl/>
        <w:autoSpaceDE/>
        <w:autoSpaceDN/>
        <w:adjustRightInd/>
        <w:spacing w:before="0" w:after="200" w:line="276" w:lineRule="auto"/>
        <w:jc w:val="right"/>
        <w:rPr>
          <w:b/>
          <w:u w:val="single"/>
        </w:rPr>
      </w:pPr>
      <w:r w:rsidRPr="000147FA">
        <w:rPr>
          <w:b/>
          <w:u w:val="single"/>
        </w:rPr>
        <w:lastRenderedPageBreak/>
        <w:t xml:space="preserve">Attachment </w:t>
      </w:r>
      <w:r>
        <w:rPr>
          <w:b/>
          <w:u w:val="single"/>
        </w:rPr>
        <w:t>B</w:t>
      </w:r>
    </w:p>
    <w:p w:rsidR="00AE184C" w:rsidRPr="008E1079" w:rsidRDefault="00AE184C" w:rsidP="00AE184C">
      <w:pPr>
        <w:spacing w:before="360" w:after="120"/>
        <w:jc w:val="center"/>
        <w:rPr>
          <w:b/>
          <w:sz w:val="28"/>
          <w:szCs w:val="28"/>
        </w:rPr>
      </w:pPr>
      <w:r w:rsidRPr="008E1079">
        <w:rPr>
          <w:b/>
          <w:sz w:val="28"/>
          <w:szCs w:val="28"/>
        </w:rPr>
        <w:t>Statement of Compatibility with Human Rights</w:t>
      </w:r>
    </w:p>
    <w:p w:rsidR="00AE184C" w:rsidRPr="008E1079" w:rsidRDefault="00AE184C" w:rsidP="00AE184C">
      <w:pPr>
        <w:spacing w:before="120"/>
        <w:jc w:val="center"/>
      </w:pPr>
      <w:r w:rsidRPr="008E1079">
        <w:rPr>
          <w:i/>
        </w:rPr>
        <w:t>Prepared in accordance with Part 3 of the Human Rights (Parliamentary Scrutiny) Act 2011</w:t>
      </w:r>
    </w:p>
    <w:p w:rsidR="00AE184C" w:rsidRPr="00264A02" w:rsidRDefault="00E10AF1" w:rsidP="00264A02">
      <w:pPr>
        <w:spacing w:before="120" w:after="120"/>
        <w:jc w:val="center"/>
        <w:rPr>
          <w:b/>
        </w:rPr>
      </w:pPr>
      <w:r w:rsidRPr="00E10AF1">
        <w:rPr>
          <w:b/>
        </w:rPr>
        <w:t>National Greenhouse and Ene</w:t>
      </w:r>
      <w:r w:rsidR="00BA3264">
        <w:rPr>
          <w:b/>
        </w:rPr>
        <w:t xml:space="preserve">rgy Reporting Amendment (LNG, </w:t>
      </w:r>
      <w:r w:rsidRPr="00E10AF1">
        <w:rPr>
          <w:b/>
        </w:rPr>
        <w:t>LPG, Opt-in Scheme and Other Measures) Regulation 2013</w:t>
      </w:r>
      <w:r w:rsidR="00AE184C" w:rsidRPr="008E1079">
        <w:rPr>
          <w:b/>
        </w:rPr>
        <w:t xml:space="preserve"> </w:t>
      </w:r>
    </w:p>
    <w:p w:rsidR="00AE184C" w:rsidRPr="00222093" w:rsidRDefault="00AE184C" w:rsidP="004470C2">
      <w:pPr>
        <w:spacing w:before="120" w:after="120"/>
        <w:jc w:val="center"/>
      </w:pPr>
      <w:r w:rsidRPr="008E1079">
        <w:t xml:space="preserve">This Regulation is compatible with the human rights and freedoms recognised or declared in the international instruments listed in section 3 of the </w:t>
      </w:r>
      <w:r w:rsidRPr="008E1079">
        <w:rPr>
          <w:i/>
        </w:rPr>
        <w:t>Human</w:t>
      </w:r>
      <w:r w:rsidR="004470C2">
        <w:rPr>
          <w:i/>
        </w:rPr>
        <w:t> </w:t>
      </w:r>
      <w:r w:rsidRPr="008E1079">
        <w:rPr>
          <w:i/>
        </w:rPr>
        <w:t>Rights</w:t>
      </w:r>
      <w:r w:rsidR="004470C2">
        <w:rPr>
          <w:i/>
        </w:rPr>
        <w:t> </w:t>
      </w:r>
      <w:r w:rsidRPr="008E1079">
        <w:rPr>
          <w:i/>
        </w:rPr>
        <w:t>(Parliamentary</w:t>
      </w:r>
      <w:r w:rsidR="004470C2">
        <w:rPr>
          <w:i/>
        </w:rPr>
        <w:t> </w:t>
      </w:r>
      <w:r w:rsidRPr="008E1079">
        <w:rPr>
          <w:i/>
        </w:rPr>
        <w:t>Scrutiny)</w:t>
      </w:r>
      <w:r w:rsidR="004470C2">
        <w:rPr>
          <w:i/>
        </w:rPr>
        <w:t> </w:t>
      </w:r>
      <w:r w:rsidRPr="008E1079">
        <w:rPr>
          <w:i/>
        </w:rPr>
        <w:t>Act</w:t>
      </w:r>
      <w:r w:rsidR="004470C2">
        <w:rPr>
          <w:i/>
        </w:rPr>
        <w:t xml:space="preserve"> </w:t>
      </w:r>
      <w:r w:rsidRPr="008E1079">
        <w:rPr>
          <w:i/>
        </w:rPr>
        <w:t>2011</w:t>
      </w:r>
      <w:r w:rsidRPr="008E1079">
        <w:t>.</w:t>
      </w:r>
    </w:p>
    <w:p w:rsidR="00AE184C" w:rsidRPr="00222093" w:rsidRDefault="00AE184C" w:rsidP="00AE184C">
      <w:pPr>
        <w:spacing w:before="120" w:after="120"/>
        <w:jc w:val="both"/>
        <w:rPr>
          <w:b/>
        </w:rPr>
      </w:pPr>
      <w:r w:rsidRPr="00222093">
        <w:rPr>
          <w:b/>
        </w:rPr>
        <w:t xml:space="preserve">Overview of the </w:t>
      </w:r>
      <w:r w:rsidR="00264A02" w:rsidRPr="00264A02">
        <w:rPr>
          <w:b/>
        </w:rPr>
        <w:t>National Greenhouse and Ener</w:t>
      </w:r>
      <w:r w:rsidR="00BA3264">
        <w:rPr>
          <w:b/>
        </w:rPr>
        <w:t xml:space="preserve">gy Reporting Amendment (LNG, </w:t>
      </w:r>
      <w:r w:rsidR="00264A02" w:rsidRPr="00264A02">
        <w:rPr>
          <w:b/>
        </w:rPr>
        <w:t>LPG, Opt-in Scheme and Other Measures) Regulation 2013</w:t>
      </w:r>
    </w:p>
    <w:p w:rsidR="00AE184C" w:rsidRDefault="00AE184C" w:rsidP="00AE184C">
      <w:pPr>
        <w:spacing w:before="0"/>
      </w:pPr>
      <w:r>
        <w:t>The Regulation:</w:t>
      </w:r>
    </w:p>
    <w:p w:rsidR="00B82EFC" w:rsidRPr="00B912D8" w:rsidRDefault="00BE7AC1" w:rsidP="00167E03">
      <w:pPr>
        <w:numPr>
          <w:ilvl w:val="0"/>
          <w:numId w:val="27"/>
        </w:numPr>
        <w:spacing w:before="0" w:after="0"/>
        <w:ind w:left="714" w:hanging="357"/>
        <w:rPr>
          <w:lang w:val="en-GB"/>
        </w:rPr>
      </w:pPr>
      <w:r w:rsidRPr="00B912D8">
        <w:t xml:space="preserve">requires persons </w:t>
      </w:r>
      <w:r w:rsidR="009D506A" w:rsidRPr="00B912D8">
        <w:t xml:space="preserve">with </w:t>
      </w:r>
      <w:r w:rsidRPr="00B912D8">
        <w:t xml:space="preserve">liabilities under the </w:t>
      </w:r>
      <w:r w:rsidRPr="00B912D8">
        <w:rPr>
          <w:i/>
        </w:rPr>
        <w:t>Clean Energy Act 2011</w:t>
      </w:r>
      <w:r w:rsidRPr="00B912D8">
        <w:t xml:space="preserve"> </w:t>
      </w:r>
      <w:r w:rsidR="009D506A" w:rsidRPr="00B912D8">
        <w:t xml:space="preserve">and </w:t>
      </w:r>
      <w:r w:rsidR="004567F6">
        <w:t xml:space="preserve">obligations under </w:t>
      </w:r>
      <w:r w:rsidR="009D506A" w:rsidRPr="00B912D8">
        <w:t xml:space="preserve">the </w:t>
      </w:r>
      <w:r w:rsidR="009D506A" w:rsidRPr="00B912D8">
        <w:rPr>
          <w:i/>
        </w:rPr>
        <w:t xml:space="preserve">National Greenhouse and Energy Reporting Act 2007 </w:t>
      </w:r>
      <w:r w:rsidRPr="00B912D8">
        <w:t xml:space="preserve">to report </w:t>
      </w:r>
      <w:r w:rsidR="00AE184C" w:rsidRPr="00B912D8">
        <w:t xml:space="preserve">details </w:t>
      </w:r>
      <w:r w:rsidRPr="00B912D8">
        <w:t xml:space="preserve">necessary to ensure </w:t>
      </w:r>
      <w:r w:rsidR="00AE184C" w:rsidRPr="00B912D8">
        <w:t xml:space="preserve">compliance with, and administration of, the </w:t>
      </w:r>
      <w:r w:rsidR="00AE184C" w:rsidRPr="00B912D8">
        <w:rPr>
          <w:i/>
        </w:rPr>
        <w:t>Clean</w:t>
      </w:r>
      <w:r w:rsidR="004470C2" w:rsidRPr="00B912D8">
        <w:rPr>
          <w:i/>
        </w:rPr>
        <w:t> </w:t>
      </w:r>
      <w:r w:rsidR="00AE184C" w:rsidRPr="00B912D8">
        <w:rPr>
          <w:i/>
        </w:rPr>
        <w:t>Energy Act 2011</w:t>
      </w:r>
      <w:r w:rsidR="00C42F8F" w:rsidRPr="00B912D8">
        <w:t xml:space="preserve"> </w:t>
      </w:r>
      <w:r w:rsidR="00B82EFC" w:rsidRPr="00B912D8">
        <w:t xml:space="preserve">and the carbon pricing mechanism </w:t>
      </w:r>
      <w:r w:rsidR="00AE184C" w:rsidRPr="00B912D8">
        <w:t>in relation to</w:t>
      </w:r>
      <w:r w:rsidR="00B82EFC" w:rsidRPr="00B912D8">
        <w:t xml:space="preserve">: </w:t>
      </w:r>
    </w:p>
    <w:p w:rsidR="000D5EF3" w:rsidRPr="00B912D8" w:rsidRDefault="000D5EF3" w:rsidP="000D5EF3">
      <w:pPr>
        <w:numPr>
          <w:ilvl w:val="1"/>
          <w:numId w:val="27"/>
        </w:numPr>
        <w:spacing w:before="0" w:after="0"/>
        <w:rPr>
          <w:lang w:val="en-GB"/>
        </w:rPr>
      </w:pPr>
      <w:r w:rsidRPr="00B912D8">
        <w:t>importers, manufacturers, producers and Obligation Transfer Number (</w:t>
      </w:r>
      <w:proofErr w:type="spellStart"/>
      <w:r w:rsidRPr="00B912D8">
        <w:t>OTN</w:t>
      </w:r>
      <w:proofErr w:type="spellEnd"/>
      <w:r w:rsidRPr="00B912D8">
        <w:t>) holders of non-transport LNG and LPG;</w:t>
      </w:r>
    </w:p>
    <w:p w:rsidR="000D5EF3" w:rsidRPr="00B912D8" w:rsidRDefault="000D5EF3" w:rsidP="000D5EF3">
      <w:pPr>
        <w:numPr>
          <w:ilvl w:val="1"/>
          <w:numId w:val="27"/>
        </w:numPr>
        <w:spacing w:before="0" w:after="0"/>
        <w:rPr>
          <w:lang w:val="en-GB"/>
        </w:rPr>
      </w:pPr>
      <w:r w:rsidRPr="00B912D8">
        <w:rPr>
          <w:lang w:val="en-GB"/>
        </w:rPr>
        <w:t>participants in the liquid fuel Opt-in Scheme; and</w:t>
      </w:r>
    </w:p>
    <w:p w:rsidR="00B82EFC" w:rsidRPr="00B912D8" w:rsidRDefault="000D5EF3" w:rsidP="000D5EF3">
      <w:pPr>
        <w:numPr>
          <w:ilvl w:val="1"/>
          <w:numId w:val="27"/>
        </w:numPr>
        <w:spacing w:before="0" w:after="0"/>
        <w:rPr>
          <w:lang w:val="en-GB"/>
        </w:rPr>
      </w:pPr>
      <w:r w:rsidRPr="00B912D8">
        <w:rPr>
          <w:lang w:val="en-GB"/>
        </w:rPr>
        <w:t>persons liable for their own use of natural gas</w:t>
      </w:r>
    </w:p>
    <w:p w:rsidR="004567F6" w:rsidRDefault="009848AD" w:rsidP="00167E03">
      <w:pPr>
        <w:numPr>
          <w:ilvl w:val="0"/>
          <w:numId w:val="27"/>
        </w:numPr>
        <w:tabs>
          <w:tab w:val="left" w:pos="709"/>
        </w:tabs>
        <w:spacing w:before="0" w:after="0"/>
        <w:ind w:left="714" w:hanging="357"/>
        <w:rPr>
          <w:lang w:val="en-GB"/>
        </w:rPr>
      </w:pPr>
      <w:r w:rsidRPr="00BE4869">
        <w:rPr>
          <w:lang w:val="en-GB"/>
        </w:rPr>
        <w:t xml:space="preserve">amends the </w:t>
      </w:r>
      <w:r w:rsidRPr="00B912D8">
        <w:rPr>
          <w:i/>
        </w:rPr>
        <w:t xml:space="preserve">National Greenhouse and Energy Reporting </w:t>
      </w:r>
      <w:r w:rsidRPr="00B912D8">
        <w:rPr>
          <w:i/>
          <w:lang w:val="en-GB"/>
        </w:rPr>
        <w:t>Regulations</w:t>
      </w:r>
      <w:r w:rsidRPr="00B912D8">
        <w:rPr>
          <w:lang w:val="en-GB"/>
        </w:rPr>
        <w:t xml:space="preserve"> </w:t>
      </w:r>
      <w:r w:rsidRPr="00B912D8">
        <w:rPr>
          <w:i/>
          <w:lang w:val="en-GB"/>
        </w:rPr>
        <w:t xml:space="preserve">2008 </w:t>
      </w:r>
      <w:r w:rsidRPr="00B912D8">
        <w:rPr>
          <w:lang w:val="en-GB"/>
        </w:rPr>
        <w:t xml:space="preserve">(the </w:t>
      </w:r>
      <w:proofErr w:type="spellStart"/>
      <w:r w:rsidRPr="00B912D8">
        <w:rPr>
          <w:lang w:val="en-GB"/>
        </w:rPr>
        <w:t>NGER</w:t>
      </w:r>
      <w:proofErr w:type="spellEnd"/>
      <w:r w:rsidRPr="00B912D8">
        <w:rPr>
          <w:lang w:val="en-GB"/>
        </w:rPr>
        <w:t xml:space="preserve"> Regulations)</w:t>
      </w:r>
      <w:r>
        <w:rPr>
          <w:lang w:val="en-GB"/>
        </w:rPr>
        <w:t xml:space="preserve"> to make </w:t>
      </w:r>
      <w:r w:rsidRPr="00BE4869">
        <w:rPr>
          <w:lang w:val="en-GB"/>
        </w:rPr>
        <w:t>minor change</w:t>
      </w:r>
      <w:r>
        <w:rPr>
          <w:lang w:val="en-GB"/>
        </w:rPr>
        <w:t>s</w:t>
      </w:r>
      <w:r w:rsidRPr="00BE4869">
        <w:rPr>
          <w:lang w:val="en-GB"/>
        </w:rPr>
        <w:t xml:space="preserve"> to </w:t>
      </w:r>
      <w:r w:rsidR="001B6799">
        <w:rPr>
          <w:lang w:val="en-GB"/>
        </w:rPr>
        <w:t>require</w:t>
      </w:r>
      <w:r>
        <w:rPr>
          <w:lang w:val="en-GB"/>
        </w:rPr>
        <w:t xml:space="preserve"> the </w:t>
      </w:r>
      <w:r w:rsidR="001B6799">
        <w:rPr>
          <w:lang w:val="en-GB"/>
        </w:rPr>
        <w:t xml:space="preserve">reportage of </w:t>
      </w:r>
      <w:r>
        <w:rPr>
          <w:lang w:val="en-GB"/>
        </w:rPr>
        <w:t>methods for measuring amounts of natural gas for the purposes of calculating the poten</w:t>
      </w:r>
      <w:r w:rsidR="00FE7C30">
        <w:rPr>
          <w:lang w:val="en-GB"/>
        </w:rPr>
        <w:t xml:space="preserve">tial emissions embodied in them; and </w:t>
      </w:r>
    </w:p>
    <w:p w:rsidR="00BE4869" w:rsidRPr="00B912D8" w:rsidRDefault="00BE4869" w:rsidP="00167E03">
      <w:pPr>
        <w:numPr>
          <w:ilvl w:val="0"/>
          <w:numId w:val="27"/>
        </w:numPr>
        <w:tabs>
          <w:tab w:val="left" w:pos="709"/>
        </w:tabs>
        <w:spacing w:before="0" w:after="0"/>
        <w:ind w:left="714" w:hanging="357"/>
        <w:rPr>
          <w:lang w:val="en-GB"/>
        </w:rPr>
      </w:pPr>
      <w:r w:rsidRPr="00B912D8">
        <w:rPr>
          <w:lang w:val="en-GB"/>
        </w:rPr>
        <w:t xml:space="preserve">amends </w:t>
      </w:r>
      <w:r w:rsidR="00332AAD" w:rsidRPr="00B912D8">
        <w:rPr>
          <w:lang w:val="en-GB"/>
        </w:rPr>
        <w:t xml:space="preserve">the </w:t>
      </w:r>
      <w:proofErr w:type="spellStart"/>
      <w:r w:rsidR="00332AAD" w:rsidRPr="00B912D8">
        <w:rPr>
          <w:lang w:val="en-GB"/>
        </w:rPr>
        <w:t>NGER</w:t>
      </w:r>
      <w:proofErr w:type="spellEnd"/>
      <w:r w:rsidR="00332AAD" w:rsidRPr="00B912D8">
        <w:rPr>
          <w:lang w:val="en-GB"/>
        </w:rPr>
        <w:t xml:space="preserve"> Regulations </w:t>
      </w:r>
      <w:r w:rsidR="00E52A5E" w:rsidRPr="00B912D8">
        <w:rPr>
          <w:lang w:val="en-GB"/>
        </w:rPr>
        <w:t xml:space="preserve">to make </w:t>
      </w:r>
      <w:r w:rsidRPr="00B912D8">
        <w:rPr>
          <w:lang w:val="en-GB"/>
        </w:rPr>
        <w:t>minor change</w:t>
      </w:r>
      <w:r w:rsidR="00E52A5E" w:rsidRPr="00B912D8">
        <w:rPr>
          <w:lang w:val="en-GB"/>
        </w:rPr>
        <w:t>s</w:t>
      </w:r>
      <w:r w:rsidRPr="00B912D8">
        <w:rPr>
          <w:lang w:val="en-GB"/>
        </w:rPr>
        <w:t xml:space="preserve"> to </w:t>
      </w:r>
      <w:r w:rsidR="00E52A5E" w:rsidRPr="00B912D8">
        <w:rPr>
          <w:lang w:val="en-GB"/>
        </w:rPr>
        <w:t xml:space="preserve">provide greater clarity </w:t>
      </w:r>
      <w:r w:rsidR="00332AAD" w:rsidRPr="00B912D8">
        <w:rPr>
          <w:lang w:val="en-GB"/>
        </w:rPr>
        <w:t>on</w:t>
      </w:r>
      <w:r w:rsidR="00E52A5E" w:rsidRPr="00B912D8">
        <w:rPr>
          <w:lang w:val="en-GB"/>
        </w:rPr>
        <w:t xml:space="preserve"> </w:t>
      </w:r>
      <w:r w:rsidR="00332AAD" w:rsidRPr="00B912D8">
        <w:rPr>
          <w:lang w:val="en-GB"/>
        </w:rPr>
        <w:t xml:space="preserve">the operation of </w:t>
      </w:r>
      <w:r w:rsidR="00045081">
        <w:rPr>
          <w:lang w:val="en-GB"/>
        </w:rPr>
        <w:t>certain</w:t>
      </w:r>
      <w:r w:rsidR="00F5634F">
        <w:rPr>
          <w:lang w:val="en-GB"/>
        </w:rPr>
        <w:t xml:space="preserve"> provisions </w:t>
      </w:r>
    </w:p>
    <w:p w:rsidR="00AE184C" w:rsidRPr="00DB0605" w:rsidRDefault="00AE184C" w:rsidP="00206B02">
      <w:pPr>
        <w:keepLines/>
        <w:widowControl/>
        <w:rPr>
          <w:highlight w:val="yellow"/>
        </w:rPr>
      </w:pPr>
      <w:r w:rsidRPr="00DB0605">
        <w:rPr>
          <w:b/>
        </w:rPr>
        <w:t>Human rights implications</w:t>
      </w:r>
    </w:p>
    <w:p w:rsidR="00AE184C" w:rsidRPr="00676A21" w:rsidRDefault="00AE184C" w:rsidP="00AE184C">
      <w:pPr>
        <w:keepLines/>
        <w:spacing w:before="120" w:after="120"/>
      </w:pPr>
      <w:r w:rsidRPr="00676A21">
        <w:t xml:space="preserve">The Regulation engages the right to privacy and reputation, at least to the extent that it applies to the collection of personal information by the Clean Energy Regulator. The Regulation </w:t>
      </w:r>
      <w:r w:rsidR="004B64F5" w:rsidRPr="00676A21">
        <w:t>requires</w:t>
      </w:r>
      <w:r w:rsidRPr="00676A21">
        <w:t xml:space="preserve"> certain persons who enter LPG or LNG for home consumption or are supplied LPG or LNG</w:t>
      </w:r>
      <w:r w:rsidR="009778F0" w:rsidRPr="00676A21">
        <w:t xml:space="preserve">; who have elected to participate in the Opt-in Scheme under the Act; and/or who have used natural gas </w:t>
      </w:r>
      <w:r w:rsidRPr="00676A21">
        <w:t>to provide personal information for the purpose of</w:t>
      </w:r>
      <w:r w:rsidR="009778F0" w:rsidRPr="00676A21">
        <w:t xml:space="preserve"> ensuring compliance and administration of the </w:t>
      </w:r>
      <w:r w:rsidR="009778F0" w:rsidRPr="00676A21">
        <w:rPr>
          <w:i/>
        </w:rPr>
        <w:t xml:space="preserve">Clean Energy Act 2011 </w:t>
      </w:r>
      <w:r w:rsidR="009778F0" w:rsidRPr="00676A21">
        <w:t xml:space="preserve">and the </w:t>
      </w:r>
      <w:r w:rsidR="009778F0" w:rsidRPr="00676A21">
        <w:rPr>
          <w:i/>
        </w:rPr>
        <w:t xml:space="preserve">National Greenhouse and Energy Reporting </w:t>
      </w:r>
      <w:r w:rsidR="009778F0" w:rsidRPr="00676A21">
        <w:rPr>
          <w:i/>
          <w:lang w:val="en-GB"/>
        </w:rPr>
        <w:t>Act</w:t>
      </w:r>
      <w:r w:rsidR="009778F0" w:rsidRPr="00676A21">
        <w:rPr>
          <w:lang w:val="en-GB"/>
        </w:rPr>
        <w:t xml:space="preserve"> </w:t>
      </w:r>
      <w:r w:rsidR="009778F0" w:rsidRPr="00676A21">
        <w:rPr>
          <w:i/>
          <w:lang w:val="en-GB"/>
        </w:rPr>
        <w:t>2007</w:t>
      </w:r>
      <w:r w:rsidRPr="00676A21">
        <w:t xml:space="preserve">. </w:t>
      </w:r>
    </w:p>
    <w:p w:rsidR="00AE184C" w:rsidRPr="00676A21" w:rsidRDefault="00AE184C" w:rsidP="00AE184C">
      <w:pPr>
        <w:keepLines/>
        <w:spacing w:before="120" w:after="120"/>
      </w:pPr>
      <w:r w:rsidRPr="00676A21">
        <w:t>Although, in some circumstances some of the contact details may already be publicly available, the contact details of these individuals will not be publicly disclosed.</w:t>
      </w:r>
      <w:r w:rsidRPr="00676A21" w:rsidDel="004258A2">
        <w:t xml:space="preserve"> </w:t>
      </w:r>
      <w:r w:rsidRPr="00676A21">
        <w:t xml:space="preserve">The individual’s information will be regulated and treated in accordance with the secrecy provisions set out in the </w:t>
      </w:r>
      <w:r w:rsidRPr="00676A21">
        <w:rPr>
          <w:i/>
        </w:rPr>
        <w:t>Clean Energy Regulator Act 2011</w:t>
      </w:r>
      <w:r w:rsidRPr="00676A21">
        <w:t xml:space="preserve"> and the </w:t>
      </w:r>
      <w:r w:rsidRPr="00676A21">
        <w:rPr>
          <w:i/>
        </w:rPr>
        <w:t>Privacy Act 1988</w:t>
      </w:r>
      <w:r w:rsidRPr="00676A21">
        <w:t>.</w:t>
      </w:r>
    </w:p>
    <w:p w:rsidR="00341A01" w:rsidRDefault="00341A01" w:rsidP="008F37A0">
      <w:pPr>
        <w:spacing w:before="120" w:after="0"/>
        <w:rPr>
          <w:b/>
        </w:rPr>
      </w:pPr>
    </w:p>
    <w:p w:rsidR="00AE184C" w:rsidRDefault="00AE184C" w:rsidP="008F37A0">
      <w:pPr>
        <w:spacing w:before="120" w:after="0"/>
        <w:rPr>
          <w:b/>
        </w:rPr>
      </w:pPr>
      <w:r>
        <w:rPr>
          <w:b/>
        </w:rPr>
        <w:lastRenderedPageBreak/>
        <w:t>Conclusion</w:t>
      </w:r>
    </w:p>
    <w:p w:rsidR="004470C2" w:rsidRPr="001800C8" w:rsidRDefault="00AE184C" w:rsidP="008F37A0">
      <w:pPr>
        <w:spacing w:before="120" w:after="0"/>
      </w:pPr>
      <w:r w:rsidRPr="001800C8">
        <w:t xml:space="preserve">This Legislative Instrument is </w:t>
      </w:r>
      <w:r w:rsidR="004470C2" w:rsidRPr="001800C8">
        <w:t>compatible with human rights because it does not engage those rights or, to the extent that it may limit human rights, those limits are reasonable, necessary and proportionate.</w:t>
      </w:r>
    </w:p>
    <w:p w:rsidR="00AE184C" w:rsidRPr="00222093" w:rsidRDefault="00C502E2" w:rsidP="00AE184C">
      <w:pPr>
        <w:spacing w:before="120" w:after="120"/>
        <w:jc w:val="center"/>
        <w:rPr>
          <w:b/>
        </w:rPr>
      </w:pPr>
      <w:r>
        <w:rPr>
          <w:b/>
        </w:rPr>
        <w:t xml:space="preserve">Yvette </w:t>
      </w:r>
      <w:proofErr w:type="spellStart"/>
      <w:r>
        <w:rPr>
          <w:b/>
        </w:rPr>
        <w:t>D’Ath</w:t>
      </w:r>
      <w:proofErr w:type="spellEnd"/>
    </w:p>
    <w:p w:rsidR="00B51087" w:rsidRPr="0006317D" w:rsidRDefault="00C502E2" w:rsidP="0006317D">
      <w:pPr>
        <w:spacing w:before="120" w:after="120"/>
        <w:jc w:val="center"/>
        <w:rPr>
          <w:b/>
        </w:rPr>
      </w:pPr>
      <w:r>
        <w:rPr>
          <w:b/>
        </w:rPr>
        <w:t>Parliamentary Secretary</w:t>
      </w:r>
      <w:r w:rsidR="00AE184C" w:rsidRPr="00222093">
        <w:rPr>
          <w:b/>
        </w:rPr>
        <w:t xml:space="preserve"> for Climate Change</w:t>
      </w:r>
      <w:r w:rsidR="00AE184C">
        <w:rPr>
          <w:b/>
        </w:rPr>
        <w:t>, Industry and Innovation</w:t>
      </w:r>
    </w:p>
    <w:sectPr w:rsidR="00B51087" w:rsidRPr="0006317D" w:rsidSect="00387433">
      <w:footerReference w:type="default" r:id="rId9"/>
      <w:pgSz w:w="12240" w:h="15840"/>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0F" w:rsidRDefault="00EE4D0F" w:rsidP="0056784D">
      <w:pPr>
        <w:spacing w:before="0" w:after="0"/>
      </w:pPr>
      <w:r>
        <w:separator/>
      </w:r>
    </w:p>
  </w:endnote>
  <w:endnote w:type="continuationSeparator" w:id="0">
    <w:p w:rsidR="00EE4D0F" w:rsidRDefault="00EE4D0F" w:rsidP="005678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BA" w:rsidRDefault="007B09BA">
    <w:pPr>
      <w:pStyle w:val="Footer"/>
      <w:jc w:val="right"/>
    </w:pPr>
    <w:r>
      <w:fldChar w:fldCharType="begin"/>
    </w:r>
    <w:r>
      <w:instrText xml:space="preserve"> PAGE   \* MERGEFORMAT </w:instrText>
    </w:r>
    <w:r>
      <w:fldChar w:fldCharType="separate"/>
    </w:r>
    <w:r w:rsidR="00BB49F1">
      <w:rPr>
        <w:noProof/>
      </w:rPr>
      <w:t>2</w:t>
    </w:r>
    <w:r>
      <w:rPr>
        <w:noProof/>
      </w:rPr>
      <w:fldChar w:fldCharType="end"/>
    </w:r>
  </w:p>
  <w:p w:rsidR="007B09BA" w:rsidRDefault="007B0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0F" w:rsidRDefault="00EE4D0F" w:rsidP="0056784D">
      <w:pPr>
        <w:spacing w:before="0" w:after="0"/>
      </w:pPr>
      <w:r>
        <w:separator/>
      </w:r>
    </w:p>
  </w:footnote>
  <w:footnote w:type="continuationSeparator" w:id="0">
    <w:p w:rsidR="00EE4D0F" w:rsidRDefault="00EE4D0F" w:rsidP="005678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3"/>
    <w:multiLevelType w:val="hybridMultilevel"/>
    <w:tmpl w:val="A028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F87154"/>
    <w:multiLevelType w:val="hybridMultilevel"/>
    <w:tmpl w:val="4FACD712"/>
    <w:lvl w:ilvl="0" w:tplc="D6B8F466">
      <w:start w:val="1"/>
      <w:numFmt w:val="lowerLetter"/>
      <w:lvlText w:val="%1."/>
      <w:lvlJc w:val="left"/>
      <w:pPr>
        <w:ind w:left="1440" w:hanging="360"/>
      </w:pPr>
    </w:lvl>
    <w:lvl w:ilvl="1" w:tplc="B162A36A" w:tentative="1">
      <w:start w:val="1"/>
      <w:numFmt w:val="lowerLetter"/>
      <w:lvlText w:val="%2."/>
      <w:lvlJc w:val="left"/>
      <w:pPr>
        <w:ind w:left="2160" w:hanging="360"/>
      </w:pPr>
    </w:lvl>
    <w:lvl w:ilvl="2" w:tplc="A2AE749A" w:tentative="1">
      <w:start w:val="1"/>
      <w:numFmt w:val="lowerRoman"/>
      <w:lvlText w:val="%3."/>
      <w:lvlJc w:val="right"/>
      <w:pPr>
        <w:ind w:left="2880" w:hanging="180"/>
      </w:pPr>
    </w:lvl>
    <w:lvl w:ilvl="3" w:tplc="C6568592" w:tentative="1">
      <w:start w:val="1"/>
      <w:numFmt w:val="decimal"/>
      <w:lvlText w:val="%4."/>
      <w:lvlJc w:val="left"/>
      <w:pPr>
        <w:ind w:left="3600" w:hanging="360"/>
      </w:pPr>
    </w:lvl>
    <w:lvl w:ilvl="4" w:tplc="AF1E89F6" w:tentative="1">
      <w:start w:val="1"/>
      <w:numFmt w:val="lowerLetter"/>
      <w:lvlText w:val="%5."/>
      <w:lvlJc w:val="left"/>
      <w:pPr>
        <w:ind w:left="4320" w:hanging="360"/>
      </w:pPr>
    </w:lvl>
    <w:lvl w:ilvl="5" w:tplc="18A4D55A" w:tentative="1">
      <w:start w:val="1"/>
      <w:numFmt w:val="lowerRoman"/>
      <w:lvlText w:val="%6."/>
      <w:lvlJc w:val="right"/>
      <w:pPr>
        <w:ind w:left="5040" w:hanging="180"/>
      </w:pPr>
    </w:lvl>
    <w:lvl w:ilvl="6" w:tplc="892CD16A" w:tentative="1">
      <w:start w:val="1"/>
      <w:numFmt w:val="decimal"/>
      <w:lvlText w:val="%7."/>
      <w:lvlJc w:val="left"/>
      <w:pPr>
        <w:ind w:left="5760" w:hanging="360"/>
      </w:pPr>
    </w:lvl>
    <w:lvl w:ilvl="7" w:tplc="8A7C1DB8" w:tentative="1">
      <w:start w:val="1"/>
      <w:numFmt w:val="lowerLetter"/>
      <w:lvlText w:val="%8."/>
      <w:lvlJc w:val="left"/>
      <w:pPr>
        <w:ind w:left="6480" w:hanging="360"/>
      </w:pPr>
    </w:lvl>
    <w:lvl w:ilvl="8" w:tplc="71ECF790" w:tentative="1">
      <w:start w:val="1"/>
      <w:numFmt w:val="lowerRoman"/>
      <w:lvlText w:val="%9."/>
      <w:lvlJc w:val="right"/>
      <w:pPr>
        <w:ind w:left="7200" w:hanging="180"/>
      </w:pPr>
    </w:lvl>
  </w:abstractNum>
  <w:abstractNum w:abstractNumId="2">
    <w:nsid w:val="04402DC7"/>
    <w:multiLevelType w:val="hybridMultilevel"/>
    <w:tmpl w:val="B7501F3C"/>
    <w:lvl w:ilvl="0" w:tplc="679A047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872C93"/>
    <w:multiLevelType w:val="hybridMultilevel"/>
    <w:tmpl w:val="95A8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6E2A87"/>
    <w:multiLevelType w:val="hybridMultilevel"/>
    <w:tmpl w:val="38A0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B524CEB"/>
    <w:multiLevelType w:val="hybridMultilevel"/>
    <w:tmpl w:val="4FACD712"/>
    <w:lvl w:ilvl="0" w:tplc="A1DC1CC2">
      <w:start w:val="1"/>
      <w:numFmt w:val="lowerLetter"/>
      <w:lvlText w:val="%1."/>
      <w:lvlJc w:val="left"/>
      <w:pPr>
        <w:ind w:left="1440" w:hanging="360"/>
      </w:pPr>
    </w:lvl>
    <w:lvl w:ilvl="1" w:tplc="80F010A2" w:tentative="1">
      <w:start w:val="1"/>
      <w:numFmt w:val="lowerLetter"/>
      <w:lvlText w:val="%2."/>
      <w:lvlJc w:val="left"/>
      <w:pPr>
        <w:ind w:left="2160" w:hanging="360"/>
      </w:pPr>
    </w:lvl>
    <w:lvl w:ilvl="2" w:tplc="71A8AC06" w:tentative="1">
      <w:start w:val="1"/>
      <w:numFmt w:val="lowerRoman"/>
      <w:lvlText w:val="%3."/>
      <w:lvlJc w:val="right"/>
      <w:pPr>
        <w:ind w:left="2880" w:hanging="180"/>
      </w:pPr>
    </w:lvl>
    <w:lvl w:ilvl="3" w:tplc="DE70F5AE" w:tentative="1">
      <w:start w:val="1"/>
      <w:numFmt w:val="decimal"/>
      <w:lvlText w:val="%4."/>
      <w:lvlJc w:val="left"/>
      <w:pPr>
        <w:ind w:left="3600" w:hanging="360"/>
      </w:pPr>
    </w:lvl>
    <w:lvl w:ilvl="4" w:tplc="BBDC84D6" w:tentative="1">
      <w:start w:val="1"/>
      <w:numFmt w:val="lowerLetter"/>
      <w:lvlText w:val="%5."/>
      <w:lvlJc w:val="left"/>
      <w:pPr>
        <w:ind w:left="4320" w:hanging="360"/>
      </w:pPr>
    </w:lvl>
    <w:lvl w:ilvl="5" w:tplc="A8265B5C" w:tentative="1">
      <w:start w:val="1"/>
      <w:numFmt w:val="lowerRoman"/>
      <w:lvlText w:val="%6."/>
      <w:lvlJc w:val="right"/>
      <w:pPr>
        <w:ind w:left="5040" w:hanging="180"/>
      </w:pPr>
    </w:lvl>
    <w:lvl w:ilvl="6" w:tplc="3C5E2AD0" w:tentative="1">
      <w:start w:val="1"/>
      <w:numFmt w:val="decimal"/>
      <w:lvlText w:val="%7."/>
      <w:lvlJc w:val="left"/>
      <w:pPr>
        <w:ind w:left="5760" w:hanging="360"/>
      </w:pPr>
    </w:lvl>
    <w:lvl w:ilvl="7" w:tplc="D7CE8DEA" w:tentative="1">
      <w:start w:val="1"/>
      <w:numFmt w:val="lowerLetter"/>
      <w:lvlText w:val="%8."/>
      <w:lvlJc w:val="left"/>
      <w:pPr>
        <w:ind w:left="6480" w:hanging="360"/>
      </w:pPr>
    </w:lvl>
    <w:lvl w:ilvl="8" w:tplc="ACAE1AAE" w:tentative="1">
      <w:start w:val="1"/>
      <w:numFmt w:val="lowerRoman"/>
      <w:lvlText w:val="%9."/>
      <w:lvlJc w:val="right"/>
      <w:pPr>
        <w:ind w:left="7200" w:hanging="180"/>
      </w:pPr>
    </w:lvl>
  </w:abstractNum>
  <w:abstractNum w:abstractNumId="7">
    <w:nsid w:val="27313BE6"/>
    <w:multiLevelType w:val="hybridMultilevel"/>
    <w:tmpl w:val="7114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F3570"/>
    <w:multiLevelType w:val="hybridMultilevel"/>
    <w:tmpl w:val="A4BC69BC"/>
    <w:lvl w:ilvl="0" w:tplc="679A047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773576"/>
    <w:multiLevelType w:val="hybridMultilevel"/>
    <w:tmpl w:val="3BFE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F4056"/>
    <w:multiLevelType w:val="hybridMultilevel"/>
    <w:tmpl w:val="4FACD712"/>
    <w:lvl w:ilvl="0" w:tplc="70328602">
      <w:start w:val="1"/>
      <w:numFmt w:val="lowerLetter"/>
      <w:lvlText w:val="%1."/>
      <w:lvlJc w:val="left"/>
      <w:pPr>
        <w:ind w:left="1440" w:hanging="360"/>
      </w:pPr>
    </w:lvl>
    <w:lvl w:ilvl="1" w:tplc="5F1ACE58" w:tentative="1">
      <w:start w:val="1"/>
      <w:numFmt w:val="lowerLetter"/>
      <w:lvlText w:val="%2."/>
      <w:lvlJc w:val="left"/>
      <w:pPr>
        <w:ind w:left="2160" w:hanging="360"/>
      </w:pPr>
    </w:lvl>
    <w:lvl w:ilvl="2" w:tplc="99748CF6" w:tentative="1">
      <w:start w:val="1"/>
      <w:numFmt w:val="lowerRoman"/>
      <w:lvlText w:val="%3."/>
      <w:lvlJc w:val="right"/>
      <w:pPr>
        <w:ind w:left="2880" w:hanging="180"/>
      </w:pPr>
    </w:lvl>
    <w:lvl w:ilvl="3" w:tplc="46BC13EA" w:tentative="1">
      <w:start w:val="1"/>
      <w:numFmt w:val="decimal"/>
      <w:lvlText w:val="%4."/>
      <w:lvlJc w:val="left"/>
      <w:pPr>
        <w:ind w:left="3600" w:hanging="360"/>
      </w:pPr>
    </w:lvl>
    <w:lvl w:ilvl="4" w:tplc="7902B178" w:tentative="1">
      <w:start w:val="1"/>
      <w:numFmt w:val="lowerLetter"/>
      <w:lvlText w:val="%5."/>
      <w:lvlJc w:val="left"/>
      <w:pPr>
        <w:ind w:left="4320" w:hanging="360"/>
      </w:pPr>
    </w:lvl>
    <w:lvl w:ilvl="5" w:tplc="DAACB6C6" w:tentative="1">
      <w:start w:val="1"/>
      <w:numFmt w:val="lowerRoman"/>
      <w:lvlText w:val="%6."/>
      <w:lvlJc w:val="right"/>
      <w:pPr>
        <w:ind w:left="5040" w:hanging="180"/>
      </w:pPr>
    </w:lvl>
    <w:lvl w:ilvl="6" w:tplc="58BEC904" w:tentative="1">
      <w:start w:val="1"/>
      <w:numFmt w:val="decimal"/>
      <w:lvlText w:val="%7."/>
      <w:lvlJc w:val="left"/>
      <w:pPr>
        <w:ind w:left="5760" w:hanging="360"/>
      </w:pPr>
    </w:lvl>
    <w:lvl w:ilvl="7" w:tplc="54F222FC" w:tentative="1">
      <w:start w:val="1"/>
      <w:numFmt w:val="lowerLetter"/>
      <w:lvlText w:val="%8."/>
      <w:lvlJc w:val="left"/>
      <w:pPr>
        <w:ind w:left="6480" w:hanging="360"/>
      </w:pPr>
    </w:lvl>
    <w:lvl w:ilvl="8" w:tplc="A2368C44" w:tentative="1">
      <w:start w:val="1"/>
      <w:numFmt w:val="lowerRoman"/>
      <w:lvlText w:val="%9."/>
      <w:lvlJc w:val="right"/>
      <w:pPr>
        <w:ind w:left="7200" w:hanging="180"/>
      </w:pPr>
    </w:lvl>
  </w:abstractNum>
  <w:abstractNum w:abstractNumId="11">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8237BD"/>
    <w:multiLevelType w:val="hybridMultilevel"/>
    <w:tmpl w:val="35C43058"/>
    <w:lvl w:ilvl="0" w:tplc="F5F0BA5E">
      <w:start w:val="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994A62"/>
    <w:multiLevelType w:val="hybridMultilevel"/>
    <w:tmpl w:val="CA98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8D416D"/>
    <w:multiLevelType w:val="multilevel"/>
    <w:tmpl w:val="469EAFC0"/>
    <w:styleLink w:val="DotPointList"/>
    <w:lvl w:ilvl="0">
      <w:start w:val="1"/>
      <w:numFmt w:val="bullet"/>
      <w:pStyle w:val="dotpoint"/>
      <w:lvlText w:val="•"/>
      <w:lvlJc w:val="left"/>
      <w:pPr>
        <w:tabs>
          <w:tab w:val="num" w:pos="1247"/>
        </w:tabs>
        <w:ind w:left="1247" w:hanging="283"/>
      </w:pPr>
      <w:rPr>
        <w:rFonts w:ascii="Times New Roman" w:hAnsi="Times New Roman" w:cs="Times New Roman" w:hint="default"/>
        <w:color w:val="000000" w:themeColor="text1"/>
      </w:rPr>
    </w:lvl>
    <w:lvl w:ilvl="1">
      <w:start w:val="1"/>
      <w:numFmt w:val="bullet"/>
      <w:pStyle w:val="dotpoint2"/>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5">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564E7C"/>
    <w:multiLevelType w:val="hybridMultilevel"/>
    <w:tmpl w:val="5308E694"/>
    <w:lvl w:ilvl="0" w:tplc="AC5A85E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197828"/>
    <w:multiLevelType w:val="hybridMultilevel"/>
    <w:tmpl w:val="E5E62A9A"/>
    <w:name w:val="StandardBulletedList"/>
    <w:lvl w:ilvl="0" w:tplc="6BEA7C0A">
      <w:start w:val="1"/>
      <w:numFmt w:val="bullet"/>
      <w:pStyle w:val="Style4"/>
      <w:lvlText w:val=""/>
      <w:lvlJc w:val="left"/>
      <w:pPr>
        <w:ind w:left="720" w:hanging="360"/>
      </w:pPr>
      <w:rPr>
        <w:rFonts w:ascii="Symbol" w:hAnsi="Symbol" w:hint="default"/>
      </w:rPr>
    </w:lvl>
    <w:lvl w:ilvl="1" w:tplc="EA72D1CE" w:tentative="1">
      <w:start w:val="1"/>
      <w:numFmt w:val="bullet"/>
      <w:lvlText w:val="o"/>
      <w:lvlJc w:val="left"/>
      <w:pPr>
        <w:ind w:left="1440" w:hanging="360"/>
      </w:pPr>
      <w:rPr>
        <w:rFonts w:ascii="Courier New" w:hAnsi="Courier New" w:cs="Courier New" w:hint="default"/>
      </w:rPr>
    </w:lvl>
    <w:lvl w:ilvl="2" w:tplc="6986BCD0" w:tentative="1">
      <w:start w:val="1"/>
      <w:numFmt w:val="bullet"/>
      <w:lvlText w:val=""/>
      <w:lvlJc w:val="left"/>
      <w:pPr>
        <w:ind w:left="2160" w:hanging="360"/>
      </w:pPr>
      <w:rPr>
        <w:rFonts w:ascii="Wingdings" w:hAnsi="Wingdings" w:hint="default"/>
      </w:rPr>
    </w:lvl>
    <w:lvl w:ilvl="3" w:tplc="19AEAA92" w:tentative="1">
      <w:start w:val="1"/>
      <w:numFmt w:val="bullet"/>
      <w:lvlText w:val=""/>
      <w:lvlJc w:val="left"/>
      <w:pPr>
        <w:ind w:left="2880" w:hanging="360"/>
      </w:pPr>
      <w:rPr>
        <w:rFonts w:ascii="Symbol" w:hAnsi="Symbol" w:hint="default"/>
      </w:rPr>
    </w:lvl>
    <w:lvl w:ilvl="4" w:tplc="4EFC6E12" w:tentative="1">
      <w:start w:val="1"/>
      <w:numFmt w:val="bullet"/>
      <w:lvlText w:val="o"/>
      <w:lvlJc w:val="left"/>
      <w:pPr>
        <w:ind w:left="3600" w:hanging="360"/>
      </w:pPr>
      <w:rPr>
        <w:rFonts w:ascii="Courier New" w:hAnsi="Courier New" w:cs="Courier New" w:hint="default"/>
      </w:rPr>
    </w:lvl>
    <w:lvl w:ilvl="5" w:tplc="2C841D5C" w:tentative="1">
      <w:start w:val="1"/>
      <w:numFmt w:val="bullet"/>
      <w:lvlText w:val=""/>
      <w:lvlJc w:val="left"/>
      <w:pPr>
        <w:ind w:left="4320" w:hanging="360"/>
      </w:pPr>
      <w:rPr>
        <w:rFonts w:ascii="Wingdings" w:hAnsi="Wingdings" w:hint="default"/>
      </w:rPr>
    </w:lvl>
    <w:lvl w:ilvl="6" w:tplc="C9848986" w:tentative="1">
      <w:start w:val="1"/>
      <w:numFmt w:val="bullet"/>
      <w:lvlText w:val=""/>
      <w:lvlJc w:val="left"/>
      <w:pPr>
        <w:ind w:left="5040" w:hanging="360"/>
      </w:pPr>
      <w:rPr>
        <w:rFonts w:ascii="Symbol" w:hAnsi="Symbol" w:hint="default"/>
      </w:rPr>
    </w:lvl>
    <w:lvl w:ilvl="7" w:tplc="855EFE00" w:tentative="1">
      <w:start w:val="1"/>
      <w:numFmt w:val="bullet"/>
      <w:lvlText w:val="o"/>
      <w:lvlJc w:val="left"/>
      <w:pPr>
        <w:ind w:left="5760" w:hanging="360"/>
      </w:pPr>
      <w:rPr>
        <w:rFonts w:ascii="Courier New" w:hAnsi="Courier New" w:cs="Courier New" w:hint="default"/>
      </w:rPr>
    </w:lvl>
    <w:lvl w:ilvl="8" w:tplc="00E24FA4" w:tentative="1">
      <w:start w:val="1"/>
      <w:numFmt w:val="bullet"/>
      <w:lvlText w:val=""/>
      <w:lvlJc w:val="left"/>
      <w:pPr>
        <w:ind w:left="6480" w:hanging="360"/>
      </w:pPr>
      <w:rPr>
        <w:rFonts w:ascii="Wingdings" w:hAnsi="Wingdings" w:hint="default"/>
      </w:rPr>
    </w:lvl>
  </w:abstractNum>
  <w:abstractNum w:abstractNumId="18">
    <w:nsid w:val="4CF33E36"/>
    <w:multiLevelType w:val="hybridMultilevel"/>
    <w:tmpl w:val="E14CC44E"/>
    <w:lvl w:ilvl="0" w:tplc="679A047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6972DE"/>
    <w:multiLevelType w:val="hybridMultilevel"/>
    <w:tmpl w:val="1FEE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E168F1"/>
    <w:multiLevelType w:val="hybridMultilevel"/>
    <w:tmpl w:val="701A0698"/>
    <w:lvl w:ilvl="0" w:tplc="F710A90A">
      <w:start w:val="39"/>
      <w:numFmt w:val="bullet"/>
      <w:lvlText w:val="-"/>
      <w:lvlJc w:val="left"/>
      <w:pPr>
        <w:ind w:left="720" w:hanging="360"/>
      </w:pPr>
      <w:rPr>
        <w:rFonts w:ascii="Calibri" w:eastAsia="Times New Roman" w:hAnsi="Calibri" w:cs="Times New Roman" w:hint="default"/>
      </w:rPr>
    </w:lvl>
    <w:lvl w:ilvl="1" w:tplc="60528708">
      <w:start w:val="1"/>
      <w:numFmt w:val="bullet"/>
      <w:lvlText w:val="o"/>
      <w:lvlJc w:val="left"/>
      <w:pPr>
        <w:ind w:left="1440" w:hanging="360"/>
      </w:pPr>
      <w:rPr>
        <w:rFonts w:ascii="Courier New" w:hAnsi="Courier New" w:cs="Courier New" w:hint="default"/>
      </w:rPr>
    </w:lvl>
    <w:lvl w:ilvl="2" w:tplc="D71E57EA" w:tentative="1">
      <w:start w:val="1"/>
      <w:numFmt w:val="bullet"/>
      <w:lvlText w:val=""/>
      <w:lvlJc w:val="left"/>
      <w:pPr>
        <w:ind w:left="2160" w:hanging="360"/>
      </w:pPr>
      <w:rPr>
        <w:rFonts w:ascii="Wingdings" w:hAnsi="Wingdings" w:hint="default"/>
      </w:rPr>
    </w:lvl>
    <w:lvl w:ilvl="3" w:tplc="480C54FA" w:tentative="1">
      <w:start w:val="1"/>
      <w:numFmt w:val="bullet"/>
      <w:lvlText w:val=""/>
      <w:lvlJc w:val="left"/>
      <w:pPr>
        <w:ind w:left="2880" w:hanging="360"/>
      </w:pPr>
      <w:rPr>
        <w:rFonts w:ascii="Symbol" w:hAnsi="Symbol" w:hint="default"/>
      </w:rPr>
    </w:lvl>
    <w:lvl w:ilvl="4" w:tplc="4D44BE72" w:tentative="1">
      <w:start w:val="1"/>
      <w:numFmt w:val="bullet"/>
      <w:lvlText w:val="o"/>
      <w:lvlJc w:val="left"/>
      <w:pPr>
        <w:ind w:left="3600" w:hanging="360"/>
      </w:pPr>
      <w:rPr>
        <w:rFonts w:ascii="Courier New" w:hAnsi="Courier New" w:cs="Courier New" w:hint="default"/>
      </w:rPr>
    </w:lvl>
    <w:lvl w:ilvl="5" w:tplc="90A23556" w:tentative="1">
      <w:start w:val="1"/>
      <w:numFmt w:val="bullet"/>
      <w:lvlText w:val=""/>
      <w:lvlJc w:val="left"/>
      <w:pPr>
        <w:ind w:left="4320" w:hanging="360"/>
      </w:pPr>
      <w:rPr>
        <w:rFonts w:ascii="Wingdings" w:hAnsi="Wingdings" w:hint="default"/>
      </w:rPr>
    </w:lvl>
    <w:lvl w:ilvl="6" w:tplc="A31ACB92" w:tentative="1">
      <w:start w:val="1"/>
      <w:numFmt w:val="bullet"/>
      <w:lvlText w:val=""/>
      <w:lvlJc w:val="left"/>
      <w:pPr>
        <w:ind w:left="5040" w:hanging="360"/>
      </w:pPr>
      <w:rPr>
        <w:rFonts w:ascii="Symbol" w:hAnsi="Symbol" w:hint="default"/>
      </w:rPr>
    </w:lvl>
    <w:lvl w:ilvl="7" w:tplc="4510013C" w:tentative="1">
      <w:start w:val="1"/>
      <w:numFmt w:val="bullet"/>
      <w:lvlText w:val="o"/>
      <w:lvlJc w:val="left"/>
      <w:pPr>
        <w:ind w:left="5760" w:hanging="360"/>
      </w:pPr>
      <w:rPr>
        <w:rFonts w:ascii="Courier New" w:hAnsi="Courier New" w:cs="Courier New" w:hint="default"/>
      </w:rPr>
    </w:lvl>
    <w:lvl w:ilvl="8" w:tplc="B9E63ABA" w:tentative="1">
      <w:start w:val="1"/>
      <w:numFmt w:val="bullet"/>
      <w:lvlText w:val=""/>
      <w:lvlJc w:val="left"/>
      <w:pPr>
        <w:ind w:left="6480" w:hanging="360"/>
      </w:pPr>
      <w:rPr>
        <w:rFonts w:ascii="Wingdings" w:hAnsi="Wingdings" w:hint="default"/>
      </w:rPr>
    </w:lvl>
  </w:abstractNum>
  <w:abstractNum w:abstractNumId="21">
    <w:nsid w:val="5A0B2259"/>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2">
    <w:nsid w:val="5B2A196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3">
    <w:nsid w:val="60112C6D"/>
    <w:multiLevelType w:val="multilevel"/>
    <w:tmpl w:val="01BAA67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4">
    <w:nsid w:val="66E067F9"/>
    <w:multiLevelType w:val="hybridMultilevel"/>
    <w:tmpl w:val="07267AF2"/>
    <w:lvl w:ilvl="0" w:tplc="FFFFFFFF">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10289C"/>
    <w:multiLevelType w:val="hybridMultilevel"/>
    <w:tmpl w:val="86C0DF90"/>
    <w:lvl w:ilvl="0" w:tplc="DF08B2A4">
      <w:start w:val="1"/>
      <w:numFmt w:val="decimal"/>
      <w:lvlText w:val="%1."/>
      <w:lvlJc w:val="left"/>
      <w:pPr>
        <w:ind w:left="720" w:hanging="360"/>
      </w:pPr>
      <w:rPr>
        <w:rFonts w:hint="default"/>
      </w:rPr>
    </w:lvl>
    <w:lvl w:ilvl="1" w:tplc="E8C8D70C">
      <w:start w:val="1"/>
      <w:numFmt w:val="lowerLetter"/>
      <w:lvlText w:val="%2."/>
      <w:lvlJc w:val="left"/>
      <w:pPr>
        <w:ind w:left="1440" w:hanging="360"/>
      </w:pPr>
    </w:lvl>
    <w:lvl w:ilvl="2" w:tplc="6A6656B8">
      <w:start w:val="1"/>
      <w:numFmt w:val="lowerRoman"/>
      <w:lvlText w:val="%3."/>
      <w:lvlJc w:val="right"/>
      <w:pPr>
        <w:ind w:left="2160" w:hanging="180"/>
      </w:pPr>
    </w:lvl>
    <w:lvl w:ilvl="3" w:tplc="5A4A563A" w:tentative="1">
      <w:start w:val="1"/>
      <w:numFmt w:val="decimal"/>
      <w:lvlText w:val="%4."/>
      <w:lvlJc w:val="left"/>
      <w:pPr>
        <w:ind w:left="2880" w:hanging="360"/>
      </w:pPr>
    </w:lvl>
    <w:lvl w:ilvl="4" w:tplc="66EE4A26" w:tentative="1">
      <w:start w:val="1"/>
      <w:numFmt w:val="lowerLetter"/>
      <w:lvlText w:val="%5."/>
      <w:lvlJc w:val="left"/>
      <w:pPr>
        <w:ind w:left="3600" w:hanging="360"/>
      </w:pPr>
    </w:lvl>
    <w:lvl w:ilvl="5" w:tplc="0186CF90" w:tentative="1">
      <w:start w:val="1"/>
      <w:numFmt w:val="lowerRoman"/>
      <w:lvlText w:val="%6."/>
      <w:lvlJc w:val="right"/>
      <w:pPr>
        <w:ind w:left="4320" w:hanging="180"/>
      </w:pPr>
    </w:lvl>
    <w:lvl w:ilvl="6" w:tplc="48C40252" w:tentative="1">
      <w:start w:val="1"/>
      <w:numFmt w:val="decimal"/>
      <w:lvlText w:val="%7."/>
      <w:lvlJc w:val="left"/>
      <w:pPr>
        <w:ind w:left="5040" w:hanging="360"/>
      </w:pPr>
    </w:lvl>
    <w:lvl w:ilvl="7" w:tplc="4D787F72" w:tentative="1">
      <w:start w:val="1"/>
      <w:numFmt w:val="lowerLetter"/>
      <w:lvlText w:val="%8."/>
      <w:lvlJc w:val="left"/>
      <w:pPr>
        <w:ind w:left="5760" w:hanging="360"/>
      </w:pPr>
    </w:lvl>
    <w:lvl w:ilvl="8" w:tplc="B0A63BF2" w:tentative="1">
      <w:start w:val="1"/>
      <w:numFmt w:val="lowerRoman"/>
      <w:lvlText w:val="%9."/>
      <w:lvlJc w:val="right"/>
      <w:pPr>
        <w:ind w:left="6480" w:hanging="180"/>
      </w:pPr>
    </w:lvl>
  </w:abstractNum>
  <w:abstractNum w:abstractNumId="26">
    <w:nsid w:val="79B90E1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7">
    <w:nsid w:val="7EC23B8A"/>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num w:numId="1">
    <w:abstractNumId w:val="15"/>
  </w:num>
  <w:num w:numId="2">
    <w:abstractNumId w:val="17"/>
  </w:num>
  <w:num w:numId="3">
    <w:abstractNumId w:val="5"/>
  </w:num>
  <w:num w:numId="4">
    <w:abstractNumId w:val="11"/>
  </w:num>
  <w:num w:numId="5">
    <w:abstractNumId w:val="0"/>
  </w:num>
  <w:num w:numId="6">
    <w:abstractNumId w:val="25"/>
  </w:num>
  <w:num w:numId="7">
    <w:abstractNumId w:val="6"/>
  </w:num>
  <w:num w:numId="8">
    <w:abstractNumId w:val="20"/>
  </w:num>
  <w:num w:numId="9">
    <w:abstractNumId w:val="1"/>
  </w:num>
  <w:num w:numId="10">
    <w:abstractNumId w:val="10"/>
  </w:num>
  <w:num w:numId="11">
    <w:abstractNumId w:val="3"/>
  </w:num>
  <w:num w:numId="12">
    <w:abstractNumId w:val="7"/>
  </w:num>
  <w:num w:numId="13">
    <w:abstractNumId w:val="9"/>
  </w:num>
  <w:num w:numId="14">
    <w:abstractNumId w:val="14"/>
  </w:num>
  <w:num w:numId="15">
    <w:abstractNumId w:val="21"/>
  </w:num>
  <w:num w:numId="16">
    <w:abstractNumId w:val="27"/>
  </w:num>
  <w:num w:numId="17">
    <w:abstractNumId w:val="23"/>
  </w:num>
  <w:num w:numId="18">
    <w:abstractNumId w:val="26"/>
  </w:num>
  <w:num w:numId="19">
    <w:abstractNumId w:val="14"/>
  </w:num>
  <w:num w:numId="20">
    <w:abstractNumId w:val="22"/>
  </w:num>
  <w:num w:numId="21">
    <w:abstractNumId w:val="16"/>
  </w:num>
  <w:num w:numId="22">
    <w:abstractNumId w:val="13"/>
  </w:num>
  <w:num w:numId="23">
    <w:abstractNumId w:val="18"/>
  </w:num>
  <w:num w:numId="24">
    <w:abstractNumId w:val="8"/>
  </w:num>
  <w:num w:numId="25">
    <w:abstractNumId w:val="2"/>
  </w:num>
  <w:num w:numId="26">
    <w:abstractNumId w:val="4"/>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C"/>
    <w:rsid w:val="000000E6"/>
    <w:rsid w:val="000057BB"/>
    <w:rsid w:val="000147FA"/>
    <w:rsid w:val="0002466A"/>
    <w:rsid w:val="000406B4"/>
    <w:rsid w:val="000416BB"/>
    <w:rsid w:val="00041E33"/>
    <w:rsid w:val="00045081"/>
    <w:rsid w:val="00054588"/>
    <w:rsid w:val="00056BCE"/>
    <w:rsid w:val="00060FDF"/>
    <w:rsid w:val="000627A7"/>
    <w:rsid w:val="0006317D"/>
    <w:rsid w:val="00065624"/>
    <w:rsid w:val="0008179E"/>
    <w:rsid w:val="00094075"/>
    <w:rsid w:val="000945D9"/>
    <w:rsid w:val="000977C4"/>
    <w:rsid w:val="000A37AD"/>
    <w:rsid w:val="000A428B"/>
    <w:rsid w:val="000C2940"/>
    <w:rsid w:val="000C2DC2"/>
    <w:rsid w:val="000C2E2D"/>
    <w:rsid w:val="000C4649"/>
    <w:rsid w:val="000C470E"/>
    <w:rsid w:val="000C597A"/>
    <w:rsid w:val="000D4AC6"/>
    <w:rsid w:val="000D5C24"/>
    <w:rsid w:val="000D5EF3"/>
    <w:rsid w:val="000E6DB6"/>
    <w:rsid w:val="000F08C8"/>
    <w:rsid w:val="000F72B3"/>
    <w:rsid w:val="000F770B"/>
    <w:rsid w:val="00106594"/>
    <w:rsid w:val="001106BB"/>
    <w:rsid w:val="00113ED8"/>
    <w:rsid w:val="00125A9D"/>
    <w:rsid w:val="00134A11"/>
    <w:rsid w:val="00135AA8"/>
    <w:rsid w:val="00141D58"/>
    <w:rsid w:val="001458C2"/>
    <w:rsid w:val="00146C9E"/>
    <w:rsid w:val="00147618"/>
    <w:rsid w:val="00162620"/>
    <w:rsid w:val="00167E03"/>
    <w:rsid w:val="00171799"/>
    <w:rsid w:val="00171B1B"/>
    <w:rsid w:val="0017371C"/>
    <w:rsid w:val="001800C8"/>
    <w:rsid w:val="001862FD"/>
    <w:rsid w:val="00190BC9"/>
    <w:rsid w:val="001A249C"/>
    <w:rsid w:val="001B6799"/>
    <w:rsid w:val="001C2BAC"/>
    <w:rsid w:val="001C2CAF"/>
    <w:rsid w:val="001C5A4C"/>
    <w:rsid w:val="001F7139"/>
    <w:rsid w:val="002008BA"/>
    <w:rsid w:val="002034A7"/>
    <w:rsid w:val="00206B02"/>
    <w:rsid w:val="00214584"/>
    <w:rsid w:val="002206C9"/>
    <w:rsid w:val="00220E14"/>
    <w:rsid w:val="00220F9F"/>
    <w:rsid w:val="00221056"/>
    <w:rsid w:val="00222D09"/>
    <w:rsid w:val="00234E14"/>
    <w:rsid w:val="00240990"/>
    <w:rsid w:val="00244136"/>
    <w:rsid w:val="00250604"/>
    <w:rsid w:val="00252FE2"/>
    <w:rsid w:val="00253019"/>
    <w:rsid w:val="00262BB3"/>
    <w:rsid w:val="00264A02"/>
    <w:rsid w:val="00265EB4"/>
    <w:rsid w:val="002819A1"/>
    <w:rsid w:val="00283C6B"/>
    <w:rsid w:val="002841F0"/>
    <w:rsid w:val="00284E61"/>
    <w:rsid w:val="00291EA8"/>
    <w:rsid w:val="002A3884"/>
    <w:rsid w:val="002A6BB3"/>
    <w:rsid w:val="002B0E35"/>
    <w:rsid w:val="002C0B63"/>
    <w:rsid w:val="002D23A1"/>
    <w:rsid w:val="00324A80"/>
    <w:rsid w:val="0032540A"/>
    <w:rsid w:val="00332AAD"/>
    <w:rsid w:val="0033669D"/>
    <w:rsid w:val="00341A01"/>
    <w:rsid w:val="003437E6"/>
    <w:rsid w:val="0035377D"/>
    <w:rsid w:val="003831AE"/>
    <w:rsid w:val="003869DB"/>
    <w:rsid w:val="00387433"/>
    <w:rsid w:val="00387877"/>
    <w:rsid w:val="003A191A"/>
    <w:rsid w:val="003A1AED"/>
    <w:rsid w:val="003A2B67"/>
    <w:rsid w:val="003A347C"/>
    <w:rsid w:val="003A4042"/>
    <w:rsid w:val="003B1707"/>
    <w:rsid w:val="003B3200"/>
    <w:rsid w:val="003C0A27"/>
    <w:rsid w:val="003C6FE8"/>
    <w:rsid w:val="003D4AC5"/>
    <w:rsid w:val="003F1CD8"/>
    <w:rsid w:val="0040622D"/>
    <w:rsid w:val="00415798"/>
    <w:rsid w:val="00424A89"/>
    <w:rsid w:val="004258A2"/>
    <w:rsid w:val="004262EC"/>
    <w:rsid w:val="00426E8F"/>
    <w:rsid w:val="004470C2"/>
    <w:rsid w:val="004564F7"/>
    <w:rsid w:val="004567F6"/>
    <w:rsid w:val="0045728F"/>
    <w:rsid w:val="00460608"/>
    <w:rsid w:val="00482031"/>
    <w:rsid w:val="00486604"/>
    <w:rsid w:val="0048701B"/>
    <w:rsid w:val="004941AD"/>
    <w:rsid w:val="004A5475"/>
    <w:rsid w:val="004A7166"/>
    <w:rsid w:val="004B17A7"/>
    <w:rsid w:val="004B59AB"/>
    <w:rsid w:val="004B62A2"/>
    <w:rsid w:val="004B64F5"/>
    <w:rsid w:val="004D5AC2"/>
    <w:rsid w:val="004D7B05"/>
    <w:rsid w:val="004E078E"/>
    <w:rsid w:val="004E59B6"/>
    <w:rsid w:val="00500CF4"/>
    <w:rsid w:val="005066FB"/>
    <w:rsid w:val="005136F1"/>
    <w:rsid w:val="00514D29"/>
    <w:rsid w:val="005205F9"/>
    <w:rsid w:val="005209B5"/>
    <w:rsid w:val="005227E8"/>
    <w:rsid w:val="005250BB"/>
    <w:rsid w:val="005272E4"/>
    <w:rsid w:val="00536394"/>
    <w:rsid w:val="00554F1D"/>
    <w:rsid w:val="0056784D"/>
    <w:rsid w:val="00573A42"/>
    <w:rsid w:val="0057662F"/>
    <w:rsid w:val="0058153F"/>
    <w:rsid w:val="00582E26"/>
    <w:rsid w:val="005865A6"/>
    <w:rsid w:val="005877E9"/>
    <w:rsid w:val="005950DB"/>
    <w:rsid w:val="00595F92"/>
    <w:rsid w:val="00596816"/>
    <w:rsid w:val="00597734"/>
    <w:rsid w:val="0059795E"/>
    <w:rsid w:val="005A198A"/>
    <w:rsid w:val="005A3F36"/>
    <w:rsid w:val="005A4521"/>
    <w:rsid w:val="005A7E8F"/>
    <w:rsid w:val="005B2B27"/>
    <w:rsid w:val="005B5B94"/>
    <w:rsid w:val="005B70AB"/>
    <w:rsid w:val="005B7D70"/>
    <w:rsid w:val="005C060E"/>
    <w:rsid w:val="005E0711"/>
    <w:rsid w:val="005E61F4"/>
    <w:rsid w:val="006028A3"/>
    <w:rsid w:val="006152A8"/>
    <w:rsid w:val="0062031A"/>
    <w:rsid w:val="00623005"/>
    <w:rsid w:val="00623834"/>
    <w:rsid w:val="00642ECA"/>
    <w:rsid w:val="0064578A"/>
    <w:rsid w:val="0065338A"/>
    <w:rsid w:val="00656D08"/>
    <w:rsid w:val="00670A94"/>
    <w:rsid w:val="0067266A"/>
    <w:rsid w:val="00676203"/>
    <w:rsid w:val="00676A21"/>
    <w:rsid w:val="00683BA6"/>
    <w:rsid w:val="0068501E"/>
    <w:rsid w:val="00685D86"/>
    <w:rsid w:val="00685DD9"/>
    <w:rsid w:val="006865D8"/>
    <w:rsid w:val="006B0B05"/>
    <w:rsid w:val="006C3B18"/>
    <w:rsid w:val="006D05C2"/>
    <w:rsid w:val="006D7E39"/>
    <w:rsid w:val="006E79DE"/>
    <w:rsid w:val="006E7DA5"/>
    <w:rsid w:val="006F0E0B"/>
    <w:rsid w:val="006F189F"/>
    <w:rsid w:val="006F6AAB"/>
    <w:rsid w:val="007057C6"/>
    <w:rsid w:val="00706838"/>
    <w:rsid w:val="007261E4"/>
    <w:rsid w:val="00727A0A"/>
    <w:rsid w:val="007304BC"/>
    <w:rsid w:val="00730968"/>
    <w:rsid w:val="00732782"/>
    <w:rsid w:val="007363A2"/>
    <w:rsid w:val="00742BA5"/>
    <w:rsid w:val="00747B30"/>
    <w:rsid w:val="00750C8B"/>
    <w:rsid w:val="007530D3"/>
    <w:rsid w:val="0075701F"/>
    <w:rsid w:val="00763CE9"/>
    <w:rsid w:val="00763E4D"/>
    <w:rsid w:val="0078095A"/>
    <w:rsid w:val="00792C33"/>
    <w:rsid w:val="007A2D44"/>
    <w:rsid w:val="007A3F9B"/>
    <w:rsid w:val="007B09BA"/>
    <w:rsid w:val="007B21C1"/>
    <w:rsid w:val="007B275F"/>
    <w:rsid w:val="007C444C"/>
    <w:rsid w:val="007C621B"/>
    <w:rsid w:val="007E2B61"/>
    <w:rsid w:val="007E6610"/>
    <w:rsid w:val="007F020E"/>
    <w:rsid w:val="007F0FC0"/>
    <w:rsid w:val="007F1E31"/>
    <w:rsid w:val="007F58E8"/>
    <w:rsid w:val="007F5991"/>
    <w:rsid w:val="00835992"/>
    <w:rsid w:val="00835C53"/>
    <w:rsid w:val="00837B7E"/>
    <w:rsid w:val="00846846"/>
    <w:rsid w:val="0084777D"/>
    <w:rsid w:val="00853098"/>
    <w:rsid w:val="00856FA9"/>
    <w:rsid w:val="00861BD5"/>
    <w:rsid w:val="00875715"/>
    <w:rsid w:val="008861EA"/>
    <w:rsid w:val="00887821"/>
    <w:rsid w:val="0089095B"/>
    <w:rsid w:val="00893DA2"/>
    <w:rsid w:val="00896B37"/>
    <w:rsid w:val="008A4720"/>
    <w:rsid w:val="008B4B18"/>
    <w:rsid w:val="008B586C"/>
    <w:rsid w:val="008B7E17"/>
    <w:rsid w:val="008D22C5"/>
    <w:rsid w:val="008D3E53"/>
    <w:rsid w:val="008E0BB1"/>
    <w:rsid w:val="008F0555"/>
    <w:rsid w:val="008F37A0"/>
    <w:rsid w:val="00906346"/>
    <w:rsid w:val="009077DC"/>
    <w:rsid w:val="0091220A"/>
    <w:rsid w:val="009265B4"/>
    <w:rsid w:val="00927B07"/>
    <w:rsid w:val="009369CA"/>
    <w:rsid w:val="009455A4"/>
    <w:rsid w:val="009523CF"/>
    <w:rsid w:val="00953BF7"/>
    <w:rsid w:val="009778F0"/>
    <w:rsid w:val="009848AD"/>
    <w:rsid w:val="00986450"/>
    <w:rsid w:val="009962DF"/>
    <w:rsid w:val="009A2C14"/>
    <w:rsid w:val="009A4210"/>
    <w:rsid w:val="009A5C03"/>
    <w:rsid w:val="009B11E3"/>
    <w:rsid w:val="009C1B33"/>
    <w:rsid w:val="009C21A9"/>
    <w:rsid w:val="009C7D43"/>
    <w:rsid w:val="009D009E"/>
    <w:rsid w:val="009D0AAC"/>
    <w:rsid w:val="009D506A"/>
    <w:rsid w:val="009E23A6"/>
    <w:rsid w:val="009E2699"/>
    <w:rsid w:val="009E7740"/>
    <w:rsid w:val="00A04A44"/>
    <w:rsid w:val="00A11CFC"/>
    <w:rsid w:val="00A1385D"/>
    <w:rsid w:val="00A25048"/>
    <w:rsid w:val="00A36F09"/>
    <w:rsid w:val="00A46719"/>
    <w:rsid w:val="00A472A0"/>
    <w:rsid w:val="00A65B19"/>
    <w:rsid w:val="00A71FDC"/>
    <w:rsid w:val="00A77D6F"/>
    <w:rsid w:val="00A84855"/>
    <w:rsid w:val="00A9760C"/>
    <w:rsid w:val="00AA1782"/>
    <w:rsid w:val="00AA22E4"/>
    <w:rsid w:val="00AB2269"/>
    <w:rsid w:val="00AB357B"/>
    <w:rsid w:val="00AB3D58"/>
    <w:rsid w:val="00AE0369"/>
    <w:rsid w:val="00AE184C"/>
    <w:rsid w:val="00AF146B"/>
    <w:rsid w:val="00B04E79"/>
    <w:rsid w:val="00B10716"/>
    <w:rsid w:val="00B125B9"/>
    <w:rsid w:val="00B162C6"/>
    <w:rsid w:val="00B16C5D"/>
    <w:rsid w:val="00B21E12"/>
    <w:rsid w:val="00B235DF"/>
    <w:rsid w:val="00B265F8"/>
    <w:rsid w:val="00B2681D"/>
    <w:rsid w:val="00B348F1"/>
    <w:rsid w:val="00B50EA8"/>
    <w:rsid w:val="00B51087"/>
    <w:rsid w:val="00B51928"/>
    <w:rsid w:val="00B52DCB"/>
    <w:rsid w:val="00B574A4"/>
    <w:rsid w:val="00B6411F"/>
    <w:rsid w:val="00B71809"/>
    <w:rsid w:val="00B82EFC"/>
    <w:rsid w:val="00B912D8"/>
    <w:rsid w:val="00B913B3"/>
    <w:rsid w:val="00BA27F5"/>
    <w:rsid w:val="00BA3264"/>
    <w:rsid w:val="00BA5B8A"/>
    <w:rsid w:val="00BB0626"/>
    <w:rsid w:val="00BB4477"/>
    <w:rsid w:val="00BB49F1"/>
    <w:rsid w:val="00BC24A7"/>
    <w:rsid w:val="00BC647F"/>
    <w:rsid w:val="00BD2EDB"/>
    <w:rsid w:val="00BE4869"/>
    <w:rsid w:val="00BE5C43"/>
    <w:rsid w:val="00BE6B70"/>
    <w:rsid w:val="00BE7AC1"/>
    <w:rsid w:val="00BF1AA5"/>
    <w:rsid w:val="00BF3C5E"/>
    <w:rsid w:val="00BF72E1"/>
    <w:rsid w:val="00C047F4"/>
    <w:rsid w:val="00C101D7"/>
    <w:rsid w:val="00C32C75"/>
    <w:rsid w:val="00C3490C"/>
    <w:rsid w:val="00C35D4A"/>
    <w:rsid w:val="00C362C7"/>
    <w:rsid w:val="00C41217"/>
    <w:rsid w:val="00C412CE"/>
    <w:rsid w:val="00C42F8F"/>
    <w:rsid w:val="00C502E2"/>
    <w:rsid w:val="00C527C4"/>
    <w:rsid w:val="00C559E3"/>
    <w:rsid w:val="00C65D33"/>
    <w:rsid w:val="00C70CD1"/>
    <w:rsid w:val="00C76FDF"/>
    <w:rsid w:val="00C830B3"/>
    <w:rsid w:val="00C85764"/>
    <w:rsid w:val="00C85A92"/>
    <w:rsid w:val="00C866C4"/>
    <w:rsid w:val="00C86760"/>
    <w:rsid w:val="00CB065F"/>
    <w:rsid w:val="00CB43DE"/>
    <w:rsid w:val="00CC0ECC"/>
    <w:rsid w:val="00CD023D"/>
    <w:rsid w:val="00CD08B4"/>
    <w:rsid w:val="00CD0FCE"/>
    <w:rsid w:val="00CD3CE5"/>
    <w:rsid w:val="00CD4652"/>
    <w:rsid w:val="00CD529E"/>
    <w:rsid w:val="00CF0EF3"/>
    <w:rsid w:val="00D057C4"/>
    <w:rsid w:val="00D21D95"/>
    <w:rsid w:val="00D22C45"/>
    <w:rsid w:val="00D23DD2"/>
    <w:rsid w:val="00D2743B"/>
    <w:rsid w:val="00D31B04"/>
    <w:rsid w:val="00D33127"/>
    <w:rsid w:val="00D3540C"/>
    <w:rsid w:val="00D4255A"/>
    <w:rsid w:val="00D44790"/>
    <w:rsid w:val="00D44A4E"/>
    <w:rsid w:val="00D458D6"/>
    <w:rsid w:val="00D51D4C"/>
    <w:rsid w:val="00D553C3"/>
    <w:rsid w:val="00D5737E"/>
    <w:rsid w:val="00D608CF"/>
    <w:rsid w:val="00D71F7A"/>
    <w:rsid w:val="00D83DEF"/>
    <w:rsid w:val="00D86754"/>
    <w:rsid w:val="00D93580"/>
    <w:rsid w:val="00D95C7B"/>
    <w:rsid w:val="00DA36CB"/>
    <w:rsid w:val="00DA3AE9"/>
    <w:rsid w:val="00DA777F"/>
    <w:rsid w:val="00DB032C"/>
    <w:rsid w:val="00DB5B21"/>
    <w:rsid w:val="00DC2D20"/>
    <w:rsid w:val="00DC637C"/>
    <w:rsid w:val="00DD3A36"/>
    <w:rsid w:val="00DD5439"/>
    <w:rsid w:val="00DD788C"/>
    <w:rsid w:val="00DE35FC"/>
    <w:rsid w:val="00DF06D8"/>
    <w:rsid w:val="00DF31D7"/>
    <w:rsid w:val="00DF3D17"/>
    <w:rsid w:val="00DF67DC"/>
    <w:rsid w:val="00E008B1"/>
    <w:rsid w:val="00E03FA6"/>
    <w:rsid w:val="00E051C0"/>
    <w:rsid w:val="00E10AF1"/>
    <w:rsid w:val="00E14D80"/>
    <w:rsid w:val="00E14FC4"/>
    <w:rsid w:val="00E20AD2"/>
    <w:rsid w:val="00E2582E"/>
    <w:rsid w:val="00E2618D"/>
    <w:rsid w:val="00E30A16"/>
    <w:rsid w:val="00E34A16"/>
    <w:rsid w:val="00E42B3E"/>
    <w:rsid w:val="00E44660"/>
    <w:rsid w:val="00E44887"/>
    <w:rsid w:val="00E46FD6"/>
    <w:rsid w:val="00E47FB4"/>
    <w:rsid w:val="00E52A5E"/>
    <w:rsid w:val="00E52B76"/>
    <w:rsid w:val="00E53854"/>
    <w:rsid w:val="00E60CEA"/>
    <w:rsid w:val="00E6543F"/>
    <w:rsid w:val="00E93394"/>
    <w:rsid w:val="00EA38D7"/>
    <w:rsid w:val="00EA524E"/>
    <w:rsid w:val="00EA7ECC"/>
    <w:rsid w:val="00EB01E7"/>
    <w:rsid w:val="00EB0348"/>
    <w:rsid w:val="00EB0C6A"/>
    <w:rsid w:val="00EB18BB"/>
    <w:rsid w:val="00EB3B1F"/>
    <w:rsid w:val="00EB4703"/>
    <w:rsid w:val="00EC4018"/>
    <w:rsid w:val="00EC7E57"/>
    <w:rsid w:val="00ED0958"/>
    <w:rsid w:val="00ED2E41"/>
    <w:rsid w:val="00EE4D0F"/>
    <w:rsid w:val="00EF0167"/>
    <w:rsid w:val="00EF0BA0"/>
    <w:rsid w:val="00F04968"/>
    <w:rsid w:val="00F1703C"/>
    <w:rsid w:val="00F26EC3"/>
    <w:rsid w:val="00F367CA"/>
    <w:rsid w:val="00F40185"/>
    <w:rsid w:val="00F44CD0"/>
    <w:rsid w:val="00F476F4"/>
    <w:rsid w:val="00F5634F"/>
    <w:rsid w:val="00F61B7B"/>
    <w:rsid w:val="00F70A5D"/>
    <w:rsid w:val="00F752F0"/>
    <w:rsid w:val="00F85637"/>
    <w:rsid w:val="00F8720F"/>
    <w:rsid w:val="00F90362"/>
    <w:rsid w:val="00F91F9C"/>
    <w:rsid w:val="00FA2AA7"/>
    <w:rsid w:val="00FA3EE6"/>
    <w:rsid w:val="00FA3FEB"/>
    <w:rsid w:val="00FA56E3"/>
    <w:rsid w:val="00FA7C1E"/>
    <w:rsid w:val="00FB0306"/>
    <w:rsid w:val="00FB0F84"/>
    <w:rsid w:val="00FB1559"/>
    <w:rsid w:val="00FC37FA"/>
    <w:rsid w:val="00FC41AB"/>
    <w:rsid w:val="00FD17E4"/>
    <w:rsid w:val="00FD4216"/>
    <w:rsid w:val="00FD6745"/>
    <w:rsid w:val="00FE6D36"/>
    <w:rsid w:val="00FE7C30"/>
    <w:rsid w:val="00FF2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C4"/>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5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uiPriority w:val="99"/>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9077DC"/>
    <w:pPr>
      <w:numPr>
        <w:ilvl w:val="5"/>
      </w:numPr>
    </w:pPr>
  </w:style>
  <w:style w:type="paragraph" w:customStyle="1" w:styleId="NumberLevel7">
    <w:name w:val="Number Level 7"/>
    <w:basedOn w:val="NumberLevel6"/>
    <w:rsid w:val="009077DC"/>
    <w:pPr>
      <w:numPr>
        <w:ilvl w:val="6"/>
      </w:numPr>
    </w:pPr>
  </w:style>
  <w:style w:type="paragraph" w:customStyle="1" w:styleId="NumberLevel8">
    <w:name w:val="Number Level 8"/>
    <w:basedOn w:val="NumberLevel7"/>
    <w:rsid w:val="009077DC"/>
    <w:pPr>
      <w:numPr>
        <w:ilvl w:val="7"/>
      </w:numPr>
    </w:pPr>
  </w:style>
  <w:style w:type="paragraph" w:customStyle="1" w:styleId="NumberLevel9">
    <w:name w:val="Number Level 9"/>
    <w:basedOn w:val="NumberLevel8"/>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semiHidden/>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14"/>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14"/>
      </w:numPr>
      <w:autoSpaceDE/>
      <w:autoSpaceDN/>
      <w:adjustRightInd/>
      <w:spacing w:before="120" w:after="120"/>
    </w:pPr>
    <w:rPr>
      <w:sz w:val="22"/>
      <w:szCs w:val="20"/>
    </w:rPr>
  </w:style>
  <w:style w:type="numbering" w:customStyle="1" w:styleId="DotPointList">
    <w:name w:val="Dot Point List"/>
    <w:uiPriority w:val="99"/>
    <w:rsid w:val="009C1B33"/>
    <w:pPr>
      <w:numPr>
        <w:numId w:val="14"/>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C4"/>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5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uiPriority w:val="99"/>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basedOn w:val="Normal"/>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9077DC"/>
    <w:pPr>
      <w:numPr>
        <w:ilvl w:val="5"/>
      </w:numPr>
    </w:pPr>
  </w:style>
  <w:style w:type="paragraph" w:customStyle="1" w:styleId="NumberLevel7">
    <w:name w:val="Number Level 7"/>
    <w:basedOn w:val="NumberLevel6"/>
    <w:rsid w:val="009077DC"/>
    <w:pPr>
      <w:numPr>
        <w:ilvl w:val="6"/>
      </w:numPr>
    </w:pPr>
  </w:style>
  <w:style w:type="paragraph" w:customStyle="1" w:styleId="NumberLevel8">
    <w:name w:val="Number Level 8"/>
    <w:basedOn w:val="NumberLevel7"/>
    <w:rsid w:val="009077DC"/>
    <w:pPr>
      <w:numPr>
        <w:ilvl w:val="7"/>
      </w:numPr>
    </w:pPr>
  </w:style>
  <w:style w:type="paragraph" w:customStyle="1" w:styleId="NumberLevel9">
    <w:name w:val="Number Level 9"/>
    <w:basedOn w:val="NumberLevel8"/>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semiHidden/>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14"/>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14"/>
      </w:numPr>
      <w:autoSpaceDE/>
      <w:autoSpaceDN/>
      <w:adjustRightInd/>
      <w:spacing w:before="120" w:after="120"/>
    </w:pPr>
    <w:rPr>
      <w:sz w:val="22"/>
      <w:szCs w:val="20"/>
    </w:rPr>
  </w:style>
  <w:style w:type="numbering" w:customStyle="1" w:styleId="DotPointList">
    <w:name w:val="Dot Point List"/>
    <w:uiPriority w:val="99"/>
    <w:rsid w:val="009C1B33"/>
    <w:pPr>
      <w:numPr>
        <w:numId w:val="14"/>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4492">
      <w:bodyDiv w:val="1"/>
      <w:marLeft w:val="0"/>
      <w:marRight w:val="0"/>
      <w:marTop w:val="0"/>
      <w:marBottom w:val="0"/>
      <w:divBdr>
        <w:top w:val="none" w:sz="0" w:space="0" w:color="auto"/>
        <w:left w:val="none" w:sz="0" w:space="0" w:color="auto"/>
        <w:bottom w:val="none" w:sz="0" w:space="0" w:color="auto"/>
        <w:right w:val="none" w:sz="0" w:space="0" w:color="auto"/>
      </w:divBdr>
    </w:div>
    <w:div w:id="8433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AECD-1F4D-4412-9A7A-F875628C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3004</Words>
  <Characters>16433</Characters>
  <Application>Microsoft Office Word</Application>
  <DocSecurity>0</DocSecurity>
  <Lines>1825</Lines>
  <Paragraphs>925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Hilhorst, Matt</cp:lastModifiedBy>
  <cp:revision>9</cp:revision>
  <cp:lastPrinted>2013-06-05T00:08:00Z</cp:lastPrinted>
  <dcterms:created xsi:type="dcterms:W3CDTF">2013-06-05T00:05:00Z</dcterms:created>
  <dcterms:modified xsi:type="dcterms:W3CDTF">2013-06-05T00:48:00Z</dcterms:modified>
</cp:coreProperties>
</file>