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20"/>
      </w:tblGrid>
      <w:tr w:rsidR="006F6284" w:rsidTr="00584285">
        <w:tc>
          <w:tcPr>
            <w:tcW w:w="8720" w:type="dxa"/>
          </w:tcPr>
          <w:p w:rsidR="00584285" w:rsidRPr="00821BCB" w:rsidRDefault="00821BCB" w:rsidP="005E3C2C">
            <w:pPr>
              <w:pStyle w:val="Title"/>
              <w:rPr>
                <w:sz w:val="40"/>
                <w:szCs w:val="40"/>
              </w:rPr>
            </w:pPr>
            <w:r w:rsidRPr="00821BCB">
              <w:rPr>
                <w:sz w:val="40"/>
                <w:szCs w:val="40"/>
              </w:rPr>
              <w:t>Regulation impact statement for revision of manufacturing and technical standard requirements for human blood, human blood components, human tissues and human cell therapy products</w:t>
            </w:r>
          </w:p>
        </w:tc>
      </w:tr>
      <w:tr w:rsidR="006F6284" w:rsidTr="00584285">
        <w:trPr>
          <w:trHeight w:val="1916"/>
        </w:trPr>
        <w:tc>
          <w:tcPr>
            <w:tcW w:w="8720" w:type="dxa"/>
          </w:tcPr>
          <w:p w:rsidR="00EF6895" w:rsidRPr="00B24FF5" w:rsidRDefault="00EF6895" w:rsidP="00816164">
            <w:pPr>
              <w:pStyle w:val="Subtitle"/>
              <w:ind w:left="0"/>
            </w:pPr>
          </w:p>
        </w:tc>
      </w:tr>
      <w:tr w:rsidR="006F6284" w:rsidTr="00584285">
        <w:tc>
          <w:tcPr>
            <w:tcW w:w="8720" w:type="dxa"/>
          </w:tcPr>
          <w:p w:rsidR="00816164" w:rsidRPr="00816164" w:rsidRDefault="000D7B8C" w:rsidP="005E3C2C">
            <w:pPr>
              <w:pStyle w:val="Date"/>
            </w:pPr>
            <w:r>
              <w:rPr>
                <w:noProof/>
                <w:lang w:eastAsia="en-AU"/>
              </w:rPr>
              <w:drawing>
                <wp:anchor distT="0" distB="0" distL="114300" distR="114300" simplePos="0" relativeHeight="251656191" behindDoc="1" locked="0" layoutInCell="0" allowOverlap="1">
                  <wp:simplePos x="0" y="0"/>
                  <wp:positionH relativeFrom="page">
                    <wp:posOffset>-2540</wp:posOffset>
                  </wp:positionH>
                  <wp:positionV relativeFrom="page">
                    <wp:posOffset>4830445</wp:posOffset>
                  </wp:positionV>
                  <wp:extent cx="7581265" cy="2450465"/>
                  <wp:effectExtent l="19050" t="0" r="635" b="0"/>
                  <wp:wrapNone/>
                  <wp:docPr id="8" name="Picture 5"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letct\Desktop\TGA-Swoosh-w-Wordmark-CMYK.gif"/>
                          <pic:cNvPicPr>
                            <a:picLocks noChangeAspect="1" noChangeArrowheads="1"/>
                          </pic:cNvPicPr>
                        </pic:nvPicPr>
                        <pic:blipFill>
                          <a:blip r:embed="rId8" cstate="print"/>
                          <a:srcRect/>
                          <a:stretch>
                            <a:fillRect/>
                          </a:stretch>
                        </pic:blipFill>
                        <pic:spPr bwMode="auto">
                          <a:xfrm>
                            <a:off x="0" y="0"/>
                            <a:ext cx="7581265" cy="2450465"/>
                          </a:xfrm>
                          <a:prstGeom prst="rect">
                            <a:avLst/>
                          </a:prstGeom>
                          <a:noFill/>
                          <a:ln w="9525">
                            <a:noFill/>
                            <a:miter lim="800000"/>
                            <a:headEnd/>
                            <a:tailEnd/>
                          </a:ln>
                        </pic:spPr>
                      </pic:pic>
                    </a:graphicData>
                  </a:graphic>
                </wp:anchor>
              </w:drawing>
            </w:r>
            <w:r w:rsidR="006F6284" w:rsidRPr="006F6284">
              <w:t>Versio</w:t>
            </w:r>
            <w:r w:rsidR="0015015C">
              <w:t xml:space="preserve">n </w:t>
            </w:r>
            <w:r w:rsidR="00F76070">
              <w:t>1.0</w:t>
            </w:r>
            <w:r w:rsidR="00821BCB">
              <w:t xml:space="preserve">, </w:t>
            </w:r>
            <w:r w:rsidR="005E3C2C">
              <w:t xml:space="preserve">January </w:t>
            </w:r>
            <w:r w:rsidR="006F6284" w:rsidRPr="006F6284">
              <w:t>201</w:t>
            </w:r>
            <w:r w:rsidR="00407C2E">
              <w:t>3</w:t>
            </w:r>
          </w:p>
        </w:tc>
      </w:tr>
    </w:tbl>
    <w:p w:rsidR="00EF6895" w:rsidRDefault="00EF6895" w:rsidP="00B24FF5">
      <w:pPr>
        <w:pStyle w:val="ListBullet"/>
        <w:numPr>
          <w:ilvl w:val="0"/>
          <w:numId w:val="0"/>
        </w:numPr>
      </w:pPr>
    </w:p>
    <w:p w:rsidR="00B24FF5" w:rsidRDefault="00B24FF5" w:rsidP="00B24FF5">
      <w:pPr>
        <w:pStyle w:val="ListBullet"/>
        <w:numPr>
          <w:ilvl w:val="0"/>
          <w:numId w:val="0"/>
        </w:numPr>
      </w:pPr>
    </w:p>
    <w:p w:rsidR="00B24FF5" w:rsidRDefault="00B24FF5" w:rsidP="00B24FF5">
      <w:pPr>
        <w:pStyle w:val="ListBullet"/>
        <w:numPr>
          <w:ilvl w:val="0"/>
          <w:numId w:val="0"/>
        </w:numPr>
        <w:sectPr w:rsidR="00B24FF5" w:rsidSect="00535D8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2807" w:right="1701" w:bottom="0" w:left="1701" w:header="992" w:footer="0" w:gutter="0"/>
          <w:cols w:space="708"/>
          <w:titlePg/>
          <w:docGrid w:linePitch="360"/>
        </w:sectPr>
      </w:pPr>
    </w:p>
    <w:p w:rsidR="00584285" w:rsidRDefault="003A6BEC">
      <w:pPr>
        <w:spacing w:before="0" w:after="0" w:line="240" w:lineRule="auto"/>
      </w:pPr>
      <w:r>
        <w:rPr>
          <w:noProof/>
        </w:rP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303" o:spid="_x0000_s1027" type="#_x0000_t136" style="position:absolute;margin-left:-20.65pt;margin-top:231.8pt;width:535.5pt;height:202.5pt;rotation:315;z-index:251660288;mso-position-horizontal-relative:margin;mso-position-vertical-relative:margin" o:allowincell="f" filled="f" fillcolor="#4a8485" stroked="f">
            <v:fill opacity="11141f"/>
            <v:textpath style="font-family:&quot;Arial Black&quot;;font-size:2in" string="DRAFT"/>
            <w10:wrap anchorx="margin" anchory="margin"/>
          </v:shape>
        </w:pict>
      </w:r>
      <w:r w:rsidR="00584285">
        <w:br w:type="page"/>
      </w:r>
    </w:p>
    <w:p w:rsidR="00B21FC5" w:rsidRPr="00F3529E" w:rsidRDefault="00B21FC5" w:rsidP="0014247A">
      <w:pPr>
        <w:pStyle w:val="NonTOCHeading2"/>
      </w:pPr>
      <w:r w:rsidRPr="00B21FC5">
        <w:lastRenderedPageBreak/>
        <w:t>About the Therapeutic Goods Administration (TGA)</w:t>
      </w:r>
    </w:p>
    <w:p w:rsidR="00B21FC5" w:rsidRPr="00B21FC5" w:rsidRDefault="00B21FC5" w:rsidP="00B21FC5">
      <w:pPr>
        <w:pStyle w:val="ListBullet"/>
      </w:pPr>
      <w:r w:rsidRPr="00B21FC5">
        <w:t>The TGA is a division of the Australian Government Department of Health and Ageing, and is</w:t>
      </w:r>
      <w:r>
        <w:t xml:space="preserve"> </w:t>
      </w:r>
      <w:r w:rsidRPr="00B21FC5">
        <w:t>responsible for regulating medicines</w:t>
      </w:r>
      <w:r w:rsidR="00AF164B">
        <w:t>, biologicals</w:t>
      </w:r>
      <w:r w:rsidRPr="00B21FC5">
        <w:t xml:space="preserve"> and medical devices.</w:t>
      </w:r>
    </w:p>
    <w:p w:rsidR="00B21FC5" w:rsidRPr="00B21FC5" w:rsidRDefault="00B21FC5" w:rsidP="00B21FC5">
      <w:pPr>
        <w:pStyle w:val="ListBullet"/>
      </w:pPr>
      <w:r w:rsidRPr="00B21FC5">
        <w:t xml:space="preserve"> TGA administers the </w:t>
      </w:r>
      <w:r w:rsidRPr="00B21FC5">
        <w:rPr>
          <w:i/>
          <w:iCs/>
        </w:rPr>
        <w:t xml:space="preserve">Therapeutic Goods Act </w:t>
      </w:r>
      <w:r w:rsidRPr="00B21FC5">
        <w:t>1989 (the Act), applying a risk management</w:t>
      </w:r>
      <w:r>
        <w:t xml:space="preserve"> </w:t>
      </w:r>
      <w:r w:rsidRPr="00B21FC5">
        <w:t>approach designed to ensure therapeutic goods supplied in Australia meet acceptable standards</w:t>
      </w:r>
      <w:r>
        <w:t xml:space="preserve"> </w:t>
      </w:r>
      <w:r w:rsidRPr="00B21FC5">
        <w:t>of quality, safety and efficacy (performance), when necessary.</w:t>
      </w:r>
    </w:p>
    <w:p w:rsidR="00B21FC5" w:rsidRPr="00B21FC5" w:rsidRDefault="00B21FC5" w:rsidP="00B21FC5">
      <w:pPr>
        <w:pStyle w:val="ListBullet"/>
      </w:pPr>
      <w:r w:rsidRPr="00B21FC5">
        <w:t>The work of the TGA is based on applying scientific and clinical expertise to decision-making, to</w:t>
      </w:r>
      <w:r>
        <w:t xml:space="preserve"> </w:t>
      </w:r>
      <w:r w:rsidRPr="00B21FC5">
        <w:t>ensure that the benefits to consumers outweigh any risks associated with the use of medicines</w:t>
      </w:r>
      <w:r w:rsidR="008A273C">
        <w:t>, biologicals</w:t>
      </w:r>
      <w:r>
        <w:t xml:space="preserve"> </w:t>
      </w:r>
      <w:r w:rsidRPr="00B21FC5">
        <w:t>and medical devices.</w:t>
      </w:r>
    </w:p>
    <w:p w:rsidR="00B21FC5" w:rsidRPr="00B21FC5" w:rsidRDefault="00B21FC5" w:rsidP="00B21FC5">
      <w:pPr>
        <w:pStyle w:val="ListBullet"/>
      </w:pPr>
      <w:r w:rsidRPr="00B21FC5">
        <w:t>The TGA relies on the public, healthcare professionals and industry to report problems</w:t>
      </w:r>
      <w:r>
        <w:t xml:space="preserve"> </w:t>
      </w:r>
      <w:r w:rsidRPr="00B21FC5">
        <w:t>with medicines</w:t>
      </w:r>
      <w:r w:rsidR="00AF164B">
        <w:t>, biologicals and</w:t>
      </w:r>
      <w:r w:rsidRPr="00B21FC5">
        <w:t xml:space="preserve"> or medical devices. TGA investigates reports received to determine any</w:t>
      </w:r>
      <w:r>
        <w:t xml:space="preserve"> </w:t>
      </w:r>
      <w:r w:rsidRPr="00B21FC5">
        <w:t>necessary regulatory action.</w:t>
      </w:r>
    </w:p>
    <w:p w:rsidR="005D1689" w:rsidRDefault="00B21FC5" w:rsidP="00DD76DE">
      <w:pPr>
        <w:pStyle w:val="ListBullet"/>
      </w:pPr>
      <w:r w:rsidRPr="00B21FC5">
        <w:t>To report a problem with a medicine</w:t>
      </w:r>
      <w:r w:rsidR="008A273C">
        <w:t>, biological</w:t>
      </w:r>
      <w:r w:rsidRPr="00B21FC5">
        <w:t xml:space="preserve"> or medical device, please see the information on the TGA</w:t>
      </w:r>
      <w:r>
        <w:t xml:space="preserve"> w</w:t>
      </w:r>
      <w:r w:rsidRPr="00B21FC5">
        <w:t>ebsite</w:t>
      </w:r>
      <w:r w:rsidR="00753A56">
        <w:t xml:space="preserve"> </w:t>
      </w:r>
      <w:r w:rsidR="00753A56">
        <w:rPr>
          <w:rFonts w:cs="Arial"/>
          <w:lang w:val="en-GB"/>
        </w:rPr>
        <w:t>&lt;</w:t>
      </w:r>
      <w:hyperlink r:id="rId15" w:history="1">
        <w:r w:rsidR="00753A56" w:rsidRPr="00753A56">
          <w:rPr>
            <w:rStyle w:val="Hyperlink"/>
          </w:rPr>
          <w:t>www.tga.gov.au</w:t>
        </w:r>
      </w:hyperlink>
      <w:r w:rsidR="00753A56">
        <w:rPr>
          <w:rFonts w:cs="Arial"/>
          <w:lang w:val="en-GB"/>
        </w:rPr>
        <w:t>&gt;.</w:t>
      </w:r>
    </w:p>
    <w:p w:rsidR="005D1689" w:rsidRPr="00DF1D7F" w:rsidRDefault="005D1689" w:rsidP="00E91E9F">
      <w:pPr>
        <w:pStyle w:val="LegalSubheading"/>
        <w:spacing w:before="6600"/>
      </w:pPr>
      <w:r w:rsidRPr="00DF1D7F">
        <w:t>Copyright</w:t>
      </w:r>
    </w:p>
    <w:p w:rsidR="00E177F4" w:rsidRDefault="005D1689" w:rsidP="00E177F4">
      <w:pPr>
        <w:pStyle w:val="LegalCopy"/>
        <w:rPr>
          <w:rFonts w:cs="Arial"/>
        </w:rPr>
      </w:pPr>
      <w:r w:rsidRPr="00191B3B">
        <w:rPr>
          <w:rFonts w:cs="Arial"/>
          <w:lang w:val="en-GB"/>
        </w:rPr>
        <w:t>© Comm</w:t>
      </w:r>
      <w:r>
        <w:rPr>
          <w:rFonts w:cs="Arial"/>
          <w:lang w:val="en-GB"/>
        </w:rPr>
        <w:t>onwealth of Australia 201</w:t>
      </w:r>
      <w:r w:rsidR="000D7B8C">
        <w:rPr>
          <w:rFonts w:cs="Arial"/>
          <w:lang w:val="en-GB"/>
        </w:rPr>
        <w:t>3</w:t>
      </w:r>
      <w:r w:rsidRPr="00191B3B">
        <w:rPr>
          <w:rFonts w:cs="Arial"/>
          <w:lang w:val="en-GB"/>
        </w:rPr>
        <w:br/>
      </w:r>
      <w:r w:rsidR="00AF164B" w:rsidRPr="00191B3B">
        <w:rPr>
          <w:rFonts w:cs="Arial"/>
          <w:lang w:val="en-GB"/>
        </w:rPr>
        <w:t>this</w:t>
      </w:r>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6" w:history="1">
        <w:r w:rsidRPr="00191B3B">
          <w:rPr>
            <w:rStyle w:val="Hyperlink"/>
            <w:rFonts w:cs="Arial"/>
            <w:lang w:val="en-GB"/>
          </w:rPr>
          <w:t>tga.copyright@tga.gov.au</w:t>
        </w:r>
      </w:hyperlink>
      <w:r w:rsidRPr="00191B3B">
        <w:rPr>
          <w:rFonts w:cs="Arial"/>
        </w:rPr>
        <w:t>&gt;.</w:t>
      </w:r>
    </w:p>
    <w:p w:rsidR="00404B57" w:rsidRDefault="00404B57" w:rsidP="00E177F4">
      <w:pPr>
        <w:pStyle w:val="LegalCopy"/>
        <w:rPr>
          <w:rFonts w:cs="Arial"/>
        </w:rPr>
      </w:pPr>
    </w:p>
    <w:p w:rsidR="000B30E5" w:rsidRDefault="000B30E5" w:rsidP="00E177F4">
      <w:pPr>
        <w:pStyle w:val="NonTOCHeading2"/>
      </w:pPr>
      <w:r>
        <w:t>Version history</w:t>
      </w:r>
    </w:p>
    <w:tbl>
      <w:tblPr>
        <w:tblStyle w:val="TableTGAblack"/>
        <w:tblW w:w="9038" w:type="dxa"/>
        <w:tblLayout w:type="fixed"/>
        <w:tblLook w:val="04A0"/>
      </w:tblPr>
      <w:tblGrid>
        <w:gridCol w:w="1276"/>
        <w:gridCol w:w="3242"/>
        <w:gridCol w:w="2712"/>
        <w:gridCol w:w="1808"/>
      </w:tblGrid>
      <w:tr w:rsidR="000B30E5" w:rsidTr="00CB73C5">
        <w:trPr>
          <w:cnfStyle w:val="100000000000"/>
        </w:trPr>
        <w:tc>
          <w:tcPr>
            <w:cnfStyle w:val="000000000100"/>
            <w:tcW w:w="1276" w:type="dxa"/>
          </w:tcPr>
          <w:p w:rsidR="000B30E5" w:rsidRDefault="000B30E5" w:rsidP="00301FA3">
            <w:r>
              <w:t>Version</w:t>
            </w:r>
          </w:p>
        </w:tc>
        <w:tc>
          <w:tcPr>
            <w:tcW w:w="3242" w:type="dxa"/>
          </w:tcPr>
          <w:p w:rsidR="000B30E5" w:rsidRDefault="000B30E5" w:rsidP="00301FA3">
            <w:pPr>
              <w:cnfStyle w:val="100000000000"/>
            </w:pPr>
            <w:r>
              <w:t>Description of change</w:t>
            </w:r>
          </w:p>
        </w:tc>
        <w:tc>
          <w:tcPr>
            <w:tcW w:w="2712" w:type="dxa"/>
          </w:tcPr>
          <w:p w:rsidR="000B30E5" w:rsidRDefault="000B30E5" w:rsidP="00301FA3">
            <w:pPr>
              <w:cnfStyle w:val="100000000000"/>
            </w:pPr>
            <w:r>
              <w:t>Author</w:t>
            </w:r>
          </w:p>
        </w:tc>
        <w:tc>
          <w:tcPr>
            <w:tcW w:w="1808" w:type="dxa"/>
          </w:tcPr>
          <w:p w:rsidR="000B30E5" w:rsidRDefault="000B30E5" w:rsidP="00301FA3">
            <w:pPr>
              <w:cnfStyle w:val="100000000000"/>
            </w:pPr>
            <w:r>
              <w:t>Effective date</w:t>
            </w:r>
          </w:p>
        </w:tc>
      </w:tr>
      <w:tr w:rsidR="000B30E5" w:rsidTr="00D85417">
        <w:trPr>
          <w:trHeight w:val="1418"/>
        </w:trPr>
        <w:tc>
          <w:tcPr>
            <w:tcW w:w="1276" w:type="dxa"/>
          </w:tcPr>
          <w:p w:rsidR="000B30E5" w:rsidRDefault="000B30E5" w:rsidP="00301FA3">
            <w:r>
              <w:t>V1.0</w:t>
            </w:r>
          </w:p>
        </w:tc>
        <w:tc>
          <w:tcPr>
            <w:tcW w:w="3242" w:type="dxa"/>
          </w:tcPr>
          <w:p w:rsidR="000B30E5" w:rsidRDefault="00E47660" w:rsidP="00301FA3">
            <w:r>
              <w:t>Original Publication</w:t>
            </w:r>
          </w:p>
        </w:tc>
        <w:tc>
          <w:tcPr>
            <w:tcW w:w="2712" w:type="dxa"/>
          </w:tcPr>
          <w:p w:rsidR="000B30E5" w:rsidRDefault="004A720C" w:rsidP="00301FA3">
            <w:r>
              <w:t>Office of Scientific Evaluation/ Office of Manufacturing Quality</w:t>
            </w:r>
          </w:p>
        </w:tc>
        <w:tc>
          <w:tcPr>
            <w:tcW w:w="1808" w:type="dxa"/>
          </w:tcPr>
          <w:p w:rsidR="000B30E5" w:rsidRDefault="000B30E5" w:rsidP="00301FA3">
            <w:r>
              <w:t>XX/XX/XX</w:t>
            </w:r>
          </w:p>
        </w:tc>
      </w:tr>
      <w:tr w:rsidR="000B30E5" w:rsidTr="00D85417">
        <w:trPr>
          <w:trHeight w:val="1418"/>
        </w:trPr>
        <w:tc>
          <w:tcPr>
            <w:tcW w:w="1276" w:type="dxa"/>
          </w:tcPr>
          <w:p w:rsidR="000B30E5" w:rsidRDefault="000B30E5" w:rsidP="00301FA3"/>
        </w:tc>
        <w:tc>
          <w:tcPr>
            <w:tcW w:w="3242" w:type="dxa"/>
          </w:tcPr>
          <w:p w:rsidR="000B30E5" w:rsidRDefault="000B30E5" w:rsidP="00301FA3"/>
        </w:tc>
        <w:tc>
          <w:tcPr>
            <w:tcW w:w="2712" w:type="dxa"/>
          </w:tcPr>
          <w:p w:rsidR="000B30E5" w:rsidRDefault="000B30E5" w:rsidP="00301FA3"/>
        </w:tc>
        <w:tc>
          <w:tcPr>
            <w:tcW w:w="1808" w:type="dxa"/>
          </w:tcPr>
          <w:p w:rsidR="000B30E5" w:rsidRDefault="000B30E5" w:rsidP="00301FA3"/>
        </w:tc>
      </w:tr>
      <w:tr w:rsidR="000B30E5" w:rsidTr="00D85417">
        <w:trPr>
          <w:trHeight w:val="1418"/>
        </w:trPr>
        <w:tc>
          <w:tcPr>
            <w:tcW w:w="1276" w:type="dxa"/>
          </w:tcPr>
          <w:p w:rsidR="000B30E5" w:rsidRDefault="000B30E5" w:rsidP="00301FA3"/>
        </w:tc>
        <w:tc>
          <w:tcPr>
            <w:tcW w:w="3242" w:type="dxa"/>
          </w:tcPr>
          <w:p w:rsidR="000B30E5" w:rsidRDefault="000B30E5" w:rsidP="00301FA3"/>
        </w:tc>
        <w:tc>
          <w:tcPr>
            <w:tcW w:w="2712" w:type="dxa"/>
          </w:tcPr>
          <w:p w:rsidR="000B30E5" w:rsidRDefault="000B30E5" w:rsidP="00301FA3"/>
        </w:tc>
        <w:tc>
          <w:tcPr>
            <w:tcW w:w="1808" w:type="dxa"/>
          </w:tcPr>
          <w:p w:rsidR="000B30E5" w:rsidRDefault="000B30E5" w:rsidP="00301FA3"/>
        </w:tc>
      </w:tr>
    </w:tbl>
    <w:p w:rsidR="00F427F0" w:rsidRDefault="00F427F0" w:rsidP="00F427F0"/>
    <w:p w:rsidR="000D0851" w:rsidRDefault="000D0851" w:rsidP="00F427F0">
      <w:pPr>
        <w:spacing w:before="0" w:after="0" w:line="240" w:lineRule="auto"/>
      </w:pPr>
      <w:r>
        <w:br w:type="page"/>
      </w:r>
    </w:p>
    <w:sdt>
      <w:sdtPr>
        <w:rPr>
          <w:rFonts w:ascii="Cambria" w:hAnsi="Cambria"/>
          <w:b w:val="0"/>
          <w:sz w:val="22"/>
        </w:rPr>
        <w:id w:val="5618017"/>
        <w:docPartObj>
          <w:docPartGallery w:val="Table of Contents"/>
          <w:docPartUnique/>
        </w:docPartObj>
      </w:sdtPr>
      <w:sdtEndPr>
        <w:rPr>
          <w:sz w:val="21"/>
        </w:rPr>
      </w:sdtEndPr>
      <w:sdtContent>
        <w:p w:rsidR="00FE206C" w:rsidRPr="005D1689" w:rsidRDefault="00FE206C" w:rsidP="005D1689">
          <w:pPr>
            <w:pStyle w:val="Contents"/>
          </w:pPr>
          <w:r w:rsidRPr="005D1689">
            <w:t>Contents</w:t>
          </w:r>
        </w:p>
        <w:p w:rsidR="00DA55DF" w:rsidRDefault="003A6BEC">
          <w:pPr>
            <w:pStyle w:val="TOC1"/>
            <w:rPr>
              <w:rFonts w:asciiTheme="minorHAnsi" w:eastAsiaTheme="minorEastAsia" w:hAnsiTheme="minorHAnsi" w:cstheme="minorBidi"/>
              <w:b w:val="0"/>
              <w:noProof/>
              <w:sz w:val="22"/>
              <w:lang w:eastAsia="en-AU"/>
            </w:rPr>
          </w:pPr>
          <w:r w:rsidRPr="003A6BEC">
            <w:rPr>
              <w:b w:val="0"/>
            </w:rPr>
            <w:fldChar w:fldCharType="begin"/>
          </w:r>
          <w:r w:rsidR="002E193A">
            <w:rPr>
              <w:b w:val="0"/>
            </w:rPr>
            <w:instrText xml:space="preserve"> TOC \h \z \u \t "Heading 2,1,Heading 3,2,Heading 4,3" </w:instrText>
          </w:r>
          <w:r w:rsidRPr="003A6BEC">
            <w:rPr>
              <w:b w:val="0"/>
            </w:rPr>
            <w:fldChar w:fldCharType="separate"/>
          </w:r>
          <w:hyperlink w:anchor="_Toc341452816" w:history="1">
            <w:r w:rsidR="00DA55DF" w:rsidRPr="00050CE5">
              <w:rPr>
                <w:rStyle w:val="Hyperlink"/>
                <w:noProof/>
              </w:rPr>
              <w:t>Introduction</w:t>
            </w:r>
            <w:r w:rsidR="00DA55DF">
              <w:rPr>
                <w:noProof/>
                <w:webHidden/>
              </w:rPr>
              <w:tab/>
            </w:r>
            <w:r>
              <w:rPr>
                <w:noProof/>
                <w:webHidden/>
              </w:rPr>
              <w:fldChar w:fldCharType="begin"/>
            </w:r>
            <w:r w:rsidR="00DA55DF">
              <w:rPr>
                <w:noProof/>
                <w:webHidden/>
              </w:rPr>
              <w:instrText xml:space="preserve"> PAGEREF _Toc341452816 \h </w:instrText>
            </w:r>
            <w:r>
              <w:rPr>
                <w:noProof/>
                <w:webHidden/>
              </w:rPr>
            </w:r>
            <w:r>
              <w:rPr>
                <w:noProof/>
                <w:webHidden/>
              </w:rPr>
              <w:fldChar w:fldCharType="separate"/>
            </w:r>
            <w:r w:rsidR="005E484C">
              <w:rPr>
                <w:noProof/>
                <w:webHidden/>
              </w:rPr>
              <w:t>6</w:t>
            </w:r>
            <w:r>
              <w:rPr>
                <w:noProof/>
                <w:webHidden/>
              </w:rPr>
              <w:fldChar w:fldCharType="end"/>
            </w:r>
          </w:hyperlink>
        </w:p>
        <w:p w:rsidR="00DA55DF" w:rsidRDefault="003A6BEC">
          <w:pPr>
            <w:pStyle w:val="TOC1"/>
            <w:rPr>
              <w:rFonts w:asciiTheme="minorHAnsi" w:eastAsiaTheme="minorEastAsia" w:hAnsiTheme="minorHAnsi" w:cstheme="minorBidi"/>
              <w:b w:val="0"/>
              <w:noProof/>
              <w:sz w:val="22"/>
              <w:lang w:eastAsia="en-AU"/>
            </w:rPr>
          </w:pPr>
          <w:hyperlink w:anchor="_Toc341452817" w:history="1">
            <w:r w:rsidR="00DA55DF" w:rsidRPr="00050CE5">
              <w:rPr>
                <w:rStyle w:val="Hyperlink"/>
                <w:noProof/>
              </w:rPr>
              <w:t>Background</w:t>
            </w:r>
            <w:r w:rsidR="00DA55DF">
              <w:rPr>
                <w:noProof/>
                <w:webHidden/>
              </w:rPr>
              <w:tab/>
            </w:r>
            <w:r>
              <w:rPr>
                <w:noProof/>
                <w:webHidden/>
              </w:rPr>
              <w:fldChar w:fldCharType="begin"/>
            </w:r>
            <w:r w:rsidR="00DA55DF">
              <w:rPr>
                <w:noProof/>
                <w:webHidden/>
              </w:rPr>
              <w:instrText xml:space="preserve"> PAGEREF _Toc341452817 \h </w:instrText>
            </w:r>
            <w:r>
              <w:rPr>
                <w:noProof/>
                <w:webHidden/>
              </w:rPr>
            </w:r>
            <w:r>
              <w:rPr>
                <w:noProof/>
                <w:webHidden/>
              </w:rPr>
              <w:fldChar w:fldCharType="separate"/>
            </w:r>
            <w:r w:rsidR="005E484C">
              <w:rPr>
                <w:noProof/>
                <w:webHidden/>
              </w:rPr>
              <w:t>6</w:t>
            </w:r>
            <w:r>
              <w:rPr>
                <w:noProof/>
                <w:webHidden/>
              </w:rPr>
              <w:fldChar w:fldCharType="end"/>
            </w:r>
          </w:hyperlink>
        </w:p>
        <w:p w:rsidR="00DA55DF" w:rsidRDefault="003A6BEC">
          <w:pPr>
            <w:pStyle w:val="TOC2"/>
            <w:rPr>
              <w:rFonts w:asciiTheme="minorHAnsi" w:eastAsiaTheme="minorEastAsia" w:hAnsiTheme="minorHAnsi" w:cstheme="minorBidi"/>
              <w:b w:val="0"/>
              <w:noProof/>
              <w:sz w:val="22"/>
              <w:lang w:eastAsia="en-AU"/>
            </w:rPr>
          </w:pPr>
          <w:hyperlink w:anchor="_Toc341452818" w:history="1">
            <w:r w:rsidR="00DA55DF" w:rsidRPr="00050CE5">
              <w:rPr>
                <w:rStyle w:val="Hyperlink"/>
                <w:noProof/>
              </w:rPr>
              <w:t>Current regulatory requirements for HCTs</w:t>
            </w:r>
            <w:r w:rsidR="00DA55DF">
              <w:rPr>
                <w:noProof/>
                <w:webHidden/>
              </w:rPr>
              <w:tab/>
            </w:r>
            <w:r>
              <w:rPr>
                <w:noProof/>
                <w:webHidden/>
              </w:rPr>
              <w:fldChar w:fldCharType="begin"/>
            </w:r>
            <w:r w:rsidR="00DA55DF">
              <w:rPr>
                <w:noProof/>
                <w:webHidden/>
              </w:rPr>
              <w:instrText xml:space="preserve"> PAGEREF _Toc341452818 \h </w:instrText>
            </w:r>
            <w:r>
              <w:rPr>
                <w:noProof/>
                <w:webHidden/>
              </w:rPr>
            </w:r>
            <w:r>
              <w:rPr>
                <w:noProof/>
                <w:webHidden/>
              </w:rPr>
              <w:fldChar w:fldCharType="separate"/>
            </w:r>
            <w:r w:rsidR="005E484C">
              <w:rPr>
                <w:noProof/>
                <w:webHidden/>
              </w:rPr>
              <w:t>6</w:t>
            </w:r>
            <w:r>
              <w:rPr>
                <w:noProof/>
                <w:webHidden/>
              </w:rPr>
              <w:fldChar w:fldCharType="end"/>
            </w:r>
          </w:hyperlink>
        </w:p>
        <w:p w:rsidR="00DA55DF" w:rsidRDefault="003A6BEC">
          <w:pPr>
            <w:pStyle w:val="TOC2"/>
            <w:rPr>
              <w:rFonts w:asciiTheme="minorHAnsi" w:eastAsiaTheme="minorEastAsia" w:hAnsiTheme="minorHAnsi" w:cstheme="minorBidi"/>
              <w:b w:val="0"/>
              <w:noProof/>
              <w:sz w:val="22"/>
              <w:lang w:eastAsia="en-AU"/>
            </w:rPr>
          </w:pPr>
          <w:hyperlink w:anchor="_Toc341452819" w:history="1">
            <w:r w:rsidR="00DA55DF" w:rsidRPr="00050CE5">
              <w:rPr>
                <w:rStyle w:val="Hyperlink"/>
                <w:noProof/>
              </w:rPr>
              <w:t>Risk management approach for regulation of HCTs</w:t>
            </w:r>
            <w:r w:rsidR="00DA55DF">
              <w:rPr>
                <w:noProof/>
                <w:webHidden/>
              </w:rPr>
              <w:tab/>
            </w:r>
            <w:r>
              <w:rPr>
                <w:noProof/>
                <w:webHidden/>
              </w:rPr>
              <w:fldChar w:fldCharType="begin"/>
            </w:r>
            <w:r w:rsidR="00DA55DF">
              <w:rPr>
                <w:noProof/>
                <w:webHidden/>
              </w:rPr>
              <w:instrText xml:space="preserve"> PAGEREF _Toc341452819 \h </w:instrText>
            </w:r>
            <w:r>
              <w:rPr>
                <w:noProof/>
                <w:webHidden/>
              </w:rPr>
            </w:r>
            <w:r>
              <w:rPr>
                <w:noProof/>
                <w:webHidden/>
              </w:rPr>
              <w:fldChar w:fldCharType="separate"/>
            </w:r>
            <w:r w:rsidR="005E484C">
              <w:rPr>
                <w:noProof/>
                <w:webHidden/>
              </w:rPr>
              <w:t>7</w:t>
            </w:r>
            <w:r>
              <w:rPr>
                <w:noProof/>
                <w:webHidden/>
              </w:rPr>
              <w:fldChar w:fldCharType="end"/>
            </w:r>
          </w:hyperlink>
        </w:p>
        <w:p w:rsidR="00DA55DF" w:rsidRDefault="003A6BEC">
          <w:pPr>
            <w:pStyle w:val="TOC2"/>
            <w:rPr>
              <w:rFonts w:asciiTheme="minorHAnsi" w:eastAsiaTheme="minorEastAsia" w:hAnsiTheme="minorHAnsi" w:cstheme="minorBidi"/>
              <w:b w:val="0"/>
              <w:noProof/>
              <w:sz w:val="22"/>
              <w:lang w:eastAsia="en-AU"/>
            </w:rPr>
          </w:pPr>
          <w:hyperlink w:anchor="_Toc341452820" w:history="1">
            <w:r w:rsidR="00DA55DF" w:rsidRPr="00050CE5">
              <w:rPr>
                <w:rStyle w:val="Hyperlink"/>
                <w:noProof/>
              </w:rPr>
              <w:t>Licensing of HCT manufacturers</w:t>
            </w:r>
            <w:r w:rsidR="00DA55DF">
              <w:rPr>
                <w:noProof/>
                <w:webHidden/>
              </w:rPr>
              <w:tab/>
            </w:r>
            <w:r>
              <w:rPr>
                <w:noProof/>
                <w:webHidden/>
              </w:rPr>
              <w:fldChar w:fldCharType="begin"/>
            </w:r>
            <w:r w:rsidR="00DA55DF">
              <w:rPr>
                <w:noProof/>
                <w:webHidden/>
              </w:rPr>
              <w:instrText xml:space="preserve"> PAGEREF _Toc341452820 \h </w:instrText>
            </w:r>
            <w:r>
              <w:rPr>
                <w:noProof/>
                <w:webHidden/>
              </w:rPr>
            </w:r>
            <w:r>
              <w:rPr>
                <w:noProof/>
                <w:webHidden/>
              </w:rPr>
              <w:fldChar w:fldCharType="separate"/>
            </w:r>
            <w:r w:rsidR="005E484C">
              <w:rPr>
                <w:noProof/>
                <w:webHidden/>
              </w:rPr>
              <w:t>8</w:t>
            </w:r>
            <w:r>
              <w:rPr>
                <w:noProof/>
                <w:webHidden/>
              </w:rPr>
              <w:fldChar w:fldCharType="end"/>
            </w:r>
          </w:hyperlink>
        </w:p>
        <w:p w:rsidR="00DA55DF" w:rsidRDefault="003A6BEC">
          <w:pPr>
            <w:pStyle w:val="TOC3"/>
            <w:rPr>
              <w:rFonts w:asciiTheme="minorHAnsi" w:eastAsiaTheme="minorEastAsia" w:hAnsiTheme="minorHAnsi" w:cstheme="minorBidi"/>
              <w:noProof/>
              <w:sz w:val="22"/>
              <w:lang w:eastAsia="en-AU"/>
            </w:rPr>
          </w:pPr>
          <w:hyperlink w:anchor="_Toc341452821" w:history="1">
            <w:r w:rsidR="00DA55DF" w:rsidRPr="00050CE5">
              <w:rPr>
                <w:rStyle w:val="Hyperlink"/>
                <w:noProof/>
              </w:rPr>
              <w:t>What requirements are in the Code</w:t>
            </w:r>
            <w:r w:rsidR="00DA55DF">
              <w:rPr>
                <w:noProof/>
                <w:webHidden/>
              </w:rPr>
              <w:tab/>
            </w:r>
            <w:r>
              <w:rPr>
                <w:noProof/>
                <w:webHidden/>
              </w:rPr>
              <w:fldChar w:fldCharType="begin"/>
            </w:r>
            <w:r w:rsidR="00DA55DF">
              <w:rPr>
                <w:noProof/>
                <w:webHidden/>
              </w:rPr>
              <w:instrText xml:space="preserve"> PAGEREF _Toc341452821 \h </w:instrText>
            </w:r>
            <w:r>
              <w:rPr>
                <w:noProof/>
                <w:webHidden/>
              </w:rPr>
            </w:r>
            <w:r>
              <w:rPr>
                <w:noProof/>
                <w:webHidden/>
              </w:rPr>
              <w:fldChar w:fldCharType="separate"/>
            </w:r>
            <w:r w:rsidR="005E484C">
              <w:rPr>
                <w:noProof/>
                <w:webHidden/>
              </w:rPr>
              <w:t>8</w:t>
            </w:r>
            <w:r>
              <w:rPr>
                <w:noProof/>
                <w:webHidden/>
              </w:rPr>
              <w:fldChar w:fldCharType="end"/>
            </w:r>
          </w:hyperlink>
        </w:p>
        <w:p w:rsidR="00DA55DF" w:rsidRDefault="003A6BEC">
          <w:pPr>
            <w:pStyle w:val="TOC2"/>
            <w:rPr>
              <w:rFonts w:asciiTheme="minorHAnsi" w:eastAsiaTheme="minorEastAsia" w:hAnsiTheme="minorHAnsi" w:cstheme="minorBidi"/>
              <w:b w:val="0"/>
              <w:noProof/>
              <w:sz w:val="22"/>
              <w:lang w:eastAsia="en-AU"/>
            </w:rPr>
          </w:pPr>
          <w:hyperlink w:anchor="_Toc341452822" w:history="1">
            <w:r w:rsidR="00DA55DF" w:rsidRPr="00050CE5">
              <w:rPr>
                <w:rStyle w:val="Hyperlink"/>
                <w:noProof/>
              </w:rPr>
              <w:t>Compliance with the Code and HCTs</w:t>
            </w:r>
            <w:r w:rsidR="00DA55DF">
              <w:rPr>
                <w:noProof/>
                <w:webHidden/>
              </w:rPr>
              <w:tab/>
            </w:r>
            <w:r>
              <w:rPr>
                <w:noProof/>
                <w:webHidden/>
              </w:rPr>
              <w:fldChar w:fldCharType="begin"/>
            </w:r>
            <w:r w:rsidR="00DA55DF">
              <w:rPr>
                <w:noProof/>
                <w:webHidden/>
              </w:rPr>
              <w:instrText xml:space="preserve"> PAGEREF _Toc341452822 \h </w:instrText>
            </w:r>
            <w:r>
              <w:rPr>
                <w:noProof/>
                <w:webHidden/>
              </w:rPr>
            </w:r>
            <w:r>
              <w:rPr>
                <w:noProof/>
                <w:webHidden/>
              </w:rPr>
              <w:fldChar w:fldCharType="separate"/>
            </w:r>
            <w:r w:rsidR="005E484C">
              <w:rPr>
                <w:noProof/>
                <w:webHidden/>
              </w:rPr>
              <w:t>9</w:t>
            </w:r>
            <w:r>
              <w:rPr>
                <w:noProof/>
                <w:webHidden/>
              </w:rPr>
              <w:fldChar w:fldCharType="end"/>
            </w:r>
          </w:hyperlink>
        </w:p>
        <w:p w:rsidR="00DA55DF" w:rsidRDefault="003A6BEC">
          <w:pPr>
            <w:pStyle w:val="TOC1"/>
            <w:rPr>
              <w:rFonts w:asciiTheme="minorHAnsi" w:eastAsiaTheme="minorEastAsia" w:hAnsiTheme="minorHAnsi" w:cstheme="minorBidi"/>
              <w:b w:val="0"/>
              <w:noProof/>
              <w:sz w:val="22"/>
              <w:lang w:eastAsia="en-AU"/>
            </w:rPr>
          </w:pPr>
          <w:hyperlink w:anchor="_Toc341452823" w:history="1">
            <w:r w:rsidR="00DA55DF" w:rsidRPr="00050CE5">
              <w:rPr>
                <w:rStyle w:val="Hyperlink"/>
                <w:noProof/>
              </w:rPr>
              <w:t>The problem</w:t>
            </w:r>
            <w:r w:rsidR="00DA55DF">
              <w:rPr>
                <w:noProof/>
                <w:webHidden/>
              </w:rPr>
              <w:tab/>
            </w:r>
            <w:r>
              <w:rPr>
                <w:noProof/>
                <w:webHidden/>
              </w:rPr>
              <w:fldChar w:fldCharType="begin"/>
            </w:r>
            <w:r w:rsidR="00DA55DF">
              <w:rPr>
                <w:noProof/>
                <w:webHidden/>
              </w:rPr>
              <w:instrText xml:space="preserve"> PAGEREF _Toc341452823 \h </w:instrText>
            </w:r>
            <w:r>
              <w:rPr>
                <w:noProof/>
                <w:webHidden/>
              </w:rPr>
            </w:r>
            <w:r>
              <w:rPr>
                <w:noProof/>
                <w:webHidden/>
              </w:rPr>
              <w:fldChar w:fldCharType="separate"/>
            </w:r>
            <w:r w:rsidR="005E484C">
              <w:rPr>
                <w:noProof/>
                <w:webHidden/>
              </w:rPr>
              <w:t>10</w:t>
            </w:r>
            <w:r>
              <w:rPr>
                <w:noProof/>
                <w:webHidden/>
              </w:rPr>
              <w:fldChar w:fldCharType="end"/>
            </w:r>
          </w:hyperlink>
        </w:p>
        <w:p w:rsidR="00DA55DF" w:rsidRDefault="003A6BEC">
          <w:pPr>
            <w:pStyle w:val="TOC1"/>
            <w:rPr>
              <w:rFonts w:asciiTheme="minorHAnsi" w:eastAsiaTheme="minorEastAsia" w:hAnsiTheme="minorHAnsi" w:cstheme="minorBidi"/>
              <w:b w:val="0"/>
              <w:noProof/>
              <w:sz w:val="22"/>
              <w:lang w:eastAsia="en-AU"/>
            </w:rPr>
          </w:pPr>
          <w:hyperlink w:anchor="_Toc341452827" w:history="1">
            <w:r w:rsidR="00DA55DF" w:rsidRPr="00050CE5">
              <w:rPr>
                <w:rStyle w:val="Hyperlink"/>
                <w:noProof/>
              </w:rPr>
              <w:t>Objectives</w:t>
            </w:r>
            <w:r w:rsidR="00DA55DF">
              <w:rPr>
                <w:noProof/>
                <w:webHidden/>
              </w:rPr>
              <w:tab/>
            </w:r>
            <w:r>
              <w:rPr>
                <w:noProof/>
                <w:webHidden/>
              </w:rPr>
              <w:fldChar w:fldCharType="begin"/>
            </w:r>
            <w:r w:rsidR="00DA55DF">
              <w:rPr>
                <w:noProof/>
                <w:webHidden/>
              </w:rPr>
              <w:instrText xml:space="preserve"> PAGEREF _Toc341452827 \h </w:instrText>
            </w:r>
            <w:r>
              <w:rPr>
                <w:noProof/>
                <w:webHidden/>
              </w:rPr>
            </w:r>
            <w:r>
              <w:rPr>
                <w:noProof/>
                <w:webHidden/>
              </w:rPr>
              <w:fldChar w:fldCharType="separate"/>
            </w:r>
            <w:r w:rsidR="005E484C">
              <w:rPr>
                <w:noProof/>
                <w:webHidden/>
              </w:rPr>
              <w:t>13</w:t>
            </w:r>
            <w:r>
              <w:rPr>
                <w:noProof/>
                <w:webHidden/>
              </w:rPr>
              <w:fldChar w:fldCharType="end"/>
            </w:r>
          </w:hyperlink>
        </w:p>
        <w:p w:rsidR="00DA55DF" w:rsidRDefault="003A6BEC">
          <w:pPr>
            <w:pStyle w:val="TOC1"/>
            <w:rPr>
              <w:rFonts w:asciiTheme="minorHAnsi" w:eastAsiaTheme="minorEastAsia" w:hAnsiTheme="minorHAnsi" w:cstheme="minorBidi"/>
              <w:b w:val="0"/>
              <w:noProof/>
              <w:sz w:val="22"/>
              <w:lang w:eastAsia="en-AU"/>
            </w:rPr>
          </w:pPr>
          <w:hyperlink w:anchor="_Toc341452828" w:history="1">
            <w:r w:rsidR="00DA55DF" w:rsidRPr="00050CE5">
              <w:rPr>
                <w:rStyle w:val="Hyperlink"/>
                <w:noProof/>
              </w:rPr>
              <w:t>Options</w:t>
            </w:r>
            <w:r w:rsidR="00DA55DF">
              <w:rPr>
                <w:noProof/>
                <w:webHidden/>
              </w:rPr>
              <w:tab/>
            </w:r>
            <w:r>
              <w:rPr>
                <w:noProof/>
                <w:webHidden/>
              </w:rPr>
              <w:fldChar w:fldCharType="begin"/>
            </w:r>
            <w:r w:rsidR="00DA55DF">
              <w:rPr>
                <w:noProof/>
                <w:webHidden/>
              </w:rPr>
              <w:instrText xml:space="preserve"> PAGEREF _Toc341452828 \h </w:instrText>
            </w:r>
            <w:r>
              <w:rPr>
                <w:noProof/>
                <w:webHidden/>
              </w:rPr>
            </w:r>
            <w:r>
              <w:rPr>
                <w:noProof/>
                <w:webHidden/>
              </w:rPr>
              <w:fldChar w:fldCharType="separate"/>
            </w:r>
            <w:r w:rsidR="005E484C">
              <w:rPr>
                <w:noProof/>
                <w:webHidden/>
              </w:rPr>
              <w:t>13</w:t>
            </w:r>
            <w:r>
              <w:rPr>
                <w:noProof/>
                <w:webHidden/>
              </w:rPr>
              <w:fldChar w:fldCharType="end"/>
            </w:r>
          </w:hyperlink>
        </w:p>
        <w:p w:rsidR="00DA55DF" w:rsidRDefault="003A6BEC">
          <w:pPr>
            <w:pStyle w:val="TOC2"/>
            <w:rPr>
              <w:rFonts w:asciiTheme="minorHAnsi" w:eastAsiaTheme="minorEastAsia" w:hAnsiTheme="minorHAnsi" w:cstheme="minorBidi"/>
              <w:b w:val="0"/>
              <w:noProof/>
              <w:sz w:val="22"/>
              <w:lang w:eastAsia="en-AU"/>
            </w:rPr>
          </w:pPr>
          <w:hyperlink w:anchor="_Toc341452829" w:history="1">
            <w:r w:rsidR="00DA55DF" w:rsidRPr="00050CE5">
              <w:rPr>
                <w:rStyle w:val="Hyperlink"/>
                <w:noProof/>
              </w:rPr>
              <w:t>Option 1: Maintain the status quo</w:t>
            </w:r>
            <w:r w:rsidR="00DA55DF">
              <w:rPr>
                <w:noProof/>
                <w:webHidden/>
              </w:rPr>
              <w:tab/>
            </w:r>
            <w:r>
              <w:rPr>
                <w:noProof/>
                <w:webHidden/>
              </w:rPr>
              <w:fldChar w:fldCharType="begin"/>
            </w:r>
            <w:r w:rsidR="00DA55DF">
              <w:rPr>
                <w:noProof/>
                <w:webHidden/>
              </w:rPr>
              <w:instrText xml:space="preserve"> PAGEREF _Toc341452829 \h </w:instrText>
            </w:r>
            <w:r>
              <w:rPr>
                <w:noProof/>
                <w:webHidden/>
              </w:rPr>
            </w:r>
            <w:r>
              <w:rPr>
                <w:noProof/>
                <w:webHidden/>
              </w:rPr>
              <w:fldChar w:fldCharType="separate"/>
            </w:r>
            <w:r w:rsidR="005E484C">
              <w:rPr>
                <w:noProof/>
                <w:webHidden/>
              </w:rPr>
              <w:t>14</w:t>
            </w:r>
            <w:r>
              <w:rPr>
                <w:noProof/>
                <w:webHidden/>
              </w:rPr>
              <w:fldChar w:fldCharType="end"/>
            </w:r>
          </w:hyperlink>
        </w:p>
        <w:p w:rsidR="00DA55DF" w:rsidRDefault="003A6BEC">
          <w:pPr>
            <w:pStyle w:val="TOC2"/>
            <w:rPr>
              <w:rFonts w:asciiTheme="minorHAnsi" w:eastAsiaTheme="minorEastAsia" w:hAnsiTheme="minorHAnsi" w:cstheme="minorBidi"/>
              <w:b w:val="0"/>
              <w:noProof/>
              <w:sz w:val="22"/>
              <w:lang w:eastAsia="en-AU"/>
            </w:rPr>
          </w:pPr>
          <w:hyperlink w:anchor="_Toc341452830" w:history="1">
            <w:r w:rsidR="00DA55DF" w:rsidRPr="00050CE5">
              <w:rPr>
                <w:rStyle w:val="Hyperlink"/>
                <w:noProof/>
              </w:rPr>
              <w:t>Option 2: Allow industry self-regulation</w:t>
            </w:r>
            <w:r w:rsidR="00DA55DF">
              <w:rPr>
                <w:noProof/>
                <w:webHidden/>
              </w:rPr>
              <w:tab/>
            </w:r>
            <w:r>
              <w:rPr>
                <w:noProof/>
                <w:webHidden/>
              </w:rPr>
              <w:fldChar w:fldCharType="begin"/>
            </w:r>
            <w:r w:rsidR="00DA55DF">
              <w:rPr>
                <w:noProof/>
                <w:webHidden/>
              </w:rPr>
              <w:instrText xml:space="preserve"> PAGEREF _Toc341452830 \h </w:instrText>
            </w:r>
            <w:r>
              <w:rPr>
                <w:noProof/>
                <w:webHidden/>
              </w:rPr>
            </w:r>
            <w:r>
              <w:rPr>
                <w:noProof/>
                <w:webHidden/>
              </w:rPr>
              <w:fldChar w:fldCharType="separate"/>
            </w:r>
            <w:r w:rsidR="005E484C">
              <w:rPr>
                <w:noProof/>
                <w:webHidden/>
              </w:rPr>
              <w:t>14</w:t>
            </w:r>
            <w:r>
              <w:rPr>
                <w:noProof/>
                <w:webHidden/>
              </w:rPr>
              <w:fldChar w:fldCharType="end"/>
            </w:r>
          </w:hyperlink>
        </w:p>
        <w:p w:rsidR="00DA55DF" w:rsidRDefault="003A6BEC">
          <w:pPr>
            <w:pStyle w:val="TOC2"/>
            <w:rPr>
              <w:rFonts w:asciiTheme="minorHAnsi" w:eastAsiaTheme="minorEastAsia" w:hAnsiTheme="minorHAnsi" w:cstheme="minorBidi"/>
              <w:b w:val="0"/>
              <w:noProof/>
              <w:sz w:val="22"/>
              <w:lang w:eastAsia="en-AU"/>
            </w:rPr>
          </w:pPr>
          <w:hyperlink w:anchor="_Toc341452831" w:history="1">
            <w:r w:rsidR="00DA55DF" w:rsidRPr="00050CE5">
              <w:rPr>
                <w:rStyle w:val="Hyperlink"/>
                <w:noProof/>
              </w:rPr>
              <w:t>Option 3: Adopt an international GMP Code</w:t>
            </w:r>
            <w:r w:rsidR="00DA55DF">
              <w:rPr>
                <w:noProof/>
                <w:webHidden/>
              </w:rPr>
              <w:tab/>
            </w:r>
            <w:r>
              <w:rPr>
                <w:noProof/>
                <w:webHidden/>
              </w:rPr>
              <w:fldChar w:fldCharType="begin"/>
            </w:r>
            <w:r w:rsidR="00DA55DF">
              <w:rPr>
                <w:noProof/>
                <w:webHidden/>
              </w:rPr>
              <w:instrText xml:space="preserve"> PAGEREF _Toc341452831 \h </w:instrText>
            </w:r>
            <w:r>
              <w:rPr>
                <w:noProof/>
                <w:webHidden/>
              </w:rPr>
            </w:r>
            <w:r>
              <w:rPr>
                <w:noProof/>
                <w:webHidden/>
              </w:rPr>
              <w:fldChar w:fldCharType="separate"/>
            </w:r>
            <w:r w:rsidR="005E484C">
              <w:rPr>
                <w:noProof/>
                <w:webHidden/>
              </w:rPr>
              <w:t>15</w:t>
            </w:r>
            <w:r>
              <w:rPr>
                <w:noProof/>
                <w:webHidden/>
              </w:rPr>
              <w:fldChar w:fldCharType="end"/>
            </w:r>
          </w:hyperlink>
        </w:p>
        <w:p w:rsidR="00DA55DF" w:rsidRDefault="003A6BEC">
          <w:pPr>
            <w:pStyle w:val="TOC2"/>
            <w:rPr>
              <w:rFonts w:asciiTheme="minorHAnsi" w:eastAsiaTheme="minorEastAsia" w:hAnsiTheme="minorHAnsi" w:cstheme="minorBidi"/>
              <w:b w:val="0"/>
              <w:noProof/>
              <w:sz w:val="22"/>
              <w:lang w:eastAsia="en-AU"/>
            </w:rPr>
          </w:pPr>
          <w:hyperlink w:anchor="_Toc341452832" w:history="1">
            <w:r w:rsidR="00DA55DF" w:rsidRPr="00050CE5">
              <w:rPr>
                <w:rStyle w:val="Hyperlink"/>
                <w:noProof/>
              </w:rPr>
              <w:t>Option 4: Revise the existing Code and associated technical standards for infectious disease minimisation</w:t>
            </w:r>
            <w:r w:rsidR="00DA55DF">
              <w:rPr>
                <w:noProof/>
                <w:webHidden/>
              </w:rPr>
              <w:tab/>
            </w:r>
            <w:r>
              <w:rPr>
                <w:noProof/>
                <w:webHidden/>
              </w:rPr>
              <w:fldChar w:fldCharType="begin"/>
            </w:r>
            <w:r w:rsidR="00DA55DF">
              <w:rPr>
                <w:noProof/>
                <w:webHidden/>
              </w:rPr>
              <w:instrText xml:space="preserve"> PAGEREF _Toc341452832 \h </w:instrText>
            </w:r>
            <w:r>
              <w:rPr>
                <w:noProof/>
                <w:webHidden/>
              </w:rPr>
            </w:r>
            <w:r>
              <w:rPr>
                <w:noProof/>
                <w:webHidden/>
              </w:rPr>
              <w:fldChar w:fldCharType="separate"/>
            </w:r>
            <w:r w:rsidR="005E484C">
              <w:rPr>
                <w:noProof/>
                <w:webHidden/>
              </w:rPr>
              <w:t>16</w:t>
            </w:r>
            <w:r>
              <w:rPr>
                <w:noProof/>
                <w:webHidden/>
              </w:rPr>
              <w:fldChar w:fldCharType="end"/>
            </w:r>
          </w:hyperlink>
        </w:p>
        <w:p w:rsidR="00DA55DF" w:rsidRDefault="003A6BEC">
          <w:pPr>
            <w:pStyle w:val="TOC1"/>
            <w:rPr>
              <w:rFonts w:asciiTheme="minorHAnsi" w:eastAsiaTheme="minorEastAsia" w:hAnsiTheme="minorHAnsi" w:cstheme="minorBidi"/>
              <w:b w:val="0"/>
              <w:noProof/>
              <w:sz w:val="22"/>
              <w:lang w:eastAsia="en-AU"/>
            </w:rPr>
          </w:pPr>
          <w:hyperlink w:anchor="_Toc341452833" w:history="1">
            <w:r w:rsidR="00DA55DF" w:rsidRPr="00050CE5">
              <w:rPr>
                <w:rStyle w:val="Hyperlink"/>
                <w:noProof/>
              </w:rPr>
              <w:t>Option 4 Impact analysis</w:t>
            </w:r>
            <w:r w:rsidR="00DA55DF">
              <w:rPr>
                <w:noProof/>
                <w:webHidden/>
              </w:rPr>
              <w:tab/>
            </w:r>
            <w:r>
              <w:rPr>
                <w:noProof/>
                <w:webHidden/>
              </w:rPr>
              <w:fldChar w:fldCharType="begin"/>
            </w:r>
            <w:r w:rsidR="00DA55DF">
              <w:rPr>
                <w:noProof/>
                <w:webHidden/>
              </w:rPr>
              <w:instrText xml:space="preserve"> PAGEREF _Toc341452833 \h </w:instrText>
            </w:r>
            <w:r>
              <w:rPr>
                <w:noProof/>
                <w:webHidden/>
              </w:rPr>
            </w:r>
            <w:r>
              <w:rPr>
                <w:noProof/>
                <w:webHidden/>
              </w:rPr>
              <w:fldChar w:fldCharType="separate"/>
            </w:r>
            <w:r w:rsidR="005E484C">
              <w:rPr>
                <w:noProof/>
                <w:webHidden/>
              </w:rPr>
              <w:t>17</w:t>
            </w:r>
            <w:r>
              <w:rPr>
                <w:noProof/>
                <w:webHidden/>
              </w:rPr>
              <w:fldChar w:fldCharType="end"/>
            </w:r>
          </w:hyperlink>
        </w:p>
        <w:p w:rsidR="00DA55DF" w:rsidRDefault="003A6BEC">
          <w:pPr>
            <w:pStyle w:val="TOC2"/>
            <w:rPr>
              <w:rFonts w:asciiTheme="minorHAnsi" w:eastAsiaTheme="minorEastAsia" w:hAnsiTheme="minorHAnsi" w:cstheme="minorBidi"/>
              <w:b w:val="0"/>
              <w:noProof/>
              <w:sz w:val="22"/>
              <w:lang w:eastAsia="en-AU"/>
            </w:rPr>
          </w:pPr>
          <w:hyperlink w:anchor="_Toc341452839" w:history="1">
            <w:r w:rsidR="00DA55DF" w:rsidRPr="00050CE5">
              <w:rPr>
                <w:rStyle w:val="Hyperlink"/>
                <w:noProof/>
              </w:rPr>
              <w:t>Costs</w:t>
            </w:r>
            <w:r w:rsidR="00DA55DF">
              <w:rPr>
                <w:noProof/>
                <w:webHidden/>
              </w:rPr>
              <w:tab/>
            </w:r>
            <w:r>
              <w:rPr>
                <w:noProof/>
                <w:webHidden/>
              </w:rPr>
              <w:fldChar w:fldCharType="begin"/>
            </w:r>
            <w:r w:rsidR="00DA55DF">
              <w:rPr>
                <w:noProof/>
                <w:webHidden/>
              </w:rPr>
              <w:instrText xml:space="preserve"> PAGEREF _Toc341452839 \h </w:instrText>
            </w:r>
            <w:r>
              <w:rPr>
                <w:noProof/>
                <w:webHidden/>
              </w:rPr>
            </w:r>
            <w:r>
              <w:rPr>
                <w:noProof/>
                <w:webHidden/>
              </w:rPr>
              <w:fldChar w:fldCharType="separate"/>
            </w:r>
            <w:r w:rsidR="005E484C">
              <w:rPr>
                <w:noProof/>
                <w:webHidden/>
              </w:rPr>
              <w:t>19</w:t>
            </w:r>
            <w:r>
              <w:rPr>
                <w:noProof/>
                <w:webHidden/>
              </w:rPr>
              <w:fldChar w:fldCharType="end"/>
            </w:r>
          </w:hyperlink>
        </w:p>
        <w:p w:rsidR="00DA55DF" w:rsidRDefault="003A6BEC">
          <w:pPr>
            <w:pStyle w:val="TOC2"/>
            <w:rPr>
              <w:rFonts w:asciiTheme="minorHAnsi" w:eastAsiaTheme="minorEastAsia" w:hAnsiTheme="minorHAnsi" w:cstheme="minorBidi"/>
              <w:b w:val="0"/>
              <w:noProof/>
              <w:sz w:val="22"/>
              <w:lang w:eastAsia="en-AU"/>
            </w:rPr>
          </w:pPr>
          <w:hyperlink w:anchor="_Toc341452843" w:history="1">
            <w:r w:rsidR="00DA55DF" w:rsidRPr="00050CE5">
              <w:rPr>
                <w:rStyle w:val="Hyperlink"/>
                <w:noProof/>
              </w:rPr>
              <w:t>Benefits</w:t>
            </w:r>
            <w:r w:rsidR="00DA55DF">
              <w:rPr>
                <w:noProof/>
                <w:webHidden/>
              </w:rPr>
              <w:tab/>
            </w:r>
            <w:r>
              <w:rPr>
                <w:noProof/>
                <w:webHidden/>
              </w:rPr>
              <w:fldChar w:fldCharType="begin"/>
            </w:r>
            <w:r w:rsidR="00DA55DF">
              <w:rPr>
                <w:noProof/>
                <w:webHidden/>
              </w:rPr>
              <w:instrText xml:space="preserve"> PAGEREF _Toc341452843 \h </w:instrText>
            </w:r>
            <w:r>
              <w:rPr>
                <w:noProof/>
                <w:webHidden/>
              </w:rPr>
            </w:r>
            <w:r>
              <w:rPr>
                <w:noProof/>
                <w:webHidden/>
              </w:rPr>
              <w:fldChar w:fldCharType="separate"/>
            </w:r>
            <w:r w:rsidR="005E484C">
              <w:rPr>
                <w:noProof/>
                <w:webHidden/>
              </w:rPr>
              <w:t>21</w:t>
            </w:r>
            <w:r>
              <w:rPr>
                <w:noProof/>
                <w:webHidden/>
              </w:rPr>
              <w:fldChar w:fldCharType="end"/>
            </w:r>
          </w:hyperlink>
        </w:p>
        <w:p w:rsidR="00DA55DF" w:rsidRDefault="003A6BEC">
          <w:pPr>
            <w:pStyle w:val="TOC2"/>
            <w:rPr>
              <w:rFonts w:asciiTheme="minorHAnsi" w:eastAsiaTheme="minorEastAsia" w:hAnsiTheme="minorHAnsi" w:cstheme="minorBidi"/>
              <w:b w:val="0"/>
              <w:noProof/>
              <w:sz w:val="22"/>
              <w:lang w:eastAsia="en-AU"/>
            </w:rPr>
          </w:pPr>
          <w:hyperlink w:anchor="_Toc341452848" w:history="1">
            <w:r w:rsidR="00DA55DF" w:rsidRPr="00050CE5">
              <w:rPr>
                <w:rStyle w:val="Hyperlink"/>
                <w:noProof/>
              </w:rPr>
              <w:t>Distribution of costs and benefits</w:t>
            </w:r>
            <w:r w:rsidR="00DA55DF">
              <w:rPr>
                <w:noProof/>
                <w:webHidden/>
              </w:rPr>
              <w:tab/>
            </w:r>
            <w:r>
              <w:rPr>
                <w:noProof/>
                <w:webHidden/>
              </w:rPr>
              <w:fldChar w:fldCharType="begin"/>
            </w:r>
            <w:r w:rsidR="00DA55DF">
              <w:rPr>
                <w:noProof/>
                <w:webHidden/>
              </w:rPr>
              <w:instrText xml:space="preserve"> PAGEREF _Toc341452848 \h </w:instrText>
            </w:r>
            <w:r>
              <w:rPr>
                <w:noProof/>
                <w:webHidden/>
              </w:rPr>
            </w:r>
            <w:r>
              <w:rPr>
                <w:noProof/>
                <w:webHidden/>
              </w:rPr>
              <w:fldChar w:fldCharType="separate"/>
            </w:r>
            <w:r w:rsidR="005E484C">
              <w:rPr>
                <w:noProof/>
                <w:webHidden/>
              </w:rPr>
              <w:t>22</w:t>
            </w:r>
            <w:r>
              <w:rPr>
                <w:noProof/>
                <w:webHidden/>
              </w:rPr>
              <w:fldChar w:fldCharType="end"/>
            </w:r>
          </w:hyperlink>
        </w:p>
        <w:p w:rsidR="00DA55DF" w:rsidRDefault="003A6BEC">
          <w:pPr>
            <w:pStyle w:val="TOC1"/>
            <w:rPr>
              <w:rFonts w:asciiTheme="minorHAnsi" w:eastAsiaTheme="minorEastAsia" w:hAnsiTheme="minorHAnsi" w:cstheme="minorBidi"/>
              <w:b w:val="0"/>
              <w:noProof/>
              <w:sz w:val="22"/>
              <w:lang w:eastAsia="en-AU"/>
            </w:rPr>
          </w:pPr>
          <w:hyperlink w:anchor="_Toc341452849" w:history="1">
            <w:r w:rsidR="00DA55DF" w:rsidRPr="00050CE5">
              <w:rPr>
                <w:rStyle w:val="Hyperlink"/>
                <w:noProof/>
              </w:rPr>
              <w:t>Option 4 - Summary</w:t>
            </w:r>
            <w:r w:rsidR="00DA55DF">
              <w:rPr>
                <w:noProof/>
                <w:webHidden/>
              </w:rPr>
              <w:tab/>
            </w:r>
            <w:r>
              <w:rPr>
                <w:noProof/>
                <w:webHidden/>
              </w:rPr>
              <w:fldChar w:fldCharType="begin"/>
            </w:r>
            <w:r w:rsidR="00DA55DF">
              <w:rPr>
                <w:noProof/>
                <w:webHidden/>
              </w:rPr>
              <w:instrText xml:space="preserve"> PAGEREF _Toc341452849 \h </w:instrText>
            </w:r>
            <w:r>
              <w:rPr>
                <w:noProof/>
                <w:webHidden/>
              </w:rPr>
            </w:r>
            <w:r>
              <w:rPr>
                <w:noProof/>
                <w:webHidden/>
              </w:rPr>
              <w:fldChar w:fldCharType="separate"/>
            </w:r>
            <w:r w:rsidR="005E484C">
              <w:rPr>
                <w:noProof/>
                <w:webHidden/>
              </w:rPr>
              <w:t>22</w:t>
            </w:r>
            <w:r>
              <w:rPr>
                <w:noProof/>
                <w:webHidden/>
              </w:rPr>
              <w:fldChar w:fldCharType="end"/>
            </w:r>
          </w:hyperlink>
        </w:p>
        <w:p w:rsidR="00DA55DF" w:rsidRDefault="003A6BEC">
          <w:pPr>
            <w:pStyle w:val="TOC1"/>
            <w:rPr>
              <w:rFonts w:asciiTheme="minorHAnsi" w:eastAsiaTheme="minorEastAsia" w:hAnsiTheme="minorHAnsi" w:cstheme="minorBidi"/>
              <w:b w:val="0"/>
              <w:noProof/>
              <w:sz w:val="22"/>
              <w:lang w:eastAsia="en-AU"/>
            </w:rPr>
          </w:pPr>
          <w:hyperlink w:anchor="_Toc341452850" w:history="1">
            <w:r w:rsidR="00DA55DF" w:rsidRPr="00050CE5">
              <w:rPr>
                <w:rStyle w:val="Hyperlink"/>
                <w:noProof/>
              </w:rPr>
              <w:t>Consultation</w:t>
            </w:r>
            <w:r w:rsidR="00DA55DF">
              <w:rPr>
                <w:noProof/>
                <w:webHidden/>
              </w:rPr>
              <w:tab/>
            </w:r>
            <w:r>
              <w:rPr>
                <w:noProof/>
                <w:webHidden/>
              </w:rPr>
              <w:fldChar w:fldCharType="begin"/>
            </w:r>
            <w:r w:rsidR="00DA55DF">
              <w:rPr>
                <w:noProof/>
                <w:webHidden/>
              </w:rPr>
              <w:instrText xml:space="preserve"> PAGEREF _Toc341452850 \h </w:instrText>
            </w:r>
            <w:r>
              <w:rPr>
                <w:noProof/>
                <w:webHidden/>
              </w:rPr>
            </w:r>
            <w:r>
              <w:rPr>
                <w:noProof/>
                <w:webHidden/>
              </w:rPr>
              <w:fldChar w:fldCharType="separate"/>
            </w:r>
            <w:r w:rsidR="005E484C">
              <w:rPr>
                <w:noProof/>
                <w:webHidden/>
              </w:rPr>
              <w:t>23</w:t>
            </w:r>
            <w:r>
              <w:rPr>
                <w:noProof/>
                <w:webHidden/>
              </w:rPr>
              <w:fldChar w:fldCharType="end"/>
            </w:r>
          </w:hyperlink>
        </w:p>
        <w:p w:rsidR="00DA55DF" w:rsidRDefault="003A6BEC">
          <w:pPr>
            <w:pStyle w:val="TOC2"/>
            <w:rPr>
              <w:rFonts w:asciiTheme="minorHAnsi" w:eastAsiaTheme="minorEastAsia" w:hAnsiTheme="minorHAnsi" w:cstheme="minorBidi"/>
              <w:b w:val="0"/>
              <w:noProof/>
              <w:sz w:val="22"/>
              <w:lang w:eastAsia="en-AU"/>
            </w:rPr>
          </w:pPr>
          <w:hyperlink w:anchor="_Toc341452851" w:history="1">
            <w:r w:rsidR="00DA55DF" w:rsidRPr="00050CE5">
              <w:rPr>
                <w:rStyle w:val="Hyperlink"/>
                <w:noProof/>
              </w:rPr>
              <w:t>Public consultation</w:t>
            </w:r>
            <w:r w:rsidR="00DA55DF">
              <w:rPr>
                <w:noProof/>
                <w:webHidden/>
              </w:rPr>
              <w:tab/>
            </w:r>
            <w:r>
              <w:rPr>
                <w:noProof/>
                <w:webHidden/>
              </w:rPr>
              <w:fldChar w:fldCharType="begin"/>
            </w:r>
            <w:r w:rsidR="00DA55DF">
              <w:rPr>
                <w:noProof/>
                <w:webHidden/>
              </w:rPr>
              <w:instrText xml:space="preserve"> PAGEREF _Toc341452851 \h </w:instrText>
            </w:r>
            <w:r>
              <w:rPr>
                <w:noProof/>
                <w:webHidden/>
              </w:rPr>
            </w:r>
            <w:r>
              <w:rPr>
                <w:noProof/>
                <w:webHidden/>
              </w:rPr>
              <w:fldChar w:fldCharType="separate"/>
            </w:r>
            <w:r w:rsidR="005E484C">
              <w:rPr>
                <w:noProof/>
                <w:webHidden/>
              </w:rPr>
              <w:t>23</w:t>
            </w:r>
            <w:r>
              <w:rPr>
                <w:noProof/>
                <w:webHidden/>
              </w:rPr>
              <w:fldChar w:fldCharType="end"/>
            </w:r>
          </w:hyperlink>
        </w:p>
        <w:p w:rsidR="00DA55DF" w:rsidRDefault="003A6BEC">
          <w:pPr>
            <w:pStyle w:val="TOC2"/>
            <w:rPr>
              <w:rFonts w:asciiTheme="minorHAnsi" w:eastAsiaTheme="minorEastAsia" w:hAnsiTheme="minorHAnsi" w:cstheme="minorBidi"/>
              <w:b w:val="0"/>
              <w:noProof/>
              <w:sz w:val="22"/>
              <w:lang w:eastAsia="en-AU"/>
            </w:rPr>
          </w:pPr>
          <w:hyperlink w:anchor="_Toc341452852" w:history="1">
            <w:r w:rsidR="00DA55DF" w:rsidRPr="00050CE5">
              <w:rPr>
                <w:rStyle w:val="Hyperlink"/>
                <w:noProof/>
              </w:rPr>
              <w:t>Therapeutic Goods Committee- Subcommittee on Biologicals</w:t>
            </w:r>
            <w:r w:rsidR="00DA55DF">
              <w:rPr>
                <w:noProof/>
                <w:webHidden/>
              </w:rPr>
              <w:tab/>
            </w:r>
            <w:r>
              <w:rPr>
                <w:noProof/>
                <w:webHidden/>
              </w:rPr>
              <w:fldChar w:fldCharType="begin"/>
            </w:r>
            <w:r w:rsidR="00DA55DF">
              <w:rPr>
                <w:noProof/>
                <w:webHidden/>
              </w:rPr>
              <w:instrText xml:space="preserve"> PAGEREF _Toc341452852 \h </w:instrText>
            </w:r>
            <w:r>
              <w:rPr>
                <w:noProof/>
                <w:webHidden/>
              </w:rPr>
            </w:r>
            <w:r>
              <w:rPr>
                <w:noProof/>
                <w:webHidden/>
              </w:rPr>
              <w:fldChar w:fldCharType="separate"/>
            </w:r>
            <w:r w:rsidR="005E484C">
              <w:rPr>
                <w:noProof/>
                <w:webHidden/>
              </w:rPr>
              <w:t>24</w:t>
            </w:r>
            <w:r>
              <w:rPr>
                <w:noProof/>
                <w:webHidden/>
              </w:rPr>
              <w:fldChar w:fldCharType="end"/>
            </w:r>
          </w:hyperlink>
        </w:p>
        <w:p w:rsidR="00DA55DF" w:rsidRDefault="003A6BEC">
          <w:pPr>
            <w:pStyle w:val="TOC2"/>
            <w:rPr>
              <w:rFonts w:asciiTheme="minorHAnsi" w:eastAsiaTheme="minorEastAsia" w:hAnsiTheme="minorHAnsi" w:cstheme="minorBidi"/>
              <w:b w:val="0"/>
              <w:noProof/>
              <w:sz w:val="22"/>
              <w:lang w:eastAsia="en-AU"/>
            </w:rPr>
          </w:pPr>
          <w:hyperlink w:anchor="_Toc341452853" w:history="1">
            <w:r w:rsidR="00DA55DF" w:rsidRPr="00050CE5">
              <w:rPr>
                <w:rStyle w:val="Hyperlink"/>
                <w:noProof/>
              </w:rPr>
              <w:t>The Code</w:t>
            </w:r>
            <w:r w:rsidR="00DA55DF">
              <w:rPr>
                <w:noProof/>
                <w:webHidden/>
              </w:rPr>
              <w:tab/>
            </w:r>
            <w:r>
              <w:rPr>
                <w:noProof/>
                <w:webHidden/>
              </w:rPr>
              <w:fldChar w:fldCharType="begin"/>
            </w:r>
            <w:r w:rsidR="00DA55DF">
              <w:rPr>
                <w:noProof/>
                <w:webHidden/>
              </w:rPr>
              <w:instrText xml:space="preserve"> PAGEREF _Toc341452853 \h </w:instrText>
            </w:r>
            <w:r>
              <w:rPr>
                <w:noProof/>
                <w:webHidden/>
              </w:rPr>
            </w:r>
            <w:r>
              <w:rPr>
                <w:noProof/>
                <w:webHidden/>
              </w:rPr>
              <w:fldChar w:fldCharType="separate"/>
            </w:r>
            <w:r w:rsidR="005E484C">
              <w:rPr>
                <w:noProof/>
                <w:webHidden/>
              </w:rPr>
              <w:t>24</w:t>
            </w:r>
            <w:r>
              <w:rPr>
                <w:noProof/>
                <w:webHidden/>
              </w:rPr>
              <w:fldChar w:fldCharType="end"/>
            </w:r>
          </w:hyperlink>
        </w:p>
        <w:p w:rsidR="00DA55DF" w:rsidRDefault="003A6BEC">
          <w:pPr>
            <w:pStyle w:val="TOC2"/>
            <w:rPr>
              <w:rFonts w:asciiTheme="minorHAnsi" w:eastAsiaTheme="minorEastAsia" w:hAnsiTheme="minorHAnsi" w:cstheme="minorBidi"/>
              <w:b w:val="0"/>
              <w:noProof/>
              <w:sz w:val="22"/>
              <w:lang w:eastAsia="en-AU"/>
            </w:rPr>
          </w:pPr>
          <w:hyperlink w:anchor="_Toc341452854" w:history="1">
            <w:r w:rsidR="00DA55DF" w:rsidRPr="00050CE5">
              <w:rPr>
                <w:rStyle w:val="Hyperlink"/>
                <w:noProof/>
              </w:rPr>
              <w:t xml:space="preserve">Infectious Disease Minimisation Order </w:t>
            </w:r>
            <w:r w:rsidR="002D2E1F">
              <w:rPr>
                <w:rStyle w:val="Hyperlink"/>
                <w:noProof/>
              </w:rPr>
              <w:t xml:space="preserve"> </w:t>
            </w:r>
            <w:r w:rsidR="00DA55DF">
              <w:rPr>
                <w:noProof/>
                <w:webHidden/>
              </w:rPr>
              <w:tab/>
            </w:r>
            <w:r>
              <w:rPr>
                <w:noProof/>
                <w:webHidden/>
              </w:rPr>
              <w:fldChar w:fldCharType="begin"/>
            </w:r>
            <w:r w:rsidR="00DA55DF">
              <w:rPr>
                <w:noProof/>
                <w:webHidden/>
              </w:rPr>
              <w:instrText xml:space="preserve"> PAGEREF _Toc341452854 \h </w:instrText>
            </w:r>
            <w:r>
              <w:rPr>
                <w:noProof/>
                <w:webHidden/>
              </w:rPr>
            </w:r>
            <w:r>
              <w:rPr>
                <w:noProof/>
                <w:webHidden/>
              </w:rPr>
              <w:fldChar w:fldCharType="separate"/>
            </w:r>
            <w:r w:rsidR="005E484C">
              <w:rPr>
                <w:noProof/>
                <w:webHidden/>
              </w:rPr>
              <w:t>25</w:t>
            </w:r>
            <w:r>
              <w:rPr>
                <w:noProof/>
                <w:webHidden/>
              </w:rPr>
              <w:fldChar w:fldCharType="end"/>
            </w:r>
          </w:hyperlink>
        </w:p>
        <w:p w:rsidR="00DA55DF" w:rsidRDefault="003A6BEC">
          <w:pPr>
            <w:pStyle w:val="TOC1"/>
            <w:rPr>
              <w:rFonts w:asciiTheme="minorHAnsi" w:eastAsiaTheme="minorEastAsia" w:hAnsiTheme="minorHAnsi" w:cstheme="minorBidi"/>
              <w:b w:val="0"/>
              <w:noProof/>
              <w:sz w:val="22"/>
              <w:lang w:eastAsia="en-AU"/>
            </w:rPr>
          </w:pPr>
          <w:hyperlink w:anchor="_Toc341452855" w:history="1">
            <w:r w:rsidR="00DA55DF" w:rsidRPr="00050CE5">
              <w:rPr>
                <w:rStyle w:val="Hyperlink"/>
                <w:noProof/>
              </w:rPr>
              <w:t>Conclusion</w:t>
            </w:r>
            <w:r w:rsidR="00DA55DF">
              <w:rPr>
                <w:noProof/>
                <w:webHidden/>
              </w:rPr>
              <w:tab/>
            </w:r>
            <w:r>
              <w:rPr>
                <w:noProof/>
                <w:webHidden/>
              </w:rPr>
              <w:fldChar w:fldCharType="begin"/>
            </w:r>
            <w:r w:rsidR="00DA55DF">
              <w:rPr>
                <w:noProof/>
                <w:webHidden/>
              </w:rPr>
              <w:instrText xml:space="preserve"> PAGEREF _Toc341452855 \h </w:instrText>
            </w:r>
            <w:r>
              <w:rPr>
                <w:noProof/>
                <w:webHidden/>
              </w:rPr>
            </w:r>
            <w:r>
              <w:rPr>
                <w:noProof/>
                <w:webHidden/>
              </w:rPr>
              <w:fldChar w:fldCharType="separate"/>
            </w:r>
            <w:r w:rsidR="005E484C">
              <w:rPr>
                <w:noProof/>
                <w:webHidden/>
              </w:rPr>
              <w:t>26</w:t>
            </w:r>
            <w:r>
              <w:rPr>
                <w:noProof/>
                <w:webHidden/>
              </w:rPr>
              <w:fldChar w:fldCharType="end"/>
            </w:r>
          </w:hyperlink>
        </w:p>
        <w:p w:rsidR="00DA55DF" w:rsidRDefault="003A6BEC">
          <w:pPr>
            <w:pStyle w:val="TOC1"/>
            <w:rPr>
              <w:rFonts w:asciiTheme="minorHAnsi" w:eastAsiaTheme="minorEastAsia" w:hAnsiTheme="minorHAnsi" w:cstheme="minorBidi"/>
              <w:b w:val="0"/>
              <w:noProof/>
              <w:sz w:val="22"/>
              <w:lang w:eastAsia="en-AU"/>
            </w:rPr>
          </w:pPr>
          <w:hyperlink w:anchor="_Toc341452856" w:history="1">
            <w:r w:rsidR="00DA55DF" w:rsidRPr="00050CE5">
              <w:rPr>
                <w:rStyle w:val="Hyperlink"/>
                <w:noProof/>
              </w:rPr>
              <w:t>Implementation</w:t>
            </w:r>
            <w:r w:rsidR="00DA55DF">
              <w:rPr>
                <w:noProof/>
                <w:webHidden/>
              </w:rPr>
              <w:tab/>
            </w:r>
            <w:r>
              <w:rPr>
                <w:noProof/>
                <w:webHidden/>
              </w:rPr>
              <w:fldChar w:fldCharType="begin"/>
            </w:r>
            <w:r w:rsidR="00DA55DF">
              <w:rPr>
                <w:noProof/>
                <w:webHidden/>
              </w:rPr>
              <w:instrText xml:space="preserve"> PAGEREF _Toc341452856 \h </w:instrText>
            </w:r>
            <w:r>
              <w:rPr>
                <w:noProof/>
                <w:webHidden/>
              </w:rPr>
            </w:r>
            <w:r>
              <w:rPr>
                <w:noProof/>
                <w:webHidden/>
              </w:rPr>
              <w:fldChar w:fldCharType="separate"/>
            </w:r>
            <w:r w:rsidR="005E484C">
              <w:rPr>
                <w:noProof/>
                <w:webHidden/>
              </w:rPr>
              <w:t>27</w:t>
            </w:r>
            <w:r>
              <w:rPr>
                <w:noProof/>
                <w:webHidden/>
              </w:rPr>
              <w:fldChar w:fldCharType="end"/>
            </w:r>
          </w:hyperlink>
        </w:p>
        <w:p w:rsidR="00DA55DF" w:rsidRDefault="003A6BEC">
          <w:pPr>
            <w:pStyle w:val="TOC1"/>
            <w:rPr>
              <w:rFonts w:asciiTheme="minorHAnsi" w:eastAsiaTheme="minorEastAsia" w:hAnsiTheme="minorHAnsi" w:cstheme="minorBidi"/>
              <w:b w:val="0"/>
              <w:noProof/>
              <w:sz w:val="22"/>
              <w:lang w:eastAsia="en-AU"/>
            </w:rPr>
          </w:pPr>
          <w:hyperlink w:anchor="_Toc341452857" w:history="1">
            <w:r w:rsidR="00DA55DF" w:rsidRPr="00050CE5">
              <w:rPr>
                <w:rStyle w:val="Hyperlink"/>
                <w:noProof/>
              </w:rPr>
              <w:t>Acronyms and Glossary</w:t>
            </w:r>
            <w:r w:rsidR="00DA55DF">
              <w:rPr>
                <w:noProof/>
                <w:webHidden/>
              </w:rPr>
              <w:tab/>
            </w:r>
            <w:r>
              <w:rPr>
                <w:noProof/>
                <w:webHidden/>
              </w:rPr>
              <w:fldChar w:fldCharType="begin"/>
            </w:r>
            <w:r w:rsidR="00DA55DF">
              <w:rPr>
                <w:noProof/>
                <w:webHidden/>
              </w:rPr>
              <w:instrText xml:space="preserve"> PAGEREF _Toc341452857 \h </w:instrText>
            </w:r>
            <w:r>
              <w:rPr>
                <w:noProof/>
                <w:webHidden/>
              </w:rPr>
            </w:r>
            <w:r>
              <w:rPr>
                <w:noProof/>
                <w:webHidden/>
              </w:rPr>
              <w:fldChar w:fldCharType="separate"/>
            </w:r>
            <w:r w:rsidR="005E484C">
              <w:rPr>
                <w:noProof/>
                <w:webHidden/>
              </w:rPr>
              <w:t>29</w:t>
            </w:r>
            <w:r>
              <w:rPr>
                <w:noProof/>
                <w:webHidden/>
              </w:rPr>
              <w:fldChar w:fldCharType="end"/>
            </w:r>
          </w:hyperlink>
        </w:p>
        <w:p w:rsidR="00DA55DF" w:rsidRDefault="003A6BEC">
          <w:pPr>
            <w:pStyle w:val="TOC2"/>
            <w:rPr>
              <w:rFonts w:asciiTheme="minorHAnsi" w:eastAsiaTheme="minorEastAsia" w:hAnsiTheme="minorHAnsi" w:cstheme="minorBidi"/>
              <w:b w:val="0"/>
              <w:noProof/>
              <w:sz w:val="22"/>
              <w:lang w:eastAsia="en-AU"/>
            </w:rPr>
          </w:pPr>
          <w:hyperlink w:anchor="_Toc341452858" w:history="1">
            <w:r w:rsidR="00DA55DF" w:rsidRPr="00050CE5">
              <w:rPr>
                <w:rStyle w:val="Hyperlink"/>
                <w:noProof/>
              </w:rPr>
              <w:t>Appendix A: Summary of Changes to the Code</w:t>
            </w:r>
            <w:r w:rsidR="00DA55DF">
              <w:rPr>
                <w:noProof/>
                <w:webHidden/>
              </w:rPr>
              <w:tab/>
            </w:r>
            <w:r>
              <w:rPr>
                <w:noProof/>
                <w:webHidden/>
              </w:rPr>
              <w:fldChar w:fldCharType="begin"/>
            </w:r>
            <w:r w:rsidR="00DA55DF">
              <w:rPr>
                <w:noProof/>
                <w:webHidden/>
              </w:rPr>
              <w:instrText xml:space="preserve"> PAGEREF _Toc341452858 \h </w:instrText>
            </w:r>
            <w:r>
              <w:rPr>
                <w:noProof/>
                <w:webHidden/>
              </w:rPr>
            </w:r>
            <w:r>
              <w:rPr>
                <w:noProof/>
                <w:webHidden/>
              </w:rPr>
              <w:fldChar w:fldCharType="separate"/>
            </w:r>
            <w:r w:rsidR="005E484C">
              <w:rPr>
                <w:noProof/>
                <w:webHidden/>
              </w:rPr>
              <w:t>30</w:t>
            </w:r>
            <w:r>
              <w:rPr>
                <w:noProof/>
                <w:webHidden/>
              </w:rPr>
              <w:fldChar w:fldCharType="end"/>
            </w:r>
          </w:hyperlink>
        </w:p>
        <w:p w:rsidR="00DA55DF" w:rsidRDefault="003A6BEC">
          <w:pPr>
            <w:pStyle w:val="TOC2"/>
            <w:rPr>
              <w:rFonts w:asciiTheme="minorHAnsi" w:eastAsiaTheme="minorEastAsia" w:hAnsiTheme="minorHAnsi" w:cstheme="minorBidi"/>
              <w:b w:val="0"/>
              <w:noProof/>
              <w:sz w:val="22"/>
              <w:lang w:eastAsia="en-AU"/>
            </w:rPr>
          </w:pPr>
          <w:hyperlink w:anchor="_Toc341452859" w:history="1">
            <w:r w:rsidR="00DA55DF" w:rsidRPr="00050CE5">
              <w:rPr>
                <w:rStyle w:val="Hyperlink"/>
                <w:noProof/>
              </w:rPr>
              <w:t>Appendix B: Comparison of requirements between the new ID TGO and the existing Code of GMP 2000</w:t>
            </w:r>
            <w:r w:rsidR="00DA55DF">
              <w:rPr>
                <w:noProof/>
                <w:webHidden/>
              </w:rPr>
              <w:tab/>
            </w:r>
            <w:r>
              <w:rPr>
                <w:noProof/>
                <w:webHidden/>
              </w:rPr>
              <w:fldChar w:fldCharType="begin"/>
            </w:r>
            <w:r w:rsidR="00DA55DF">
              <w:rPr>
                <w:noProof/>
                <w:webHidden/>
              </w:rPr>
              <w:instrText xml:space="preserve"> PAGEREF _Toc341452859 \h </w:instrText>
            </w:r>
            <w:r>
              <w:rPr>
                <w:noProof/>
                <w:webHidden/>
              </w:rPr>
            </w:r>
            <w:r>
              <w:rPr>
                <w:noProof/>
                <w:webHidden/>
              </w:rPr>
              <w:fldChar w:fldCharType="separate"/>
            </w:r>
            <w:r w:rsidR="005E484C">
              <w:rPr>
                <w:noProof/>
                <w:webHidden/>
              </w:rPr>
              <w:t>40</w:t>
            </w:r>
            <w:r>
              <w:rPr>
                <w:noProof/>
                <w:webHidden/>
              </w:rPr>
              <w:fldChar w:fldCharType="end"/>
            </w:r>
          </w:hyperlink>
        </w:p>
        <w:p w:rsidR="00DA55DF" w:rsidRDefault="003A6BEC">
          <w:pPr>
            <w:pStyle w:val="TOC2"/>
            <w:rPr>
              <w:rFonts w:asciiTheme="minorHAnsi" w:eastAsiaTheme="minorEastAsia" w:hAnsiTheme="minorHAnsi" w:cstheme="minorBidi"/>
              <w:b w:val="0"/>
              <w:noProof/>
              <w:sz w:val="22"/>
              <w:lang w:eastAsia="en-AU"/>
            </w:rPr>
          </w:pPr>
          <w:hyperlink w:anchor="_Toc341452860" w:history="1">
            <w:r w:rsidR="00DA55DF" w:rsidRPr="00050CE5">
              <w:rPr>
                <w:rStyle w:val="Hyperlink"/>
                <w:noProof/>
              </w:rPr>
              <w:t>Appendix C: Table of regulatory costs currently applicable to the HCT sector</w:t>
            </w:r>
            <w:r w:rsidR="00DA55DF">
              <w:rPr>
                <w:noProof/>
                <w:webHidden/>
              </w:rPr>
              <w:tab/>
            </w:r>
            <w:r>
              <w:rPr>
                <w:noProof/>
                <w:webHidden/>
              </w:rPr>
              <w:fldChar w:fldCharType="begin"/>
            </w:r>
            <w:r w:rsidR="00DA55DF">
              <w:rPr>
                <w:noProof/>
                <w:webHidden/>
              </w:rPr>
              <w:instrText xml:space="preserve"> PAGEREF _Toc341452860 \h </w:instrText>
            </w:r>
            <w:r>
              <w:rPr>
                <w:noProof/>
                <w:webHidden/>
              </w:rPr>
            </w:r>
            <w:r>
              <w:rPr>
                <w:noProof/>
                <w:webHidden/>
              </w:rPr>
              <w:fldChar w:fldCharType="separate"/>
            </w:r>
            <w:r w:rsidR="005E484C">
              <w:rPr>
                <w:noProof/>
                <w:webHidden/>
              </w:rPr>
              <w:t>42</w:t>
            </w:r>
            <w:r>
              <w:rPr>
                <w:noProof/>
                <w:webHidden/>
              </w:rPr>
              <w:fldChar w:fldCharType="end"/>
            </w:r>
          </w:hyperlink>
        </w:p>
        <w:p w:rsidR="00DA55DF" w:rsidRDefault="003A6BEC">
          <w:pPr>
            <w:pStyle w:val="TOC2"/>
            <w:rPr>
              <w:rFonts w:asciiTheme="minorHAnsi" w:eastAsiaTheme="minorEastAsia" w:hAnsiTheme="minorHAnsi" w:cstheme="minorBidi"/>
              <w:b w:val="0"/>
              <w:noProof/>
              <w:sz w:val="22"/>
              <w:lang w:eastAsia="en-AU"/>
            </w:rPr>
          </w:pPr>
          <w:hyperlink w:anchor="_Toc341452861" w:history="1">
            <w:r w:rsidR="00DA55DF" w:rsidRPr="00050CE5">
              <w:rPr>
                <w:rStyle w:val="Hyperlink"/>
                <w:noProof/>
              </w:rPr>
              <w:t>Appendix D: Issues and endorsed amendments for the revised ID Order</w:t>
            </w:r>
            <w:r w:rsidR="00DA55DF">
              <w:rPr>
                <w:noProof/>
                <w:webHidden/>
              </w:rPr>
              <w:tab/>
            </w:r>
            <w:r>
              <w:rPr>
                <w:noProof/>
                <w:webHidden/>
              </w:rPr>
              <w:fldChar w:fldCharType="begin"/>
            </w:r>
            <w:r w:rsidR="00DA55DF">
              <w:rPr>
                <w:noProof/>
                <w:webHidden/>
              </w:rPr>
              <w:instrText xml:space="preserve"> PAGEREF _Toc341452861 \h </w:instrText>
            </w:r>
            <w:r>
              <w:rPr>
                <w:noProof/>
                <w:webHidden/>
              </w:rPr>
            </w:r>
            <w:r>
              <w:rPr>
                <w:noProof/>
                <w:webHidden/>
              </w:rPr>
              <w:fldChar w:fldCharType="separate"/>
            </w:r>
            <w:r w:rsidR="005E484C">
              <w:rPr>
                <w:noProof/>
                <w:webHidden/>
              </w:rPr>
              <w:t>43</w:t>
            </w:r>
            <w:r>
              <w:rPr>
                <w:noProof/>
                <w:webHidden/>
              </w:rPr>
              <w:fldChar w:fldCharType="end"/>
            </w:r>
          </w:hyperlink>
        </w:p>
        <w:p w:rsidR="00FE206C" w:rsidRDefault="003A6BEC" w:rsidP="003D3B63">
          <w:pPr>
            <w:pStyle w:val="TOC3"/>
          </w:pPr>
          <w:r>
            <w:rPr>
              <w:rFonts w:ascii="Arial" w:hAnsi="Arial"/>
              <w:b/>
              <w:sz w:val="32"/>
            </w:rPr>
            <w:fldChar w:fldCharType="end"/>
          </w:r>
        </w:p>
      </w:sdtContent>
    </w:sdt>
    <w:p w:rsidR="00406DB9" w:rsidRDefault="00406DB9" w:rsidP="00AA3EB9">
      <w:pPr>
        <w:spacing w:before="0" w:after="0" w:line="240" w:lineRule="auto"/>
      </w:pPr>
    </w:p>
    <w:p w:rsidR="00AA3EB9" w:rsidRDefault="001525B4" w:rsidP="00AA3EB9">
      <w:pPr>
        <w:spacing w:before="0" w:after="0" w:line="240" w:lineRule="auto"/>
      </w:pPr>
      <w:r>
        <w:br w:type="page"/>
      </w:r>
    </w:p>
    <w:p w:rsidR="001525B4" w:rsidRDefault="00821BCB" w:rsidP="00CB73C5">
      <w:pPr>
        <w:pStyle w:val="Heading2"/>
      </w:pPr>
      <w:bookmarkStart w:id="0" w:name="_Toc341452816"/>
      <w:r>
        <w:lastRenderedPageBreak/>
        <w:t>Introduction</w:t>
      </w:r>
      <w:bookmarkEnd w:id="0"/>
    </w:p>
    <w:p w:rsidR="00821BCB" w:rsidRDefault="00821BCB" w:rsidP="00821BCB">
      <w:r>
        <w:t xml:space="preserve">This regulatory impact statement (RIS) has been prepared by the Therapeutic Goods Administration (TGA). The purpose is to assist Australian Government decision making on how to address concerns that the current manufacturing and technical standard requirements for human blood, blood components, tissues and human cell </w:t>
      </w:r>
      <w:r w:rsidR="00B113E2">
        <w:t xml:space="preserve">therapy products </w:t>
      </w:r>
      <w:r>
        <w:t>do not adequately address the evolution of technology in this area.</w:t>
      </w:r>
    </w:p>
    <w:p w:rsidR="00821BCB" w:rsidRDefault="00821BCB" w:rsidP="00821BCB">
      <w:r>
        <w:t>The current Code of Good Manufacturing Practice for Blood and Tissues (2000) (the Code) encompasses human blood and blood components, human tissues, human cellular therapy products, and early precursors to blood cells (haematopoietic progenitor cells). For the purposes of this RIS these products will be collectively referred to as human cellular and tissue therapies (HCT</w:t>
      </w:r>
      <w:r w:rsidR="00B113E2">
        <w:t>s</w:t>
      </w:r>
      <w:r>
        <w:t>).</w:t>
      </w:r>
    </w:p>
    <w:p w:rsidR="00821BCB" w:rsidRDefault="00821BCB" w:rsidP="00821BCB">
      <w:r>
        <w:t xml:space="preserve">To ensure government regulation remains relevant and credible for HCTs it is important that the Code and the associated standards are regularly reviewed and updated. </w:t>
      </w:r>
      <w:r w:rsidR="00945639">
        <w:t xml:space="preserve">Most countries revise and update their GMPs about every five years to keep up with changes in the industry and changes to manufacturing and testing technology. </w:t>
      </w:r>
      <w:r>
        <w:t xml:space="preserve">The market place for HCTs has </w:t>
      </w:r>
      <w:r w:rsidR="00947097">
        <w:t>undergone</w:t>
      </w:r>
      <w:r>
        <w:t xml:space="preserve"> great change during the past decade with advances in technology in manufacturing practices, </w:t>
      </w:r>
      <w:r w:rsidR="00947097">
        <w:t xml:space="preserve">as well as </w:t>
      </w:r>
      <w:r>
        <w:t>changes to the type and natu</w:t>
      </w:r>
      <w:r w:rsidR="005F160D">
        <w:t xml:space="preserve">re of HCTs produced. </w:t>
      </w:r>
    </w:p>
    <w:p w:rsidR="005F160D" w:rsidRDefault="005F160D" w:rsidP="00821BCB">
      <w:r>
        <w:t>In light of this, concerns have been raised that the existing Code is outdated and insufficient for the contemporary regulatory environment.</w:t>
      </w:r>
      <w:r w:rsidR="00BB4591">
        <w:t xml:space="preserve"> Since 2007 the TGA has been working with industry to develop an updated Code, with a corresponding new standard for infectious disease minimisation. Public consultation on the revised documents was undertaken in 2009 and 2010, which resulted in refined requirements and </w:t>
      </w:r>
      <w:r w:rsidR="00376321">
        <w:t xml:space="preserve">general </w:t>
      </w:r>
      <w:r w:rsidR="00BB4591">
        <w:t>support for the new Code and standard.</w:t>
      </w:r>
    </w:p>
    <w:p w:rsidR="00071A6F" w:rsidRDefault="00071A6F" w:rsidP="00821BCB">
      <w:r>
        <w:t xml:space="preserve">Four </w:t>
      </w:r>
      <w:r w:rsidR="00947097">
        <w:t>options</w:t>
      </w:r>
      <w:r>
        <w:t xml:space="preserve"> to address</w:t>
      </w:r>
      <w:r w:rsidR="00947097">
        <w:t xml:space="preserve"> the problem are examined in this RIS including their anticipated</w:t>
      </w:r>
      <w:r>
        <w:t xml:space="preserve"> impact on HCT</w:t>
      </w:r>
      <w:r w:rsidR="00947097">
        <w:t xml:space="preserve"> </w:t>
      </w:r>
      <w:r>
        <w:t xml:space="preserve">consumers and healthcare professionals, </w:t>
      </w:r>
      <w:r w:rsidR="00947097">
        <w:t xml:space="preserve">industry </w:t>
      </w:r>
      <w:r>
        <w:t xml:space="preserve">and government agencies. </w:t>
      </w:r>
    </w:p>
    <w:p w:rsidR="00071A6F" w:rsidRDefault="00071A6F" w:rsidP="00821BCB">
      <w:r>
        <w:t xml:space="preserve">The RIS details the problems associated with the existing Code and summarises the consultation process that was undertaken with </w:t>
      </w:r>
      <w:r w:rsidR="00947097">
        <w:t>stakeholders</w:t>
      </w:r>
      <w:r>
        <w:t xml:space="preserve"> to determine the bes</w:t>
      </w:r>
      <w:r w:rsidR="00947097">
        <w:t>t way forward. The RIS concludes</w:t>
      </w:r>
      <w:r>
        <w:t xml:space="preserve"> with a recommendation, including an outline of proposed </w:t>
      </w:r>
      <w:r w:rsidR="00947097">
        <w:t>implementation</w:t>
      </w:r>
      <w:r>
        <w:t>, for Government consideration.</w:t>
      </w:r>
    </w:p>
    <w:p w:rsidR="00071A6F" w:rsidRDefault="00546523" w:rsidP="00546523">
      <w:pPr>
        <w:pStyle w:val="Heading2"/>
      </w:pPr>
      <w:bookmarkStart w:id="1" w:name="_Toc341452817"/>
      <w:r>
        <w:t>Background</w:t>
      </w:r>
      <w:bookmarkEnd w:id="1"/>
    </w:p>
    <w:p w:rsidR="00F52C24" w:rsidRPr="00F52C24" w:rsidRDefault="00F52C24" w:rsidP="00F52C24">
      <w:pPr>
        <w:pStyle w:val="Heading3"/>
      </w:pPr>
      <w:bookmarkStart w:id="2" w:name="_Toc341452818"/>
      <w:r>
        <w:t>Current regulatory requirements for HCTs</w:t>
      </w:r>
      <w:bookmarkEnd w:id="2"/>
    </w:p>
    <w:p w:rsidR="00546523" w:rsidRDefault="00F52C24" w:rsidP="00546523">
      <w:r>
        <w:t>The TGA administers the following legislation and requirements to regulate HCTs:</w:t>
      </w:r>
    </w:p>
    <w:p w:rsidR="00F52C24" w:rsidRDefault="00F52C24" w:rsidP="00F52C24">
      <w:pPr>
        <w:pStyle w:val="ListParagraph"/>
        <w:numPr>
          <w:ilvl w:val="0"/>
          <w:numId w:val="12"/>
        </w:numPr>
      </w:pPr>
      <w:r w:rsidRPr="00AA1EBD">
        <w:rPr>
          <w:i/>
        </w:rPr>
        <w:t>Therapeutic Goods Act 1989</w:t>
      </w:r>
      <w:r>
        <w:t xml:space="preserve"> (the Act)</w:t>
      </w:r>
    </w:p>
    <w:p w:rsidR="00F52C24" w:rsidRDefault="00F52C24" w:rsidP="00F52C24">
      <w:pPr>
        <w:pStyle w:val="ListParagraph"/>
        <w:numPr>
          <w:ilvl w:val="0"/>
          <w:numId w:val="12"/>
        </w:numPr>
      </w:pPr>
      <w:r w:rsidRPr="00AA1EBD">
        <w:rPr>
          <w:i/>
        </w:rPr>
        <w:t>Therapeutic Goods Regulations 1990</w:t>
      </w:r>
      <w:r>
        <w:t xml:space="preserve"> (the Regulations)</w:t>
      </w:r>
    </w:p>
    <w:p w:rsidR="002A6C06" w:rsidRDefault="002A6C06" w:rsidP="00F52C24">
      <w:pPr>
        <w:pStyle w:val="ListParagraph"/>
        <w:numPr>
          <w:ilvl w:val="0"/>
          <w:numId w:val="12"/>
        </w:numPr>
      </w:pPr>
      <w:r>
        <w:t>Therapeutic Goods Orders (detail</w:t>
      </w:r>
      <w:r w:rsidR="0078794A">
        <w:t>s</w:t>
      </w:r>
      <w:r>
        <w:t xml:space="preserve"> technical requirements</w:t>
      </w:r>
      <w:r w:rsidR="007D7836">
        <w:t xml:space="preserve"> for specific products</w:t>
      </w:r>
      <w:r>
        <w:t>)</w:t>
      </w:r>
    </w:p>
    <w:p w:rsidR="00F52C24" w:rsidRDefault="00F52C24" w:rsidP="00F52C24">
      <w:pPr>
        <w:pStyle w:val="ListParagraph"/>
        <w:numPr>
          <w:ilvl w:val="0"/>
          <w:numId w:val="12"/>
        </w:numPr>
      </w:pPr>
      <w:r w:rsidRPr="00AA1EBD">
        <w:rPr>
          <w:i/>
        </w:rPr>
        <w:t>Australian Code of Good Manufacturing for Blood and Tissues 2000</w:t>
      </w:r>
      <w:r>
        <w:t xml:space="preserve"> (the Code).</w:t>
      </w:r>
    </w:p>
    <w:p w:rsidR="00F52C24" w:rsidRDefault="00F52C24" w:rsidP="00546523">
      <w:r>
        <w:lastRenderedPageBreak/>
        <w:t>To ensure product safety and quality, all therapeutic goods are required to be manufactured in a consistent and reproducible manner. This is achieved through manufacturers complying with the relevant legislation</w:t>
      </w:r>
      <w:r w:rsidR="00BA676A">
        <w:t xml:space="preserve"> (the Act and the Regulations)</w:t>
      </w:r>
      <w:r>
        <w:t xml:space="preserve"> and therapeutic manufacturing principles</w:t>
      </w:r>
      <w:r w:rsidR="00BA676A">
        <w:t xml:space="preserve"> (the Code)</w:t>
      </w:r>
      <w:r>
        <w:t xml:space="preserve">. In addition, there may also be requirements specific to a particular product detailed in a Therapeutic Goods Order (TGO). For example, for </w:t>
      </w:r>
      <w:r w:rsidR="009C0649">
        <w:t xml:space="preserve">human </w:t>
      </w:r>
      <w:r>
        <w:t xml:space="preserve">blood </w:t>
      </w:r>
      <w:r w:rsidR="009C0649">
        <w:t>and blood components,</w:t>
      </w:r>
      <w:r>
        <w:t xml:space="preserve"> it may be specified that a blood donor needs to be tested for particular infectious diseases </w:t>
      </w:r>
      <w:r w:rsidR="008A273C">
        <w:t xml:space="preserve">prior </w:t>
      </w:r>
      <w:r>
        <w:t>to that blood being used</w:t>
      </w:r>
      <w:r w:rsidR="009C0649">
        <w:t xml:space="preserve"> for transfusion</w:t>
      </w:r>
      <w:r w:rsidR="00711A6A">
        <w:t>.</w:t>
      </w:r>
      <w:r w:rsidR="009C0649">
        <w:t xml:space="preserve"> </w:t>
      </w:r>
    </w:p>
    <w:p w:rsidR="00F52C24" w:rsidRDefault="00F52C24" w:rsidP="00546523">
      <w:r>
        <w:t>In order for the TGA to maintain public confidence in the quality and safety of HCTs supplied in Australia, it is important that the regulatory requirements for these products remain current and contemporary to accommodate the emerging technology and products in this industry.</w:t>
      </w:r>
    </w:p>
    <w:p w:rsidR="00F52C24" w:rsidRDefault="00F52C24" w:rsidP="00546523">
      <w:r>
        <w:t>Additionally, Australian manufacturers must</w:t>
      </w:r>
      <w:r w:rsidR="00BA676A">
        <w:t xml:space="preserve"> hold a manufacturing licenc</w:t>
      </w:r>
      <w:r>
        <w:t xml:space="preserve">e issued by the TGA. </w:t>
      </w:r>
      <w:r w:rsidR="00BA676A">
        <w:t>A l</w:t>
      </w:r>
      <w:r>
        <w:t xml:space="preserve">icence to manufacture will only be issued if </w:t>
      </w:r>
      <w:r w:rsidR="00AF1BD0">
        <w:t>compliance with relevant manufacturing principles can be demonstrated; for HCTs this is the existing Code.</w:t>
      </w:r>
      <w:r w:rsidR="00AA1EBD">
        <w:t xml:space="preserve"> Overseas manufacturers of HCTs supplied in Australia must also obtain a clearance by </w:t>
      </w:r>
      <w:r w:rsidR="0055658C">
        <w:t xml:space="preserve">demonstrating </w:t>
      </w:r>
      <w:r w:rsidR="00AA1EBD">
        <w:t>compliance with manufacturing principles.</w:t>
      </w:r>
    </w:p>
    <w:p w:rsidR="007D7836" w:rsidRPr="007D7836" w:rsidRDefault="007D7836" w:rsidP="007D7836">
      <w:r w:rsidRPr="007D7836">
        <w:t xml:space="preserve">Application for inclusion of a therapeutic good </w:t>
      </w:r>
      <w:r w:rsidR="00D25158">
        <w:t>in</w:t>
      </w:r>
      <w:r w:rsidR="00D25158" w:rsidRPr="007D7836">
        <w:t xml:space="preserve"> </w:t>
      </w:r>
      <w:r w:rsidRPr="007D7836">
        <w:t xml:space="preserve">the Australian Register of Therapeutic Goods (ARTG) requires sponsors to submit a dossier that includes detailed scientific and clinical information about the product. The extent of the information </w:t>
      </w:r>
      <w:r w:rsidR="0008016F">
        <w:t xml:space="preserve">required is </w:t>
      </w:r>
      <w:r w:rsidRPr="007D7836">
        <w:t>depend</w:t>
      </w:r>
      <w:r w:rsidR="0008016F">
        <w:t>ent</w:t>
      </w:r>
      <w:r w:rsidRPr="007D7836">
        <w:t xml:space="preserve"> on the level of risk associated with the product. The dossier is assessed by TGA evaluators against relevant standards and guidelines.</w:t>
      </w:r>
    </w:p>
    <w:p w:rsidR="007D7836" w:rsidRPr="007D7836" w:rsidRDefault="007D7836" w:rsidP="007D7836">
      <w:r w:rsidRPr="007D7836">
        <w:t xml:space="preserve">Once approved for use in the Australian market, maintenance of an ARTG entry and TGA manufacturing license involves post-market regulation, including surveillance and monitoring. These activities may </w:t>
      </w:r>
      <w:r w:rsidR="0055658C" w:rsidRPr="007D7836">
        <w:t>involve manufacturing</w:t>
      </w:r>
      <w:r w:rsidRPr="007D7836">
        <w:t xml:space="preserve"> facility inspections, collection and assessment of adverse event reports, and lab</w:t>
      </w:r>
      <w:r w:rsidR="009E41DC">
        <w:t>oratory</w:t>
      </w:r>
      <w:r w:rsidRPr="007D7836">
        <w:t xml:space="preserve"> testing of product samples. The TGA also works with international regulators to detect signals that may indicate a safety issue associated with a therapeutic good. In the event of signal detection, the TGA will take appropriate regulatory action, which may include product recalls, addition of warning statements to labels or additional conditions to the continued supply of the therapeutic good.</w:t>
      </w:r>
    </w:p>
    <w:p w:rsidR="00A609CB" w:rsidRDefault="00A31667" w:rsidP="00546523">
      <w:r>
        <w:t xml:space="preserve">Some HCTs are exempt from entry in </w:t>
      </w:r>
      <w:r w:rsidR="0041631F">
        <w:t>the</w:t>
      </w:r>
      <w:r w:rsidR="00A609CB">
        <w:t xml:space="preserve"> ARTG</w:t>
      </w:r>
      <w:r w:rsidR="0041631F">
        <w:t>.</w:t>
      </w:r>
      <w:r w:rsidR="00F542BB">
        <w:t xml:space="preserve"> Approval for use of </w:t>
      </w:r>
      <w:r w:rsidR="009E41DC">
        <w:t xml:space="preserve">human </w:t>
      </w:r>
      <w:r w:rsidR="00F542BB">
        <w:t>blood,</w:t>
      </w:r>
      <w:r w:rsidR="009E41DC">
        <w:t xml:space="preserve"> human</w:t>
      </w:r>
      <w:r w:rsidR="00F542BB">
        <w:t xml:space="preserve"> blood components and haem</w:t>
      </w:r>
      <w:r w:rsidR="00B527DB">
        <w:t>ato</w:t>
      </w:r>
      <w:r w:rsidR="00F542BB">
        <w:t>poietic progenitor cells</w:t>
      </w:r>
      <w:r w:rsidR="009E41DC">
        <w:t xml:space="preserve"> (HPCs)</w:t>
      </w:r>
      <w:r w:rsidR="003C14C2">
        <w:t xml:space="preserve"> (early precursors to blood cells used for bone marrow reconstitution)</w:t>
      </w:r>
      <w:r w:rsidR="00F542BB">
        <w:t xml:space="preserve"> is primarily dependent on the issuance of a TGA manufacturing licence</w:t>
      </w:r>
      <w:r w:rsidR="00A609CB">
        <w:t xml:space="preserve">, subject to compliance with the existing Code and any applicable technical </w:t>
      </w:r>
      <w:r w:rsidR="00733388">
        <w:t>standards</w:t>
      </w:r>
      <w:r w:rsidR="00A609CB">
        <w:t>. The existing Code and applicable technical requirements have been the princip</w:t>
      </w:r>
      <w:r w:rsidR="00A12E8A">
        <w:t>a</w:t>
      </w:r>
      <w:r w:rsidR="00A609CB">
        <w:t xml:space="preserve">l tools for TGA regulation of </w:t>
      </w:r>
      <w:r w:rsidR="009E41DC">
        <w:t xml:space="preserve">human </w:t>
      </w:r>
      <w:r w:rsidR="00A609CB">
        <w:t xml:space="preserve">blood, </w:t>
      </w:r>
      <w:r w:rsidR="009E41DC">
        <w:t xml:space="preserve">human </w:t>
      </w:r>
      <w:r w:rsidR="00A609CB">
        <w:t xml:space="preserve">blood components and </w:t>
      </w:r>
      <w:r w:rsidR="009E41DC">
        <w:t>HPCs</w:t>
      </w:r>
      <w:r w:rsidR="00A609CB">
        <w:t>.</w:t>
      </w:r>
    </w:p>
    <w:p w:rsidR="00F52C24" w:rsidRDefault="00980C7A" w:rsidP="00F52C24">
      <w:pPr>
        <w:pStyle w:val="Heading3"/>
      </w:pPr>
      <w:bookmarkStart w:id="3" w:name="_Risk_management_approach"/>
      <w:bookmarkStart w:id="4" w:name="_Toc341452819"/>
      <w:bookmarkEnd w:id="3"/>
      <w:r>
        <w:t>Risk management approac</w:t>
      </w:r>
      <w:bookmarkStart w:id="5" w:name="Riskmanagementapproach"/>
      <w:bookmarkEnd w:id="5"/>
      <w:r>
        <w:t>h for regulation</w:t>
      </w:r>
      <w:r w:rsidR="00806A92">
        <w:t xml:space="preserve"> of HCTs</w:t>
      </w:r>
      <w:bookmarkEnd w:id="4"/>
    </w:p>
    <w:p w:rsidR="00980C7A" w:rsidRDefault="00980C7A" w:rsidP="00980C7A">
      <w:r>
        <w:t xml:space="preserve">The TGA considers </w:t>
      </w:r>
      <w:r w:rsidR="00932026">
        <w:t xml:space="preserve">HCTs </w:t>
      </w:r>
      <w:r>
        <w:t>to b</w:t>
      </w:r>
      <w:r w:rsidR="00806A92">
        <w:t xml:space="preserve">e higher risk therapeutic products. TGA evaluators and </w:t>
      </w:r>
      <w:r w:rsidR="008A273C">
        <w:t xml:space="preserve">inspectors </w:t>
      </w:r>
      <w:r w:rsidR="00806A92">
        <w:t>use a range of tools to identify</w:t>
      </w:r>
      <w:r w:rsidR="007D7836">
        <w:t>,</w:t>
      </w:r>
      <w:r w:rsidR="00806A92">
        <w:t xml:space="preserve"> analyse</w:t>
      </w:r>
      <w:r w:rsidR="00031338">
        <w:t xml:space="preserve"> and mitigate</w:t>
      </w:r>
      <w:r w:rsidR="00806A92">
        <w:t xml:space="preserve"> risks associated with HCTs. These tools include the existing Code and additional technical standards. </w:t>
      </w:r>
    </w:p>
    <w:p w:rsidR="00806A92" w:rsidRDefault="00806A92" w:rsidP="00980C7A">
      <w:r>
        <w:t>The risks associated with the manufacture and production of HCTs include</w:t>
      </w:r>
      <w:r w:rsidR="005179D6">
        <w:t>s</w:t>
      </w:r>
      <w:r>
        <w:t>:</w:t>
      </w:r>
    </w:p>
    <w:p w:rsidR="00BA676A" w:rsidRDefault="00BA676A" w:rsidP="0070723A">
      <w:pPr>
        <w:pStyle w:val="ListParagraph"/>
        <w:numPr>
          <w:ilvl w:val="0"/>
          <w:numId w:val="13"/>
        </w:numPr>
        <w:spacing w:before="0" w:after="200" w:line="276" w:lineRule="auto"/>
      </w:pPr>
      <w:r>
        <w:lastRenderedPageBreak/>
        <w:t>the human starting material (donated or laboratory-cultured cells and tissues) for the HCT</w:t>
      </w:r>
      <w:r w:rsidR="0070723A" w:rsidRPr="00434D94">
        <w:t xml:space="preserve"> may cont</w:t>
      </w:r>
      <w:r w:rsidR="0070723A">
        <w:t>ain harmful viruses</w:t>
      </w:r>
      <w:r w:rsidR="003A420B">
        <w:t xml:space="preserve">, </w:t>
      </w:r>
      <w:r w:rsidR="0070723A">
        <w:t>bacteria</w:t>
      </w:r>
      <w:r w:rsidR="003A420B">
        <w:t xml:space="preserve"> or </w:t>
      </w:r>
      <w:proofErr w:type="spellStart"/>
      <w:r w:rsidR="003A420B">
        <w:t>prions</w:t>
      </w:r>
      <w:proofErr w:type="spellEnd"/>
      <w:r w:rsidR="0006096D">
        <w:t>;</w:t>
      </w:r>
    </w:p>
    <w:p w:rsidR="0070723A" w:rsidRDefault="00D604C9" w:rsidP="0070723A">
      <w:pPr>
        <w:pStyle w:val="ListParagraph"/>
        <w:numPr>
          <w:ilvl w:val="0"/>
          <w:numId w:val="13"/>
        </w:numPr>
        <w:spacing w:before="0" w:after="200" w:line="276" w:lineRule="auto"/>
      </w:pPr>
      <w:r>
        <w:t xml:space="preserve">the intended use </w:t>
      </w:r>
      <w:r w:rsidR="0070723A">
        <w:t xml:space="preserve"> of the product may </w:t>
      </w:r>
      <w:r>
        <w:t xml:space="preserve">not </w:t>
      </w:r>
      <w:r w:rsidR="0070723A">
        <w:t xml:space="preserve">be </w:t>
      </w:r>
      <w:r>
        <w:t>supported by clinical evidence</w:t>
      </w:r>
      <w:r w:rsidR="0006096D">
        <w:t>;</w:t>
      </w:r>
    </w:p>
    <w:p w:rsidR="00806A92" w:rsidRDefault="00BA676A" w:rsidP="0070723A">
      <w:pPr>
        <w:pStyle w:val="ListParagraph"/>
        <w:numPr>
          <w:ilvl w:val="0"/>
          <w:numId w:val="13"/>
        </w:numPr>
        <w:spacing w:before="0" w:after="200" w:line="276" w:lineRule="auto"/>
      </w:pPr>
      <w:proofErr w:type="gramStart"/>
      <w:r>
        <w:t>t</w:t>
      </w:r>
      <w:r w:rsidR="0070723A">
        <w:t>he</w:t>
      </w:r>
      <w:proofErr w:type="gramEnd"/>
      <w:r w:rsidR="0070723A">
        <w:t xml:space="preserve"> way </w:t>
      </w:r>
      <w:r>
        <w:t>the HCT is manufactured, if appropriate processes are not adhered to, can mean the product does not contain the materials or ingredients it should, or it contains contaminant, or is altered to produce undesirable characteristics and/or render the product non-efficacious</w:t>
      </w:r>
      <w:r w:rsidR="00DE6588">
        <w:t xml:space="preserve"> or non-viable</w:t>
      </w:r>
      <w:r>
        <w:t xml:space="preserve">. </w:t>
      </w:r>
    </w:p>
    <w:p w:rsidR="0070723A" w:rsidRDefault="0070723A" w:rsidP="0070723A">
      <w:pPr>
        <w:spacing w:before="0" w:after="200" w:line="276" w:lineRule="auto"/>
      </w:pPr>
      <w:r>
        <w:t xml:space="preserve">It is due to the higher risk profile of these products </w:t>
      </w:r>
      <w:r w:rsidR="0007626C">
        <w:t>that a specific manufacturing Co</w:t>
      </w:r>
      <w:r>
        <w:t>de and technical standards are required for regulating HCTs.</w:t>
      </w:r>
    </w:p>
    <w:p w:rsidR="0070723A" w:rsidRPr="00C60F50" w:rsidRDefault="0070723A" w:rsidP="0070723A">
      <w:pPr>
        <w:pStyle w:val="Heading3"/>
      </w:pPr>
      <w:bookmarkStart w:id="6" w:name="_Toc341452820"/>
      <w:r>
        <w:t>Licensing of HCT manufacturers</w:t>
      </w:r>
      <w:bookmarkEnd w:id="6"/>
    </w:p>
    <w:p w:rsidR="0070723A" w:rsidRDefault="0070723A" w:rsidP="0088462A">
      <w:pPr>
        <w:spacing w:before="0" w:after="200" w:line="240" w:lineRule="auto"/>
      </w:pPr>
      <w:r>
        <w:t>The Act requires that a</w:t>
      </w:r>
      <w:r w:rsidR="006076C3">
        <w:t>n Australian</w:t>
      </w:r>
      <w:r>
        <w:t xml:space="preserve"> manufacturer must obtain a licence and also</w:t>
      </w:r>
      <w:r w:rsidR="002A3FF1">
        <w:t xml:space="preserve"> stipulates that there can be manufacturing principles</w:t>
      </w:r>
      <w:r>
        <w:t xml:space="preserve"> (Part 3-3 section 36(1)) and that; if they exist they must be followed as a condition of licensing (Part 3-3 section 40(4) (a) (ii)).  The </w:t>
      </w:r>
      <w:r w:rsidRPr="006076C3">
        <w:rPr>
          <w:i/>
        </w:rPr>
        <w:t>Therapeutic Goods Determination No. 1 of 2007</w:t>
      </w:r>
      <w:r>
        <w:t xml:space="preserve"> sets out the manufacturing principles to be observed in the manufacture of HCTs.  The manufacturing principles for HCTs are the Australian </w:t>
      </w:r>
      <w:r w:rsidRPr="00E41F73">
        <w:rPr>
          <w:i/>
        </w:rPr>
        <w:t xml:space="preserve">Code </w:t>
      </w:r>
      <w:r>
        <w:rPr>
          <w:i/>
        </w:rPr>
        <w:t>of Good Manufacturing Practice</w:t>
      </w:r>
      <w:r w:rsidRPr="00E41F73">
        <w:rPr>
          <w:i/>
        </w:rPr>
        <w:t xml:space="preserve"> for Blood and Tissues (2000)</w:t>
      </w:r>
      <w:r>
        <w:t xml:space="preserve"> (the Code).</w:t>
      </w:r>
    </w:p>
    <w:p w:rsidR="0070723A" w:rsidRPr="009C6FE9" w:rsidRDefault="0070723A" w:rsidP="0070723A">
      <w:pPr>
        <w:pStyle w:val="Heading4"/>
      </w:pPr>
      <w:bookmarkStart w:id="7" w:name="_Toc341108667"/>
      <w:bookmarkStart w:id="8" w:name="_Toc341452821"/>
      <w:r w:rsidRPr="009C6FE9">
        <w:t xml:space="preserve">What </w:t>
      </w:r>
      <w:r>
        <w:t xml:space="preserve">requirements are in the </w:t>
      </w:r>
      <w:r w:rsidRPr="009C6FE9">
        <w:t>Code</w:t>
      </w:r>
      <w:bookmarkEnd w:id="7"/>
      <w:bookmarkEnd w:id="8"/>
    </w:p>
    <w:p w:rsidR="0021456B" w:rsidRDefault="0070723A" w:rsidP="0070723A">
      <w:r>
        <w:t>Good manufacturing practice</w:t>
      </w:r>
      <w:r w:rsidR="0021456B">
        <w:t xml:space="preserve"> (GMP)</w:t>
      </w:r>
      <w:r>
        <w:t xml:space="preserve"> is</w:t>
      </w:r>
      <w:r w:rsidRPr="007147A4">
        <w:t xml:space="preserve"> part of a quality system </w:t>
      </w:r>
      <w:r w:rsidR="0021456B">
        <w:t>required for</w:t>
      </w:r>
      <w:r w:rsidRPr="007147A4">
        <w:t xml:space="preserve"> the manufacture and testing of </w:t>
      </w:r>
      <w:r>
        <w:t>therapeutic goods</w:t>
      </w:r>
      <w:r w:rsidRPr="007147A4">
        <w:t xml:space="preserve">. </w:t>
      </w:r>
      <w:r>
        <w:t>GMP</w:t>
      </w:r>
      <w:r w:rsidRPr="007147A4">
        <w:t xml:space="preserve"> outline</w:t>
      </w:r>
      <w:r w:rsidR="00FF5E7E">
        <w:t>s</w:t>
      </w:r>
      <w:r w:rsidRPr="007147A4">
        <w:t xml:space="preserve"> the aspects of production and testing that can a</w:t>
      </w:r>
      <w:r>
        <w:t xml:space="preserve">ffect the quality of a product, and are a series of general principles and objectives that must be observed during manufacturing.  </w:t>
      </w:r>
      <w:r w:rsidRPr="007147A4">
        <w:t>M</w:t>
      </w:r>
      <w:r>
        <w:t>any countries have legislated</w:t>
      </w:r>
      <w:r w:rsidRPr="007147A4">
        <w:t xml:space="preserve"> that manufacturers of pharmaceutical</w:t>
      </w:r>
      <w:r>
        <w:t>s</w:t>
      </w:r>
      <w:r w:rsidRPr="007147A4">
        <w:t xml:space="preserve">, human blood and blood components, </w:t>
      </w:r>
      <w:r w:rsidR="00CB333B">
        <w:t>early precursors to human blood cells (</w:t>
      </w:r>
      <w:r w:rsidR="002B32D3">
        <w:t xml:space="preserve">including </w:t>
      </w:r>
      <w:r w:rsidR="00B55180">
        <w:t>HPCs</w:t>
      </w:r>
      <w:r w:rsidR="00CB333B">
        <w:t>),</w:t>
      </w:r>
      <w:r w:rsidR="002B32D3">
        <w:t xml:space="preserve"> </w:t>
      </w:r>
      <w:r w:rsidRPr="007147A4">
        <w:t>human tissues</w:t>
      </w:r>
      <w:r w:rsidR="00B55180">
        <w:t>,</w:t>
      </w:r>
      <w:r w:rsidRPr="007147A4">
        <w:t xml:space="preserve"> human cellular therapy products and medical device companies must follow GMP procedures and have </w:t>
      </w:r>
      <w:r>
        <w:t xml:space="preserve">developed corresponding </w:t>
      </w:r>
      <w:r w:rsidRPr="007147A4">
        <w:t xml:space="preserve">GMP guidelines. The </w:t>
      </w:r>
      <w:r w:rsidR="0021456B">
        <w:t xml:space="preserve">underlying </w:t>
      </w:r>
      <w:r w:rsidRPr="007147A4">
        <w:t xml:space="preserve">objective of all these guidelines </w:t>
      </w:r>
      <w:r w:rsidR="0021456B">
        <w:t>is</w:t>
      </w:r>
      <w:r>
        <w:t xml:space="preserve"> </w:t>
      </w:r>
      <w:r w:rsidRPr="007147A4">
        <w:t>to safeguard the health of patients through the production of good quality therapeutic products.</w:t>
      </w:r>
      <w:r w:rsidRPr="009C6FE9">
        <w:t xml:space="preserve"> </w:t>
      </w:r>
      <w:r w:rsidR="0021456B">
        <w:t xml:space="preserve">Noted below are the basic principles of all GMP guidelines. </w:t>
      </w:r>
    </w:p>
    <w:p w:rsidR="0070723A" w:rsidRPr="007147A4" w:rsidRDefault="0021456B" w:rsidP="0070723A">
      <w:r>
        <w:t>T</w:t>
      </w:r>
      <w:r w:rsidR="0070723A">
        <w:t>he manufacturer must:</w:t>
      </w:r>
    </w:p>
    <w:p w:rsidR="0070723A" w:rsidRPr="007147A4" w:rsidRDefault="0070723A" w:rsidP="0070723A">
      <w:pPr>
        <w:pStyle w:val="ListBullet"/>
        <w:spacing w:line="240" w:lineRule="auto"/>
      </w:pPr>
      <w:r>
        <w:t xml:space="preserve">have a quality system that includes  </w:t>
      </w:r>
      <w:r w:rsidR="00711A6A">
        <w:t>document control</w:t>
      </w:r>
      <w:r w:rsidR="00B440F3">
        <w:t xml:space="preserve">, </w:t>
      </w:r>
      <w:r>
        <w:t>change management, monitoring</w:t>
      </w:r>
      <w:r w:rsidR="00B440F3">
        <w:t xml:space="preserve"> systems including</w:t>
      </w:r>
      <w:r>
        <w:t xml:space="preserve"> internal audits</w:t>
      </w:r>
      <w:r w:rsidR="00B440F3">
        <w:t>, corrective action and management review</w:t>
      </w:r>
      <w:r w:rsidR="00973BFF">
        <w:t>;</w:t>
      </w:r>
    </w:p>
    <w:p w:rsidR="0070723A" w:rsidRDefault="0070723A" w:rsidP="0070723A">
      <w:pPr>
        <w:pStyle w:val="ListBullet"/>
        <w:spacing w:line="240" w:lineRule="auto"/>
      </w:pPr>
      <w:proofErr w:type="gramStart"/>
      <w:r>
        <w:t>control</w:t>
      </w:r>
      <w:proofErr w:type="gramEnd"/>
      <w:r>
        <w:t xml:space="preserve"> m</w:t>
      </w:r>
      <w:r w:rsidRPr="007147A4">
        <w:t xml:space="preserve">anufacturing processes and </w:t>
      </w:r>
      <w:r>
        <w:t xml:space="preserve">evaluate </w:t>
      </w:r>
      <w:r w:rsidRPr="007147A4">
        <w:t>any changes to the process.</w:t>
      </w:r>
      <w:r>
        <w:t xml:space="preserve"> They must ‘validate’ any c</w:t>
      </w:r>
      <w:r w:rsidRPr="007147A4">
        <w:t xml:space="preserve">hanges that </w:t>
      </w:r>
      <w:r>
        <w:t>a</w:t>
      </w:r>
      <w:r w:rsidRPr="007147A4">
        <w:t>ffect the quality of the therapeutic product</w:t>
      </w:r>
      <w:r w:rsidR="002B32D3">
        <w:t xml:space="preserve"> </w:t>
      </w:r>
      <w:r w:rsidR="00B440F3">
        <w:t>to ensure consistency</w:t>
      </w:r>
      <w:r w:rsidR="002B32D3">
        <w:t xml:space="preserve"> of manufacture</w:t>
      </w:r>
      <w:r w:rsidR="00B440F3">
        <w:t xml:space="preserve"> and compliance with </w:t>
      </w:r>
      <w:r>
        <w:t>specification</w:t>
      </w:r>
      <w:r w:rsidR="00973BFF">
        <w:t>s;</w:t>
      </w:r>
    </w:p>
    <w:p w:rsidR="0070723A" w:rsidRPr="007147A4" w:rsidRDefault="0070723A" w:rsidP="0070723A">
      <w:pPr>
        <w:pStyle w:val="ListBullet"/>
        <w:spacing w:line="240" w:lineRule="auto"/>
      </w:pPr>
      <w:r>
        <w:t xml:space="preserve">train personnel in all aspects of manufacturing and associated activities that </w:t>
      </w:r>
      <w:r w:rsidR="002A3FF1">
        <w:t>affect</w:t>
      </w:r>
      <w:r>
        <w:t xml:space="preserve"> the quality of the therapeutic products, including general training, as well as training specific to their role</w:t>
      </w:r>
      <w:r w:rsidR="00973BFF">
        <w:t>;</w:t>
      </w:r>
    </w:p>
    <w:p w:rsidR="0070723A" w:rsidRDefault="0070723A" w:rsidP="0070723A">
      <w:pPr>
        <w:pStyle w:val="ListBullet"/>
        <w:spacing w:line="240" w:lineRule="auto"/>
      </w:pPr>
      <w:r>
        <w:t>have  premises and equipment to undertake ancillary procedures, storage and production, including quality control and dispatch areas, and equipment looking at qualification, calibration, performance verification, mainte</w:t>
      </w:r>
      <w:r w:rsidR="00973BFF">
        <w:t>nance and the monitoring of use;</w:t>
      </w:r>
    </w:p>
    <w:p w:rsidR="0070723A" w:rsidRDefault="0070723A" w:rsidP="0070723A">
      <w:pPr>
        <w:pStyle w:val="ListBullet"/>
        <w:spacing w:line="240" w:lineRule="auto"/>
      </w:pPr>
      <w:r>
        <w:lastRenderedPageBreak/>
        <w:t>have documentation setting out policies, manufacturing procedures, quality control procedures</w:t>
      </w:r>
      <w:r w:rsidR="004C1296">
        <w:t>, ancillary procedures</w:t>
      </w:r>
      <w:r>
        <w:t xml:space="preserve"> and records of outcomes for all areas</w:t>
      </w:r>
      <w:r w:rsidR="00973BFF">
        <w:t>;</w:t>
      </w:r>
    </w:p>
    <w:p w:rsidR="0070723A" w:rsidRDefault="0070723A" w:rsidP="0070723A">
      <w:pPr>
        <w:pStyle w:val="ListBullet"/>
        <w:spacing w:line="240" w:lineRule="auto"/>
      </w:pPr>
      <w:r>
        <w:t>where applicable,</w:t>
      </w:r>
      <w:r w:rsidR="002A3FF1">
        <w:t xml:space="preserve"> have</w:t>
      </w:r>
      <w:r>
        <w:t xml:space="preserve"> procedures for contract production and contract testing that include the contract giver, contract acceptor and the contracts</w:t>
      </w:r>
      <w:r w:rsidR="00973BFF">
        <w:t>;</w:t>
      </w:r>
    </w:p>
    <w:p w:rsidR="0070723A" w:rsidRDefault="0070723A" w:rsidP="0070723A">
      <w:pPr>
        <w:pStyle w:val="ListBullet"/>
        <w:spacing w:line="240" w:lineRule="auto"/>
      </w:pPr>
      <w:r>
        <w:t xml:space="preserve">establish a complaints and recalls system for recalling therapeutic products prior to transplantation, </w:t>
      </w:r>
      <w:r w:rsidR="00DF082B">
        <w:t xml:space="preserve">implantation, </w:t>
      </w:r>
      <w:r>
        <w:t>transfusion and</w:t>
      </w:r>
      <w:r w:rsidR="002A3FF1">
        <w:t>/</w:t>
      </w:r>
      <w:r>
        <w:t>or infusion, where indicated</w:t>
      </w:r>
      <w:r w:rsidR="00973BFF">
        <w:t>;</w:t>
      </w:r>
    </w:p>
    <w:p w:rsidR="0070723A" w:rsidRDefault="0070723A" w:rsidP="0070723A">
      <w:pPr>
        <w:pStyle w:val="ListBullet"/>
        <w:spacing w:line="240" w:lineRule="auto"/>
      </w:pPr>
      <w:proofErr w:type="gramStart"/>
      <w:r>
        <w:t>have</w:t>
      </w:r>
      <w:proofErr w:type="gramEnd"/>
      <w:r>
        <w:t xml:space="preserve"> a system for managing critical material, including starting materials, packaging, intermediate, bulk and finished products, reagents, culture media and reference standards.  The management of critical material must review rejected, recovered, reprocessed and reworked materials</w:t>
      </w:r>
      <w:r w:rsidR="00973BFF">
        <w:t>;</w:t>
      </w:r>
    </w:p>
    <w:p w:rsidR="0070723A" w:rsidRDefault="0070723A" w:rsidP="0070723A">
      <w:pPr>
        <w:pStyle w:val="ListBullet"/>
        <w:spacing w:line="240" w:lineRule="auto"/>
      </w:pPr>
      <w:proofErr w:type="gramStart"/>
      <w:r>
        <w:t>ensure</w:t>
      </w:r>
      <w:proofErr w:type="gramEnd"/>
      <w:r>
        <w:t xml:space="preserve"> that the collection and processing of </w:t>
      </w:r>
      <w:r w:rsidR="00774547">
        <w:t>therapeutic produ</w:t>
      </w:r>
      <w:r w:rsidR="004D7C98">
        <w:t>c</w:t>
      </w:r>
      <w:r w:rsidR="00774547">
        <w:t>ts</w:t>
      </w:r>
      <w:r w:rsidR="00A93498">
        <w:t xml:space="preserve"> are </w:t>
      </w:r>
      <w:r>
        <w:t>undertaken in such a way to  prevent cross contamination, mix-ups and bacterial contamination during production, processing operations, and packaging and release for supply.  All critical processes should be either verified and/ or validated</w:t>
      </w:r>
      <w:r w:rsidR="00973BFF">
        <w:t>;</w:t>
      </w:r>
    </w:p>
    <w:p w:rsidR="0070723A" w:rsidRDefault="0070723A" w:rsidP="0070723A">
      <w:pPr>
        <w:pStyle w:val="ListBullet"/>
        <w:spacing w:line="240" w:lineRule="auto"/>
      </w:pPr>
      <w:r>
        <w:t>have quality control practices that include the control of starting materials, intermediates, bulk and finished therapeutic products, the test requirements, batch records review and stability studies</w:t>
      </w:r>
      <w:r w:rsidR="00973BFF">
        <w:t>;</w:t>
      </w:r>
    </w:p>
    <w:p w:rsidR="0070723A" w:rsidRPr="007147A4" w:rsidRDefault="0070723A" w:rsidP="0070723A">
      <w:pPr>
        <w:pStyle w:val="ListBullet"/>
        <w:spacing w:line="240" w:lineRule="auto"/>
      </w:pPr>
      <w:proofErr w:type="gramStart"/>
      <w:r>
        <w:t>where</w:t>
      </w:r>
      <w:proofErr w:type="gramEnd"/>
      <w:r>
        <w:t xml:space="preserve"> computer systems are required in connection with a step in the manufacture of the product, ensure the computer system meets the same quality system requirements for those manual functions that it replaces.  There should be documentation from the time of the written protocol for initial verification and the prospective validation of the computer system</w:t>
      </w:r>
      <w:r w:rsidR="002A3FF1">
        <w:t>,</w:t>
      </w:r>
      <w:r>
        <w:t xml:space="preserve"> including the confirmation of accuracy and reliability of the data collected directly from the equipment, back-up of the system and contingency plans if the system fails.</w:t>
      </w:r>
    </w:p>
    <w:p w:rsidR="009F708F" w:rsidRPr="007147A4" w:rsidRDefault="009F708F" w:rsidP="009F708F">
      <w:pPr>
        <w:pStyle w:val="ListBullet"/>
        <w:numPr>
          <w:ilvl w:val="0"/>
          <w:numId w:val="0"/>
        </w:numPr>
      </w:pPr>
      <w:r>
        <w:rPr>
          <w:rFonts w:cs="Arial"/>
        </w:rPr>
        <w:t>The</w:t>
      </w:r>
      <w:r w:rsidR="0070723A">
        <w:rPr>
          <w:rFonts w:cs="Arial"/>
        </w:rPr>
        <w:t xml:space="preserve"> </w:t>
      </w:r>
      <w:r w:rsidR="0070723A" w:rsidRPr="00C561FE">
        <w:rPr>
          <w:rFonts w:cs="Arial"/>
        </w:rPr>
        <w:t>Code sets out all the requirements for GMP th</w:t>
      </w:r>
      <w:r w:rsidR="0021456B">
        <w:rPr>
          <w:rFonts w:cs="Arial"/>
        </w:rPr>
        <w:t>at collectively ensures that</w:t>
      </w:r>
      <w:r w:rsidR="0070723A" w:rsidRPr="00C561FE">
        <w:rPr>
          <w:rFonts w:cs="Arial"/>
        </w:rPr>
        <w:t xml:space="preserve"> therapeutic products consistently meet specifications</w:t>
      </w:r>
      <w:r>
        <w:rPr>
          <w:rFonts w:cs="Arial"/>
        </w:rPr>
        <w:t>, and while it</w:t>
      </w:r>
      <w:r w:rsidR="0070723A" w:rsidRPr="00C561FE">
        <w:rPr>
          <w:rFonts w:cs="Arial"/>
        </w:rPr>
        <w:t xml:space="preserve"> </w:t>
      </w:r>
      <w:r w:rsidR="002A3FF1">
        <w:rPr>
          <w:rFonts w:cs="Arial"/>
        </w:rPr>
        <w:t>sets the</w:t>
      </w:r>
      <w:r w:rsidR="0070723A" w:rsidRPr="00C561FE">
        <w:rPr>
          <w:rFonts w:cs="Arial"/>
        </w:rPr>
        <w:t xml:space="preserve"> benchmark </w:t>
      </w:r>
      <w:r>
        <w:rPr>
          <w:rFonts w:cs="Arial"/>
        </w:rPr>
        <w:t xml:space="preserve">for </w:t>
      </w:r>
      <w:r w:rsidR="0070723A" w:rsidRPr="00C561FE">
        <w:rPr>
          <w:rFonts w:cs="Arial"/>
        </w:rPr>
        <w:t xml:space="preserve">practices that should be followed, alternative approaches </w:t>
      </w:r>
      <w:r w:rsidR="0021456B">
        <w:rPr>
          <w:rFonts w:cs="Arial"/>
        </w:rPr>
        <w:t>may be</w:t>
      </w:r>
      <w:r w:rsidR="0070723A" w:rsidRPr="00C561FE">
        <w:rPr>
          <w:rFonts w:cs="Arial"/>
        </w:rPr>
        <w:t xml:space="preserve"> permitted provided it c</w:t>
      </w:r>
      <w:r w:rsidR="0070723A">
        <w:rPr>
          <w:rFonts w:cs="Arial"/>
        </w:rPr>
        <w:t>an</w:t>
      </w:r>
      <w:r w:rsidR="0070723A" w:rsidRPr="00C561FE">
        <w:rPr>
          <w:rFonts w:cs="Arial"/>
        </w:rPr>
        <w:t xml:space="preserve"> be demonstrated that the intent of the Code is met in a timely and effective manner in order to meet quality objectives.  It is the manufacturer’s responsibility to determine </w:t>
      </w:r>
      <w:r w:rsidR="0070723A">
        <w:rPr>
          <w:rFonts w:cs="Arial"/>
        </w:rPr>
        <w:t xml:space="preserve">the </w:t>
      </w:r>
      <w:r w:rsidR="0070723A" w:rsidRPr="00C561FE">
        <w:rPr>
          <w:rFonts w:cs="Arial"/>
        </w:rPr>
        <w:t>most effective and efficient quality process.</w:t>
      </w:r>
      <w:r w:rsidR="0070723A" w:rsidRPr="003C3D24">
        <w:t xml:space="preserve"> </w:t>
      </w:r>
      <w:r>
        <w:t>Furthermore, i</w:t>
      </w:r>
      <w:r w:rsidRPr="007147A4">
        <w:t xml:space="preserve">t is important to note that </w:t>
      </w:r>
      <w:r>
        <w:t xml:space="preserve">the </w:t>
      </w:r>
      <w:r w:rsidR="00ED0D11">
        <w:t>requirements of the Code</w:t>
      </w:r>
      <w:r w:rsidR="00ED0D11" w:rsidRPr="007147A4">
        <w:t xml:space="preserve"> </w:t>
      </w:r>
      <w:r w:rsidRPr="007147A4">
        <w:t xml:space="preserve">are </w:t>
      </w:r>
      <w:r w:rsidRPr="007E0E61">
        <w:rPr>
          <w:i/>
        </w:rPr>
        <w:t xml:space="preserve">minimum </w:t>
      </w:r>
      <w:r w:rsidRPr="007147A4">
        <w:t xml:space="preserve">requirements.  Many manufacturers have already implemented comprehensive, modern quality systems and risk management approaches that </w:t>
      </w:r>
      <w:r>
        <w:t xml:space="preserve">may well </w:t>
      </w:r>
      <w:r w:rsidRPr="007147A4">
        <w:t>exceed the minimum standards.</w:t>
      </w:r>
    </w:p>
    <w:p w:rsidR="0070723A" w:rsidRPr="007147A4" w:rsidRDefault="0070723A" w:rsidP="0070723A">
      <w:pPr>
        <w:pStyle w:val="ListBullet"/>
        <w:numPr>
          <w:ilvl w:val="0"/>
          <w:numId w:val="0"/>
        </w:numPr>
      </w:pPr>
      <w:r>
        <w:t>Consistent with the basic principles outlined above, t</w:t>
      </w:r>
      <w:r w:rsidRPr="007147A4">
        <w:t>he</w:t>
      </w:r>
      <w:r>
        <w:t xml:space="preserve"> existing Code</w:t>
      </w:r>
      <w:r w:rsidRPr="007147A4">
        <w:t xml:space="preserve"> provide</w:t>
      </w:r>
      <w:r>
        <w:t>s</w:t>
      </w:r>
      <w:r w:rsidRPr="007147A4">
        <w:t xml:space="preserve"> for systems that </w:t>
      </w:r>
      <w:r>
        <w:t>are consistent in monitoring and control of manufacturing processes and facilities</w:t>
      </w:r>
      <w:r w:rsidR="009F708F">
        <w:t xml:space="preserve"> to some extent.</w:t>
      </w:r>
    </w:p>
    <w:p w:rsidR="0070723A" w:rsidRDefault="00083E52" w:rsidP="00083E52">
      <w:pPr>
        <w:pStyle w:val="Heading3"/>
      </w:pPr>
      <w:bookmarkStart w:id="9" w:name="_Toc341452822"/>
      <w:r>
        <w:t>Compliance with the Code and HCTs</w:t>
      </w:r>
      <w:bookmarkEnd w:id="9"/>
    </w:p>
    <w:p w:rsidR="009F708F" w:rsidRDefault="00F21A30" w:rsidP="009F708F">
      <w:r>
        <w:t>The patient or treating physician</w:t>
      </w:r>
      <w:r w:rsidRPr="007147A4">
        <w:t xml:space="preserve"> usually cannot detect (through smell, touch, or sight) that a </w:t>
      </w:r>
      <w:r>
        <w:t xml:space="preserve">HCT </w:t>
      </w:r>
      <w:r w:rsidRPr="007147A4">
        <w:t xml:space="preserve">product is safe or if it will work.  While </w:t>
      </w:r>
      <w:r>
        <w:t xml:space="preserve">the Code </w:t>
      </w:r>
      <w:r w:rsidRPr="007147A4">
        <w:t>require</w:t>
      </w:r>
      <w:r>
        <w:t>s</w:t>
      </w:r>
      <w:r w:rsidRPr="007147A4">
        <w:t xml:space="preserve"> testing</w:t>
      </w:r>
      <w:r>
        <w:t xml:space="preserve"> to ensure quality of these complex products</w:t>
      </w:r>
      <w:r w:rsidRPr="007147A4">
        <w:t xml:space="preserve">, </w:t>
      </w:r>
      <w:r>
        <w:t>it is difficult to ensure through testing alone</w:t>
      </w:r>
      <w:r w:rsidRPr="007147A4">
        <w:t>.</w:t>
      </w:r>
      <w:r>
        <w:t xml:space="preserve"> There is considerable reliance on a controlled manufacturing process. </w:t>
      </w:r>
    </w:p>
    <w:p w:rsidR="009F708F" w:rsidRDefault="009F708F" w:rsidP="009F708F">
      <w:r>
        <w:t>In many</w:t>
      </w:r>
      <w:r w:rsidRPr="007147A4">
        <w:t xml:space="preserve"> instances, a </w:t>
      </w:r>
      <w:r>
        <w:t>single HCT product constitutes a ‘batch’ in manufacturing terminology</w:t>
      </w:r>
      <w:r w:rsidRPr="007147A4">
        <w:t xml:space="preserve">, so that the entire product </w:t>
      </w:r>
      <w:r>
        <w:t xml:space="preserve">is required </w:t>
      </w:r>
      <w:r w:rsidRPr="007147A4">
        <w:t>for the patient</w:t>
      </w:r>
      <w:r>
        <w:t>. The quality control tests that are required are performed on a representative sample</w:t>
      </w:r>
      <w:r w:rsidR="00A93498">
        <w:t xml:space="preserve"> of the ‘batch’</w:t>
      </w:r>
      <w:r>
        <w:t xml:space="preserve">.  If the full batch </w:t>
      </w:r>
      <w:r>
        <w:lastRenderedPageBreak/>
        <w:t xml:space="preserve">is to be tested, destructive testing </w:t>
      </w:r>
      <w:r w:rsidR="00031338">
        <w:t>may</w:t>
      </w:r>
      <w:r w:rsidR="007D7836">
        <w:t xml:space="preserve"> </w:t>
      </w:r>
      <w:r>
        <w:t>result in the loss of the entire product. For some HCT, there may be a relative inability to characterise the product fully to ensure product quality and safety because of limitations to existing analytical technologies/bioassays or our fundamental knowledge of newly emerging cell therapy products. To allow for these circumstances and timely access to the latest therapeutic advances, there has to be a strong emphasis during HCT development on the concept that the ‘</w:t>
      </w:r>
      <w:r w:rsidRPr="0053343D">
        <w:rPr>
          <w:i/>
        </w:rPr>
        <w:t>manufacturing process defines product’</w:t>
      </w:r>
      <w:r>
        <w:t>. There has to be an assurance that the production process is reliable and reproducible, and transferrable to anyone familiar with the specific techniques. Quality control of processes emphasises the testing of the product to ensure</w:t>
      </w:r>
      <w:r w:rsidR="00A93498">
        <w:t xml:space="preserve"> a level of safety assurance prior to the release of the therapeutic product. </w:t>
      </w:r>
    </w:p>
    <w:p w:rsidR="00E82B31" w:rsidRDefault="009F708F" w:rsidP="00F21A30">
      <w:r>
        <w:t xml:space="preserve">In addition to GMP for HCTs, </w:t>
      </w:r>
      <w:r w:rsidR="00F21A30">
        <w:t>measures are taken to minimise the risk of transmission of harmful infectious diseases</w:t>
      </w:r>
      <w:r>
        <w:t xml:space="preserve"> from donated starting material. The current Code contains the minimum national requirements </w:t>
      </w:r>
      <w:r w:rsidR="00F21A30">
        <w:t xml:space="preserve">relating to donor selection and testing, together with requirements for infectious disease minimisation </w:t>
      </w:r>
      <w:r w:rsidR="00E82B31">
        <w:t>to minimise the risk associated with starting materials for these products.</w:t>
      </w:r>
    </w:p>
    <w:p w:rsidR="00E6045D" w:rsidRDefault="00E6045D" w:rsidP="00083E52">
      <w:r>
        <w:t>Examples of how Code requirements help to ensure the safety and efficacy of HCTs include:</w:t>
      </w:r>
    </w:p>
    <w:p w:rsidR="00E6045D" w:rsidRDefault="00FC0575" w:rsidP="00E6045D">
      <w:pPr>
        <w:pStyle w:val="ListParagraph"/>
        <w:numPr>
          <w:ilvl w:val="0"/>
          <w:numId w:val="14"/>
        </w:numPr>
      </w:pPr>
      <w:r>
        <w:t>e</w:t>
      </w:r>
      <w:r w:rsidR="00E6045D">
        <w:t>nsuring facilities are in good condition</w:t>
      </w:r>
    </w:p>
    <w:p w:rsidR="00E6045D" w:rsidRDefault="00FC0575" w:rsidP="00E6045D">
      <w:pPr>
        <w:pStyle w:val="ListParagraph"/>
        <w:numPr>
          <w:ilvl w:val="0"/>
          <w:numId w:val="14"/>
        </w:numPr>
      </w:pPr>
      <w:r>
        <w:t>r</w:t>
      </w:r>
      <w:r w:rsidR="00E6045D">
        <w:t>equiring equipment to be properly maintained and calibrated</w:t>
      </w:r>
    </w:p>
    <w:p w:rsidR="00E6045D" w:rsidRDefault="00FC0575" w:rsidP="00E6045D">
      <w:pPr>
        <w:pStyle w:val="ListParagraph"/>
        <w:numPr>
          <w:ilvl w:val="0"/>
          <w:numId w:val="14"/>
        </w:numPr>
      </w:pPr>
      <w:r>
        <w:t>r</w:t>
      </w:r>
      <w:r w:rsidR="00E6045D">
        <w:t>equiring all personnel to be fully trained and qualified</w:t>
      </w:r>
    </w:p>
    <w:p w:rsidR="00E6045D" w:rsidRDefault="00FC0575" w:rsidP="00E6045D">
      <w:pPr>
        <w:pStyle w:val="ListParagraph"/>
        <w:numPr>
          <w:ilvl w:val="0"/>
          <w:numId w:val="14"/>
        </w:numPr>
      </w:pPr>
      <w:proofErr w:type="gramStart"/>
      <w:r>
        <w:t>e</w:t>
      </w:r>
      <w:r w:rsidR="00E6045D">
        <w:t>nsuring</w:t>
      </w:r>
      <w:proofErr w:type="gramEnd"/>
      <w:r w:rsidR="00E6045D">
        <w:t xml:space="preserve"> all processes are reliable and reproducible.</w:t>
      </w:r>
    </w:p>
    <w:p w:rsidR="00957F19" w:rsidRDefault="00DC67DA" w:rsidP="00DC67DA">
      <w:pPr>
        <w:pStyle w:val="Heading2"/>
      </w:pPr>
      <w:bookmarkStart w:id="10" w:name="_Toc341452823"/>
      <w:r>
        <w:t>The problem</w:t>
      </w:r>
      <w:bookmarkEnd w:id="10"/>
    </w:p>
    <w:p w:rsidR="008A2386" w:rsidRDefault="00936698" w:rsidP="00DC67DA">
      <w:r>
        <w:t xml:space="preserve">The </w:t>
      </w:r>
      <w:r w:rsidR="005978D3">
        <w:t xml:space="preserve">existing </w:t>
      </w:r>
      <w:r>
        <w:t xml:space="preserve">Code </w:t>
      </w:r>
      <w:r w:rsidR="00E02FE3">
        <w:t>is not suited to the current manufacturing or regulatory environment</w:t>
      </w:r>
      <w:r w:rsidR="00B41D7D">
        <w:t>s</w:t>
      </w:r>
      <w:r>
        <w:t xml:space="preserve">. </w:t>
      </w:r>
    </w:p>
    <w:p w:rsidR="005246C7" w:rsidRPr="00AE69CC" w:rsidRDefault="00027047" w:rsidP="00DC67DA">
      <w:r>
        <w:t xml:space="preserve">At the time the Code was implemented in August 2000, it was considered </w:t>
      </w:r>
      <w:r w:rsidR="00CD0C66">
        <w:t>adequate and relevant for</w:t>
      </w:r>
      <w:r w:rsidR="00C97A10">
        <w:t xml:space="preserve"> </w:t>
      </w:r>
      <w:r>
        <w:t xml:space="preserve">the types of </w:t>
      </w:r>
      <w:r w:rsidR="00D15FA5">
        <w:t xml:space="preserve">HCT </w:t>
      </w:r>
      <w:r>
        <w:t>used in clinical settings</w:t>
      </w:r>
      <w:r w:rsidR="00D15FA5">
        <w:t xml:space="preserve"> at the time</w:t>
      </w:r>
      <w:r w:rsidR="005246C7">
        <w:t>, such as blood, tissues, and haematopoietic progenitor cells</w:t>
      </w:r>
      <w:r>
        <w:t xml:space="preserve">. </w:t>
      </w:r>
      <w:r w:rsidR="001218CF">
        <w:t xml:space="preserve">These products have a well established clinical and manufacturing history </w:t>
      </w:r>
      <w:r w:rsidR="00427841">
        <w:t>span</w:t>
      </w:r>
      <w:r w:rsidR="00837950">
        <w:t>ning</w:t>
      </w:r>
      <w:r w:rsidR="001218CF">
        <w:t xml:space="preserve"> decades</w:t>
      </w:r>
      <w:r w:rsidR="003C6ACA">
        <w:t xml:space="preserve"> and as such, the risk</w:t>
      </w:r>
      <w:r w:rsidR="00CC2A82">
        <w:t xml:space="preserve"> profile in terms of manufacture is relatively low</w:t>
      </w:r>
      <w:r w:rsidR="003C6ACA">
        <w:t xml:space="preserve">. </w:t>
      </w:r>
      <w:r>
        <w:t>Since 2000 there ha</w:t>
      </w:r>
      <w:r w:rsidR="00A071D1">
        <w:t>ve</w:t>
      </w:r>
      <w:r>
        <w:t xml:space="preserve"> been significant development</w:t>
      </w:r>
      <w:r w:rsidR="00A071D1">
        <w:t>s</w:t>
      </w:r>
      <w:r>
        <w:t xml:space="preserve"> in </w:t>
      </w:r>
      <w:r w:rsidR="002709E8">
        <w:t>manufactur</w:t>
      </w:r>
      <w:r w:rsidR="00A071D1">
        <w:t>ing</w:t>
      </w:r>
      <w:r w:rsidR="002709E8">
        <w:t xml:space="preserve"> </w:t>
      </w:r>
      <w:r w:rsidR="00A071D1">
        <w:t xml:space="preserve">methods </w:t>
      </w:r>
      <w:r w:rsidR="002709E8">
        <w:t xml:space="preserve">and </w:t>
      </w:r>
      <w:r>
        <w:t>types</w:t>
      </w:r>
      <w:r w:rsidR="00A071D1">
        <w:t xml:space="preserve"> </w:t>
      </w:r>
      <w:r>
        <w:t xml:space="preserve">of HCTs used in clinical settings, </w:t>
      </w:r>
      <w:r w:rsidRPr="00AE69CC">
        <w:t>however a revision of the Code has not occurred to keep pace with t</w:t>
      </w:r>
      <w:r w:rsidR="00CD0C66" w:rsidRPr="00AE69CC">
        <w:t xml:space="preserve">hese developments. </w:t>
      </w:r>
    </w:p>
    <w:p w:rsidR="00DC67DA" w:rsidRDefault="00CD0C66" w:rsidP="00DC67DA">
      <w:r w:rsidRPr="00AE69CC">
        <w:t xml:space="preserve">Furthermore, </w:t>
      </w:r>
      <w:r w:rsidR="00027047" w:rsidRPr="00AE69CC">
        <w:t xml:space="preserve">the existing </w:t>
      </w:r>
      <w:r w:rsidR="007B2FBE">
        <w:t>C</w:t>
      </w:r>
      <w:r w:rsidR="00027047" w:rsidRPr="00AE69CC">
        <w:t>ode was developed to provide a regulatory model for</w:t>
      </w:r>
      <w:r w:rsidR="00A93498" w:rsidRPr="00AE69CC">
        <w:t xml:space="preserve"> human</w:t>
      </w:r>
      <w:r w:rsidR="00027047" w:rsidRPr="00AE69CC">
        <w:t xml:space="preserve"> blood and </w:t>
      </w:r>
      <w:r w:rsidR="00A93498" w:rsidRPr="00AE69CC">
        <w:t xml:space="preserve">human </w:t>
      </w:r>
      <w:r w:rsidR="00027047" w:rsidRPr="00AE69CC">
        <w:t>tissues</w:t>
      </w:r>
      <w:r w:rsidR="00A93498" w:rsidRPr="00AE69CC">
        <w:t>, as well as for early precursors to blood cells (haematopoietic progenitor cells) for the purposes of bone marrow reconstitution</w:t>
      </w:r>
      <w:r w:rsidR="00027047" w:rsidRPr="00AE69CC">
        <w:t xml:space="preserve"> in 2000, prior to the introduction of the Biologicals Framework</w:t>
      </w:r>
      <w:r w:rsidR="003B47B5">
        <w:rPr>
          <w:rStyle w:val="FootnoteReference"/>
        </w:rPr>
        <w:footnoteReference w:id="1"/>
      </w:r>
      <w:r w:rsidR="00027047" w:rsidRPr="00AE69CC">
        <w:t>.</w:t>
      </w:r>
      <w:r w:rsidR="0030571D">
        <w:t xml:space="preserve"> </w:t>
      </w:r>
    </w:p>
    <w:p w:rsidR="00027047" w:rsidRDefault="00027047" w:rsidP="00027047">
      <w:r w:rsidRPr="00AE69CC">
        <w:t>As part of ongoing maintenance of manufacturing requirements and product standards, the TGA has reviewed the manufacturing principles</w:t>
      </w:r>
      <w:r w:rsidR="00EF131E" w:rsidRPr="00AE69CC">
        <w:t xml:space="preserve"> and standards</w:t>
      </w:r>
      <w:r w:rsidRPr="00AE69CC">
        <w:t xml:space="preserve"> for HCTs.</w:t>
      </w:r>
      <w:r>
        <w:t xml:space="preserve"> The review </w:t>
      </w:r>
      <w:r w:rsidR="00C97A10">
        <w:t>considered f</w:t>
      </w:r>
      <w:r>
        <w:t>eedba</w:t>
      </w:r>
      <w:r w:rsidR="00C97A10">
        <w:t>ck received from industry on</w:t>
      </w:r>
      <w:r>
        <w:t xml:space="preserve"> major difficulties manufacturers experienced in complying with existing Code requirements. It was concluded that the existing Code was no longer adequate and revision was required to reflect the current regulatory situation and the needs of the sector.  </w:t>
      </w:r>
    </w:p>
    <w:p w:rsidR="00027047" w:rsidRDefault="00C97A10" w:rsidP="00027047">
      <w:r>
        <w:lastRenderedPageBreak/>
        <w:t xml:space="preserve">Three </w:t>
      </w:r>
      <w:r w:rsidR="00027047">
        <w:t>main areas of concern were highlighted in the review in</w:t>
      </w:r>
      <w:r>
        <w:t xml:space="preserve">cluding clarification of scope and </w:t>
      </w:r>
      <w:r w:rsidR="00027047">
        <w:t>requirements, inflexible requirements, and regulatory basis for requirements. These are expanded upon below.</w:t>
      </w:r>
    </w:p>
    <w:p w:rsidR="00D8155D" w:rsidRDefault="00FB0542" w:rsidP="00FB0542">
      <w:r>
        <w:t xml:space="preserve">There are currently </w:t>
      </w:r>
      <w:r w:rsidR="00D8155D">
        <w:t>134</w:t>
      </w:r>
      <w:r w:rsidR="00A87E18">
        <w:t xml:space="preserve"> Australian manufacturers</w:t>
      </w:r>
      <w:r w:rsidR="00D8155D">
        <w:t xml:space="preserve"> licensed to the existing Code</w:t>
      </w:r>
      <w:r>
        <w:t>. The degree to which these manufacturers are affected by the problems varies depending on the type of product manufactured and the scope of the licence. The numbers of manufacturers based on the type of HCT are as follows</w:t>
      </w:r>
      <w:r w:rsidR="00D8155D">
        <w:t>:</w:t>
      </w:r>
    </w:p>
    <w:p w:rsidR="00CF197E" w:rsidRDefault="00CF197E" w:rsidP="00CF197E">
      <w:pPr>
        <w:pStyle w:val="ListParagraph"/>
        <w:numPr>
          <w:ilvl w:val="0"/>
          <w:numId w:val="48"/>
        </w:numPr>
      </w:pPr>
      <w:r>
        <w:t xml:space="preserve">21 human tissues </w:t>
      </w:r>
    </w:p>
    <w:p w:rsidR="00CF197E" w:rsidRDefault="00CF197E" w:rsidP="00CF197E">
      <w:pPr>
        <w:pStyle w:val="ListParagraph"/>
        <w:numPr>
          <w:ilvl w:val="0"/>
          <w:numId w:val="48"/>
        </w:numPr>
      </w:pPr>
      <w:r>
        <w:t xml:space="preserve">86 human blood and blood components </w:t>
      </w:r>
    </w:p>
    <w:p w:rsidR="00CF197E" w:rsidRDefault="00CF197E" w:rsidP="00CF197E">
      <w:pPr>
        <w:pStyle w:val="ListParagraph"/>
        <w:numPr>
          <w:ilvl w:val="0"/>
          <w:numId w:val="48"/>
        </w:numPr>
      </w:pPr>
      <w:r>
        <w:t xml:space="preserve">2 cellular therapy </w:t>
      </w:r>
    </w:p>
    <w:p w:rsidR="00CF197E" w:rsidRDefault="00CF197E" w:rsidP="00CF197E">
      <w:pPr>
        <w:pStyle w:val="ListParagraph"/>
        <w:numPr>
          <w:ilvl w:val="0"/>
          <w:numId w:val="48"/>
        </w:numPr>
      </w:pPr>
      <w:r>
        <w:t xml:space="preserve">9 haematopoietic progenitor cell </w:t>
      </w:r>
    </w:p>
    <w:p w:rsidR="00CF197E" w:rsidRDefault="00CF197E" w:rsidP="00CF197E">
      <w:pPr>
        <w:pStyle w:val="ListParagraph"/>
        <w:numPr>
          <w:ilvl w:val="0"/>
          <w:numId w:val="48"/>
        </w:numPr>
      </w:pPr>
      <w:r>
        <w:t>16 testing laboratories</w:t>
      </w:r>
    </w:p>
    <w:p w:rsidR="00937D94" w:rsidRDefault="00D8155D" w:rsidP="00027047">
      <w:r>
        <w:t xml:space="preserve">There are </w:t>
      </w:r>
      <w:r w:rsidR="00A87E18">
        <w:t>9 laboratories that test for HCTs for overseas manufacturers</w:t>
      </w:r>
      <w:r>
        <w:t xml:space="preserve"> that either hold a current GMP certificate or are undergoing GMP certification.</w:t>
      </w:r>
    </w:p>
    <w:p w:rsidR="00027047" w:rsidRPr="00B25648" w:rsidRDefault="00027047" w:rsidP="00027047">
      <w:pPr>
        <w:pStyle w:val="Heading4"/>
      </w:pPr>
      <w:bookmarkStart w:id="11" w:name="_Toc341108670"/>
      <w:bookmarkStart w:id="12" w:name="_Toc341452824"/>
      <w:r w:rsidRPr="00B25648">
        <w:t>Scope clarification</w:t>
      </w:r>
      <w:bookmarkEnd w:id="11"/>
      <w:bookmarkEnd w:id="12"/>
      <w:r w:rsidRPr="00B25648">
        <w:t xml:space="preserve"> </w:t>
      </w:r>
    </w:p>
    <w:p w:rsidR="00027047" w:rsidRDefault="00027047" w:rsidP="00027047">
      <w:r>
        <w:t>The existing Code was introduced in 2000 in order to address requirements for blood and tissues. Since this time therapeutic</w:t>
      </w:r>
      <w:r w:rsidR="002709E8">
        <w:t xml:space="preserve"> and manufacturing</w:t>
      </w:r>
      <w:r>
        <w:t xml:space="preserve"> advances have led to </w:t>
      </w:r>
      <w:r w:rsidR="00105459">
        <w:t>advanced</w:t>
      </w:r>
      <w:r>
        <w:t xml:space="preserve"> tissue and cellular therapy products becoming available for clinical use. The scope of products</w:t>
      </w:r>
      <w:r w:rsidR="000D796B">
        <w:t xml:space="preserve"> and manufacturing procedures</w:t>
      </w:r>
      <w:r>
        <w:t xml:space="preserve"> to which the Code applies requires expansion to specify inclusion of emerging tissue and cellular therapy products.</w:t>
      </w:r>
      <w:r w:rsidR="0096129D">
        <w:t xml:space="preserve"> </w:t>
      </w:r>
    </w:p>
    <w:p w:rsidR="0077326F" w:rsidRDefault="0096129D" w:rsidP="00027047">
      <w:r w:rsidRPr="006E1990">
        <w:t xml:space="preserve">The manufacture of such advanced cell therapy products often requires complex procedures, </w:t>
      </w:r>
      <w:r w:rsidR="002709E8">
        <w:t>for example,</w:t>
      </w:r>
      <w:r w:rsidR="002709E8" w:rsidRPr="006E1990">
        <w:t xml:space="preserve"> expansion</w:t>
      </w:r>
      <w:r>
        <w:t xml:space="preserve"> and activation</w:t>
      </w:r>
      <w:r w:rsidRPr="006E1990">
        <w:t xml:space="preserve"> of cells outside the body, cell </w:t>
      </w:r>
      <w:r w:rsidR="00C20BBF">
        <w:t xml:space="preserve">sorting and </w:t>
      </w:r>
      <w:r w:rsidRPr="006E1990">
        <w:t>selection steps</w:t>
      </w:r>
      <w:r w:rsidR="00D37F81">
        <w:t xml:space="preserve"> and cryopreservation for the storage of these cells,</w:t>
      </w:r>
      <w:r w:rsidRPr="006E1990">
        <w:t xml:space="preserve"> genetic modifications</w:t>
      </w:r>
      <w:r w:rsidR="00D37F81">
        <w:t xml:space="preserve"> of cells and the lyophilisation (freeze drying) of processed HCT</w:t>
      </w:r>
      <w:r w:rsidR="000D796B">
        <w:t xml:space="preserve">s. </w:t>
      </w:r>
      <w:r w:rsidR="00AE14B1">
        <w:t xml:space="preserve"> </w:t>
      </w:r>
      <w:r w:rsidR="00E05C03">
        <w:t>M</w:t>
      </w:r>
      <w:r w:rsidR="002709E8">
        <w:t xml:space="preserve">any of </w:t>
      </w:r>
      <w:r w:rsidR="00A71489">
        <w:t>these</w:t>
      </w:r>
      <w:r w:rsidR="002709E8">
        <w:t xml:space="preserve"> complex manufacturing </w:t>
      </w:r>
      <w:r w:rsidR="0015191E">
        <w:t>procedures</w:t>
      </w:r>
      <w:r w:rsidR="00A71489">
        <w:t xml:space="preserve"> </w:t>
      </w:r>
      <w:r w:rsidR="00960F8D">
        <w:t>are captured in</w:t>
      </w:r>
      <w:r w:rsidR="00A71489">
        <w:t xml:space="preserve"> the scope of the existing Code</w:t>
      </w:r>
      <w:r w:rsidR="00960F8D">
        <w:t xml:space="preserve"> in a generic </w:t>
      </w:r>
      <w:r w:rsidR="00D662ED">
        <w:t>fashion;</w:t>
      </w:r>
      <w:r w:rsidR="00960F8D">
        <w:t xml:space="preserve"> however</w:t>
      </w:r>
      <w:r w:rsidR="00D662ED">
        <w:t>,</w:t>
      </w:r>
      <w:r w:rsidR="00960F8D">
        <w:t xml:space="preserve"> </w:t>
      </w:r>
      <w:r w:rsidR="00484A5D">
        <w:t xml:space="preserve">there is a need for inclusion of specific requirements to provide regulatory clarity for these manufacturers. </w:t>
      </w:r>
    </w:p>
    <w:p w:rsidR="00FD2472" w:rsidRDefault="00212E98" w:rsidP="00027047">
      <w:r>
        <w:t xml:space="preserve">The lack of clarity in the existing Code, specifically relating to new and emerging technologies for HCTs, can lead to misinterpretation and potential non compliance with GMP that may include sub-standard product quality that poses risks to human health and safety. </w:t>
      </w:r>
      <w:r w:rsidR="00B709BD">
        <w:t>The number of manufacturers that</w:t>
      </w:r>
      <w:r w:rsidR="00BC19F2">
        <w:t xml:space="preserve"> are involved in the manufacture of new or emerging therapies</w:t>
      </w:r>
      <w:r w:rsidR="00B709BD">
        <w:t xml:space="preserve"> </w:t>
      </w:r>
      <w:r w:rsidR="00BC19F2">
        <w:t>and</w:t>
      </w:r>
      <w:r w:rsidR="00B709BD">
        <w:t xml:space="preserve"> potentially affected by this issue is approximately 18</w:t>
      </w:r>
      <w:proofErr w:type="gramStart"/>
      <w:r w:rsidR="00BC19F2">
        <w:t>.</w:t>
      </w:r>
      <w:r w:rsidR="00B709BD">
        <w:t>.</w:t>
      </w:r>
      <w:proofErr w:type="gramEnd"/>
    </w:p>
    <w:p w:rsidR="00FD2472" w:rsidRDefault="00FD2472" w:rsidP="00027047">
      <w:r>
        <w:t xml:space="preserve">A modern Code needs to provide clarification of scientific principles and objectives that apply to emerging cellular and tissue technologies. </w:t>
      </w:r>
      <w:r w:rsidR="00C25B05">
        <w:t>It also needs to provide manufacturers with the flexibility to apply tailored approaches to manufacturing controls suitable to their product.</w:t>
      </w:r>
    </w:p>
    <w:p w:rsidR="00CA045E" w:rsidRDefault="00C25B05" w:rsidP="00CA045E">
      <w:r w:rsidRPr="000D796B">
        <w:t>Any</w:t>
      </w:r>
      <w:r w:rsidR="00CA045E" w:rsidRPr="000D796B">
        <w:t xml:space="preserve"> additional level of regulatory certainty attained by including newly emerging tissue and cell therapy products in the scope of the existing Code is unlikely to prevent unregulated products being used in the marketplace. There are other existing mechanisms in place to address this: National, State and Territory legislative provisions, institutional review boards and professional standards which govern medical practice.  However, formalisation of TGA’s expectations by clarifying the </w:t>
      </w:r>
      <w:r w:rsidR="00FF7333">
        <w:t>manufacturing</w:t>
      </w:r>
      <w:r w:rsidR="00FF7333" w:rsidRPr="000D796B">
        <w:t xml:space="preserve"> </w:t>
      </w:r>
      <w:r w:rsidR="00CA045E" w:rsidRPr="000D796B">
        <w:t>scope of the Code will lead to greater acceptance that this is the industry standard for manufacture of these types of products.</w:t>
      </w:r>
      <w:r w:rsidR="00CA045E">
        <w:t xml:space="preserve"> </w:t>
      </w:r>
    </w:p>
    <w:p w:rsidR="00027047" w:rsidRPr="00B25648" w:rsidRDefault="00027047" w:rsidP="00027047">
      <w:pPr>
        <w:pStyle w:val="Heading4"/>
      </w:pPr>
      <w:bookmarkStart w:id="13" w:name="_Toc341108671"/>
      <w:bookmarkStart w:id="14" w:name="_Toc341452825"/>
      <w:r w:rsidRPr="00B25648">
        <w:lastRenderedPageBreak/>
        <w:t>Inflexible requirements</w:t>
      </w:r>
      <w:bookmarkEnd w:id="13"/>
      <w:bookmarkEnd w:id="14"/>
      <w:r w:rsidRPr="00B25648">
        <w:t xml:space="preserve"> </w:t>
      </w:r>
    </w:p>
    <w:p w:rsidR="00D0554A" w:rsidRDefault="00842394" w:rsidP="00027047">
      <w:r>
        <w:t>T</w:t>
      </w:r>
      <w:r w:rsidR="00FD2472">
        <w:t>he existing Code is prescriptive in its requirements, often using terminology such as ‘must’</w:t>
      </w:r>
      <w:r w:rsidR="00D0554A">
        <w:t xml:space="preserve">. Although this </w:t>
      </w:r>
      <w:r w:rsidR="00100441">
        <w:t>ensure</w:t>
      </w:r>
      <w:r w:rsidR="00D0554A">
        <w:t>s</w:t>
      </w:r>
      <w:r w:rsidR="00100441">
        <w:t xml:space="preserve"> enforceable, </w:t>
      </w:r>
      <w:r w:rsidR="00D0554A">
        <w:t>high standards of manufacturing, d</w:t>
      </w:r>
      <w:r w:rsidR="00FD2472">
        <w:t xml:space="preserve">ifficulties arise for both manufacturers and the TGA where advances in technology </w:t>
      </w:r>
      <w:r w:rsidR="0080017F">
        <w:t xml:space="preserve">cannot be accommodated or </w:t>
      </w:r>
      <w:r w:rsidR="00FD2472">
        <w:t>require a different practice than that prescribed, or manufacturers have developed a justified alternative.</w:t>
      </w:r>
      <w:r w:rsidR="0080017F">
        <w:t xml:space="preserve">  </w:t>
      </w:r>
    </w:p>
    <w:p w:rsidR="00FD2472" w:rsidRDefault="0080017F" w:rsidP="0076355C">
      <w:r>
        <w:t>For example</w:t>
      </w:r>
      <w:r w:rsidR="00100441">
        <w:t>,</w:t>
      </w:r>
      <w:r>
        <w:t xml:space="preserve"> the existing Code mandates initial </w:t>
      </w:r>
      <w:r w:rsidR="0076355C">
        <w:t xml:space="preserve">donor </w:t>
      </w:r>
      <w:r>
        <w:t xml:space="preserve">testing and </w:t>
      </w:r>
      <w:r w:rsidR="0076355C">
        <w:t xml:space="preserve">also </w:t>
      </w:r>
      <w:r>
        <w:t xml:space="preserve">180-day </w:t>
      </w:r>
      <w:r w:rsidR="0076355C">
        <w:t xml:space="preserve">retesting </w:t>
      </w:r>
      <w:r>
        <w:t>of certain tissue donors</w:t>
      </w:r>
      <w:r w:rsidR="00726F13">
        <w:t xml:space="preserve"> before the products can be </w:t>
      </w:r>
      <w:r w:rsidR="00281B38">
        <w:t>released for supply</w:t>
      </w:r>
      <w:r w:rsidR="00E94A2F">
        <w:t xml:space="preserve">. </w:t>
      </w:r>
      <w:r w:rsidR="0076355C">
        <w:t xml:space="preserve">Since 2000, </w:t>
      </w:r>
      <w:r>
        <w:t>more sensitive tests have become available</w:t>
      </w:r>
      <w:r w:rsidR="0076355C">
        <w:t xml:space="preserve"> </w:t>
      </w:r>
      <w:r w:rsidR="002D7B16">
        <w:t>that</w:t>
      </w:r>
      <w:r w:rsidR="0076355C">
        <w:t xml:space="preserve"> c</w:t>
      </w:r>
      <w:r w:rsidR="00E94A2F">
        <w:t xml:space="preserve">ould </w:t>
      </w:r>
      <w:r w:rsidR="00DF4D68">
        <w:t xml:space="preserve">replace </w:t>
      </w:r>
      <w:r w:rsidR="0076355C">
        <w:t>the requirement for 180-</w:t>
      </w:r>
      <w:r w:rsidR="00E94A2F">
        <w:t>day testing</w:t>
      </w:r>
      <w:r w:rsidR="001B213E">
        <w:t xml:space="preserve">. </w:t>
      </w:r>
      <w:r w:rsidR="0076355C">
        <w:t xml:space="preserve"> I</w:t>
      </w:r>
      <w:r>
        <w:t xml:space="preserve">ndustry </w:t>
      </w:r>
      <w:r w:rsidR="00726F13">
        <w:t xml:space="preserve">is </w:t>
      </w:r>
      <w:r w:rsidR="0076355C">
        <w:t xml:space="preserve">adversely affected by the requirement to continue 180-day testing as </w:t>
      </w:r>
      <w:r w:rsidR="00D93582">
        <w:t xml:space="preserve">the logistics of </w:t>
      </w:r>
      <w:r w:rsidR="00726F13">
        <w:t>donor contact and retest</w:t>
      </w:r>
      <w:r w:rsidR="00CA1EB6">
        <w:t>ing</w:t>
      </w:r>
      <w:r w:rsidR="00726F13">
        <w:t xml:space="preserve"> </w:t>
      </w:r>
      <w:r w:rsidR="0076355C">
        <w:t xml:space="preserve">requires </w:t>
      </w:r>
      <w:r w:rsidR="00726F13">
        <w:t xml:space="preserve">significant </w:t>
      </w:r>
      <w:r>
        <w:t>resources</w:t>
      </w:r>
      <w:r w:rsidR="0076355C">
        <w:t>,</w:t>
      </w:r>
      <w:r>
        <w:t xml:space="preserve"> and the supply of tissue can be adversely affected where a donor cannot be located, or is unwilling to be retested</w:t>
      </w:r>
      <w:r w:rsidR="002D7B16">
        <w:t xml:space="preserve">. </w:t>
      </w:r>
      <w:r w:rsidR="00FF6A9A">
        <w:t xml:space="preserve"> </w:t>
      </w:r>
    </w:p>
    <w:p w:rsidR="00FD2472" w:rsidRDefault="00FD2472" w:rsidP="00027047">
      <w:r>
        <w:t>Leading international regulatory agencies</w:t>
      </w:r>
      <w:r w:rsidR="006E0D6B">
        <w:t xml:space="preserve"> in the U.S and Europe</w:t>
      </w:r>
      <w:r>
        <w:t xml:space="preserve"> are discovering the need for flexibility when dealing with HCTs. In many cases, each application and cell manufacturing process is evaluated on a case-by-case basis to determine the level of compliance with GMP and to ensure that standards are acceptable for the particular product.</w:t>
      </w:r>
    </w:p>
    <w:p w:rsidR="005D15B9" w:rsidRDefault="00EB0620" w:rsidP="00EB0620">
      <w:pPr>
        <w:pStyle w:val="Heading4"/>
      </w:pPr>
      <w:bookmarkStart w:id="15" w:name="_Toc341108672"/>
      <w:bookmarkStart w:id="16" w:name="_Toc341452826"/>
      <w:r>
        <w:t>Regulatory basis for requirements</w:t>
      </w:r>
      <w:bookmarkEnd w:id="15"/>
      <w:bookmarkEnd w:id="16"/>
    </w:p>
    <w:p w:rsidR="004D2C54" w:rsidRDefault="002D0C92" w:rsidP="00755B40">
      <w:r>
        <w:t xml:space="preserve">The existing Code contains technical standards including donor selection and testing criteria and technical requirements for infectious disease minimisation. At the time the Code was introduced these requirements were included as </w:t>
      </w:r>
      <w:r w:rsidR="00B15EC0">
        <w:t>this was the p</w:t>
      </w:r>
      <w:r w:rsidRPr="00B15EC0">
        <w:t>rincip</w:t>
      </w:r>
      <w:r w:rsidR="00A12E8A">
        <w:t>a</w:t>
      </w:r>
      <w:r w:rsidRPr="00B15EC0">
        <w:t>l means of regulating HCTs.</w:t>
      </w:r>
      <w:r w:rsidR="004D2C54">
        <w:t xml:space="preserve"> </w:t>
      </w:r>
      <w:r w:rsidR="0096129D">
        <w:t xml:space="preserve">Since that time, a new Biologicals framework has commenced and there has been considerable effort by the TGA towards more regulatory certainty and transparency of regulation for each type of therapeutic good.  </w:t>
      </w:r>
    </w:p>
    <w:p w:rsidR="004E3B32" w:rsidRDefault="004D2C54" w:rsidP="00755B40">
      <w:r>
        <w:t>Separation of r</w:t>
      </w:r>
      <w:r w:rsidR="0096129D">
        <w:t>equirements</w:t>
      </w:r>
      <w:r>
        <w:t xml:space="preserve"> for infectious disease minimisation </w:t>
      </w:r>
      <w:r w:rsidR="0096129D">
        <w:t>would align with the regulatory process</w:t>
      </w:r>
      <w:r>
        <w:t>es</w:t>
      </w:r>
      <w:r w:rsidR="0096129D">
        <w:t xml:space="preserve"> </w:t>
      </w:r>
      <w:r w:rsidR="00153696">
        <w:t xml:space="preserve">for HCTs to be consistent with those </w:t>
      </w:r>
      <w:r w:rsidR="0096129D">
        <w:t xml:space="preserve">applicable to other therapeutic goods and </w:t>
      </w:r>
      <w:r w:rsidR="00153696">
        <w:t xml:space="preserve">thus </w:t>
      </w:r>
      <w:r w:rsidR="0096129D">
        <w:t>provide more transparent regulation of HCTs.</w:t>
      </w:r>
      <w:r w:rsidR="0096129D" w:rsidRPr="000A7778">
        <w:t xml:space="preserve"> </w:t>
      </w:r>
      <w:r>
        <w:t xml:space="preserve">In addition, the </w:t>
      </w:r>
      <w:r w:rsidR="0096129D">
        <w:t xml:space="preserve">Act </w:t>
      </w:r>
      <w:r w:rsidR="00C549DD">
        <w:t xml:space="preserve">allows </w:t>
      </w:r>
      <w:r w:rsidR="00653693">
        <w:t xml:space="preserve">the TGA to mandate </w:t>
      </w:r>
      <w:r w:rsidR="0096129D">
        <w:t>technical requirements</w:t>
      </w:r>
      <w:r w:rsidR="00281B38">
        <w:t xml:space="preserve"> </w:t>
      </w:r>
      <w:r w:rsidR="0096129D">
        <w:t xml:space="preserve">by legislative instrument in a TGO. The existing placement of technical requirements in the Code creates </w:t>
      </w:r>
      <w:r w:rsidR="00755B40">
        <w:t xml:space="preserve">a regulatory discrepancy, as manufacturing principles and </w:t>
      </w:r>
      <w:r w:rsidR="0096129D">
        <w:t xml:space="preserve">TGOs </w:t>
      </w:r>
      <w:r w:rsidR="00281B38">
        <w:t>operate</w:t>
      </w:r>
      <w:r w:rsidR="0096129D">
        <w:t xml:space="preserve"> fro</w:t>
      </w:r>
      <w:r w:rsidR="00755B40">
        <w:t xml:space="preserve">m different parts of the </w:t>
      </w:r>
      <w:r w:rsidR="00DC4755">
        <w:t xml:space="preserve">Act. </w:t>
      </w:r>
    </w:p>
    <w:p w:rsidR="0096129D" w:rsidRDefault="00DC4755" w:rsidP="00755B40">
      <w:r>
        <w:t>To reconcile this</w:t>
      </w:r>
      <w:r w:rsidR="0096129D">
        <w:t xml:space="preserve"> discrepancy,</w:t>
      </w:r>
      <w:r w:rsidR="00755B40">
        <w:t xml:space="preserve"> and to improve the clarity of the scope of the Code,</w:t>
      </w:r>
      <w:r w:rsidR="0096129D">
        <w:t xml:space="preserve"> it has previously been recommended by the TGA that all technical requirements be transferred from the existing Code into a newly developed infectious disease minimisation standard </w:t>
      </w:r>
      <w:r>
        <w:t>and product specific standards. These standards would then be im</w:t>
      </w:r>
      <w:r w:rsidR="0096129D">
        <w:t xml:space="preserve">plemented as </w:t>
      </w:r>
      <w:r>
        <w:t xml:space="preserve">TGOs under </w:t>
      </w:r>
      <w:r w:rsidR="004E3B32">
        <w:t>s</w:t>
      </w:r>
      <w:r>
        <w:t>ection 10 of the Act</w:t>
      </w:r>
      <w:r w:rsidR="004E3B32">
        <w:t xml:space="preserve"> </w:t>
      </w:r>
      <w:r w:rsidR="00402511">
        <w:t>(</w:t>
      </w:r>
      <w:r>
        <w:t>for further background</w:t>
      </w:r>
      <w:r w:rsidR="00D662ED">
        <w:t>,</w:t>
      </w:r>
      <w:r>
        <w:t xml:space="preserve"> see</w:t>
      </w:r>
      <w:r w:rsidR="0096129D">
        <w:t xml:space="preserve"> approved RIS </w:t>
      </w:r>
      <w:r w:rsidR="004E3B32">
        <w:t xml:space="preserve">for biologicals ORR ID </w:t>
      </w:r>
      <w:r w:rsidR="0096129D">
        <w:t>5066).</w:t>
      </w:r>
      <w:r>
        <w:t xml:space="preserve">  P</w:t>
      </w:r>
      <w:r w:rsidR="0096129D">
        <w:t>roduct specific standards for human cardiovascular, ocular, musculoskeletal tissue and skin have already been developed and implem</w:t>
      </w:r>
      <w:r>
        <w:t xml:space="preserve">ented under </w:t>
      </w:r>
      <w:r w:rsidR="004E3B32">
        <w:t>s</w:t>
      </w:r>
      <w:r>
        <w:t>ection 10 of the</w:t>
      </w:r>
      <w:r w:rsidR="0096129D">
        <w:t xml:space="preserve"> Act to support the inclusion of </w:t>
      </w:r>
      <w:r w:rsidR="00D7589F">
        <w:t>b</w:t>
      </w:r>
      <w:r w:rsidR="0096129D">
        <w:t xml:space="preserve">iologicals </w:t>
      </w:r>
      <w:r w:rsidR="00D7589F">
        <w:t>in</w:t>
      </w:r>
      <w:r w:rsidR="0096129D">
        <w:t xml:space="preserve"> the ARTG. </w:t>
      </w:r>
    </w:p>
    <w:p w:rsidR="00292C84" w:rsidRDefault="00292C84">
      <w:pPr>
        <w:spacing w:before="0" w:after="0" w:line="240" w:lineRule="auto"/>
        <w:rPr>
          <w:rFonts w:ascii="Arial" w:eastAsia="Times New Roman" w:hAnsi="Arial"/>
          <w:b/>
          <w:bCs/>
          <w:sz w:val="48"/>
          <w:szCs w:val="26"/>
        </w:rPr>
      </w:pPr>
      <w:bookmarkStart w:id="17" w:name="_Toc341452827"/>
      <w:r>
        <w:br w:type="page"/>
      </w:r>
    </w:p>
    <w:p w:rsidR="001525B4" w:rsidRDefault="005E0965" w:rsidP="005E0965">
      <w:pPr>
        <w:pStyle w:val="Heading2"/>
      </w:pPr>
      <w:r>
        <w:lastRenderedPageBreak/>
        <w:t>Objectives</w:t>
      </w:r>
      <w:bookmarkEnd w:id="17"/>
    </w:p>
    <w:p w:rsidR="00571D3E" w:rsidRDefault="00A07591" w:rsidP="002A0BC2">
      <w:r>
        <w:t xml:space="preserve">The objective of GMP is to provide a set of principles and procedures </w:t>
      </w:r>
      <w:r w:rsidR="00465EB2">
        <w:t>that</w:t>
      </w:r>
      <w:r w:rsidR="00990C31">
        <w:t>,</w:t>
      </w:r>
      <w:r>
        <w:t xml:space="preserve"> when followed by manufacturers of therapeutic goods, helps to ensure that the products manufactured will have the required quality. A basic tenet of GMP is that quality cannot be tested into a product but must be built into each product during all stages of manufacture.</w:t>
      </w:r>
    </w:p>
    <w:p w:rsidR="002A0BC2" w:rsidRDefault="00D220D8" w:rsidP="002A0BC2">
      <w:r>
        <w:t>A</w:t>
      </w:r>
      <w:r w:rsidR="0033351C">
        <w:t xml:space="preserve"> revised C</w:t>
      </w:r>
      <w:r w:rsidR="002A0BC2">
        <w:t>ode</w:t>
      </w:r>
      <w:r w:rsidR="00370DDA">
        <w:t xml:space="preserve"> of GMP</w:t>
      </w:r>
      <w:r w:rsidR="002A0BC2">
        <w:t xml:space="preserve"> </w:t>
      </w:r>
      <w:r w:rsidR="009907D6">
        <w:t>for HCTs</w:t>
      </w:r>
      <w:r w:rsidR="00E9772B">
        <w:t xml:space="preserve"> </w:t>
      </w:r>
      <w:r>
        <w:t xml:space="preserve">will </w:t>
      </w:r>
      <w:r w:rsidR="002A0BC2">
        <w:t>reduce the likelihood of risks associated with quality and safety of all HCTs</w:t>
      </w:r>
      <w:r w:rsidR="0096129D">
        <w:t>, and to ensure timely access to the</w:t>
      </w:r>
      <w:r w:rsidR="0033351C">
        <w:t>se types of</w:t>
      </w:r>
      <w:r w:rsidR="0096129D">
        <w:t xml:space="preserve"> therapies</w:t>
      </w:r>
      <w:r w:rsidR="002A0BC2">
        <w:t>. For regulatory effectiveness it is imperative that the Code, applicable legislative instruments and guidelines are reviewed regularly or whenever significant concerns are raised regarding adequacy.</w:t>
      </w:r>
    </w:p>
    <w:p w:rsidR="002A0BC2" w:rsidRDefault="00B365FB" w:rsidP="002A0BC2">
      <w:r>
        <w:t>There are a number of ways that the objective of GMP can be achieved, including</w:t>
      </w:r>
      <w:r w:rsidR="00706F56">
        <w:t>:</w:t>
      </w:r>
    </w:p>
    <w:p w:rsidR="00706F56" w:rsidRDefault="00706F56" w:rsidP="00706F56">
      <w:pPr>
        <w:pStyle w:val="ListBullet"/>
      </w:pPr>
      <w:r>
        <w:t>ensuring  that there is a uniform and minimum set of  manufacturing requirements established for all HCTs,</w:t>
      </w:r>
      <w:r w:rsidR="00571D3E" w:rsidRPr="00571D3E">
        <w:t xml:space="preserve"> </w:t>
      </w:r>
      <w:r w:rsidR="00BB7B90">
        <w:t xml:space="preserve">including emerging technologies, </w:t>
      </w:r>
      <w:r>
        <w:t>which are well-accepted by industry</w:t>
      </w:r>
      <w:r w:rsidR="00A66565">
        <w:t>;</w:t>
      </w:r>
      <w:r>
        <w:t xml:space="preserve"> </w:t>
      </w:r>
    </w:p>
    <w:p w:rsidR="00706F56" w:rsidRDefault="0095585D" w:rsidP="00706F56">
      <w:pPr>
        <w:pStyle w:val="ListBullet"/>
      </w:pPr>
      <w:r>
        <w:t xml:space="preserve">facilitating </w:t>
      </w:r>
      <w:r w:rsidR="00706F56">
        <w:t>compliance with manufacturing</w:t>
      </w:r>
      <w:r w:rsidR="007F4B72">
        <w:t xml:space="preserve"> and technical</w:t>
      </w:r>
      <w:r w:rsidR="00706F56">
        <w:t xml:space="preserve"> requirements through clearly written requirements;</w:t>
      </w:r>
    </w:p>
    <w:p w:rsidR="00706F56" w:rsidRPr="00685AA8" w:rsidRDefault="00706F56" w:rsidP="00706F56">
      <w:pPr>
        <w:pStyle w:val="ListBullet"/>
      </w:pPr>
      <w:r>
        <w:t>achieving international harmonisation of  manufacturing requirements, where possible and appropriate, to better facilitate global trade</w:t>
      </w:r>
      <w:r w:rsidR="00AF568D">
        <w:t xml:space="preserve"> and reduce regulatory burden</w:t>
      </w:r>
      <w:r>
        <w:t>;</w:t>
      </w:r>
    </w:p>
    <w:p w:rsidR="00706F56" w:rsidRDefault="00706F56" w:rsidP="00706F56">
      <w:pPr>
        <w:pStyle w:val="ListBullet"/>
      </w:pPr>
      <w:r>
        <w:t>ensuring the existing manufacturing requirements will allow for advances in technology or changes in industry practices</w:t>
      </w:r>
    </w:p>
    <w:p w:rsidR="00706F56" w:rsidRDefault="00706F56" w:rsidP="00706F56">
      <w:pPr>
        <w:pStyle w:val="ListBullet"/>
      </w:pPr>
      <w:proofErr w:type="gramStart"/>
      <w:r>
        <w:t>correcting</w:t>
      </w:r>
      <w:proofErr w:type="gramEnd"/>
      <w:r>
        <w:t xml:space="preserve"> any legislative discrepancies identified with</w:t>
      </w:r>
      <w:r w:rsidR="001977B5">
        <w:t xml:space="preserve"> including technical requirements </w:t>
      </w:r>
      <w:r>
        <w:t>in the existing Code</w:t>
      </w:r>
      <w:r w:rsidR="0033351C">
        <w:t>.</w:t>
      </w:r>
    </w:p>
    <w:p w:rsidR="002A0BC2" w:rsidRDefault="00FE0E5A" w:rsidP="00FE0E5A">
      <w:pPr>
        <w:pStyle w:val="Heading2"/>
      </w:pPr>
      <w:bookmarkStart w:id="18" w:name="_Toc341452828"/>
      <w:r>
        <w:t>Options</w:t>
      </w:r>
      <w:bookmarkEnd w:id="18"/>
    </w:p>
    <w:p w:rsidR="00FE0E5A" w:rsidRDefault="00FE0E5A" w:rsidP="00FE0E5A">
      <w:r>
        <w:t>Four options have been considered to address the concerns regarding the inadequacies of the existing Code, and include different risk management options. The options include:</w:t>
      </w:r>
    </w:p>
    <w:p w:rsidR="00FE0E5A" w:rsidRDefault="00FE0E5A" w:rsidP="00FE0E5A">
      <w:pPr>
        <w:rPr>
          <w:bCs/>
        </w:rPr>
      </w:pPr>
      <w:r>
        <w:rPr>
          <w:bCs/>
        </w:rPr>
        <w:t xml:space="preserve">Option 1 – Maintain the </w:t>
      </w:r>
      <w:r w:rsidRPr="002459D7">
        <w:rPr>
          <w:bCs/>
          <w:i/>
        </w:rPr>
        <w:t>status quo</w:t>
      </w:r>
      <w:r>
        <w:rPr>
          <w:bCs/>
        </w:rPr>
        <w:t xml:space="preserve"> (i.e. do nothing)</w:t>
      </w:r>
    </w:p>
    <w:p w:rsidR="00FE0E5A" w:rsidRDefault="00FE0E5A" w:rsidP="00FE0E5A">
      <w:pPr>
        <w:ind w:left="993" w:hanging="993"/>
        <w:rPr>
          <w:bCs/>
        </w:rPr>
      </w:pPr>
      <w:r>
        <w:rPr>
          <w:bCs/>
        </w:rPr>
        <w:t xml:space="preserve">Option 2 – Rescind the existing Code and allow industry self-regulation via an industry-based Code or principles </w:t>
      </w:r>
    </w:p>
    <w:p w:rsidR="00FE0E5A" w:rsidRDefault="00FE0E5A" w:rsidP="00FE0E5A">
      <w:pPr>
        <w:rPr>
          <w:bCs/>
        </w:rPr>
      </w:pPr>
      <w:r>
        <w:rPr>
          <w:bCs/>
        </w:rPr>
        <w:t>Option 3 – Adopt an international Code</w:t>
      </w:r>
    </w:p>
    <w:p w:rsidR="00FE0E5A" w:rsidRDefault="00FE0E5A" w:rsidP="00FE0E5A">
      <w:pPr>
        <w:rPr>
          <w:bCs/>
        </w:rPr>
      </w:pPr>
      <w:r>
        <w:rPr>
          <w:bCs/>
        </w:rPr>
        <w:t>Option 4 – Revise the existing Code and applicable technical standards</w:t>
      </w:r>
    </w:p>
    <w:p w:rsidR="00292C84" w:rsidRDefault="00292C84">
      <w:pPr>
        <w:spacing w:before="0" w:after="0" w:line="240" w:lineRule="auto"/>
        <w:rPr>
          <w:rFonts w:ascii="Arial" w:eastAsia="Times New Roman" w:hAnsi="Arial"/>
          <w:b/>
          <w:bCs/>
          <w:sz w:val="32"/>
          <w:szCs w:val="26"/>
        </w:rPr>
      </w:pPr>
      <w:bookmarkStart w:id="19" w:name="_Toc341452829"/>
      <w:r>
        <w:br w:type="page"/>
      </w:r>
    </w:p>
    <w:p w:rsidR="005E0965" w:rsidRDefault="00FE0E5A" w:rsidP="00FE0E5A">
      <w:pPr>
        <w:pStyle w:val="Heading3"/>
      </w:pPr>
      <w:r>
        <w:lastRenderedPageBreak/>
        <w:t>Option 1: Maintain the status quo</w:t>
      </w:r>
      <w:bookmarkEnd w:id="19"/>
    </w:p>
    <w:p w:rsidR="00FE0E5A" w:rsidRDefault="00FE0E5A" w:rsidP="005E0965">
      <w:r>
        <w:t xml:space="preserve">The existing Code has been in place </w:t>
      </w:r>
      <w:r w:rsidR="00CD2439">
        <w:t>since 2000</w:t>
      </w:r>
      <w:r>
        <w:t xml:space="preserve"> and during this time there has been significant change to the range of HCTs manufactured and supplied in the clinical setting.</w:t>
      </w:r>
    </w:p>
    <w:p w:rsidR="00FE0E5A" w:rsidRDefault="00FE0E5A" w:rsidP="005E0965">
      <w:r>
        <w:t xml:space="preserve">As </w:t>
      </w:r>
      <w:r w:rsidR="00A8752E">
        <w:t>previously identified</w:t>
      </w:r>
      <w:r>
        <w:t xml:space="preserve"> the current code no longer adequately addresses the requirements for modern and emerging HCTs. Feedback from stakeholders and comments during consultation for the Biologicals Framework indicated support for revision of the existing Code. </w:t>
      </w:r>
    </w:p>
    <w:p w:rsidR="00EF41E8" w:rsidRDefault="00EF41E8" w:rsidP="00EF41E8">
      <w:r w:rsidRPr="00E44335">
        <w:t xml:space="preserve">A decision to maintain the </w:t>
      </w:r>
      <w:r w:rsidRPr="00471A10">
        <w:rPr>
          <w:i/>
        </w:rPr>
        <w:t>status quo</w:t>
      </w:r>
      <w:r w:rsidRPr="00E44335">
        <w:t xml:space="preserve"> and retain the </w:t>
      </w:r>
      <w:r>
        <w:t>existing</w:t>
      </w:r>
      <w:r w:rsidRPr="00E44335">
        <w:t xml:space="preserve"> </w:t>
      </w:r>
      <w:r>
        <w:t xml:space="preserve">Code </w:t>
      </w:r>
      <w:r w:rsidRPr="00E44335">
        <w:t xml:space="preserve">will not satisfy the </w:t>
      </w:r>
      <w:r>
        <w:t xml:space="preserve">two major objectives of </w:t>
      </w:r>
      <w:r w:rsidRPr="00E44335">
        <w:t>clar</w:t>
      </w:r>
      <w:r>
        <w:t>ity and removal of product specific requirements.</w:t>
      </w:r>
    </w:p>
    <w:p w:rsidR="00CD2439" w:rsidRDefault="00CD2439" w:rsidP="00EF41E8">
      <w:r>
        <w:t>Potential issues that may result from maintaining the status quo include:</w:t>
      </w:r>
    </w:p>
    <w:p w:rsidR="00CD2439" w:rsidRDefault="00CD2439" w:rsidP="00CD2439">
      <w:pPr>
        <w:pStyle w:val="ListParagraph"/>
        <w:numPr>
          <w:ilvl w:val="0"/>
          <w:numId w:val="24"/>
        </w:numPr>
      </w:pPr>
      <w:r>
        <w:t>p</w:t>
      </w:r>
      <w:r w:rsidR="00EF41E8" w:rsidRPr="00BE2D05">
        <w:t>erformance bas</w:t>
      </w:r>
      <w:r w:rsidR="00A8752E">
        <w:t>ed requirements in the existing Code</w:t>
      </w:r>
      <w:r w:rsidR="00EF41E8" w:rsidRPr="00BE2D05">
        <w:t xml:space="preserve"> </w:t>
      </w:r>
      <w:r w:rsidR="00EF41E8">
        <w:t>not address</w:t>
      </w:r>
      <w:r>
        <w:t>ing</w:t>
      </w:r>
      <w:r w:rsidR="00EF41E8">
        <w:t xml:space="preserve"> </w:t>
      </w:r>
      <w:r w:rsidR="00EF41E8" w:rsidRPr="00BE2D05">
        <w:t xml:space="preserve">certain types of manufacturing operations such as </w:t>
      </w:r>
      <w:r w:rsidR="00EF41E8">
        <w:t xml:space="preserve">those used for </w:t>
      </w:r>
      <w:r w:rsidR="00EF41E8" w:rsidRPr="00BE2D05">
        <w:t>adva</w:t>
      </w:r>
      <w:r>
        <w:t>nced cellular therapy products</w:t>
      </w:r>
    </w:p>
    <w:p w:rsidR="00CD2439" w:rsidRDefault="00CD2439" w:rsidP="00CD2439">
      <w:pPr>
        <w:pStyle w:val="ListParagraph"/>
        <w:numPr>
          <w:ilvl w:val="0"/>
          <w:numId w:val="24"/>
        </w:numPr>
      </w:pPr>
      <w:r>
        <w:t>some requirements</w:t>
      </w:r>
      <w:r w:rsidR="00EF41E8" w:rsidRPr="00BE2D05">
        <w:t xml:space="preserve"> remain</w:t>
      </w:r>
      <w:r>
        <w:t>ing</w:t>
      </w:r>
      <w:r w:rsidR="00EF41E8" w:rsidRPr="00BE2D05">
        <w:t xml:space="preserve"> unclear, whi</w:t>
      </w:r>
      <w:r>
        <w:t xml:space="preserve">le other requirements will not </w:t>
      </w:r>
      <w:r w:rsidR="00EF41E8" w:rsidRPr="00BE2D05">
        <w:t>reflect the underlying legislation</w:t>
      </w:r>
      <w:r w:rsidR="00EF41E8">
        <w:t xml:space="preserve">, such as the inclusion of </w:t>
      </w:r>
      <w:r w:rsidR="00C44CD8">
        <w:t xml:space="preserve">some </w:t>
      </w:r>
      <w:r w:rsidR="00EF41E8">
        <w:t xml:space="preserve">technical product </w:t>
      </w:r>
      <w:r w:rsidR="00EF41E8" w:rsidRPr="00BE2D05">
        <w:t>requirements</w:t>
      </w:r>
      <w:r>
        <w:t xml:space="preserve"> </w:t>
      </w:r>
      <w:r w:rsidR="0024002B">
        <w:t xml:space="preserve">for </w:t>
      </w:r>
      <w:r w:rsidR="006417F3">
        <w:t xml:space="preserve">all types of </w:t>
      </w:r>
      <w:r w:rsidR="0024002B">
        <w:t xml:space="preserve">HCTs </w:t>
      </w:r>
      <w:r>
        <w:t>under the manufacturing principles</w:t>
      </w:r>
    </w:p>
    <w:p w:rsidR="00CD2439" w:rsidRDefault="00CD2439" w:rsidP="00CD2439">
      <w:pPr>
        <w:pStyle w:val="ListParagraph"/>
        <w:numPr>
          <w:ilvl w:val="0"/>
          <w:numId w:val="24"/>
        </w:numPr>
      </w:pPr>
      <w:r>
        <w:t>t</w:t>
      </w:r>
      <w:r w:rsidR="00EF41E8" w:rsidRPr="00BE2D05">
        <w:t xml:space="preserve">he </w:t>
      </w:r>
      <w:r w:rsidR="00EF41E8">
        <w:t>i</w:t>
      </w:r>
      <w:r w:rsidR="00EF41E8" w:rsidRPr="00BE2D05">
        <w:t>ndustry would continue to interpret requirements and/or s</w:t>
      </w:r>
      <w:r>
        <w:t>eek clarification from the TGA</w:t>
      </w:r>
    </w:p>
    <w:p w:rsidR="00CD2439" w:rsidRDefault="00CD2439" w:rsidP="00CD2439">
      <w:pPr>
        <w:pStyle w:val="ListParagraph"/>
        <w:numPr>
          <w:ilvl w:val="0"/>
          <w:numId w:val="24"/>
        </w:numPr>
      </w:pPr>
      <w:r>
        <w:t>l</w:t>
      </w:r>
      <w:r w:rsidR="00EF41E8" w:rsidRPr="00BE2D05">
        <w:t>ack of clarity may lead to industry behaviour that is not compliant with contemporary GMP</w:t>
      </w:r>
      <w:r>
        <w:t xml:space="preserve"> which can</w:t>
      </w:r>
      <w:r w:rsidR="00EF41E8" w:rsidRPr="00BE2D05">
        <w:t xml:space="preserve"> subsequently lead to sub-standard therapeutic product quality </w:t>
      </w:r>
      <w:r>
        <w:t>which in turn</w:t>
      </w:r>
      <w:r w:rsidR="00EF41E8" w:rsidRPr="00BE2D05">
        <w:t xml:space="preserve"> may pose </w:t>
      </w:r>
      <w:r w:rsidR="00EF41E8">
        <w:t xml:space="preserve">a </w:t>
      </w:r>
      <w:r w:rsidR="00EF41E8" w:rsidRPr="00BE2D05">
        <w:t xml:space="preserve">risk to </w:t>
      </w:r>
      <w:r w:rsidR="00EF41E8">
        <w:t xml:space="preserve">public </w:t>
      </w:r>
      <w:r>
        <w:t>health and safety</w:t>
      </w:r>
      <w:r w:rsidR="00EF41E8" w:rsidRPr="00BE2D05">
        <w:t xml:space="preserve"> </w:t>
      </w:r>
    </w:p>
    <w:p w:rsidR="00EF41E8" w:rsidRDefault="00CD2439" w:rsidP="00CD2439">
      <w:pPr>
        <w:pStyle w:val="ListParagraph"/>
        <w:numPr>
          <w:ilvl w:val="0"/>
          <w:numId w:val="24"/>
        </w:numPr>
      </w:pPr>
      <w:proofErr w:type="gramStart"/>
      <w:r>
        <w:t>a</w:t>
      </w:r>
      <w:proofErr w:type="gramEnd"/>
      <w:r w:rsidR="00EF41E8" w:rsidRPr="00BE2D05">
        <w:t xml:space="preserve"> potential flow-on </w:t>
      </w:r>
      <w:r w:rsidR="00B76BA2">
        <w:t>e</w:t>
      </w:r>
      <w:r>
        <w:t xml:space="preserve">ffect </w:t>
      </w:r>
      <w:r w:rsidR="00EF41E8" w:rsidRPr="00BE2D05">
        <w:t>to additional health and welfare costs</w:t>
      </w:r>
      <w:r w:rsidR="00EF41E8">
        <w:t>, and a reduction in productive life of recipients who could otherwise provide further benefit to the Australian economy</w:t>
      </w:r>
      <w:r w:rsidR="00EF41E8" w:rsidRPr="00930062">
        <w:t>.</w:t>
      </w:r>
    </w:p>
    <w:p w:rsidR="00FE0E5A" w:rsidRDefault="00FE0E5A" w:rsidP="005E0965">
      <w:r>
        <w:t>For these reasons, this option is not recommended.</w:t>
      </w:r>
    </w:p>
    <w:p w:rsidR="00FE0E5A" w:rsidRDefault="00FE0E5A" w:rsidP="00FE0E5A">
      <w:pPr>
        <w:pStyle w:val="Heading3"/>
      </w:pPr>
      <w:bookmarkStart w:id="20" w:name="_Toc341452830"/>
      <w:r>
        <w:t>Option 2: Allow industry self-regulation</w:t>
      </w:r>
      <w:bookmarkEnd w:id="20"/>
    </w:p>
    <w:p w:rsidR="00EC3A7F" w:rsidRDefault="00280F9F" w:rsidP="005E0965">
      <w:r>
        <w:t>Under this option manufacturers would be required to assure the TGA that basic GMP principles have been followed. These guidelines would be established by the industry, however there may be difficulties associated with enforcing the requirements if manufacturers are not members of the industry group</w:t>
      </w:r>
      <w:r w:rsidR="006417F3">
        <w:t xml:space="preserve"> </w:t>
      </w:r>
      <w:r>
        <w:t xml:space="preserve">that is responsible for </w:t>
      </w:r>
      <w:r w:rsidR="0024002B">
        <w:t>administrating the requirement of GMP (</w:t>
      </w:r>
      <w:r>
        <w:t xml:space="preserve">the </w:t>
      </w:r>
      <w:r w:rsidR="006417F3">
        <w:t>C</w:t>
      </w:r>
      <w:r>
        <w:t>ode</w:t>
      </w:r>
      <w:r w:rsidR="0024002B">
        <w:t>)</w:t>
      </w:r>
      <w:r>
        <w:t xml:space="preserve">. </w:t>
      </w:r>
      <w:r w:rsidR="00EC3A7F">
        <w:t xml:space="preserve"> </w:t>
      </w:r>
      <w:r w:rsidR="006417F3">
        <w:t>Furthermore t</w:t>
      </w:r>
      <w:r w:rsidR="0024002B">
        <w:t>here are</w:t>
      </w:r>
      <w:r w:rsidR="001E16E0">
        <w:t xml:space="preserve"> HCT manufacturers </w:t>
      </w:r>
      <w:r w:rsidR="0024002B">
        <w:t xml:space="preserve">who </w:t>
      </w:r>
      <w:r w:rsidR="001E16E0">
        <w:t xml:space="preserve">are publicly funded organisations, </w:t>
      </w:r>
      <w:r w:rsidR="006417F3">
        <w:t xml:space="preserve">and </w:t>
      </w:r>
      <w:r w:rsidR="001E16E0">
        <w:t xml:space="preserve">there </w:t>
      </w:r>
      <w:r w:rsidR="006417F3">
        <w:t xml:space="preserve">is no peak </w:t>
      </w:r>
      <w:r w:rsidR="001E16E0">
        <w:t xml:space="preserve">industry association or co-ordinating body through which to develop an appropriate </w:t>
      </w:r>
      <w:r w:rsidR="006417F3">
        <w:t>C</w:t>
      </w:r>
      <w:r w:rsidR="001E16E0">
        <w:t xml:space="preserve">ode. </w:t>
      </w:r>
      <w:r w:rsidR="00B94FE8">
        <w:t>G</w:t>
      </w:r>
      <w:r w:rsidR="00EC3A7F">
        <w:t>iven the higher risk associated with HCTs it is appropriate for these products to be subject to independent government regulation.</w:t>
      </w:r>
    </w:p>
    <w:p w:rsidR="00280F9F" w:rsidRDefault="00280F9F" w:rsidP="005E0965">
      <w:r>
        <w:t>In addition, self-regulation in this area is inconsistent with the agreement of the Austra</w:t>
      </w:r>
      <w:r w:rsidR="00EC3A7F">
        <w:t>lian Health Ministers Council</w:t>
      </w:r>
      <w:r>
        <w:t xml:space="preserve"> which agreed that the TGA would introduce a new regulatory scheme for human tissue and cell therapy products, including revised manufacturing principles and technical product standards. </w:t>
      </w:r>
    </w:p>
    <w:p w:rsidR="00280F9F" w:rsidRDefault="00280F9F" w:rsidP="005E0965">
      <w:r>
        <w:t>For these reasons</w:t>
      </w:r>
      <w:r w:rsidR="00EF237D">
        <w:t>, this option is not recommended.</w:t>
      </w:r>
    </w:p>
    <w:p w:rsidR="00EF237D" w:rsidRDefault="008227B2" w:rsidP="00EF237D">
      <w:pPr>
        <w:pStyle w:val="Heading3"/>
      </w:pPr>
      <w:bookmarkStart w:id="21" w:name="_Toc341452831"/>
      <w:r>
        <w:lastRenderedPageBreak/>
        <w:t>Option 3: Adopt an</w:t>
      </w:r>
      <w:r w:rsidR="00EF237D">
        <w:t xml:space="preserve"> international GMP Code</w:t>
      </w:r>
      <w:bookmarkEnd w:id="21"/>
    </w:p>
    <w:p w:rsidR="00EF237D" w:rsidRDefault="00EF237D" w:rsidP="005E0965">
      <w:r>
        <w:t>This option involves reviewing and adopting a suitable Code of GMP used by a comparable international regulator to replace the existing Code.</w:t>
      </w:r>
    </w:p>
    <w:p w:rsidR="00EF237D" w:rsidRPr="00FA5860" w:rsidRDefault="00EF237D" w:rsidP="00EF237D">
      <w:pPr>
        <w:rPr>
          <w:bCs/>
        </w:rPr>
      </w:pPr>
      <w:r>
        <w:t>M</w:t>
      </w:r>
      <w:r w:rsidRPr="00A069C7">
        <w:t xml:space="preserve">ost </w:t>
      </w:r>
      <w:r>
        <w:t xml:space="preserve"> regulatory bodies</w:t>
      </w:r>
      <w:r w:rsidRPr="00A069C7">
        <w:t xml:space="preserve"> have found it necessary to develop GMP guidelines or codes that describe th</w:t>
      </w:r>
      <w:r>
        <w:t xml:space="preserve">e principles and practices required to </w:t>
      </w:r>
      <w:r w:rsidRPr="00A069C7">
        <w:t>provide assurance that therapeutic good</w:t>
      </w:r>
      <w:r>
        <w:t>s</w:t>
      </w:r>
      <w:r w:rsidRPr="00A069C7">
        <w:t xml:space="preserve"> </w:t>
      </w:r>
      <w:r>
        <w:t>are</w:t>
      </w:r>
      <w:r w:rsidRPr="00A069C7">
        <w:t xml:space="preserve"> safe, reliable and of consistent</w:t>
      </w:r>
      <w:r>
        <w:t>ly</w:t>
      </w:r>
      <w:r w:rsidRPr="00A069C7">
        <w:t xml:space="preserve"> high quality.</w:t>
      </w:r>
      <w:r>
        <w:t xml:space="preserve"> </w:t>
      </w:r>
      <w:r w:rsidRPr="00A069C7">
        <w:t xml:space="preserve">There are currently different </w:t>
      </w:r>
      <w:r>
        <w:t xml:space="preserve">levels of regulation internationally, such as </w:t>
      </w:r>
      <w:r w:rsidRPr="00A069C7">
        <w:t xml:space="preserve">no </w:t>
      </w:r>
      <w:r w:rsidR="005760DA">
        <w:t>regulation</w:t>
      </w:r>
      <w:r>
        <w:t xml:space="preserve"> of the manufacturing activities </w:t>
      </w:r>
      <w:r w:rsidRPr="00A069C7">
        <w:t>by the regulator</w:t>
      </w:r>
      <w:r>
        <w:t xml:space="preserve">, </w:t>
      </w:r>
      <w:r w:rsidRPr="00A069C7">
        <w:t>regulations under development</w:t>
      </w:r>
      <w:r>
        <w:t>,</w:t>
      </w:r>
      <w:r w:rsidRPr="00A069C7">
        <w:t xml:space="preserve"> </w:t>
      </w:r>
      <w:r>
        <w:t xml:space="preserve">or regulation by </w:t>
      </w:r>
      <w:r w:rsidRPr="00A069C7">
        <w:t>international or national regulatory codes.</w:t>
      </w:r>
      <w:r>
        <w:t xml:space="preserve"> </w:t>
      </w:r>
      <w:r w:rsidRPr="00BB4CF6">
        <w:rPr>
          <w:bCs/>
        </w:rPr>
        <w:t>There are currently countrie</w:t>
      </w:r>
      <w:r>
        <w:rPr>
          <w:bCs/>
        </w:rPr>
        <w:t xml:space="preserve">s that are only </w:t>
      </w:r>
      <w:r w:rsidR="0024002B">
        <w:rPr>
          <w:bCs/>
        </w:rPr>
        <w:t xml:space="preserve">inspecting </w:t>
      </w:r>
      <w:r>
        <w:rPr>
          <w:bCs/>
        </w:rPr>
        <w:t xml:space="preserve">blood </w:t>
      </w:r>
      <w:r w:rsidR="001F2211">
        <w:rPr>
          <w:bCs/>
        </w:rPr>
        <w:t xml:space="preserve">manufacturing </w:t>
      </w:r>
      <w:r w:rsidR="00F85654">
        <w:rPr>
          <w:bCs/>
        </w:rPr>
        <w:t>establishments</w:t>
      </w:r>
      <w:r>
        <w:rPr>
          <w:bCs/>
        </w:rPr>
        <w:t xml:space="preserve">, and </w:t>
      </w:r>
      <w:r w:rsidR="00F85654">
        <w:rPr>
          <w:bCs/>
        </w:rPr>
        <w:t xml:space="preserve">few </w:t>
      </w:r>
      <w:r>
        <w:rPr>
          <w:bCs/>
        </w:rPr>
        <w:t xml:space="preserve">countries </w:t>
      </w:r>
      <w:r w:rsidRPr="00BB4CF6">
        <w:rPr>
          <w:bCs/>
        </w:rPr>
        <w:t xml:space="preserve">that </w:t>
      </w:r>
      <w:r w:rsidR="0024002B">
        <w:rPr>
          <w:bCs/>
        </w:rPr>
        <w:t xml:space="preserve">inspect </w:t>
      </w:r>
      <w:r w:rsidR="00F85654">
        <w:rPr>
          <w:bCs/>
        </w:rPr>
        <w:t xml:space="preserve">human </w:t>
      </w:r>
      <w:r>
        <w:rPr>
          <w:bCs/>
        </w:rPr>
        <w:t xml:space="preserve">blood, </w:t>
      </w:r>
      <w:r w:rsidR="00F85654">
        <w:rPr>
          <w:bCs/>
        </w:rPr>
        <w:t xml:space="preserve">human </w:t>
      </w:r>
      <w:r>
        <w:rPr>
          <w:bCs/>
        </w:rPr>
        <w:t>tissues and cell</w:t>
      </w:r>
      <w:r w:rsidR="0024002B">
        <w:rPr>
          <w:bCs/>
        </w:rPr>
        <w:t>ular therapy</w:t>
      </w:r>
      <w:r>
        <w:rPr>
          <w:bCs/>
        </w:rPr>
        <w:t xml:space="preserve"> product manufacturers.</w:t>
      </w:r>
    </w:p>
    <w:p w:rsidR="00EF237D" w:rsidRDefault="00EF237D" w:rsidP="00EF237D">
      <w:pPr>
        <w:rPr>
          <w:bCs/>
        </w:rPr>
      </w:pPr>
      <w:r>
        <w:rPr>
          <w:bCs/>
        </w:rPr>
        <w:t xml:space="preserve">The European Union has relevant GMP requirements for therapeutic products. However, the requirements are written into the EU legislation and refer to many </w:t>
      </w:r>
      <w:r w:rsidR="005760DA">
        <w:rPr>
          <w:bCs/>
        </w:rPr>
        <w:t>different</w:t>
      </w:r>
      <w:r>
        <w:rPr>
          <w:bCs/>
        </w:rPr>
        <w:t xml:space="preserve"> parts of the EU legislative Directives. If the EU GMP was to be adopted, all of the D</w:t>
      </w:r>
      <w:r w:rsidRPr="00BB4CF6">
        <w:rPr>
          <w:bCs/>
        </w:rPr>
        <w:t xml:space="preserve">irectives </w:t>
      </w:r>
      <w:r>
        <w:rPr>
          <w:bCs/>
        </w:rPr>
        <w:t xml:space="preserve">would also have to be </w:t>
      </w:r>
      <w:r w:rsidR="00F85654">
        <w:rPr>
          <w:bCs/>
        </w:rPr>
        <w:t>adopted</w:t>
      </w:r>
      <w:r w:rsidR="005760DA">
        <w:rPr>
          <w:bCs/>
        </w:rPr>
        <w:t xml:space="preserve"> or considerable effort undertaken to ensure requirements in the directives are referred to</w:t>
      </w:r>
      <w:r w:rsidR="001678EC">
        <w:rPr>
          <w:bCs/>
        </w:rPr>
        <w:t>,</w:t>
      </w:r>
      <w:r w:rsidR="005760DA">
        <w:rPr>
          <w:bCs/>
        </w:rPr>
        <w:t xml:space="preserve"> are captured in an EU GMP amended for use in Australia.</w:t>
      </w:r>
      <w:r w:rsidR="0024002B">
        <w:rPr>
          <w:bCs/>
        </w:rPr>
        <w:t xml:space="preserve"> Additionally there would be an overlap </w:t>
      </w:r>
      <w:r w:rsidR="005442D6">
        <w:rPr>
          <w:bCs/>
        </w:rPr>
        <w:t xml:space="preserve">with technical requirements </w:t>
      </w:r>
      <w:r w:rsidR="006417F3">
        <w:rPr>
          <w:bCs/>
        </w:rPr>
        <w:t xml:space="preserve">and potential confusion </w:t>
      </w:r>
      <w:r w:rsidR="0024002B">
        <w:rPr>
          <w:bCs/>
        </w:rPr>
        <w:t>with the current TGOs legislated for HCTs.</w:t>
      </w:r>
    </w:p>
    <w:p w:rsidR="00F53896" w:rsidRDefault="00EF237D" w:rsidP="00EF237D">
      <w:pPr>
        <w:rPr>
          <w:szCs w:val="20"/>
        </w:rPr>
      </w:pPr>
      <w:r>
        <w:rPr>
          <w:szCs w:val="20"/>
        </w:rPr>
        <w:t xml:space="preserve">In an effort to address different international regulatory requirements, the </w:t>
      </w:r>
      <w:r>
        <w:t>Pharmaceutical Inspection Convention and Pharmaceutical Inspection Co-operation Scheme (jointly referred to as PIC/S)</w:t>
      </w:r>
      <w:r w:rsidRPr="00FA5860">
        <w:t xml:space="preserve"> </w:t>
      </w:r>
      <w:r>
        <w:t xml:space="preserve">provide an active and constructive international co-operation in the field of GMP. The purpose of PIC/S is to facilitate networking between participating authorities and the maintenance of mutual confidence, the exchange of information and experience in the field of GMP and related areas, and the mutual training of GMP inspectors. Australia is a member of the PIC/S. </w:t>
      </w:r>
      <w:r>
        <w:rPr>
          <w:szCs w:val="20"/>
        </w:rPr>
        <w:t xml:space="preserve"> A GMP guide for medicinal products has been developed under this scheme: “</w:t>
      </w:r>
      <w:r w:rsidRPr="00FA5860">
        <w:rPr>
          <w:i/>
          <w:szCs w:val="20"/>
        </w:rPr>
        <w:t>PIC/S Guide to Good Manufacturing Practice for Medicinal Products</w:t>
      </w:r>
      <w:r>
        <w:rPr>
          <w:szCs w:val="20"/>
        </w:rPr>
        <w:t xml:space="preserve">”. </w:t>
      </w:r>
    </w:p>
    <w:p w:rsidR="000F15A3" w:rsidRDefault="00EF237D" w:rsidP="008E351E">
      <w:pPr>
        <w:rPr>
          <w:szCs w:val="20"/>
        </w:rPr>
      </w:pPr>
      <w:r>
        <w:rPr>
          <w:szCs w:val="20"/>
        </w:rPr>
        <w:t xml:space="preserve">The TGA has reviewed the applicability </w:t>
      </w:r>
      <w:r w:rsidR="00D661D7">
        <w:rPr>
          <w:szCs w:val="20"/>
        </w:rPr>
        <w:t>of this GMP guide, “</w:t>
      </w:r>
      <w:r w:rsidR="00D661D7" w:rsidRPr="00FA5860">
        <w:rPr>
          <w:i/>
          <w:szCs w:val="20"/>
        </w:rPr>
        <w:t>PIC/S Guide to Good Manufacturing Practice for Medicinal Products</w:t>
      </w:r>
      <w:r w:rsidR="00D661D7">
        <w:rPr>
          <w:szCs w:val="20"/>
        </w:rPr>
        <w:t>”</w:t>
      </w:r>
      <w:r w:rsidR="000F15A3">
        <w:rPr>
          <w:szCs w:val="20"/>
        </w:rPr>
        <w:t xml:space="preserve"> for applicability to HCTs in the Australian context.  </w:t>
      </w:r>
      <w:r w:rsidR="00A93126" w:rsidRPr="00A93126">
        <w:rPr>
          <w:szCs w:val="20"/>
        </w:rPr>
        <w:t xml:space="preserve"> </w:t>
      </w:r>
      <w:r w:rsidR="00A93126">
        <w:rPr>
          <w:szCs w:val="20"/>
        </w:rPr>
        <w:t xml:space="preserve">Adoption of the entire guide was assessed as inappropriate as </w:t>
      </w:r>
      <w:r w:rsidR="007F5877">
        <w:rPr>
          <w:szCs w:val="20"/>
        </w:rPr>
        <w:t>some critical requirements for HCTs are not covered by this GMP guide such as requirements for the selection of donors (including medical assessment, con</w:t>
      </w:r>
      <w:r w:rsidR="00A93126">
        <w:rPr>
          <w:szCs w:val="20"/>
        </w:rPr>
        <w:t>sent and collection</w:t>
      </w:r>
      <w:r w:rsidR="007F5877">
        <w:rPr>
          <w:szCs w:val="20"/>
        </w:rPr>
        <w:t>)</w:t>
      </w:r>
      <w:r w:rsidR="007B5AC0">
        <w:rPr>
          <w:szCs w:val="20"/>
        </w:rPr>
        <w:t xml:space="preserve"> and requirements for</w:t>
      </w:r>
      <w:r w:rsidR="008E351E">
        <w:rPr>
          <w:szCs w:val="20"/>
        </w:rPr>
        <w:t xml:space="preserve"> handling non-sterile source starting material.</w:t>
      </w:r>
      <w:r w:rsidR="00A93126">
        <w:rPr>
          <w:szCs w:val="20"/>
        </w:rPr>
        <w:t xml:space="preserve">   The need for these specific requirements reflects the uni</w:t>
      </w:r>
      <w:r w:rsidR="002D739A">
        <w:rPr>
          <w:szCs w:val="20"/>
        </w:rPr>
        <w:t>que nature of HCTs in that they</w:t>
      </w:r>
      <w:r w:rsidR="00A93126">
        <w:rPr>
          <w:szCs w:val="20"/>
        </w:rPr>
        <w:t xml:space="preserve"> are sourced from</w:t>
      </w:r>
      <w:r w:rsidR="008E351E">
        <w:rPr>
          <w:szCs w:val="20"/>
        </w:rPr>
        <w:t xml:space="preserve"> human dono</w:t>
      </w:r>
      <w:r w:rsidR="00A8764D">
        <w:rPr>
          <w:szCs w:val="20"/>
        </w:rPr>
        <w:t>rs,</w:t>
      </w:r>
      <w:r w:rsidR="008E351E">
        <w:rPr>
          <w:szCs w:val="20"/>
        </w:rPr>
        <w:t xml:space="preserve"> the source starting material is not sterile</w:t>
      </w:r>
      <w:r w:rsidR="00A93126">
        <w:rPr>
          <w:szCs w:val="20"/>
        </w:rPr>
        <w:t xml:space="preserve"> and the HCT is often not able to be sterilised due to the nature and sensitivity of the HCT.</w:t>
      </w:r>
      <w:r w:rsidR="007B5AC0">
        <w:rPr>
          <w:szCs w:val="20"/>
        </w:rPr>
        <w:t xml:space="preserve">  </w:t>
      </w:r>
    </w:p>
    <w:p w:rsidR="005760DA" w:rsidRDefault="005760DA" w:rsidP="00EF237D">
      <w:pPr>
        <w:rPr>
          <w:szCs w:val="20"/>
        </w:rPr>
      </w:pPr>
      <w:r>
        <w:rPr>
          <w:szCs w:val="20"/>
        </w:rPr>
        <w:t xml:space="preserve">Amending either the EU GMP or the PIC/S GMP </w:t>
      </w:r>
      <w:r w:rsidR="00FF7C2A">
        <w:rPr>
          <w:szCs w:val="20"/>
        </w:rPr>
        <w:t xml:space="preserve">for Australian conditions would </w:t>
      </w:r>
      <w:r>
        <w:rPr>
          <w:szCs w:val="20"/>
        </w:rPr>
        <w:t>require considerable stakeholder consultation to ensure the issues associated with the current Code are addressed and no further problems are created by this approach. As much of the consultation on how to address the issues associated with the current Code was conducted as part of the development of the Bio</w:t>
      </w:r>
      <w:r w:rsidR="00A649FD">
        <w:rPr>
          <w:szCs w:val="20"/>
        </w:rPr>
        <w:t>lo</w:t>
      </w:r>
      <w:r>
        <w:rPr>
          <w:szCs w:val="20"/>
        </w:rPr>
        <w:t>gicals framework, further consultation would create additional burden on industry and further delay attempts to reform the Code.</w:t>
      </w:r>
    </w:p>
    <w:p w:rsidR="00EF237D" w:rsidRDefault="005760DA" w:rsidP="00EF237D">
      <w:pPr>
        <w:rPr>
          <w:szCs w:val="20"/>
        </w:rPr>
      </w:pPr>
      <w:r>
        <w:rPr>
          <w:szCs w:val="20"/>
        </w:rPr>
        <w:t xml:space="preserve">Whilst adoption of a suitable code and the resulting harmonisation is </w:t>
      </w:r>
      <w:r w:rsidR="00EF237D">
        <w:rPr>
          <w:szCs w:val="20"/>
        </w:rPr>
        <w:t>desirable,</w:t>
      </w:r>
      <w:r w:rsidR="006417F3">
        <w:rPr>
          <w:szCs w:val="20"/>
        </w:rPr>
        <w:t xml:space="preserve"> neither the EU GMP Code nor the PIC</w:t>
      </w:r>
      <w:r w:rsidR="009F42ED">
        <w:rPr>
          <w:szCs w:val="20"/>
        </w:rPr>
        <w:t>/</w:t>
      </w:r>
      <w:r w:rsidR="006417F3">
        <w:rPr>
          <w:szCs w:val="20"/>
        </w:rPr>
        <w:t>S Code was appropriate for adoption for the Australian market. This option is thus not recommended.</w:t>
      </w:r>
      <w:r>
        <w:rPr>
          <w:szCs w:val="20"/>
        </w:rPr>
        <w:t xml:space="preserve"> </w:t>
      </w:r>
    </w:p>
    <w:p w:rsidR="00BF6AA1" w:rsidRDefault="00BF6AA1" w:rsidP="00BF6AA1">
      <w:pPr>
        <w:pStyle w:val="Heading3"/>
      </w:pPr>
      <w:bookmarkStart w:id="22" w:name="_Toc341452832"/>
      <w:r>
        <w:lastRenderedPageBreak/>
        <w:t>Option 4: Revise the existing Code and associated technical standards for infectious disease minimisation</w:t>
      </w:r>
      <w:bookmarkEnd w:id="22"/>
    </w:p>
    <w:p w:rsidR="00B34A5D" w:rsidRPr="00733CC2" w:rsidRDefault="00733CC2" w:rsidP="00B34A5D">
      <w:pPr>
        <w:rPr>
          <w:szCs w:val="20"/>
        </w:rPr>
      </w:pPr>
      <w:r w:rsidRPr="00733CC2">
        <w:rPr>
          <w:bCs/>
        </w:rPr>
        <w:t>Under t</w:t>
      </w:r>
      <w:r w:rsidR="00B34A5D" w:rsidRPr="00733CC2">
        <w:rPr>
          <w:bCs/>
        </w:rPr>
        <w:t>his option</w:t>
      </w:r>
      <w:r w:rsidRPr="00733CC2">
        <w:rPr>
          <w:bCs/>
        </w:rPr>
        <w:t>, th</w:t>
      </w:r>
      <w:r w:rsidR="00B34A5D" w:rsidRPr="00733CC2">
        <w:rPr>
          <w:bCs/>
        </w:rPr>
        <w:t>e existing Code</w:t>
      </w:r>
      <w:r w:rsidRPr="00733CC2">
        <w:rPr>
          <w:bCs/>
        </w:rPr>
        <w:t xml:space="preserve"> would be replaced</w:t>
      </w:r>
      <w:r w:rsidR="00B34A5D" w:rsidRPr="00733CC2">
        <w:rPr>
          <w:bCs/>
        </w:rPr>
        <w:t xml:space="preserve"> with a revised Code, the </w:t>
      </w:r>
      <w:r w:rsidR="00B34A5D" w:rsidRPr="00733CC2">
        <w:rPr>
          <w:szCs w:val="20"/>
        </w:rPr>
        <w:t>“</w:t>
      </w:r>
      <w:r w:rsidR="00B34A5D" w:rsidRPr="00733CC2">
        <w:rPr>
          <w:i/>
          <w:szCs w:val="20"/>
        </w:rPr>
        <w:t>Code of GMP and standards for human blood and blood components, human tissues and human cellular therapy products</w:t>
      </w:r>
      <w:r w:rsidRPr="00733CC2">
        <w:rPr>
          <w:szCs w:val="20"/>
        </w:rPr>
        <w:t>” with all technical requirements removed.</w:t>
      </w:r>
      <w:r w:rsidR="00B34A5D" w:rsidRPr="00733CC2">
        <w:rPr>
          <w:szCs w:val="20"/>
        </w:rPr>
        <w:t xml:space="preserve"> </w:t>
      </w:r>
      <w:r w:rsidRPr="00733CC2">
        <w:rPr>
          <w:szCs w:val="20"/>
        </w:rPr>
        <w:t xml:space="preserve"> These technical requirements would be transferred to </w:t>
      </w:r>
      <w:r w:rsidR="00B34A5D" w:rsidRPr="00733CC2">
        <w:t xml:space="preserve">a newly developed </w:t>
      </w:r>
      <w:r w:rsidR="003737EF">
        <w:t>TGO</w:t>
      </w:r>
      <w:r w:rsidR="00B34A5D" w:rsidRPr="00733CC2">
        <w:t>: “</w:t>
      </w:r>
      <w:r w:rsidR="00B34A5D" w:rsidRPr="00733CC2">
        <w:rPr>
          <w:i/>
        </w:rPr>
        <w:t>Standards for minimising infectious disease transmission via therapeutic goods that are human blood and blood components, human tissues and human cellular therapy products</w:t>
      </w:r>
      <w:r w:rsidR="00B34A5D" w:rsidRPr="00733CC2">
        <w:t>”</w:t>
      </w:r>
      <w:r w:rsidR="00461B7A">
        <w:t xml:space="preserve"> (ID TGO)</w:t>
      </w:r>
      <w:r w:rsidR="00B34A5D" w:rsidRPr="00733CC2">
        <w:t>.</w:t>
      </w:r>
    </w:p>
    <w:p w:rsidR="00C96D63" w:rsidRPr="0036676B" w:rsidRDefault="00733CC2" w:rsidP="00B34A5D">
      <w:pPr>
        <w:rPr>
          <w:szCs w:val="20"/>
        </w:rPr>
      </w:pPr>
      <w:r w:rsidRPr="0036676B">
        <w:rPr>
          <w:szCs w:val="20"/>
        </w:rPr>
        <w:t>This</w:t>
      </w:r>
      <w:r w:rsidR="00B34A5D" w:rsidRPr="0036676B">
        <w:rPr>
          <w:szCs w:val="20"/>
        </w:rPr>
        <w:t xml:space="preserve"> option specifically addresses the manufacturing processes for therapeutic products that are associated with more recent therapeutic advances and the need for clarity, flexibility and harmonisation with both national and international regulations. </w:t>
      </w:r>
      <w:r w:rsidR="0036676B" w:rsidRPr="0036676B">
        <w:rPr>
          <w:szCs w:val="20"/>
        </w:rPr>
        <w:t>Revision of the code would involve:</w:t>
      </w:r>
    </w:p>
    <w:p w:rsidR="0036676B" w:rsidRPr="0036676B" w:rsidRDefault="00A649FD" w:rsidP="0036676B">
      <w:pPr>
        <w:pStyle w:val="ListParagraph"/>
        <w:numPr>
          <w:ilvl w:val="0"/>
          <w:numId w:val="25"/>
        </w:numPr>
        <w:rPr>
          <w:szCs w:val="20"/>
        </w:rPr>
      </w:pPr>
      <w:proofErr w:type="gramStart"/>
      <w:r>
        <w:rPr>
          <w:szCs w:val="20"/>
        </w:rPr>
        <w:t>where</w:t>
      </w:r>
      <w:proofErr w:type="gramEnd"/>
      <w:r>
        <w:rPr>
          <w:szCs w:val="20"/>
        </w:rPr>
        <w:t xml:space="preserve"> appropriate </w:t>
      </w:r>
      <w:r w:rsidR="00B34A5D" w:rsidRPr="0036676B">
        <w:rPr>
          <w:szCs w:val="20"/>
        </w:rPr>
        <w:t>bring</w:t>
      </w:r>
      <w:r w:rsidR="0036676B" w:rsidRPr="0036676B">
        <w:rPr>
          <w:szCs w:val="20"/>
        </w:rPr>
        <w:t>ing</w:t>
      </w:r>
      <w:r w:rsidR="00B34A5D" w:rsidRPr="0036676B">
        <w:rPr>
          <w:szCs w:val="20"/>
        </w:rPr>
        <w:t xml:space="preserve"> the requirements into closer alignment with major international codes, including the </w:t>
      </w:r>
      <w:r w:rsidR="00B34A5D" w:rsidRPr="0036676B">
        <w:rPr>
          <w:i/>
          <w:szCs w:val="20"/>
        </w:rPr>
        <w:t>PIC/S Guide to Good Manufacturing Practice for Medicinal Products</w:t>
      </w:r>
      <w:r>
        <w:rPr>
          <w:szCs w:val="20"/>
        </w:rPr>
        <w:t xml:space="preserve"> for greater harmonisation</w:t>
      </w:r>
      <w:r w:rsidR="002D7B16">
        <w:rPr>
          <w:szCs w:val="20"/>
        </w:rPr>
        <w:t>.</w:t>
      </w:r>
    </w:p>
    <w:p w:rsidR="0036676B" w:rsidRPr="0036676B" w:rsidRDefault="0036676B" w:rsidP="0036676B">
      <w:pPr>
        <w:pStyle w:val="ListParagraph"/>
        <w:numPr>
          <w:ilvl w:val="0"/>
          <w:numId w:val="25"/>
        </w:numPr>
        <w:rPr>
          <w:szCs w:val="20"/>
        </w:rPr>
      </w:pPr>
      <w:r w:rsidRPr="0036676B">
        <w:rPr>
          <w:szCs w:val="20"/>
        </w:rPr>
        <w:t>restructuring and rewriting to improve clarity and provide substance to identified problem areas</w:t>
      </w:r>
    </w:p>
    <w:p w:rsidR="00B34A5D" w:rsidRPr="0036676B" w:rsidRDefault="0036676B" w:rsidP="0036676B">
      <w:pPr>
        <w:pStyle w:val="ListParagraph"/>
        <w:numPr>
          <w:ilvl w:val="0"/>
          <w:numId w:val="25"/>
        </w:numPr>
        <w:rPr>
          <w:szCs w:val="20"/>
        </w:rPr>
      </w:pPr>
      <w:proofErr w:type="gramStart"/>
      <w:r w:rsidRPr="0036676B">
        <w:rPr>
          <w:szCs w:val="20"/>
        </w:rPr>
        <w:t>revising</w:t>
      </w:r>
      <w:proofErr w:type="gramEnd"/>
      <w:r w:rsidRPr="0036676B">
        <w:rPr>
          <w:szCs w:val="20"/>
        </w:rPr>
        <w:t xml:space="preserve"> sections </w:t>
      </w:r>
      <w:r w:rsidR="00B34A5D" w:rsidRPr="0036676B">
        <w:rPr>
          <w:szCs w:val="20"/>
        </w:rPr>
        <w:t>specific for blood and blood components to be applicable to a wider rang</w:t>
      </w:r>
      <w:r w:rsidRPr="0036676B">
        <w:rPr>
          <w:szCs w:val="20"/>
        </w:rPr>
        <w:t xml:space="preserve">e of cellular therapy products, in particular to </w:t>
      </w:r>
      <w:r w:rsidR="00B34A5D" w:rsidRPr="0036676B">
        <w:rPr>
          <w:szCs w:val="20"/>
        </w:rPr>
        <w:t>incorporate a degree of flexibility to deal with the range of products regulated under manufacturing licence by the TGA.</w:t>
      </w:r>
    </w:p>
    <w:p w:rsidR="00D81773" w:rsidRPr="00D81773" w:rsidRDefault="007F4B72" w:rsidP="00B34A5D">
      <w:r>
        <w:t xml:space="preserve">A summary of the changes to the revised Code </w:t>
      </w:r>
      <w:r w:rsidR="00D81773">
        <w:t xml:space="preserve">are included in </w:t>
      </w:r>
      <w:r w:rsidR="00D81773" w:rsidRPr="009E36BA">
        <w:rPr>
          <w:b/>
        </w:rPr>
        <w:t>Appendix A</w:t>
      </w:r>
      <w:r w:rsidR="00D81773" w:rsidRPr="00D81773">
        <w:t>. Some examples are provided below:</w:t>
      </w:r>
    </w:p>
    <w:p w:rsidR="00D81773" w:rsidRDefault="00D81773" w:rsidP="00D81773">
      <w:pPr>
        <w:pStyle w:val="ListParagraph"/>
        <w:numPr>
          <w:ilvl w:val="0"/>
          <w:numId w:val="47"/>
        </w:numPr>
      </w:pPr>
      <w:r>
        <w:t>specific requirements for handling of product returns from the customer       (Clause 512)</w:t>
      </w:r>
    </w:p>
    <w:p w:rsidR="00D81773" w:rsidRDefault="00D81773" w:rsidP="00D81773">
      <w:pPr>
        <w:pStyle w:val="ListParagraph"/>
        <w:numPr>
          <w:ilvl w:val="0"/>
          <w:numId w:val="47"/>
        </w:numPr>
      </w:pPr>
      <w:r>
        <w:t>specific requirements for maintenance of freeze – drying and cryopreservation records ( Clause 831, 832)</w:t>
      </w:r>
    </w:p>
    <w:p w:rsidR="00D81773" w:rsidRDefault="00D81773" w:rsidP="00D81773">
      <w:pPr>
        <w:pStyle w:val="ListParagraph"/>
        <w:numPr>
          <w:ilvl w:val="0"/>
          <w:numId w:val="47"/>
        </w:numPr>
      </w:pPr>
      <w:proofErr w:type="gramStart"/>
      <w:r>
        <w:t>regular</w:t>
      </w:r>
      <w:proofErr w:type="gramEnd"/>
      <w:r>
        <w:t xml:space="preserve"> periodic quality review of all products to verify the consistency of processes and appropriateness of current specifications for both starting materials and finished products Clause 113)</w:t>
      </w:r>
      <w:r w:rsidR="00F86E7A">
        <w:t>.</w:t>
      </w:r>
    </w:p>
    <w:p w:rsidR="003157A9" w:rsidRDefault="00B34A5D" w:rsidP="00B34A5D">
      <w:r w:rsidRPr="0036676B">
        <w:t xml:space="preserve">The infectious disease minimisation requirements that would be removed from the existing Code </w:t>
      </w:r>
      <w:r w:rsidR="0036676B" w:rsidRPr="0036676B">
        <w:t>will be</w:t>
      </w:r>
      <w:r w:rsidRPr="0036676B">
        <w:t xml:space="preserve"> incorporated into a draft standard for i</w:t>
      </w:r>
      <w:r w:rsidR="0036676B" w:rsidRPr="0036676B">
        <w:t xml:space="preserve">nfectious disease minimisation and </w:t>
      </w:r>
      <w:r w:rsidRPr="0036676B">
        <w:t xml:space="preserve">implemented as a TGO. </w:t>
      </w:r>
      <w:r w:rsidR="003157A9">
        <w:t>The introduction of a TGO for these infectious disease minimisation requirements will also align regulation of HCT</w:t>
      </w:r>
      <w:r w:rsidR="002D68E3">
        <w:t>s</w:t>
      </w:r>
      <w:r w:rsidR="003157A9">
        <w:t xml:space="preserve"> with the regulation of other therapeutic goods in Australia and internationally. Technical requirements for most therapeutic goods are legislated in TGOs to facilitate TGA evaluation of quality and safety of the products that are being supplied, which is distinct from the quality that is assured through compliance to appropriate manufacturing principles.</w:t>
      </w:r>
    </w:p>
    <w:p w:rsidR="0051575A" w:rsidRDefault="0036676B" w:rsidP="00B34A5D">
      <w:r w:rsidRPr="0036676B">
        <w:t>Th</w:t>
      </w:r>
      <w:r w:rsidR="003157A9">
        <w:t xml:space="preserve">e </w:t>
      </w:r>
      <w:r w:rsidR="00F33A1E">
        <w:t xml:space="preserve">ID TGO </w:t>
      </w:r>
      <w:r w:rsidRPr="0036676B">
        <w:t>will</w:t>
      </w:r>
      <w:r w:rsidR="003737EF">
        <w:t xml:space="preserve"> </w:t>
      </w:r>
      <w:r w:rsidR="0051575A">
        <w:t xml:space="preserve">clarify </w:t>
      </w:r>
      <w:r w:rsidR="009142C0">
        <w:t>the requirements in relation to</w:t>
      </w:r>
      <w:r w:rsidR="0051575A">
        <w:t>:</w:t>
      </w:r>
    </w:p>
    <w:p w:rsidR="0051575A" w:rsidRDefault="009142C0" w:rsidP="0051575A">
      <w:pPr>
        <w:pStyle w:val="ListParagraph"/>
        <w:numPr>
          <w:ilvl w:val="0"/>
          <w:numId w:val="43"/>
        </w:numPr>
      </w:pPr>
      <w:r>
        <w:t>the medical and social history of prospective donors</w:t>
      </w:r>
    </w:p>
    <w:p w:rsidR="0051575A" w:rsidRDefault="009142C0" w:rsidP="0051575A">
      <w:pPr>
        <w:pStyle w:val="ListParagraph"/>
        <w:numPr>
          <w:ilvl w:val="0"/>
          <w:numId w:val="43"/>
        </w:numPr>
      </w:pPr>
      <w:r>
        <w:t>donor blood sampling</w:t>
      </w:r>
      <w:r w:rsidR="0051575A">
        <w:t xml:space="preserve">, </w:t>
      </w:r>
      <w:r>
        <w:t>test</w:t>
      </w:r>
      <w:r w:rsidR="0051575A">
        <w:t xml:space="preserve"> kits, test protocols and test management</w:t>
      </w:r>
    </w:p>
    <w:p w:rsidR="0051575A" w:rsidRDefault="0051575A" w:rsidP="0051575A">
      <w:pPr>
        <w:pStyle w:val="ListParagraph"/>
        <w:numPr>
          <w:ilvl w:val="0"/>
          <w:numId w:val="43"/>
        </w:numPr>
      </w:pPr>
      <w:r>
        <w:t>donor physical assessment and testing</w:t>
      </w:r>
    </w:p>
    <w:p w:rsidR="0051575A" w:rsidRDefault="0051575A" w:rsidP="0051575A">
      <w:pPr>
        <w:pStyle w:val="ListParagraph"/>
        <w:numPr>
          <w:ilvl w:val="0"/>
          <w:numId w:val="43"/>
        </w:numPr>
      </w:pPr>
      <w:r>
        <w:t>microbial control</w:t>
      </w:r>
    </w:p>
    <w:p w:rsidR="00B34A5D" w:rsidRDefault="0051575A" w:rsidP="0051575A">
      <w:pPr>
        <w:pStyle w:val="ListParagraph"/>
        <w:numPr>
          <w:ilvl w:val="0"/>
          <w:numId w:val="43"/>
        </w:numPr>
      </w:pPr>
      <w:r>
        <w:t>critical materials used in collection and manufacture</w:t>
      </w:r>
    </w:p>
    <w:p w:rsidR="008F2B4D" w:rsidRDefault="000B0994" w:rsidP="009C1965">
      <w:pPr>
        <w:ind w:left="400"/>
      </w:pPr>
      <w:r>
        <w:lastRenderedPageBreak/>
        <w:t xml:space="preserve">A summary of the </w:t>
      </w:r>
      <w:r w:rsidR="009C1965">
        <w:t xml:space="preserve">requirements in </w:t>
      </w:r>
      <w:r>
        <w:t xml:space="preserve">the TGO for infectious disease minimisation, and the </w:t>
      </w:r>
      <w:r w:rsidR="009C1965">
        <w:t xml:space="preserve">source of these requirements </w:t>
      </w:r>
      <w:r>
        <w:t xml:space="preserve">from the existing Code, is provided in </w:t>
      </w:r>
      <w:r w:rsidR="009F04DC">
        <w:rPr>
          <w:b/>
        </w:rPr>
        <w:t>Appendix</w:t>
      </w:r>
      <w:r w:rsidRPr="000B0994">
        <w:rPr>
          <w:b/>
        </w:rPr>
        <w:t xml:space="preserve"> </w:t>
      </w:r>
      <w:r w:rsidR="009F04DC">
        <w:rPr>
          <w:b/>
        </w:rPr>
        <w:t>B</w:t>
      </w:r>
      <w:r>
        <w:t>.</w:t>
      </w:r>
    </w:p>
    <w:p w:rsidR="00BF6AA1" w:rsidRDefault="0002772D" w:rsidP="00992B83">
      <w:pPr>
        <w:pStyle w:val="Heading2"/>
      </w:pPr>
      <w:bookmarkStart w:id="23" w:name="_Toc341452833"/>
      <w:r>
        <w:t xml:space="preserve">Option 4 </w:t>
      </w:r>
      <w:r w:rsidR="00992B83">
        <w:t>Impact analysis</w:t>
      </w:r>
      <w:bookmarkEnd w:id="23"/>
    </w:p>
    <w:p w:rsidR="005732F1" w:rsidRDefault="00992B83" w:rsidP="00992B83">
      <w:r>
        <w:t>Key stakeholders affected by a revised Code for HCTs include</w:t>
      </w:r>
      <w:r w:rsidR="005732F1">
        <w:t>:</w:t>
      </w:r>
    </w:p>
    <w:p w:rsidR="005732F1" w:rsidRDefault="005732F1" w:rsidP="005732F1">
      <w:pPr>
        <w:pStyle w:val="ListParagraph"/>
        <w:numPr>
          <w:ilvl w:val="0"/>
          <w:numId w:val="26"/>
        </w:numPr>
      </w:pPr>
      <w:r>
        <w:t>c</w:t>
      </w:r>
      <w:r w:rsidR="00992B83">
        <w:t>onsumer</w:t>
      </w:r>
      <w:r>
        <w:t xml:space="preserve">s, </w:t>
      </w:r>
      <w:r w:rsidR="00992B83">
        <w:t>i</w:t>
      </w:r>
      <w:r w:rsidR="00B90C19">
        <w:t>.</w:t>
      </w:r>
      <w:r w:rsidR="00992B83">
        <w:t>e</w:t>
      </w:r>
      <w:r w:rsidR="00B90C19">
        <w:t>.</w:t>
      </w:r>
      <w:r w:rsidR="00992B83">
        <w:t xml:space="preserve"> persons w</w:t>
      </w:r>
      <w:r>
        <w:t>ho receive treatment with HCTs</w:t>
      </w:r>
      <w:r w:rsidR="00992B83">
        <w:t xml:space="preserve"> </w:t>
      </w:r>
    </w:p>
    <w:p w:rsidR="005732F1" w:rsidRDefault="00992B83" w:rsidP="005732F1">
      <w:pPr>
        <w:pStyle w:val="ListParagraph"/>
        <w:numPr>
          <w:ilvl w:val="0"/>
          <w:numId w:val="26"/>
        </w:numPr>
      </w:pPr>
      <w:r>
        <w:t>healthcare pr</w:t>
      </w:r>
      <w:r w:rsidR="005732F1">
        <w:t>ofessionals who administer HCTs</w:t>
      </w:r>
      <w:r>
        <w:t xml:space="preserve"> </w:t>
      </w:r>
    </w:p>
    <w:p w:rsidR="005732F1" w:rsidRDefault="005732F1" w:rsidP="005732F1">
      <w:pPr>
        <w:pStyle w:val="ListParagraph"/>
        <w:numPr>
          <w:ilvl w:val="0"/>
          <w:numId w:val="26"/>
        </w:numPr>
      </w:pPr>
      <w:r>
        <w:t xml:space="preserve">the industry- </w:t>
      </w:r>
      <w:r w:rsidR="00992B83">
        <w:t>comprising tissue banks, hospitals, hospital supply units, clinics, not-for-prof</w:t>
      </w:r>
      <w:r>
        <w:t>it and commercial organisations,</w:t>
      </w:r>
      <w:r w:rsidR="00992B83">
        <w:t xml:space="preserve"> and </w:t>
      </w:r>
    </w:p>
    <w:p w:rsidR="00992B83" w:rsidRDefault="005732F1" w:rsidP="005732F1">
      <w:pPr>
        <w:pStyle w:val="ListParagraph"/>
        <w:numPr>
          <w:ilvl w:val="0"/>
          <w:numId w:val="26"/>
        </w:numPr>
      </w:pPr>
      <w:proofErr w:type="gramStart"/>
      <w:r>
        <w:t>government</w:t>
      </w:r>
      <w:proofErr w:type="gramEnd"/>
      <w:r>
        <w:t xml:space="preserve"> agencies, </w:t>
      </w:r>
      <w:r w:rsidR="00992B83">
        <w:t xml:space="preserve">including the TGA as the regulator of HCTs and other areas of the </w:t>
      </w:r>
      <w:r>
        <w:t>Department of Health and Ageing</w:t>
      </w:r>
      <w:r w:rsidR="00992B83">
        <w:t>.</w:t>
      </w:r>
    </w:p>
    <w:p w:rsidR="002604D1" w:rsidRPr="0051683D" w:rsidRDefault="00F66697" w:rsidP="00EF41E8">
      <w:pPr>
        <w:pStyle w:val="Heading4"/>
      </w:pPr>
      <w:bookmarkStart w:id="24" w:name="_Toc341108680"/>
      <w:bookmarkStart w:id="25" w:name="_Toc341452834"/>
      <w:r>
        <w:t>Consumers</w:t>
      </w:r>
      <w:bookmarkEnd w:id="24"/>
      <w:bookmarkEnd w:id="25"/>
    </w:p>
    <w:p w:rsidR="002604D1" w:rsidRPr="009A4803" w:rsidRDefault="002604D1" w:rsidP="002604D1">
      <w:r w:rsidRPr="009A4803">
        <w:t xml:space="preserve">The regulation of </w:t>
      </w:r>
      <w:r>
        <w:t>therapeutic products directly impacts on the recipients</w:t>
      </w:r>
      <w:r w:rsidRPr="009A4803">
        <w:t xml:space="preserve"> of such therapies who have an expectation </w:t>
      </w:r>
      <w:r w:rsidR="006328EC">
        <w:t xml:space="preserve">of quality, safety and efficacy of the therapies they receive. A Code that </w:t>
      </w:r>
      <w:r w:rsidR="00F86E7A">
        <w:t xml:space="preserve">better aligns with </w:t>
      </w:r>
      <w:r w:rsidR="006328EC">
        <w:t xml:space="preserve">the modern HCT environment will </w:t>
      </w:r>
      <w:r w:rsidR="00F86E7A">
        <w:t>improve confidence that</w:t>
      </w:r>
      <w:r w:rsidR="006328EC">
        <w:t xml:space="preserve"> those expectations can be met. </w:t>
      </w:r>
    </w:p>
    <w:p w:rsidR="002604D1" w:rsidRDefault="002604D1" w:rsidP="00EF41E8">
      <w:pPr>
        <w:pStyle w:val="Heading4"/>
      </w:pPr>
      <w:bookmarkStart w:id="26" w:name="_Toc341108681"/>
      <w:bookmarkStart w:id="27" w:name="_Toc341452835"/>
      <w:r>
        <w:t>H</w:t>
      </w:r>
      <w:r w:rsidRPr="00C26F03">
        <w:t xml:space="preserve">ealth </w:t>
      </w:r>
      <w:r>
        <w:t xml:space="preserve">care </w:t>
      </w:r>
      <w:r w:rsidRPr="00C26F03">
        <w:t>professionals</w:t>
      </w:r>
      <w:bookmarkEnd w:id="26"/>
      <w:bookmarkEnd w:id="27"/>
    </w:p>
    <w:p w:rsidR="002604D1" w:rsidRDefault="007217C7" w:rsidP="002604D1">
      <w:r>
        <w:t>Appropriate regulation</w:t>
      </w:r>
      <w:r w:rsidR="002604D1">
        <w:t xml:space="preserve"> of manufacturing process</w:t>
      </w:r>
      <w:r>
        <w:t>es</w:t>
      </w:r>
      <w:r w:rsidR="002604D1">
        <w:t xml:space="preserve"> and technical specifications </w:t>
      </w:r>
      <w:r w:rsidR="002604D1">
        <w:rPr>
          <w:szCs w:val="24"/>
          <w:lang w:val="en-US"/>
        </w:rPr>
        <w:t>p</w:t>
      </w:r>
      <w:r w:rsidR="002604D1" w:rsidRPr="007D229B">
        <w:rPr>
          <w:szCs w:val="24"/>
          <w:lang w:val="en-US"/>
        </w:rPr>
        <w:t>rovides confidenc</w:t>
      </w:r>
      <w:r w:rsidR="002604D1">
        <w:rPr>
          <w:szCs w:val="24"/>
          <w:lang w:val="en-US"/>
        </w:rPr>
        <w:t>e</w:t>
      </w:r>
      <w:r w:rsidR="002604D1" w:rsidRPr="00880771">
        <w:rPr>
          <w:lang w:val="en-US"/>
        </w:rPr>
        <w:t xml:space="preserve"> to </w:t>
      </w:r>
      <w:r w:rsidR="002604D1">
        <w:rPr>
          <w:szCs w:val="24"/>
          <w:lang w:val="en-US"/>
        </w:rPr>
        <w:t xml:space="preserve">medical practitioners that human-derived </w:t>
      </w:r>
      <w:r>
        <w:rPr>
          <w:szCs w:val="24"/>
          <w:lang w:val="en-US"/>
        </w:rPr>
        <w:t>products have</w:t>
      </w:r>
      <w:r w:rsidR="002604D1">
        <w:rPr>
          <w:szCs w:val="24"/>
          <w:lang w:val="en-US"/>
        </w:rPr>
        <w:t xml:space="preserve"> been manufactured to the highest quality standards and</w:t>
      </w:r>
      <w:r>
        <w:rPr>
          <w:szCs w:val="24"/>
          <w:lang w:val="en-US"/>
        </w:rPr>
        <w:t xml:space="preserve"> </w:t>
      </w:r>
      <w:r w:rsidR="00A649FD">
        <w:rPr>
          <w:szCs w:val="24"/>
          <w:lang w:val="en-US"/>
        </w:rPr>
        <w:t xml:space="preserve">are safe for use. For example, </w:t>
      </w:r>
      <w:r>
        <w:rPr>
          <w:szCs w:val="24"/>
          <w:lang w:val="en-US"/>
        </w:rPr>
        <w:t xml:space="preserve">they will have confidence </w:t>
      </w:r>
      <w:r w:rsidR="002604D1">
        <w:rPr>
          <w:szCs w:val="24"/>
          <w:lang w:val="en-US"/>
        </w:rPr>
        <w:t>that products have been manufactured using processes to minimise the risk of contamination or infectious disease transmission.</w:t>
      </w:r>
      <w:r>
        <w:rPr>
          <w:szCs w:val="24"/>
          <w:lang w:val="en-US"/>
        </w:rPr>
        <w:t xml:space="preserve"> </w:t>
      </w:r>
    </w:p>
    <w:p w:rsidR="002604D1" w:rsidRPr="00BB4CF6" w:rsidRDefault="002604D1" w:rsidP="00EF41E8">
      <w:pPr>
        <w:pStyle w:val="Heading4"/>
      </w:pPr>
      <w:bookmarkStart w:id="28" w:name="_Toc341108682"/>
      <w:bookmarkStart w:id="29" w:name="_Toc341452836"/>
      <w:r w:rsidRPr="00BB4CF6">
        <w:t>Industry</w:t>
      </w:r>
      <w:bookmarkEnd w:id="28"/>
      <w:bookmarkEnd w:id="29"/>
    </w:p>
    <w:p w:rsidR="007217C7" w:rsidRDefault="002604D1" w:rsidP="002604D1">
      <w:r w:rsidRPr="009A4803">
        <w:t>Manufacturers of</w:t>
      </w:r>
      <w:r>
        <w:t xml:space="preserve"> therapeutic products</w:t>
      </w:r>
      <w:r w:rsidRPr="009A4803">
        <w:t xml:space="preserve"> may potentially include</w:t>
      </w:r>
      <w:r w:rsidR="007217C7">
        <w:t>:</w:t>
      </w:r>
    </w:p>
    <w:p w:rsidR="007217C7" w:rsidRDefault="002604D1" w:rsidP="007217C7">
      <w:pPr>
        <w:pStyle w:val="ListParagraph"/>
        <w:numPr>
          <w:ilvl w:val="0"/>
          <w:numId w:val="27"/>
        </w:numPr>
      </w:pPr>
      <w:r w:rsidRPr="009A4803">
        <w:t xml:space="preserve">commercial organisations specialising in the manufacture of </w:t>
      </w:r>
      <w:r>
        <w:t>human products</w:t>
      </w:r>
    </w:p>
    <w:p w:rsidR="007217C7" w:rsidRDefault="0024002B" w:rsidP="007217C7">
      <w:pPr>
        <w:pStyle w:val="ListParagraph"/>
        <w:numPr>
          <w:ilvl w:val="0"/>
          <w:numId w:val="27"/>
        </w:numPr>
      </w:pPr>
      <w:r>
        <w:t xml:space="preserve">medicine and </w:t>
      </w:r>
      <w:r w:rsidR="002604D1" w:rsidRPr="009A4803">
        <w:t xml:space="preserve">medical device manufacturers </w:t>
      </w:r>
      <w:r w:rsidR="00A42A5C">
        <w:t xml:space="preserve">who </w:t>
      </w:r>
      <w:r w:rsidR="001259BE">
        <w:t xml:space="preserve">produce </w:t>
      </w:r>
      <w:r w:rsidR="00A42A5C">
        <w:t xml:space="preserve">goods </w:t>
      </w:r>
      <w:r w:rsidR="002604D1">
        <w:t xml:space="preserve">that </w:t>
      </w:r>
      <w:r w:rsidR="00A42A5C">
        <w:t xml:space="preserve">can be </w:t>
      </w:r>
      <w:r w:rsidR="00D81773">
        <w:t xml:space="preserve">utilised </w:t>
      </w:r>
      <w:r w:rsidR="00A42A5C">
        <w:t>with</w:t>
      </w:r>
      <w:r w:rsidR="002604D1" w:rsidRPr="009A4803">
        <w:t xml:space="preserve"> </w:t>
      </w:r>
      <w:r w:rsidR="002604D1">
        <w:t>human products</w:t>
      </w:r>
      <w:r w:rsidR="008A52FC">
        <w:t xml:space="preserve">, such as </w:t>
      </w:r>
      <w:r w:rsidR="005A4BA8">
        <w:t xml:space="preserve">blood products, </w:t>
      </w:r>
      <w:r w:rsidR="00FD7603">
        <w:t xml:space="preserve">biomolecules, biomaterials, </w:t>
      </w:r>
      <w:r w:rsidR="00A42A5C">
        <w:t xml:space="preserve">cell </w:t>
      </w:r>
      <w:r w:rsidR="00FD7603">
        <w:t xml:space="preserve">scaffolds </w:t>
      </w:r>
      <w:r w:rsidR="00A42A5C">
        <w:t>and</w:t>
      </w:r>
      <w:r w:rsidR="00FD7603">
        <w:t xml:space="preserve"> matrices</w:t>
      </w:r>
    </w:p>
    <w:p w:rsidR="00FD7603" w:rsidRDefault="00FD7603" w:rsidP="007217C7">
      <w:pPr>
        <w:pStyle w:val="ListParagraph"/>
        <w:numPr>
          <w:ilvl w:val="0"/>
          <w:numId w:val="27"/>
        </w:numPr>
      </w:pPr>
      <w:r>
        <w:t>Laboratories performing mandatory screening and testing the therapeutic products</w:t>
      </w:r>
    </w:p>
    <w:p w:rsidR="007217C7" w:rsidRDefault="00D81773" w:rsidP="007217C7">
      <w:pPr>
        <w:pStyle w:val="ListParagraph"/>
        <w:numPr>
          <w:ilvl w:val="0"/>
          <w:numId w:val="27"/>
        </w:numPr>
      </w:pPr>
      <w:r>
        <w:t>C</w:t>
      </w:r>
      <w:r w:rsidR="0030061A">
        <w:t>ell</w:t>
      </w:r>
      <w:r w:rsidR="00065619">
        <w:t>ular</w:t>
      </w:r>
      <w:r w:rsidR="0030061A">
        <w:t xml:space="preserve"> therapy </w:t>
      </w:r>
      <w:r>
        <w:t>product manufacturers</w:t>
      </w:r>
      <w:r w:rsidR="005A4BA8">
        <w:t xml:space="preserve"> </w:t>
      </w:r>
      <w:r w:rsidR="0030061A">
        <w:t xml:space="preserve">and </w:t>
      </w:r>
      <w:r>
        <w:t xml:space="preserve">advanced </w:t>
      </w:r>
      <w:r w:rsidR="002604D1">
        <w:t xml:space="preserve">tissue </w:t>
      </w:r>
      <w:r>
        <w:t>manufacturers</w:t>
      </w:r>
      <w:r w:rsidR="002604D1" w:rsidRPr="009A4803">
        <w:t xml:space="preserve">.  </w:t>
      </w:r>
    </w:p>
    <w:p w:rsidR="002604D1" w:rsidRDefault="002604D1" w:rsidP="002604D1">
      <w:r w:rsidRPr="00446B81">
        <w:t xml:space="preserve">In the past, </w:t>
      </w:r>
      <w:r w:rsidR="00A40FB8">
        <w:t>HCTs</w:t>
      </w:r>
      <w:r>
        <w:t xml:space="preserve"> </w:t>
      </w:r>
      <w:r w:rsidRPr="00446B81">
        <w:t>ha</w:t>
      </w:r>
      <w:r>
        <w:t>ve primarily been manufactured</w:t>
      </w:r>
      <w:r w:rsidRPr="00446B81">
        <w:t xml:space="preserve"> by not-for-profit</w:t>
      </w:r>
      <w:r>
        <w:t xml:space="preserve"> organisations</w:t>
      </w:r>
      <w:r w:rsidR="007217C7">
        <w:t xml:space="preserve"> </w:t>
      </w:r>
      <w:r w:rsidR="004A455E">
        <w:t>that</w:t>
      </w:r>
      <w:r w:rsidRPr="00446B81">
        <w:t xml:space="preserve"> process and store </w:t>
      </w:r>
      <w:r>
        <w:t>products</w:t>
      </w:r>
      <w:r w:rsidRPr="00446B81">
        <w:t xml:space="preserve"> for future </w:t>
      </w:r>
      <w:r>
        <w:t>clinical use</w:t>
      </w:r>
      <w:r w:rsidR="007217C7">
        <w:t xml:space="preserve">, and by hospitals, </w:t>
      </w:r>
      <w:r w:rsidR="00A649FD" w:rsidRPr="00446B81">
        <w:t>which</w:t>
      </w:r>
      <w:r w:rsidRPr="00446B81">
        <w:t xml:space="preserve"> develop </w:t>
      </w:r>
      <w:r>
        <w:t>products “in-</w:t>
      </w:r>
      <w:r w:rsidRPr="00446B81">
        <w:t>house</w:t>
      </w:r>
      <w:r>
        <w:t>”</w:t>
      </w:r>
      <w:r w:rsidRPr="00446B81">
        <w:t xml:space="preserve"> for use in </w:t>
      </w:r>
      <w:r>
        <w:t xml:space="preserve">specific </w:t>
      </w:r>
      <w:r w:rsidR="007217C7">
        <w:t>patients</w:t>
      </w:r>
      <w:r w:rsidRPr="00446B81">
        <w:t xml:space="preserve">.  However, with recent advances in tissue </w:t>
      </w:r>
      <w:r>
        <w:t xml:space="preserve">and cell </w:t>
      </w:r>
      <w:r w:rsidR="007217C7">
        <w:t>technology</w:t>
      </w:r>
      <w:r w:rsidRPr="00446B81">
        <w:t xml:space="preserve"> there </w:t>
      </w:r>
      <w:r>
        <w:t>is</w:t>
      </w:r>
      <w:r w:rsidRPr="00446B81">
        <w:t xml:space="preserve"> increasing involvement of the </w:t>
      </w:r>
      <w:r>
        <w:t>commercial</w:t>
      </w:r>
      <w:r w:rsidRPr="00446B81">
        <w:t xml:space="preserve"> sector in the manufacture of </w:t>
      </w:r>
      <w:r>
        <w:t xml:space="preserve">tissue and cell therapy products, </w:t>
      </w:r>
      <w:r w:rsidRPr="00446B81">
        <w:t xml:space="preserve">and the creation of small start-up companies and clinics within larger hospitals.  </w:t>
      </w:r>
    </w:p>
    <w:p w:rsidR="00C831A1" w:rsidRDefault="00C831A1" w:rsidP="00C831A1">
      <w:r>
        <w:t xml:space="preserve">There are approximately 130 Australian manufacturers licensed to manufacture therapeutic products where the existing Code applies.  It is expected that most of these </w:t>
      </w:r>
      <w:r>
        <w:lastRenderedPageBreak/>
        <w:t>manufacturers will be impacted by any revision to the existing Code, however the impact of the changes vary greatly between manufacturers, depending on:</w:t>
      </w:r>
    </w:p>
    <w:p w:rsidR="00C831A1" w:rsidRDefault="00C831A1" w:rsidP="00C831A1">
      <w:pPr>
        <w:pStyle w:val="ListParagraph"/>
        <w:numPr>
          <w:ilvl w:val="0"/>
          <w:numId w:val="27"/>
        </w:numPr>
      </w:pPr>
      <w:r w:rsidRPr="000A108F">
        <w:t xml:space="preserve"> </w:t>
      </w:r>
      <w:r>
        <w:t>which products are manufactured and degree of processing undertaken</w:t>
      </w:r>
    </w:p>
    <w:p w:rsidR="00C831A1" w:rsidRDefault="00C831A1" w:rsidP="00C831A1">
      <w:pPr>
        <w:pStyle w:val="ListParagraph"/>
        <w:numPr>
          <w:ilvl w:val="0"/>
          <w:numId w:val="27"/>
        </w:numPr>
      </w:pPr>
      <w:r>
        <w:t xml:space="preserve">the range of products manufactured </w:t>
      </w:r>
    </w:p>
    <w:p w:rsidR="00C831A1" w:rsidRDefault="00C831A1" w:rsidP="00C831A1">
      <w:pPr>
        <w:pStyle w:val="ListParagraph"/>
        <w:numPr>
          <w:ilvl w:val="0"/>
          <w:numId w:val="27"/>
        </w:numPr>
      </w:pPr>
      <w:r>
        <w:t>level of compliance achieved with existing GMP (minimum or higher)</w:t>
      </w:r>
    </w:p>
    <w:p w:rsidR="00C831A1" w:rsidRDefault="00C831A1" w:rsidP="00C831A1">
      <w:pPr>
        <w:pStyle w:val="ListParagraph"/>
        <w:numPr>
          <w:ilvl w:val="0"/>
          <w:numId w:val="27"/>
        </w:numPr>
      </w:pPr>
      <w:proofErr w:type="gramStart"/>
      <w:r>
        <w:t>whether</w:t>
      </w:r>
      <w:proofErr w:type="gramEnd"/>
      <w:r>
        <w:t xml:space="preserve"> other existing industry standards are in place with similar or more stringent requirements such as accreditation standards which some parts of the sector voluntarily comply with.</w:t>
      </w:r>
    </w:p>
    <w:p w:rsidR="00C831A1" w:rsidRDefault="00C831A1" w:rsidP="00C831A1">
      <w:r>
        <w:t>For these reasons it is difficult to quantify the impact of the revised Code on any given group of stakeholders, however where possible an estimate of the number of affected facilities has been provided. The impact will be greatest for new manufacturers and advanced HCTs.</w:t>
      </w:r>
    </w:p>
    <w:p w:rsidR="002604D1" w:rsidRDefault="002604D1" w:rsidP="002604D1">
      <w:r>
        <w:t>Scientific and clinical research institutions involved in research and development may also be</w:t>
      </w:r>
      <w:r w:rsidR="007217C7">
        <w:t xml:space="preserve"> affected by changes to the Code</w:t>
      </w:r>
      <w:r>
        <w:t xml:space="preserve">. </w:t>
      </w:r>
      <w:r w:rsidR="001F10A0">
        <w:t>Although these institutions are not regulated,</w:t>
      </w:r>
      <w:r>
        <w:t xml:space="preserve"> </w:t>
      </w:r>
      <w:r w:rsidR="001F10A0">
        <w:t>e</w:t>
      </w:r>
      <w:r>
        <w:t>arly manufacturing process development</w:t>
      </w:r>
      <w:r w:rsidR="005E4A28">
        <w:t xml:space="preserve"> in accordance with good manufacturing principles</w:t>
      </w:r>
      <w:r>
        <w:t xml:space="preserve"> is strongly encouraged from the point of product concept for human-derived products. Incorporating regulatory requirements into process development increases the likelihood of a successful marketing application and that a product will be consistently manufactured to the quality and safety specifications. </w:t>
      </w:r>
    </w:p>
    <w:p w:rsidR="00CA6518" w:rsidRDefault="00770BD8" w:rsidP="00EF41E8">
      <w:pPr>
        <w:pStyle w:val="Heading4"/>
        <w:rPr>
          <w:b w:val="0"/>
        </w:rPr>
      </w:pPr>
      <w:bookmarkStart w:id="30" w:name="_Toc341108683"/>
      <w:bookmarkStart w:id="31" w:name="_Toc341452837"/>
      <w:bookmarkStart w:id="32" w:name="_Toc305105018"/>
      <w:r>
        <w:rPr>
          <w:b w:val="0"/>
        </w:rPr>
        <w:t>There are approximately 10 international</w:t>
      </w:r>
      <w:r w:rsidRPr="00FC1C07">
        <w:rPr>
          <w:b w:val="0"/>
        </w:rPr>
        <w:t xml:space="preserve"> manufacture</w:t>
      </w:r>
      <w:r>
        <w:rPr>
          <w:b w:val="0"/>
        </w:rPr>
        <w:t>rs</w:t>
      </w:r>
      <w:r w:rsidRPr="00FC1C07">
        <w:rPr>
          <w:b w:val="0"/>
        </w:rPr>
        <w:t xml:space="preserve"> of </w:t>
      </w:r>
      <w:r>
        <w:rPr>
          <w:b w:val="0"/>
        </w:rPr>
        <w:t>HCTs that</w:t>
      </w:r>
      <w:r w:rsidRPr="00B46FCA">
        <w:rPr>
          <w:b w:val="0"/>
        </w:rPr>
        <w:t xml:space="preserve"> </w:t>
      </w:r>
      <w:r w:rsidRPr="00FC1C07">
        <w:rPr>
          <w:b w:val="0"/>
        </w:rPr>
        <w:t>must meet the requirements of the Code</w:t>
      </w:r>
      <w:r>
        <w:rPr>
          <w:b w:val="0"/>
        </w:rPr>
        <w:t xml:space="preserve"> and any applicable standards</w:t>
      </w:r>
      <w:r w:rsidRPr="00FC1C07">
        <w:rPr>
          <w:b w:val="0"/>
        </w:rPr>
        <w:t xml:space="preserve"> to supply goods to Australia</w:t>
      </w:r>
      <w:r>
        <w:rPr>
          <w:b w:val="0"/>
        </w:rPr>
        <w:t>.  Additionally there are estimated to be 10 international laboratories that are required to meet the current Code.  Most of these manufacturers are located in North America, and the GMP requirements of leading international regulators, including the FDA, are comparable with the requirements of the revised Code. As such, the changes in the revised Code are expected to have little or no impact on the manufacturing operations or supply for international manufacturers.</w:t>
      </w:r>
      <w:bookmarkEnd w:id="30"/>
      <w:bookmarkEnd w:id="31"/>
    </w:p>
    <w:p w:rsidR="002604D1" w:rsidRPr="0051683D" w:rsidRDefault="00FC1C07" w:rsidP="00EF41E8">
      <w:pPr>
        <w:pStyle w:val="Heading4"/>
      </w:pPr>
      <w:r w:rsidRPr="00FC1C07">
        <w:rPr>
          <w:b w:val="0"/>
        </w:rPr>
        <w:t xml:space="preserve"> </w:t>
      </w:r>
      <w:bookmarkStart w:id="33" w:name="_Toc341108684"/>
      <w:bookmarkStart w:id="34" w:name="_Toc341452838"/>
      <w:r w:rsidR="00EF41E8" w:rsidRPr="0051683D">
        <w:t>Governments</w:t>
      </w:r>
      <w:bookmarkEnd w:id="32"/>
      <w:bookmarkEnd w:id="33"/>
      <w:bookmarkEnd w:id="34"/>
      <w:r w:rsidR="002604D1">
        <w:tab/>
      </w:r>
    </w:p>
    <w:p w:rsidR="00B0075B" w:rsidRDefault="002604D1" w:rsidP="00EF41E8">
      <w:r>
        <w:t>With the introduction of any changes to the regulation of therapeutic products, including the introduction of product specific standards,</w:t>
      </w:r>
      <w:r w:rsidR="00B0075B">
        <w:t xml:space="preserve"> there may be increased demand for funding to ensure publicly funded organisations can meet compliance requirements. Government agencies may be further affected by altered requirements resulting in changes to inspection measures and assessments.</w:t>
      </w:r>
    </w:p>
    <w:p w:rsidR="00B82D17" w:rsidRDefault="00B82D17">
      <w:pPr>
        <w:spacing w:before="0" w:after="0" w:line="240" w:lineRule="auto"/>
        <w:rPr>
          <w:rFonts w:ascii="Arial" w:eastAsia="Times New Roman" w:hAnsi="Arial"/>
          <w:b/>
          <w:bCs/>
          <w:sz w:val="32"/>
          <w:szCs w:val="26"/>
        </w:rPr>
      </w:pPr>
      <w:r>
        <w:br w:type="page"/>
      </w:r>
    </w:p>
    <w:p w:rsidR="00EF41E8" w:rsidRDefault="00EF41E8" w:rsidP="00425CF0">
      <w:pPr>
        <w:pStyle w:val="Heading3"/>
      </w:pPr>
      <w:bookmarkStart w:id="35" w:name="_Toc341452839"/>
      <w:r w:rsidRPr="00987D4E">
        <w:lastRenderedPageBreak/>
        <w:t>Costs</w:t>
      </w:r>
      <w:bookmarkEnd w:id="35"/>
    </w:p>
    <w:p w:rsidR="00511CBB" w:rsidRDefault="00511CBB" w:rsidP="00511CBB">
      <w:pPr>
        <w:pStyle w:val="Heading4"/>
      </w:pPr>
      <w:bookmarkStart w:id="36" w:name="_Toc341108686"/>
      <w:bookmarkStart w:id="37" w:name="_Toc341452840"/>
      <w:r w:rsidRPr="0022716D">
        <w:t>Industry</w:t>
      </w:r>
      <w:bookmarkEnd w:id="36"/>
      <w:bookmarkEnd w:id="37"/>
    </w:p>
    <w:p w:rsidR="001D62A5" w:rsidRDefault="00135154" w:rsidP="001D62A5">
      <w:r>
        <w:t>U</w:t>
      </w:r>
      <w:r w:rsidR="00E97ED2">
        <w:t xml:space="preserve">nder the </w:t>
      </w:r>
      <w:r>
        <w:t xml:space="preserve">existing </w:t>
      </w:r>
      <w:r w:rsidR="00E97ED2">
        <w:t>TGA regul</w:t>
      </w:r>
      <w:r>
        <w:t xml:space="preserve">atory arrangements, </w:t>
      </w:r>
      <w:r w:rsidR="00F04559">
        <w:t xml:space="preserve">all affected </w:t>
      </w:r>
      <w:r w:rsidR="00D20C4E">
        <w:t xml:space="preserve">HCT </w:t>
      </w:r>
      <w:r w:rsidR="00511CBB">
        <w:t>manufactur</w:t>
      </w:r>
      <w:r w:rsidR="00F04559">
        <w:t>ers</w:t>
      </w:r>
      <w:r w:rsidR="00511CBB">
        <w:t xml:space="preserve"> </w:t>
      </w:r>
      <w:r w:rsidR="00F04559">
        <w:t>meet</w:t>
      </w:r>
      <w:r>
        <w:t xml:space="preserve"> </w:t>
      </w:r>
      <w:r w:rsidR="00511CBB">
        <w:t>costs associated with maint</w:t>
      </w:r>
      <w:r w:rsidR="00F04559">
        <w:t xml:space="preserve">aining a GMP licence. </w:t>
      </w:r>
      <w:r>
        <w:t xml:space="preserve"> These </w:t>
      </w:r>
      <w:r w:rsidR="00F04559">
        <w:t xml:space="preserve">existing </w:t>
      </w:r>
      <w:r w:rsidR="00EF2F9A">
        <w:t xml:space="preserve">TGA </w:t>
      </w:r>
      <w:r>
        <w:t xml:space="preserve">regulatory </w:t>
      </w:r>
      <w:r w:rsidR="00F04559">
        <w:t xml:space="preserve">fees </w:t>
      </w:r>
      <w:r w:rsidR="00EE3D10">
        <w:t xml:space="preserve">applicable to the HCT sector </w:t>
      </w:r>
      <w:r w:rsidR="00BC2160">
        <w:t xml:space="preserve">are outlined in </w:t>
      </w:r>
      <w:r w:rsidR="00EE3D10" w:rsidRPr="003E509A">
        <w:rPr>
          <w:b/>
        </w:rPr>
        <w:t>Appendix C</w:t>
      </w:r>
      <w:r w:rsidR="00EE3D10">
        <w:t xml:space="preserve">. </w:t>
      </w:r>
      <w:r w:rsidR="001D62A5">
        <w:t>No new fees or inspections would be introduced with the revision of the Code</w:t>
      </w:r>
      <w:r w:rsidR="00CE5619">
        <w:t xml:space="preserve"> and ID TGO</w:t>
      </w:r>
      <w:r w:rsidR="001D62A5">
        <w:t>.</w:t>
      </w:r>
    </w:p>
    <w:p w:rsidR="00CE5619" w:rsidRDefault="00CE5619" w:rsidP="00511CBB">
      <w:r>
        <w:t>There are a number of changes proposed in the revised Code which primarily involve changes to documentation. The main changes include:</w:t>
      </w:r>
    </w:p>
    <w:p w:rsidR="00CE5619" w:rsidRDefault="00CE5619" w:rsidP="00CE5619">
      <w:pPr>
        <w:pStyle w:val="ListParagraph"/>
        <w:numPr>
          <w:ilvl w:val="0"/>
          <w:numId w:val="49"/>
        </w:numPr>
      </w:pPr>
      <w:r>
        <w:t>more clearly defining the requirement for review of process records by detailing the scope and content of reviews;</w:t>
      </w:r>
    </w:p>
    <w:p w:rsidR="00CE5619" w:rsidRDefault="00CE5619" w:rsidP="00CE5619">
      <w:pPr>
        <w:pStyle w:val="ListParagraph"/>
        <w:numPr>
          <w:ilvl w:val="0"/>
          <w:numId w:val="49"/>
        </w:numPr>
      </w:pPr>
      <w:r>
        <w:t>specific training requirements for personnel working where contamination is a hazard;</w:t>
      </w:r>
    </w:p>
    <w:p w:rsidR="003B0AAD" w:rsidRDefault="00CE5619" w:rsidP="00CE5619">
      <w:pPr>
        <w:pStyle w:val="ListParagraph"/>
        <w:numPr>
          <w:ilvl w:val="0"/>
          <w:numId w:val="49"/>
        </w:numPr>
      </w:pPr>
      <w:r>
        <w:t>more clearly defining the requirement that sterile biological products should meet Annex 1 of the PIC/S PE 009-9</w:t>
      </w:r>
      <w:r w:rsidR="003B0AAD">
        <w:t xml:space="preserve"> document in the code; and</w:t>
      </w:r>
    </w:p>
    <w:p w:rsidR="003B0AAD" w:rsidRDefault="003B0AAD" w:rsidP="00CE5619">
      <w:pPr>
        <w:pStyle w:val="ListParagraph"/>
        <w:numPr>
          <w:ilvl w:val="0"/>
          <w:numId w:val="49"/>
        </w:numPr>
      </w:pPr>
      <w:proofErr w:type="gramStart"/>
      <w:r>
        <w:t>providing</w:t>
      </w:r>
      <w:proofErr w:type="gramEnd"/>
      <w:r>
        <w:t xml:space="preserve"> additional clarity on the requirements/factors that need to be considered for the monitoring of environmentally controlled processing areas.</w:t>
      </w:r>
    </w:p>
    <w:p w:rsidR="003B0AAD" w:rsidRDefault="003B0AAD" w:rsidP="003B0AAD">
      <w:r>
        <w:t>The impact on business compliance costs of these changes is expected to be low. This is because the revised Code is principles-based, describing benchmark practices that should be followed, but permitting alternative approaches provided it can be demonstrated that the intent of the Code is met in a timely and effective manner.</w:t>
      </w:r>
    </w:p>
    <w:p w:rsidR="00B937F6" w:rsidRDefault="00B937F6" w:rsidP="003B0AAD">
      <w:r>
        <w:t>For example, the most significant potential impact of the revised clause in relation to regular product review is the requirement for process trend analysis which may require implementation of a software package.</w:t>
      </w:r>
      <w:r w:rsidR="0074721C">
        <w:t xml:space="preserve"> However, this work can be (and is being) done through the use of Excel spreadsheets; therefore, the decision to buy specialist software for this purpose would be a business decision; made on the basis of a benefit/cost analysis that showed returns on the investment.</w:t>
      </w:r>
    </w:p>
    <w:p w:rsidR="004479B7" w:rsidRDefault="004479B7" w:rsidP="003B0AAD">
      <w:r>
        <w:t xml:space="preserve">To assess the possible impact on a large manufacturer, the Australian Red Cross Blood Service (ARCBS)’s current systems were reviewed by the Office of Manufacturing Quality. In addition, a gap analysis was provided by the ARCBS. The </w:t>
      </w:r>
      <w:r w:rsidR="008E2A1A">
        <w:t>ARCBS has</w:t>
      </w:r>
      <w:r>
        <w:t xml:space="preserve"> </w:t>
      </w:r>
      <w:r w:rsidR="008E2A1A">
        <w:t xml:space="preserve">already </w:t>
      </w:r>
      <w:r>
        <w:t xml:space="preserve">implemented statistical process control software for the monitoring of blood and blood components as required under the blood product specific standard. The </w:t>
      </w:r>
      <w:r w:rsidR="008E2A1A">
        <w:t>R</w:t>
      </w:r>
      <w:r>
        <w:t>eview indicated that the existing controls in place at ARCBS would meet the requirements of the revised clause of the Code.</w:t>
      </w:r>
    </w:p>
    <w:p w:rsidR="008E2A1A" w:rsidRDefault="008E2A1A" w:rsidP="003B0AAD">
      <w:r>
        <w:t>Similarly, manufacturers of cord blood have procedures and processes in place for regular product review as required under the cord blood product specific standard.</w:t>
      </w:r>
    </w:p>
    <w:p w:rsidR="00544D8F" w:rsidRDefault="00C60514" w:rsidP="00544D8F">
      <w:r>
        <w:t xml:space="preserve">For smaller manufacturers where the number of products released is significantly less, the annual review process would not require the use of sophisticated software packages. </w:t>
      </w:r>
      <w:r w:rsidR="00B81387">
        <w:t>These manufacturers c</w:t>
      </w:r>
      <w:r w:rsidR="008E2A1A">
        <w:t>ould</w:t>
      </w:r>
      <w:r w:rsidR="00B81387">
        <w:t xml:space="preserve"> use </w:t>
      </w:r>
      <w:r w:rsidR="00544D8F">
        <w:t xml:space="preserve">generic software packages such as Microsoft Excel </w:t>
      </w:r>
      <w:r>
        <w:t>w</w:t>
      </w:r>
      <w:r w:rsidR="00B81387">
        <w:t>hich they most likely have available</w:t>
      </w:r>
      <w:r w:rsidR="00544D8F">
        <w:t xml:space="preserve"> to undertake the necessary process trend analysis.</w:t>
      </w:r>
    </w:p>
    <w:p w:rsidR="003F7341" w:rsidRDefault="000958C9" w:rsidP="003F7341">
      <w:r>
        <w:t xml:space="preserve">During the </w:t>
      </w:r>
      <w:r w:rsidR="00FD77BF">
        <w:t xml:space="preserve">public </w:t>
      </w:r>
      <w:r>
        <w:t>consultation for the revised Code and ID TGO</w:t>
      </w:r>
      <w:r w:rsidR="00FD77BF">
        <w:t xml:space="preserve"> in 2010</w:t>
      </w:r>
      <w:r>
        <w:t>, stakeholders</w:t>
      </w:r>
      <w:r w:rsidR="00FD77BF">
        <w:t xml:space="preserve"> were asked to provide comment on potential compliance costs associated with the revised Code and ID TGO. </w:t>
      </w:r>
      <w:r w:rsidR="004D7C98">
        <w:t xml:space="preserve">The consultation feedback did not </w:t>
      </w:r>
      <w:r w:rsidR="007173F4">
        <w:t>indicate</w:t>
      </w:r>
      <w:r>
        <w:t xml:space="preserve"> that </w:t>
      </w:r>
      <w:r w:rsidR="003F7341">
        <w:t>the proposed changes to the Code were likely to increase compliance costs</w:t>
      </w:r>
      <w:r w:rsidR="00F652D5">
        <w:t xml:space="preserve"> for</w:t>
      </w:r>
      <w:r w:rsidR="004D7C98">
        <w:t xml:space="preserve"> the regulated industry</w:t>
      </w:r>
      <w:r w:rsidR="003F7341">
        <w:t>.</w:t>
      </w:r>
    </w:p>
    <w:p w:rsidR="007A330B" w:rsidRDefault="00F643B7" w:rsidP="00F643B7">
      <w:r>
        <w:lastRenderedPageBreak/>
        <w:t xml:space="preserve">Proposed changes to the </w:t>
      </w:r>
      <w:r w:rsidR="0000378C">
        <w:t xml:space="preserve">ID TGO </w:t>
      </w:r>
      <w:r>
        <w:t xml:space="preserve">are </w:t>
      </w:r>
      <w:r w:rsidR="003F7341">
        <w:t xml:space="preserve">expected to </w:t>
      </w:r>
      <w:r w:rsidR="008E2A1A">
        <w:t>have minor impacts on direct compliance costs</w:t>
      </w:r>
      <w:r w:rsidR="00184D18">
        <w:t>.</w:t>
      </w:r>
      <w:r w:rsidR="00DA6E84">
        <w:t xml:space="preserve"> </w:t>
      </w:r>
      <w:r>
        <w:t>M</w:t>
      </w:r>
      <w:r w:rsidR="000D2B01">
        <w:t xml:space="preserve">ost </w:t>
      </w:r>
      <w:r w:rsidR="005A5A3A">
        <w:t xml:space="preserve">ID </w:t>
      </w:r>
      <w:r w:rsidR="00511CBB">
        <w:t xml:space="preserve">requirements are already in existence </w:t>
      </w:r>
      <w:r w:rsidR="001A5541">
        <w:t>as principles based requirement</w:t>
      </w:r>
      <w:r w:rsidR="007F1B8E">
        <w:t>s</w:t>
      </w:r>
      <w:r w:rsidR="001A5541">
        <w:t xml:space="preserve"> in the Code, and </w:t>
      </w:r>
      <w:r w:rsidR="008D62F9">
        <w:t xml:space="preserve">more </w:t>
      </w:r>
      <w:r w:rsidR="001A5541">
        <w:t xml:space="preserve">explicitly </w:t>
      </w:r>
      <w:r w:rsidR="007F1B8E">
        <w:t xml:space="preserve">in industry-accepted </w:t>
      </w:r>
      <w:r w:rsidR="001A5541">
        <w:t xml:space="preserve">standards for </w:t>
      </w:r>
      <w:r w:rsidR="007F1B8E">
        <w:t>many</w:t>
      </w:r>
      <w:r w:rsidR="001A5541">
        <w:t xml:space="preserve"> HCT products</w:t>
      </w:r>
      <w:r w:rsidR="007F1B8E">
        <w:t xml:space="preserve"> including blood</w:t>
      </w:r>
      <w:r w:rsidR="004E7B49">
        <w:t xml:space="preserve">, </w:t>
      </w:r>
      <w:r w:rsidR="00DA6E84">
        <w:t>HPC, and some tissues</w:t>
      </w:r>
      <w:r w:rsidR="007F1B8E">
        <w:t>.</w:t>
      </w:r>
      <w:r w:rsidR="001A5541">
        <w:t xml:space="preserve"> </w:t>
      </w:r>
      <w:r w:rsidR="000D2B01">
        <w:t>In some cases, particularly in the private sector larger manufacturers of blood and blood products, manufacturers already exceed many of the requirements of the proposed ID TGO.</w:t>
      </w:r>
    </w:p>
    <w:p w:rsidR="006101A7" w:rsidRDefault="00F643B7" w:rsidP="00511CBB">
      <w:r>
        <w:t xml:space="preserve">The proposed ID TGO may impose </w:t>
      </w:r>
      <w:r w:rsidR="007A330B">
        <w:t>indirect cost</w:t>
      </w:r>
      <w:r>
        <w:t>s</w:t>
      </w:r>
      <w:r w:rsidR="007A330B">
        <w:t xml:space="preserve"> </w:t>
      </w:r>
      <w:r>
        <w:t>on industry by affecting</w:t>
      </w:r>
      <w:r w:rsidR="00CE0913">
        <w:t xml:space="preserve"> the current supply of HCTs. Donor screening criteria </w:t>
      </w:r>
      <w:r w:rsidR="00DA1837">
        <w:t xml:space="preserve">are a </w:t>
      </w:r>
      <w:r w:rsidR="00CE0913">
        <w:t xml:space="preserve">fundamental risk management </w:t>
      </w:r>
      <w:r w:rsidR="00DA1837">
        <w:t>tool for minimising</w:t>
      </w:r>
      <w:r w:rsidR="00CE0913">
        <w:t xml:space="preserve"> infectious disease transmission in HCTs, however</w:t>
      </w:r>
      <w:r w:rsidR="00F35604">
        <w:t>,</w:t>
      </w:r>
      <w:r w:rsidR="00CE0913">
        <w:t xml:space="preserve"> the degree to which certain criteria are applied between manufacturers and products is inconsistent. </w:t>
      </w:r>
      <w:r w:rsidR="006101A7">
        <w:t>Consultation identified that t</w:t>
      </w:r>
      <w:r w:rsidR="005A5A3A">
        <w:t xml:space="preserve">he revised </w:t>
      </w:r>
      <w:r w:rsidR="006101A7">
        <w:t xml:space="preserve">ID </w:t>
      </w:r>
      <w:r w:rsidR="005A5A3A">
        <w:t xml:space="preserve">requirements </w:t>
      </w:r>
      <w:r w:rsidR="006101A7">
        <w:t xml:space="preserve">primarily impact </w:t>
      </w:r>
      <w:r w:rsidR="005A5A3A">
        <w:t>the tissue sector (n=</w:t>
      </w:r>
      <w:r w:rsidR="006101A7">
        <w:t>19</w:t>
      </w:r>
      <w:r w:rsidR="005A5A3A">
        <w:t>)</w:t>
      </w:r>
      <w:r w:rsidR="000B7A9B">
        <w:t>.</w:t>
      </w:r>
    </w:p>
    <w:p w:rsidR="006101A7" w:rsidRDefault="005A5A3A" w:rsidP="00511CBB">
      <w:r>
        <w:t xml:space="preserve">The extent to which </w:t>
      </w:r>
      <w:r w:rsidR="006101A7">
        <w:t xml:space="preserve">the ID TGO </w:t>
      </w:r>
      <w:r>
        <w:t xml:space="preserve">may affect supply </w:t>
      </w:r>
      <w:r w:rsidR="00184D18">
        <w:t xml:space="preserve">cannot </w:t>
      </w:r>
      <w:r>
        <w:t>be quantified</w:t>
      </w:r>
      <w:r w:rsidR="006101A7">
        <w:t xml:space="preserve"> </w:t>
      </w:r>
      <w:r w:rsidR="00F35604">
        <w:t>- most</w:t>
      </w:r>
      <w:r w:rsidR="006101A7">
        <w:t xml:space="preserve"> requirements are already met.  However two concerns raised in the consultation include: </w:t>
      </w:r>
    </w:p>
    <w:p w:rsidR="006101A7" w:rsidRPr="00EB6412" w:rsidRDefault="006101A7" w:rsidP="006101A7">
      <w:pPr>
        <w:pStyle w:val="ListParagraph"/>
        <w:numPr>
          <w:ilvl w:val="0"/>
          <w:numId w:val="46"/>
        </w:numPr>
      </w:pPr>
      <w:proofErr w:type="gramStart"/>
      <w:r w:rsidRPr="00EB6412">
        <w:t>deferral</w:t>
      </w:r>
      <w:proofErr w:type="gramEnd"/>
      <w:r w:rsidRPr="00EB6412">
        <w:t xml:space="preserve"> of donors at risk of having malaria: this was raised as a likely impact on donor numbers in Western Australia (n=4 facilities) due to travel demographic. </w:t>
      </w:r>
      <w:r w:rsidR="00646897" w:rsidRPr="00EB6412">
        <w:t>These f</w:t>
      </w:r>
      <w:r w:rsidRPr="00EB6412">
        <w:t xml:space="preserve">acilities </w:t>
      </w:r>
      <w:r w:rsidR="00646897" w:rsidRPr="00EB6412">
        <w:t>have been asked to quantify the potential impact of this requirement however to date this information has not been provided</w:t>
      </w:r>
      <w:r w:rsidR="001912F1" w:rsidRPr="00EB6412">
        <w:t>, although a risk assessment from these facilities may result in exemption from this requirement for the irradiated bone products</w:t>
      </w:r>
      <w:r w:rsidRPr="00EB6412">
        <w:t>;</w:t>
      </w:r>
    </w:p>
    <w:p w:rsidR="006101A7" w:rsidRDefault="006101A7" w:rsidP="006101A7">
      <w:pPr>
        <w:pStyle w:val="ListParagraph"/>
        <w:numPr>
          <w:ilvl w:val="0"/>
          <w:numId w:val="46"/>
        </w:numPr>
      </w:pPr>
      <w:proofErr w:type="gramStart"/>
      <w:r>
        <w:t>deferral</w:t>
      </w:r>
      <w:proofErr w:type="gramEnd"/>
      <w:r>
        <w:t xml:space="preserve"> of donors at risk of prion disease (mad cow/ bovine spongiform encephalopathy): raised by the ocular tissue sector </w:t>
      </w:r>
      <w:r w:rsidR="002F34D1">
        <w:t xml:space="preserve">(n=4 facilities) </w:t>
      </w:r>
      <w:r>
        <w:t>and estimated to potentially decrease supply by up to 20%.</w:t>
      </w:r>
    </w:p>
    <w:p w:rsidR="005E475F" w:rsidRDefault="006101A7" w:rsidP="008C4021">
      <w:r>
        <w:t xml:space="preserve">In both cases, </w:t>
      </w:r>
      <w:r w:rsidR="002F34D1">
        <w:t xml:space="preserve">the </w:t>
      </w:r>
      <w:r>
        <w:t xml:space="preserve">affected stakeholders have acknowledged that the proposed requirements align </w:t>
      </w:r>
      <w:r w:rsidR="008C4021">
        <w:t xml:space="preserve">with international practice and accept the implementation of these deferrals </w:t>
      </w:r>
      <w:r w:rsidR="001E774B">
        <w:t xml:space="preserve">is </w:t>
      </w:r>
      <w:r w:rsidR="008C4021">
        <w:t>appropriate</w:t>
      </w:r>
      <w:r w:rsidR="005E475F">
        <w:t xml:space="preserve"> based on </w:t>
      </w:r>
      <w:r w:rsidR="008D7440">
        <w:t>the currently available</w:t>
      </w:r>
      <w:r w:rsidR="005E475F">
        <w:t xml:space="preserve"> scientific information</w:t>
      </w:r>
      <w:r w:rsidR="00893F3E">
        <w:t xml:space="preserve"> </w:t>
      </w:r>
      <w:r w:rsidR="008D7440">
        <w:t xml:space="preserve">regarding </w:t>
      </w:r>
      <w:r w:rsidR="00893F3E">
        <w:t xml:space="preserve">infectious disease </w:t>
      </w:r>
      <w:r w:rsidR="008D7440">
        <w:t xml:space="preserve">transmission </w:t>
      </w:r>
      <w:r w:rsidR="00893F3E">
        <w:t>in tissues</w:t>
      </w:r>
      <w:r w:rsidR="008C4021">
        <w:t>.</w:t>
      </w:r>
      <w:r w:rsidR="005E475F">
        <w:t xml:space="preserve">  </w:t>
      </w:r>
    </w:p>
    <w:p w:rsidR="008C4021" w:rsidRDefault="005E475F" w:rsidP="008C4021">
      <w:r>
        <w:t xml:space="preserve">The TGA is committed to ensuring that the level of regulation remains appropriate, and ID requirements will be </w:t>
      </w:r>
      <w:r w:rsidR="00D953F7">
        <w:t xml:space="preserve">reviewed </w:t>
      </w:r>
      <w:r w:rsidR="00242538">
        <w:t xml:space="preserve">on an ongoing basis </w:t>
      </w:r>
      <w:r>
        <w:t xml:space="preserve">as further information becomes available on the transmission of disease through </w:t>
      </w:r>
      <w:r w:rsidR="00242538">
        <w:t>HCT</w:t>
      </w:r>
      <w:r w:rsidR="002D68E3">
        <w:t>s</w:t>
      </w:r>
      <w:r>
        <w:t>.</w:t>
      </w:r>
    </w:p>
    <w:p w:rsidR="00EF41E8" w:rsidRDefault="00407C10" w:rsidP="00EF41E8">
      <w:pPr>
        <w:pStyle w:val="Heading4"/>
      </w:pPr>
      <w:bookmarkStart w:id="38" w:name="_Toc341108687"/>
      <w:bookmarkStart w:id="39" w:name="_Toc341452841"/>
      <w:r>
        <w:t xml:space="preserve">Consumers and </w:t>
      </w:r>
      <w:r w:rsidR="00EF41E8" w:rsidRPr="0022716D">
        <w:t xml:space="preserve">Health </w:t>
      </w:r>
      <w:r w:rsidR="00EF41E8">
        <w:t xml:space="preserve">Care </w:t>
      </w:r>
      <w:r w:rsidR="00EF41E8" w:rsidRPr="0022716D">
        <w:t>Professionals</w:t>
      </w:r>
      <w:bookmarkEnd w:id="38"/>
      <w:bookmarkEnd w:id="39"/>
    </w:p>
    <w:p w:rsidR="00407C10" w:rsidRDefault="00407C10" w:rsidP="00EF41E8">
      <w:pPr>
        <w:rPr>
          <w:bCs/>
        </w:rPr>
      </w:pPr>
      <w:r>
        <w:rPr>
          <w:bCs/>
        </w:rPr>
        <w:t>It is difficult for the TGA to predict whether the changes to the Code will incur extra costs to consumers and health care professionals. There is no quantitative information available about costs to these stakeholders for HCTs. In reviewing the Code, the TGA has endeavoured to keep costs to a minimum by working with industry to ensure the revised requirements are practical and cost-effective.</w:t>
      </w:r>
    </w:p>
    <w:p w:rsidR="001E08EF" w:rsidRDefault="00407C10" w:rsidP="001E08EF">
      <w:pPr>
        <w:rPr>
          <w:bCs/>
        </w:rPr>
      </w:pPr>
      <w:r>
        <w:rPr>
          <w:bCs/>
        </w:rPr>
        <w:t xml:space="preserve">It is conceivable that there may be some flow-on costs from manufacturers resulting from implementation of improvements to product safety and quality, although it is difficult to predict what these costs might be for consumers and health care professionals. </w:t>
      </w:r>
    </w:p>
    <w:p w:rsidR="00EF41E8" w:rsidRDefault="00EF41E8" w:rsidP="00EF41E8">
      <w:pPr>
        <w:pStyle w:val="Heading4"/>
      </w:pPr>
      <w:bookmarkStart w:id="40" w:name="_Toc341108688"/>
      <w:bookmarkStart w:id="41" w:name="_Toc341452842"/>
      <w:r w:rsidRPr="0022716D">
        <w:t>Government</w:t>
      </w:r>
      <w:bookmarkEnd w:id="40"/>
      <w:bookmarkEnd w:id="41"/>
    </w:p>
    <w:p w:rsidR="00EF41E8" w:rsidRDefault="00017377" w:rsidP="00EF41E8">
      <w:r>
        <w:t>As a majority of Australian HCT manufacturers are not-for-profit or publicly funded facilities</w:t>
      </w:r>
      <w:r w:rsidR="00CF197E">
        <w:t xml:space="preserve"> (approximately 110)</w:t>
      </w:r>
      <w:r>
        <w:t>,</w:t>
      </w:r>
      <w:r w:rsidR="004B3293">
        <w:t xml:space="preserve"> </w:t>
      </w:r>
      <w:r w:rsidR="00F94A72">
        <w:t xml:space="preserve">costs to industry arising from changes to the Code may </w:t>
      </w:r>
      <w:r w:rsidR="00EF41E8" w:rsidRPr="00930062">
        <w:t xml:space="preserve">flow </w:t>
      </w:r>
      <w:r w:rsidR="00EF41E8">
        <w:t xml:space="preserve">to Commonwealth, State and Territory Governments, </w:t>
      </w:r>
      <w:r w:rsidR="00EF41E8" w:rsidRPr="00930062">
        <w:t>through</w:t>
      </w:r>
      <w:r w:rsidR="00EF41E8">
        <w:t>:</w:t>
      </w:r>
      <w:r w:rsidR="00EF41E8" w:rsidRPr="00930062">
        <w:t xml:space="preserve"> </w:t>
      </w:r>
    </w:p>
    <w:p w:rsidR="00EF41E8" w:rsidRDefault="00EF41E8" w:rsidP="00EF41E8">
      <w:r>
        <w:lastRenderedPageBreak/>
        <w:t xml:space="preserve">1) </w:t>
      </w:r>
      <w:proofErr w:type="gramStart"/>
      <w:r>
        <w:t>additional</w:t>
      </w:r>
      <w:proofErr w:type="gramEnd"/>
      <w:r>
        <w:t xml:space="preserve"> operational funding requests to the Commonwealth or State Government bodies by not-for-profit organisations</w:t>
      </w:r>
    </w:p>
    <w:p w:rsidR="00EF41E8" w:rsidRDefault="00EF41E8" w:rsidP="00EF41E8">
      <w:r>
        <w:t xml:space="preserve">2) </w:t>
      </w:r>
      <w:proofErr w:type="gramStart"/>
      <w:r w:rsidR="00496B2E">
        <w:t>an</w:t>
      </w:r>
      <w:proofErr w:type="gramEnd"/>
      <w:r w:rsidR="00496B2E" w:rsidRPr="00930062">
        <w:t xml:space="preserve"> </w:t>
      </w:r>
      <w:r w:rsidR="00496B2E">
        <w:t>increase</w:t>
      </w:r>
      <w:r>
        <w:t xml:space="preserve"> in costs for use of these products and subsequent increase in Medicare benefits payable to manufacturers and recipients. </w:t>
      </w:r>
    </w:p>
    <w:p w:rsidR="00C92564" w:rsidRDefault="008A3674" w:rsidP="00C92564">
      <w:pPr>
        <w:rPr>
          <w:bCs/>
        </w:rPr>
      </w:pPr>
      <w:r>
        <w:rPr>
          <w:bCs/>
        </w:rPr>
        <w:t>W</w:t>
      </w:r>
      <w:r w:rsidR="00F94A72">
        <w:rPr>
          <w:bCs/>
        </w:rPr>
        <w:t>hil</w:t>
      </w:r>
      <w:r>
        <w:rPr>
          <w:bCs/>
        </w:rPr>
        <w:t>e</w:t>
      </w:r>
      <w:r w:rsidR="00F94A72">
        <w:rPr>
          <w:bCs/>
        </w:rPr>
        <w:t xml:space="preserve"> the actual cost to industry could not </w:t>
      </w:r>
      <w:r w:rsidR="00FB6B11">
        <w:rPr>
          <w:bCs/>
        </w:rPr>
        <w:t xml:space="preserve">be </w:t>
      </w:r>
      <w:r w:rsidR="00F94A72">
        <w:rPr>
          <w:bCs/>
        </w:rPr>
        <w:t xml:space="preserve">quantified due to </w:t>
      </w:r>
      <w:r w:rsidR="00017377">
        <w:rPr>
          <w:bCs/>
        </w:rPr>
        <w:t xml:space="preserve">disparity in </w:t>
      </w:r>
      <w:r w:rsidR="00F94A72">
        <w:rPr>
          <w:bCs/>
        </w:rPr>
        <w:t>existing manufacturing and quality management practices, any flow on costs to government are expected to be minimal.</w:t>
      </w:r>
      <w:r w:rsidR="00C92564">
        <w:rPr>
          <w:bCs/>
        </w:rPr>
        <w:t xml:space="preserve">  </w:t>
      </w:r>
    </w:p>
    <w:p w:rsidR="00F94A72" w:rsidRDefault="008A3674" w:rsidP="00EF41E8">
      <w:pPr>
        <w:rPr>
          <w:bCs/>
        </w:rPr>
      </w:pPr>
      <w:r>
        <w:rPr>
          <w:bCs/>
        </w:rPr>
        <w:t xml:space="preserve">The costs to the </w:t>
      </w:r>
      <w:proofErr w:type="gramStart"/>
      <w:r>
        <w:rPr>
          <w:bCs/>
        </w:rPr>
        <w:t>TGA,</w:t>
      </w:r>
      <w:proofErr w:type="gramEnd"/>
      <w:r>
        <w:rPr>
          <w:bCs/>
        </w:rPr>
        <w:t xml:space="preserve"> are fully cost recovered in accordance with TGA’s cost recovery model.</w:t>
      </w:r>
    </w:p>
    <w:p w:rsidR="00EF41E8" w:rsidRPr="00A870CD" w:rsidRDefault="00EF41E8" w:rsidP="00EF41E8">
      <w:pPr>
        <w:pStyle w:val="Heading3"/>
      </w:pPr>
      <w:bookmarkStart w:id="42" w:name="_Toc341452843"/>
      <w:r>
        <w:t>Benefits</w:t>
      </w:r>
      <w:bookmarkEnd w:id="42"/>
    </w:p>
    <w:p w:rsidR="00EF41E8" w:rsidRPr="00EF41E8" w:rsidRDefault="005C1D20" w:rsidP="00EF41E8">
      <w:pPr>
        <w:pStyle w:val="Heading4"/>
      </w:pPr>
      <w:bookmarkStart w:id="43" w:name="_Toc341108690"/>
      <w:bookmarkStart w:id="44" w:name="_Toc341452844"/>
      <w:r>
        <w:t>Consumers</w:t>
      </w:r>
      <w:bookmarkEnd w:id="43"/>
      <w:bookmarkEnd w:id="44"/>
    </w:p>
    <w:p w:rsidR="00EF41E8" w:rsidRPr="00283073" w:rsidRDefault="00EF41E8" w:rsidP="00EF41E8">
      <w:r w:rsidRPr="002F47DC">
        <w:t xml:space="preserve">The major benefit to consumers will be increased assurance in the safety and quality of </w:t>
      </w:r>
      <w:r>
        <w:t>therapeutic products</w:t>
      </w:r>
      <w:r w:rsidRPr="002F47DC">
        <w:t xml:space="preserve">. It is not possible to quantify these effects. In some instances, the benefits may be relatively minor as many of the </w:t>
      </w:r>
      <w:r>
        <w:t xml:space="preserve">revised </w:t>
      </w:r>
      <w:r w:rsidRPr="002F47DC">
        <w:t>requirements are “industry standards”. However, by strengthening some quality assurance requirements, consumer benefit may be derived from a reduction in the rate of product quality defects and product recalls. While such occurrences may be relatively infrequent, their cost can be significant</w:t>
      </w:r>
      <w:r w:rsidR="005C1D20">
        <w:t xml:space="preserve"> depending on the nature and volume of the product involved</w:t>
      </w:r>
      <w:r w:rsidRPr="002F47DC">
        <w:t>.</w:t>
      </w:r>
      <w:r>
        <w:t xml:space="preserve"> Revised requirements</w:t>
      </w:r>
      <w:r w:rsidRPr="00930062">
        <w:t xml:space="preserve"> </w:t>
      </w:r>
      <w:r>
        <w:t>provide continual assurance of a quality product and aim to</w:t>
      </w:r>
      <w:r w:rsidRPr="00930062">
        <w:t xml:space="preserve"> reflect improved health outcomes for the recipient</w:t>
      </w:r>
      <w:r>
        <w:t xml:space="preserve">s and </w:t>
      </w:r>
      <w:r w:rsidRPr="00930062">
        <w:t>a reduction in heal</w:t>
      </w:r>
      <w:r>
        <w:t>th costs in the longer term</w:t>
      </w:r>
      <w:r w:rsidR="005C1D20">
        <w:t>.</w:t>
      </w:r>
      <w:r w:rsidRPr="002F47DC">
        <w:t xml:space="preserve"> </w:t>
      </w:r>
    </w:p>
    <w:p w:rsidR="00EF41E8" w:rsidRDefault="005C1D20" w:rsidP="00EF41E8">
      <w:pPr>
        <w:pStyle w:val="Heading4"/>
      </w:pPr>
      <w:bookmarkStart w:id="45" w:name="_Toc341108691"/>
      <w:bookmarkStart w:id="46" w:name="_Toc341452845"/>
      <w:r>
        <w:t>Health Care</w:t>
      </w:r>
      <w:r w:rsidR="00EF41E8" w:rsidRPr="0022716D">
        <w:t xml:space="preserve"> Professionals</w:t>
      </w:r>
      <w:bookmarkEnd w:id="45"/>
      <w:bookmarkEnd w:id="46"/>
    </w:p>
    <w:p w:rsidR="00EF41E8" w:rsidRPr="0022716D" w:rsidRDefault="00EF41E8" w:rsidP="00EF41E8">
      <w:pPr>
        <w:rPr>
          <w:bCs/>
        </w:rPr>
      </w:pPr>
      <w:r>
        <w:rPr>
          <w:szCs w:val="24"/>
          <w:lang w:val="en-US"/>
        </w:rPr>
        <w:t>Regular review and upda</w:t>
      </w:r>
      <w:r w:rsidR="005C1D20">
        <w:rPr>
          <w:szCs w:val="24"/>
          <w:lang w:val="en-US"/>
        </w:rPr>
        <w:t>tes to TGA’s Code and standards</w:t>
      </w:r>
      <w:r w:rsidRPr="007D229B">
        <w:rPr>
          <w:szCs w:val="24"/>
          <w:lang w:val="en-US"/>
        </w:rPr>
        <w:t xml:space="preserve"> </w:t>
      </w:r>
      <w:r w:rsidR="002D197A">
        <w:rPr>
          <w:szCs w:val="24"/>
          <w:lang w:val="en-US"/>
        </w:rPr>
        <w:t xml:space="preserve">assure </w:t>
      </w:r>
      <w:r w:rsidRPr="007D229B">
        <w:rPr>
          <w:szCs w:val="24"/>
          <w:lang w:val="en-US"/>
        </w:rPr>
        <w:t>health</w:t>
      </w:r>
      <w:r w:rsidR="005C1D20">
        <w:rPr>
          <w:szCs w:val="24"/>
          <w:lang w:val="en-US"/>
        </w:rPr>
        <w:t xml:space="preserve"> care</w:t>
      </w:r>
      <w:r w:rsidRPr="007D229B">
        <w:rPr>
          <w:szCs w:val="24"/>
          <w:lang w:val="en-US"/>
        </w:rPr>
        <w:t xml:space="preserve"> professionals that all of </w:t>
      </w:r>
      <w:r>
        <w:rPr>
          <w:szCs w:val="24"/>
          <w:lang w:val="en-US"/>
        </w:rPr>
        <w:t xml:space="preserve">the products have been manufactured to highest quality standards and, if applicable, subjected to a </w:t>
      </w:r>
      <w:r w:rsidRPr="007D229B">
        <w:rPr>
          <w:szCs w:val="24"/>
          <w:lang w:val="en-US"/>
        </w:rPr>
        <w:t>pre-market approval</w:t>
      </w:r>
      <w:r>
        <w:rPr>
          <w:szCs w:val="24"/>
          <w:lang w:val="en-US"/>
        </w:rPr>
        <w:t xml:space="preserve"> process to ensure</w:t>
      </w:r>
      <w:r w:rsidR="005C1D20">
        <w:rPr>
          <w:szCs w:val="24"/>
          <w:lang w:val="en-US"/>
        </w:rPr>
        <w:t xml:space="preserve"> that they are safe for use, i.e</w:t>
      </w:r>
      <w:r>
        <w:rPr>
          <w:szCs w:val="24"/>
          <w:lang w:val="en-US"/>
        </w:rPr>
        <w:t>. they are not likely to be contaminated</w:t>
      </w:r>
      <w:r w:rsidR="005C1D20">
        <w:rPr>
          <w:szCs w:val="24"/>
          <w:lang w:val="en-US"/>
        </w:rPr>
        <w:t xml:space="preserve"> or contain infectious diseases</w:t>
      </w:r>
      <w:r>
        <w:rPr>
          <w:szCs w:val="24"/>
          <w:lang w:val="en-US"/>
        </w:rPr>
        <w:t>.</w:t>
      </w:r>
    </w:p>
    <w:p w:rsidR="00EF41E8" w:rsidRDefault="00EF41E8" w:rsidP="00EF41E8">
      <w:pPr>
        <w:pStyle w:val="Heading4"/>
      </w:pPr>
      <w:bookmarkStart w:id="47" w:name="_Toc341108692"/>
      <w:bookmarkStart w:id="48" w:name="_Toc341452846"/>
      <w:r w:rsidRPr="0022716D">
        <w:t>Industry</w:t>
      </w:r>
      <w:bookmarkEnd w:id="47"/>
      <w:bookmarkEnd w:id="48"/>
    </w:p>
    <w:p w:rsidR="001D40FD" w:rsidRDefault="001D40FD" w:rsidP="00EF41E8">
      <w:pPr>
        <w:rPr>
          <w:lang w:val="en-US"/>
        </w:rPr>
      </w:pPr>
      <w:r>
        <w:rPr>
          <w:bCs/>
        </w:rPr>
        <w:t xml:space="preserve">The revision of the Code is to provide greater clarity of requirements for HCTs and is intended to be less prescriptive and allow for justification of alternative practices, </w:t>
      </w:r>
      <w:r>
        <w:rPr>
          <w:szCs w:val="24"/>
          <w:lang w:val="en-US"/>
        </w:rPr>
        <w:t xml:space="preserve">thus facilitating </w:t>
      </w:r>
      <w:r w:rsidRPr="005D55F7">
        <w:rPr>
          <w:lang w:val="en-US"/>
        </w:rPr>
        <w:t>product innovation</w:t>
      </w:r>
      <w:r>
        <w:rPr>
          <w:lang w:val="en-US"/>
        </w:rPr>
        <w:t>.</w:t>
      </w:r>
      <w:r w:rsidR="00E53A36">
        <w:rPr>
          <w:lang w:val="en-US"/>
        </w:rPr>
        <w:t xml:space="preserve"> </w:t>
      </w:r>
      <w:r w:rsidR="00E53A36">
        <w:t xml:space="preserve">While the revised Code seeks to improve clarity, there are instances where regulatory requirements will have flexibility that allows manufacturers to use an alternative approach.  Details of all proposed changes to the Code are summarised in </w:t>
      </w:r>
      <w:r w:rsidR="00E53A36" w:rsidRPr="003F78AD">
        <w:rPr>
          <w:b/>
        </w:rPr>
        <w:t xml:space="preserve">Appendix </w:t>
      </w:r>
      <w:r w:rsidR="009F04DC" w:rsidRPr="003F78AD">
        <w:rPr>
          <w:b/>
        </w:rPr>
        <w:t>A</w:t>
      </w:r>
      <w:r w:rsidR="00E53A36">
        <w:t>.</w:t>
      </w:r>
      <w:r w:rsidR="00E53A36" w:rsidRPr="00FB662C">
        <w:t xml:space="preserve"> </w:t>
      </w:r>
      <w:r w:rsidR="00662201">
        <w:rPr>
          <w:bCs/>
        </w:rPr>
        <w:t>T</w:t>
      </w:r>
      <w:r w:rsidR="007263AA">
        <w:rPr>
          <w:bCs/>
        </w:rPr>
        <w:t xml:space="preserve">he </w:t>
      </w:r>
      <w:r w:rsidR="00662201">
        <w:rPr>
          <w:bCs/>
        </w:rPr>
        <w:t xml:space="preserve">recent consultation confirmed that the </w:t>
      </w:r>
      <w:r w:rsidR="007263AA">
        <w:rPr>
          <w:bCs/>
        </w:rPr>
        <w:t>HCT industry support</w:t>
      </w:r>
      <w:r w:rsidR="00662201">
        <w:rPr>
          <w:bCs/>
        </w:rPr>
        <w:t>s</w:t>
      </w:r>
      <w:r w:rsidR="007263AA">
        <w:rPr>
          <w:bCs/>
        </w:rPr>
        <w:t xml:space="preserve"> </w:t>
      </w:r>
      <w:r w:rsidR="00662201">
        <w:rPr>
          <w:bCs/>
        </w:rPr>
        <w:t xml:space="preserve">the proposed revisions </w:t>
      </w:r>
      <w:r w:rsidR="007263AA">
        <w:rPr>
          <w:bCs/>
        </w:rPr>
        <w:t>to the Code</w:t>
      </w:r>
      <w:r w:rsidR="00B47622">
        <w:rPr>
          <w:bCs/>
        </w:rPr>
        <w:t>, i</w:t>
      </w:r>
      <w:r w:rsidR="00662201">
        <w:rPr>
          <w:bCs/>
        </w:rPr>
        <w:t>ncluding introduction of the ID TGO for ID requirements. Furthermore industry expressed that specific changes will benefit them immediately</w:t>
      </w:r>
      <w:r w:rsidR="00A12E8A">
        <w:rPr>
          <w:bCs/>
        </w:rPr>
        <w:t>,</w:t>
      </w:r>
      <w:r w:rsidR="00662201">
        <w:rPr>
          <w:bCs/>
        </w:rPr>
        <w:t xml:space="preserve"> for example</w:t>
      </w:r>
      <w:r w:rsidR="00A12E8A">
        <w:rPr>
          <w:bCs/>
        </w:rPr>
        <w:t xml:space="preserve"> the existing Code mandates initial testing and 180-day follow up testing of certain tissue donors,</w:t>
      </w:r>
      <w:r w:rsidR="00662201">
        <w:rPr>
          <w:bCs/>
        </w:rPr>
        <w:t xml:space="preserve"> which is resource intensive and can affect supply where donors cannot be located. </w:t>
      </w:r>
      <w:r w:rsidR="00A12E8A">
        <w:rPr>
          <w:bCs/>
        </w:rPr>
        <w:t xml:space="preserve"> </w:t>
      </w:r>
      <w:r w:rsidR="00662201">
        <w:rPr>
          <w:bCs/>
        </w:rPr>
        <w:t>T</w:t>
      </w:r>
      <w:r w:rsidR="00A12E8A">
        <w:rPr>
          <w:bCs/>
        </w:rPr>
        <w:t>he revised requirements</w:t>
      </w:r>
      <w:r w:rsidR="00662201">
        <w:rPr>
          <w:bCs/>
        </w:rPr>
        <w:t>, which will be</w:t>
      </w:r>
      <w:r w:rsidR="00A12E8A">
        <w:rPr>
          <w:bCs/>
        </w:rPr>
        <w:t xml:space="preserve"> in the </w:t>
      </w:r>
      <w:r w:rsidR="00662201">
        <w:rPr>
          <w:bCs/>
        </w:rPr>
        <w:t xml:space="preserve">ID TGO, </w:t>
      </w:r>
      <w:r w:rsidR="00A12E8A">
        <w:rPr>
          <w:bCs/>
        </w:rPr>
        <w:t>permits the manufacturer to perform initial testing by using a more sensitive test</w:t>
      </w:r>
      <w:r w:rsidR="00662201">
        <w:rPr>
          <w:bCs/>
        </w:rPr>
        <w:t xml:space="preserve"> and forego the requirement to perform 180 testing if preferred</w:t>
      </w:r>
      <w:r w:rsidR="00A12E8A">
        <w:rPr>
          <w:bCs/>
        </w:rPr>
        <w:t>.</w:t>
      </w:r>
      <w:r w:rsidR="00662201">
        <w:rPr>
          <w:bCs/>
        </w:rPr>
        <w:t xml:space="preserve"> </w:t>
      </w:r>
    </w:p>
    <w:p w:rsidR="001D40FD" w:rsidRDefault="001D40FD" w:rsidP="00EF41E8">
      <w:pPr>
        <w:rPr>
          <w:lang w:val="en-US"/>
        </w:rPr>
      </w:pPr>
      <w:r>
        <w:rPr>
          <w:lang w:val="en-US"/>
        </w:rPr>
        <w:lastRenderedPageBreak/>
        <w:t>The removal of requirements for infectious disease minimi</w:t>
      </w:r>
      <w:r w:rsidR="00662201">
        <w:rPr>
          <w:lang w:val="en-US"/>
        </w:rPr>
        <w:t>s</w:t>
      </w:r>
      <w:r>
        <w:rPr>
          <w:lang w:val="en-US"/>
        </w:rPr>
        <w:t>ation</w:t>
      </w:r>
      <w:r w:rsidR="00662201">
        <w:rPr>
          <w:lang w:val="en-US"/>
        </w:rPr>
        <w:t xml:space="preserve"> from the Code</w:t>
      </w:r>
      <w:r>
        <w:rPr>
          <w:lang w:val="en-US"/>
        </w:rPr>
        <w:t xml:space="preserve"> will increase the general utility of the Code, and the creation of a separate </w:t>
      </w:r>
      <w:r w:rsidR="00F33A1E">
        <w:rPr>
          <w:lang w:val="en-US"/>
        </w:rPr>
        <w:t xml:space="preserve">ID </w:t>
      </w:r>
      <w:r>
        <w:rPr>
          <w:lang w:val="en-US"/>
        </w:rPr>
        <w:t xml:space="preserve">TGO for these provisions will ensure </w:t>
      </w:r>
      <w:r w:rsidR="0018539B">
        <w:rPr>
          <w:lang w:val="en-US"/>
        </w:rPr>
        <w:t xml:space="preserve">targeted </w:t>
      </w:r>
      <w:r>
        <w:rPr>
          <w:lang w:val="en-US"/>
        </w:rPr>
        <w:t xml:space="preserve">application of these </w:t>
      </w:r>
      <w:r w:rsidR="0018539B">
        <w:rPr>
          <w:lang w:val="en-US"/>
        </w:rPr>
        <w:t>requirements</w:t>
      </w:r>
      <w:r>
        <w:rPr>
          <w:lang w:val="en-US"/>
        </w:rPr>
        <w:t>.</w:t>
      </w:r>
    </w:p>
    <w:p w:rsidR="00EF41E8" w:rsidRDefault="00EF41E8" w:rsidP="00EF41E8">
      <w:pPr>
        <w:pStyle w:val="Heading4"/>
      </w:pPr>
      <w:bookmarkStart w:id="49" w:name="_Toc341108693"/>
      <w:bookmarkStart w:id="50" w:name="_Toc341452847"/>
      <w:r w:rsidRPr="0022716D">
        <w:t>Government</w:t>
      </w:r>
      <w:bookmarkEnd w:id="49"/>
      <w:bookmarkEnd w:id="50"/>
    </w:p>
    <w:p w:rsidR="00EF41E8" w:rsidRPr="00967E89" w:rsidRDefault="00EF41E8" w:rsidP="00EF41E8">
      <w:pPr>
        <w:rPr>
          <w:bCs/>
        </w:rPr>
      </w:pPr>
      <w:r w:rsidRPr="002F47DC">
        <w:rPr>
          <w:bCs/>
        </w:rPr>
        <w:t xml:space="preserve">The provision of more detailed guidance in the revised </w:t>
      </w:r>
      <w:r>
        <w:rPr>
          <w:bCs/>
        </w:rPr>
        <w:t xml:space="preserve">MP </w:t>
      </w:r>
      <w:r w:rsidRPr="002F47DC">
        <w:rPr>
          <w:bCs/>
        </w:rPr>
        <w:t xml:space="preserve">and </w:t>
      </w:r>
      <w:r>
        <w:rPr>
          <w:bCs/>
        </w:rPr>
        <w:t xml:space="preserve">revised Code </w:t>
      </w:r>
      <w:r w:rsidRPr="002F47DC">
        <w:rPr>
          <w:bCs/>
        </w:rPr>
        <w:t>will provide the</w:t>
      </w:r>
      <w:r>
        <w:rPr>
          <w:bCs/>
        </w:rPr>
        <w:t xml:space="preserve"> TGA</w:t>
      </w:r>
      <w:r w:rsidRPr="002F47DC">
        <w:rPr>
          <w:bCs/>
        </w:rPr>
        <w:t xml:space="preserve"> with greater confidence that its requirements are understood by industry,</w:t>
      </w:r>
      <w:r>
        <w:rPr>
          <w:bCs/>
        </w:rPr>
        <w:t xml:space="preserve"> and</w:t>
      </w:r>
      <w:r w:rsidRPr="002F47DC">
        <w:rPr>
          <w:bCs/>
        </w:rPr>
        <w:t xml:space="preserve"> that all </w:t>
      </w:r>
      <w:r>
        <w:rPr>
          <w:bCs/>
        </w:rPr>
        <w:t xml:space="preserve">therapeutic </w:t>
      </w:r>
      <w:r w:rsidRPr="002F47DC">
        <w:rPr>
          <w:bCs/>
        </w:rPr>
        <w:t xml:space="preserve">products manufactured locally are manufactured in compliance with </w:t>
      </w:r>
      <w:r>
        <w:rPr>
          <w:bCs/>
        </w:rPr>
        <w:t>the legislative</w:t>
      </w:r>
      <w:r w:rsidRPr="002F47DC">
        <w:rPr>
          <w:bCs/>
        </w:rPr>
        <w:t xml:space="preserve"> requirements</w:t>
      </w:r>
      <w:r>
        <w:rPr>
          <w:bCs/>
        </w:rPr>
        <w:t xml:space="preserve">. </w:t>
      </w:r>
    </w:p>
    <w:p w:rsidR="00EF41E8" w:rsidRPr="00967E89" w:rsidRDefault="00EF41E8" w:rsidP="00EF41E8">
      <w:pPr>
        <w:rPr>
          <w:bCs/>
        </w:rPr>
      </w:pPr>
      <w:r>
        <w:rPr>
          <w:szCs w:val="24"/>
          <w:lang w:val="en-US"/>
        </w:rPr>
        <w:t>The revised Code addresses requirements for all products within its scope, providing greater regulatory certainty and transparency.</w:t>
      </w:r>
    </w:p>
    <w:p w:rsidR="00EF41E8" w:rsidRPr="00930062" w:rsidRDefault="00EF41E8" w:rsidP="00DF72EE">
      <w:pPr>
        <w:pStyle w:val="Heading3"/>
      </w:pPr>
      <w:bookmarkStart w:id="51" w:name="_Toc341452848"/>
      <w:r w:rsidRPr="00930062">
        <w:t>Distribution of costs and benefits</w:t>
      </w:r>
      <w:bookmarkEnd w:id="51"/>
      <w:r w:rsidRPr="00930062">
        <w:t xml:space="preserve"> </w:t>
      </w:r>
    </w:p>
    <w:p w:rsidR="00CB6329" w:rsidRDefault="00EF41E8" w:rsidP="00EF41E8">
      <w:r w:rsidRPr="00930062">
        <w:t>The costs, in the first instance, will be borne by the sponsor</w:t>
      </w:r>
      <w:r>
        <w:t>/manufacturer</w:t>
      </w:r>
      <w:r w:rsidRPr="00930062">
        <w:t xml:space="preserve"> of </w:t>
      </w:r>
      <w:r>
        <w:t>the product who wishes to supply a product</w:t>
      </w:r>
      <w:r w:rsidRPr="00930062">
        <w:t xml:space="preserve"> </w:t>
      </w:r>
      <w:r>
        <w:t>for use in</w:t>
      </w:r>
      <w:r w:rsidRPr="00930062">
        <w:t xml:space="preserve"> the Australian market.  However, </w:t>
      </w:r>
      <w:r w:rsidR="003A507B">
        <w:t xml:space="preserve">it is conceivable </w:t>
      </w:r>
      <w:r w:rsidRPr="00930062">
        <w:t>that cost</w:t>
      </w:r>
      <w:r w:rsidR="003A507B">
        <w:t>s</w:t>
      </w:r>
      <w:r w:rsidRPr="00930062">
        <w:t xml:space="preserve"> will fl</w:t>
      </w:r>
      <w:r>
        <w:t>ow on to the</w:t>
      </w:r>
      <w:r w:rsidRPr="00930062">
        <w:t xml:space="preserve"> </w:t>
      </w:r>
      <w:r>
        <w:t xml:space="preserve">Australian public </w:t>
      </w:r>
      <w:r w:rsidRPr="00930062">
        <w:t>in the price of the product or the broader Australian health system</w:t>
      </w:r>
      <w:r w:rsidR="003A507B">
        <w:t xml:space="preserve"> through requests for more public funding or Medicare rebates</w:t>
      </w:r>
      <w:r w:rsidRPr="00930062">
        <w:t>.</w:t>
      </w:r>
      <w:r>
        <w:t xml:space="preserve">  </w:t>
      </w:r>
    </w:p>
    <w:p w:rsidR="00EF41E8" w:rsidRPr="00930062" w:rsidRDefault="00EF41E8" w:rsidP="00EF41E8">
      <w:r w:rsidRPr="006F2810">
        <w:t xml:space="preserve">In </w:t>
      </w:r>
      <w:r w:rsidR="00CB6329">
        <w:t>some</w:t>
      </w:r>
      <w:r w:rsidR="00CB6329" w:rsidRPr="006F2810">
        <w:t xml:space="preserve"> </w:t>
      </w:r>
      <w:r w:rsidRPr="006F2810">
        <w:t>cases</w:t>
      </w:r>
      <w:r>
        <w:t>,</w:t>
      </w:r>
      <w:r w:rsidRPr="006F2810">
        <w:t xml:space="preserve"> manufacturers already comply with </w:t>
      </w:r>
      <w:r w:rsidR="00CB6329">
        <w:t xml:space="preserve">a number of </w:t>
      </w:r>
      <w:r w:rsidRPr="006F2810">
        <w:t xml:space="preserve">the </w:t>
      </w:r>
      <w:r w:rsidR="003A507B">
        <w:t>proposed changes to the Code</w:t>
      </w:r>
      <w:r>
        <w:t xml:space="preserve"> and </w:t>
      </w:r>
      <w:r w:rsidR="003A507B">
        <w:t xml:space="preserve">ID </w:t>
      </w:r>
      <w:r w:rsidR="008F283A">
        <w:t xml:space="preserve">TGO </w:t>
      </w:r>
      <w:r>
        <w:t>requirements, a</w:t>
      </w:r>
      <w:r w:rsidR="00DD51B0">
        <w:t>nd</w:t>
      </w:r>
      <w:r>
        <w:t xml:space="preserve"> the changes mostly represent</w:t>
      </w:r>
      <w:r w:rsidRPr="006F2810">
        <w:t xml:space="preserve"> a formalisation of current practice</w:t>
      </w:r>
      <w:r>
        <w:t xml:space="preserve">. Therefore, minimal compliance costs are anticipated, but will be subject to ongoing review. </w:t>
      </w:r>
    </w:p>
    <w:p w:rsidR="00EF41E8" w:rsidRPr="00A870CD" w:rsidRDefault="00EF41E8" w:rsidP="00EF41E8">
      <w:pPr>
        <w:rPr>
          <w:b/>
        </w:rPr>
      </w:pPr>
      <w:r w:rsidRPr="00930062">
        <w:t xml:space="preserve">The benefits to be derived from </w:t>
      </w:r>
      <w:r>
        <w:t>assurance of ongoing high quality</w:t>
      </w:r>
      <w:r w:rsidRPr="00930062">
        <w:t xml:space="preserve"> </w:t>
      </w:r>
      <w:r>
        <w:t xml:space="preserve">and safe products </w:t>
      </w:r>
      <w:r w:rsidRPr="00930062">
        <w:t>will equally flow to</w:t>
      </w:r>
      <w:r w:rsidR="003A507B">
        <w:t xml:space="preserve"> the Australian consumers and</w:t>
      </w:r>
      <w:r w:rsidRPr="00930062">
        <w:t xml:space="preserve"> the Australian health system.</w:t>
      </w:r>
      <w:r>
        <w:t xml:space="preserve"> Benefits to manufacturers are that a clear standard/code can accommodate innovation and changes to technology.</w:t>
      </w:r>
    </w:p>
    <w:p w:rsidR="00EF41E8" w:rsidRPr="00A72D31" w:rsidRDefault="00EF41E8" w:rsidP="0002772D">
      <w:pPr>
        <w:pStyle w:val="Heading2"/>
      </w:pPr>
      <w:bookmarkStart w:id="52" w:name="_Toc341452849"/>
      <w:r>
        <w:t xml:space="preserve">Option 4 - </w:t>
      </w:r>
      <w:r w:rsidRPr="00A870CD">
        <w:t>Summary</w:t>
      </w:r>
      <w:bookmarkEnd w:id="52"/>
    </w:p>
    <w:p w:rsidR="00EF41E8" w:rsidRDefault="00EF41E8" w:rsidP="00EF41E8">
      <w:r>
        <w:t>The manufacturing industry</w:t>
      </w:r>
      <w:r w:rsidR="008A6B7B">
        <w:t xml:space="preserve"> for therapeutic products</w:t>
      </w:r>
      <w:r>
        <w:t xml:space="preserve"> already has costs associated with the maintenance of licensing under the existing Code, including ongoing quality assurance and quality control system</w:t>
      </w:r>
      <w:r w:rsidR="008A6B7B">
        <w:t xml:space="preserve">s required to comply with the </w:t>
      </w:r>
      <w:r>
        <w:t xml:space="preserve">Act. The TGA anticipates the revision of the Code will result in no or minimal additional compliance costs to the Australian manufacturing industry. Some manufacturers may need to strengthen certain quality assurance aspects of their manufacturing operation in order to comply with the revised requirements.  In </w:t>
      </w:r>
      <w:r w:rsidR="008A6B7B">
        <w:t>these cases,</w:t>
      </w:r>
      <w:r>
        <w:t xml:space="preserve"> the imposition of such costs is justified in the interest of product quality and public safety. Any costs of complying with the revised Code and </w:t>
      </w:r>
      <w:r w:rsidR="008A6B7B">
        <w:t xml:space="preserve">ID </w:t>
      </w:r>
      <w:r w:rsidR="004F0EB2">
        <w:t xml:space="preserve">TGO </w:t>
      </w:r>
      <w:r>
        <w:t>are expected to be partially off-set by savings associated with simplified and standardised quality systems and possible reductions in defective products due to greater emphasis on quality assurance activities.</w:t>
      </w:r>
    </w:p>
    <w:p w:rsidR="00992B83" w:rsidRPr="00992B83" w:rsidRDefault="007E760C" w:rsidP="007E760C">
      <w:pPr>
        <w:pStyle w:val="Heading2"/>
      </w:pPr>
      <w:bookmarkStart w:id="53" w:name="_Toc341452850"/>
      <w:r>
        <w:lastRenderedPageBreak/>
        <w:t>Consultation</w:t>
      </w:r>
      <w:bookmarkEnd w:id="53"/>
    </w:p>
    <w:p w:rsidR="007E760C" w:rsidRDefault="007E760C" w:rsidP="007E760C">
      <w:pPr>
        <w:pStyle w:val="Heading3"/>
      </w:pPr>
      <w:bookmarkStart w:id="54" w:name="_Toc341452851"/>
      <w:r>
        <w:t>Public consultation</w:t>
      </w:r>
      <w:bookmarkEnd w:id="54"/>
    </w:p>
    <w:p w:rsidR="007E760C" w:rsidRDefault="007E760C" w:rsidP="007E760C">
      <w:r>
        <w:t>The revision of the Code</w:t>
      </w:r>
      <w:r w:rsidR="0018539B">
        <w:t xml:space="preserve"> </w:t>
      </w:r>
      <w:r w:rsidR="00D3760B">
        <w:t>was</w:t>
      </w:r>
      <w:r w:rsidR="0018539B">
        <w:t xml:space="preserve"> initially developed in consultation with representatives from Medsafe, the Australian and New Zealand blood services and the tissue sector between 2005 and 2008. Parallel to that process was the </w:t>
      </w:r>
      <w:r>
        <w:t xml:space="preserve">transferral of technical requirements </w:t>
      </w:r>
      <w:r w:rsidR="0018539B">
        <w:t xml:space="preserve">from the Code </w:t>
      </w:r>
      <w:r>
        <w:t>into a new</w:t>
      </w:r>
      <w:r w:rsidR="0015015C">
        <w:t xml:space="preserve"> ID </w:t>
      </w:r>
      <w:r w:rsidR="004F0EB2">
        <w:t xml:space="preserve">TGO </w:t>
      </w:r>
      <w:r w:rsidR="00D3760B">
        <w:t xml:space="preserve">where the </w:t>
      </w:r>
      <w:r>
        <w:t xml:space="preserve">consultation </w:t>
      </w:r>
      <w:r w:rsidR="00D3760B">
        <w:t xml:space="preserve">process occurred </w:t>
      </w:r>
      <w:r>
        <w:t xml:space="preserve">with representatives from the tissue sector between 2005 and 2007 (including in the Regulatory Impact Statement no. 5066). </w:t>
      </w:r>
    </w:p>
    <w:p w:rsidR="007E760C" w:rsidRPr="00F36A5E" w:rsidRDefault="007E760C" w:rsidP="007E760C">
      <w:r w:rsidRPr="008B30CA">
        <w:t xml:space="preserve">The TGA </w:t>
      </w:r>
      <w:r>
        <w:t xml:space="preserve">then </w:t>
      </w:r>
      <w:r w:rsidRPr="008B30CA">
        <w:t xml:space="preserve">undertook two extensive rounds of </w:t>
      </w:r>
      <w:r>
        <w:t xml:space="preserve">national </w:t>
      </w:r>
      <w:r w:rsidRPr="008B30CA">
        <w:t>public consultation in 2009 and 2010 to inform the develo</w:t>
      </w:r>
      <w:r>
        <w:t xml:space="preserve">pment </w:t>
      </w:r>
      <w:r w:rsidR="0015015C">
        <w:t xml:space="preserve">of the revised Code, ID </w:t>
      </w:r>
      <w:r w:rsidR="004F0EB2">
        <w:t>TGO</w:t>
      </w:r>
      <w:r>
        <w:t>, and the technical product standards for the Biologicals Framework. The consultations were</w:t>
      </w:r>
      <w:r w:rsidRPr="008B30CA">
        <w:t xml:space="preserve"> advertised on the TGA website</w:t>
      </w:r>
      <w:r>
        <w:t xml:space="preserve"> for a period of 8 weeks during each round</w:t>
      </w:r>
      <w:r w:rsidRPr="008B30CA">
        <w:t>, and the documents were distributed via email to all stakeholders on the TGA stakeholder database</w:t>
      </w:r>
      <w:r>
        <w:rPr>
          <w:rStyle w:val="FootnoteReference"/>
        </w:rPr>
        <w:footnoteReference w:id="2"/>
      </w:r>
      <w:r w:rsidRPr="008B30CA">
        <w:t xml:space="preserve"> . The documents were also available to </w:t>
      </w:r>
      <w:r>
        <w:t>all other interested parties, including the</w:t>
      </w:r>
      <w:r w:rsidRPr="008B30CA">
        <w:t xml:space="preserve"> general public </w:t>
      </w:r>
      <w:r>
        <w:t xml:space="preserve">on </w:t>
      </w:r>
      <w:r w:rsidRPr="008B30CA">
        <w:t xml:space="preserve">the TGA website. The consultation process and the objectives of consultation were clearly described in </w:t>
      </w:r>
      <w:r>
        <w:t xml:space="preserve">the </w:t>
      </w:r>
      <w:r w:rsidRPr="008B30CA">
        <w:t>supporting documents.</w:t>
      </w:r>
    </w:p>
    <w:p w:rsidR="007E760C" w:rsidRDefault="007E760C" w:rsidP="007E760C">
      <w:r>
        <w:t>The consultations were combined as part of the development of the Biologicals Framework. All manufacturers not subject to the regulatory requirements of the Biologicals framework, including those who manufacture bl</w:t>
      </w:r>
      <w:r w:rsidR="002345BC">
        <w:t>ood and blood components and haematopoietic progenitor cells</w:t>
      </w:r>
      <w:r>
        <w:t xml:space="preserve">, were clearly identified and included in the consultation process. The TGA has also </w:t>
      </w:r>
      <w:r w:rsidRPr="00F36A5E">
        <w:t>engaged directl</w:t>
      </w:r>
      <w:r>
        <w:t>y with the major stakeholders involved in the production of b</w:t>
      </w:r>
      <w:r w:rsidR="002345BC">
        <w:t>lood, blood components and haematopoietic progenitor cells, for example the</w:t>
      </w:r>
      <w:r>
        <w:t xml:space="preserve"> </w:t>
      </w:r>
      <w:r w:rsidRPr="00F36A5E">
        <w:t>A</w:t>
      </w:r>
      <w:r>
        <w:t>ustralian Red Cross Blood Service</w:t>
      </w:r>
      <w:r w:rsidR="002345BC">
        <w:t>,</w:t>
      </w:r>
      <w:r w:rsidRPr="00F36A5E">
        <w:t xml:space="preserve"> </w:t>
      </w:r>
      <w:r>
        <w:t xml:space="preserve">on numerous occasions </w:t>
      </w:r>
      <w:r w:rsidRPr="00F36A5E">
        <w:t xml:space="preserve">to ensure that the requirements </w:t>
      </w:r>
      <w:r>
        <w:t xml:space="preserve">of the revised Code and ID </w:t>
      </w:r>
      <w:r w:rsidR="004F0EB2">
        <w:t>TGO</w:t>
      </w:r>
      <w:r w:rsidR="004F0EB2" w:rsidRPr="00F36A5E">
        <w:t xml:space="preserve"> </w:t>
      </w:r>
      <w:r w:rsidRPr="00F36A5E">
        <w:t xml:space="preserve">can be met. </w:t>
      </w:r>
      <w:r>
        <w:t xml:space="preserve"> </w:t>
      </w:r>
    </w:p>
    <w:p w:rsidR="007E760C" w:rsidRDefault="007E760C" w:rsidP="007E760C">
      <w:r>
        <w:t>T</w:t>
      </w:r>
      <w:r w:rsidRPr="008B30CA">
        <w:t>he TGA has attended a number of</w:t>
      </w:r>
      <w:r>
        <w:t xml:space="preserve"> </w:t>
      </w:r>
      <w:r w:rsidRPr="008B30CA">
        <w:t xml:space="preserve">industry </w:t>
      </w:r>
      <w:r>
        <w:t>meetings</w:t>
      </w:r>
      <w:r w:rsidRPr="008B30CA">
        <w:t xml:space="preserve"> </w:t>
      </w:r>
      <w:r>
        <w:t xml:space="preserve">and conducted information and education sessions </w:t>
      </w:r>
      <w:r w:rsidRPr="008B30CA">
        <w:t>during the co</w:t>
      </w:r>
      <w:r>
        <w:t xml:space="preserve">urse of the consultation rounds and beyond those. </w:t>
      </w:r>
      <w:r w:rsidRPr="008B30CA">
        <w:t xml:space="preserve">The </w:t>
      </w:r>
      <w:r>
        <w:t xml:space="preserve">major </w:t>
      </w:r>
      <w:r w:rsidRPr="008B30CA">
        <w:t xml:space="preserve">views of stakeholders expressed in </w:t>
      </w:r>
      <w:r>
        <w:t xml:space="preserve">written </w:t>
      </w:r>
      <w:r w:rsidRPr="008B30CA">
        <w:t xml:space="preserve">responses </w:t>
      </w:r>
      <w:r>
        <w:t>to the consultations were also relayed during</w:t>
      </w:r>
      <w:r w:rsidRPr="008B30CA">
        <w:t xml:space="preserve"> the</w:t>
      </w:r>
      <w:r>
        <w:t>se</w:t>
      </w:r>
      <w:r w:rsidRPr="008B30CA">
        <w:t xml:space="preserve"> meetings. Any additional stakeholder</w:t>
      </w:r>
      <w:r>
        <w:t xml:space="preserve"> feedback at these meetings was </w:t>
      </w:r>
      <w:r w:rsidRPr="008B30CA">
        <w:t>noted and where relevant, incorporated</w:t>
      </w:r>
      <w:r>
        <w:t xml:space="preserve"> in the development of the revised Code and infectious disease minimisation standard</w:t>
      </w:r>
      <w:r w:rsidRPr="008B30CA">
        <w:t>. Regular updates on</w:t>
      </w:r>
      <w:r>
        <w:t xml:space="preserve"> the development</w:t>
      </w:r>
      <w:r w:rsidRPr="008B30CA">
        <w:t xml:space="preserve"> </w:t>
      </w:r>
      <w:r>
        <w:t xml:space="preserve">of the revised Code and ID </w:t>
      </w:r>
      <w:r w:rsidR="004F0EB2">
        <w:t xml:space="preserve">TGO </w:t>
      </w:r>
      <w:r w:rsidRPr="008B30CA">
        <w:t xml:space="preserve">has been included in TGA newsletters, which are provided on the TGA website and distributed via email to all individuals </w:t>
      </w:r>
      <w:r>
        <w:t xml:space="preserve">who have registered their interest in being included </w:t>
      </w:r>
      <w:r w:rsidRPr="008B30CA">
        <w:t xml:space="preserve">on </w:t>
      </w:r>
      <w:r>
        <w:t>TGA’s sta</w:t>
      </w:r>
      <w:r w:rsidRPr="008B30CA">
        <w:t>keholder database.</w:t>
      </w:r>
      <w:r>
        <w:t xml:space="preserve"> </w:t>
      </w:r>
    </w:p>
    <w:p w:rsidR="007E760C" w:rsidRDefault="007E760C" w:rsidP="007E760C">
      <w:r>
        <w:t xml:space="preserve">All of the public submissions received during consultation and information on how they have been addressed by the TGA, including a detailed tabulation of issues in Round 2,  are available on the TGA website: Round 1 </w:t>
      </w:r>
      <w:hyperlink r:id="rId17" w:history="1">
        <w:r w:rsidRPr="004411C1">
          <w:rPr>
            <w:rStyle w:val="Hyperlink"/>
          </w:rPr>
          <w:t>http://www.tga.gov.au/newsroom/consult-bt-standards-0912.htm</w:t>
        </w:r>
      </w:hyperlink>
      <w:r>
        <w:t xml:space="preserve"> and Round 2 </w:t>
      </w:r>
      <w:hyperlink r:id="rId18" w:history="1">
        <w:r w:rsidRPr="004411C1">
          <w:rPr>
            <w:rStyle w:val="Hyperlink"/>
          </w:rPr>
          <w:t>http://www.tga.gov.au/newsroom/consult-bt-</w:t>
        </w:r>
        <w:r w:rsidRPr="004411C1">
          <w:rPr>
            <w:rStyle w:val="Hyperlink"/>
          </w:rPr>
          <w:lastRenderedPageBreak/>
          <w:t>standards-1012.htm</w:t>
        </w:r>
      </w:hyperlink>
      <w:r>
        <w:t xml:space="preserve">. </w:t>
      </w:r>
      <w:r w:rsidR="002345BC">
        <w:t xml:space="preserve">A summary of the concerns </w:t>
      </w:r>
      <w:proofErr w:type="gramStart"/>
      <w:r w:rsidR="002345BC">
        <w:t>raised</w:t>
      </w:r>
      <w:proofErr w:type="gramEnd"/>
      <w:r w:rsidR="002345BC">
        <w:t xml:space="preserve"> during consultation and the steps taken to address them are detailed below separately for the Code and the ID </w:t>
      </w:r>
      <w:r w:rsidR="004F0EB2">
        <w:t>TGO</w:t>
      </w:r>
      <w:r>
        <w:t>.</w:t>
      </w:r>
    </w:p>
    <w:p w:rsidR="0075413F" w:rsidRDefault="0075413F" w:rsidP="0075413F">
      <w:r>
        <w:t xml:space="preserve">The TGC Subcommittee on Biologicals (see below) had a significant role in the development and endorsement of the initial documents released for first round consultation in Dec 2009.  All feedback was considered by the </w:t>
      </w:r>
      <w:r w:rsidR="00F66697">
        <w:t>sub</w:t>
      </w:r>
      <w:r>
        <w:t xml:space="preserve">committee in TGA’s further development of the documents. The ID </w:t>
      </w:r>
      <w:r w:rsidR="004F0EB2">
        <w:t xml:space="preserve">TGO </w:t>
      </w:r>
      <w:r>
        <w:t>was significantly amended in response to the first round of stakeholder comments. The revised documents were endorsed by the TGC Subcommittee in July 2010 for a second round of public consultation in November 2010. Further public consultation was not required for the revised Code, as feedback from the first consultation resulted in only min</w:t>
      </w:r>
      <w:r w:rsidR="00F66697">
        <w:t xml:space="preserve">or amendments. As per </w:t>
      </w:r>
      <w:r>
        <w:t>advice</w:t>
      </w:r>
      <w:r w:rsidR="00F66697">
        <w:t xml:space="preserve"> from the subcommittee</w:t>
      </w:r>
      <w:r>
        <w:t>, the revised Code was included in the second round for information.</w:t>
      </w:r>
      <w:r w:rsidRPr="00157375">
        <w:t xml:space="preserve"> </w:t>
      </w:r>
      <w:r>
        <w:t xml:space="preserve">An enthusiastic response was received from 42 organisations during both rounds of consultation, </w:t>
      </w:r>
      <w:r w:rsidRPr="008B30CA">
        <w:t>including industry stakeholders, public health organisations and speciali</w:t>
      </w:r>
      <w:r>
        <w:t xml:space="preserve">sts, and government departments. </w:t>
      </w:r>
    </w:p>
    <w:p w:rsidR="000A77AA" w:rsidRDefault="000A77AA" w:rsidP="000A77AA">
      <w:pPr>
        <w:pStyle w:val="Heading3"/>
      </w:pPr>
      <w:bookmarkStart w:id="55" w:name="_Toc341452852"/>
      <w:r>
        <w:t>Therapeutic Goods Committee- Subcommittee on Biologicals</w:t>
      </w:r>
      <w:bookmarkEnd w:id="55"/>
    </w:p>
    <w:p w:rsidR="0002772D" w:rsidRDefault="000A77AA" w:rsidP="000A77AA">
      <w:pPr>
        <w:rPr>
          <w:rFonts w:asciiTheme="minorHAnsi" w:hAnsiTheme="minorHAnsi"/>
          <w:color w:val="000000"/>
          <w:shd w:val="clear" w:color="auto" w:fill="FFFFFF"/>
        </w:rPr>
      </w:pPr>
      <w:r w:rsidRPr="005B4CAA">
        <w:t xml:space="preserve">The </w:t>
      </w:r>
      <w:r>
        <w:t>revised Code and infectious disease</w:t>
      </w:r>
      <w:r w:rsidR="0002772D">
        <w:t xml:space="preserve"> minimisation standard were</w:t>
      </w:r>
      <w:r>
        <w:t xml:space="preserve"> developed in close association with the </w:t>
      </w:r>
      <w:r w:rsidRPr="005B4CAA">
        <w:t>Therapeutic Goods Committee</w:t>
      </w:r>
      <w:r>
        <w:t xml:space="preserve"> (TGC)</w:t>
      </w:r>
      <w:r w:rsidRPr="005B4CAA">
        <w:t xml:space="preserve"> </w:t>
      </w:r>
      <w:r>
        <w:t>Subcommittee on Biological</w:t>
      </w:r>
      <w:r w:rsidR="0002772D">
        <w:t xml:space="preserve">s. </w:t>
      </w:r>
      <w:r w:rsidR="0054184D" w:rsidRPr="0054184D">
        <w:t>The</w:t>
      </w:r>
      <w:r w:rsidR="0054184D" w:rsidRPr="0054184D">
        <w:rPr>
          <w:color w:val="000000"/>
          <w:shd w:val="clear" w:color="auto" w:fill="FFFFFF"/>
        </w:rPr>
        <w:t xml:space="preserve"> </w:t>
      </w:r>
      <w:r w:rsidR="0054184D">
        <w:rPr>
          <w:color w:val="000000"/>
          <w:shd w:val="clear" w:color="auto" w:fill="FFFFFF"/>
        </w:rPr>
        <w:t>TGC</w:t>
      </w:r>
      <w:r w:rsidR="0002772D" w:rsidRPr="0054184D">
        <w:rPr>
          <w:color w:val="000000"/>
          <w:shd w:val="clear" w:color="auto" w:fill="FFFFFF"/>
        </w:rPr>
        <w:t xml:space="preserve"> is established under regulation 34 of the Regulations to advise and make recommendations to the Minister for Health and Ageing on the adoption of standards for therapeutic goods, matters relating to standards for therapeutic goods and various other matters. Membership to this committee </w:t>
      </w:r>
      <w:r w:rsidR="0054184D" w:rsidRPr="0054184D">
        <w:rPr>
          <w:color w:val="000000"/>
          <w:shd w:val="clear" w:color="auto" w:fill="FFFFFF"/>
        </w:rPr>
        <w:t>is appointed by the Minister for Health and ageing and includes experts in various fields relevant to therapeutic goods regulation, and nominees of organisations which represent the interests of the therapeutic goods industry as well as consumers of health services. The Subcommittee on Biologicals was comprised of a</w:t>
      </w:r>
      <w:r w:rsidR="00A72C92">
        <w:rPr>
          <w:color w:val="000000"/>
          <w:shd w:val="clear" w:color="auto" w:fill="FFFFFF"/>
        </w:rPr>
        <w:t xml:space="preserve"> </w:t>
      </w:r>
      <w:r w:rsidR="004B53E5">
        <w:rPr>
          <w:color w:val="000000"/>
          <w:shd w:val="clear" w:color="auto" w:fill="FFFFFF"/>
        </w:rPr>
        <w:t>group of subject matter experts a</w:t>
      </w:r>
      <w:r w:rsidR="00A72C92">
        <w:rPr>
          <w:color w:val="000000"/>
          <w:shd w:val="clear" w:color="auto" w:fill="FFFFFF"/>
        </w:rPr>
        <w:t>n</w:t>
      </w:r>
      <w:r w:rsidR="004B53E5">
        <w:rPr>
          <w:color w:val="000000"/>
          <w:shd w:val="clear" w:color="auto" w:fill="FFFFFF"/>
        </w:rPr>
        <w:t>d report</w:t>
      </w:r>
      <w:r w:rsidR="00A72C92">
        <w:rPr>
          <w:color w:val="000000"/>
          <w:shd w:val="clear" w:color="auto" w:fill="FFFFFF"/>
        </w:rPr>
        <w:t>ed</w:t>
      </w:r>
      <w:r w:rsidR="004B53E5">
        <w:rPr>
          <w:color w:val="000000"/>
          <w:shd w:val="clear" w:color="auto" w:fill="FFFFFF"/>
        </w:rPr>
        <w:t xml:space="preserve"> to the TGC</w:t>
      </w:r>
      <w:r w:rsidR="0054184D" w:rsidRPr="0054184D">
        <w:rPr>
          <w:color w:val="000000"/>
          <w:shd w:val="clear" w:color="auto" w:fill="FFFFFF"/>
        </w:rPr>
        <w:t>.</w:t>
      </w:r>
      <w:r w:rsidR="0002772D">
        <w:rPr>
          <w:rFonts w:asciiTheme="minorHAnsi" w:hAnsiTheme="minorHAnsi"/>
          <w:color w:val="000000"/>
          <w:shd w:val="clear" w:color="auto" w:fill="FFFFFF"/>
        </w:rPr>
        <w:t xml:space="preserve"> </w:t>
      </w:r>
    </w:p>
    <w:p w:rsidR="002345BC" w:rsidRDefault="002345BC" w:rsidP="002345BC">
      <w:pPr>
        <w:pStyle w:val="Heading3"/>
      </w:pPr>
      <w:bookmarkStart w:id="56" w:name="_Toc341452853"/>
      <w:r>
        <w:t>The Code</w:t>
      </w:r>
      <w:bookmarkEnd w:id="56"/>
    </w:p>
    <w:p w:rsidR="002345BC" w:rsidRDefault="002345BC" w:rsidP="002345BC">
      <w:r>
        <w:t xml:space="preserve">Overall there was industry support for the revised Code. Stakeholder concerns regarding the revised </w:t>
      </w:r>
      <w:r w:rsidR="002D197A">
        <w:t xml:space="preserve">Code </w:t>
      </w:r>
      <w:r>
        <w:t>can be summarised into four main categories:</w:t>
      </w:r>
    </w:p>
    <w:p w:rsidR="002345BC" w:rsidRDefault="002345BC" w:rsidP="002345BC">
      <w:pPr>
        <w:pStyle w:val="ListParagraph"/>
        <w:numPr>
          <w:ilvl w:val="0"/>
          <w:numId w:val="16"/>
        </w:numPr>
      </w:pPr>
      <w:r>
        <w:t>Editorial</w:t>
      </w:r>
    </w:p>
    <w:p w:rsidR="002345BC" w:rsidRDefault="002345BC" w:rsidP="002345BC">
      <w:pPr>
        <w:pStyle w:val="ListParagraph"/>
        <w:numPr>
          <w:ilvl w:val="0"/>
          <w:numId w:val="16"/>
        </w:numPr>
      </w:pPr>
      <w:r>
        <w:t>Requests for addition/deletion of clauses</w:t>
      </w:r>
    </w:p>
    <w:p w:rsidR="002345BC" w:rsidRDefault="002345BC" w:rsidP="002345BC">
      <w:pPr>
        <w:pStyle w:val="ListParagraph"/>
        <w:numPr>
          <w:ilvl w:val="0"/>
          <w:numId w:val="16"/>
        </w:numPr>
      </w:pPr>
      <w:r>
        <w:t>Clarification of intent of certain clauses and aspects</w:t>
      </w:r>
    </w:p>
    <w:p w:rsidR="002345BC" w:rsidRDefault="002345BC" w:rsidP="002345BC">
      <w:pPr>
        <w:pStyle w:val="ListParagraph"/>
        <w:numPr>
          <w:ilvl w:val="0"/>
          <w:numId w:val="16"/>
        </w:numPr>
      </w:pPr>
      <w:r>
        <w:t>Suggestions for separate codes for tissue manufacturers.</w:t>
      </w:r>
    </w:p>
    <w:p w:rsidR="002345BC" w:rsidRDefault="002345BC" w:rsidP="006743A5">
      <w:r>
        <w:t xml:space="preserve">To address these concerns a glossary has been included in the </w:t>
      </w:r>
      <w:r w:rsidR="00B2768B">
        <w:t>Australian Regulatory Guideline for Biologicals (ARGB</w:t>
      </w:r>
      <w:r w:rsidR="00496B2E">
        <w:t xml:space="preserve">) </w:t>
      </w:r>
      <w:r w:rsidR="00B56D6F">
        <w:t>(</w:t>
      </w:r>
      <w:r w:rsidR="00B56D6F" w:rsidRPr="00B56D6F">
        <w:t>http://www.tga.gov.au/industry/biologicals-argb.htm</w:t>
      </w:r>
      <w:r w:rsidR="00B56D6F">
        <w:t>)</w:t>
      </w:r>
      <w:r>
        <w:t>, a</w:t>
      </w:r>
      <w:r w:rsidR="00B56D6F">
        <w:t>nd further information has been published on the TGA website to assist interpretation</w:t>
      </w:r>
      <w:r w:rsidR="0075413F">
        <w:t xml:space="preserve"> (</w:t>
      </w:r>
      <w:hyperlink r:id="rId19" w:history="1">
        <w:r w:rsidR="0075413F">
          <w:rPr>
            <w:rStyle w:val="Hyperlink"/>
          </w:rPr>
          <w:t>http://www.tga.gov.au/industry/biologicals-framework.htm</w:t>
        </w:r>
      </w:hyperlink>
      <w:r w:rsidR="0075413F">
        <w:t>)</w:t>
      </w:r>
      <w:r w:rsidR="00B56D6F">
        <w:t xml:space="preserve">. </w:t>
      </w:r>
      <w:r>
        <w:t xml:space="preserve"> </w:t>
      </w:r>
      <w:r w:rsidR="006743A5">
        <w:t>W</w:t>
      </w:r>
      <w:r>
        <w:t>here required, the draft Code was edited to improve clarity.</w:t>
      </w:r>
    </w:p>
    <w:p w:rsidR="002345BC" w:rsidRDefault="002345BC" w:rsidP="002345BC">
      <w:r>
        <w:t>Following the above amendments to address stakeholder concerns, the TGC Subcommittee for Biologicals endorsed the revised Code at its 5</w:t>
      </w:r>
      <w:r w:rsidRPr="007C02DC">
        <w:rPr>
          <w:vertAlign w:val="superscript"/>
        </w:rPr>
        <w:t>th</w:t>
      </w:r>
      <w:r>
        <w:t xml:space="preserve"> meeting</w:t>
      </w:r>
      <w:r w:rsidR="00A65B2B">
        <w:t xml:space="preserve"> on 10</w:t>
      </w:r>
      <w:r>
        <w:t xml:space="preserve"> March 2011.</w:t>
      </w:r>
    </w:p>
    <w:p w:rsidR="002345BC" w:rsidRDefault="002345BC" w:rsidP="002345BC">
      <w:pPr>
        <w:pStyle w:val="Heading3"/>
      </w:pPr>
      <w:bookmarkStart w:id="57" w:name="_Toc341452854"/>
      <w:r>
        <w:lastRenderedPageBreak/>
        <w:t xml:space="preserve">Infectious Disease Minimisation Order </w:t>
      </w:r>
      <w:bookmarkEnd w:id="57"/>
    </w:p>
    <w:p w:rsidR="002345BC" w:rsidRDefault="002345BC" w:rsidP="002345BC">
      <w:r>
        <w:t xml:space="preserve">To remove the technical requirements from the Code to make it more universal, requirements for infectious disease minimisation were transferred to a specific </w:t>
      </w:r>
      <w:r w:rsidR="00EA2805">
        <w:t>TGO</w:t>
      </w:r>
      <w:r>
        <w:t xml:space="preserve">. The </w:t>
      </w:r>
      <w:r w:rsidR="009A42CD">
        <w:t xml:space="preserve">ID TGO </w:t>
      </w:r>
      <w:r>
        <w:t>is intended to complement the revised Code to ensure that public health and safety is protected during the manufacturing of HCTs, but still allowing flexibility for emerging technologies to comply with the Code.</w:t>
      </w:r>
    </w:p>
    <w:p w:rsidR="002345BC" w:rsidRDefault="002345BC" w:rsidP="002345BC">
      <w:r>
        <w:t xml:space="preserve">Similar to the Code, the </w:t>
      </w:r>
      <w:r w:rsidR="0089234E">
        <w:t xml:space="preserve">ID TGO </w:t>
      </w:r>
      <w:r>
        <w:t xml:space="preserve">was also subject to two rounds of consultation. The issues </w:t>
      </w:r>
      <w:r w:rsidR="00685C75">
        <w:t xml:space="preserve">that were </w:t>
      </w:r>
      <w:r>
        <w:t>raised during the first round of consultation included:</w:t>
      </w:r>
    </w:p>
    <w:p w:rsidR="002345BC" w:rsidRPr="00736FFE" w:rsidRDefault="002345BC" w:rsidP="002345BC">
      <w:pPr>
        <w:numPr>
          <w:ilvl w:val="0"/>
          <w:numId w:val="17"/>
        </w:numPr>
        <w:spacing w:before="100" w:beforeAutospacing="1" w:after="100" w:afterAutospacing="1" w:line="240" w:lineRule="auto"/>
      </w:pPr>
      <w:r>
        <w:t>Donor selection and testing issues</w:t>
      </w:r>
    </w:p>
    <w:p w:rsidR="002345BC" w:rsidRPr="00736FFE" w:rsidRDefault="002345BC" w:rsidP="002345BC">
      <w:pPr>
        <w:numPr>
          <w:ilvl w:val="1"/>
          <w:numId w:val="17"/>
        </w:numPr>
        <w:spacing w:before="100" w:beforeAutospacing="1" w:after="100" w:afterAutospacing="1" w:line="240" w:lineRule="auto"/>
      </w:pPr>
      <w:r w:rsidRPr="00736FFE">
        <w:t xml:space="preserve">Timing and requirements for the examination and consent of living donors </w:t>
      </w:r>
    </w:p>
    <w:p w:rsidR="002345BC" w:rsidRPr="00736FFE" w:rsidRDefault="002345BC" w:rsidP="002345BC">
      <w:pPr>
        <w:numPr>
          <w:ilvl w:val="1"/>
          <w:numId w:val="17"/>
        </w:numPr>
        <w:spacing w:before="100" w:beforeAutospacing="1" w:after="100" w:afterAutospacing="1" w:line="240" w:lineRule="auto"/>
      </w:pPr>
      <w:r w:rsidRPr="00736FFE">
        <w:t xml:space="preserve">Disease and age exclusion criteria for living donors </w:t>
      </w:r>
    </w:p>
    <w:p w:rsidR="002345BC" w:rsidRPr="00736FFE" w:rsidRDefault="002345BC" w:rsidP="002345BC">
      <w:pPr>
        <w:numPr>
          <w:ilvl w:val="1"/>
          <w:numId w:val="17"/>
        </w:numPr>
        <w:spacing w:before="100" w:beforeAutospacing="1" w:after="100" w:afterAutospacing="1" w:line="240" w:lineRule="auto"/>
      </w:pPr>
      <w:r w:rsidRPr="00736FFE">
        <w:t xml:space="preserve">Timing and requirements for sampling and testing of donors </w:t>
      </w:r>
    </w:p>
    <w:p w:rsidR="002345BC" w:rsidRPr="00736FFE" w:rsidRDefault="002345BC" w:rsidP="002345BC">
      <w:pPr>
        <w:numPr>
          <w:ilvl w:val="0"/>
          <w:numId w:val="17"/>
        </w:numPr>
        <w:spacing w:before="100" w:beforeAutospacing="1" w:after="100" w:afterAutospacing="1" w:line="240" w:lineRule="auto"/>
      </w:pPr>
      <w:r w:rsidRPr="00736FFE">
        <w:t xml:space="preserve">Assessment of microbial contamination and minimisation of bioburden </w:t>
      </w:r>
    </w:p>
    <w:p w:rsidR="002345BC" w:rsidRPr="00736FFE" w:rsidRDefault="002345BC" w:rsidP="002345BC">
      <w:pPr>
        <w:numPr>
          <w:ilvl w:val="0"/>
          <w:numId w:val="17"/>
        </w:numPr>
        <w:spacing w:before="100" w:beforeAutospacing="1" w:after="100" w:afterAutospacing="1" w:line="240" w:lineRule="auto"/>
      </w:pPr>
      <w:r w:rsidRPr="00736FFE">
        <w:t xml:space="preserve">Requirements for transport, storage, quarantine and banking </w:t>
      </w:r>
    </w:p>
    <w:p w:rsidR="002345BC" w:rsidRDefault="002345BC" w:rsidP="002345BC">
      <w:pPr>
        <w:numPr>
          <w:ilvl w:val="0"/>
          <w:numId w:val="17"/>
        </w:numPr>
        <w:spacing w:before="100" w:beforeAutospacing="1" w:after="100" w:afterAutospacing="1" w:line="240" w:lineRule="auto"/>
      </w:pPr>
      <w:r w:rsidRPr="00736FFE">
        <w:t xml:space="preserve">Standards for plasma for fractionation products. </w:t>
      </w:r>
    </w:p>
    <w:p w:rsidR="002345BC" w:rsidRDefault="002345BC" w:rsidP="002345BC">
      <w:r>
        <w:t xml:space="preserve">The draft ID </w:t>
      </w:r>
      <w:r w:rsidR="004F0EB2">
        <w:t xml:space="preserve">TGO </w:t>
      </w:r>
      <w:r>
        <w:t xml:space="preserve">was amended to address these concerns and was subject to a second round of consultation.  The following points outline the issues raised during the second round of </w:t>
      </w:r>
      <w:r w:rsidR="00B72678">
        <w:t>consultation;</w:t>
      </w:r>
      <w:r w:rsidR="009511F3">
        <w:t xml:space="preserve"> further details relating to the concerns and the approach endorsed by the TGC Sub</w:t>
      </w:r>
      <w:r w:rsidR="00227615">
        <w:t>c</w:t>
      </w:r>
      <w:r w:rsidR="009511F3">
        <w:t xml:space="preserve">ommittee are included in </w:t>
      </w:r>
      <w:r w:rsidR="009511F3" w:rsidRPr="009F04DC">
        <w:rPr>
          <w:b/>
        </w:rPr>
        <w:t>Appendix D</w:t>
      </w:r>
      <w:r w:rsidR="009511F3">
        <w:t>.</w:t>
      </w:r>
      <w:r>
        <w:t xml:space="preserve"> </w:t>
      </w:r>
    </w:p>
    <w:p w:rsidR="002345BC" w:rsidRPr="00E87EE6" w:rsidRDefault="002345BC" w:rsidP="002345BC">
      <w:pPr>
        <w:pStyle w:val="ListParagraph"/>
        <w:numPr>
          <w:ilvl w:val="0"/>
          <w:numId w:val="18"/>
        </w:numPr>
        <w:spacing w:before="0" w:after="200" w:line="276" w:lineRule="auto"/>
      </w:pPr>
      <w:r w:rsidRPr="00E87EE6">
        <w:t xml:space="preserve">Transition arrangements for implementation of the ID </w:t>
      </w:r>
      <w:r w:rsidR="004F0EB2">
        <w:t>requirements</w:t>
      </w:r>
      <w:r w:rsidR="004F0EB2" w:rsidRPr="00E87EE6">
        <w:t xml:space="preserve"> </w:t>
      </w:r>
      <w:r w:rsidRPr="00E87EE6">
        <w:t xml:space="preserve">as a TGO. </w:t>
      </w:r>
    </w:p>
    <w:p w:rsidR="000A77AA" w:rsidRPr="00E87EE6" w:rsidRDefault="002345BC" w:rsidP="002345BC">
      <w:pPr>
        <w:pStyle w:val="ListParagraph"/>
        <w:numPr>
          <w:ilvl w:val="0"/>
          <w:numId w:val="18"/>
        </w:numPr>
        <w:spacing w:before="0" w:after="200" w:line="276" w:lineRule="auto"/>
      </w:pPr>
      <w:r w:rsidRPr="00E87EE6">
        <w:t xml:space="preserve">Proposed amendments to timeframes to conduct donor medical and social history interviews. </w:t>
      </w:r>
    </w:p>
    <w:p w:rsidR="000A77AA" w:rsidRPr="00E87EE6" w:rsidRDefault="002345BC" w:rsidP="002345BC">
      <w:pPr>
        <w:pStyle w:val="ListParagraph"/>
        <w:numPr>
          <w:ilvl w:val="0"/>
          <w:numId w:val="18"/>
        </w:numPr>
        <w:spacing w:before="0" w:after="200" w:line="276" w:lineRule="auto"/>
      </w:pPr>
      <w:r w:rsidRPr="00E87EE6">
        <w:t xml:space="preserve">Applicability of donor social and medical history criteria for autologous donors. </w:t>
      </w:r>
    </w:p>
    <w:p w:rsidR="000A77AA" w:rsidRPr="00E87EE6" w:rsidRDefault="002345BC" w:rsidP="002345BC">
      <w:pPr>
        <w:pStyle w:val="ListParagraph"/>
        <w:numPr>
          <w:ilvl w:val="0"/>
          <w:numId w:val="18"/>
        </w:numPr>
        <w:spacing w:before="0" w:after="200" w:line="276" w:lineRule="auto"/>
      </w:pPr>
      <w:r w:rsidRPr="00E87EE6">
        <w:t xml:space="preserve">Ineligibility time period for non-medical drug injection. </w:t>
      </w:r>
    </w:p>
    <w:p w:rsidR="00304F7D" w:rsidRPr="00E87EE6" w:rsidRDefault="002345BC" w:rsidP="002345BC">
      <w:pPr>
        <w:pStyle w:val="ListParagraph"/>
        <w:numPr>
          <w:ilvl w:val="0"/>
          <w:numId w:val="18"/>
        </w:numPr>
        <w:spacing w:before="0" w:after="200" w:line="276" w:lineRule="auto"/>
      </w:pPr>
      <w:r w:rsidRPr="00E87EE6">
        <w:t xml:space="preserve">Ineligibility time period for risk of malaria. </w:t>
      </w:r>
    </w:p>
    <w:p w:rsidR="00304F7D" w:rsidRPr="00E87EE6" w:rsidRDefault="002345BC" w:rsidP="002345BC">
      <w:pPr>
        <w:pStyle w:val="ListParagraph"/>
        <w:numPr>
          <w:ilvl w:val="0"/>
          <w:numId w:val="18"/>
        </w:numPr>
        <w:spacing w:before="0" w:after="200" w:line="276" w:lineRule="auto"/>
      </w:pPr>
      <w:r w:rsidRPr="00E87EE6">
        <w:t xml:space="preserve">Malarial deferral for eye and cornea donations. </w:t>
      </w:r>
    </w:p>
    <w:p w:rsidR="00304F7D" w:rsidRPr="00E87EE6" w:rsidRDefault="002345BC" w:rsidP="002345BC">
      <w:pPr>
        <w:pStyle w:val="ListParagraph"/>
        <w:numPr>
          <w:ilvl w:val="0"/>
          <w:numId w:val="18"/>
        </w:numPr>
        <w:spacing w:before="0" w:after="200" w:line="276" w:lineRule="auto"/>
      </w:pPr>
      <w:r w:rsidRPr="00E87EE6">
        <w:t xml:space="preserve">Six month deferral of donor with prior exposure to risk of acquiring blood borne transmissible infection. </w:t>
      </w:r>
    </w:p>
    <w:p w:rsidR="00D87413" w:rsidRPr="00E87EE6" w:rsidRDefault="002345BC" w:rsidP="002345BC">
      <w:pPr>
        <w:pStyle w:val="ListParagraph"/>
        <w:numPr>
          <w:ilvl w:val="0"/>
          <w:numId w:val="18"/>
        </w:numPr>
        <w:spacing w:before="0" w:after="200" w:line="276" w:lineRule="auto"/>
      </w:pPr>
      <w:r w:rsidRPr="00E87EE6">
        <w:t xml:space="preserve">Ineligibility periods for donors with risk of prion disease. </w:t>
      </w:r>
    </w:p>
    <w:p w:rsidR="002345BC" w:rsidRPr="00641C04" w:rsidRDefault="0075413F" w:rsidP="002345BC">
      <w:pPr>
        <w:rPr>
          <w:highlight w:val="yellow"/>
        </w:rPr>
      </w:pPr>
      <w:r>
        <w:t xml:space="preserve">Following amendments </w:t>
      </w:r>
      <w:r w:rsidR="00B72678">
        <w:t xml:space="preserve">to the ID </w:t>
      </w:r>
      <w:r w:rsidR="004F0EB2">
        <w:t xml:space="preserve">TGO </w:t>
      </w:r>
      <w:r>
        <w:t>to address the concerns identified</w:t>
      </w:r>
      <w:r w:rsidR="00B72678">
        <w:t xml:space="preserve"> (as detailed in </w:t>
      </w:r>
      <w:r w:rsidR="00B72678" w:rsidRPr="009F04DC">
        <w:rPr>
          <w:b/>
        </w:rPr>
        <w:t>Appendix D</w:t>
      </w:r>
      <w:r w:rsidR="00B72678">
        <w:t>)</w:t>
      </w:r>
      <w:r>
        <w:t xml:space="preserve">, the TGC Subcommittee for Biologicals endorsed the revised ID </w:t>
      </w:r>
      <w:r w:rsidR="004F0EB2">
        <w:t xml:space="preserve">TGO </w:t>
      </w:r>
      <w:r>
        <w:t>at its 5</w:t>
      </w:r>
      <w:r w:rsidRPr="007C02DC">
        <w:rPr>
          <w:vertAlign w:val="superscript"/>
        </w:rPr>
        <w:t>th</w:t>
      </w:r>
      <w:r>
        <w:t xml:space="preserve"> meeting, March 10 2011.</w:t>
      </w:r>
    </w:p>
    <w:p w:rsidR="002345BC" w:rsidRPr="00A72C92" w:rsidRDefault="002345BC" w:rsidP="002345BC">
      <w:r w:rsidRPr="00A72C92">
        <w:t xml:space="preserve">There was also feedback on the potential impacts that any newly imposed requirements might have on the continuing supply of products or new supply of novel tissue and cell therapy products into the Australian market. Parts of the industry warned that if the regulation hurdles to enter the Australian market exceed those of other regulatory agencies, given the small market share of Australia that products may not be supplied into this country.  Parts of Industry also expressed concern that the costs of implementing new requirements may lead to a cease in the supply of particular tissue products. All of these views were taken into account by the TGA and TGC during the development process. </w:t>
      </w:r>
    </w:p>
    <w:p w:rsidR="00552A63" w:rsidRDefault="00552A63" w:rsidP="00552A63">
      <w:pPr>
        <w:pStyle w:val="Heading2"/>
      </w:pPr>
      <w:bookmarkStart w:id="58" w:name="_Toc341452855"/>
      <w:r>
        <w:lastRenderedPageBreak/>
        <w:t>Conclusion</w:t>
      </w:r>
      <w:bookmarkEnd w:id="58"/>
    </w:p>
    <w:p w:rsidR="0052287F" w:rsidRDefault="007C134D" w:rsidP="00552A63">
      <w:r>
        <w:t xml:space="preserve">As demonstrated above, an update to the current Code is required </w:t>
      </w:r>
      <w:r w:rsidR="002F36E1">
        <w:t xml:space="preserve">to ensure requirements for HCT </w:t>
      </w:r>
      <w:r w:rsidR="007B2FBE">
        <w:t>manufacturers remain relevant</w:t>
      </w:r>
      <w:r w:rsidR="00E70452">
        <w:t xml:space="preserve"> and adequate </w:t>
      </w:r>
      <w:r w:rsidR="007B2FBE">
        <w:t>in the current regulatory and technological environment</w:t>
      </w:r>
      <w:r w:rsidR="0052287F">
        <w:t>.</w:t>
      </w:r>
    </w:p>
    <w:p w:rsidR="002A40B0" w:rsidRDefault="002A40B0" w:rsidP="002A40B0">
      <w:r>
        <w:t>The preferred approach to implement this update is option 4, which provides for the revision of the current Code, and development of a separate</w:t>
      </w:r>
      <w:r w:rsidR="00EA2805">
        <w:t xml:space="preserve"> </w:t>
      </w:r>
      <w:r w:rsidR="001E14E6">
        <w:t>standard for</w:t>
      </w:r>
      <w:r>
        <w:t xml:space="preserve"> infectious disease minimisation. This option addresses the problems with the current situation while remaining aligned with the key objectives of the TGA and the good manufacturing principles, without imposing significant regulatory burden. </w:t>
      </w:r>
    </w:p>
    <w:p w:rsidR="002A40B0" w:rsidRDefault="002A40B0" w:rsidP="002A40B0">
      <w:r>
        <w:t>It is recognised that there are uncertainties surrounding the costs of this option and the level of benefits applicable to the industry and the Australian public. The impact on business compliance costs of these changes is expected to be low because the revised Code is principles-based, describing benchmark practices that should be followed, but permitting alternative approaches.</w:t>
      </w:r>
      <w:r w:rsidRPr="00AF52B5">
        <w:t xml:space="preserve"> </w:t>
      </w:r>
      <w:r>
        <w:t xml:space="preserve">It is also the revision of an existing Code, to which all affected manufacturers must already comply. The introduction of the ID TGO may introduce some initial resource costs for industry, and potentially a small reduction in the number of eligible HCT (specifically tissue) donors, but these costs are expected to be minimal and in most cases, changes are underway as a result of other regulatory changes recently introduced in the HCT industry. </w:t>
      </w:r>
    </w:p>
    <w:p w:rsidR="002A40B0" w:rsidRDefault="002A40B0" w:rsidP="002A40B0">
      <w:r>
        <w:t xml:space="preserve">The benefits of increased relevance to contemporary manufacturing practices, and increase in safety of HCTs through clearly defined infectious disease safety criteria, are also difficult to quantify. The improvement in clarity and international consistency is expected to facilitate regulatory compliance for Australian and overseas manufacturers, and in turn </w:t>
      </w:r>
      <w:r w:rsidRPr="00A069C7">
        <w:t xml:space="preserve">increase consumer confidence that all </w:t>
      </w:r>
      <w:r>
        <w:t>therapeutic products</w:t>
      </w:r>
      <w:r w:rsidRPr="00A069C7">
        <w:t xml:space="preserve"> in the Australian marketplace are manufactured to a similar standard regardless of whether they were manufactured locally or overseas</w:t>
      </w:r>
      <w:r>
        <w:t>.</w:t>
      </w:r>
    </w:p>
    <w:p w:rsidR="002A40B0" w:rsidRDefault="002A40B0" w:rsidP="002A40B0"/>
    <w:p w:rsidR="00AF52B5" w:rsidRDefault="00AF52B5" w:rsidP="00AF52B5"/>
    <w:p w:rsidR="00B61F03" w:rsidRDefault="00B61F03">
      <w:pPr>
        <w:spacing w:before="0" w:after="0" w:line="240" w:lineRule="auto"/>
        <w:rPr>
          <w:rFonts w:ascii="Arial" w:eastAsia="Times New Roman" w:hAnsi="Arial"/>
          <w:b/>
          <w:bCs/>
          <w:sz w:val="48"/>
          <w:szCs w:val="26"/>
        </w:rPr>
      </w:pPr>
      <w:bookmarkStart w:id="59" w:name="_Toc341452856"/>
      <w:r>
        <w:br w:type="page"/>
      </w:r>
    </w:p>
    <w:p w:rsidR="00552A63" w:rsidRDefault="00552A63" w:rsidP="00552A63">
      <w:pPr>
        <w:pStyle w:val="Heading2"/>
      </w:pPr>
      <w:r>
        <w:lastRenderedPageBreak/>
        <w:t>Implementation</w:t>
      </w:r>
      <w:bookmarkEnd w:id="59"/>
      <w:r>
        <w:t xml:space="preserve"> </w:t>
      </w:r>
    </w:p>
    <w:p w:rsidR="00552A63" w:rsidRDefault="00552A63" w:rsidP="00552A63">
      <w:r>
        <w:t>The TGA prop</w:t>
      </w:r>
      <w:r w:rsidR="00AB6BED">
        <w:t>o</w:t>
      </w:r>
      <w:r>
        <w:t xml:space="preserve">ses to implement the revised Code and </w:t>
      </w:r>
      <w:r w:rsidR="0024581F">
        <w:t xml:space="preserve">ID TGO </w:t>
      </w:r>
      <w:r>
        <w:t>in the following manner:</w:t>
      </w:r>
    </w:p>
    <w:p w:rsidR="00552A63" w:rsidRDefault="00552A63" w:rsidP="00552A63">
      <w:pPr>
        <w:numPr>
          <w:ilvl w:val="0"/>
          <w:numId w:val="19"/>
        </w:numPr>
        <w:spacing w:before="0" w:after="200" w:line="276" w:lineRule="auto"/>
      </w:pPr>
      <w:r>
        <w:t>the revised Co</w:t>
      </w:r>
      <w:r w:rsidR="00AB6BED">
        <w:t>de be implemented via revised manufacturing principles</w:t>
      </w:r>
      <w:r>
        <w:t xml:space="preserve"> under Section 36(1) of the TG Act</w:t>
      </w:r>
      <w:r w:rsidR="009C62E3">
        <w:t>, and</w:t>
      </w:r>
    </w:p>
    <w:p w:rsidR="00552A63" w:rsidRDefault="00552A63" w:rsidP="00552A63">
      <w:pPr>
        <w:numPr>
          <w:ilvl w:val="0"/>
          <w:numId w:val="19"/>
        </w:numPr>
        <w:spacing w:before="0" w:after="200" w:line="276" w:lineRule="auto"/>
      </w:pPr>
      <w:proofErr w:type="gramStart"/>
      <w:r>
        <w:t>the</w:t>
      </w:r>
      <w:proofErr w:type="gramEnd"/>
      <w:r>
        <w:t xml:space="preserve"> </w:t>
      </w:r>
      <w:r w:rsidR="00AB6BED">
        <w:t xml:space="preserve">ID </w:t>
      </w:r>
      <w:r w:rsidR="004F0EB2">
        <w:t>requirements are</w:t>
      </w:r>
      <w:r>
        <w:t xml:space="preserve"> </w:t>
      </w:r>
      <w:r w:rsidR="00AB6BED">
        <w:t xml:space="preserve">to be </w:t>
      </w:r>
      <w:r>
        <w:t>implemented as a TGO under Section 10 of</w:t>
      </w:r>
      <w:r w:rsidR="00AB6BED">
        <w:t xml:space="preserve"> the</w:t>
      </w:r>
      <w:r w:rsidR="00685C75">
        <w:t xml:space="preserve"> Act</w:t>
      </w:r>
      <w:r>
        <w:t xml:space="preserve"> contemporaneously. </w:t>
      </w:r>
    </w:p>
    <w:p w:rsidR="00552A63" w:rsidRPr="00EF4A66" w:rsidRDefault="00552A63" w:rsidP="00552A63">
      <w:pPr>
        <w:rPr>
          <w:i/>
        </w:rPr>
      </w:pPr>
      <w:r>
        <w:rPr>
          <w:i/>
        </w:rPr>
        <w:t>S</w:t>
      </w:r>
      <w:r w:rsidRPr="00EF4A66">
        <w:rPr>
          <w:i/>
        </w:rPr>
        <w:t>ponsors and man</w:t>
      </w:r>
      <w:r w:rsidR="00AB6BED">
        <w:rPr>
          <w:i/>
        </w:rPr>
        <w:t>ufacturers of existing products</w:t>
      </w:r>
    </w:p>
    <w:p w:rsidR="00552A63" w:rsidRPr="00930062" w:rsidRDefault="00552A63" w:rsidP="00552A63">
      <w:pPr>
        <w:numPr>
          <w:ilvl w:val="0"/>
          <w:numId w:val="20"/>
        </w:numPr>
        <w:spacing w:before="0" w:after="200" w:line="276" w:lineRule="auto"/>
      </w:pPr>
      <w:r>
        <w:t>A</w:t>
      </w:r>
      <w:r w:rsidRPr="00930062">
        <w:t xml:space="preserve"> transit</w:t>
      </w:r>
      <w:r>
        <w:t>ion period of 12 month</w:t>
      </w:r>
      <w:r w:rsidR="00AB6BED">
        <w:t xml:space="preserve">s will be given from the time of implementation of the Code and </w:t>
      </w:r>
      <w:r w:rsidR="00F33A1E">
        <w:t xml:space="preserve">ID </w:t>
      </w:r>
      <w:r w:rsidR="00AB6BED">
        <w:t>TGO</w:t>
      </w:r>
      <w:r w:rsidRPr="00930062">
        <w:t xml:space="preserve">, to provide sufficient time for </w:t>
      </w:r>
      <w:r>
        <w:t>manufacturers of therapeutic products to address the updated requirements.</w:t>
      </w:r>
    </w:p>
    <w:p w:rsidR="00552A63" w:rsidRPr="00930062" w:rsidRDefault="00552A63" w:rsidP="00552A63">
      <w:pPr>
        <w:numPr>
          <w:ilvl w:val="0"/>
          <w:numId w:val="20"/>
        </w:numPr>
        <w:spacing w:before="0" w:after="200" w:line="276" w:lineRule="auto"/>
      </w:pPr>
      <w:r>
        <w:t>Sponsors and manufacturers of relevant therapeutic products</w:t>
      </w:r>
      <w:r w:rsidRPr="00930062">
        <w:t xml:space="preserve"> </w:t>
      </w:r>
      <w:r>
        <w:t>will continue to be informed of significant updates in regard to implementation of the updated requirements via the TGA website and will be further</w:t>
      </w:r>
      <w:r w:rsidRPr="00930062">
        <w:t xml:space="preserve"> advised soon after the transition period commences of the need to transition their </w:t>
      </w:r>
      <w:r>
        <w:t xml:space="preserve">existing </w:t>
      </w:r>
      <w:r w:rsidRPr="00930062">
        <w:t>products</w:t>
      </w:r>
      <w:r>
        <w:t>.</w:t>
      </w:r>
    </w:p>
    <w:p w:rsidR="00552A63" w:rsidRDefault="00552A63" w:rsidP="00552A63">
      <w:pPr>
        <w:numPr>
          <w:ilvl w:val="0"/>
          <w:numId w:val="20"/>
        </w:numPr>
        <w:spacing w:before="0" w:after="200" w:line="276" w:lineRule="auto"/>
      </w:pPr>
      <w:r>
        <w:t xml:space="preserve">If a periodical or unscheduled </w:t>
      </w:r>
      <w:r w:rsidR="00B2768B">
        <w:t xml:space="preserve">inspection </w:t>
      </w:r>
      <w:r>
        <w:t>is to occur within the 12-month transition period, manufacturers</w:t>
      </w:r>
      <w:r w:rsidR="00496B2E">
        <w:t xml:space="preserve"> both locally and internationally</w:t>
      </w:r>
      <w:r>
        <w:t xml:space="preserve"> will have the option to be </w:t>
      </w:r>
      <w:r w:rsidR="00496B2E">
        <w:t>inspected against</w:t>
      </w:r>
      <w:r>
        <w:t xml:space="preserve"> the existing Code or the revised Code (2</w:t>
      </w:r>
      <w:r w:rsidR="00AB6BED">
        <w:t xml:space="preserve">012) and the new ID </w:t>
      </w:r>
      <w:r w:rsidR="004F0EB2">
        <w:t>TGO</w:t>
      </w:r>
      <w:r>
        <w:t>. This will ensure the existing manufacturing licence</w:t>
      </w:r>
      <w:r w:rsidR="00496B2E">
        <w:t xml:space="preserve"> or certificate</w:t>
      </w:r>
      <w:r>
        <w:t xml:space="preserve"> remains current.   </w:t>
      </w:r>
    </w:p>
    <w:p w:rsidR="00552A63" w:rsidRPr="00930062" w:rsidRDefault="00552A63" w:rsidP="00552A63">
      <w:pPr>
        <w:numPr>
          <w:ilvl w:val="0"/>
          <w:numId w:val="20"/>
        </w:numPr>
        <w:spacing w:before="0" w:after="200" w:line="276" w:lineRule="auto"/>
      </w:pPr>
      <w:r w:rsidRPr="00930062">
        <w:t xml:space="preserve">Prior to the conclusion of the transition period, relevant </w:t>
      </w:r>
      <w:r>
        <w:t>manufacturers</w:t>
      </w:r>
      <w:r w:rsidRPr="00930062">
        <w:t xml:space="preserve"> will be reminded of t</w:t>
      </w:r>
      <w:r>
        <w:t xml:space="preserve">he need to review their existing manufacturing practice against the revised Code (2012) and put the appropriate compliance measures in place for </w:t>
      </w:r>
      <w:r w:rsidRPr="00930062">
        <w:t>their products</w:t>
      </w:r>
      <w:r>
        <w:t>.</w:t>
      </w:r>
    </w:p>
    <w:p w:rsidR="00552A63" w:rsidRPr="00930062" w:rsidRDefault="00552A63" w:rsidP="00552A63">
      <w:pPr>
        <w:numPr>
          <w:ilvl w:val="0"/>
          <w:numId w:val="20"/>
        </w:numPr>
        <w:spacing w:before="0" w:after="200" w:line="276" w:lineRule="auto"/>
      </w:pPr>
      <w:r w:rsidRPr="00930062">
        <w:t xml:space="preserve">At the conclusion of the transition period, </w:t>
      </w:r>
      <w:r>
        <w:t xml:space="preserve">all manufacturers of </w:t>
      </w:r>
      <w:r w:rsidR="00AB6BED">
        <w:t xml:space="preserve">affected </w:t>
      </w:r>
      <w:r>
        <w:t xml:space="preserve">therapeutic products must comply with the revised Code (2012), as demonstrated at </w:t>
      </w:r>
      <w:r w:rsidR="00B2768B">
        <w:t>the inspection</w:t>
      </w:r>
      <w:r>
        <w:t>. Any non-compliant manufacturers will be notified of TGA’s intent to withdraw or suspend their manufacturing licence</w:t>
      </w:r>
      <w:r w:rsidR="007C2B5D">
        <w:t>, or be issued with a licence on the basis that specific conditions apply</w:t>
      </w:r>
      <w:r>
        <w:t>.</w:t>
      </w:r>
    </w:p>
    <w:p w:rsidR="00552A63" w:rsidRDefault="00552A63" w:rsidP="00552A63">
      <w:pPr>
        <w:numPr>
          <w:ilvl w:val="0"/>
          <w:numId w:val="20"/>
        </w:numPr>
        <w:spacing w:before="0" w:after="200" w:line="276" w:lineRule="auto"/>
      </w:pPr>
      <w:bookmarkStart w:id="60" w:name="_Toc390220942"/>
      <w:bookmarkStart w:id="61" w:name="_Toc390061299"/>
      <w:bookmarkStart w:id="62" w:name="_Toc389451985"/>
      <w:bookmarkStart w:id="63" w:name="_Toc389387422"/>
      <w:bookmarkStart w:id="64" w:name="_Toc388695658"/>
      <w:bookmarkEnd w:id="60"/>
      <w:bookmarkEnd w:id="61"/>
      <w:bookmarkEnd w:id="62"/>
      <w:bookmarkEnd w:id="63"/>
      <w:bookmarkEnd w:id="64"/>
      <w:r>
        <w:t>As is consistent with other Codes and product standards, TGA will review the impact of the update following implementation. These reviews may incorporate audit findings, complaints, appeals and applications for exemptions from specific requirements introduced with the regulatory change.</w:t>
      </w:r>
    </w:p>
    <w:p w:rsidR="00552A63" w:rsidRPr="00A11B6F" w:rsidRDefault="00552A63" w:rsidP="00552A63">
      <w:pPr>
        <w:rPr>
          <w:i/>
        </w:rPr>
      </w:pPr>
      <w:r w:rsidRPr="00A11B6F">
        <w:rPr>
          <w:i/>
        </w:rPr>
        <w:t>Sponsors a</w:t>
      </w:r>
      <w:r w:rsidR="00AB6BED">
        <w:rPr>
          <w:i/>
        </w:rPr>
        <w:t>nd manufacturers of new products</w:t>
      </w:r>
    </w:p>
    <w:p w:rsidR="00552A63" w:rsidRDefault="00552A63" w:rsidP="00552A63">
      <w:pPr>
        <w:numPr>
          <w:ilvl w:val="0"/>
          <w:numId w:val="21"/>
        </w:numPr>
        <w:spacing w:before="0" w:after="200" w:line="276" w:lineRule="auto"/>
      </w:pPr>
      <w:r>
        <w:t>Sponsors and manufacturers of relevant products</w:t>
      </w:r>
      <w:r w:rsidRPr="00930062">
        <w:t xml:space="preserve"> </w:t>
      </w:r>
      <w:r>
        <w:t>will continue to be informed of significant updates in regard to implementation of the updated re</w:t>
      </w:r>
      <w:r w:rsidR="00AB6BED">
        <w:t xml:space="preserve">quirements via the TGA website </w:t>
      </w:r>
      <w:r>
        <w:t xml:space="preserve">and </w:t>
      </w:r>
    </w:p>
    <w:p w:rsidR="00552A63" w:rsidRDefault="00552A63" w:rsidP="00552A63">
      <w:pPr>
        <w:numPr>
          <w:ilvl w:val="0"/>
          <w:numId w:val="21"/>
        </w:numPr>
        <w:spacing w:before="0" w:after="200" w:line="276" w:lineRule="auto"/>
      </w:pPr>
      <w:r>
        <w:lastRenderedPageBreak/>
        <w:t xml:space="preserve">Must comply with the requirements of the revised Code (2012) and new </w:t>
      </w:r>
      <w:r w:rsidR="00F33A1E">
        <w:t xml:space="preserve">ID </w:t>
      </w:r>
      <w:r>
        <w:t xml:space="preserve">TGO at the time of application for a new manufacturing license and submission of </w:t>
      </w:r>
      <w:r w:rsidR="00EF47FC">
        <w:t xml:space="preserve">a </w:t>
      </w:r>
      <w:r>
        <w:t>dossier</w:t>
      </w:r>
      <w:r w:rsidR="00EF47FC">
        <w:t xml:space="preserve"> if required</w:t>
      </w:r>
      <w:r>
        <w:t xml:space="preserve">. </w:t>
      </w:r>
    </w:p>
    <w:p w:rsidR="00897E0D" w:rsidRPr="00407C10" w:rsidRDefault="00897E0D" w:rsidP="00897E0D"/>
    <w:p w:rsidR="00AB6BED" w:rsidRDefault="00AB6BED">
      <w:pPr>
        <w:spacing w:before="0" w:after="0" w:line="240" w:lineRule="auto"/>
      </w:pPr>
      <w:r>
        <w:br w:type="page"/>
      </w:r>
    </w:p>
    <w:p w:rsidR="00C6785B" w:rsidRDefault="00C6785B" w:rsidP="00552A63">
      <w:pPr>
        <w:pStyle w:val="Heading2"/>
      </w:pPr>
      <w:bookmarkStart w:id="65" w:name="_Toc341452857"/>
      <w:r>
        <w:lastRenderedPageBreak/>
        <w:t>Acronyms and Glossary</w:t>
      </w:r>
      <w:bookmarkEnd w:id="6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09"/>
        <w:gridCol w:w="6911"/>
      </w:tblGrid>
      <w:tr w:rsidR="001E7398" w:rsidRPr="00FF7BC5" w:rsidTr="002956F9">
        <w:tc>
          <w:tcPr>
            <w:tcW w:w="1809" w:type="dxa"/>
          </w:tcPr>
          <w:p w:rsidR="001E7398" w:rsidRPr="00FF7BC5" w:rsidRDefault="001E7398" w:rsidP="00A94071">
            <w:pPr>
              <w:spacing w:before="120"/>
            </w:pPr>
            <w:r w:rsidRPr="00FF7BC5">
              <w:t>Code</w:t>
            </w:r>
          </w:p>
        </w:tc>
        <w:tc>
          <w:tcPr>
            <w:tcW w:w="6911" w:type="dxa"/>
          </w:tcPr>
          <w:p w:rsidR="001E7398" w:rsidRPr="00FF7BC5" w:rsidRDefault="001E7398" w:rsidP="00A94071">
            <w:pPr>
              <w:spacing w:before="120"/>
            </w:pPr>
            <w:r w:rsidRPr="00E41F73">
              <w:rPr>
                <w:i/>
              </w:rPr>
              <w:t xml:space="preserve">Code </w:t>
            </w:r>
            <w:r>
              <w:rPr>
                <w:i/>
              </w:rPr>
              <w:t>of Good Manufacturing Practice</w:t>
            </w:r>
            <w:r w:rsidRPr="00E41F73">
              <w:rPr>
                <w:i/>
              </w:rPr>
              <w:t xml:space="preserve"> for Blood and Tissues (2000)</w:t>
            </w:r>
          </w:p>
        </w:tc>
      </w:tr>
      <w:tr w:rsidR="001E7398" w:rsidRPr="00FF7BC5" w:rsidTr="002956F9">
        <w:tc>
          <w:tcPr>
            <w:tcW w:w="1809" w:type="dxa"/>
          </w:tcPr>
          <w:p w:rsidR="001E7398" w:rsidRPr="00FF7BC5" w:rsidRDefault="001E7398" w:rsidP="00A94071">
            <w:pPr>
              <w:spacing w:before="120"/>
            </w:pPr>
            <w:r w:rsidRPr="00FF7BC5">
              <w:t>GMP</w:t>
            </w:r>
          </w:p>
        </w:tc>
        <w:tc>
          <w:tcPr>
            <w:tcW w:w="6911" w:type="dxa"/>
          </w:tcPr>
          <w:p w:rsidR="001E7398" w:rsidRPr="00FF7BC5" w:rsidRDefault="001E7398" w:rsidP="00A94071">
            <w:pPr>
              <w:spacing w:before="120"/>
            </w:pPr>
            <w:r>
              <w:t>Good manufacturing practice</w:t>
            </w:r>
          </w:p>
        </w:tc>
      </w:tr>
      <w:tr w:rsidR="001E7398" w:rsidRPr="00FF7BC5" w:rsidTr="002956F9">
        <w:tc>
          <w:tcPr>
            <w:tcW w:w="1809" w:type="dxa"/>
          </w:tcPr>
          <w:p w:rsidR="001E7398" w:rsidRPr="00FF7BC5" w:rsidRDefault="001E7398" w:rsidP="00A94071">
            <w:pPr>
              <w:spacing w:before="120"/>
            </w:pPr>
            <w:r w:rsidRPr="00FF7BC5">
              <w:t>Standards</w:t>
            </w:r>
          </w:p>
        </w:tc>
        <w:tc>
          <w:tcPr>
            <w:tcW w:w="6911" w:type="dxa"/>
          </w:tcPr>
          <w:p w:rsidR="001E7398" w:rsidRPr="00FF7BC5" w:rsidRDefault="001E7398" w:rsidP="00A94071">
            <w:pPr>
              <w:spacing w:before="120"/>
            </w:pPr>
            <w:r>
              <w:t xml:space="preserve">As specified under section 10 of the </w:t>
            </w:r>
            <w:r w:rsidRPr="0056080E">
              <w:rPr>
                <w:i/>
              </w:rPr>
              <w:t>Act</w:t>
            </w:r>
            <w:r>
              <w:t xml:space="preserve"> or contained within monographs of British Pharmacopoeia, European Pharmacopoeia and United States Pharmacopoeia-National Formulary</w:t>
            </w:r>
          </w:p>
        </w:tc>
      </w:tr>
      <w:tr w:rsidR="001E7398" w:rsidRPr="00FF7BC5" w:rsidTr="002956F9">
        <w:tc>
          <w:tcPr>
            <w:tcW w:w="1809" w:type="dxa"/>
          </w:tcPr>
          <w:p w:rsidR="001E7398" w:rsidRPr="00FF7BC5" w:rsidRDefault="001E7398" w:rsidP="00A94071">
            <w:pPr>
              <w:spacing w:before="120"/>
            </w:pPr>
            <w:r w:rsidRPr="00FF7BC5">
              <w:t>TGA</w:t>
            </w:r>
          </w:p>
        </w:tc>
        <w:tc>
          <w:tcPr>
            <w:tcW w:w="6911" w:type="dxa"/>
          </w:tcPr>
          <w:p w:rsidR="001E7398" w:rsidRPr="00FF7BC5" w:rsidRDefault="001E7398" w:rsidP="00A94071">
            <w:pPr>
              <w:spacing w:before="120"/>
            </w:pPr>
            <w:r>
              <w:t>Therapeutic Goods Administration</w:t>
            </w:r>
          </w:p>
        </w:tc>
      </w:tr>
      <w:tr w:rsidR="001E7398" w:rsidRPr="00FF7BC5" w:rsidTr="002956F9">
        <w:tc>
          <w:tcPr>
            <w:tcW w:w="1809" w:type="dxa"/>
          </w:tcPr>
          <w:p w:rsidR="001E7398" w:rsidRPr="00FF7BC5" w:rsidRDefault="001E7398" w:rsidP="00A94071">
            <w:pPr>
              <w:spacing w:before="120"/>
            </w:pPr>
            <w:r w:rsidRPr="00FF7BC5">
              <w:t>HCT</w:t>
            </w:r>
          </w:p>
        </w:tc>
        <w:tc>
          <w:tcPr>
            <w:tcW w:w="6911" w:type="dxa"/>
          </w:tcPr>
          <w:p w:rsidR="001E7398" w:rsidRPr="00FF7BC5" w:rsidRDefault="001E7398" w:rsidP="00940927">
            <w:pPr>
              <w:spacing w:before="120"/>
            </w:pPr>
            <w:r>
              <w:t xml:space="preserve">human </w:t>
            </w:r>
            <w:r w:rsidR="00940927">
              <w:t>cell and tissue therapy</w:t>
            </w:r>
          </w:p>
        </w:tc>
      </w:tr>
      <w:tr w:rsidR="001E7398" w:rsidRPr="00FF7BC5" w:rsidTr="002956F9">
        <w:tc>
          <w:tcPr>
            <w:tcW w:w="1809" w:type="dxa"/>
          </w:tcPr>
          <w:p w:rsidR="001E7398" w:rsidRPr="00FF7BC5" w:rsidRDefault="001E7398" w:rsidP="00A94071">
            <w:pPr>
              <w:spacing w:before="120"/>
            </w:pPr>
            <w:r w:rsidRPr="00FF7BC5">
              <w:t>HPC</w:t>
            </w:r>
          </w:p>
        </w:tc>
        <w:tc>
          <w:tcPr>
            <w:tcW w:w="6911" w:type="dxa"/>
          </w:tcPr>
          <w:p w:rsidR="001E7398" w:rsidRPr="00FF7BC5" w:rsidRDefault="001E7398" w:rsidP="00A94071">
            <w:pPr>
              <w:spacing w:before="120"/>
            </w:pPr>
            <w:r>
              <w:t>Haematopoietic progenitor cells</w:t>
            </w:r>
          </w:p>
        </w:tc>
      </w:tr>
      <w:tr w:rsidR="001E7398" w:rsidRPr="00FF7BC5" w:rsidTr="002956F9">
        <w:tc>
          <w:tcPr>
            <w:tcW w:w="1809" w:type="dxa"/>
          </w:tcPr>
          <w:p w:rsidR="001E7398" w:rsidRPr="00FF7BC5" w:rsidRDefault="001E7398" w:rsidP="00A94071">
            <w:pPr>
              <w:spacing w:before="120"/>
            </w:pPr>
            <w:r w:rsidRPr="00FF7BC5">
              <w:t xml:space="preserve">MP </w:t>
            </w:r>
          </w:p>
        </w:tc>
        <w:tc>
          <w:tcPr>
            <w:tcW w:w="6911" w:type="dxa"/>
          </w:tcPr>
          <w:p w:rsidR="001E7398" w:rsidRPr="00FF7BC5" w:rsidRDefault="001E7398" w:rsidP="00A94071">
            <w:pPr>
              <w:spacing w:before="120"/>
            </w:pPr>
            <w:r>
              <w:t>Manufacturing principles</w:t>
            </w:r>
          </w:p>
        </w:tc>
      </w:tr>
      <w:tr w:rsidR="001E7398" w:rsidRPr="00FF7BC5" w:rsidTr="002956F9">
        <w:tc>
          <w:tcPr>
            <w:tcW w:w="1809" w:type="dxa"/>
          </w:tcPr>
          <w:p w:rsidR="001E7398" w:rsidRPr="00FF7BC5" w:rsidRDefault="001E7398" w:rsidP="00A94071">
            <w:pPr>
              <w:spacing w:before="120"/>
            </w:pPr>
            <w:r w:rsidRPr="00FF7BC5">
              <w:t>TGO</w:t>
            </w:r>
          </w:p>
        </w:tc>
        <w:tc>
          <w:tcPr>
            <w:tcW w:w="6911" w:type="dxa"/>
          </w:tcPr>
          <w:p w:rsidR="001E7398" w:rsidRPr="00FF7BC5" w:rsidRDefault="001E7398" w:rsidP="00A94071">
            <w:pPr>
              <w:spacing w:before="120"/>
            </w:pPr>
            <w:r>
              <w:t>Therapeutic Goods Order</w:t>
            </w:r>
          </w:p>
        </w:tc>
      </w:tr>
      <w:tr w:rsidR="001E7398" w:rsidRPr="00FF7BC5" w:rsidTr="002956F9">
        <w:tc>
          <w:tcPr>
            <w:tcW w:w="1809" w:type="dxa"/>
          </w:tcPr>
          <w:p w:rsidR="001E7398" w:rsidRPr="00FF7BC5" w:rsidRDefault="001E7398" w:rsidP="00A94071">
            <w:pPr>
              <w:spacing w:before="120"/>
            </w:pPr>
            <w:r>
              <w:t>Do</w:t>
            </w:r>
            <w:r w:rsidRPr="00FF7BC5">
              <w:t>HA</w:t>
            </w:r>
          </w:p>
        </w:tc>
        <w:tc>
          <w:tcPr>
            <w:tcW w:w="6911" w:type="dxa"/>
          </w:tcPr>
          <w:p w:rsidR="001E7398" w:rsidRPr="00FF7BC5" w:rsidRDefault="001E7398" w:rsidP="00A94071">
            <w:pPr>
              <w:spacing w:before="120"/>
            </w:pPr>
            <w:r>
              <w:t>Department of Health and Ageing</w:t>
            </w:r>
          </w:p>
        </w:tc>
      </w:tr>
      <w:tr w:rsidR="001E7398" w:rsidRPr="00FF7BC5" w:rsidTr="002956F9">
        <w:tc>
          <w:tcPr>
            <w:tcW w:w="1809" w:type="dxa"/>
          </w:tcPr>
          <w:p w:rsidR="001E7398" w:rsidRPr="00FF7BC5" w:rsidRDefault="001E7398" w:rsidP="00A94071">
            <w:pPr>
              <w:spacing w:before="120"/>
            </w:pPr>
            <w:r>
              <w:t xml:space="preserve">the </w:t>
            </w:r>
            <w:r w:rsidRPr="00FF7BC5">
              <w:t>Act</w:t>
            </w:r>
          </w:p>
        </w:tc>
        <w:tc>
          <w:tcPr>
            <w:tcW w:w="6911" w:type="dxa"/>
          </w:tcPr>
          <w:p w:rsidR="001E7398" w:rsidRPr="001E7398" w:rsidRDefault="001E7398" w:rsidP="00A94071">
            <w:pPr>
              <w:spacing w:before="120"/>
              <w:rPr>
                <w:i/>
              </w:rPr>
            </w:pPr>
            <w:r w:rsidRPr="001E7398">
              <w:rPr>
                <w:i/>
              </w:rPr>
              <w:t>Therapeutic Goods Act 1989</w:t>
            </w:r>
          </w:p>
        </w:tc>
      </w:tr>
      <w:tr w:rsidR="001E7398" w:rsidRPr="00FF7BC5" w:rsidTr="002956F9">
        <w:tc>
          <w:tcPr>
            <w:tcW w:w="1809" w:type="dxa"/>
          </w:tcPr>
          <w:p w:rsidR="001E7398" w:rsidRPr="00FF7BC5" w:rsidRDefault="001E7398" w:rsidP="00A94071">
            <w:pPr>
              <w:spacing w:before="120"/>
            </w:pPr>
            <w:r>
              <w:t>the Regulations</w:t>
            </w:r>
          </w:p>
        </w:tc>
        <w:tc>
          <w:tcPr>
            <w:tcW w:w="6911" w:type="dxa"/>
          </w:tcPr>
          <w:p w:rsidR="001E7398" w:rsidRPr="005B16AA" w:rsidRDefault="001E7398" w:rsidP="00A94071">
            <w:pPr>
              <w:spacing w:before="120"/>
              <w:rPr>
                <w:i/>
              </w:rPr>
            </w:pPr>
            <w:r w:rsidRPr="005B16AA">
              <w:rPr>
                <w:i/>
              </w:rPr>
              <w:t>Therapeutic Goods Regulations 1990</w:t>
            </w:r>
          </w:p>
        </w:tc>
      </w:tr>
      <w:tr w:rsidR="001E7398" w:rsidRPr="00FF7BC5" w:rsidTr="002956F9">
        <w:tc>
          <w:tcPr>
            <w:tcW w:w="1809" w:type="dxa"/>
          </w:tcPr>
          <w:p w:rsidR="001E7398" w:rsidRPr="00FF7BC5" w:rsidRDefault="001E7398" w:rsidP="00A94071">
            <w:pPr>
              <w:spacing w:before="120"/>
            </w:pPr>
            <w:r>
              <w:t>Biologicals</w:t>
            </w:r>
          </w:p>
        </w:tc>
        <w:tc>
          <w:tcPr>
            <w:tcW w:w="6911" w:type="dxa"/>
          </w:tcPr>
          <w:p w:rsidR="001E7398" w:rsidRDefault="001E7398" w:rsidP="00A94071">
            <w:pPr>
              <w:spacing w:before="120"/>
            </w:pPr>
            <w:r>
              <w:t>Human cell and tissue-based therapeutic goods</w:t>
            </w:r>
          </w:p>
        </w:tc>
      </w:tr>
      <w:tr w:rsidR="001E7398" w:rsidRPr="00FF7BC5" w:rsidTr="002956F9">
        <w:tc>
          <w:tcPr>
            <w:tcW w:w="1809" w:type="dxa"/>
          </w:tcPr>
          <w:p w:rsidR="001E7398" w:rsidRDefault="001E7398" w:rsidP="00A94071">
            <w:pPr>
              <w:spacing w:before="120"/>
            </w:pPr>
            <w:r>
              <w:t>vCJD</w:t>
            </w:r>
          </w:p>
        </w:tc>
        <w:tc>
          <w:tcPr>
            <w:tcW w:w="6911" w:type="dxa"/>
          </w:tcPr>
          <w:p w:rsidR="001E7398" w:rsidRDefault="001E7398" w:rsidP="00A94071">
            <w:pPr>
              <w:spacing w:before="120"/>
            </w:pPr>
            <w:r>
              <w:t>Variant Creutzfeldt-Jakob disease</w:t>
            </w:r>
          </w:p>
        </w:tc>
      </w:tr>
      <w:tr w:rsidR="001E7398" w:rsidRPr="00FF7BC5" w:rsidTr="002956F9">
        <w:tc>
          <w:tcPr>
            <w:tcW w:w="1809" w:type="dxa"/>
          </w:tcPr>
          <w:p w:rsidR="001E7398" w:rsidRPr="00FF7BC5" w:rsidRDefault="001E7398" w:rsidP="00A94071">
            <w:pPr>
              <w:spacing w:before="120"/>
            </w:pPr>
            <w:r>
              <w:t>WHO</w:t>
            </w:r>
          </w:p>
        </w:tc>
        <w:tc>
          <w:tcPr>
            <w:tcW w:w="6911" w:type="dxa"/>
          </w:tcPr>
          <w:p w:rsidR="001E7398" w:rsidRDefault="001E7398" w:rsidP="00A94071">
            <w:pPr>
              <w:spacing w:before="120"/>
            </w:pPr>
            <w:r>
              <w:t>World Health Organisation</w:t>
            </w:r>
          </w:p>
        </w:tc>
      </w:tr>
      <w:tr w:rsidR="001E7398" w:rsidRPr="00FF7BC5" w:rsidTr="002956F9">
        <w:tc>
          <w:tcPr>
            <w:tcW w:w="1809" w:type="dxa"/>
          </w:tcPr>
          <w:p w:rsidR="001E7398" w:rsidRDefault="001E7398" w:rsidP="00A94071">
            <w:pPr>
              <w:spacing w:before="120"/>
            </w:pPr>
            <w:r>
              <w:t>CDC</w:t>
            </w:r>
          </w:p>
        </w:tc>
        <w:tc>
          <w:tcPr>
            <w:tcW w:w="6911" w:type="dxa"/>
          </w:tcPr>
          <w:p w:rsidR="001E7398" w:rsidRDefault="001E7398" w:rsidP="00A94071">
            <w:pPr>
              <w:spacing w:before="120"/>
            </w:pPr>
            <w:r>
              <w:t>Centres for disease control and prevention</w:t>
            </w:r>
          </w:p>
        </w:tc>
      </w:tr>
      <w:tr w:rsidR="001E7398" w:rsidRPr="00FF7BC5" w:rsidTr="002956F9">
        <w:tc>
          <w:tcPr>
            <w:tcW w:w="1809" w:type="dxa"/>
          </w:tcPr>
          <w:p w:rsidR="001E7398" w:rsidRDefault="001E7398" w:rsidP="00A94071">
            <w:pPr>
              <w:spacing w:before="120"/>
            </w:pPr>
            <w:r>
              <w:t>TGC Subcommittee</w:t>
            </w:r>
          </w:p>
        </w:tc>
        <w:tc>
          <w:tcPr>
            <w:tcW w:w="6911" w:type="dxa"/>
          </w:tcPr>
          <w:p w:rsidR="001E7398" w:rsidRPr="00877DDF" w:rsidRDefault="001E7398" w:rsidP="00A94071">
            <w:pPr>
              <w:widowControl w:val="0"/>
              <w:autoSpaceDE w:val="0"/>
              <w:autoSpaceDN w:val="0"/>
              <w:spacing w:before="120" w:after="0" w:line="240" w:lineRule="auto"/>
              <w:rPr>
                <w:rFonts w:eastAsia="MS Mincho"/>
                <w:lang w:val="en-US" w:eastAsia="en-AU"/>
              </w:rPr>
            </w:pPr>
            <w:r w:rsidRPr="00877DDF">
              <w:rPr>
                <w:rFonts w:eastAsia="MS Mincho"/>
                <w:lang w:val="en-US" w:eastAsia="en-AU"/>
              </w:rPr>
              <w:t>Therapeutic Goods Committee Subcommittee on Biologicals</w:t>
            </w:r>
          </w:p>
        </w:tc>
      </w:tr>
      <w:tr w:rsidR="001E7398" w:rsidRPr="00FF7BC5" w:rsidTr="002956F9">
        <w:tc>
          <w:tcPr>
            <w:tcW w:w="1809" w:type="dxa"/>
          </w:tcPr>
          <w:p w:rsidR="001E7398" w:rsidRDefault="001E7398" w:rsidP="00A94071">
            <w:pPr>
              <w:spacing w:before="120"/>
            </w:pPr>
            <w:r>
              <w:t xml:space="preserve">ID </w:t>
            </w:r>
            <w:r w:rsidR="004F0EB2">
              <w:t>TGO</w:t>
            </w:r>
          </w:p>
        </w:tc>
        <w:tc>
          <w:tcPr>
            <w:tcW w:w="6911" w:type="dxa"/>
          </w:tcPr>
          <w:p w:rsidR="001E7398" w:rsidRDefault="001E7398" w:rsidP="00A94071">
            <w:pPr>
              <w:spacing w:before="120"/>
            </w:pPr>
            <w:r>
              <w:t xml:space="preserve">Therapeutic Goods Order for infectious disease minimisation </w:t>
            </w:r>
          </w:p>
        </w:tc>
      </w:tr>
      <w:tr w:rsidR="00F66697" w:rsidRPr="00FF7BC5" w:rsidTr="002956F9">
        <w:tc>
          <w:tcPr>
            <w:tcW w:w="1809" w:type="dxa"/>
          </w:tcPr>
          <w:p w:rsidR="00F66697" w:rsidRDefault="00F66697" w:rsidP="00A94071">
            <w:pPr>
              <w:spacing w:before="120"/>
            </w:pPr>
            <w:r>
              <w:t>Autologous</w:t>
            </w:r>
          </w:p>
        </w:tc>
        <w:tc>
          <w:tcPr>
            <w:tcW w:w="6911" w:type="dxa"/>
          </w:tcPr>
          <w:p w:rsidR="00F66697" w:rsidRDefault="00F66697" w:rsidP="00A94071">
            <w:pPr>
              <w:spacing w:before="120"/>
            </w:pPr>
            <w:r>
              <w:t xml:space="preserve">Obtained or used in the same individual </w:t>
            </w:r>
          </w:p>
        </w:tc>
      </w:tr>
      <w:tr w:rsidR="00F66697" w:rsidRPr="00FF7BC5" w:rsidTr="002956F9">
        <w:tc>
          <w:tcPr>
            <w:tcW w:w="1809" w:type="dxa"/>
          </w:tcPr>
          <w:p w:rsidR="00F66697" w:rsidRDefault="00F66697" w:rsidP="00823201">
            <w:r>
              <w:t>Allogeneic</w:t>
            </w:r>
          </w:p>
        </w:tc>
        <w:tc>
          <w:tcPr>
            <w:tcW w:w="6911" w:type="dxa"/>
          </w:tcPr>
          <w:p w:rsidR="00F66697" w:rsidRDefault="00F66697" w:rsidP="001E7398">
            <w:r>
              <w:t>Tissues or cells that are genetically dissimilar</w:t>
            </w:r>
          </w:p>
        </w:tc>
      </w:tr>
    </w:tbl>
    <w:p w:rsidR="00823201" w:rsidRDefault="00823201">
      <w:pPr>
        <w:spacing w:before="0" w:after="0" w:line="240" w:lineRule="auto"/>
        <w:sectPr w:rsidR="00823201" w:rsidSect="007A72C6">
          <w:footerReference w:type="default" r:id="rId20"/>
          <w:type w:val="continuous"/>
          <w:pgSz w:w="11906" w:h="16838" w:code="9"/>
          <w:pgMar w:top="1701" w:right="1701" w:bottom="1560" w:left="1701" w:header="907" w:footer="142" w:gutter="0"/>
          <w:cols w:space="708"/>
          <w:docGrid w:linePitch="360"/>
        </w:sectPr>
      </w:pPr>
      <w:bookmarkStart w:id="66" w:name="_GoBack"/>
      <w:bookmarkEnd w:id="66"/>
    </w:p>
    <w:p w:rsidR="00823201" w:rsidRDefault="00823201" w:rsidP="00823201">
      <w:pPr>
        <w:pStyle w:val="Heading3"/>
      </w:pPr>
      <w:bookmarkStart w:id="67" w:name="_Toc341452858"/>
      <w:r>
        <w:lastRenderedPageBreak/>
        <w:t xml:space="preserve">Appendix </w:t>
      </w:r>
      <w:r w:rsidR="009F04DC">
        <w:t>A</w:t>
      </w:r>
      <w:r>
        <w:t>: Summary of Changes to the Code</w:t>
      </w:r>
      <w:bookmarkEnd w:id="67"/>
      <w:r>
        <w:t xml:space="preserve"> </w:t>
      </w:r>
    </w:p>
    <w:p w:rsidR="00823201" w:rsidRDefault="00823201" w:rsidP="00823201">
      <w:r>
        <w:t xml:space="preserve">There are a number of changes proposed in the revised Code. Following is a summary of selected changes that reflect increased clarity and flexibility in the revised code: </w:t>
      </w:r>
    </w:p>
    <w:tbl>
      <w:tblPr>
        <w:tblStyle w:val="TableGrid"/>
        <w:tblW w:w="5000" w:type="pct"/>
        <w:tblLook w:val="04A0"/>
      </w:tblPr>
      <w:tblGrid>
        <w:gridCol w:w="3249"/>
        <w:gridCol w:w="3472"/>
        <w:gridCol w:w="6421"/>
      </w:tblGrid>
      <w:tr w:rsidR="00823201" w:rsidRPr="00823201" w:rsidTr="00823201">
        <w:trPr>
          <w:tblHeader/>
        </w:trPr>
        <w:tc>
          <w:tcPr>
            <w:tcW w:w="1236" w:type="pct"/>
            <w:shd w:val="clear" w:color="auto" w:fill="BAE7FF" w:themeFill="background2" w:themeFillTint="33"/>
          </w:tcPr>
          <w:p w:rsidR="00823201" w:rsidRPr="00823201" w:rsidRDefault="00823201" w:rsidP="00823201">
            <w:pPr>
              <w:pStyle w:val="ListBullet"/>
              <w:numPr>
                <w:ilvl w:val="0"/>
                <w:numId w:val="0"/>
              </w:numPr>
              <w:rPr>
                <w:rFonts w:asciiTheme="minorHAnsi" w:hAnsiTheme="minorHAnsi"/>
                <w:b/>
                <w:sz w:val="20"/>
                <w:szCs w:val="20"/>
              </w:rPr>
            </w:pPr>
            <w:r w:rsidRPr="00823201">
              <w:rPr>
                <w:rFonts w:asciiTheme="minorHAnsi" w:hAnsiTheme="minorHAnsi"/>
                <w:b/>
                <w:sz w:val="20"/>
                <w:szCs w:val="20"/>
              </w:rPr>
              <w:t>Existing Code of GMP (2000)</w:t>
            </w:r>
          </w:p>
        </w:tc>
        <w:tc>
          <w:tcPr>
            <w:tcW w:w="1321" w:type="pct"/>
            <w:shd w:val="clear" w:color="auto" w:fill="BAE7FF" w:themeFill="background2" w:themeFillTint="33"/>
          </w:tcPr>
          <w:p w:rsidR="00823201" w:rsidRPr="00823201" w:rsidRDefault="00823201" w:rsidP="00823201">
            <w:pPr>
              <w:pStyle w:val="ListBullet"/>
              <w:numPr>
                <w:ilvl w:val="0"/>
                <w:numId w:val="0"/>
              </w:numPr>
              <w:rPr>
                <w:rFonts w:asciiTheme="minorHAnsi" w:hAnsiTheme="minorHAnsi"/>
                <w:b/>
                <w:sz w:val="20"/>
                <w:szCs w:val="20"/>
              </w:rPr>
            </w:pPr>
            <w:r w:rsidRPr="00823201">
              <w:rPr>
                <w:rFonts w:asciiTheme="minorHAnsi" w:hAnsiTheme="minorHAnsi"/>
                <w:b/>
                <w:sz w:val="20"/>
                <w:szCs w:val="20"/>
              </w:rPr>
              <w:t>Revised Code of GMP (2012)</w:t>
            </w:r>
          </w:p>
        </w:tc>
        <w:tc>
          <w:tcPr>
            <w:tcW w:w="2443" w:type="pct"/>
            <w:shd w:val="clear" w:color="auto" w:fill="BAE7FF" w:themeFill="background2" w:themeFillTint="33"/>
          </w:tcPr>
          <w:p w:rsidR="00823201" w:rsidRPr="00823201" w:rsidRDefault="00823201" w:rsidP="00823201">
            <w:pPr>
              <w:pStyle w:val="ListBullet"/>
              <w:numPr>
                <w:ilvl w:val="0"/>
                <w:numId w:val="0"/>
              </w:numPr>
              <w:ind w:left="284"/>
              <w:rPr>
                <w:rFonts w:asciiTheme="minorHAnsi" w:hAnsiTheme="minorHAnsi"/>
                <w:b/>
                <w:sz w:val="20"/>
                <w:szCs w:val="20"/>
              </w:rPr>
            </w:pPr>
            <w:r w:rsidRPr="00823201">
              <w:rPr>
                <w:rFonts w:asciiTheme="minorHAnsi" w:hAnsiTheme="minorHAnsi"/>
                <w:b/>
                <w:sz w:val="20"/>
                <w:szCs w:val="20"/>
              </w:rPr>
              <w:t>Impact on manufacturers</w:t>
            </w:r>
          </w:p>
        </w:tc>
      </w:tr>
      <w:tr w:rsidR="00823201" w:rsidRPr="00823201" w:rsidTr="00823201">
        <w:tc>
          <w:tcPr>
            <w:tcW w:w="1236" w:type="pct"/>
          </w:tcPr>
          <w:p w:rsidR="00AB181F" w:rsidRPr="00823201" w:rsidRDefault="00AB181F" w:rsidP="00AB181F">
            <w:pPr>
              <w:autoSpaceDE w:val="0"/>
              <w:autoSpaceDN w:val="0"/>
              <w:spacing w:after="0" w:line="240" w:lineRule="auto"/>
              <w:jc w:val="both"/>
              <w:rPr>
                <w:rFonts w:asciiTheme="minorHAnsi" w:eastAsia="MS Mincho" w:hAnsiTheme="minorHAnsi" w:cs="Arial"/>
                <w:b/>
                <w:bCs/>
                <w:sz w:val="20"/>
                <w:szCs w:val="20"/>
                <w:lang w:eastAsia="en-AU"/>
              </w:rPr>
            </w:pPr>
            <w:r w:rsidRPr="00823201">
              <w:rPr>
                <w:rFonts w:asciiTheme="minorHAnsi" w:eastAsia="MS Mincho" w:hAnsiTheme="minorHAnsi" w:cs="Arial"/>
                <w:b/>
                <w:bCs/>
                <w:sz w:val="20"/>
                <w:szCs w:val="20"/>
                <w:lang w:eastAsia="en-AU"/>
              </w:rPr>
              <w:t>Clause 911:</w:t>
            </w:r>
          </w:p>
          <w:p w:rsidR="00823201" w:rsidRPr="00823201" w:rsidRDefault="00AB181F" w:rsidP="00AB181F">
            <w:pPr>
              <w:autoSpaceDE w:val="0"/>
              <w:autoSpaceDN w:val="0"/>
              <w:spacing w:after="0" w:line="240" w:lineRule="auto"/>
              <w:jc w:val="both"/>
              <w:rPr>
                <w:rFonts w:asciiTheme="minorHAnsi" w:eastAsia="MS Mincho" w:hAnsiTheme="minorHAnsi" w:cs="Arial"/>
                <w:b/>
                <w:bCs/>
                <w:sz w:val="20"/>
                <w:szCs w:val="20"/>
                <w:lang w:eastAsia="en-AU"/>
              </w:rPr>
            </w:pPr>
            <w:r w:rsidRPr="00823201">
              <w:rPr>
                <w:rFonts w:asciiTheme="minorHAnsi" w:eastAsia="MS Mincho" w:hAnsiTheme="minorHAnsi" w:cs="Arial"/>
                <w:sz w:val="20"/>
                <w:szCs w:val="20"/>
                <w:lang w:eastAsia="en-AU"/>
              </w:rPr>
              <w:t xml:space="preserve">There </w:t>
            </w:r>
            <w:r w:rsidRPr="00823201">
              <w:rPr>
                <w:rFonts w:asciiTheme="minorHAnsi" w:eastAsia="MS Mincho" w:hAnsiTheme="minorHAnsi" w:cs="Arial"/>
                <w:b/>
                <w:bCs/>
                <w:sz w:val="20"/>
                <w:szCs w:val="20"/>
                <w:lang w:eastAsia="en-AU"/>
              </w:rPr>
              <w:t xml:space="preserve">must </w:t>
            </w:r>
            <w:r w:rsidRPr="00823201">
              <w:rPr>
                <w:rFonts w:asciiTheme="minorHAnsi" w:eastAsia="MS Mincho" w:hAnsiTheme="minorHAnsi" w:cs="Arial"/>
                <w:sz w:val="20"/>
                <w:szCs w:val="20"/>
                <w:lang w:eastAsia="en-AU"/>
              </w:rPr>
              <w:t>be stated regular reviews of process records. The frequency of review may depend</w:t>
            </w:r>
            <w:r w:rsidRPr="00823201">
              <w:rPr>
                <w:rFonts w:asciiTheme="minorHAnsi" w:eastAsia="MS Mincho" w:hAnsiTheme="minorHAnsi" w:cs="Arial"/>
                <w:b/>
                <w:bCs/>
                <w:sz w:val="20"/>
                <w:szCs w:val="20"/>
                <w:lang w:eastAsia="en-AU"/>
              </w:rPr>
              <w:t xml:space="preserve"> </w:t>
            </w:r>
            <w:r w:rsidRPr="00823201">
              <w:rPr>
                <w:rFonts w:asciiTheme="minorHAnsi" w:eastAsia="MS Mincho" w:hAnsiTheme="minorHAnsi" w:cs="Arial"/>
                <w:sz w:val="20"/>
                <w:szCs w:val="20"/>
                <w:lang w:eastAsia="en-AU"/>
              </w:rPr>
              <w:t>on the incidence of non-conformances discovered at internal audit and/or the frequency of product out of specification.</w:t>
            </w:r>
          </w:p>
        </w:tc>
        <w:tc>
          <w:tcPr>
            <w:tcW w:w="1321" w:type="pct"/>
          </w:tcPr>
          <w:p w:rsidR="00AB181F" w:rsidRPr="00823201" w:rsidRDefault="00AB181F" w:rsidP="00AB181F">
            <w:pPr>
              <w:pStyle w:val="ListBullet"/>
              <w:numPr>
                <w:ilvl w:val="0"/>
                <w:numId w:val="0"/>
              </w:numPr>
              <w:spacing w:line="240" w:lineRule="auto"/>
              <w:rPr>
                <w:rFonts w:asciiTheme="minorHAnsi" w:hAnsiTheme="minorHAnsi"/>
                <w:sz w:val="20"/>
                <w:szCs w:val="20"/>
              </w:rPr>
            </w:pPr>
            <w:r w:rsidRPr="00823201">
              <w:rPr>
                <w:rFonts w:asciiTheme="minorHAnsi" w:hAnsiTheme="minorHAnsi"/>
                <w:b/>
                <w:sz w:val="20"/>
                <w:szCs w:val="20"/>
              </w:rPr>
              <w:t>Clause 113:</w:t>
            </w:r>
            <w:r w:rsidRPr="00823201">
              <w:rPr>
                <w:rFonts w:asciiTheme="minorHAnsi" w:hAnsiTheme="minorHAnsi"/>
                <w:sz w:val="20"/>
                <w:szCs w:val="20"/>
              </w:rPr>
              <w:t xml:space="preserve"> </w:t>
            </w:r>
            <w:r w:rsidRPr="00823201">
              <w:rPr>
                <w:rFonts w:asciiTheme="minorHAnsi" w:eastAsia="MS Mincho" w:hAnsiTheme="minorHAnsi" w:cs="Arial"/>
                <w:color w:val="000000"/>
                <w:sz w:val="20"/>
                <w:szCs w:val="20"/>
                <w:lang w:eastAsia="en-AU"/>
              </w:rPr>
              <w:t xml:space="preserve">Regular periodic quality reviews of all products should be conducted with the objective of verifying the consistency of processes and the appropriateness of current specifications for both starting materials and finished product. Quality reviews may be grouped by product type where scientifically justified. Trends should be highlighted to identify necessary product and process improvements. Such reviews should be conducted and documented annually, taking into account previous reviews, and should include, as applicable: </w:t>
            </w:r>
          </w:p>
          <w:p w:rsidR="00AB181F" w:rsidRPr="00823201" w:rsidRDefault="00AB181F" w:rsidP="00AB181F">
            <w:pPr>
              <w:pStyle w:val="ListParagraph"/>
              <w:numPr>
                <w:ilvl w:val="0"/>
                <w:numId w:val="30"/>
              </w:numPr>
              <w:autoSpaceDE w:val="0"/>
              <w:autoSpaceDN w:val="0"/>
              <w:adjustRightInd w:val="0"/>
              <w:snapToGrid w:val="0"/>
              <w:spacing w:before="0" w:after="0" w:line="240" w:lineRule="auto"/>
              <w:ind w:left="153" w:hanging="141"/>
              <w:rPr>
                <w:rFonts w:asciiTheme="minorHAnsi" w:eastAsia="MS Mincho" w:hAnsiTheme="minorHAnsi" w:cs="Arial"/>
                <w:color w:val="000000"/>
                <w:sz w:val="20"/>
                <w:szCs w:val="20"/>
                <w:lang w:eastAsia="en-AU"/>
              </w:rPr>
            </w:pPr>
            <w:r w:rsidRPr="00823201">
              <w:rPr>
                <w:rFonts w:asciiTheme="minorHAnsi" w:eastAsia="MS Mincho" w:hAnsiTheme="minorHAnsi" w:cs="Arial"/>
                <w:color w:val="000000"/>
                <w:sz w:val="20"/>
                <w:szCs w:val="20"/>
                <w:lang w:eastAsia="en-AU"/>
              </w:rPr>
              <w:t xml:space="preserve">A review of material used for the product, especially those from new sources. </w:t>
            </w:r>
          </w:p>
          <w:p w:rsidR="00AB181F" w:rsidRPr="00823201" w:rsidRDefault="00AB181F" w:rsidP="00AB181F">
            <w:pPr>
              <w:pStyle w:val="ListParagraph"/>
              <w:numPr>
                <w:ilvl w:val="0"/>
                <w:numId w:val="30"/>
              </w:numPr>
              <w:autoSpaceDE w:val="0"/>
              <w:autoSpaceDN w:val="0"/>
              <w:adjustRightInd w:val="0"/>
              <w:snapToGrid w:val="0"/>
              <w:spacing w:before="0" w:after="0" w:line="240" w:lineRule="auto"/>
              <w:ind w:left="153" w:hanging="141"/>
              <w:rPr>
                <w:rFonts w:asciiTheme="minorHAnsi" w:eastAsia="MS Mincho" w:hAnsiTheme="minorHAnsi" w:cs="Arial"/>
                <w:color w:val="000000"/>
                <w:sz w:val="20"/>
                <w:szCs w:val="20"/>
                <w:lang w:eastAsia="en-AU"/>
              </w:rPr>
            </w:pPr>
            <w:r w:rsidRPr="00823201">
              <w:rPr>
                <w:rFonts w:asciiTheme="minorHAnsi" w:eastAsia="MS Mincho" w:hAnsiTheme="minorHAnsi" w:cs="Arial"/>
                <w:color w:val="000000"/>
                <w:sz w:val="20"/>
                <w:szCs w:val="20"/>
                <w:lang w:eastAsia="en-AU"/>
              </w:rPr>
              <w:t xml:space="preserve">A review of critical in-process controls and finished product results. </w:t>
            </w:r>
          </w:p>
          <w:p w:rsidR="00AB181F" w:rsidRPr="00823201" w:rsidRDefault="00AB181F" w:rsidP="00AB181F">
            <w:pPr>
              <w:pStyle w:val="ListParagraph"/>
              <w:numPr>
                <w:ilvl w:val="0"/>
                <w:numId w:val="30"/>
              </w:numPr>
              <w:autoSpaceDE w:val="0"/>
              <w:autoSpaceDN w:val="0"/>
              <w:adjustRightInd w:val="0"/>
              <w:snapToGrid w:val="0"/>
              <w:spacing w:before="0" w:after="0" w:line="240" w:lineRule="auto"/>
              <w:ind w:left="153" w:hanging="141"/>
              <w:rPr>
                <w:rFonts w:asciiTheme="minorHAnsi" w:eastAsia="MS Mincho" w:hAnsiTheme="minorHAnsi" w:cs="Arial"/>
                <w:color w:val="000000"/>
                <w:sz w:val="20"/>
                <w:szCs w:val="20"/>
                <w:lang w:eastAsia="en-AU"/>
              </w:rPr>
            </w:pPr>
            <w:r w:rsidRPr="00823201">
              <w:rPr>
                <w:rFonts w:asciiTheme="minorHAnsi" w:eastAsia="MS Mincho" w:hAnsiTheme="minorHAnsi" w:cs="Arial"/>
                <w:color w:val="000000"/>
                <w:sz w:val="20"/>
                <w:szCs w:val="20"/>
                <w:lang w:eastAsia="en-AU"/>
              </w:rPr>
              <w:t xml:space="preserve">A review of all products that failed to meet established specification(s) and their investigation. </w:t>
            </w:r>
          </w:p>
          <w:p w:rsidR="00AB181F" w:rsidRPr="00823201" w:rsidRDefault="00AB181F" w:rsidP="00AB181F">
            <w:pPr>
              <w:pStyle w:val="ListParagraph"/>
              <w:numPr>
                <w:ilvl w:val="0"/>
                <w:numId w:val="30"/>
              </w:numPr>
              <w:autoSpaceDE w:val="0"/>
              <w:autoSpaceDN w:val="0"/>
              <w:adjustRightInd w:val="0"/>
              <w:snapToGrid w:val="0"/>
              <w:spacing w:before="0" w:after="0" w:line="240" w:lineRule="auto"/>
              <w:ind w:left="153" w:hanging="141"/>
              <w:rPr>
                <w:rFonts w:asciiTheme="minorHAnsi" w:eastAsia="MS Mincho" w:hAnsiTheme="minorHAnsi" w:cs="Arial"/>
                <w:color w:val="000000"/>
                <w:sz w:val="20"/>
                <w:szCs w:val="20"/>
                <w:lang w:eastAsia="en-AU"/>
              </w:rPr>
            </w:pPr>
            <w:r w:rsidRPr="00823201">
              <w:rPr>
                <w:rFonts w:asciiTheme="minorHAnsi" w:eastAsia="MS Mincho" w:hAnsiTheme="minorHAnsi" w:cs="Arial"/>
                <w:color w:val="000000"/>
                <w:sz w:val="20"/>
                <w:szCs w:val="20"/>
                <w:lang w:eastAsia="en-AU"/>
              </w:rPr>
              <w:lastRenderedPageBreak/>
              <w:t xml:space="preserve">A review of all significant deviations or non-conformances, their related investigations, and the effectiveness of resultant corrective and preventive actions taken. </w:t>
            </w:r>
          </w:p>
          <w:p w:rsidR="00AB181F" w:rsidRPr="00823201" w:rsidRDefault="00AB181F" w:rsidP="00AB181F">
            <w:pPr>
              <w:pStyle w:val="ListParagraph"/>
              <w:numPr>
                <w:ilvl w:val="0"/>
                <w:numId w:val="30"/>
              </w:numPr>
              <w:autoSpaceDE w:val="0"/>
              <w:autoSpaceDN w:val="0"/>
              <w:adjustRightInd w:val="0"/>
              <w:snapToGrid w:val="0"/>
              <w:spacing w:before="0" w:after="0" w:line="240" w:lineRule="auto"/>
              <w:ind w:left="153" w:hanging="141"/>
              <w:rPr>
                <w:rFonts w:asciiTheme="minorHAnsi" w:eastAsia="MS Mincho" w:hAnsiTheme="minorHAnsi" w:cs="Arial"/>
                <w:color w:val="000000"/>
                <w:sz w:val="20"/>
                <w:szCs w:val="20"/>
                <w:lang w:eastAsia="en-AU"/>
              </w:rPr>
            </w:pPr>
            <w:r w:rsidRPr="00823201">
              <w:rPr>
                <w:rFonts w:asciiTheme="minorHAnsi" w:eastAsia="MS Mincho" w:hAnsiTheme="minorHAnsi" w:cs="Arial"/>
                <w:color w:val="000000"/>
                <w:sz w:val="20"/>
                <w:szCs w:val="20"/>
                <w:lang w:eastAsia="en-AU"/>
              </w:rPr>
              <w:t xml:space="preserve">A review of all changes carried out to the processes or analytical methods. </w:t>
            </w:r>
          </w:p>
          <w:p w:rsidR="00AB181F" w:rsidRPr="00823201" w:rsidRDefault="00AB181F" w:rsidP="00AB181F">
            <w:pPr>
              <w:pStyle w:val="ListParagraph"/>
              <w:numPr>
                <w:ilvl w:val="0"/>
                <w:numId w:val="30"/>
              </w:numPr>
              <w:autoSpaceDE w:val="0"/>
              <w:autoSpaceDN w:val="0"/>
              <w:adjustRightInd w:val="0"/>
              <w:snapToGrid w:val="0"/>
              <w:spacing w:before="0" w:after="0" w:line="240" w:lineRule="auto"/>
              <w:ind w:left="153" w:hanging="141"/>
              <w:rPr>
                <w:rFonts w:asciiTheme="minorHAnsi" w:eastAsia="MS Mincho" w:hAnsiTheme="minorHAnsi" w:cs="Arial"/>
                <w:color w:val="000000"/>
                <w:sz w:val="20"/>
                <w:szCs w:val="20"/>
                <w:lang w:eastAsia="en-AU"/>
              </w:rPr>
            </w:pPr>
            <w:r w:rsidRPr="00823201">
              <w:rPr>
                <w:rFonts w:asciiTheme="minorHAnsi" w:eastAsia="MS Mincho" w:hAnsiTheme="minorHAnsi" w:cs="Arial"/>
                <w:color w:val="000000"/>
                <w:sz w:val="20"/>
                <w:szCs w:val="20"/>
                <w:lang w:eastAsia="en-AU"/>
              </w:rPr>
              <w:t xml:space="preserve">If applicable, a review of the results of the stability monitoring program and any adverse trends. </w:t>
            </w:r>
          </w:p>
          <w:p w:rsidR="00AB181F" w:rsidRPr="00823201" w:rsidRDefault="00AB181F" w:rsidP="00AB181F">
            <w:pPr>
              <w:pStyle w:val="ListParagraph"/>
              <w:numPr>
                <w:ilvl w:val="0"/>
                <w:numId w:val="30"/>
              </w:numPr>
              <w:autoSpaceDE w:val="0"/>
              <w:autoSpaceDN w:val="0"/>
              <w:adjustRightInd w:val="0"/>
              <w:snapToGrid w:val="0"/>
              <w:spacing w:before="0" w:after="0" w:line="240" w:lineRule="auto"/>
              <w:ind w:left="153" w:hanging="141"/>
              <w:rPr>
                <w:rFonts w:asciiTheme="minorHAnsi" w:eastAsia="MS Mincho" w:hAnsiTheme="minorHAnsi" w:cs="Arial"/>
                <w:color w:val="000000"/>
                <w:sz w:val="20"/>
                <w:szCs w:val="20"/>
                <w:lang w:eastAsia="en-AU"/>
              </w:rPr>
            </w:pPr>
            <w:r w:rsidRPr="00823201">
              <w:rPr>
                <w:rFonts w:asciiTheme="minorHAnsi" w:eastAsia="MS Mincho" w:hAnsiTheme="minorHAnsi" w:cs="Arial"/>
                <w:color w:val="000000"/>
                <w:sz w:val="20"/>
                <w:szCs w:val="20"/>
                <w:lang w:eastAsia="en-AU"/>
              </w:rPr>
              <w:t xml:space="preserve">A review of all quality-related returns, complaints and recalls and the investigations performed at the time. </w:t>
            </w:r>
          </w:p>
          <w:p w:rsidR="00AB181F" w:rsidRPr="00823201" w:rsidRDefault="00AB181F" w:rsidP="00AB181F">
            <w:pPr>
              <w:pStyle w:val="ListParagraph"/>
              <w:numPr>
                <w:ilvl w:val="0"/>
                <w:numId w:val="30"/>
              </w:numPr>
              <w:autoSpaceDE w:val="0"/>
              <w:autoSpaceDN w:val="0"/>
              <w:adjustRightInd w:val="0"/>
              <w:snapToGrid w:val="0"/>
              <w:spacing w:before="0" w:after="0" w:line="240" w:lineRule="auto"/>
              <w:ind w:left="153" w:hanging="141"/>
              <w:rPr>
                <w:rFonts w:asciiTheme="minorHAnsi" w:eastAsia="MS Mincho" w:hAnsiTheme="minorHAnsi" w:cs="Arial"/>
                <w:color w:val="000000"/>
                <w:sz w:val="20"/>
                <w:szCs w:val="20"/>
                <w:lang w:eastAsia="en-AU"/>
              </w:rPr>
            </w:pPr>
            <w:r w:rsidRPr="00823201">
              <w:rPr>
                <w:rFonts w:asciiTheme="minorHAnsi" w:eastAsia="MS Mincho" w:hAnsiTheme="minorHAnsi" w:cs="Arial"/>
                <w:color w:val="000000"/>
                <w:sz w:val="20"/>
                <w:szCs w:val="20"/>
                <w:lang w:eastAsia="en-AU"/>
              </w:rPr>
              <w:t xml:space="preserve">A review of adequacy of any other previous product process or equipment corrective actions. </w:t>
            </w:r>
          </w:p>
          <w:p w:rsidR="00AB181F" w:rsidRPr="00823201" w:rsidRDefault="00AB181F" w:rsidP="00AB181F">
            <w:pPr>
              <w:pStyle w:val="ListParagraph"/>
              <w:numPr>
                <w:ilvl w:val="0"/>
                <w:numId w:val="30"/>
              </w:numPr>
              <w:autoSpaceDE w:val="0"/>
              <w:autoSpaceDN w:val="0"/>
              <w:adjustRightInd w:val="0"/>
              <w:snapToGrid w:val="0"/>
              <w:spacing w:before="0" w:after="0" w:line="240" w:lineRule="auto"/>
              <w:ind w:left="153" w:hanging="141"/>
              <w:rPr>
                <w:rFonts w:asciiTheme="minorHAnsi" w:eastAsia="MS Mincho" w:hAnsiTheme="minorHAnsi" w:cs="Arial"/>
                <w:color w:val="000000"/>
                <w:sz w:val="20"/>
                <w:szCs w:val="20"/>
                <w:lang w:eastAsia="en-AU"/>
              </w:rPr>
            </w:pPr>
            <w:r w:rsidRPr="00823201">
              <w:rPr>
                <w:rFonts w:asciiTheme="minorHAnsi" w:eastAsia="MS Mincho" w:hAnsiTheme="minorHAnsi" w:cs="Arial"/>
                <w:color w:val="000000"/>
                <w:sz w:val="20"/>
                <w:szCs w:val="20"/>
                <w:lang w:eastAsia="en-AU"/>
              </w:rPr>
              <w:t xml:space="preserve">The qualification status of relevant equipment and utilities, e.g. HVAC, water, gases, temperature controlled equipment; </w:t>
            </w:r>
          </w:p>
          <w:p w:rsidR="00823201" w:rsidRPr="00823201" w:rsidRDefault="00AB181F" w:rsidP="00AB181F">
            <w:pPr>
              <w:pStyle w:val="ListParagraph"/>
              <w:autoSpaceDE w:val="0"/>
              <w:autoSpaceDN w:val="0"/>
              <w:adjustRightInd w:val="0"/>
              <w:snapToGrid w:val="0"/>
              <w:spacing w:before="0" w:after="0" w:line="240" w:lineRule="auto"/>
              <w:ind w:left="153"/>
              <w:rPr>
                <w:rFonts w:asciiTheme="minorHAnsi" w:eastAsia="MS Mincho" w:hAnsiTheme="minorHAnsi" w:cs="Arial"/>
                <w:color w:val="000000"/>
                <w:sz w:val="20"/>
                <w:szCs w:val="20"/>
                <w:lang w:eastAsia="en-AU"/>
              </w:rPr>
            </w:pPr>
            <w:r w:rsidRPr="00823201">
              <w:rPr>
                <w:rFonts w:asciiTheme="minorHAnsi" w:eastAsia="MS Mincho" w:hAnsiTheme="minorHAnsi" w:cs="Arial"/>
                <w:color w:val="000000"/>
                <w:sz w:val="20"/>
                <w:szCs w:val="20"/>
                <w:lang w:eastAsia="en-AU"/>
              </w:rPr>
              <w:t xml:space="preserve">A review of Contractual Agreements to ensure that they are up to date. </w:t>
            </w:r>
            <w:r w:rsidR="00823201" w:rsidRPr="00823201">
              <w:rPr>
                <w:rFonts w:asciiTheme="minorHAnsi" w:eastAsia="MS Mincho" w:hAnsiTheme="minorHAnsi" w:cs="Arial"/>
                <w:color w:val="000000"/>
                <w:sz w:val="20"/>
                <w:szCs w:val="20"/>
                <w:lang w:eastAsia="en-AU"/>
              </w:rPr>
              <w:t xml:space="preserve"> </w:t>
            </w:r>
          </w:p>
        </w:tc>
        <w:tc>
          <w:tcPr>
            <w:tcW w:w="2443" w:type="pct"/>
          </w:tcPr>
          <w:p w:rsidR="00AB181F" w:rsidRPr="00823201" w:rsidRDefault="00AB181F" w:rsidP="00AB181F">
            <w:pPr>
              <w:pStyle w:val="ListBullet"/>
              <w:numPr>
                <w:ilvl w:val="0"/>
                <w:numId w:val="0"/>
              </w:numPr>
              <w:adjustRightInd w:val="0"/>
              <w:snapToGrid w:val="0"/>
              <w:spacing w:before="0" w:after="200" w:line="276" w:lineRule="auto"/>
              <w:rPr>
                <w:rFonts w:asciiTheme="minorHAnsi" w:hAnsiTheme="minorHAnsi"/>
                <w:sz w:val="20"/>
                <w:szCs w:val="20"/>
              </w:rPr>
            </w:pPr>
            <w:r w:rsidRPr="00823201">
              <w:rPr>
                <w:rFonts w:asciiTheme="minorHAnsi" w:hAnsiTheme="minorHAnsi"/>
                <w:b/>
                <w:sz w:val="20"/>
                <w:szCs w:val="20"/>
              </w:rPr>
              <w:lastRenderedPageBreak/>
              <w:t xml:space="preserve">An updated and less prescriptive requirement for regular (normally annual) review to verify process consistency, appropriateness of specifications, highlight trends and identify the need for product and process improvements.  </w:t>
            </w:r>
            <w:r w:rsidRPr="00823201">
              <w:rPr>
                <w:rFonts w:asciiTheme="minorHAnsi" w:hAnsiTheme="minorHAnsi"/>
                <w:sz w:val="20"/>
                <w:szCs w:val="20"/>
              </w:rPr>
              <w:t xml:space="preserve"> </w:t>
            </w:r>
          </w:p>
          <w:p w:rsidR="00AB181F" w:rsidRPr="00823201" w:rsidRDefault="00AB181F" w:rsidP="00AB181F">
            <w:pPr>
              <w:pStyle w:val="ListBullet"/>
              <w:numPr>
                <w:ilvl w:val="0"/>
                <w:numId w:val="31"/>
              </w:numPr>
              <w:adjustRightInd w:val="0"/>
              <w:snapToGrid w:val="0"/>
              <w:spacing w:before="0" w:after="200" w:line="276" w:lineRule="auto"/>
              <w:rPr>
                <w:rFonts w:asciiTheme="minorHAnsi" w:hAnsiTheme="minorHAnsi"/>
                <w:sz w:val="20"/>
                <w:szCs w:val="20"/>
              </w:rPr>
            </w:pPr>
            <w:r w:rsidRPr="00823201">
              <w:rPr>
                <w:rFonts w:asciiTheme="minorHAnsi" w:hAnsiTheme="minorHAnsi"/>
                <w:sz w:val="20"/>
                <w:szCs w:val="20"/>
              </w:rPr>
              <w:t xml:space="preserve">The results of the review will continue to be assessed during a TGA </w:t>
            </w:r>
            <w:r w:rsidR="00B2768B">
              <w:rPr>
                <w:rFonts w:asciiTheme="minorHAnsi" w:hAnsiTheme="minorHAnsi"/>
                <w:sz w:val="20"/>
                <w:szCs w:val="20"/>
              </w:rPr>
              <w:t>inspection</w:t>
            </w:r>
            <w:r w:rsidR="00B2768B" w:rsidRPr="00823201">
              <w:rPr>
                <w:rFonts w:asciiTheme="minorHAnsi" w:hAnsiTheme="minorHAnsi"/>
                <w:sz w:val="20"/>
                <w:szCs w:val="20"/>
              </w:rPr>
              <w:t xml:space="preserve"> </w:t>
            </w:r>
            <w:r w:rsidRPr="00823201">
              <w:rPr>
                <w:rFonts w:asciiTheme="minorHAnsi" w:hAnsiTheme="minorHAnsi"/>
                <w:sz w:val="20"/>
                <w:szCs w:val="20"/>
              </w:rPr>
              <w:t xml:space="preserve">to identify the need for corrective and preventive action or revalidation </w:t>
            </w:r>
          </w:p>
          <w:p w:rsidR="00AB181F" w:rsidRPr="00823201" w:rsidRDefault="00AB181F" w:rsidP="00AB181F">
            <w:pPr>
              <w:pStyle w:val="ListBullet"/>
              <w:numPr>
                <w:ilvl w:val="0"/>
                <w:numId w:val="31"/>
              </w:numPr>
              <w:adjustRightInd w:val="0"/>
              <w:snapToGrid w:val="0"/>
              <w:spacing w:before="0" w:after="200" w:line="276" w:lineRule="auto"/>
              <w:rPr>
                <w:rFonts w:asciiTheme="minorHAnsi" w:hAnsiTheme="minorHAnsi"/>
                <w:sz w:val="20"/>
                <w:szCs w:val="20"/>
              </w:rPr>
            </w:pPr>
            <w:r w:rsidRPr="00823201">
              <w:rPr>
                <w:rFonts w:asciiTheme="minorHAnsi" w:hAnsiTheme="minorHAnsi"/>
                <w:sz w:val="20"/>
                <w:szCs w:val="20"/>
              </w:rPr>
              <w:t>There may be compliance costs for manufacturers with a large product range</w:t>
            </w:r>
            <w:r w:rsidR="003D4711">
              <w:rPr>
                <w:rFonts w:asciiTheme="minorHAnsi" w:hAnsiTheme="minorHAnsi"/>
                <w:sz w:val="20"/>
                <w:szCs w:val="20"/>
              </w:rPr>
              <w:t xml:space="preserve"> who do not already have systems in place -</w:t>
            </w:r>
            <w:r w:rsidRPr="00823201">
              <w:rPr>
                <w:rFonts w:asciiTheme="minorHAnsi" w:hAnsiTheme="minorHAnsi"/>
                <w:sz w:val="20"/>
                <w:szCs w:val="20"/>
              </w:rPr>
              <w:t xml:space="preserve">in most cases manufacturers are already complying with the requirements, as it represents a formalisation of current practice </w:t>
            </w:r>
          </w:p>
          <w:p w:rsidR="00AB181F" w:rsidRPr="00823201" w:rsidRDefault="00AB181F" w:rsidP="00AB181F">
            <w:pPr>
              <w:pStyle w:val="ListBullet"/>
              <w:numPr>
                <w:ilvl w:val="0"/>
                <w:numId w:val="31"/>
              </w:numPr>
              <w:adjustRightInd w:val="0"/>
              <w:snapToGrid w:val="0"/>
              <w:spacing w:before="0" w:after="200" w:line="276" w:lineRule="auto"/>
              <w:rPr>
                <w:rFonts w:asciiTheme="minorHAnsi" w:hAnsiTheme="minorHAnsi"/>
                <w:sz w:val="20"/>
                <w:szCs w:val="20"/>
              </w:rPr>
            </w:pPr>
            <w:r w:rsidRPr="00823201">
              <w:rPr>
                <w:rFonts w:asciiTheme="minorHAnsi" w:hAnsiTheme="minorHAnsi"/>
                <w:sz w:val="20"/>
                <w:szCs w:val="20"/>
              </w:rPr>
              <w:t>The most significant impact will be the requirement for process trend analysis, which may require implementation of new software</w:t>
            </w:r>
            <w:r w:rsidR="0068560D">
              <w:rPr>
                <w:rFonts w:asciiTheme="minorHAnsi" w:hAnsiTheme="minorHAnsi"/>
                <w:sz w:val="20"/>
                <w:szCs w:val="20"/>
              </w:rPr>
              <w:t xml:space="preserve"> for some manufacturers</w:t>
            </w:r>
            <w:r w:rsidR="00D811DF">
              <w:rPr>
                <w:rFonts w:asciiTheme="minorHAnsi" w:hAnsiTheme="minorHAnsi"/>
                <w:sz w:val="20"/>
                <w:szCs w:val="20"/>
              </w:rPr>
              <w:t xml:space="preserve"> although standard issue software </w:t>
            </w:r>
            <w:r w:rsidR="00361C71">
              <w:rPr>
                <w:rFonts w:asciiTheme="minorHAnsi" w:hAnsiTheme="minorHAnsi"/>
                <w:sz w:val="20"/>
                <w:szCs w:val="20"/>
              </w:rPr>
              <w:t xml:space="preserve">(e.g. MS Excel) </w:t>
            </w:r>
            <w:r w:rsidR="00D811DF">
              <w:rPr>
                <w:rFonts w:asciiTheme="minorHAnsi" w:hAnsiTheme="minorHAnsi"/>
                <w:sz w:val="20"/>
                <w:szCs w:val="20"/>
              </w:rPr>
              <w:t>can be used to perform these analyses</w:t>
            </w:r>
            <w:r w:rsidR="00881819">
              <w:rPr>
                <w:rFonts w:asciiTheme="minorHAnsi" w:hAnsiTheme="minorHAnsi"/>
                <w:sz w:val="20"/>
                <w:szCs w:val="20"/>
              </w:rPr>
              <w:t xml:space="preserve"> in cases where the product range is </w:t>
            </w:r>
            <w:r w:rsidR="00CE25A6">
              <w:rPr>
                <w:rFonts w:asciiTheme="minorHAnsi" w:hAnsiTheme="minorHAnsi"/>
                <w:sz w:val="20"/>
                <w:szCs w:val="20"/>
              </w:rPr>
              <w:t>small</w:t>
            </w:r>
            <w:r w:rsidR="00881819">
              <w:rPr>
                <w:rFonts w:asciiTheme="minorHAnsi" w:hAnsiTheme="minorHAnsi"/>
                <w:sz w:val="20"/>
                <w:szCs w:val="20"/>
              </w:rPr>
              <w:t xml:space="preserve"> (e.g. tissue banks)</w:t>
            </w:r>
            <w:r w:rsidR="00D811DF">
              <w:rPr>
                <w:rFonts w:asciiTheme="minorHAnsi" w:hAnsiTheme="minorHAnsi"/>
                <w:sz w:val="20"/>
                <w:szCs w:val="20"/>
              </w:rPr>
              <w:t>.</w:t>
            </w:r>
          </w:p>
          <w:p w:rsidR="00823201" w:rsidRPr="00823201" w:rsidRDefault="00AB181F" w:rsidP="00472427">
            <w:pPr>
              <w:pStyle w:val="ListBullet"/>
              <w:numPr>
                <w:ilvl w:val="0"/>
                <w:numId w:val="31"/>
              </w:numPr>
              <w:adjustRightInd w:val="0"/>
              <w:snapToGrid w:val="0"/>
              <w:spacing w:before="0" w:after="200" w:line="276" w:lineRule="auto"/>
              <w:rPr>
                <w:rFonts w:asciiTheme="minorHAnsi" w:hAnsiTheme="minorHAnsi"/>
                <w:sz w:val="20"/>
                <w:szCs w:val="20"/>
              </w:rPr>
            </w:pPr>
            <w:r w:rsidRPr="00823201">
              <w:rPr>
                <w:rFonts w:asciiTheme="minorHAnsi" w:hAnsiTheme="minorHAnsi"/>
                <w:sz w:val="20"/>
                <w:szCs w:val="20"/>
              </w:rPr>
              <w:t xml:space="preserve">Many manufacturers have already implemented product review </w:t>
            </w:r>
            <w:r w:rsidRPr="00823201">
              <w:rPr>
                <w:rFonts w:asciiTheme="minorHAnsi" w:hAnsiTheme="minorHAnsi"/>
                <w:sz w:val="20"/>
                <w:szCs w:val="20"/>
              </w:rPr>
              <w:lastRenderedPageBreak/>
              <w:t>to comply with other sector specific standards</w:t>
            </w:r>
            <w:r w:rsidR="0068560D">
              <w:rPr>
                <w:rFonts w:asciiTheme="minorHAnsi" w:hAnsiTheme="minorHAnsi"/>
                <w:sz w:val="20"/>
                <w:szCs w:val="20"/>
              </w:rPr>
              <w:t xml:space="preserve">. </w:t>
            </w:r>
          </w:p>
        </w:tc>
      </w:tr>
      <w:tr w:rsidR="00AB181F" w:rsidRPr="00823201" w:rsidTr="00823201">
        <w:tc>
          <w:tcPr>
            <w:tcW w:w="1236" w:type="pct"/>
          </w:tcPr>
          <w:p w:rsidR="00AB181F" w:rsidRPr="00823201" w:rsidRDefault="00AB181F" w:rsidP="00AB181F">
            <w:pPr>
              <w:jc w:val="both"/>
              <w:rPr>
                <w:rFonts w:asciiTheme="minorHAnsi" w:hAnsiTheme="minorHAnsi"/>
                <w:sz w:val="20"/>
                <w:szCs w:val="20"/>
              </w:rPr>
            </w:pPr>
            <w:r w:rsidRPr="00823201">
              <w:rPr>
                <w:rFonts w:asciiTheme="minorHAnsi" w:hAnsiTheme="minorHAnsi"/>
                <w:i/>
                <w:sz w:val="20"/>
                <w:szCs w:val="20"/>
              </w:rPr>
              <w:lastRenderedPageBreak/>
              <w:t>Clause 906</w:t>
            </w:r>
            <w:r w:rsidRPr="00823201">
              <w:rPr>
                <w:rFonts w:asciiTheme="minorHAnsi" w:hAnsiTheme="minorHAnsi"/>
                <w:sz w:val="20"/>
                <w:szCs w:val="20"/>
              </w:rPr>
              <w:t xml:space="preserve">: </w:t>
            </w:r>
          </w:p>
          <w:p w:rsidR="00AB181F" w:rsidRPr="00823201" w:rsidRDefault="00AB181F" w:rsidP="00AB181F">
            <w:pPr>
              <w:jc w:val="both"/>
              <w:rPr>
                <w:rFonts w:asciiTheme="minorHAnsi" w:hAnsiTheme="minorHAnsi"/>
                <w:sz w:val="20"/>
                <w:szCs w:val="20"/>
              </w:rPr>
            </w:pPr>
            <w:r w:rsidRPr="00823201">
              <w:rPr>
                <w:rFonts w:asciiTheme="minorHAnsi" w:hAnsiTheme="minorHAnsi"/>
                <w:sz w:val="20"/>
                <w:szCs w:val="20"/>
              </w:rPr>
              <w:t xml:space="preserve">There should be data validating </w:t>
            </w:r>
            <w:r w:rsidRPr="00823201">
              <w:rPr>
                <w:rFonts w:asciiTheme="minorHAnsi" w:hAnsiTheme="minorHAnsi"/>
                <w:b/>
                <w:sz w:val="20"/>
                <w:szCs w:val="20"/>
              </w:rPr>
              <w:t xml:space="preserve">each critical process </w:t>
            </w:r>
            <w:r w:rsidRPr="00823201">
              <w:rPr>
                <w:rFonts w:asciiTheme="minorHAnsi" w:hAnsiTheme="minorHAnsi"/>
                <w:sz w:val="20"/>
                <w:szCs w:val="20"/>
              </w:rPr>
              <w:t>in the manufacture of product, and where applicable, quality control data to demonstrate that the process is under adequate control.</w:t>
            </w:r>
          </w:p>
          <w:p w:rsidR="00AB181F" w:rsidRPr="00823201" w:rsidRDefault="00AB181F" w:rsidP="00AB181F">
            <w:pPr>
              <w:jc w:val="both"/>
              <w:rPr>
                <w:rFonts w:asciiTheme="minorHAnsi" w:hAnsiTheme="minorHAnsi"/>
                <w:sz w:val="20"/>
                <w:szCs w:val="20"/>
              </w:rPr>
            </w:pPr>
            <w:r w:rsidRPr="00823201">
              <w:rPr>
                <w:rFonts w:asciiTheme="minorHAnsi" w:hAnsiTheme="minorHAnsi"/>
                <w:sz w:val="20"/>
                <w:szCs w:val="20"/>
              </w:rPr>
              <w:lastRenderedPageBreak/>
              <w:t xml:space="preserve">Clause 908: </w:t>
            </w:r>
          </w:p>
          <w:p w:rsidR="00AB181F" w:rsidRPr="00823201" w:rsidRDefault="00AB181F" w:rsidP="00AB181F">
            <w:pPr>
              <w:autoSpaceDE w:val="0"/>
              <w:autoSpaceDN w:val="0"/>
              <w:spacing w:after="0" w:line="240" w:lineRule="auto"/>
              <w:jc w:val="both"/>
              <w:rPr>
                <w:rFonts w:asciiTheme="minorHAnsi" w:eastAsia="MS Mincho" w:hAnsiTheme="minorHAnsi" w:cs="Arial"/>
                <w:b/>
                <w:bCs/>
                <w:sz w:val="20"/>
                <w:szCs w:val="20"/>
                <w:lang w:eastAsia="en-AU"/>
              </w:rPr>
            </w:pPr>
            <w:r w:rsidRPr="00823201">
              <w:rPr>
                <w:rFonts w:asciiTheme="minorHAnsi" w:hAnsiTheme="minorHAnsi"/>
                <w:sz w:val="20"/>
                <w:szCs w:val="20"/>
              </w:rPr>
              <w:t xml:space="preserve">There </w:t>
            </w:r>
            <w:r w:rsidRPr="00823201">
              <w:rPr>
                <w:rFonts w:asciiTheme="minorHAnsi" w:hAnsiTheme="minorHAnsi"/>
                <w:b/>
                <w:sz w:val="20"/>
                <w:szCs w:val="20"/>
              </w:rPr>
              <w:t>must</w:t>
            </w:r>
            <w:r w:rsidRPr="00823201">
              <w:rPr>
                <w:rFonts w:asciiTheme="minorHAnsi" w:hAnsiTheme="minorHAnsi"/>
                <w:sz w:val="20"/>
                <w:szCs w:val="20"/>
              </w:rPr>
              <w:t xml:space="preserve"> be a re-validation performed </w:t>
            </w:r>
            <w:r w:rsidRPr="00823201">
              <w:rPr>
                <w:rFonts w:asciiTheme="minorHAnsi" w:hAnsiTheme="minorHAnsi"/>
                <w:b/>
                <w:sz w:val="20"/>
                <w:szCs w:val="20"/>
              </w:rPr>
              <w:t>whenever</w:t>
            </w:r>
            <w:r w:rsidRPr="00823201">
              <w:rPr>
                <w:rFonts w:asciiTheme="minorHAnsi" w:hAnsiTheme="minorHAnsi"/>
                <w:sz w:val="20"/>
                <w:szCs w:val="20"/>
              </w:rPr>
              <w:t xml:space="preserve"> there is a significant change in </w:t>
            </w:r>
            <w:r w:rsidRPr="00823201">
              <w:rPr>
                <w:rFonts w:asciiTheme="minorHAnsi" w:hAnsiTheme="minorHAnsi"/>
                <w:b/>
                <w:sz w:val="20"/>
                <w:szCs w:val="20"/>
              </w:rPr>
              <w:t>any of the critical processes of manufacture</w:t>
            </w:r>
            <w:r w:rsidRPr="00823201">
              <w:rPr>
                <w:rFonts w:asciiTheme="minorHAnsi" w:hAnsiTheme="minorHAnsi"/>
                <w:sz w:val="20"/>
                <w:szCs w:val="20"/>
              </w:rPr>
              <w:t xml:space="preserve"> of the product. The data should identify the change which should be documented, reviewed and approved by the quality assurance manager, or nominee, before implementation.</w:t>
            </w:r>
          </w:p>
        </w:tc>
        <w:tc>
          <w:tcPr>
            <w:tcW w:w="1321" w:type="pct"/>
          </w:tcPr>
          <w:p w:rsidR="00AB181F" w:rsidRPr="00823201" w:rsidRDefault="00AB181F" w:rsidP="00AB181F">
            <w:pPr>
              <w:autoSpaceDE w:val="0"/>
              <w:autoSpaceDN w:val="0"/>
              <w:spacing w:after="0" w:line="240" w:lineRule="auto"/>
              <w:jc w:val="both"/>
              <w:rPr>
                <w:rFonts w:asciiTheme="minorHAnsi" w:hAnsiTheme="minorHAnsi"/>
                <w:sz w:val="20"/>
                <w:szCs w:val="20"/>
              </w:rPr>
            </w:pPr>
            <w:r w:rsidRPr="00823201">
              <w:rPr>
                <w:rFonts w:asciiTheme="minorHAnsi" w:hAnsiTheme="minorHAnsi"/>
                <w:i/>
                <w:sz w:val="20"/>
                <w:szCs w:val="20"/>
              </w:rPr>
              <w:lastRenderedPageBreak/>
              <w:t>Clause 835</w:t>
            </w:r>
            <w:r w:rsidRPr="00823201">
              <w:rPr>
                <w:rFonts w:asciiTheme="minorHAnsi" w:hAnsiTheme="minorHAnsi"/>
                <w:sz w:val="20"/>
                <w:szCs w:val="20"/>
              </w:rPr>
              <w:t xml:space="preserve">: </w:t>
            </w:r>
          </w:p>
          <w:p w:rsidR="00AB181F" w:rsidRPr="00823201" w:rsidRDefault="00AB181F" w:rsidP="00AB181F">
            <w:pPr>
              <w:autoSpaceDE w:val="0"/>
              <w:autoSpaceDN w:val="0"/>
              <w:spacing w:after="0" w:line="240" w:lineRule="auto"/>
              <w:jc w:val="both"/>
              <w:rPr>
                <w:rFonts w:asciiTheme="minorHAnsi" w:eastAsia="Times New Roman" w:hAnsiTheme="minorHAnsi" w:cs="Arial"/>
                <w:sz w:val="20"/>
                <w:szCs w:val="20"/>
                <w:lang w:eastAsia="en-AU"/>
              </w:rPr>
            </w:pPr>
            <w:r w:rsidRPr="00823201">
              <w:rPr>
                <w:rFonts w:asciiTheme="minorHAnsi" w:eastAsia="Times New Roman" w:hAnsiTheme="minorHAnsi" w:cs="Arial"/>
                <w:sz w:val="20"/>
                <w:szCs w:val="20"/>
                <w:lang w:eastAsia="en-AU"/>
              </w:rPr>
              <w:t xml:space="preserve">The key elements of a validation programme should be clearly defined and documented in a validation master plan (VMP) or equivalent document. Validation studies should reinforce Good Manufacturing Practice and be conducted in </w:t>
            </w:r>
            <w:r w:rsidRPr="00823201">
              <w:rPr>
                <w:rFonts w:asciiTheme="minorHAnsi" w:eastAsia="Times New Roman" w:hAnsiTheme="minorHAnsi" w:cs="Arial"/>
                <w:sz w:val="20"/>
                <w:szCs w:val="20"/>
                <w:lang w:eastAsia="en-AU"/>
              </w:rPr>
              <w:lastRenderedPageBreak/>
              <w:t>accordance with defined procedures.  Results and conclusions should be recorded.</w:t>
            </w:r>
          </w:p>
          <w:p w:rsidR="00AB181F" w:rsidRPr="00823201" w:rsidRDefault="00AB181F" w:rsidP="00AB181F">
            <w:pPr>
              <w:autoSpaceDE w:val="0"/>
              <w:autoSpaceDN w:val="0"/>
              <w:spacing w:after="0" w:line="240" w:lineRule="auto"/>
              <w:jc w:val="both"/>
              <w:rPr>
                <w:rFonts w:asciiTheme="minorHAnsi" w:hAnsiTheme="minorHAnsi"/>
                <w:sz w:val="20"/>
                <w:szCs w:val="20"/>
              </w:rPr>
            </w:pPr>
            <w:r w:rsidRPr="00823201">
              <w:rPr>
                <w:rFonts w:asciiTheme="minorHAnsi" w:hAnsiTheme="minorHAnsi"/>
                <w:i/>
                <w:sz w:val="20"/>
                <w:szCs w:val="20"/>
              </w:rPr>
              <w:t>Clause 836:</w:t>
            </w:r>
            <w:r w:rsidRPr="00823201">
              <w:rPr>
                <w:rFonts w:asciiTheme="minorHAnsi" w:hAnsiTheme="minorHAnsi"/>
                <w:sz w:val="20"/>
                <w:szCs w:val="20"/>
              </w:rPr>
              <w:t xml:space="preserve"> </w:t>
            </w:r>
          </w:p>
          <w:p w:rsidR="00AB181F" w:rsidRPr="00823201" w:rsidRDefault="00AB181F" w:rsidP="00AB181F">
            <w:pPr>
              <w:autoSpaceDE w:val="0"/>
              <w:autoSpaceDN w:val="0"/>
              <w:spacing w:after="0" w:line="240" w:lineRule="auto"/>
              <w:jc w:val="both"/>
              <w:rPr>
                <w:rFonts w:asciiTheme="minorHAnsi" w:eastAsia="Times New Roman" w:hAnsiTheme="minorHAnsi" w:cs="Arial"/>
                <w:sz w:val="20"/>
                <w:szCs w:val="20"/>
                <w:lang w:eastAsia="en-AU"/>
              </w:rPr>
            </w:pPr>
            <w:r w:rsidRPr="00823201">
              <w:rPr>
                <w:rFonts w:asciiTheme="minorHAnsi" w:eastAsia="Times New Roman" w:hAnsiTheme="minorHAnsi" w:cs="Arial"/>
                <w:sz w:val="20"/>
                <w:szCs w:val="20"/>
                <w:lang w:eastAsia="en-AU"/>
              </w:rPr>
              <w:t>The manufacturer should identify what validation work is required to demonstrate control of the manufacturing process. A risk assessment approach should be used to determine the scope and the extent of the validation.</w:t>
            </w:r>
          </w:p>
          <w:p w:rsidR="00AB181F" w:rsidRPr="00823201" w:rsidRDefault="00AB181F" w:rsidP="00AB181F">
            <w:pPr>
              <w:autoSpaceDE w:val="0"/>
              <w:autoSpaceDN w:val="0"/>
              <w:spacing w:after="0" w:line="240" w:lineRule="auto"/>
              <w:jc w:val="both"/>
              <w:rPr>
                <w:rFonts w:asciiTheme="minorHAnsi" w:hAnsiTheme="minorHAnsi"/>
                <w:sz w:val="20"/>
                <w:szCs w:val="20"/>
              </w:rPr>
            </w:pPr>
            <w:r w:rsidRPr="00823201">
              <w:rPr>
                <w:rFonts w:asciiTheme="minorHAnsi" w:hAnsiTheme="minorHAnsi"/>
                <w:i/>
                <w:sz w:val="20"/>
                <w:szCs w:val="20"/>
              </w:rPr>
              <w:t>Clause 837</w:t>
            </w:r>
            <w:r w:rsidRPr="00823201">
              <w:rPr>
                <w:rFonts w:asciiTheme="minorHAnsi" w:hAnsiTheme="minorHAnsi"/>
                <w:sz w:val="20"/>
                <w:szCs w:val="20"/>
              </w:rPr>
              <w:t xml:space="preserve">: </w:t>
            </w:r>
          </w:p>
          <w:p w:rsidR="00AB181F" w:rsidRPr="00823201" w:rsidRDefault="00AB181F" w:rsidP="00AB181F">
            <w:pPr>
              <w:autoSpaceDE w:val="0"/>
              <w:autoSpaceDN w:val="0"/>
              <w:spacing w:after="0" w:line="240" w:lineRule="auto"/>
              <w:jc w:val="both"/>
              <w:rPr>
                <w:rFonts w:asciiTheme="minorHAnsi" w:eastAsia="Times New Roman" w:hAnsiTheme="minorHAnsi" w:cs="Arial"/>
                <w:sz w:val="20"/>
                <w:szCs w:val="20"/>
                <w:lang w:eastAsia="en-AU"/>
              </w:rPr>
            </w:pPr>
            <w:r w:rsidRPr="00823201">
              <w:rPr>
                <w:rFonts w:asciiTheme="minorHAnsi" w:eastAsia="Times New Roman" w:hAnsiTheme="minorHAnsi" w:cs="Arial"/>
                <w:sz w:val="20"/>
                <w:szCs w:val="20"/>
                <w:lang w:eastAsia="en-AU"/>
              </w:rPr>
              <w:t>Significant changes to the manufacturing process, including any change in equipment or materials which may affect product quality and/or reproducibility of the process should be validated</w:t>
            </w:r>
            <w:r w:rsidRPr="00823201">
              <w:rPr>
                <w:rFonts w:asciiTheme="minorHAnsi" w:hAnsiTheme="minorHAnsi"/>
                <w:sz w:val="20"/>
                <w:szCs w:val="20"/>
              </w:rPr>
              <w:t>.</w:t>
            </w:r>
          </w:p>
          <w:p w:rsidR="00AB181F" w:rsidRPr="00823201" w:rsidRDefault="00AB181F" w:rsidP="00AB181F">
            <w:pPr>
              <w:autoSpaceDE w:val="0"/>
              <w:autoSpaceDN w:val="0"/>
              <w:spacing w:after="0" w:line="240" w:lineRule="auto"/>
              <w:jc w:val="both"/>
              <w:rPr>
                <w:rFonts w:asciiTheme="minorHAnsi" w:hAnsiTheme="minorHAnsi"/>
                <w:b/>
                <w:sz w:val="20"/>
                <w:szCs w:val="20"/>
              </w:rPr>
            </w:pPr>
            <w:r w:rsidRPr="00823201">
              <w:rPr>
                <w:rFonts w:asciiTheme="minorHAnsi" w:hAnsiTheme="minorHAnsi"/>
                <w:i/>
                <w:sz w:val="20"/>
                <w:szCs w:val="20"/>
              </w:rPr>
              <w:t>Clause 838</w:t>
            </w:r>
            <w:r w:rsidRPr="00823201">
              <w:rPr>
                <w:rFonts w:asciiTheme="minorHAnsi" w:hAnsiTheme="minorHAnsi"/>
                <w:sz w:val="20"/>
                <w:szCs w:val="20"/>
              </w:rPr>
              <w:t>:</w:t>
            </w:r>
            <w:r w:rsidRPr="00823201">
              <w:rPr>
                <w:rFonts w:asciiTheme="minorHAnsi" w:hAnsiTheme="minorHAnsi"/>
                <w:b/>
                <w:sz w:val="20"/>
                <w:szCs w:val="20"/>
              </w:rPr>
              <w:t xml:space="preserve"> </w:t>
            </w:r>
          </w:p>
          <w:p w:rsidR="00AB181F" w:rsidRPr="00823201" w:rsidRDefault="00AB181F" w:rsidP="00AB181F">
            <w:pPr>
              <w:pStyle w:val="ListBullet"/>
              <w:numPr>
                <w:ilvl w:val="0"/>
                <w:numId w:val="0"/>
              </w:numPr>
              <w:spacing w:line="240" w:lineRule="auto"/>
              <w:rPr>
                <w:rFonts w:asciiTheme="minorHAnsi" w:hAnsiTheme="minorHAnsi"/>
                <w:b/>
                <w:sz w:val="20"/>
                <w:szCs w:val="20"/>
              </w:rPr>
            </w:pPr>
            <w:r w:rsidRPr="00823201">
              <w:rPr>
                <w:rFonts w:asciiTheme="minorHAnsi" w:eastAsia="Times New Roman" w:hAnsiTheme="minorHAnsi" w:cs="Arial"/>
                <w:sz w:val="20"/>
                <w:szCs w:val="20"/>
                <w:lang w:eastAsia="en-AU"/>
              </w:rPr>
              <w:t xml:space="preserve">When any changes to the manufacturing process are adopted, steps should be taken to demonstrate its suitability for routine processing.  The defined process, using the materials and equipment specified, should be shown to consistently yield a product of the required quality.  </w:t>
            </w:r>
          </w:p>
        </w:tc>
        <w:tc>
          <w:tcPr>
            <w:tcW w:w="2443" w:type="pct"/>
          </w:tcPr>
          <w:p w:rsidR="00AB181F" w:rsidRPr="00823201" w:rsidRDefault="00AB181F" w:rsidP="00AB181F">
            <w:pPr>
              <w:pStyle w:val="ListBullet"/>
              <w:numPr>
                <w:ilvl w:val="0"/>
                <w:numId w:val="32"/>
              </w:numPr>
              <w:adjustRightInd w:val="0"/>
              <w:snapToGrid w:val="0"/>
              <w:spacing w:before="0" w:after="200" w:line="276" w:lineRule="auto"/>
              <w:rPr>
                <w:rFonts w:asciiTheme="minorHAnsi" w:hAnsiTheme="minorHAnsi"/>
                <w:sz w:val="20"/>
                <w:szCs w:val="20"/>
              </w:rPr>
            </w:pPr>
            <w:r w:rsidRPr="00823201">
              <w:rPr>
                <w:rFonts w:asciiTheme="minorHAnsi" w:hAnsiTheme="minorHAnsi"/>
                <w:sz w:val="20"/>
                <w:szCs w:val="20"/>
              </w:rPr>
              <w:lastRenderedPageBreak/>
              <w:t>Provides additional clarity on the requirements</w:t>
            </w:r>
          </w:p>
          <w:p w:rsidR="00AB181F" w:rsidRPr="00823201" w:rsidRDefault="00AB181F" w:rsidP="00AB181F">
            <w:pPr>
              <w:pStyle w:val="ListBullet"/>
              <w:numPr>
                <w:ilvl w:val="0"/>
                <w:numId w:val="32"/>
              </w:numPr>
              <w:adjustRightInd w:val="0"/>
              <w:snapToGrid w:val="0"/>
              <w:spacing w:before="0" w:after="200" w:line="276" w:lineRule="auto"/>
              <w:rPr>
                <w:rFonts w:asciiTheme="minorHAnsi" w:hAnsiTheme="minorHAnsi"/>
                <w:sz w:val="20"/>
                <w:szCs w:val="20"/>
              </w:rPr>
            </w:pPr>
            <w:r w:rsidRPr="00823201">
              <w:rPr>
                <w:rFonts w:asciiTheme="minorHAnsi" w:hAnsiTheme="minorHAnsi"/>
                <w:sz w:val="20"/>
                <w:szCs w:val="20"/>
              </w:rPr>
              <w:t>Provides more flexibility to the manufacturer to adopt or develop, suitable/new procedures</w:t>
            </w:r>
          </w:p>
          <w:p w:rsidR="00AB181F" w:rsidRPr="00823201" w:rsidRDefault="00AB181F" w:rsidP="00AB181F">
            <w:pPr>
              <w:pStyle w:val="ListBullet"/>
              <w:numPr>
                <w:ilvl w:val="0"/>
                <w:numId w:val="32"/>
              </w:numPr>
              <w:adjustRightInd w:val="0"/>
              <w:snapToGrid w:val="0"/>
              <w:spacing w:before="0" w:after="200" w:line="276" w:lineRule="auto"/>
              <w:rPr>
                <w:rFonts w:asciiTheme="minorHAnsi" w:hAnsiTheme="minorHAnsi"/>
                <w:b/>
                <w:sz w:val="20"/>
                <w:szCs w:val="20"/>
              </w:rPr>
            </w:pPr>
            <w:r w:rsidRPr="00823201">
              <w:rPr>
                <w:rFonts w:asciiTheme="minorHAnsi" w:hAnsiTheme="minorHAnsi"/>
                <w:sz w:val="20"/>
                <w:szCs w:val="20"/>
              </w:rPr>
              <w:t>There will be no cost or operational impacts on manufacturers arising from the change</w:t>
            </w:r>
          </w:p>
        </w:tc>
      </w:tr>
      <w:tr w:rsidR="00AB181F" w:rsidRPr="00823201" w:rsidTr="00823201">
        <w:tc>
          <w:tcPr>
            <w:tcW w:w="1236" w:type="pct"/>
          </w:tcPr>
          <w:p w:rsidR="00AB181F" w:rsidRPr="00823201" w:rsidRDefault="00AB181F" w:rsidP="00AB181F">
            <w:pPr>
              <w:pStyle w:val="ListBullet"/>
              <w:numPr>
                <w:ilvl w:val="0"/>
                <w:numId w:val="0"/>
              </w:numPr>
              <w:spacing w:after="0" w:line="240" w:lineRule="auto"/>
              <w:jc w:val="both"/>
              <w:rPr>
                <w:rFonts w:asciiTheme="minorHAnsi" w:hAnsiTheme="minorHAnsi"/>
                <w:strike/>
                <w:sz w:val="20"/>
                <w:szCs w:val="20"/>
              </w:rPr>
            </w:pPr>
            <w:r w:rsidRPr="00823201">
              <w:rPr>
                <w:rFonts w:asciiTheme="minorHAnsi" w:eastAsia="MS Mincho" w:hAnsiTheme="minorHAnsi" w:cs="Arial"/>
                <w:b/>
                <w:bCs/>
                <w:sz w:val="20"/>
                <w:szCs w:val="20"/>
                <w:lang w:eastAsia="en-AU"/>
              </w:rPr>
              <w:lastRenderedPageBreak/>
              <w:t>Quality Assurance and Production Nominees</w:t>
            </w:r>
          </w:p>
          <w:p w:rsidR="00AB181F" w:rsidRPr="00823201" w:rsidRDefault="00AB181F" w:rsidP="00AB181F">
            <w:pPr>
              <w:autoSpaceDE w:val="0"/>
              <w:autoSpaceDN w:val="0"/>
              <w:spacing w:after="0" w:line="240" w:lineRule="auto"/>
              <w:jc w:val="both"/>
              <w:rPr>
                <w:rFonts w:asciiTheme="minorHAnsi" w:eastAsia="MS Mincho" w:hAnsiTheme="minorHAnsi" w:cs="Arial"/>
                <w:sz w:val="20"/>
                <w:szCs w:val="20"/>
                <w:lang w:eastAsia="en-AU"/>
              </w:rPr>
            </w:pPr>
            <w:r w:rsidRPr="00823201">
              <w:rPr>
                <w:rFonts w:asciiTheme="minorHAnsi" w:eastAsia="MS Mincho" w:hAnsiTheme="minorHAnsi" w:cs="Arial"/>
                <w:b/>
                <w:bCs/>
                <w:sz w:val="20"/>
                <w:szCs w:val="20"/>
                <w:lang w:eastAsia="en-AU"/>
              </w:rPr>
              <w:lastRenderedPageBreak/>
              <w:t xml:space="preserve">108 </w:t>
            </w:r>
            <w:r w:rsidRPr="00823201">
              <w:rPr>
                <w:rFonts w:asciiTheme="minorHAnsi" w:eastAsia="MS Mincho" w:hAnsiTheme="minorHAnsi" w:cs="Arial"/>
                <w:sz w:val="20"/>
                <w:szCs w:val="20"/>
                <w:lang w:eastAsia="en-AU"/>
              </w:rPr>
              <w:t xml:space="preserve">The responsibility for quality assurance and production </w:t>
            </w:r>
            <w:r w:rsidRPr="00823201">
              <w:rPr>
                <w:rFonts w:asciiTheme="minorHAnsi" w:eastAsia="MS Mincho" w:hAnsiTheme="minorHAnsi" w:cs="Arial"/>
                <w:b/>
                <w:bCs/>
                <w:sz w:val="20"/>
                <w:szCs w:val="20"/>
                <w:lang w:eastAsia="en-AU"/>
              </w:rPr>
              <w:t xml:space="preserve">must </w:t>
            </w:r>
            <w:r w:rsidRPr="00823201">
              <w:rPr>
                <w:rFonts w:asciiTheme="minorHAnsi" w:eastAsia="MS Mincho" w:hAnsiTheme="minorHAnsi" w:cs="Arial"/>
                <w:sz w:val="20"/>
                <w:szCs w:val="20"/>
                <w:lang w:eastAsia="en-AU"/>
              </w:rPr>
              <w:t>be allocated to a person(s) as required by the manufacturing licence. Those nominated for these responsibilities should be different persons, neither responsible to the other, unless other arrangements acceptable to the</w:t>
            </w:r>
          </w:p>
          <w:p w:rsidR="00AB181F" w:rsidRPr="00823201" w:rsidRDefault="00AB181F" w:rsidP="00AB181F">
            <w:pPr>
              <w:autoSpaceDE w:val="0"/>
              <w:autoSpaceDN w:val="0"/>
              <w:spacing w:after="0" w:line="240" w:lineRule="auto"/>
              <w:jc w:val="both"/>
              <w:rPr>
                <w:rFonts w:asciiTheme="minorHAnsi" w:eastAsia="MS Mincho" w:hAnsiTheme="minorHAnsi" w:cs="Arial"/>
                <w:sz w:val="20"/>
                <w:szCs w:val="20"/>
                <w:lang w:eastAsia="en-AU"/>
              </w:rPr>
            </w:pPr>
            <w:r w:rsidRPr="00823201">
              <w:rPr>
                <w:rFonts w:asciiTheme="minorHAnsi" w:eastAsia="MS Mincho" w:hAnsiTheme="minorHAnsi" w:cs="Arial"/>
                <w:sz w:val="20"/>
                <w:szCs w:val="20"/>
                <w:lang w:eastAsia="en-AU"/>
              </w:rPr>
              <w:t xml:space="preserve">TGA are made. The licensed site </w:t>
            </w:r>
            <w:r w:rsidRPr="00823201">
              <w:rPr>
                <w:rFonts w:asciiTheme="minorHAnsi" w:eastAsia="MS Mincho" w:hAnsiTheme="minorHAnsi" w:cs="Arial"/>
                <w:b/>
                <w:bCs/>
                <w:sz w:val="20"/>
                <w:szCs w:val="20"/>
                <w:lang w:eastAsia="en-AU"/>
              </w:rPr>
              <w:t xml:space="preserve">must </w:t>
            </w:r>
            <w:r w:rsidRPr="00823201">
              <w:rPr>
                <w:rFonts w:asciiTheme="minorHAnsi" w:eastAsia="MS Mincho" w:hAnsiTheme="minorHAnsi" w:cs="Arial"/>
                <w:sz w:val="20"/>
                <w:szCs w:val="20"/>
                <w:lang w:eastAsia="en-AU"/>
              </w:rPr>
              <w:t>be able to demonstrate supervisory control over any manufacturing step(s) carried out at another site.</w:t>
            </w:r>
          </w:p>
          <w:p w:rsidR="00AB181F" w:rsidRPr="00823201" w:rsidRDefault="00AB181F" w:rsidP="00AB181F">
            <w:pPr>
              <w:autoSpaceDE w:val="0"/>
              <w:autoSpaceDN w:val="0"/>
              <w:spacing w:after="0" w:line="240" w:lineRule="auto"/>
              <w:jc w:val="both"/>
              <w:rPr>
                <w:rFonts w:asciiTheme="minorHAnsi" w:eastAsia="MS Mincho" w:hAnsiTheme="minorHAnsi" w:cs="Arial"/>
                <w:sz w:val="20"/>
                <w:szCs w:val="20"/>
                <w:lang w:eastAsia="en-AU"/>
              </w:rPr>
            </w:pPr>
            <w:r w:rsidRPr="00823201">
              <w:rPr>
                <w:rFonts w:asciiTheme="minorHAnsi" w:eastAsia="MS Mincho" w:hAnsiTheme="minorHAnsi" w:cs="Arial"/>
                <w:b/>
                <w:bCs/>
                <w:sz w:val="20"/>
                <w:szCs w:val="20"/>
                <w:lang w:eastAsia="en-AU"/>
              </w:rPr>
              <w:t xml:space="preserve">109 </w:t>
            </w:r>
            <w:r w:rsidRPr="00823201">
              <w:rPr>
                <w:rFonts w:asciiTheme="minorHAnsi" w:eastAsia="MS Mincho" w:hAnsiTheme="minorHAnsi" w:cs="Arial"/>
                <w:sz w:val="20"/>
                <w:szCs w:val="20"/>
                <w:lang w:eastAsia="en-AU"/>
              </w:rPr>
              <w:t xml:space="preserve">The quality assurance nominee (manager) </w:t>
            </w:r>
            <w:r w:rsidRPr="00823201">
              <w:rPr>
                <w:rFonts w:asciiTheme="minorHAnsi" w:eastAsia="MS Mincho" w:hAnsiTheme="minorHAnsi" w:cs="Arial"/>
                <w:b/>
                <w:bCs/>
                <w:sz w:val="20"/>
                <w:szCs w:val="20"/>
                <w:lang w:eastAsia="en-AU"/>
              </w:rPr>
              <w:t xml:space="preserve">must </w:t>
            </w:r>
            <w:r w:rsidRPr="00823201">
              <w:rPr>
                <w:rFonts w:asciiTheme="minorHAnsi" w:eastAsia="MS Mincho" w:hAnsiTheme="minorHAnsi" w:cs="Arial"/>
                <w:sz w:val="20"/>
                <w:szCs w:val="20"/>
                <w:lang w:eastAsia="en-AU"/>
              </w:rPr>
              <w:t>have the necessary independence and authority to ensure that quality measures are employed in the manufacture (including testing) of product. This person should report to the Director.</w:t>
            </w:r>
          </w:p>
          <w:p w:rsidR="00AB181F" w:rsidRPr="00823201" w:rsidRDefault="00AB181F" w:rsidP="00AB181F">
            <w:pPr>
              <w:autoSpaceDE w:val="0"/>
              <w:autoSpaceDN w:val="0"/>
              <w:spacing w:after="0" w:line="240" w:lineRule="auto"/>
              <w:jc w:val="both"/>
              <w:rPr>
                <w:rFonts w:asciiTheme="minorHAnsi" w:eastAsia="MS Mincho" w:hAnsiTheme="minorHAnsi" w:cs="Arial"/>
                <w:sz w:val="20"/>
                <w:szCs w:val="20"/>
                <w:lang w:eastAsia="en-AU"/>
              </w:rPr>
            </w:pPr>
            <w:r w:rsidRPr="00823201">
              <w:rPr>
                <w:rFonts w:asciiTheme="minorHAnsi" w:eastAsia="MS Mincho" w:hAnsiTheme="minorHAnsi" w:cs="Arial"/>
                <w:b/>
                <w:bCs/>
                <w:sz w:val="20"/>
                <w:szCs w:val="20"/>
                <w:lang w:eastAsia="en-AU"/>
              </w:rPr>
              <w:t xml:space="preserve">110 </w:t>
            </w:r>
            <w:r w:rsidRPr="00823201">
              <w:rPr>
                <w:rFonts w:asciiTheme="minorHAnsi" w:eastAsia="MS Mincho" w:hAnsiTheme="minorHAnsi" w:cs="Arial"/>
                <w:sz w:val="20"/>
                <w:szCs w:val="20"/>
                <w:lang w:eastAsia="en-AU"/>
              </w:rPr>
              <w:t xml:space="preserve">The production nominee (manager) </w:t>
            </w:r>
            <w:r w:rsidRPr="00823201">
              <w:rPr>
                <w:rFonts w:asciiTheme="minorHAnsi" w:eastAsia="MS Mincho" w:hAnsiTheme="minorHAnsi" w:cs="Arial"/>
                <w:b/>
                <w:bCs/>
                <w:sz w:val="20"/>
                <w:szCs w:val="20"/>
                <w:lang w:eastAsia="en-AU"/>
              </w:rPr>
              <w:t xml:space="preserve">must </w:t>
            </w:r>
            <w:r w:rsidRPr="00823201">
              <w:rPr>
                <w:rFonts w:asciiTheme="minorHAnsi" w:eastAsia="MS Mincho" w:hAnsiTheme="minorHAnsi" w:cs="Arial"/>
                <w:sz w:val="20"/>
                <w:szCs w:val="20"/>
                <w:lang w:eastAsia="en-AU"/>
              </w:rPr>
              <w:t>have the necessary authority to control the manufacture of product.</w:t>
            </w:r>
          </w:p>
          <w:p w:rsidR="00AB181F" w:rsidRPr="00823201" w:rsidRDefault="00AB181F" w:rsidP="00AB181F">
            <w:pPr>
              <w:autoSpaceDE w:val="0"/>
              <w:autoSpaceDN w:val="0"/>
              <w:spacing w:after="0" w:line="240" w:lineRule="auto"/>
              <w:jc w:val="both"/>
              <w:rPr>
                <w:rFonts w:asciiTheme="minorHAnsi" w:eastAsia="MS Mincho" w:hAnsiTheme="minorHAnsi" w:cs="Arial"/>
                <w:sz w:val="20"/>
                <w:szCs w:val="20"/>
                <w:lang w:eastAsia="en-AU"/>
              </w:rPr>
            </w:pPr>
            <w:r w:rsidRPr="00823201">
              <w:rPr>
                <w:rFonts w:asciiTheme="minorHAnsi" w:eastAsia="MS Mincho" w:hAnsiTheme="minorHAnsi" w:cs="Arial"/>
                <w:b/>
                <w:bCs/>
                <w:sz w:val="20"/>
                <w:szCs w:val="20"/>
                <w:lang w:eastAsia="en-AU"/>
              </w:rPr>
              <w:t xml:space="preserve">111 </w:t>
            </w:r>
            <w:r w:rsidRPr="00823201">
              <w:rPr>
                <w:rFonts w:asciiTheme="minorHAnsi" w:eastAsia="MS Mincho" w:hAnsiTheme="minorHAnsi" w:cs="Arial"/>
                <w:sz w:val="20"/>
                <w:szCs w:val="20"/>
                <w:lang w:eastAsia="en-AU"/>
              </w:rPr>
              <w:t xml:space="preserve">The quality assurance and production nominees </w:t>
            </w:r>
            <w:r w:rsidRPr="00823201">
              <w:rPr>
                <w:rFonts w:asciiTheme="minorHAnsi" w:eastAsia="MS Mincho" w:hAnsiTheme="minorHAnsi" w:cs="Arial"/>
                <w:b/>
                <w:sz w:val="20"/>
                <w:szCs w:val="20"/>
                <w:lang w:eastAsia="en-AU"/>
              </w:rPr>
              <w:t>should usually have a relevant tertiary level qualification, (e</w:t>
            </w:r>
            <w:r w:rsidR="003C09BF">
              <w:rPr>
                <w:rFonts w:asciiTheme="minorHAnsi" w:eastAsia="MS Mincho" w:hAnsiTheme="minorHAnsi" w:cs="Arial"/>
                <w:b/>
                <w:sz w:val="20"/>
                <w:szCs w:val="20"/>
                <w:lang w:eastAsia="en-AU"/>
              </w:rPr>
              <w:t>.</w:t>
            </w:r>
            <w:r w:rsidRPr="00823201">
              <w:rPr>
                <w:rFonts w:asciiTheme="minorHAnsi" w:eastAsia="MS Mincho" w:hAnsiTheme="minorHAnsi" w:cs="Arial"/>
                <w:b/>
                <w:sz w:val="20"/>
                <w:szCs w:val="20"/>
                <w:lang w:eastAsia="en-AU"/>
              </w:rPr>
              <w:t xml:space="preserve">g. in </w:t>
            </w:r>
            <w:r w:rsidRPr="00823201">
              <w:rPr>
                <w:rFonts w:asciiTheme="minorHAnsi" w:eastAsia="MS Mincho" w:hAnsiTheme="minorHAnsi" w:cs="Arial"/>
                <w:b/>
                <w:sz w:val="20"/>
                <w:szCs w:val="20"/>
                <w:lang w:eastAsia="en-AU"/>
              </w:rPr>
              <w:lastRenderedPageBreak/>
              <w:t>medicine, science, medical laboratory science, nursing), and have had practical experience, at management level and under professional guidance,</w:t>
            </w:r>
            <w:r w:rsidRPr="00823201">
              <w:rPr>
                <w:rFonts w:asciiTheme="minorHAnsi" w:eastAsia="MS Mincho" w:hAnsiTheme="minorHAnsi" w:cs="Arial"/>
                <w:sz w:val="20"/>
                <w:szCs w:val="20"/>
                <w:lang w:eastAsia="en-AU"/>
              </w:rPr>
              <w:t xml:space="preserve"> in the manufacture of blood and/or tissue products, in accordance with GMP requirements.</w:t>
            </w:r>
          </w:p>
          <w:p w:rsidR="00AB181F" w:rsidRPr="00823201" w:rsidRDefault="00AB181F" w:rsidP="00AB181F">
            <w:pPr>
              <w:autoSpaceDE w:val="0"/>
              <w:autoSpaceDN w:val="0"/>
              <w:spacing w:after="0" w:line="240" w:lineRule="auto"/>
              <w:jc w:val="both"/>
              <w:rPr>
                <w:rFonts w:asciiTheme="minorHAnsi" w:eastAsia="MS Mincho" w:hAnsiTheme="minorHAnsi" w:cs="Arial"/>
                <w:sz w:val="20"/>
                <w:szCs w:val="20"/>
                <w:lang w:eastAsia="en-AU"/>
              </w:rPr>
            </w:pPr>
            <w:r w:rsidRPr="00823201">
              <w:rPr>
                <w:rFonts w:asciiTheme="minorHAnsi" w:eastAsia="MS Mincho" w:hAnsiTheme="minorHAnsi" w:cs="Arial"/>
                <w:b/>
                <w:bCs/>
                <w:sz w:val="20"/>
                <w:szCs w:val="20"/>
                <w:lang w:eastAsia="en-AU"/>
              </w:rPr>
              <w:t xml:space="preserve">112 </w:t>
            </w:r>
            <w:r w:rsidRPr="00823201">
              <w:rPr>
                <w:rFonts w:asciiTheme="minorHAnsi" w:eastAsia="MS Mincho" w:hAnsiTheme="minorHAnsi" w:cs="Arial"/>
                <w:sz w:val="20"/>
                <w:szCs w:val="20"/>
                <w:lang w:eastAsia="en-AU"/>
              </w:rPr>
              <w:t xml:space="preserve">Where operational events and quality policy conflict, the Director (or nominee), </w:t>
            </w:r>
            <w:r w:rsidRPr="00823201">
              <w:rPr>
                <w:rFonts w:asciiTheme="minorHAnsi" w:eastAsia="MS Mincho" w:hAnsiTheme="minorHAnsi" w:cs="Arial"/>
                <w:b/>
                <w:bCs/>
                <w:sz w:val="20"/>
                <w:szCs w:val="20"/>
                <w:lang w:eastAsia="en-AU"/>
              </w:rPr>
              <w:t xml:space="preserve">must </w:t>
            </w:r>
            <w:r w:rsidRPr="00823201">
              <w:rPr>
                <w:rFonts w:asciiTheme="minorHAnsi" w:eastAsia="MS Mincho" w:hAnsiTheme="minorHAnsi" w:cs="Arial"/>
                <w:sz w:val="20"/>
                <w:szCs w:val="20"/>
                <w:lang w:eastAsia="en-AU"/>
              </w:rPr>
              <w:t xml:space="preserve">have the authority to make a decision to resolve the conflict. The circumstances and the decision taken </w:t>
            </w:r>
            <w:r w:rsidRPr="00823201">
              <w:rPr>
                <w:rFonts w:asciiTheme="minorHAnsi" w:eastAsia="MS Mincho" w:hAnsiTheme="minorHAnsi" w:cs="Arial"/>
                <w:b/>
                <w:sz w:val="20"/>
                <w:szCs w:val="20"/>
                <w:lang w:eastAsia="en-AU"/>
              </w:rPr>
              <w:t>should be</w:t>
            </w:r>
            <w:r w:rsidRPr="00823201">
              <w:rPr>
                <w:rFonts w:asciiTheme="minorHAnsi" w:eastAsia="MS Mincho" w:hAnsiTheme="minorHAnsi" w:cs="Arial"/>
                <w:sz w:val="20"/>
                <w:szCs w:val="20"/>
                <w:lang w:eastAsia="en-AU"/>
              </w:rPr>
              <w:t xml:space="preserve"> recorded.</w:t>
            </w:r>
          </w:p>
          <w:p w:rsidR="00AB181F" w:rsidRPr="00823201" w:rsidRDefault="00AB181F" w:rsidP="00AB181F">
            <w:pPr>
              <w:jc w:val="both"/>
              <w:rPr>
                <w:rFonts w:asciiTheme="minorHAnsi" w:hAnsiTheme="minorHAnsi"/>
                <w:i/>
                <w:sz w:val="20"/>
                <w:szCs w:val="20"/>
              </w:rPr>
            </w:pPr>
          </w:p>
        </w:tc>
        <w:tc>
          <w:tcPr>
            <w:tcW w:w="1321" w:type="pct"/>
          </w:tcPr>
          <w:p w:rsidR="00AB181F" w:rsidRPr="00823201" w:rsidRDefault="00AB181F" w:rsidP="00AB181F">
            <w:pPr>
              <w:pStyle w:val="ListBullet"/>
              <w:numPr>
                <w:ilvl w:val="0"/>
                <w:numId w:val="0"/>
              </w:numPr>
              <w:spacing w:after="0" w:line="240" w:lineRule="auto"/>
              <w:jc w:val="both"/>
              <w:rPr>
                <w:rFonts w:asciiTheme="minorHAnsi" w:eastAsia="MS Mincho" w:hAnsiTheme="minorHAnsi" w:cs="Arial"/>
                <w:color w:val="000000"/>
                <w:sz w:val="20"/>
                <w:szCs w:val="20"/>
                <w:lang w:eastAsia="en-AU"/>
              </w:rPr>
            </w:pPr>
            <w:r w:rsidRPr="00823201">
              <w:rPr>
                <w:rFonts w:asciiTheme="minorHAnsi" w:eastAsia="MS Mincho" w:hAnsiTheme="minorHAnsi" w:cs="Arial"/>
                <w:b/>
                <w:color w:val="000000"/>
                <w:sz w:val="20"/>
                <w:szCs w:val="20"/>
                <w:lang w:eastAsia="en-AU"/>
              </w:rPr>
              <w:lastRenderedPageBreak/>
              <w:t xml:space="preserve">Clause104: </w:t>
            </w:r>
            <w:r w:rsidRPr="00823201">
              <w:rPr>
                <w:rFonts w:asciiTheme="minorHAnsi" w:eastAsia="MS Mincho" w:hAnsiTheme="minorHAnsi" w:cs="Arial"/>
                <w:color w:val="000000"/>
                <w:sz w:val="20"/>
                <w:szCs w:val="20"/>
                <w:lang w:eastAsia="en-AU"/>
              </w:rPr>
              <w:t xml:space="preserve">The </w:t>
            </w:r>
            <w:r w:rsidRPr="00823201">
              <w:rPr>
                <w:rFonts w:asciiTheme="minorHAnsi" w:eastAsia="MS Mincho" w:hAnsiTheme="minorHAnsi" w:cs="Arial"/>
                <w:b/>
                <w:color w:val="000000"/>
                <w:sz w:val="20"/>
                <w:szCs w:val="20"/>
                <w:lang w:eastAsia="en-AU"/>
              </w:rPr>
              <w:t>system of Quality Assurance</w:t>
            </w:r>
            <w:r w:rsidRPr="00823201">
              <w:rPr>
                <w:rFonts w:asciiTheme="minorHAnsi" w:eastAsia="MS Mincho" w:hAnsiTheme="minorHAnsi" w:cs="Arial"/>
                <w:color w:val="000000"/>
                <w:sz w:val="20"/>
                <w:szCs w:val="20"/>
                <w:lang w:eastAsia="en-AU"/>
              </w:rPr>
              <w:t xml:space="preserve"> appropriate for the </w:t>
            </w:r>
            <w:r w:rsidRPr="00823201">
              <w:rPr>
                <w:rFonts w:asciiTheme="minorHAnsi" w:eastAsia="MS Mincho" w:hAnsiTheme="minorHAnsi" w:cs="Arial"/>
                <w:color w:val="000000"/>
                <w:sz w:val="20"/>
                <w:szCs w:val="20"/>
                <w:lang w:eastAsia="en-AU"/>
              </w:rPr>
              <w:lastRenderedPageBreak/>
              <w:t xml:space="preserve">manufacture of products should ensure that: </w:t>
            </w:r>
          </w:p>
          <w:p w:rsidR="00AB181F" w:rsidRPr="00823201" w:rsidRDefault="00AB181F" w:rsidP="00AB181F">
            <w:pPr>
              <w:pStyle w:val="ListBullet"/>
              <w:numPr>
                <w:ilvl w:val="0"/>
                <w:numId w:val="28"/>
              </w:numPr>
              <w:adjustRightInd w:val="0"/>
              <w:snapToGrid w:val="0"/>
              <w:spacing w:before="0" w:after="0" w:line="240" w:lineRule="auto"/>
              <w:ind w:left="153" w:hanging="153"/>
              <w:jc w:val="both"/>
              <w:rPr>
                <w:rFonts w:asciiTheme="minorHAnsi" w:eastAsia="MS Mincho" w:hAnsiTheme="minorHAnsi" w:cs="Arial"/>
                <w:color w:val="000000"/>
                <w:sz w:val="20"/>
                <w:szCs w:val="20"/>
                <w:lang w:eastAsia="en-AU"/>
              </w:rPr>
            </w:pPr>
            <w:r w:rsidRPr="00823201">
              <w:rPr>
                <w:rFonts w:asciiTheme="minorHAnsi" w:eastAsia="MS Mincho" w:hAnsiTheme="minorHAnsi" w:cs="Arial"/>
                <w:color w:val="000000"/>
                <w:sz w:val="20"/>
                <w:szCs w:val="20"/>
                <w:lang w:eastAsia="en-AU"/>
              </w:rPr>
              <w:t xml:space="preserve">therapeutic products are designed and developed in a way that takes account of the requirements of this Code and Good Laboratory Practice; </w:t>
            </w:r>
          </w:p>
          <w:p w:rsidR="00AB181F" w:rsidRPr="00823201" w:rsidRDefault="00AB181F" w:rsidP="00AB181F">
            <w:pPr>
              <w:pStyle w:val="ListBullet"/>
              <w:numPr>
                <w:ilvl w:val="0"/>
                <w:numId w:val="28"/>
              </w:numPr>
              <w:adjustRightInd w:val="0"/>
              <w:snapToGrid w:val="0"/>
              <w:spacing w:before="0" w:after="0" w:line="240" w:lineRule="auto"/>
              <w:ind w:left="153" w:hanging="153"/>
              <w:jc w:val="both"/>
              <w:rPr>
                <w:rFonts w:asciiTheme="minorHAnsi" w:eastAsia="MS Mincho" w:hAnsiTheme="minorHAnsi" w:cs="Arial"/>
                <w:color w:val="000000"/>
                <w:sz w:val="20"/>
                <w:szCs w:val="20"/>
                <w:lang w:eastAsia="en-AU"/>
              </w:rPr>
            </w:pPr>
            <w:r w:rsidRPr="00823201">
              <w:rPr>
                <w:rFonts w:asciiTheme="minorHAnsi" w:eastAsia="MS Mincho" w:hAnsiTheme="minorHAnsi" w:cs="Arial"/>
                <w:sz w:val="20"/>
                <w:szCs w:val="20"/>
                <w:lang w:eastAsia="en-AU"/>
              </w:rPr>
              <w:t xml:space="preserve">production and control operations are clearly specified and Good Manufacturing Practice adopted; </w:t>
            </w:r>
          </w:p>
          <w:p w:rsidR="00AB181F" w:rsidRPr="00823201" w:rsidRDefault="00AB181F" w:rsidP="00AB181F">
            <w:pPr>
              <w:pStyle w:val="ListParagraph"/>
              <w:numPr>
                <w:ilvl w:val="0"/>
                <w:numId w:val="28"/>
              </w:numPr>
              <w:autoSpaceDE w:val="0"/>
              <w:autoSpaceDN w:val="0"/>
              <w:adjustRightInd w:val="0"/>
              <w:snapToGrid w:val="0"/>
              <w:spacing w:before="0" w:after="0" w:line="240" w:lineRule="auto"/>
              <w:ind w:left="153" w:hanging="153"/>
              <w:jc w:val="both"/>
              <w:rPr>
                <w:rFonts w:asciiTheme="minorHAnsi" w:eastAsia="MS Mincho" w:hAnsiTheme="minorHAnsi" w:cs="Arial"/>
                <w:sz w:val="20"/>
                <w:szCs w:val="20"/>
                <w:lang w:eastAsia="en-AU"/>
              </w:rPr>
            </w:pPr>
            <w:r w:rsidRPr="00823201">
              <w:rPr>
                <w:rFonts w:asciiTheme="minorHAnsi" w:eastAsia="MS Mincho" w:hAnsiTheme="minorHAnsi" w:cs="Arial"/>
                <w:sz w:val="20"/>
                <w:szCs w:val="20"/>
                <w:lang w:eastAsia="en-AU"/>
              </w:rPr>
              <w:t xml:space="preserve">managerial responsibilities are clearly specified; </w:t>
            </w:r>
          </w:p>
          <w:p w:rsidR="00AB181F" w:rsidRPr="00823201" w:rsidRDefault="00AB181F" w:rsidP="00AB181F">
            <w:pPr>
              <w:pStyle w:val="ListParagraph"/>
              <w:numPr>
                <w:ilvl w:val="0"/>
                <w:numId w:val="28"/>
              </w:numPr>
              <w:autoSpaceDE w:val="0"/>
              <w:autoSpaceDN w:val="0"/>
              <w:adjustRightInd w:val="0"/>
              <w:snapToGrid w:val="0"/>
              <w:spacing w:before="0" w:after="0" w:line="240" w:lineRule="auto"/>
              <w:ind w:left="153" w:hanging="153"/>
              <w:jc w:val="both"/>
              <w:rPr>
                <w:rFonts w:asciiTheme="minorHAnsi" w:eastAsia="MS Mincho" w:hAnsiTheme="minorHAnsi" w:cs="Arial"/>
                <w:sz w:val="20"/>
                <w:szCs w:val="20"/>
                <w:lang w:eastAsia="en-AU"/>
              </w:rPr>
            </w:pPr>
            <w:r w:rsidRPr="00823201">
              <w:rPr>
                <w:rFonts w:asciiTheme="minorHAnsi" w:eastAsia="MS Mincho" w:hAnsiTheme="minorHAnsi" w:cs="Arial"/>
                <w:sz w:val="20"/>
                <w:szCs w:val="20"/>
                <w:lang w:eastAsia="en-AU"/>
              </w:rPr>
              <w:t xml:space="preserve">arrangements are made for the manufacture, supply and use of the correct starting and packaging materials; </w:t>
            </w:r>
          </w:p>
          <w:p w:rsidR="00AB181F" w:rsidRPr="00823201" w:rsidRDefault="00AB181F" w:rsidP="00AB181F">
            <w:pPr>
              <w:pStyle w:val="ListParagraph"/>
              <w:numPr>
                <w:ilvl w:val="0"/>
                <w:numId w:val="28"/>
              </w:numPr>
              <w:autoSpaceDE w:val="0"/>
              <w:autoSpaceDN w:val="0"/>
              <w:adjustRightInd w:val="0"/>
              <w:snapToGrid w:val="0"/>
              <w:spacing w:before="0" w:after="0" w:line="240" w:lineRule="auto"/>
              <w:ind w:left="153" w:hanging="153"/>
              <w:jc w:val="both"/>
              <w:rPr>
                <w:rFonts w:asciiTheme="minorHAnsi" w:eastAsia="MS Mincho" w:hAnsiTheme="minorHAnsi" w:cs="Arial"/>
                <w:sz w:val="20"/>
                <w:szCs w:val="20"/>
                <w:lang w:eastAsia="en-AU"/>
              </w:rPr>
            </w:pPr>
            <w:r w:rsidRPr="00823201">
              <w:rPr>
                <w:rFonts w:asciiTheme="minorHAnsi" w:eastAsia="MS Mincho" w:hAnsiTheme="minorHAnsi" w:cs="Arial"/>
                <w:sz w:val="20"/>
                <w:szCs w:val="20"/>
                <w:lang w:eastAsia="en-AU"/>
              </w:rPr>
              <w:t xml:space="preserve">all necessary controls on intermediate products, and any other in-process controls and validations are carried out; </w:t>
            </w:r>
          </w:p>
          <w:p w:rsidR="00AB181F" w:rsidRPr="00823201" w:rsidRDefault="00AB181F" w:rsidP="00AB181F">
            <w:pPr>
              <w:pStyle w:val="ListParagraph"/>
              <w:numPr>
                <w:ilvl w:val="0"/>
                <w:numId w:val="28"/>
              </w:numPr>
              <w:autoSpaceDE w:val="0"/>
              <w:autoSpaceDN w:val="0"/>
              <w:adjustRightInd w:val="0"/>
              <w:snapToGrid w:val="0"/>
              <w:spacing w:before="0" w:after="0" w:line="240" w:lineRule="auto"/>
              <w:ind w:left="153" w:hanging="153"/>
              <w:jc w:val="both"/>
              <w:rPr>
                <w:rFonts w:asciiTheme="minorHAnsi" w:eastAsia="MS Mincho" w:hAnsiTheme="minorHAnsi" w:cs="Arial"/>
                <w:sz w:val="20"/>
                <w:szCs w:val="20"/>
                <w:lang w:eastAsia="en-AU"/>
              </w:rPr>
            </w:pPr>
            <w:r w:rsidRPr="00823201">
              <w:rPr>
                <w:rFonts w:asciiTheme="minorHAnsi" w:eastAsia="MS Mincho" w:hAnsiTheme="minorHAnsi" w:cs="Arial"/>
                <w:sz w:val="20"/>
                <w:szCs w:val="20"/>
                <w:lang w:eastAsia="en-AU"/>
              </w:rPr>
              <w:t xml:space="preserve">the finished product is correctly processed and checked, according to the defined procedures; </w:t>
            </w:r>
          </w:p>
          <w:p w:rsidR="00AB181F" w:rsidRPr="00823201" w:rsidRDefault="00AB181F" w:rsidP="00AB181F">
            <w:pPr>
              <w:pStyle w:val="ListParagraph"/>
              <w:numPr>
                <w:ilvl w:val="0"/>
                <w:numId w:val="28"/>
              </w:numPr>
              <w:autoSpaceDE w:val="0"/>
              <w:autoSpaceDN w:val="0"/>
              <w:adjustRightInd w:val="0"/>
              <w:snapToGrid w:val="0"/>
              <w:spacing w:before="0" w:after="0" w:line="240" w:lineRule="auto"/>
              <w:ind w:left="153" w:hanging="153"/>
              <w:jc w:val="both"/>
              <w:rPr>
                <w:rFonts w:asciiTheme="minorHAnsi" w:eastAsia="MS Mincho" w:hAnsiTheme="minorHAnsi" w:cs="Arial"/>
                <w:sz w:val="20"/>
                <w:szCs w:val="20"/>
                <w:lang w:eastAsia="en-AU"/>
              </w:rPr>
            </w:pPr>
            <w:r w:rsidRPr="00823201">
              <w:rPr>
                <w:rFonts w:asciiTheme="minorHAnsi" w:eastAsia="MS Mincho" w:hAnsiTheme="minorHAnsi" w:cs="Arial"/>
                <w:sz w:val="20"/>
                <w:szCs w:val="20"/>
                <w:lang w:eastAsia="en-AU"/>
              </w:rPr>
              <w:t xml:space="preserve">therapeutic products are not supplied before an authorised person has verified that they have been produced and controlled in accordance with the requirements and any other regulations relevant to the production, control and release of therapeutic products; </w:t>
            </w:r>
          </w:p>
          <w:p w:rsidR="00AB181F" w:rsidRPr="00823201" w:rsidRDefault="003C09BF" w:rsidP="00AB181F">
            <w:pPr>
              <w:autoSpaceDE w:val="0"/>
              <w:autoSpaceDN w:val="0"/>
              <w:spacing w:after="0" w:line="240" w:lineRule="auto"/>
              <w:jc w:val="both"/>
              <w:rPr>
                <w:rFonts w:asciiTheme="minorHAnsi" w:hAnsiTheme="minorHAnsi"/>
                <w:i/>
                <w:sz w:val="20"/>
                <w:szCs w:val="20"/>
              </w:rPr>
            </w:pPr>
            <w:r w:rsidRPr="00AB181F">
              <w:rPr>
                <w:rFonts w:asciiTheme="minorHAnsi" w:eastAsia="MS Mincho" w:hAnsiTheme="minorHAnsi" w:cs="Arial"/>
                <w:sz w:val="20"/>
                <w:szCs w:val="20"/>
                <w:lang w:eastAsia="en-AU"/>
              </w:rPr>
              <w:t>Satisfactory</w:t>
            </w:r>
            <w:r w:rsidR="00AB181F" w:rsidRPr="00AB181F">
              <w:rPr>
                <w:rFonts w:asciiTheme="minorHAnsi" w:eastAsia="MS Mincho" w:hAnsiTheme="minorHAnsi" w:cs="Arial"/>
                <w:sz w:val="20"/>
                <w:szCs w:val="20"/>
                <w:lang w:eastAsia="en-AU"/>
              </w:rPr>
              <w:t xml:space="preserve"> arrangements exist</w:t>
            </w:r>
            <w:r w:rsidR="00AB181F" w:rsidRPr="00823201">
              <w:rPr>
                <w:rFonts w:asciiTheme="minorHAnsi" w:eastAsia="MS Mincho" w:hAnsiTheme="minorHAnsi" w:cs="Arial"/>
                <w:b/>
                <w:sz w:val="20"/>
                <w:szCs w:val="20"/>
                <w:lang w:eastAsia="en-AU"/>
              </w:rPr>
              <w:t xml:space="preserve"> </w:t>
            </w:r>
            <w:r w:rsidR="00AB181F" w:rsidRPr="00AB181F">
              <w:rPr>
                <w:rFonts w:asciiTheme="minorHAnsi" w:eastAsia="MS Mincho" w:hAnsiTheme="minorHAnsi" w:cs="Arial"/>
                <w:sz w:val="20"/>
                <w:szCs w:val="20"/>
                <w:lang w:eastAsia="en-AU"/>
              </w:rPr>
              <w:t>to</w:t>
            </w:r>
            <w:r w:rsidR="00AB181F" w:rsidRPr="00823201">
              <w:rPr>
                <w:rFonts w:asciiTheme="minorHAnsi" w:eastAsia="MS Mincho" w:hAnsiTheme="minorHAnsi" w:cs="Arial"/>
                <w:b/>
                <w:sz w:val="20"/>
                <w:szCs w:val="20"/>
                <w:lang w:eastAsia="en-AU"/>
              </w:rPr>
              <w:t xml:space="preserve"> ensure, as far as possible</w:t>
            </w:r>
            <w:r w:rsidR="00AB181F" w:rsidRPr="00823201">
              <w:rPr>
                <w:rFonts w:asciiTheme="minorHAnsi" w:eastAsia="MS Mincho" w:hAnsiTheme="minorHAnsi" w:cs="Arial"/>
                <w:sz w:val="20"/>
                <w:szCs w:val="20"/>
                <w:lang w:eastAsia="en-AU"/>
              </w:rPr>
              <w:t xml:space="preserve">, that the therapeutic products are stored, </w:t>
            </w:r>
            <w:r w:rsidR="00AB181F" w:rsidRPr="00823201">
              <w:rPr>
                <w:rFonts w:asciiTheme="minorHAnsi" w:eastAsia="MS Mincho" w:hAnsiTheme="minorHAnsi" w:cs="Arial"/>
                <w:sz w:val="20"/>
                <w:szCs w:val="20"/>
                <w:lang w:eastAsia="en-AU"/>
              </w:rPr>
              <w:lastRenderedPageBreak/>
              <w:t>distributed and subsequently handled so that quality is maintained throughout their shelf life.</w:t>
            </w:r>
          </w:p>
        </w:tc>
        <w:tc>
          <w:tcPr>
            <w:tcW w:w="2443" w:type="pct"/>
          </w:tcPr>
          <w:p w:rsidR="00AB181F" w:rsidRPr="00823201" w:rsidRDefault="00AB181F" w:rsidP="00AB181F">
            <w:pPr>
              <w:pStyle w:val="ListBullet"/>
              <w:numPr>
                <w:ilvl w:val="0"/>
                <w:numId w:val="33"/>
              </w:numPr>
              <w:adjustRightInd w:val="0"/>
              <w:snapToGrid w:val="0"/>
              <w:spacing w:before="0" w:after="200" w:line="276" w:lineRule="auto"/>
              <w:rPr>
                <w:rFonts w:asciiTheme="minorHAnsi" w:hAnsiTheme="minorHAnsi"/>
                <w:sz w:val="20"/>
                <w:szCs w:val="20"/>
              </w:rPr>
            </w:pPr>
            <w:r w:rsidRPr="00823201">
              <w:rPr>
                <w:rFonts w:asciiTheme="minorHAnsi" w:hAnsiTheme="minorHAnsi"/>
                <w:sz w:val="20"/>
                <w:szCs w:val="20"/>
              </w:rPr>
              <w:lastRenderedPageBreak/>
              <w:t xml:space="preserve">Requirements have been made less prescriptive allowing more flexibility to develop procedures conducive to the </w:t>
            </w:r>
            <w:r w:rsidRPr="00823201">
              <w:rPr>
                <w:rFonts w:asciiTheme="minorHAnsi" w:hAnsiTheme="minorHAnsi"/>
                <w:sz w:val="20"/>
                <w:szCs w:val="20"/>
              </w:rPr>
              <w:lastRenderedPageBreak/>
              <w:t>new/emerging therapy development</w:t>
            </w:r>
          </w:p>
          <w:p w:rsidR="00AB181F" w:rsidRPr="00823201" w:rsidRDefault="00AB181F" w:rsidP="00AB181F">
            <w:pPr>
              <w:pStyle w:val="ListBullet"/>
              <w:numPr>
                <w:ilvl w:val="0"/>
                <w:numId w:val="33"/>
              </w:numPr>
              <w:adjustRightInd w:val="0"/>
              <w:snapToGrid w:val="0"/>
              <w:spacing w:before="0" w:after="200" w:line="276" w:lineRule="auto"/>
              <w:rPr>
                <w:rFonts w:asciiTheme="minorHAnsi" w:hAnsiTheme="minorHAnsi"/>
                <w:sz w:val="20"/>
                <w:szCs w:val="20"/>
              </w:rPr>
            </w:pPr>
            <w:r w:rsidRPr="00823201">
              <w:rPr>
                <w:rFonts w:asciiTheme="minorHAnsi" w:hAnsiTheme="minorHAnsi"/>
                <w:sz w:val="20"/>
                <w:szCs w:val="20"/>
              </w:rPr>
              <w:t>Provides additional clarity on the requirements/factors that need to be considered</w:t>
            </w:r>
          </w:p>
          <w:p w:rsidR="00AB181F" w:rsidRPr="00823201" w:rsidRDefault="00AB181F" w:rsidP="00AB181F">
            <w:pPr>
              <w:pStyle w:val="ListBullet"/>
              <w:numPr>
                <w:ilvl w:val="0"/>
                <w:numId w:val="33"/>
              </w:numPr>
              <w:adjustRightInd w:val="0"/>
              <w:snapToGrid w:val="0"/>
              <w:spacing w:before="0" w:after="200" w:line="276" w:lineRule="auto"/>
              <w:rPr>
                <w:rFonts w:asciiTheme="minorHAnsi" w:hAnsiTheme="minorHAnsi"/>
                <w:sz w:val="20"/>
                <w:szCs w:val="20"/>
              </w:rPr>
            </w:pPr>
            <w:r w:rsidRPr="00823201">
              <w:rPr>
                <w:rFonts w:asciiTheme="minorHAnsi" w:hAnsiTheme="minorHAnsi"/>
                <w:sz w:val="20"/>
                <w:szCs w:val="20"/>
              </w:rPr>
              <w:t xml:space="preserve">Harmonisation with the international regulations/practice </w:t>
            </w:r>
          </w:p>
          <w:p w:rsidR="00AB181F" w:rsidRPr="00823201" w:rsidRDefault="00AB181F" w:rsidP="00AB181F">
            <w:pPr>
              <w:pStyle w:val="ListBullet"/>
              <w:numPr>
                <w:ilvl w:val="0"/>
                <w:numId w:val="33"/>
              </w:numPr>
              <w:adjustRightInd w:val="0"/>
              <w:snapToGrid w:val="0"/>
              <w:spacing w:before="0" w:after="200" w:line="276" w:lineRule="auto"/>
              <w:rPr>
                <w:rFonts w:asciiTheme="minorHAnsi" w:hAnsiTheme="minorHAnsi"/>
                <w:sz w:val="20"/>
                <w:szCs w:val="20"/>
              </w:rPr>
            </w:pPr>
            <w:r w:rsidRPr="00823201">
              <w:rPr>
                <w:rFonts w:asciiTheme="minorHAnsi" w:hAnsiTheme="minorHAnsi"/>
                <w:sz w:val="20"/>
                <w:szCs w:val="20"/>
              </w:rPr>
              <w:t>There will be no cost or operational impacts on manufacturers arising from the change</w:t>
            </w:r>
          </w:p>
        </w:tc>
      </w:tr>
      <w:tr w:rsidR="00AB181F" w:rsidRPr="00823201" w:rsidTr="00823201">
        <w:tc>
          <w:tcPr>
            <w:tcW w:w="1236" w:type="pct"/>
          </w:tcPr>
          <w:p w:rsidR="00AB181F" w:rsidRPr="00823201" w:rsidRDefault="00AB181F" w:rsidP="00AB181F">
            <w:pPr>
              <w:spacing w:after="0" w:line="240" w:lineRule="auto"/>
              <w:jc w:val="both"/>
              <w:rPr>
                <w:rFonts w:asciiTheme="minorHAnsi" w:hAnsiTheme="minorHAnsi"/>
                <w:sz w:val="20"/>
                <w:szCs w:val="20"/>
              </w:rPr>
            </w:pPr>
            <w:r w:rsidRPr="00823201">
              <w:rPr>
                <w:rFonts w:asciiTheme="minorHAnsi" w:hAnsiTheme="minorHAnsi"/>
                <w:sz w:val="20"/>
                <w:szCs w:val="20"/>
              </w:rPr>
              <w:lastRenderedPageBreak/>
              <w:t>Clause 116:</w:t>
            </w:r>
          </w:p>
          <w:p w:rsidR="00AB181F" w:rsidRPr="00823201" w:rsidRDefault="00AB181F" w:rsidP="00AB181F">
            <w:pPr>
              <w:pStyle w:val="ListBullet"/>
              <w:numPr>
                <w:ilvl w:val="0"/>
                <w:numId w:val="0"/>
              </w:numPr>
              <w:spacing w:after="0" w:line="240" w:lineRule="auto"/>
              <w:jc w:val="both"/>
              <w:rPr>
                <w:rFonts w:asciiTheme="minorHAnsi" w:eastAsia="MS Mincho" w:hAnsiTheme="minorHAnsi" w:cs="Arial"/>
                <w:b/>
                <w:bCs/>
                <w:sz w:val="20"/>
                <w:szCs w:val="20"/>
                <w:lang w:eastAsia="en-AU"/>
              </w:rPr>
            </w:pPr>
            <w:r w:rsidRPr="00823201">
              <w:rPr>
                <w:rFonts w:asciiTheme="minorHAnsi" w:hAnsiTheme="minorHAnsi"/>
                <w:sz w:val="20"/>
                <w:szCs w:val="20"/>
              </w:rPr>
              <w:t xml:space="preserve"> A system </w:t>
            </w:r>
            <w:r w:rsidRPr="00823201">
              <w:rPr>
                <w:rFonts w:asciiTheme="minorHAnsi" w:hAnsiTheme="minorHAnsi"/>
                <w:b/>
                <w:sz w:val="20"/>
                <w:szCs w:val="20"/>
              </w:rPr>
              <w:t xml:space="preserve">must </w:t>
            </w:r>
            <w:r w:rsidRPr="00823201">
              <w:rPr>
                <w:rFonts w:asciiTheme="minorHAnsi" w:hAnsiTheme="minorHAnsi"/>
                <w:sz w:val="20"/>
                <w:szCs w:val="20"/>
              </w:rPr>
              <w:t xml:space="preserve">be established and maintained to identify, document, review and approve </w:t>
            </w:r>
            <w:r w:rsidRPr="00823201">
              <w:rPr>
                <w:rFonts w:asciiTheme="minorHAnsi" w:hAnsiTheme="minorHAnsi"/>
                <w:b/>
                <w:sz w:val="20"/>
                <w:szCs w:val="20"/>
              </w:rPr>
              <w:t>all process and product changes</w:t>
            </w:r>
            <w:r w:rsidRPr="00823201">
              <w:rPr>
                <w:rFonts w:asciiTheme="minorHAnsi" w:hAnsiTheme="minorHAnsi"/>
                <w:sz w:val="20"/>
                <w:szCs w:val="20"/>
              </w:rPr>
              <w:t xml:space="preserve">. The results of the review </w:t>
            </w:r>
            <w:r w:rsidRPr="00823201">
              <w:rPr>
                <w:rFonts w:asciiTheme="minorHAnsi" w:hAnsiTheme="minorHAnsi"/>
                <w:b/>
                <w:sz w:val="20"/>
                <w:szCs w:val="20"/>
              </w:rPr>
              <w:t xml:space="preserve">must </w:t>
            </w:r>
            <w:r w:rsidRPr="00823201">
              <w:rPr>
                <w:rFonts w:asciiTheme="minorHAnsi" w:hAnsiTheme="minorHAnsi"/>
                <w:sz w:val="20"/>
                <w:szCs w:val="20"/>
              </w:rPr>
              <w:t xml:space="preserve">be recorded and any changes or modifications approved by the quality assurance manager, or nominee, </w:t>
            </w:r>
            <w:r w:rsidRPr="00823201">
              <w:rPr>
                <w:rFonts w:asciiTheme="minorHAnsi" w:hAnsiTheme="minorHAnsi"/>
                <w:b/>
                <w:sz w:val="20"/>
                <w:szCs w:val="20"/>
              </w:rPr>
              <w:t>before implementation</w:t>
            </w:r>
            <w:r w:rsidRPr="00823201">
              <w:rPr>
                <w:rFonts w:asciiTheme="minorHAnsi" w:hAnsiTheme="minorHAnsi"/>
                <w:sz w:val="20"/>
                <w:szCs w:val="20"/>
              </w:rPr>
              <w:t>.</w:t>
            </w:r>
          </w:p>
        </w:tc>
        <w:tc>
          <w:tcPr>
            <w:tcW w:w="1321" w:type="pct"/>
          </w:tcPr>
          <w:p w:rsidR="00AB181F" w:rsidRPr="00823201" w:rsidRDefault="00AB181F" w:rsidP="00AB181F">
            <w:pPr>
              <w:jc w:val="both"/>
              <w:rPr>
                <w:rFonts w:asciiTheme="minorHAnsi" w:hAnsiTheme="minorHAnsi"/>
                <w:sz w:val="20"/>
                <w:szCs w:val="20"/>
              </w:rPr>
            </w:pPr>
            <w:r w:rsidRPr="00823201">
              <w:rPr>
                <w:rFonts w:asciiTheme="minorHAnsi" w:hAnsiTheme="minorHAnsi"/>
                <w:sz w:val="20"/>
                <w:szCs w:val="20"/>
              </w:rPr>
              <w:t xml:space="preserve">Clause 116: </w:t>
            </w:r>
          </w:p>
          <w:p w:rsidR="00AB181F" w:rsidRPr="00823201" w:rsidRDefault="00AB181F" w:rsidP="00AB181F">
            <w:pPr>
              <w:jc w:val="both"/>
              <w:rPr>
                <w:rFonts w:asciiTheme="minorHAnsi" w:hAnsiTheme="minorHAnsi"/>
                <w:sz w:val="20"/>
                <w:szCs w:val="20"/>
              </w:rPr>
            </w:pPr>
            <w:r w:rsidRPr="00823201">
              <w:rPr>
                <w:rFonts w:asciiTheme="minorHAnsi" w:hAnsiTheme="minorHAnsi"/>
                <w:sz w:val="20"/>
                <w:szCs w:val="20"/>
              </w:rPr>
              <w:t xml:space="preserve">A formal change control system should be in place to evaluate and document </w:t>
            </w:r>
            <w:r w:rsidRPr="00823201">
              <w:rPr>
                <w:rFonts w:asciiTheme="minorHAnsi" w:hAnsiTheme="minorHAnsi"/>
                <w:b/>
                <w:sz w:val="20"/>
                <w:szCs w:val="20"/>
              </w:rPr>
              <w:t xml:space="preserve">all changes that may affect </w:t>
            </w:r>
            <w:r w:rsidRPr="00823201">
              <w:rPr>
                <w:rFonts w:asciiTheme="minorHAnsi" w:hAnsiTheme="minorHAnsi"/>
                <w:sz w:val="20"/>
                <w:szCs w:val="20"/>
              </w:rPr>
              <w:t>the collection, preparation, storage, dispatch, quality control and quality assurance of product.</w:t>
            </w:r>
          </w:p>
          <w:p w:rsidR="00AB181F" w:rsidRPr="00823201" w:rsidRDefault="00AB181F" w:rsidP="00AB181F">
            <w:pPr>
              <w:pStyle w:val="ListBullet"/>
              <w:numPr>
                <w:ilvl w:val="0"/>
                <w:numId w:val="0"/>
              </w:numPr>
              <w:spacing w:after="0" w:line="240" w:lineRule="auto"/>
              <w:jc w:val="both"/>
              <w:rPr>
                <w:rFonts w:asciiTheme="minorHAnsi" w:eastAsia="MS Mincho" w:hAnsiTheme="minorHAnsi" w:cs="Arial"/>
                <w:b/>
                <w:color w:val="000000"/>
                <w:sz w:val="20"/>
                <w:szCs w:val="20"/>
                <w:lang w:eastAsia="en-AU"/>
              </w:rPr>
            </w:pPr>
          </w:p>
        </w:tc>
        <w:tc>
          <w:tcPr>
            <w:tcW w:w="2443" w:type="pct"/>
          </w:tcPr>
          <w:p w:rsidR="00AB181F" w:rsidRPr="00823201" w:rsidRDefault="00AB181F" w:rsidP="00AB181F">
            <w:pPr>
              <w:pStyle w:val="ListBullet"/>
              <w:numPr>
                <w:ilvl w:val="0"/>
                <w:numId w:val="34"/>
              </w:numPr>
              <w:adjustRightInd w:val="0"/>
              <w:snapToGrid w:val="0"/>
              <w:spacing w:before="0" w:after="200" w:line="276" w:lineRule="auto"/>
              <w:jc w:val="both"/>
              <w:rPr>
                <w:rFonts w:asciiTheme="minorHAnsi" w:hAnsiTheme="minorHAnsi"/>
                <w:sz w:val="20"/>
                <w:szCs w:val="20"/>
              </w:rPr>
            </w:pPr>
            <w:r w:rsidRPr="00823201">
              <w:rPr>
                <w:rFonts w:asciiTheme="minorHAnsi" w:hAnsiTheme="minorHAnsi"/>
                <w:sz w:val="20"/>
                <w:szCs w:val="20"/>
              </w:rPr>
              <w:t>Requirements made less prescriptive allowing significant flexibility to develop procedures conducive to the new/emerging therapies</w:t>
            </w:r>
          </w:p>
          <w:p w:rsidR="00AB181F" w:rsidRPr="00823201" w:rsidRDefault="00AB181F" w:rsidP="00AB181F">
            <w:pPr>
              <w:pStyle w:val="ListBullet"/>
              <w:numPr>
                <w:ilvl w:val="0"/>
                <w:numId w:val="33"/>
              </w:numPr>
              <w:adjustRightInd w:val="0"/>
              <w:snapToGrid w:val="0"/>
              <w:spacing w:before="0" w:after="200" w:line="276" w:lineRule="auto"/>
              <w:rPr>
                <w:rFonts w:asciiTheme="minorHAnsi" w:hAnsiTheme="minorHAnsi"/>
                <w:sz w:val="20"/>
                <w:szCs w:val="20"/>
              </w:rPr>
            </w:pPr>
            <w:r w:rsidRPr="00823201">
              <w:rPr>
                <w:rFonts w:asciiTheme="minorHAnsi" w:hAnsiTheme="minorHAnsi"/>
                <w:sz w:val="20"/>
                <w:szCs w:val="20"/>
              </w:rPr>
              <w:t>There will be no cost or operational impacts on manufacturers arising from the change</w:t>
            </w:r>
          </w:p>
        </w:tc>
      </w:tr>
      <w:tr w:rsidR="00AB181F" w:rsidRPr="00823201" w:rsidTr="00823201">
        <w:tc>
          <w:tcPr>
            <w:tcW w:w="1236" w:type="pct"/>
          </w:tcPr>
          <w:p w:rsidR="00AB181F" w:rsidRPr="00823201" w:rsidRDefault="00AB181F" w:rsidP="00AB181F">
            <w:pPr>
              <w:autoSpaceDE w:val="0"/>
              <w:autoSpaceDN w:val="0"/>
              <w:spacing w:after="0" w:line="240" w:lineRule="auto"/>
              <w:jc w:val="both"/>
              <w:rPr>
                <w:rFonts w:asciiTheme="minorHAnsi" w:eastAsia="MS Mincho" w:hAnsiTheme="minorHAnsi" w:cs="Arial"/>
                <w:b/>
                <w:bCs/>
                <w:sz w:val="20"/>
                <w:szCs w:val="20"/>
                <w:lang w:eastAsia="en-AU"/>
              </w:rPr>
            </w:pPr>
            <w:r w:rsidRPr="00823201">
              <w:rPr>
                <w:rFonts w:asciiTheme="minorHAnsi" w:eastAsia="MS Mincho" w:hAnsiTheme="minorHAnsi" w:cs="Arial"/>
                <w:b/>
                <w:bCs/>
                <w:sz w:val="20"/>
                <w:szCs w:val="20"/>
                <w:lang w:eastAsia="en-AU"/>
              </w:rPr>
              <w:t>Training</w:t>
            </w:r>
          </w:p>
          <w:p w:rsidR="00AB181F" w:rsidRPr="00823201" w:rsidRDefault="00AB181F" w:rsidP="00AB181F">
            <w:pPr>
              <w:autoSpaceDE w:val="0"/>
              <w:autoSpaceDN w:val="0"/>
              <w:spacing w:after="0" w:line="240" w:lineRule="auto"/>
              <w:jc w:val="both"/>
              <w:rPr>
                <w:rFonts w:asciiTheme="minorHAnsi" w:eastAsia="MS Mincho" w:hAnsiTheme="minorHAnsi" w:cs="Arial"/>
                <w:b/>
                <w:bCs/>
                <w:sz w:val="20"/>
                <w:szCs w:val="20"/>
                <w:lang w:eastAsia="en-AU"/>
              </w:rPr>
            </w:pPr>
            <w:r w:rsidRPr="00823201">
              <w:rPr>
                <w:rFonts w:asciiTheme="minorHAnsi" w:eastAsia="MS Mincho" w:hAnsiTheme="minorHAnsi" w:cs="Arial"/>
                <w:b/>
                <w:bCs/>
                <w:sz w:val="20"/>
                <w:szCs w:val="20"/>
                <w:lang w:eastAsia="en-AU"/>
              </w:rPr>
              <w:t xml:space="preserve">Clause207 </w:t>
            </w:r>
          </w:p>
          <w:p w:rsidR="00AB181F" w:rsidRPr="00823201" w:rsidRDefault="00AB181F" w:rsidP="00AB181F">
            <w:pPr>
              <w:autoSpaceDE w:val="0"/>
              <w:autoSpaceDN w:val="0"/>
              <w:spacing w:after="0" w:line="240" w:lineRule="auto"/>
              <w:jc w:val="both"/>
              <w:rPr>
                <w:rFonts w:asciiTheme="minorHAnsi" w:eastAsia="MS Mincho" w:hAnsiTheme="minorHAnsi" w:cs="Arial"/>
                <w:b/>
                <w:bCs/>
                <w:sz w:val="20"/>
                <w:szCs w:val="20"/>
                <w:lang w:eastAsia="en-AU"/>
              </w:rPr>
            </w:pPr>
            <w:r w:rsidRPr="00823201">
              <w:rPr>
                <w:rFonts w:asciiTheme="minorHAnsi" w:eastAsia="MS Mincho" w:hAnsiTheme="minorHAnsi" w:cs="Arial"/>
                <w:sz w:val="20"/>
                <w:szCs w:val="20"/>
                <w:lang w:eastAsia="en-AU"/>
              </w:rPr>
              <w:lastRenderedPageBreak/>
              <w:t xml:space="preserve">Learning and development programs </w:t>
            </w:r>
            <w:r w:rsidRPr="00823201">
              <w:rPr>
                <w:rFonts w:asciiTheme="minorHAnsi" w:eastAsia="MS Mincho" w:hAnsiTheme="minorHAnsi" w:cs="Arial"/>
                <w:b/>
                <w:bCs/>
                <w:sz w:val="20"/>
                <w:szCs w:val="20"/>
                <w:lang w:eastAsia="en-AU"/>
              </w:rPr>
              <w:t xml:space="preserve">must </w:t>
            </w:r>
            <w:r w:rsidRPr="00823201">
              <w:rPr>
                <w:rFonts w:asciiTheme="minorHAnsi" w:eastAsia="MS Mincho" w:hAnsiTheme="minorHAnsi" w:cs="Arial"/>
                <w:sz w:val="20"/>
                <w:szCs w:val="20"/>
                <w:lang w:eastAsia="en-AU"/>
              </w:rPr>
              <w:t>be developed in accordance with identified needs.</w:t>
            </w:r>
            <w:r w:rsidRPr="00823201">
              <w:rPr>
                <w:rFonts w:asciiTheme="minorHAnsi" w:eastAsia="MS Mincho" w:hAnsiTheme="minorHAnsi" w:cs="Arial"/>
                <w:b/>
                <w:bCs/>
                <w:sz w:val="20"/>
                <w:szCs w:val="20"/>
                <w:lang w:eastAsia="en-AU"/>
              </w:rPr>
              <w:t xml:space="preserve"> </w:t>
            </w:r>
            <w:r w:rsidRPr="00823201">
              <w:rPr>
                <w:rFonts w:asciiTheme="minorHAnsi" w:eastAsia="MS Mincho" w:hAnsiTheme="minorHAnsi" w:cs="Arial"/>
                <w:sz w:val="20"/>
                <w:szCs w:val="20"/>
                <w:lang w:eastAsia="en-AU"/>
              </w:rPr>
              <w:t>Programs should be documented and include on-going training and refresher training.</w:t>
            </w:r>
          </w:p>
          <w:p w:rsidR="00AB181F" w:rsidRPr="00823201" w:rsidRDefault="00AB181F" w:rsidP="00AB181F">
            <w:pPr>
              <w:autoSpaceDE w:val="0"/>
              <w:autoSpaceDN w:val="0"/>
              <w:spacing w:after="0" w:line="240" w:lineRule="auto"/>
              <w:jc w:val="both"/>
              <w:rPr>
                <w:rFonts w:asciiTheme="minorHAnsi" w:eastAsia="MS Mincho" w:hAnsiTheme="minorHAnsi" w:cs="Arial"/>
                <w:b/>
                <w:bCs/>
                <w:sz w:val="20"/>
                <w:szCs w:val="20"/>
                <w:lang w:eastAsia="en-AU"/>
              </w:rPr>
            </w:pPr>
            <w:r w:rsidRPr="00823201">
              <w:rPr>
                <w:rFonts w:asciiTheme="minorHAnsi" w:eastAsia="MS Mincho" w:hAnsiTheme="minorHAnsi" w:cs="Arial"/>
                <w:b/>
                <w:bCs/>
                <w:sz w:val="20"/>
                <w:szCs w:val="20"/>
                <w:lang w:eastAsia="en-AU"/>
              </w:rPr>
              <w:t xml:space="preserve">Clause 208 </w:t>
            </w:r>
          </w:p>
          <w:p w:rsidR="00AB181F" w:rsidRPr="00823201" w:rsidRDefault="00AB181F" w:rsidP="00AB181F">
            <w:pPr>
              <w:autoSpaceDE w:val="0"/>
              <w:autoSpaceDN w:val="0"/>
              <w:spacing w:after="0" w:line="240" w:lineRule="auto"/>
              <w:jc w:val="both"/>
              <w:rPr>
                <w:rFonts w:asciiTheme="minorHAnsi" w:eastAsia="MS Mincho" w:hAnsiTheme="minorHAnsi" w:cs="Arial"/>
                <w:sz w:val="20"/>
                <w:szCs w:val="20"/>
                <w:lang w:eastAsia="en-AU"/>
              </w:rPr>
            </w:pPr>
            <w:r w:rsidRPr="00823201">
              <w:rPr>
                <w:rFonts w:asciiTheme="minorHAnsi" w:eastAsia="MS Mincho" w:hAnsiTheme="minorHAnsi" w:cs="Arial"/>
                <w:sz w:val="20"/>
                <w:szCs w:val="20"/>
                <w:lang w:eastAsia="en-AU"/>
              </w:rPr>
              <w:t xml:space="preserve">Personnel </w:t>
            </w:r>
            <w:r w:rsidRPr="00823201">
              <w:rPr>
                <w:rFonts w:asciiTheme="minorHAnsi" w:eastAsia="MS Mincho" w:hAnsiTheme="minorHAnsi" w:cs="Arial"/>
                <w:b/>
                <w:bCs/>
                <w:sz w:val="20"/>
                <w:szCs w:val="20"/>
                <w:lang w:eastAsia="en-AU"/>
              </w:rPr>
              <w:t xml:space="preserve">must </w:t>
            </w:r>
            <w:r w:rsidRPr="00823201">
              <w:rPr>
                <w:rFonts w:asciiTheme="minorHAnsi" w:eastAsia="MS Mincho" w:hAnsiTheme="minorHAnsi" w:cs="Arial"/>
                <w:sz w:val="20"/>
                <w:szCs w:val="20"/>
                <w:lang w:eastAsia="en-AU"/>
              </w:rPr>
              <w:t>be made aware of the principles of GMP relevant to their duties.</w:t>
            </w:r>
          </w:p>
          <w:p w:rsidR="00AB181F" w:rsidRPr="00823201" w:rsidRDefault="00AB181F" w:rsidP="00AB181F">
            <w:pPr>
              <w:autoSpaceDE w:val="0"/>
              <w:autoSpaceDN w:val="0"/>
              <w:spacing w:after="0" w:line="240" w:lineRule="auto"/>
              <w:jc w:val="both"/>
              <w:rPr>
                <w:rFonts w:asciiTheme="minorHAnsi" w:eastAsia="MS Mincho" w:hAnsiTheme="minorHAnsi" w:cs="Arial"/>
                <w:b/>
                <w:bCs/>
                <w:sz w:val="20"/>
                <w:szCs w:val="20"/>
                <w:lang w:eastAsia="en-AU"/>
              </w:rPr>
            </w:pPr>
            <w:r w:rsidRPr="00823201">
              <w:rPr>
                <w:rFonts w:asciiTheme="minorHAnsi" w:eastAsia="MS Mincho" w:hAnsiTheme="minorHAnsi" w:cs="Arial"/>
                <w:b/>
                <w:bCs/>
                <w:sz w:val="20"/>
                <w:szCs w:val="20"/>
                <w:lang w:eastAsia="en-AU"/>
              </w:rPr>
              <w:t xml:space="preserve">Clause 209 </w:t>
            </w:r>
          </w:p>
          <w:p w:rsidR="00AB181F" w:rsidRPr="00823201" w:rsidRDefault="00AB181F" w:rsidP="00AB181F">
            <w:pPr>
              <w:autoSpaceDE w:val="0"/>
              <w:autoSpaceDN w:val="0"/>
              <w:spacing w:after="0" w:line="240" w:lineRule="auto"/>
              <w:jc w:val="both"/>
              <w:rPr>
                <w:rFonts w:asciiTheme="minorHAnsi" w:eastAsia="MS Mincho" w:hAnsiTheme="minorHAnsi" w:cs="Arial"/>
                <w:sz w:val="20"/>
                <w:szCs w:val="20"/>
                <w:lang w:eastAsia="en-AU"/>
              </w:rPr>
            </w:pPr>
            <w:r w:rsidRPr="00823201">
              <w:rPr>
                <w:rFonts w:asciiTheme="minorHAnsi" w:eastAsia="MS Mincho" w:hAnsiTheme="minorHAnsi" w:cs="Arial"/>
                <w:sz w:val="20"/>
                <w:szCs w:val="20"/>
                <w:lang w:eastAsia="en-AU"/>
              </w:rPr>
              <w:t>There should be a formal mechanism for determining the competency of the workplace trainer and assessor to deliver training and assess the competency of the trainee.</w:t>
            </w:r>
          </w:p>
          <w:p w:rsidR="00AB181F" w:rsidRPr="00823201" w:rsidRDefault="00AB181F" w:rsidP="00AB181F">
            <w:pPr>
              <w:autoSpaceDE w:val="0"/>
              <w:autoSpaceDN w:val="0"/>
              <w:spacing w:after="0" w:line="240" w:lineRule="auto"/>
              <w:jc w:val="both"/>
              <w:rPr>
                <w:rFonts w:asciiTheme="minorHAnsi" w:eastAsia="MS Mincho" w:hAnsiTheme="minorHAnsi" w:cs="Arial"/>
                <w:b/>
                <w:bCs/>
                <w:sz w:val="20"/>
                <w:szCs w:val="20"/>
                <w:lang w:eastAsia="en-AU"/>
              </w:rPr>
            </w:pPr>
            <w:r w:rsidRPr="00823201">
              <w:rPr>
                <w:rFonts w:asciiTheme="minorHAnsi" w:eastAsia="MS Mincho" w:hAnsiTheme="minorHAnsi" w:cs="Arial"/>
                <w:b/>
                <w:bCs/>
                <w:sz w:val="20"/>
                <w:szCs w:val="20"/>
                <w:lang w:eastAsia="en-AU"/>
              </w:rPr>
              <w:t>Clause 210</w:t>
            </w:r>
          </w:p>
          <w:p w:rsidR="00AB181F" w:rsidRPr="00823201" w:rsidRDefault="00AB181F" w:rsidP="00AB181F">
            <w:pPr>
              <w:autoSpaceDE w:val="0"/>
              <w:autoSpaceDN w:val="0"/>
              <w:spacing w:after="0" w:line="240" w:lineRule="auto"/>
              <w:jc w:val="both"/>
              <w:rPr>
                <w:rFonts w:asciiTheme="minorHAnsi" w:eastAsia="MS Mincho" w:hAnsiTheme="minorHAnsi" w:cs="Arial"/>
                <w:sz w:val="20"/>
                <w:szCs w:val="20"/>
                <w:lang w:eastAsia="en-AU"/>
              </w:rPr>
            </w:pPr>
            <w:r w:rsidRPr="00823201">
              <w:rPr>
                <w:rFonts w:asciiTheme="minorHAnsi" w:eastAsia="MS Mincho" w:hAnsiTheme="minorHAnsi" w:cs="Arial"/>
                <w:b/>
                <w:bCs/>
                <w:sz w:val="20"/>
                <w:szCs w:val="20"/>
                <w:lang w:eastAsia="en-AU"/>
              </w:rPr>
              <w:t xml:space="preserve"> </w:t>
            </w:r>
            <w:r w:rsidRPr="00823201">
              <w:rPr>
                <w:rFonts w:asciiTheme="minorHAnsi" w:eastAsia="MS Mincho" w:hAnsiTheme="minorHAnsi" w:cs="Arial"/>
                <w:sz w:val="20"/>
                <w:szCs w:val="20"/>
                <w:lang w:eastAsia="en-AU"/>
              </w:rPr>
              <w:t xml:space="preserve">For personnel at sites remote from the licensed site, who undertake a step in manufacture, (such as at tissue retrieval), there </w:t>
            </w:r>
            <w:r w:rsidRPr="00823201">
              <w:rPr>
                <w:rFonts w:asciiTheme="minorHAnsi" w:eastAsia="MS Mincho" w:hAnsiTheme="minorHAnsi" w:cs="Arial"/>
                <w:b/>
                <w:bCs/>
                <w:sz w:val="20"/>
                <w:szCs w:val="20"/>
                <w:lang w:eastAsia="en-AU"/>
              </w:rPr>
              <w:t xml:space="preserve">must </w:t>
            </w:r>
            <w:r w:rsidRPr="00823201">
              <w:rPr>
                <w:rFonts w:asciiTheme="minorHAnsi" w:eastAsia="MS Mincho" w:hAnsiTheme="minorHAnsi" w:cs="Arial"/>
                <w:sz w:val="20"/>
                <w:szCs w:val="20"/>
                <w:lang w:eastAsia="en-AU"/>
              </w:rPr>
              <w:t>be documentation to demonstrate that the work practice(s) undertaken are under the control of, and acceptable to, the licensed site.</w:t>
            </w:r>
          </w:p>
          <w:p w:rsidR="00AB181F" w:rsidRPr="00823201" w:rsidRDefault="00AB181F" w:rsidP="00AB181F">
            <w:pPr>
              <w:autoSpaceDE w:val="0"/>
              <w:autoSpaceDN w:val="0"/>
              <w:spacing w:after="0" w:line="240" w:lineRule="auto"/>
              <w:jc w:val="both"/>
              <w:rPr>
                <w:rFonts w:asciiTheme="minorHAnsi" w:eastAsia="MS Mincho" w:hAnsiTheme="minorHAnsi" w:cs="Arial"/>
                <w:b/>
                <w:bCs/>
                <w:sz w:val="20"/>
                <w:szCs w:val="20"/>
                <w:lang w:eastAsia="en-AU"/>
              </w:rPr>
            </w:pPr>
            <w:r w:rsidRPr="00823201">
              <w:rPr>
                <w:rFonts w:asciiTheme="minorHAnsi" w:eastAsia="MS Mincho" w:hAnsiTheme="minorHAnsi" w:cs="Arial"/>
                <w:b/>
                <w:bCs/>
                <w:sz w:val="20"/>
                <w:szCs w:val="20"/>
                <w:lang w:eastAsia="en-AU"/>
              </w:rPr>
              <w:t>Clause 211</w:t>
            </w:r>
          </w:p>
          <w:p w:rsidR="00AB181F" w:rsidRPr="00823201" w:rsidRDefault="00AB181F" w:rsidP="00AB181F">
            <w:pPr>
              <w:autoSpaceDE w:val="0"/>
              <w:autoSpaceDN w:val="0"/>
              <w:spacing w:after="0" w:line="240" w:lineRule="auto"/>
              <w:jc w:val="both"/>
              <w:rPr>
                <w:rFonts w:asciiTheme="minorHAnsi" w:eastAsia="MS Mincho" w:hAnsiTheme="minorHAnsi" w:cs="Arial"/>
                <w:sz w:val="20"/>
                <w:szCs w:val="20"/>
                <w:lang w:eastAsia="en-AU"/>
              </w:rPr>
            </w:pPr>
            <w:r w:rsidRPr="00823201">
              <w:rPr>
                <w:rFonts w:asciiTheme="minorHAnsi" w:eastAsia="MS Mincho" w:hAnsiTheme="minorHAnsi" w:cs="Arial"/>
                <w:b/>
                <w:bCs/>
                <w:sz w:val="20"/>
                <w:szCs w:val="20"/>
                <w:lang w:eastAsia="en-AU"/>
              </w:rPr>
              <w:lastRenderedPageBreak/>
              <w:t xml:space="preserve"> </w:t>
            </w:r>
            <w:r w:rsidRPr="00823201">
              <w:rPr>
                <w:rFonts w:asciiTheme="minorHAnsi" w:eastAsia="MS Mincho" w:hAnsiTheme="minorHAnsi" w:cs="Arial"/>
                <w:b/>
                <w:sz w:val="20"/>
                <w:szCs w:val="20"/>
                <w:lang w:eastAsia="en-AU"/>
              </w:rPr>
              <w:t>All personnel</w:t>
            </w:r>
            <w:r w:rsidRPr="00823201">
              <w:rPr>
                <w:rFonts w:asciiTheme="minorHAnsi" w:eastAsia="MS Mincho" w:hAnsiTheme="minorHAnsi" w:cs="Arial"/>
                <w:sz w:val="20"/>
                <w:szCs w:val="20"/>
                <w:lang w:eastAsia="en-AU"/>
              </w:rPr>
              <w:t xml:space="preserve"> </w:t>
            </w:r>
            <w:r w:rsidRPr="00823201">
              <w:rPr>
                <w:rFonts w:asciiTheme="minorHAnsi" w:eastAsia="MS Mincho" w:hAnsiTheme="minorHAnsi" w:cs="Arial"/>
                <w:b/>
                <w:bCs/>
                <w:sz w:val="20"/>
                <w:szCs w:val="20"/>
                <w:lang w:eastAsia="en-AU"/>
              </w:rPr>
              <w:t xml:space="preserve">must </w:t>
            </w:r>
            <w:r w:rsidRPr="00823201">
              <w:rPr>
                <w:rFonts w:asciiTheme="minorHAnsi" w:eastAsia="MS Mincho" w:hAnsiTheme="minorHAnsi" w:cs="Arial"/>
                <w:sz w:val="20"/>
                <w:szCs w:val="20"/>
                <w:lang w:eastAsia="en-AU"/>
              </w:rPr>
              <w:t xml:space="preserve">be shown to have undergone learning and development for the documented procedure relevant to the work practice being performed. There </w:t>
            </w:r>
            <w:r w:rsidRPr="00823201">
              <w:rPr>
                <w:rFonts w:asciiTheme="minorHAnsi" w:eastAsia="MS Mincho" w:hAnsiTheme="minorHAnsi" w:cs="Arial"/>
                <w:b/>
                <w:bCs/>
                <w:sz w:val="20"/>
                <w:szCs w:val="20"/>
                <w:lang w:eastAsia="en-AU"/>
              </w:rPr>
              <w:t xml:space="preserve">must </w:t>
            </w:r>
            <w:r w:rsidRPr="00823201">
              <w:rPr>
                <w:rFonts w:asciiTheme="minorHAnsi" w:eastAsia="MS Mincho" w:hAnsiTheme="minorHAnsi" w:cs="Arial"/>
                <w:sz w:val="20"/>
                <w:szCs w:val="20"/>
                <w:lang w:eastAsia="en-AU"/>
              </w:rPr>
              <w:t>be records to show that all personnel have acknowledged subsequent changes to a procedure(s).</w:t>
            </w:r>
          </w:p>
          <w:p w:rsidR="00AB181F" w:rsidRPr="00823201" w:rsidRDefault="00AB181F" w:rsidP="00AB181F">
            <w:pPr>
              <w:autoSpaceDE w:val="0"/>
              <w:autoSpaceDN w:val="0"/>
              <w:spacing w:after="0" w:line="240" w:lineRule="auto"/>
              <w:jc w:val="both"/>
              <w:rPr>
                <w:rFonts w:asciiTheme="minorHAnsi" w:eastAsia="MS Mincho" w:hAnsiTheme="minorHAnsi" w:cs="Arial"/>
                <w:b/>
                <w:bCs/>
                <w:sz w:val="20"/>
                <w:szCs w:val="20"/>
                <w:lang w:eastAsia="en-AU"/>
              </w:rPr>
            </w:pPr>
          </w:p>
          <w:p w:rsidR="00AB181F" w:rsidRPr="00823201" w:rsidRDefault="00AB181F" w:rsidP="00AB181F">
            <w:pPr>
              <w:autoSpaceDE w:val="0"/>
              <w:autoSpaceDN w:val="0"/>
              <w:spacing w:after="0" w:line="240" w:lineRule="auto"/>
              <w:jc w:val="both"/>
              <w:rPr>
                <w:rFonts w:asciiTheme="minorHAnsi" w:eastAsia="MS Mincho" w:hAnsiTheme="minorHAnsi" w:cs="Arial"/>
                <w:b/>
                <w:bCs/>
                <w:sz w:val="20"/>
                <w:szCs w:val="20"/>
                <w:lang w:eastAsia="en-AU"/>
              </w:rPr>
            </w:pPr>
            <w:r w:rsidRPr="00823201">
              <w:rPr>
                <w:rFonts w:asciiTheme="minorHAnsi" w:eastAsia="MS Mincho" w:hAnsiTheme="minorHAnsi" w:cs="Arial"/>
                <w:b/>
                <w:bCs/>
                <w:sz w:val="20"/>
                <w:szCs w:val="20"/>
                <w:lang w:eastAsia="en-AU"/>
              </w:rPr>
              <w:t>Clause 212</w:t>
            </w:r>
          </w:p>
          <w:p w:rsidR="00AB181F" w:rsidRPr="00823201" w:rsidRDefault="00AB181F" w:rsidP="00AB181F">
            <w:pPr>
              <w:spacing w:after="0" w:line="240" w:lineRule="auto"/>
              <w:jc w:val="both"/>
              <w:rPr>
                <w:rFonts w:asciiTheme="minorHAnsi" w:hAnsiTheme="minorHAnsi"/>
                <w:sz w:val="20"/>
                <w:szCs w:val="20"/>
              </w:rPr>
            </w:pPr>
            <w:r w:rsidRPr="00823201">
              <w:rPr>
                <w:rFonts w:asciiTheme="minorHAnsi" w:eastAsia="MS Mincho" w:hAnsiTheme="minorHAnsi" w:cs="Arial"/>
                <w:b/>
                <w:bCs/>
                <w:sz w:val="20"/>
                <w:szCs w:val="20"/>
                <w:lang w:eastAsia="en-AU"/>
              </w:rPr>
              <w:t xml:space="preserve"> </w:t>
            </w:r>
            <w:r w:rsidRPr="00823201">
              <w:rPr>
                <w:rFonts w:asciiTheme="minorHAnsi" w:eastAsia="MS Mincho" w:hAnsiTheme="minorHAnsi" w:cs="Arial"/>
                <w:sz w:val="20"/>
                <w:szCs w:val="20"/>
                <w:lang w:eastAsia="en-AU"/>
              </w:rPr>
              <w:t>Learning and development related to sanitation and personal hygiene should be included in staff learning and development programs.</w:t>
            </w:r>
          </w:p>
        </w:tc>
        <w:tc>
          <w:tcPr>
            <w:tcW w:w="1321" w:type="pct"/>
          </w:tcPr>
          <w:p w:rsidR="00AB181F" w:rsidRPr="00823201" w:rsidRDefault="00AB181F" w:rsidP="00AB181F">
            <w:pPr>
              <w:autoSpaceDE w:val="0"/>
              <w:autoSpaceDN w:val="0"/>
              <w:spacing w:after="0" w:line="240" w:lineRule="auto"/>
              <w:rPr>
                <w:rFonts w:asciiTheme="minorHAnsi" w:eastAsia="MS Mincho" w:hAnsiTheme="minorHAnsi" w:cs="Arial"/>
                <w:b/>
                <w:bCs/>
                <w:sz w:val="20"/>
                <w:szCs w:val="20"/>
                <w:lang w:eastAsia="en-AU"/>
              </w:rPr>
            </w:pPr>
            <w:r w:rsidRPr="00823201">
              <w:rPr>
                <w:rFonts w:asciiTheme="minorHAnsi" w:eastAsia="MS Mincho" w:hAnsiTheme="minorHAnsi" w:cs="Arial"/>
                <w:b/>
                <w:bCs/>
                <w:sz w:val="20"/>
                <w:szCs w:val="20"/>
                <w:lang w:eastAsia="en-AU"/>
              </w:rPr>
              <w:lastRenderedPageBreak/>
              <w:t>Training</w:t>
            </w:r>
          </w:p>
          <w:p w:rsidR="00AB181F" w:rsidRPr="00823201" w:rsidRDefault="00AB181F" w:rsidP="00AB181F">
            <w:pPr>
              <w:autoSpaceDE w:val="0"/>
              <w:autoSpaceDN w:val="0"/>
              <w:spacing w:after="0" w:line="240" w:lineRule="auto"/>
              <w:rPr>
                <w:rFonts w:asciiTheme="minorHAnsi" w:eastAsia="MS Mincho" w:hAnsiTheme="minorHAnsi" w:cs="Arial"/>
                <w:color w:val="000000"/>
                <w:sz w:val="20"/>
                <w:szCs w:val="20"/>
                <w:lang w:eastAsia="en-AU"/>
              </w:rPr>
            </w:pPr>
            <w:r w:rsidRPr="00823201">
              <w:rPr>
                <w:rFonts w:asciiTheme="minorHAnsi" w:eastAsia="MS Mincho" w:hAnsiTheme="minorHAnsi" w:cs="Arial"/>
                <w:color w:val="000000"/>
                <w:sz w:val="20"/>
                <w:szCs w:val="20"/>
                <w:lang w:eastAsia="en-AU"/>
              </w:rPr>
              <w:t>Clause 208:</w:t>
            </w:r>
          </w:p>
          <w:p w:rsidR="00AB181F" w:rsidRPr="00823201" w:rsidRDefault="00AB181F" w:rsidP="00AB181F">
            <w:pPr>
              <w:autoSpaceDE w:val="0"/>
              <w:autoSpaceDN w:val="0"/>
              <w:spacing w:after="0" w:line="240" w:lineRule="auto"/>
              <w:rPr>
                <w:rFonts w:asciiTheme="minorHAnsi" w:eastAsia="MS Mincho" w:hAnsiTheme="minorHAnsi" w:cs="Arial"/>
                <w:color w:val="000000"/>
                <w:sz w:val="20"/>
                <w:szCs w:val="20"/>
                <w:lang w:eastAsia="en-AU"/>
              </w:rPr>
            </w:pPr>
            <w:r w:rsidRPr="00823201">
              <w:rPr>
                <w:rFonts w:asciiTheme="minorHAnsi" w:eastAsia="MS Mincho" w:hAnsiTheme="minorHAnsi" w:cs="Arial"/>
                <w:color w:val="000000"/>
                <w:sz w:val="20"/>
                <w:szCs w:val="20"/>
                <w:lang w:eastAsia="en-AU"/>
              </w:rPr>
              <w:lastRenderedPageBreak/>
              <w:t xml:space="preserve">The manufacturer should provide training for all personnel whose duties take them into processing areas or into laboratories, and for other personnel whose activities could affect the quality of the product. </w:t>
            </w:r>
          </w:p>
          <w:p w:rsidR="00AB181F" w:rsidRPr="00823201" w:rsidRDefault="00AB181F" w:rsidP="00AB181F">
            <w:pPr>
              <w:autoSpaceDE w:val="0"/>
              <w:autoSpaceDN w:val="0"/>
              <w:spacing w:after="0" w:line="240" w:lineRule="auto"/>
              <w:rPr>
                <w:rFonts w:asciiTheme="minorHAnsi" w:eastAsia="MS Mincho" w:hAnsiTheme="minorHAnsi" w:cs="Arial"/>
                <w:color w:val="000000"/>
                <w:sz w:val="20"/>
                <w:szCs w:val="20"/>
                <w:lang w:eastAsia="en-AU"/>
              </w:rPr>
            </w:pPr>
            <w:r w:rsidRPr="00823201">
              <w:rPr>
                <w:rFonts w:asciiTheme="minorHAnsi" w:eastAsia="MS Mincho" w:hAnsiTheme="minorHAnsi" w:cs="Arial"/>
                <w:color w:val="000000"/>
                <w:sz w:val="20"/>
                <w:szCs w:val="20"/>
                <w:lang w:eastAsia="en-AU"/>
              </w:rPr>
              <w:t>Clause 209:</w:t>
            </w:r>
          </w:p>
          <w:p w:rsidR="00AB181F" w:rsidRPr="00823201" w:rsidRDefault="00AB181F" w:rsidP="00AB181F">
            <w:pPr>
              <w:autoSpaceDE w:val="0"/>
              <w:autoSpaceDN w:val="0"/>
              <w:spacing w:after="0" w:line="240" w:lineRule="auto"/>
              <w:rPr>
                <w:rFonts w:asciiTheme="minorHAnsi" w:eastAsia="MS Mincho" w:hAnsiTheme="minorHAnsi" w:cs="Arial"/>
                <w:color w:val="000000"/>
                <w:sz w:val="20"/>
                <w:szCs w:val="20"/>
                <w:lang w:eastAsia="en-AU"/>
              </w:rPr>
            </w:pPr>
            <w:r w:rsidRPr="00823201">
              <w:rPr>
                <w:rFonts w:asciiTheme="minorHAnsi" w:eastAsia="MS Mincho" w:hAnsiTheme="minorHAnsi" w:cs="Arial"/>
                <w:color w:val="000000"/>
                <w:sz w:val="20"/>
                <w:szCs w:val="20"/>
                <w:lang w:eastAsia="en-AU"/>
              </w:rPr>
              <w:t xml:space="preserve">Beside the basic training on the theory and practice of Good Manufacturing Practice, newly recruited personnel should receive training appropriate to the duties assigned to them. Continuing training should also be given, and its practical effectiveness should be periodically assessed. Training programmes should be available, approved by either the head of Production or the head of Quality Control, as appropriate. Training records should be kept. </w:t>
            </w:r>
          </w:p>
          <w:p w:rsidR="00AB181F" w:rsidRPr="00823201" w:rsidRDefault="00AB181F" w:rsidP="00AB181F">
            <w:pPr>
              <w:autoSpaceDE w:val="0"/>
              <w:autoSpaceDN w:val="0"/>
              <w:spacing w:after="0" w:line="240" w:lineRule="auto"/>
              <w:rPr>
                <w:rFonts w:asciiTheme="minorHAnsi" w:eastAsia="MS Mincho" w:hAnsiTheme="minorHAnsi" w:cs="Arial"/>
                <w:color w:val="000000"/>
                <w:sz w:val="20"/>
                <w:szCs w:val="20"/>
                <w:lang w:eastAsia="en-AU"/>
              </w:rPr>
            </w:pPr>
            <w:r w:rsidRPr="00823201">
              <w:rPr>
                <w:rFonts w:asciiTheme="minorHAnsi" w:eastAsia="MS Mincho" w:hAnsiTheme="minorHAnsi" w:cs="Arial"/>
                <w:color w:val="000000"/>
                <w:sz w:val="20"/>
                <w:szCs w:val="20"/>
                <w:lang w:eastAsia="en-AU"/>
              </w:rPr>
              <w:t>Clause 210:</w:t>
            </w:r>
          </w:p>
          <w:p w:rsidR="00AB181F" w:rsidRPr="00823201" w:rsidRDefault="00AB181F" w:rsidP="00AB181F">
            <w:pPr>
              <w:autoSpaceDE w:val="0"/>
              <w:autoSpaceDN w:val="0"/>
              <w:spacing w:after="0" w:line="240" w:lineRule="auto"/>
              <w:rPr>
                <w:rFonts w:asciiTheme="minorHAnsi" w:eastAsia="MS Mincho" w:hAnsiTheme="minorHAnsi" w:cs="Arial"/>
                <w:color w:val="000000"/>
                <w:sz w:val="20"/>
                <w:szCs w:val="20"/>
                <w:lang w:eastAsia="en-AU"/>
              </w:rPr>
            </w:pPr>
            <w:r w:rsidRPr="00823201">
              <w:rPr>
                <w:rFonts w:asciiTheme="minorHAnsi" w:eastAsia="MS Mincho" w:hAnsiTheme="minorHAnsi" w:cs="Arial"/>
                <w:color w:val="000000"/>
                <w:sz w:val="20"/>
                <w:szCs w:val="20"/>
                <w:lang w:eastAsia="en-AU"/>
              </w:rPr>
              <w:t xml:space="preserve">Personnel working in areas where contamination is a hazard, (e.g. clean areas or areas where infectious materials are handled), should be given specific training. </w:t>
            </w:r>
          </w:p>
          <w:p w:rsidR="00AB181F" w:rsidRPr="00823201" w:rsidRDefault="00AB181F" w:rsidP="00AB181F">
            <w:pPr>
              <w:autoSpaceDE w:val="0"/>
              <w:autoSpaceDN w:val="0"/>
              <w:spacing w:after="0" w:line="240" w:lineRule="auto"/>
              <w:rPr>
                <w:rFonts w:asciiTheme="minorHAnsi" w:eastAsia="MS Mincho" w:hAnsiTheme="minorHAnsi" w:cs="Arial"/>
                <w:color w:val="000000"/>
                <w:sz w:val="20"/>
                <w:szCs w:val="20"/>
                <w:lang w:eastAsia="en-AU"/>
              </w:rPr>
            </w:pPr>
            <w:r w:rsidRPr="00823201">
              <w:rPr>
                <w:rFonts w:asciiTheme="minorHAnsi" w:eastAsia="MS Mincho" w:hAnsiTheme="minorHAnsi" w:cs="Arial"/>
                <w:color w:val="000000"/>
                <w:sz w:val="20"/>
                <w:szCs w:val="20"/>
                <w:lang w:eastAsia="en-AU"/>
              </w:rPr>
              <w:t>Clause 211:</w:t>
            </w:r>
          </w:p>
          <w:p w:rsidR="00AB181F" w:rsidRPr="00823201" w:rsidRDefault="00AB181F" w:rsidP="00AB181F">
            <w:pPr>
              <w:jc w:val="both"/>
              <w:rPr>
                <w:rFonts w:asciiTheme="minorHAnsi" w:hAnsiTheme="minorHAnsi"/>
                <w:sz w:val="20"/>
                <w:szCs w:val="20"/>
              </w:rPr>
            </w:pPr>
            <w:r w:rsidRPr="00823201">
              <w:rPr>
                <w:rFonts w:asciiTheme="minorHAnsi" w:eastAsia="MS Mincho" w:hAnsiTheme="minorHAnsi" w:cs="Arial"/>
                <w:color w:val="000000"/>
                <w:sz w:val="20"/>
                <w:szCs w:val="20"/>
                <w:lang w:eastAsia="en-AU"/>
              </w:rPr>
              <w:lastRenderedPageBreak/>
              <w:t>Visitors or untrained personnel should not be taken into the processing and Quality Control areas. If this is unavoidable, they should be given appropriate information in advance and they should be closely supervised.</w:t>
            </w:r>
          </w:p>
        </w:tc>
        <w:tc>
          <w:tcPr>
            <w:tcW w:w="2443" w:type="pct"/>
          </w:tcPr>
          <w:p w:rsidR="00AB181F" w:rsidRPr="00823201" w:rsidRDefault="00AB181F" w:rsidP="00AB181F">
            <w:pPr>
              <w:pStyle w:val="ListBullet"/>
              <w:numPr>
                <w:ilvl w:val="0"/>
                <w:numId w:val="33"/>
              </w:numPr>
              <w:adjustRightInd w:val="0"/>
              <w:snapToGrid w:val="0"/>
              <w:spacing w:before="0" w:after="200" w:line="276" w:lineRule="auto"/>
              <w:rPr>
                <w:rFonts w:asciiTheme="minorHAnsi" w:hAnsiTheme="minorHAnsi"/>
                <w:sz w:val="20"/>
                <w:szCs w:val="20"/>
              </w:rPr>
            </w:pPr>
            <w:r w:rsidRPr="00823201">
              <w:rPr>
                <w:rFonts w:asciiTheme="minorHAnsi" w:hAnsiTheme="minorHAnsi"/>
                <w:sz w:val="20"/>
                <w:szCs w:val="20"/>
              </w:rPr>
              <w:lastRenderedPageBreak/>
              <w:t xml:space="preserve">Less Prescriptive requirements </w:t>
            </w:r>
          </w:p>
          <w:p w:rsidR="00AB181F" w:rsidRPr="00823201" w:rsidRDefault="00AB181F" w:rsidP="00AB181F">
            <w:pPr>
              <w:pStyle w:val="ListBullet"/>
              <w:numPr>
                <w:ilvl w:val="0"/>
                <w:numId w:val="33"/>
              </w:numPr>
              <w:adjustRightInd w:val="0"/>
              <w:snapToGrid w:val="0"/>
              <w:spacing w:before="0" w:after="200" w:line="276" w:lineRule="auto"/>
              <w:rPr>
                <w:rFonts w:asciiTheme="minorHAnsi" w:hAnsiTheme="minorHAnsi"/>
                <w:sz w:val="20"/>
                <w:szCs w:val="20"/>
              </w:rPr>
            </w:pPr>
            <w:r w:rsidRPr="00823201">
              <w:rPr>
                <w:rFonts w:asciiTheme="minorHAnsi" w:hAnsiTheme="minorHAnsi"/>
                <w:sz w:val="20"/>
                <w:szCs w:val="20"/>
              </w:rPr>
              <w:t>Provides additional clarity</w:t>
            </w:r>
            <w:r w:rsidR="003C09BF" w:rsidRPr="00823201">
              <w:rPr>
                <w:rFonts w:asciiTheme="minorHAnsi" w:hAnsiTheme="minorHAnsi"/>
                <w:sz w:val="20"/>
                <w:szCs w:val="20"/>
              </w:rPr>
              <w:t>, inclusion</w:t>
            </w:r>
            <w:r w:rsidRPr="00823201">
              <w:rPr>
                <w:rFonts w:asciiTheme="minorHAnsi" w:hAnsiTheme="minorHAnsi"/>
                <w:sz w:val="20"/>
                <w:szCs w:val="20"/>
              </w:rPr>
              <w:t xml:space="preserve"> of specific training requirements for personnel working where contamination is a </w:t>
            </w:r>
            <w:r w:rsidRPr="00823201">
              <w:rPr>
                <w:rFonts w:asciiTheme="minorHAnsi" w:hAnsiTheme="minorHAnsi"/>
                <w:sz w:val="20"/>
                <w:szCs w:val="20"/>
              </w:rPr>
              <w:lastRenderedPageBreak/>
              <w:t xml:space="preserve">hazard. </w:t>
            </w:r>
          </w:p>
          <w:p w:rsidR="00AB181F" w:rsidRPr="00823201" w:rsidRDefault="00AB181F" w:rsidP="00AB181F">
            <w:pPr>
              <w:pStyle w:val="ListBullet"/>
              <w:numPr>
                <w:ilvl w:val="0"/>
                <w:numId w:val="33"/>
              </w:numPr>
              <w:adjustRightInd w:val="0"/>
              <w:snapToGrid w:val="0"/>
              <w:spacing w:before="0" w:after="200" w:line="276" w:lineRule="auto"/>
              <w:rPr>
                <w:rFonts w:asciiTheme="minorHAnsi" w:hAnsiTheme="minorHAnsi"/>
                <w:sz w:val="20"/>
                <w:szCs w:val="20"/>
              </w:rPr>
            </w:pPr>
            <w:r w:rsidRPr="00823201">
              <w:rPr>
                <w:rFonts w:asciiTheme="minorHAnsi" w:hAnsiTheme="minorHAnsi"/>
                <w:sz w:val="20"/>
                <w:szCs w:val="20"/>
              </w:rPr>
              <w:t>Removal of superfluous clauses such as Clause 212</w:t>
            </w:r>
          </w:p>
          <w:p w:rsidR="00AB181F" w:rsidRPr="00823201" w:rsidRDefault="00AB181F" w:rsidP="00AB181F">
            <w:pPr>
              <w:pStyle w:val="ListBullet"/>
              <w:numPr>
                <w:ilvl w:val="0"/>
                <w:numId w:val="33"/>
              </w:numPr>
              <w:adjustRightInd w:val="0"/>
              <w:snapToGrid w:val="0"/>
              <w:spacing w:before="0" w:after="200" w:line="276" w:lineRule="auto"/>
              <w:jc w:val="both"/>
              <w:rPr>
                <w:rFonts w:asciiTheme="minorHAnsi" w:hAnsiTheme="minorHAnsi"/>
                <w:sz w:val="20"/>
                <w:szCs w:val="20"/>
              </w:rPr>
            </w:pPr>
            <w:r w:rsidRPr="00823201">
              <w:rPr>
                <w:rFonts w:asciiTheme="minorHAnsi" w:hAnsiTheme="minorHAnsi"/>
                <w:sz w:val="20"/>
                <w:szCs w:val="20"/>
              </w:rPr>
              <w:t>There will be no cost or operational impacts on manufacturers arising from the change</w:t>
            </w:r>
          </w:p>
        </w:tc>
      </w:tr>
      <w:tr w:rsidR="00AB181F" w:rsidRPr="00823201" w:rsidTr="00823201">
        <w:tc>
          <w:tcPr>
            <w:tcW w:w="1236" w:type="pct"/>
          </w:tcPr>
          <w:p w:rsidR="00AB181F" w:rsidRPr="00823201" w:rsidRDefault="00AB181F" w:rsidP="00AB181F">
            <w:pPr>
              <w:autoSpaceDE w:val="0"/>
              <w:autoSpaceDN w:val="0"/>
              <w:spacing w:after="0" w:line="240" w:lineRule="auto"/>
              <w:rPr>
                <w:rFonts w:asciiTheme="minorHAnsi" w:eastAsia="MS Mincho" w:hAnsiTheme="minorHAnsi" w:cs="Arial"/>
                <w:b/>
                <w:bCs/>
                <w:sz w:val="20"/>
                <w:szCs w:val="20"/>
                <w:lang w:eastAsia="en-AU"/>
              </w:rPr>
            </w:pPr>
            <w:r w:rsidRPr="00823201">
              <w:rPr>
                <w:rFonts w:asciiTheme="minorHAnsi" w:eastAsia="MS Mincho" w:hAnsiTheme="minorHAnsi" w:cs="Arial"/>
                <w:b/>
                <w:bCs/>
                <w:sz w:val="20"/>
                <w:szCs w:val="20"/>
                <w:lang w:eastAsia="en-AU"/>
              </w:rPr>
              <w:lastRenderedPageBreak/>
              <w:t>Environmental control</w:t>
            </w:r>
          </w:p>
          <w:p w:rsidR="00AB181F" w:rsidRPr="00823201" w:rsidRDefault="00AB181F" w:rsidP="00AB181F">
            <w:pPr>
              <w:autoSpaceDE w:val="0"/>
              <w:autoSpaceDN w:val="0"/>
              <w:spacing w:after="0" w:line="240" w:lineRule="auto"/>
              <w:rPr>
                <w:rFonts w:asciiTheme="minorHAnsi" w:eastAsia="MS Mincho" w:hAnsiTheme="minorHAnsi" w:cs="Arial"/>
                <w:b/>
                <w:bCs/>
                <w:sz w:val="20"/>
                <w:szCs w:val="20"/>
                <w:lang w:eastAsia="en-AU"/>
              </w:rPr>
            </w:pPr>
          </w:p>
          <w:p w:rsidR="00AB181F" w:rsidRPr="00823201" w:rsidRDefault="00AB181F" w:rsidP="00AB181F">
            <w:pPr>
              <w:autoSpaceDE w:val="0"/>
              <w:autoSpaceDN w:val="0"/>
              <w:spacing w:after="0" w:line="240" w:lineRule="auto"/>
              <w:rPr>
                <w:rFonts w:asciiTheme="minorHAnsi" w:eastAsia="MS Mincho" w:hAnsiTheme="minorHAnsi" w:cs="Arial"/>
                <w:sz w:val="20"/>
                <w:szCs w:val="20"/>
                <w:lang w:eastAsia="en-AU"/>
              </w:rPr>
            </w:pPr>
            <w:r w:rsidRPr="00823201">
              <w:rPr>
                <w:rFonts w:asciiTheme="minorHAnsi" w:eastAsia="MS Mincho" w:hAnsiTheme="minorHAnsi" w:cs="Arial"/>
                <w:b/>
                <w:bCs/>
                <w:sz w:val="20"/>
                <w:szCs w:val="20"/>
                <w:lang w:eastAsia="en-AU"/>
              </w:rPr>
              <w:t xml:space="preserve">305 </w:t>
            </w:r>
            <w:r w:rsidRPr="00823201">
              <w:rPr>
                <w:rFonts w:asciiTheme="minorHAnsi" w:eastAsia="MS Mincho" w:hAnsiTheme="minorHAnsi" w:cs="Arial"/>
                <w:sz w:val="20"/>
                <w:szCs w:val="20"/>
                <w:lang w:eastAsia="en-AU"/>
              </w:rPr>
              <w:t xml:space="preserve">The environment </w:t>
            </w:r>
            <w:r w:rsidRPr="00823201">
              <w:rPr>
                <w:rFonts w:asciiTheme="minorHAnsi" w:eastAsia="MS Mincho" w:hAnsiTheme="minorHAnsi" w:cs="Arial"/>
                <w:b/>
                <w:bCs/>
                <w:sz w:val="20"/>
                <w:szCs w:val="20"/>
                <w:lang w:eastAsia="en-AU"/>
              </w:rPr>
              <w:t xml:space="preserve">must </w:t>
            </w:r>
            <w:r w:rsidRPr="00823201">
              <w:rPr>
                <w:rFonts w:asciiTheme="minorHAnsi" w:eastAsia="MS Mincho" w:hAnsiTheme="minorHAnsi" w:cs="Arial"/>
                <w:sz w:val="20"/>
                <w:szCs w:val="20"/>
                <w:lang w:eastAsia="en-AU"/>
              </w:rPr>
              <w:t xml:space="preserve">be suitable for the particular operation carried out. Processing steps </w:t>
            </w:r>
            <w:r w:rsidRPr="00823201">
              <w:rPr>
                <w:rFonts w:asciiTheme="minorHAnsi" w:eastAsia="MS Mincho" w:hAnsiTheme="minorHAnsi" w:cs="Arial"/>
                <w:b/>
                <w:bCs/>
                <w:sz w:val="20"/>
                <w:szCs w:val="20"/>
                <w:lang w:eastAsia="en-AU"/>
              </w:rPr>
              <w:t xml:space="preserve">must </w:t>
            </w:r>
            <w:r w:rsidRPr="00823201">
              <w:rPr>
                <w:rFonts w:asciiTheme="minorHAnsi" w:eastAsia="MS Mincho" w:hAnsiTheme="minorHAnsi" w:cs="Arial"/>
                <w:sz w:val="20"/>
                <w:szCs w:val="20"/>
                <w:lang w:eastAsia="en-AU"/>
              </w:rPr>
              <w:t>take place in an appropriately controlled environment.</w:t>
            </w:r>
          </w:p>
          <w:p w:rsidR="00AB181F" w:rsidRPr="00823201" w:rsidRDefault="00AB181F" w:rsidP="00AB181F">
            <w:pPr>
              <w:autoSpaceDE w:val="0"/>
              <w:autoSpaceDN w:val="0"/>
              <w:spacing w:after="0" w:line="240" w:lineRule="auto"/>
              <w:rPr>
                <w:rFonts w:asciiTheme="minorHAnsi" w:eastAsia="MS Mincho" w:hAnsiTheme="minorHAnsi" w:cs="Arial"/>
                <w:b/>
                <w:bCs/>
                <w:sz w:val="20"/>
                <w:szCs w:val="20"/>
                <w:lang w:eastAsia="en-AU"/>
              </w:rPr>
            </w:pPr>
          </w:p>
          <w:p w:rsidR="00AB181F" w:rsidRPr="00823201" w:rsidRDefault="00AB181F" w:rsidP="00AB181F">
            <w:pPr>
              <w:autoSpaceDE w:val="0"/>
              <w:autoSpaceDN w:val="0"/>
              <w:spacing w:after="0" w:line="240" w:lineRule="auto"/>
              <w:rPr>
                <w:rFonts w:asciiTheme="minorHAnsi" w:eastAsia="MS Mincho" w:hAnsiTheme="minorHAnsi" w:cs="Arial"/>
                <w:sz w:val="20"/>
                <w:szCs w:val="20"/>
                <w:lang w:eastAsia="en-AU"/>
              </w:rPr>
            </w:pPr>
            <w:r w:rsidRPr="00823201">
              <w:rPr>
                <w:rFonts w:asciiTheme="minorHAnsi" w:eastAsia="MS Mincho" w:hAnsiTheme="minorHAnsi" w:cs="Arial"/>
                <w:b/>
                <w:bCs/>
                <w:sz w:val="20"/>
                <w:szCs w:val="20"/>
                <w:lang w:eastAsia="en-AU"/>
              </w:rPr>
              <w:t xml:space="preserve">306 </w:t>
            </w:r>
            <w:r w:rsidRPr="00823201">
              <w:rPr>
                <w:rFonts w:asciiTheme="minorHAnsi" w:eastAsia="MS Mincho" w:hAnsiTheme="minorHAnsi" w:cs="Arial"/>
                <w:sz w:val="20"/>
                <w:szCs w:val="20"/>
                <w:lang w:eastAsia="en-AU"/>
              </w:rPr>
              <w:t xml:space="preserve">Where critical materiel is being stored, temperatures or other critical parameters </w:t>
            </w:r>
            <w:r w:rsidRPr="00823201">
              <w:rPr>
                <w:rFonts w:asciiTheme="minorHAnsi" w:eastAsia="MS Mincho" w:hAnsiTheme="minorHAnsi" w:cs="Arial"/>
                <w:b/>
                <w:bCs/>
                <w:sz w:val="20"/>
                <w:szCs w:val="20"/>
                <w:lang w:eastAsia="en-AU"/>
              </w:rPr>
              <w:t xml:space="preserve">must </w:t>
            </w:r>
            <w:r w:rsidRPr="00823201">
              <w:rPr>
                <w:rFonts w:asciiTheme="minorHAnsi" w:eastAsia="MS Mincho" w:hAnsiTheme="minorHAnsi" w:cs="Arial"/>
                <w:sz w:val="20"/>
                <w:szCs w:val="20"/>
                <w:lang w:eastAsia="en-AU"/>
              </w:rPr>
              <w:t xml:space="preserve">be </w:t>
            </w:r>
            <w:r w:rsidRPr="00823201">
              <w:rPr>
                <w:rFonts w:asciiTheme="minorHAnsi" w:eastAsia="MS Mincho" w:hAnsiTheme="minorHAnsi" w:cs="Arial"/>
                <w:sz w:val="20"/>
                <w:szCs w:val="20"/>
                <w:lang w:eastAsia="en-AU"/>
              </w:rPr>
              <w:lastRenderedPageBreak/>
              <w:t>monitored and demonstrated to be in accordance with the manufacturer’s instructions.</w:t>
            </w:r>
          </w:p>
          <w:p w:rsidR="00AB181F" w:rsidRPr="00823201" w:rsidRDefault="00AB181F" w:rsidP="00AB181F">
            <w:pPr>
              <w:autoSpaceDE w:val="0"/>
              <w:autoSpaceDN w:val="0"/>
              <w:spacing w:after="0" w:line="240" w:lineRule="auto"/>
              <w:rPr>
                <w:rFonts w:asciiTheme="minorHAnsi" w:eastAsia="MS Mincho" w:hAnsiTheme="minorHAnsi" w:cs="Arial"/>
                <w:b/>
                <w:bCs/>
                <w:sz w:val="20"/>
                <w:szCs w:val="20"/>
                <w:lang w:eastAsia="en-AU"/>
              </w:rPr>
            </w:pPr>
          </w:p>
          <w:p w:rsidR="00AB181F" w:rsidRPr="00823201" w:rsidRDefault="00AB181F" w:rsidP="00AB181F">
            <w:pPr>
              <w:autoSpaceDE w:val="0"/>
              <w:autoSpaceDN w:val="0"/>
              <w:spacing w:after="0" w:line="240" w:lineRule="auto"/>
              <w:rPr>
                <w:rFonts w:asciiTheme="minorHAnsi" w:eastAsia="MS Mincho" w:hAnsiTheme="minorHAnsi" w:cs="Arial"/>
                <w:sz w:val="20"/>
                <w:szCs w:val="20"/>
                <w:lang w:eastAsia="en-AU"/>
              </w:rPr>
            </w:pPr>
            <w:r w:rsidRPr="00823201">
              <w:rPr>
                <w:rFonts w:asciiTheme="minorHAnsi" w:eastAsia="MS Mincho" w:hAnsiTheme="minorHAnsi" w:cs="Arial"/>
                <w:b/>
                <w:bCs/>
                <w:sz w:val="20"/>
                <w:szCs w:val="20"/>
                <w:lang w:eastAsia="en-AU"/>
              </w:rPr>
              <w:t xml:space="preserve">307 </w:t>
            </w:r>
            <w:r w:rsidRPr="00823201">
              <w:rPr>
                <w:rFonts w:asciiTheme="minorHAnsi" w:eastAsia="MS Mincho" w:hAnsiTheme="minorHAnsi" w:cs="Arial"/>
                <w:sz w:val="20"/>
                <w:szCs w:val="20"/>
                <w:lang w:eastAsia="en-AU"/>
              </w:rPr>
              <w:t xml:space="preserve">Product manufactured in an “open” system </w:t>
            </w:r>
            <w:r w:rsidRPr="00823201">
              <w:rPr>
                <w:rFonts w:asciiTheme="minorHAnsi" w:eastAsia="MS Mincho" w:hAnsiTheme="minorHAnsi" w:cs="Arial"/>
                <w:b/>
                <w:bCs/>
                <w:sz w:val="20"/>
                <w:szCs w:val="20"/>
                <w:lang w:eastAsia="en-AU"/>
              </w:rPr>
              <w:t xml:space="preserve">must </w:t>
            </w:r>
            <w:r w:rsidRPr="00823201">
              <w:rPr>
                <w:rFonts w:asciiTheme="minorHAnsi" w:eastAsia="MS Mincho" w:hAnsiTheme="minorHAnsi" w:cs="Arial"/>
                <w:sz w:val="20"/>
                <w:szCs w:val="20"/>
                <w:lang w:eastAsia="en-AU"/>
              </w:rPr>
              <w:t xml:space="preserve">have the environmental conditions and monitoring of the area clearly defined, (such as for a “clean room” or laminar flow cabinet). Where environmental conditions are required to be monitored, records </w:t>
            </w:r>
            <w:r w:rsidRPr="00823201">
              <w:rPr>
                <w:rFonts w:asciiTheme="minorHAnsi" w:eastAsia="MS Mincho" w:hAnsiTheme="minorHAnsi" w:cs="Arial"/>
                <w:b/>
                <w:bCs/>
                <w:sz w:val="20"/>
                <w:szCs w:val="20"/>
                <w:lang w:eastAsia="en-AU"/>
              </w:rPr>
              <w:t xml:space="preserve">must </w:t>
            </w:r>
            <w:r w:rsidRPr="00823201">
              <w:rPr>
                <w:rFonts w:asciiTheme="minorHAnsi" w:eastAsia="MS Mincho" w:hAnsiTheme="minorHAnsi" w:cs="Arial"/>
                <w:sz w:val="20"/>
                <w:szCs w:val="20"/>
                <w:lang w:eastAsia="en-AU"/>
              </w:rPr>
              <w:t>demonstrate that</w:t>
            </w:r>
          </w:p>
          <w:p w:rsidR="00AB181F" w:rsidRPr="00823201" w:rsidRDefault="003C09BF" w:rsidP="00AB181F">
            <w:pPr>
              <w:autoSpaceDE w:val="0"/>
              <w:autoSpaceDN w:val="0"/>
              <w:spacing w:after="0" w:line="240" w:lineRule="auto"/>
              <w:rPr>
                <w:rFonts w:asciiTheme="minorHAnsi" w:eastAsia="MS Mincho" w:hAnsiTheme="minorHAnsi" w:cs="Arial"/>
                <w:sz w:val="20"/>
                <w:szCs w:val="20"/>
                <w:lang w:eastAsia="en-AU"/>
              </w:rPr>
            </w:pPr>
            <w:r w:rsidRPr="00823201">
              <w:rPr>
                <w:rFonts w:asciiTheme="minorHAnsi" w:eastAsia="MS Mincho" w:hAnsiTheme="minorHAnsi" w:cs="Arial"/>
                <w:sz w:val="20"/>
                <w:szCs w:val="20"/>
                <w:lang w:eastAsia="en-AU"/>
              </w:rPr>
              <w:t>The</w:t>
            </w:r>
            <w:r w:rsidR="00AB181F" w:rsidRPr="00823201">
              <w:rPr>
                <w:rFonts w:asciiTheme="minorHAnsi" w:eastAsia="MS Mincho" w:hAnsiTheme="minorHAnsi" w:cs="Arial"/>
                <w:sz w:val="20"/>
                <w:szCs w:val="20"/>
                <w:lang w:eastAsia="en-AU"/>
              </w:rPr>
              <w:t xml:space="preserve"> area is monitored frequently for microbiological contamination and air control.</w:t>
            </w:r>
          </w:p>
          <w:p w:rsidR="00AB181F" w:rsidRPr="00823201" w:rsidRDefault="00AB181F" w:rsidP="00AB181F">
            <w:pPr>
              <w:autoSpaceDE w:val="0"/>
              <w:autoSpaceDN w:val="0"/>
              <w:spacing w:after="0" w:line="240" w:lineRule="auto"/>
              <w:rPr>
                <w:rFonts w:asciiTheme="minorHAnsi" w:eastAsia="MS Mincho" w:hAnsiTheme="minorHAnsi" w:cs="Arial"/>
                <w:b/>
                <w:bCs/>
                <w:sz w:val="20"/>
                <w:szCs w:val="20"/>
                <w:lang w:eastAsia="en-AU"/>
              </w:rPr>
            </w:pPr>
          </w:p>
          <w:p w:rsidR="00AB181F" w:rsidRPr="00823201" w:rsidRDefault="00AB181F" w:rsidP="00AB181F">
            <w:pPr>
              <w:autoSpaceDE w:val="0"/>
              <w:autoSpaceDN w:val="0"/>
              <w:spacing w:after="0" w:line="240" w:lineRule="auto"/>
              <w:jc w:val="both"/>
              <w:rPr>
                <w:rFonts w:asciiTheme="minorHAnsi" w:eastAsia="MS Mincho" w:hAnsiTheme="minorHAnsi" w:cs="Arial"/>
                <w:b/>
                <w:bCs/>
                <w:sz w:val="20"/>
                <w:szCs w:val="20"/>
                <w:lang w:eastAsia="en-AU"/>
              </w:rPr>
            </w:pPr>
            <w:r w:rsidRPr="00823201">
              <w:rPr>
                <w:rFonts w:asciiTheme="minorHAnsi" w:eastAsia="MS Mincho" w:hAnsiTheme="minorHAnsi" w:cs="Arial"/>
                <w:b/>
                <w:bCs/>
                <w:sz w:val="20"/>
                <w:szCs w:val="20"/>
                <w:lang w:eastAsia="en-AU"/>
              </w:rPr>
              <w:t xml:space="preserve">308 </w:t>
            </w:r>
            <w:r w:rsidRPr="00823201">
              <w:rPr>
                <w:rFonts w:asciiTheme="minorHAnsi" w:eastAsia="MS Mincho" w:hAnsiTheme="minorHAnsi" w:cs="Arial"/>
                <w:sz w:val="20"/>
                <w:szCs w:val="20"/>
                <w:lang w:eastAsia="en-AU"/>
              </w:rPr>
              <w:t xml:space="preserve">Access to environmental-controlled areas should be from corridors or other manufacturing areas. Where internal doors are a barrier to avoid cross-contamination, they </w:t>
            </w:r>
            <w:r w:rsidRPr="00823201">
              <w:rPr>
                <w:rFonts w:asciiTheme="minorHAnsi" w:eastAsia="MS Mincho" w:hAnsiTheme="minorHAnsi" w:cs="Arial"/>
                <w:b/>
                <w:bCs/>
                <w:sz w:val="20"/>
                <w:szCs w:val="20"/>
                <w:lang w:eastAsia="en-AU"/>
              </w:rPr>
              <w:t xml:space="preserve">must </w:t>
            </w:r>
            <w:r w:rsidRPr="00823201">
              <w:rPr>
                <w:rFonts w:asciiTheme="minorHAnsi" w:eastAsia="MS Mincho" w:hAnsiTheme="minorHAnsi" w:cs="Arial"/>
                <w:sz w:val="20"/>
                <w:szCs w:val="20"/>
                <w:lang w:eastAsia="en-AU"/>
              </w:rPr>
              <w:t>be kept closed when not in use and signposted to that effect.</w:t>
            </w:r>
          </w:p>
        </w:tc>
        <w:tc>
          <w:tcPr>
            <w:tcW w:w="1321" w:type="pct"/>
          </w:tcPr>
          <w:p w:rsidR="00AB181F" w:rsidRPr="00823201" w:rsidRDefault="00AB181F" w:rsidP="00AB181F">
            <w:pPr>
              <w:autoSpaceDE w:val="0"/>
              <w:autoSpaceDN w:val="0"/>
              <w:spacing w:after="0" w:line="240" w:lineRule="auto"/>
              <w:rPr>
                <w:rFonts w:asciiTheme="minorHAnsi" w:eastAsia="MS Mincho" w:hAnsiTheme="minorHAnsi" w:cs="Arial"/>
                <w:color w:val="000000"/>
                <w:sz w:val="20"/>
                <w:szCs w:val="20"/>
                <w:lang w:eastAsia="en-AU"/>
              </w:rPr>
            </w:pPr>
            <w:r w:rsidRPr="00823201">
              <w:rPr>
                <w:rFonts w:asciiTheme="minorHAnsi" w:eastAsia="MS Mincho" w:hAnsiTheme="minorHAnsi" w:cs="Arial"/>
                <w:b/>
                <w:bCs/>
                <w:color w:val="000000"/>
                <w:sz w:val="20"/>
                <w:szCs w:val="20"/>
                <w:lang w:eastAsia="en-AU"/>
              </w:rPr>
              <w:lastRenderedPageBreak/>
              <w:t xml:space="preserve">Processing areas </w:t>
            </w:r>
          </w:p>
          <w:p w:rsidR="00AB181F" w:rsidRPr="00823201" w:rsidRDefault="00AB181F" w:rsidP="00AB181F">
            <w:pPr>
              <w:autoSpaceDE w:val="0"/>
              <w:autoSpaceDN w:val="0"/>
              <w:spacing w:after="0" w:line="240" w:lineRule="auto"/>
              <w:rPr>
                <w:rFonts w:asciiTheme="minorHAnsi" w:eastAsia="MS Mincho" w:hAnsiTheme="minorHAnsi" w:cs="Arial"/>
                <w:color w:val="000000"/>
                <w:sz w:val="20"/>
                <w:szCs w:val="20"/>
                <w:lang w:eastAsia="en-AU"/>
              </w:rPr>
            </w:pPr>
            <w:r w:rsidRPr="00823201">
              <w:rPr>
                <w:rFonts w:asciiTheme="minorHAnsi" w:eastAsia="MS Mincho" w:hAnsiTheme="minorHAnsi" w:cs="Arial"/>
                <w:color w:val="000000"/>
                <w:sz w:val="20"/>
                <w:szCs w:val="20"/>
                <w:lang w:eastAsia="en-AU"/>
              </w:rPr>
              <w:t>Clause 308:</w:t>
            </w:r>
          </w:p>
          <w:p w:rsidR="00AB181F" w:rsidRPr="00823201" w:rsidRDefault="00AB181F" w:rsidP="00AB181F">
            <w:pPr>
              <w:autoSpaceDE w:val="0"/>
              <w:autoSpaceDN w:val="0"/>
              <w:spacing w:after="0" w:line="240" w:lineRule="auto"/>
              <w:rPr>
                <w:rFonts w:asciiTheme="minorHAnsi" w:eastAsia="MS Mincho" w:hAnsiTheme="minorHAnsi" w:cs="Arial"/>
                <w:color w:val="000000"/>
                <w:sz w:val="20"/>
                <w:szCs w:val="20"/>
                <w:lang w:eastAsia="en-AU"/>
              </w:rPr>
            </w:pPr>
            <w:r w:rsidRPr="00823201">
              <w:rPr>
                <w:rFonts w:asciiTheme="minorHAnsi" w:eastAsia="MS Mincho" w:hAnsiTheme="minorHAnsi" w:cs="Arial"/>
                <w:color w:val="000000"/>
                <w:sz w:val="20"/>
                <w:szCs w:val="20"/>
                <w:lang w:eastAsia="en-AU"/>
              </w:rPr>
              <w:t xml:space="preserve">Materials of construction should not pose a source of contamination to the product. Critical surfaces in processing areas should be non-porous, smooth, and easily cleanable. </w:t>
            </w:r>
          </w:p>
          <w:p w:rsidR="00AB181F" w:rsidRPr="00823201" w:rsidRDefault="00AB181F" w:rsidP="00AB181F">
            <w:pPr>
              <w:autoSpaceDE w:val="0"/>
              <w:autoSpaceDN w:val="0"/>
              <w:spacing w:after="0" w:line="240" w:lineRule="auto"/>
              <w:rPr>
                <w:rFonts w:asciiTheme="minorHAnsi" w:eastAsia="MS Mincho" w:hAnsiTheme="minorHAnsi" w:cs="Arial"/>
                <w:color w:val="000000"/>
                <w:sz w:val="20"/>
                <w:szCs w:val="20"/>
                <w:lang w:eastAsia="en-AU"/>
              </w:rPr>
            </w:pPr>
          </w:p>
          <w:p w:rsidR="00AB181F" w:rsidRPr="00823201" w:rsidRDefault="00AB181F" w:rsidP="00AB181F">
            <w:pPr>
              <w:autoSpaceDE w:val="0"/>
              <w:autoSpaceDN w:val="0"/>
              <w:spacing w:after="0" w:line="240" w:lineRule="auto"/>
              <w:rPr>
                <w:rFonts w:asciiTheme="minorHAnsi" w:eastAsia="MS Mincho" w:hAnsiTheme="minorHAnsi" w:cs="Arial"/>
                <w:color w:val="000000"/>
                <w:sz w:val="20"/>
                <w:szCs w:val="20"/>
                <w:lang w:eastAsia="en-AU"/>
              </w:rPr>
            </w:pPr>
            <w:r w:rsidRPr="00823201">
              <w:rPr>
                <w:rFonts w:asciiTheme="minorHAnsi" w:eastAsia="MS Mincho" w:hAnsiTheme="minorHAnsi" w:cs="Arial"/>
                <w:color w:val="000000"/>
                <w:sz w:val="20"/>
                <w:szCs w:val="20"/>
                <w:lang w:eastAsia="en-AU"/>
              </w:rPr>
              <w:t>Clause 309:</w:t>
            </w:r>
          </w:p>
          <w:p w:rsidR="00AB181F" w:rsidRPr="00823201" w:rsidRDefault="00AB181F" w:rsidP="00AB181F">
            <w:pPr>
              <w:autoSpaceDE w:val="0"/>
              <w:autoSpaceDN w:val="0"/>
              <w:spacing w:after="0" w:line="240" w:lineRule="auto"/>
              <w:rPr>
                <w:rFonts w:asciiTheme="minorHAnsi" w:eastAsia="MS Mincho" w:hAnsiTheme="minorHAnsi" w:cs="Arial"/>
                <w:color w:val="000000"/>
                <w:sz w:val="20"/>
                <w:szCs w:val="20"/>
                <w:lang w:eastAsia="en-AU"/>
              </w:rPr>
            </w:pPr>
            <w:r w:rsidRPr="00823201">
              <w:rPr>
                <w:rFonts w:asciiTheme="minorHAnsi" w:eastAsia="MS Mincho" w:hAnsiTheme="minorHAnsi" w:cs="Arial"/>
                <w:color w:val="000000"/>
                <w:sz w:val="20"/>
                <w:szCs w:val="20"/>
                <w:lang w:eastAsia="en-AU"/>
              </w:rPr>
              <w:t xml:space="preserve">Where environmental conditions (e.g. temperature, humidity, air quality) </w:t>
            </w:r>
            <w:r w:rsidRPr="00823201">
              <w:rPr>
                <w:rFonts w:asciiTheme="minorHAnsi" w:eastAsia="MS Mincho" w:hAnsiTheme="minorHAnsi" w:cs="Arial"/>
                <w:color w:val="000000"/>
                <w:sz w:val="20"/>
                <w:szCs w:val="20"/>
                <w:lang w:eastAsia="en-AU"/>
              </w:rPr>
              <w:lastRenderedPageBreak/>
              <w:t xml:space="preserve">could have an adverse effect on product quality, appropriate conditions should be defined, implemented and monitored. </w:t>
            </w:r>
          </w:p>
          <w:p w:rsidR="00AB181F" w:rsidRPr="00823201" w:rsidRDefault="00AB181F" w:rsidP="00AB181F">
            <w:pPr>
              <w:autoSpaceDE w:val="0"/>
              <w:autoSpaceDN w:val="0"/>
              <w:spacing w:after="0" w:line="240" w:lineRule="auto"/>
              <w:ind w:left="360" w:hanging="360"/>
              <w:rPr>
                <w:rFonts w:asciiTheme="minorHAnsi" w:eastAsia="MS Mincho" w:hAnsiTheme="minorHAnsi" w:cs="Arial"/>
                <w:color w:val="000000"/>
                <w:sz w:val="20"/>
                <w:szCs w:val="20"/>
                <w:lang w:eastAsia="en-AU"/>
              </w:rPr>
            </w:pPr>
          </w:p>
          <w:p w:rsidR="00AB181F" w:rsidRPr="00823201" w:rsidRDefault="00AB181F" w:rsidP="00AB181F">
            <w:pPr>
              <w:autoSpaceDE w:val="0"/>
              <w:autoSpaceDN w:val="0"/>
              <w:spacing w:after="0" w:line="240" w:lineRule="auto"/>
              <w:rPr>
                <w:rFonts w:asciiTheme="minorHAnsi" w:eastAsia="MS Mincho" w:hAnsiTheme="minorHAnsi" w:cs="Arial"/>
                <w:color w:val="000000"/>
                <w:sz w:val="20"/>
                <w:szCs w:val="20"/>
                <w:lang w:eastAsia="en-AU"/>
              </w:rPr>
            </w:pPr>
            <w:r w:rsidRPr="00823201">
              <w:rPr>
                <w:rFonts w:asciiTheme="minorHAnsi" w:eastAsia="MS Mincho" w:hAnsiTheme="minorHAnsi" w:cs="Arial"/>
                <w:color w:val="000000"/>
                <w:sz w:val="20"/>
                <w:szCs w:val="20"/>
                <w:lang w:eastAsia="en-AU"/>
              </w:rPr>
              <w:t>Clause 310:</w:t>
            </w:r>
          </w:p>
          <w:p w:rsidR="00AB181F" w:rsidRPr="00823201" w:rsidRDefault="00AB181F" w:rsidP="00AB181F">
            <w:pPr>
              <w:autoSpaceDE w:val="0"/>
              <w:autoSpaceDN w:val="0"/>
              <w:spacing w:after="0" w:line="240" w:lineRule="auto"/>
              <w:rPr>
                <w:rFonts w:asciiTheme="minorHAnsi" w:eastAsia="MS Mincho" w:hAnsiTheme="minorHAnsi" w:cs="Arial"/>
                <w:color w:val="000000"/>
                <w:sz w:val="20"/>
                <w:szCs w:val="20"/>
                <w:lang w:eastAsia="en-AU"/>
              </w:rPr>
            </w:pPr>
            <w:r w:rsidRPr="00823201">
              <w:rPr>
                <w:rFonts w:asciiTheme="minorHAnsi" w:eastAsia="MS Mincho" w:hAnsiTheme="minorHAnsi" w:cs="Arial"/>
                <w:color w:val="000000"/>
                <w:sz w:val="20"/>
                <w:szCs w:val="20"/>
                <w:lang w:eastAsia="en-AU"/>
              </w:rPr>
              <w:t xml:space="preserve">For products requiring control of microbiological bioburden, the manufacturer should establish and document the environmental requirements to which product is exposed during processing. </w:t>
            </w:r>
          </w:p>
          <w:p w:rsidR="00AB181F" w:rsidRPr="00823201" w:rsidRDefault="00AB181F" w:rsidP="00AB181F">
            <w:pPr>
              <w:autoSpaceDE w:val="0"/>
              <w:autoSpaceDN w:val="0"/>
              <w:spacing w:after="0" w:line="240" w:lineRule="auto"/>
              <w:rPr>
                <w:rFonts w:asciiTheme="minorHAnsi" w:eastAsia="MS Mincho" w:hAnsiTheme="minorHAnsi" w:cs="Arial"/>
                <w:b/>
                <w:bCs/>
                <w:sz w:val="20"/>
                <w:szCs w:val="20"/>
                <w:lang w:eastAsia="en-AU"/>
              </w:rPr>
            </w:pPr>
            <w:r w:rsidRPr="00823201">
              <w:rPr>
                <w:rFonts w:asciiTheme="minorHAnsi" w:eastAsia="MS Mincho" w:hAnsiTheme="minorHAnsi" w:cs="Arial"/>
                <w:color w:val="000000"/>
                <w:sz w:val="20"/>
                <w:szCs w:val="20"/>
                <w:lang w:eastAsia="en-AU"/>
              </w:rPr>
              <w:t xml:space="preserve">Environmentally controlled processing areas should be maintained to an appropriate cleanliness standard and supplied with air which has passed through filters of an appropriate efficiency. The suitability of the manufacturing environment should be verified by a documented monitoring program. </w:t>
            </w:r>
            <w:r w:rsidRPr="00823201">
              <w:rPr>
                <w:rFonts w:asciiTheme="minorHAnsi" w:eastAsia="MS Mincho" w:hAnsiTheme="minorHAnsi" w:cs="Arial"/>
                <w:b/>
                <w:color w:val="000000"/>
                <w:sz w:val="20"/>
                <w:szCs w:val="20"/>
                <w:lang w:eastAsia="en-AU"/>
              </w:rPr>
              <w:t>The frequency of environmental monitoring should be based on the assessment of risk to the product.</w:t>
            </w:r>
            <w:r w:rsidRPr="00823201">
              <w:rPr>
                <w:rFonts w:asciiTheme="minorHAnsi" w:eastAsia="MS Mincho" w:hAnsiTheme="minorHAnsi" w:cs="Arial"/>
                <w:color w:val="000000"/>
                <w:sz w:val="20"/>
                <w:szCs w:val="20"/>
                <w:lang w:eastAsia="en-AU"/>
              </w:rPr>
              <w:t xml:space="preserve"> Records of environmental monitoring should be kept.</w:t>
            </w:r>
          </w:p>
        </w:tc>
        <w:tc>
          <w:tcPr>
            <w:tcW w:w="2443" w:type="pct"/>
          </w:tcPr>
          <w:p w:rsidR="00AB181F" w:rsidRPr="00823201" w:rsidRDefault="00AB181F" w:rsidP="00AB181F">
            <w:pPr>
              <w:pStyle w:val="ListBullet"/>
              <w:numPr>
                <w:ilvl w:val="0"/>
                <w:numId w:val="35"/>
              </w:numPr>
              <w:adjustRightInd w:val="0"/>
              <w:snapToGrid w:val="0"/>
              <w:spacing w:before="0" w:after="200" w:line="276" w:lineRule="auto"/>
              <w:rPr>
                <w:rFonts w:asciiTheme="minorHAnsi" w:hAnsiTheme="minorHAnsi"/>
                <w:sz w:val="20"/>
                <w:szCs w:val="20"/>
              </w:rPr>
            </w:pPr>
            <w:r w:rsidRPr="00823201">
              <w:rPr>
                <w:rFonts w:asciiTheme="minorHAnsi" w:hAnsiTheme="minorHAnsi"/>
                <w:sz w:val="20"/>
                <w:szCs w:val="20"/>
              </w:rPr>
              <w:lastRenderedPageBreak/>
              <w:t>Provides additional clarity on the requirements/factors that need to be considered</w:t>
            </w:r>
          </w:p>
          <w:p w:rsidR="00AB181F" w:rsidRPr="00823201" w:rsidRDefault="00AB181F" w:rsidP="00AB181F">
            <w:pPr>
              <w:pStyle w:val="ListBullet"/>
              <w:numPr>
                <w:ilvl w:val="0"/>
                <w:numId w:val="35"/>
              </w:numPr>
              <w:adjustRightInd w:val="0"/>
              <w:snapToGrid w:val="0"/>
              <w:spacing w:before="0" w:after="200" w:line="276" w:lineRule="auto"/>
              <w:rPr>
                <w:rFonts w:asciiTheme="minorHAnsi" w:hAnsiTheme="minorHAnsi"/>
                <w:sz w:val="20"/>
                <w:szCs w:val="20"/>
              </w:rPr>
            </w:pPr>
            <w:r w:rsidRPr="00823201">
              <w:rPr>
                <w:rFonts w:asciiTheme="minorHAnsi" w:hAnsiTheme="minorHAnsi"/>
                <w:sz w:val="20"/>
                <w:szCs w:val="20"/>
              </w:rPr>
              <w:t>Less Prescriptive requirements provide more flexibility to the manufacturer to incorporate emerging technologies and establish relevant monitoring systems</w:t>
            </w:r>
          </w:p>
          <w:p w:rsidR="00AB181F" w:rsidRPr="00823201" w:rsidRDefault="00AB181F" w:rsidP="00AB181F">
            <w:pPr>
              <w:pStyle w:val="ListBullet"/>
              <w:numPr>
                <w:ilvl w:val="0"/>
                <w:numId w:val="35"/>
              </w:numPr>
              <w:adjustRightInd w:val="0"/>
              <w:snapToGrid w:val="0"/>
              <w:spacing w:before="0" w:after="200" w:line="276" w:lineRule="auto"/>
              <w:rPr>
                <w:rFonts w:asciiTheme="minorHAnsi" w:hAnsiTheme="minorHAnsi"/>
                <w:sz w:val="20"/>
                <w:szCs w:val="20"/>
              </w:rPr>
            </w:pPr>
            <w:r w:rsidRPr="00823201">
              <w:rPr>
                <w:rFonts w:asciiTheme="minorHAnsi" w:hAnsiTheme="minorHAnsi"/>
                <w:sz w:val="20"/>
                <w:szCs w:val="20"/>
              </w:rPr>
              <w:t>Removal of superfluous clauses such as 308</w:t>
            </w:r>
          </w:p>
          <w:p w:rsidR="00AB181F" w:rsidRPr="00823201" w:rsidRDefault="00AB181F" w:rsidP="00AB181F">
            <w:pPr>
              <w:pStyle w:val="ListBullet"/>
              <w:numPr>
                <w:ilvl w:val="0"/>
                <w:numId w:val="35"/>
              </w:numPr>
              <w:adjustRightInd w:val="0"/>
              <w:snapToGrid w:val="0"/>
              <w:spacing w:before="0" w:after="200" w:line="276" w:lineRule="auto"/>
              <w:rPr>
                <w:rFonts w:asciiTheme="minorHAnsi" w:hAnsiTheme="minorHAnsi"/>
                <w:sz w:val="20"/>
                <w:szCs w:val="20"/>
              </w:rPr>
            </w:pPr>
            <w:r w:rsidRPr="00823201">
              <w:rPr>
                <w:rFonts w:asciiTheme="minorHAnsi" w:hAnsiTheme="minorHAnsi"/>
                <w:sz w:val="20"/>
                <w:szCs w:val="20"/>
              </w:rPr>
              <w:t>It is not expected that this change will incur costs as manufacturers currently are required to show that the environment is suitable for the operations carried out</w:t>
            </w:r>
          </w:p>
          <w:p w:rsidR="00AB181F" w:rsidRPr="00823201" w:rsidRDefault="00AB181F" w:rsidP="00AB181F">
            <w:pPr>
              <w:pStyle w:val="ListBullet"/>
              <w:numPr>
                <w:ilvl w:val="0"/>
                <w:numId w:val="0"/>
              </w:numPr>
              <w:adjustRightInd w:val="0"/>
              <w:snapToGrid w:val="0"/>
              <w:spacing w:before="0" w:after="200" w:line="276" w:lineRule="auto"/>
              <w:ind w:left="720"/>
              <w:rPr>
                <w:rFonts w:asciiTheme="minorHAnsi" w:hAnsiTheme="minorHAnsi"/>
                <w:sz w:val="20"/>
                <w:szCs w:val="20"/>
              </w:rPr>
            </w:pPr>
          </w:p>
        </w:tc>
      </w:tr>
      <w:tr w:rsidR="00AB181F" w:rsidRPr="00823201" w:rsidTr="00823201">
        <w:tc>
          <w:tcPr>
            <w:tcW w:w="1236" w:type="pct"/>
          </w:tcPr>
          <w:p w:rsidR="00AB181F" w:rsidRPr="00823201" w:rsidRDefault="00AB181F" w:rsidP="00AB181F">
            <w:pPr>
              <w:pStyle w:val="ListBullet"/>
              <w:numPr>
                <w:ilvl w:val="0"/>
                <w:numId w:val="0"/>
              </w:numPr>
              <w:rPr>
                <w:rFonts w:asciiTheme="minorHAnsi" w:hAnsiTheme="minorHAnsi"/>
                <w:sz w:val="20"/>
                <w:szCs w:val="20"/>
              </w:rPr>
            </w:pPr>
            <w:r w:rsidRPr="00823201">
              <w:rPr>
                <w:rFonts w:asciiTheme="minorHAnsi" w:hAnsiTheme="minorHAnsi"/>
                <w:sz w:val="20"/>
                <w:szCs w:val="20"/>
              </w:rPr>
              <w:lastRenderedPageBreak/>
              <w:t>Clause 307</w:t>
            </w:r>
          </w:p>
          <w:p w:rsidR="00AB181F" w:rsidRPr="00823201" w:rsidRDefault="00AB181F" w:rsidP="00AB181F">
            <w:pPr>
              <w:autoSpaceDE w:val="0"/>
              <w:autoSpaceDN w:val="0"/>
              <w:spacing w:after="0" w:line="240" w:lineRule="auto"/>
              <w:rPr>
                <w:rFonts w:asciiTheme="minorHAnsi" w:eastAsia="MS Mincho" w:hAnsiTheme="minorHAnsi" w:cs="Arial"/>
                <w:b/>
                <w:bCs/>
                <w:sz w:val="20"/>
                <w:szCs w:val="20"/>
                <w:lang w:eastAsia="en-AU"/>
              </w:rPr>
            </w:pPr>
            <w:r w:rsidRPr="00823201">
              <w:rPr>
                <w:rFonts w:asciiTheme="minorHAnsi" w:hAnsiTheme="minorHAnsi"/>
                <w:sz w:val="20"/>
                <w:szCs w:val="20"/>
              </w:rPr>
              <w:t xml:space="preserve">References the Annex 1 of the medicines cGMP, where clean air is required in the manufacture of a </w:t>
            </w:r>
            <w:r w:rsidRPr="00823201">
              <w:rPr>
                <w:rFonts w:asciiTheme="minorHAnsi" w:hAnsiTheme="minorHAnsi"/>
                <w:sz w:val="20"/>
                <w:szCs w:val="20"/>
              </w:rPr>
              <w:lastRenderedPageBreak/>
              <w:t xml:space="preserve">product or where the product is labelled sterile, but does not require that manufacturers meet Annex 1. </w:t>
            </w:r>
          </w:p>
        </w:tc>
        <w:tc>
          <w:tcPr>
            <w:tcW w:w="1321" w:type="pct"/>
          </w:tcPr>
          <w:p w:rsidR="00AB181F" w:rsidRPr="00823201" w:rsidRDefault="00AB181F" w:rsidP="00AB181F">
            <w:pPr>
              <w:autoSpaceDE w:val="0"/>
              <w:autoSpaceDN w:val="0"/>
              <w:spacing w:after="0" w:line="240" w:lineRule="auto"/>
              <w:jc w:val="both"/>
              <w:rPr>
                <w:rFonts w:asciiTheme="minorHAnsi" w:hAnsiTheme="minorHAnsi"/>
                <w:sz w:val="20"/>
                <w:szCs w:val="20"/>
              </w:rPr>
            </w:pPr>
            <w:r w:rsidRPr="00823201">
              <w:rPr>
                <w:rFonts w:asciiTheme="minorHAnsi" w:hAnsiTheme="minorHAnsi"/>
                <w:sz w:val="20"/>
                <w:szCs w:val="20"/>
              </w:rPr>
              <w:lastRenderedPageBreak/>
              <w:t xml:space="preserve">Updated requirement that manufacturers must meet Annex 1 of the medicines cGMP, where applicable. </w:t>
            </w:r>
          </w:p>
          <w:p w:rsidR="00AB181F" w:rsidRPr="00823201" w:rsidRDefault="00AB181F" w:rsidP="00AB181F">
            <w:pPr>
              <w:autoSpaceDE w:val="0"/>
              <w:autoSpaceDN w:val="0"/>
              <w:spacing w:after="0" w:line="240" w:lineRule="auto"/>
              <w:jc w:val="both"/>
              <w:rPr>
                <w:rFonts w:asciiTheme="minorHAnsi" w:eastAsia="MS Mincho" w:hAnsiTheme="minorHAnsi" w:cs="Arial"/>
                <w:color w:val="000000"/>
                <w:sz w:val="20"/>
                <w:szCs w:val="20"/>
                <w:lang w:eastAsia="en-AU"/>
              </w:rPr>
            </w:pPr>
          </w:p>
          <w:p w:rsidR="00AB181F" w:rsidRPr="00823201" w:rsidRDefault="00AB181F" w:rsidP="00AB181F">
            <w:pPr>
              <w:autoSpaceDE w:val="0"/>
              <w:autoSpaceDN w:val="0"/>
              <w:spacing w:after="0" w:line="240" w:lineRule="auto"/>
              <w:jc w:val="both"/>
              <w:rPr>
                <w:rFonts w:asciiTheme="minorHAnsi" w:eastAsia="MS Mincho" w:hAnsiTheme="minorHAnsi" w:cs="Arial"/>
                <w:color w:val="000000"/>
                <w:sz w:val="20"/>
                <w:szCs w:val="20"/>
                <w:lang w:eastAsia="en-AU"/>
              </w:rPr>
            </w:pPr>
            <w:r w:rsidRPr="00823201">
              <w:rPr>
                <w:rFonts w:asciiTheme="minorHAnsi" w:eastAsia="MS Mincho" w:hAnsiTheme="minorHAnsi" w:cs="Arial"/>
                <w:color w:val="000000"/>
                <w:sz w:val="20"/>
                <w:szCs w:val="20"/>
                <w:lang w:eastAsia="en-AU"/>
              </w:rPr>
              <w:t>Clause 300:</w:t>
            </w:r>
          </w:p>
          <w:p w:rsidR="00AB181F" w:rsidRPr="00823201" w:rsidRDefault="00AB181F" w:rsidP="00AB181F">
            <w:pPr>
              <w:autoSpaceDE w:val="0"/>
              <w:autoSpaceDN w:val="0"/>
              <w:spacing w:after="0" w:line="240" w:lineRule="auto"/>
              <w:jc w:val="both"/>
              <w:rPr>
                <w:rFonts w:asciiTheme="minorHAnsi" w:eastAsia="MS Mincho" w:hAnsiTheme="minorHAnsi" w:cs="Arial"/>
                <w:color w:val="000000"/>
                <w:sz w:val="20"/>
                <w:szCs w:val="20"/>
                <w:lang w:eastAsia="en-AU"/>
              </w:rPr>
            </w:pPr>
            <w:r w:rsidRPr="00823201">
              <w:rPr>
                <w:rFonts w:asciiTheme="minorHAnsi" w:eastAsia="MS Mincho" w:hAnsiTheme="minorHAnsi" w:cs="Arial"/>
                <w:color w:val="000000"/>
                <w:sz w:val="20"/>
                <w:szCs w:val="20"/>
                <w:lang w:eastAsia="en-AU"/>
              </w:rPr>
              <w:t xml:space="preserve">Premises, facilities and equipment should be located, designed, constructed, adapted, maintained, and suitable for its intended purpose. Their layout and design should aim to minimise the risk of errors and permit effective cleaning and maintenance in order to avoid contamination, build up of dirt and, in general, any adverse effect on the quality of products. </w:t>
            </w:r>
          </w:p>
          <w:p w:rsidR="00AB181F" w:rsidRPr="00823201" w:rsidRDefault="00AB181F" w:rsidP="00B2768B">
            <w:pPr>
              <w:autoSpaceDE w:val="0"/>
              <w:autoSpaceDN w:val="0"/>
              <w:spacing w:after="0" w:line="240" w:lineRule="auto"/>
              <w:rPr>
                <w:rFonts w:asciiTheme="minorHAnsi" w:eastAsia="MS Mincho" w:hAnsiTheme="minorHAnsi" w:cs="Arial"/>
                <w:b/>
                <w:bCs/>
                <w:color w:val="000000"/>
                <w:sz w:val="20"/>
                <w:szCs w:val="20"/>
                <w:lang w:eastAsia="en-AU"/>
              </w:rPr>
            </w:pPr>
            <w:r w:rsidRPr="00823201">
              <w:rPr>
                <w:rFonts w:asciiTheme="minorHAnsi" w:eastAsia="MS Mincho" w:hAnsiTheme="minorHAnsi" w:cs="Arial"/>
                <w:color w:val="000000"/>
                <w:sz w:val="20"/>
                <w:szCs w:val="20"/>
                <w:lang w:eastAsia="en-AU"/>
              </w:rPr>
              <w:t xml:space="preserve">In order to minimise the risk of microbiological, </w:t>
            </w:r>
            <w:r w:rsidR="00B2768B">
              <w:rPr>
                <w:rFonts w:asciiTheme="minorHAnsi" w:eastAsia="MS Mincho" w:hAnsiTheme="minorHAnsi" w:cs="Arial"/>
                <w:color w:val="000000"/>
                <w:sz w:val="20"/>
                <w:szCs w:val="20"/>
                <w:lang w:eastAsia="en-AU"/>
              </w:rPr>
              <w:t xml:space="preserve">and </w:t>
            </w:r>
            <w:r w:rsidRPr="00823201">
              <w:rPr>
                <w:rFonts w:asciiTheme="minorHAnsi" w:eastAsia="MS Mincho" w:hAnsiTheme="minorHAnsi" w:cs="Arial"/>
                <w:color w:val="000000"/>
                <w:sz w:val="20"/>
                <w:szCs w:val="20"/>
                <w:lang w:eastAsia="en-AU"/>
              </w:rPr>
              <w:t xml:space="preserve">particulate </w:t>
            </w:r>
            <w:r w:rsidR="00B2768B">
              <w:rPr>
                <w:rFonts w:asciiTheme="minorHAnsi" w:eastAsia="MS Mincho" w:hAnsiTheme="minorHAnsi" w:cs="Arial"/>
                <w:color w:val="000000"/>
                <w:sz w:val="20"/>
                <w:szCs w:val="20"/>
                <w:lang w:eastAsia="en-AU"/>
              </w:rPr>
              <w:t>`</w:t>
            </w:r>
            <w:r w:rsidRPr="00823201">
              <w:rPr>
                <w:rFonts w:asciiTheme="minorHAnsi" w:eastAsia="MS Mincho" w:hAnsiTheme="minorHAnsi" w:cs="Arial"/>
                <w:color w:val="000000"/>
                <w:sz w:val="20"/>
                <w:szCs w:val="20"/>
                <w:lang w:eastAsia="en-AU"/>
              </w:rPr>
              <w:t>contamination, the manufacture of sterile products, or products required to have a low bioburden, should be subject to special environmental controls (e.g. Clean rooms, biological safety cabinets). Where required, applicable code clauses in Annex 1 of the mandated Code of GMP for Medicinal Products should apply.</w:t>
            </w:r>
          </w:p>
        </w:tc>
        <w:tc>
          <w:tcPr>
            <w:tcW w:w="2443" w:type="pct"/>
          </w:tcPr>
          <w:p w:rsidR="00110E79" w:rsidRPr="00823201" w:rsidRDefault="00110E79" w:rsidP="00110E79">
            <w:pPr>
              <w:pStyle w:val="ListBullet"/>
              <w:numPr>
                <w:ilvl w:val="0"/>
                <w:numId w:val="36"/>
              </w:numPr>
              <w:adjustRightInd w:val="0"/>
              <w:snapToGrid w:val="0"/>
              <w:spacing w:before="0" w:after="200" w:line="276" w:lineRule="auto"/>
              <w:rPr>
                <w:rFonts w:asciiTheme="minorHAnsi" w:hAnsiTheme="minorHAnsi"/>
                <w:sz w:val="20"/>
                <w:szCs w:val="20"/>
              </w:rPr>
            </w:pPr>
            <w:r w:rsidRPr="00823201">
              <w:rPr>
                <w:rFonts w:asciiTheme="minorHAnsi" w:hAnsiTheme="minorHAnsi"/>
                <w:sz w:val="20"/>
                <w:szCs w:val="20"/>
              </w:rPr>
              <w:lastRenderedPageBreak/>
              <w:t>There may be costs incurred by manufacturers where clean air is required for the manufacture of product or where the product is labelled sterile</w:t>
            </w:r>
          </w:p>
          <w:p w:rsidR="00110E79" w:rsidRPr="00823201" w:rsidRDefault="00110E79" w:rsidP="00110E79">
            <w:pPr>
              <w:pStyle w:val="ListBullet"/>
              <w:numPr>
                <w:ilvl w:val="0"/>
                <w:numId w:val="36"/>
              </w:numPr>
              <w:adjustRightInd w:val="0"/>
              <w:snapToGrid w:val="0"/>
              <w:spacing w:before="0" w:after="200" w:line="276" w:lineRule="auto"/>
              <w:rPr>
                <w:rFonts w:asciiTheme="minorHAnsi" w:hAnsiTheme="minorHAnsi"/>
                <w:sz w:val="20"/>
                <w:szCs w:val="20"/>
              </w:rPr>
            </w:pPr>
            <w:r w:rsidRPr="00823201">
              <w:rPr>
                <w:rFonts w:asciiTheme="minorHAnsi" w:hAnsiTheme="minorHAnsi"/>
                <w:sz w:val="20"/>
                <w:szCs w:val="20"/>
              </w:rPr>
              <w:lastRenderedPageBreak/>
              <w:t>The TGA is not aware of any sterile human products that would be affected by this change and thus there is currently no impact</w:t>
            </w:r>
          </w:p>
          <w:p w:rsidR="00AB181F" w:rsidRPr="00823201" w:rsidRDefault="00110E79" w:rsidP="00110E79">
            <w:pPr>
              <w:pStyle w:val="ListBullet"/>
              <w:numPr>
                <w:ilvl w:val="0"/>
                <w:numId w:val="36"/>
              </w:numPr>
              <w:adjustRightInd w:val="0"/>
              <w:snapToGrid w:val="0"/>
              <w:spacing w:before="0" w:after="200" w:line="276" w:lineRule="auto"/>
              <w:rPr>
                <w:rFonts w:asciiTheme="minorHAnsi" w:hAnsiTheme="minorHAnsi"/>
                <w:sz w:val="20"/>
                <w:szCs w:val="20"/>
              </w:rPr>
            </w:pPr>
            <w:r w:rsidRPr="00823201">
              <w:rPr>
                <w:rFonts w:asciiTheme="minorHAnsi" w:hAnsiTheme="minorHAnsi"/>
                <w:sz w:val="20"/>
                <w:szCs w:val="20"/>
              </w:rPr>
              <w:t>It is well accepted that if a sterile product is manufactured it should meet the same requirement as for a sterile medicine (Annex 1 of medicines Code of GMP)</w:t>
            </w:r>
          </w:p>
        </w:tc>
      </w:tr>
      <w:tr w:rsidR="00110E79" w:rsidRPr="00823201" w:rsidTr="00823201">
        <w:tc>
          <w:tcPr>
            <w:tcW w:w="1236" w:type="pct"/>
          </w:tcPr>
          <w:p w:rsidR="00110E79" w:rsidRPr="00823201" w:rsidRDefault="00110E79" w:rsidP="00110E79">
            <w:pPr>
              <w:jc w:val="both"/>
              <w:rPr>
                <w:rFonts w:asciiTheme="minorHAnsi" w:hAnsiTheme="minorHAnsi"/>
                <w:sz w:val="20"/>
                <w:szCs w:val="20"/>
              </w:rPr>
            </w:pPr>
            <w:r w:rsidRPr="00823201">
              <w:rPr>
                <w:rFonts w:asciiTheme="minorHAnsi" w:hAnsiTheme="minorHAnsi"/>
                <w:sz w:val="20"/>
                <w:szCs w:val="20"/>
              </w:rPr>
              <w:lastRenderedPageBreak/>
              <w:t xml:space="preserve">Clause 602: </w:t>
            </w:r>
          </w:p>
          <w:p w:rsidR="00110E79" w:rsidRPr="00823201" w:rsidRDefault="00110E79" w:rsidP="00110E79">
            <w:pPr>
              <w:pStyle w:val="ListBullet"/>
              <w:numPr>
                <w:ilvl w:val="0"/>
                <w:numId w:val="0"/>
              </w:numPr>
              <w:rPr>
                <w:rFonts w:asciiTheme="minorHAnsi" w:hAnsiTheme="minorHAnsi"/>
                <w:sz w:val="20"/>
                <w:szCs w:val="20"/>
              </w:rPr>
            </w:pPr>
            <w:r w:rsidRPr="00823201">
              <w:rPr>
                <w:rFonts w:asciiTheme="minorHAnsi" w:hAnsiTheme="minorHAnsi"/>
                <w:sz w:val="20"/>
                <w:szCs w:val="20"/>
              </w:rPr>
              <w:t xml:space="preserve">The record system </w:t>
            </w:r>
            <w:r w:rsidRPr="00823201">
              <w:rPr>
                <w:rFonts w:asciiTheme="minorHAnsi" w:hAnsiTheme="minorHAnsi"/>
                <w:b/>
                <w:sz w:val="20"/>
                <w:szCs w:val="20"/>
              </w:rPr>
              <w:t>must</w:t>
            </w:r>
            <w:r w:rsidRPr="00823201">
              <w:rPr>
                <w:rFonts w:asciiTheme="minorHAnsi" w:hAnsiTheme="minorHAnsi"/>
                <w:sz w:val="20"/>
                <w:szCs w:val="20"/>
              </w:rPr>
              <w:t xml:space="preserve"> demonstrate that there is a </w:t>
            </w:r>
            <w:r w:rsidRPr="00823201">
              <w:rPr>
                <w:rFonts w:asciiTheme="minorHAnsi" w:hAnsiTheme="minorHAnsi"/>
                <w:b/>
                <w:sz w:val="20"/>
                <w:szCs w:val="20"/>
              </w:rPr>
              <w:t>complete history</w:t>
            </w:r>
            <w:r w:rsidRPr="00823201">
              <w:rPr>
                <w:rFonts w:asciiTheme="minorHAnsi" w:hAnsiTheme="minorHAnsi"/>
                <w:sz w:val="20"/>
                <w:szCs w:val="20"/>
              </w:rPr>
              <w:t xml:space="preserve"> of the donation from donor selection/registration </w:t>
            </w:r>
            <w:r w:rsidRPr="00823201">
              <w:rPr>
                <w:rFonts w:asciiTheme="minorHAnsi" w:hAnsiTheme="minorHAnsi"/>
                <w:sz w:val="20"/>
                <w:szCs w:val="20"/>
              </w:rPr>
              <w:lastRenderedPageBreak/>
              <w:t>to the release for use as final product, and should include: identification and traceability to all critical manufacturing steps; traceability to a location, including transportation between sites; and accountability for records which have been withdrawn and archived.</w:t>
            </w:r>
          </w:p>
        </w:tc>
        <w:tc>
          <w:tcPr>
            <w:tcW w:w="1321" w:type="pct"/>
          </w:tcPr>
          <w:p w:rsidR="00110E79" w:rsidRPr="00823201" w:rsidRDefault="00110E79" w:rsidP="00110E79">
            <w:pPr>
              <w:jc w:val="both"/>
              <w:rPr>
                <w:rFonts w:asciiTheme="minorHAnsi" w:hAnsiTheme="minorHAnsi"/>
                <w:sz w:val="20"/>
                <w:szCs w:val="20"/>
              </w:rPr>
            </w:pPr>
            <w:r w:rsidRPr="00823201">
              <w:rPr>
                <w:rFonts w:asciiTheme="minorHAnsi" w:hAnsiTheme="minorHAnsi"/>
                <w:sz w:val="20"/>
                <w:szCs w:val="20"/>
              </w:rPr>
              <w:lastRenderedPageBreak/>
              <w:t>Clause 415:</w:t>
            </w:r>
          </w:p>
          <w:p w:rsidR="00110E79" w:rsidRPr="00823201" w:rsidRDefault="00110E79" w:rsidP="00110E79">
            <w:pPr>
              <w:jc w:val="both"/>
              <w:rPr>
                <w:rFonts w:asciiTheme="minorHAnsi" w:hAnsiTheme="minorHAnsi"/>
                <w:sz w:val="20"/>
                <w:szCs w:val="20"/>
              </w:rPr>
            </w:pPr>
            <w:r w:rsidRPr="00823201">
              <w:rPr>
                <w:rFonts w:asciiTheme="minorHAnsi" w:hAnsiTheme="minorHAnsi"/>
                <w:sz w:val="20"/>
                <w:szCs w:val="20"/>
              </w:rPr>
              <w:t xml:space="preserve">Records should be completed at the time each action is taken and in such a way that </w:t>
            </w:r>
            <w:r w:rsidRPr="00823201">
              <w:rPr>
                <w:rFonts w:asciiTheme="minorHAnsi" w:hAnsiTheme="minorHAnsi"/>
                <w:b/>
                <w:sz w:val="20"/>
                <w:szCs w:val="20"/>
              </w:rPr>
              <w:t>all significant activities</w:t>
            </w:r>
            <w:r w:rsidRPr="00823201">
              <w:rPr>
                <w:rFonts w:asciiTheme="minorHAnsi" w:hAnsiTheme="minorHAnsi"/>
                <w:sz w:val="20"/>
                <w:szCs w:val="20"/>
              </w:rPr>
              <w:t xml:space="preserve"> concerning the manufacture and </w:t>
            </w:r>
            <w:r w:rsidRPr="00823201">
              <w:rPr>
                <w:rFonts w:asciiTheme="minorHAnsi" w:hAnsiTheme="minorHAnsi"/>
                <w:sz w:val="20"/>
                <w:szCs w:val="20"/>
              </w:rPr>
              <w:lastRenderedPageBreak/>
              <w:t>disposition of products are traceable.</w:t>
            </w:r>
          </w:p>
          <w:p w:rsidR="00110E79" w:rsidRPr="00823201" w:rsidRDefault="00110E79" w:rsidP="00AB181F">
            <w:pPr>
              <w:autoSpaceDE w:val="0"/>
              <w:autoSpaceDN w:val="0"/>
              <w:spacing w:after="0" w:line="240" w:lineRule="auto"/>
              <w:jc w:val="both"/>
              <w:rPr>
                <w:rFonts w:asciiTheme="minorHAnsi" w:hAnsiTheme="minorHAnsi"/>
                <w:sz w:val="20"/>
                <w:szCs w:val="20"/>
              </w:rPr>
            </w:pPr>
          </w:p>
        </w:tc>
        <w:tc>
          <w:tcPr>
            <w:tcW w:w="2443" w:type="pct"/>
          </w:tcPr>
          <w:p w:rsidR="00110E79" w:rsidRPr="00823201" w:rsidRDefault="00110E79" w:rsidP="00110E79">
            <w:pPr>
              <w:pStyle w:val="ListBullet"/>
              <w:numPr>
                <w:ilvl w:val="0"/>
                <w:numId w:val="37"/>
              </w:numPr>
              <w:adjustRightInd w:val="0"/>
              <w:snapToGrid w:val="0"/>
              <w:spacing w:before="0" w:after="200" w:line="276" w:lineRule="auto"/>
              <w:rPr>
                <w:rFonts w:asciiTheme="minorHAnsi" w:hAnsiTheme="minorHAnsi"/>
                <w:sz w:val="20"/>
                <w:szCs w:val="20"/>
              </w:rPr>
            </w:pPr>
            <w:r w:rsidRPr="00823201">
              <w:rPr>
                <w:rFonts w:asciiTheme="minorHAnsi" w:hAnsiTheme="minorHAnsi"/>
                <w:sz w:val="20"/>
                <w:szCs w:val="20"/>
              </w:rPr>
              <w:lastRenderedPageBreak/>
              <w:t>Less Prescriptive requirement, provides more flexibility to the manufacturer to incorporate emerging technologies and establish updated monitoring systems</w:t>
            </w:r>
          </w:p>
          <w:p w:rsidR="00110E79" w:rsidRPr="00823201" w:rsidRDefault="00110E79" w:rsidP="00110E79">
            <w:pPr>
              <w:pStyle w:val="ListBullet"/>
              <w:numPr>
                <w:ilvl w:val="0"/>
                <w:numId w:val="37"/>
              </w:numPr>
              <w:adjustRightInd w:val="0"/>
              <w:snapToGrid w:val="0"/>
              <w:spacing w:before="0" w:after="200" w:line="276" w:lineRule="auto"/>
              <w:rPr>
                <w:rFonts w:asciiTheme="minorHAnsi" w:hAnsiTheme="minorHAnsi"/>
                <w:sz w:val="20"/>
                <w:szCs w:val="20"/>
              </w:rPr>
            </w:pPr>
            <w:r w:rsidRPr="00823201">
              <w:rPr>
                <w:rFonts w:asciiTheme="minorHAnsi" w:hAnsiTheme="minorHAnsi"/>
                <w:sz w:val="20"/>
                <w:szCs w:val="20"/>
              </w:rPr>
              <w:t>No extra cost to the manufacturers</w:t>
            </w:r>
          </w:p>
        </w:tc>
      </w:tr>
      <w:tr w:rsidR="00110E79" w:rsidRPr="00823201" w:rsidTr="00823201">
        <w:tc>
          <w:tcPr>
            <w:tcW w:w="1236" w:type="pct"/>
          </w:tcPr>
          <w:p w:rsidR="00110E79" w:rsidRPr="00823201" w:rsidRDefault="00110E79" w:rsidP="00110E79">
            <w:pPr>
              <w:jc w:val="both"/>
              <w:rPr>
                <w:rFonts w:asciiTheme="minorHAnsi" w:hAnsiTheme="minorHAnsi"/>
                <w:sz w:val="20"/>
                <w:szCs w:val="20"/>
              </w:rPr>
            </w:pPr>
            <w:r w:rsidRPr="00823201">
              <w:rPr>
                <w:rFonts w:asciiTheme="minorHAnsi" w:hAnsiTheme="minorHAnsi"/>
                <w:sz w:val="20"/>
                <w:szCs w:val="20"/>
              </w:rPr>
              <w:lastRenderedPageBreak/>
              <w:t>None</w:t>
            </w:r>
          </w:p>
        </w:tc>
        <w:tc>
          <w:tcPr>
            <w:tcW w:w="1321" w:type="pct"/>
          </w:tcPr>
          <w:p w:rsidR="00110E79" w:rsidRPr="00823201" w:rsidRDefault="00110E79" w:rsidP="00110E79">
            <w:pPr>
              <w:pStyle w:val="ListBullet"/>
              <w:numPr>
                <w:ilvl w:val="0"/>
                <w:numId w:val="0"/>
              </w:numPr>
              <w:rPr>
                <w:rFonts w:asciiTheme="minorHAnsi" w:hAnsiTheme="minorHAnsi"/>
                <w:sz w:val="20"/>
                <w:szCs w:val="20"/>
              </w:rPr>
            </w:pPr>
            <w:r w:rsidRPr="00823201">
              <w:rPr>
                <w:rFonts w:asciiTheme="minorHAnsi" w:hAnsiTheme="minorHAnsi"/>
                <w:sz w:val="20"/>
                <w:szCs w:val="20"/>
              </w:rPr>
              <w:t>Clause 327:</w:t>
            </w:r>
          </w:p>
          <w:p w:rsidR="00110E79" w:rsidRPr="00823201" w:rsidRDefault="00110E79" w:rsidP="00110E79">
            <w:pPr>
              <w:jc w:val="both"/>
              <w:rPr>
                <w:rFonts w:asciiTheme="minorHAnsi" w:hAnsiTheme="minorHAnsi"/>
                <w:sz w:val="20"/>
                <w:szCs w:val="20"/>
              </w:rPr>
            </w:pPr>
            <w:r w:rsidRPr="00823201">
              <w:rPr>
                <w:rFonts w:asciiTheme="minorHAnsi" w:hAnsiTheme="minorHAnsi"/>
                <w:sz w:val="20"/>
                <w:szCs w:val="20"/>
              </w:rPr>
              <w:t>A specific requirement for labelling fixed pipe work for gases and liquids and water systems used in manufacturing.</w:t>
            </w:r>
          </w:p>
        </w:tc>
        <w:tc>
          <w:tcPr>
            <w:tcW w:w="2443" w:type="pct"/>
          </w:tcPr>
          <w:p w:rsidR="00110E79" w:rsidRPr="00823201" w:rsidRDefault="00110E79" w:rsidP="00110E79">
            <w:pPr>
              <w:pStyle w:val="ListBullet"/>
              <w:numPr>
                <w:ilvl w:val="0"/>
                <w:numId w:val="38"/>
              </w:numPr>
              <w:adjustRightInd w:val="0"/>
              <w:snapToGrid w:val="0"/>
              <w:spacing w:before="0" w:after="200" w:line="276" w:lineRule="auto"/>
              <w:rPr>
                <w:rFonts w:asciiTheme="minorHAnsi" w:hAnsiTheme="minorHAnsi"/>
                <w:sz w:val="20"/>
                <w:szCs w:val="20"/>
              </w:rPr>
            </w:pPr>
            <w:r w:rsidRPr="00823201">
              <w:rPr>
                <w:rFonts w:asciiTheme="minorHAnsi" w:hAnsiTheme="minorHAnsi"/>
                <w:sz w:val="20"/>
                <w:szCs w:val="20"/>
              </w:rPr>
              <w:t xml:space="preserve">Quality and safety improvement </w:t>
            </w:r>
          </w:p>
          <w:p w:rsidR="00110E79" w:rsidRPr="00823201" w:rsidRDefault="00110E79" w:rsidP="00110E79">
            <w:pPr>
              <w:pStyle w:val="ListBullet"/>
              <w:numPr>
                <w:ilvl w:val="0"/>
                <w:numId w:val="38"/>
              </w:numPr>
              <w:adjustRightInd w:val="0"/>
              <w:snapToGrid w:val="0"/>
              <w:spacing w:before="0" w:after="200" w:line="276" w:lineRule="auto"/>
              <w:rPr>
                <w:rFonts w:asciiTheme="minorHAnsi" w:hAnsiTheme="minorHAnsi"/>
                <w:sz w:val="20"/>
                <w:szCs w:val="20"/>
              </w:rPr>
            </w:pPr>
            <w:r w:rsidRPr="00823201">
              <w:rPr>
                <w:rFonts w:asciiTheme="minorHAnsi" w:hAnsiTheme="minorHAnsi"/>
                <w:sz w:val="20"/>
                <w:szCs w:val="20"/>
              </w:rPr>
              <w:t xml:space="preserve">Brings the Code on par with current practice. Manufacturers are already labelling the fixed pipe work for gases and liquids </w:t>
            </w:r>
          </w:p>
          <w:p w:rsidR="00110E79" w:rsidRPr="00823201" w:rsidRDefault="00110E79" w:rsidP="00110E79">
            <w:pPr>
              <w:pStyle w:val="ListBullet"/>
              <w:numPr>
                <w:ilvl w:val="0"/>
                <w:numId w:val="38"/>
              </w:numPr>
              <w:adjustRightInd w:val="0"/>
              <w:snapToGrid w:val="0"/>
              <w:spacing w:before="0" w:after="200" w:line="276" w:lineRule="auto"/>
              <w:rPr>
                <w:rFonts w:asciiTheme="minorHAnsi" w:hAnsiTheme="minorHAnsi"/>
                <w:sz w:val="20"/>
                <w:szCs w:val="20"/>
              </w:rPr>
            </w:pPr>
            <w:r w:rsidRPr="00823201">
              <w:rPr>
                <w:rFonts w:asciiTheme="minorHAnsi" w:hAnsiTheme="minorHAnsi"/>
                <w:sz w:val="20"/>
                <w:szCs w:val="20"/>
              </w:rPr>
              <w:t>There will be no cost or operational impacts on manufacturers arising from the change</w:t>
            </w:r>
          </w:p>
        </w:tc>
      </w:tr>
      <w:tr w:rsidR="00110E79" w:rsidRPr="00823201" w:rsidTr="00823201">
        <w:tc>
          <w:tcPr>
            <w:tcW w:w="1236" w:type="pct"/>
          </w:tcPr>
          <w:p w:rsidR="00110E79" w:rsidRPr="00823201" w:rsidRDefault="00110E79" w:rsidP="00110E79">
            <w:pPr>
              <w:jc w:val="both"/>
              <w:rPr>
                <w:rFonts w:asciiTheme="minorHAnsi" w:hAnsiTheme="minorHAnsi"/>
                <w:sz w:val="20"/>
                <w:szCs w:val="20"/>
              </w:rPr>
            </w:pPr>
            <w:r w:rsidRPr="00823201">
              <w:rPr>
                <w:rFonts w:asciiTheme="minorHAnsi" w:hAnsiTheme="minorHAnsi"/>
                <w:sz w:val="20"/>
                <w:szCs w:val="20"/>
              </w:rPr>
              <w:t>None</w:t>
            </w:r>
          </w:p>
        </w:tc>
        <w:tc>
          <w:tcPr>
            <w:tcW w:w="1321" w:type="pct"/>
          </w:tcPr>
          <w:p w:rsidR="00110E79" w:rsidRPr="00823201" w:rsidRDefault="00110E79" w:rsidP="00110E79">
            <w:pPr>
              <w:pStyle w:val="ListBullet"/>
              <w:numPr>
                <w:ilvl w:val="0"/>
                <w:numId w:val="0"/>
              </w:numPr>
              <w:rPr>
                <w:rFonts w:asciiTheme="minorHAnsi" w:hAnsiTheme="minorHAnsi"/>
                <w:sz w:val="20"/>
                <w:szCs w:val="20"/>
              </w:rPr>
            </w:pPr>
            <w:r w:rsidRPr="00823201">
              <w:rPr>
                <w:rFonts w:asciiTheme="minorHAnsi" w:hAnsiTheme="minorHAnsi"/>
                <w:sz w:val="20"/>
                <w:szCs w:val="20"/>
              </w:rPr>
              <w:t>Clause 512:</w:t>
            </w:r>
          </w:p>
          <w:p w:rsidR="00110E79" w:rsidRPr="00823201" w:rsidRDefault="00110E79" w:rsidP="00110E79">
            <w:pPr>
              <w:pStyle w:val="ListBullet"/>
              <w:numPr>
                <w:ilvl w:val="0"/>
                <w:numId w:val="0"/>
              </w:numPr>
              <w:rPr>
                <w:rFonts w:asciiTheme="minorHAnsi" w:hAnsiTheme="minorHAnsi"/>
                <w:sz w:val="20"/>
                <w:szCs w:val="20"/>
              </w:rPr>
            </w:pPr>
            <w:r w:rsidRPr="00823201">
              <w:rPr>
                <w:rFonts w:asciiTheme="minorHAnsi" w:hAnsiTheme="minorHAnsi"/>
                <w:sz w:val="20"/>
                <w:szCs w:val="20"/>
              </w:rPr>
              <w:t>A specific requirement for handling of product returned from the customer.</w:t>
            </w:r>
          </w:p>
        </w:tc>
        <w:tc>
          <w:tcPr>
            <w:tcW w:w="2443" w:type="pct"/>
          </w:tcPr>
          <w:p w:rsidR="00110E79" w:rsidRPr="00823201" w:rsidRDefault="00110E79" w:rsidP="00110E79">
            <w:pPr>
              <w:pStyle w:val="ListBullet"/>
              <w:numPr>
                <w:ilvl w:val="0"/>
                <w:numId w:val="39"/>
              </w:numPr>
              <w:adjustRightInd w:val="0"/>
              <w:snapToGrid w:val="0"/>
              <w:spacing w:before="0" w:after="200" w:line="276" w:lineRule="auto"/>
              <w:rPr>
                <w:rFonts w:asciiTheme="minorHAnsi" w:hAnsiTheme="minorHAnsi"/>
                <w:sz w:val="20"/>
                <w:szCs w:val="20"/>
              </w:rPr>
            </w:pPr>
            <w:r w:rsidRPr="00823201">
              <w:rPr>
                <w:rFonts w:asciiTheme="minorHAnsi" w:hAnsiTheme="minorHAnsi"/>
                <w:sz w:val="20"/>
                <w:szCs w:val="20"/>
              </w:rPr>
              <w:t>Brings the Code on par with current practice. Manufacturers are already handling product returns.</w:t>
            </w:r>
          </w:p>
          <w:p w:rsidR="00110E79" w:rsidRPr="00823201" w:rsidRDefault="00110E79" w:rsidP="00110E79">
            <w:pPr>
              <w:pStyle w:val="ListBullet"/>
              <w:numPr>
                <w:ilvl w:val="0"/>
                <w:numId w:val="39"/>
              </w:numPr>
              <w:adjustRightInd w:val="0"/>
              <w:snapToGrid w:val="0"/>
              <w:spacing w:before="0" w:after="200" w:line="276" w:lineRule="auto"/>
              <w:rPr>
                <w:rFonts w:asciiTheme="minorHAnsi" w:hAnsiTheme="minorHAnsi"/>
                <w:sz w:val="20"/>
                <w:szCs w:val="20"/>
              </w:rPr>
            </w:pPr>
            <w:r w:rsidRPr="00823201">
              <w:rPr>
                <w:rFonts w:asciiTheme="minorHAnsi" w:hAnsiTheme="minorHAnsi"/>
                <w:sz w:val="20"/>
                <w:szCs w:val="20"/>
              </w:rPr>
              <w:t>There will be no cost or operational impacts on manufacturers arising from the change</w:t>
            </w:r>
          </w:p>
        </w:tc>
      </w:tr>
      <w:tr w:rsidR="00110E79" w:rsidRPr="00823201" w:rsidTr="00823201">
        <w:tc>
          <w:tcPr>
            <w:tcW w:w="1236" w:type="pct"/>
          </w:tcPr>
          <w:p w:rsidR="00110E79" w:rsidRPr="00823201" w:rsidRDefault="00110E79" w:rsidP="00110E79">
            <w:pPr>
              <w:jc w:val="both"/>
              <w:rPr>
                <w:rFonts w:asciiTheme="minorHAnsi" w:hAnsiTheme="minorHAnsi"/>
                <w:sz w:val="20"/>
                <w:szCs w:val="20"/>
              </w:rPr>
            </w:pPr>
            <w:r w:rsidRPr="00823201">
              <w:rPr>
                <w:rFonts w:asciiTheme="minorHAnsi" w:hAnsiTheme="minorHAnsi"/>
                <w:sz w:val="20"/>
                <w:szCs w:val="20"/>
              </w:rPr>
              <w:t>None</w:t>
            </w:r>
          </w:p>
        </w:tc>
        <w:tc>
          <w:tcPr>
            <w:tcW w:w="1321" w:type="pct"/>
          </w:tcPr>
          <w:p w:rsidR="00110E79" w:rsidRPr="00823201" w:rsidRDefault="00110E79" w:rsidP="00110E79">
            <w:pPr>
              <w:pStyle w:val="ListBullet"/>
              <w:numPr>
                <w:ilvl w:val="0"/>
                <w:numId w:val="0"/>
              </w:numPr>
              <w:rPr>
                <w:rFonts w:asciiTheme="minorHAnsi" w:hAnsiTheme="minorHAnsi"/>
                <w:sz w:val="20"/>
                <w:szCs w:val="20"/>
              </w:rPr>
            </w:pPr>
            <w:r w:rsidRPr="00823201">
              <w:rPr>
                <w:rFonts w:asciiTheme="minorHAnsi" w:hAnsiTheme="minorHAnsi"/>
                <w:sz w:val="20"/>
                <w:szCs w:val="20"/>
              </w:rPr>
              <w:t>Clauses 831 and 832:</w:t>
            </w:r>
          </w:p>
          <w:p w:rsidR="00110E79" w:rsidRPr="00823201" w:rsidRDefault="00110E79" w:rsidP="007A7F1B">
            <w:pPr>
              <w:pStyle w:val="ListBullet"/>
              <w:numPr>
                <w:ilvl w:val="0"/>
                <w:numId w:val="0"/>
              </w:numPr>
              <w:rPr>
                <w:rFonts w:asciiTheme="minorHAnsi" w:hAnsiTheme="minorHAnsi"/>
                <w:sz w:val="20"/>
                <w:szCs w:val="20"/>
              </w:rPr>
            </w:pPr>
            <w:r w:rsidRPr="00823201">
              <w:rPr>
                <w:rFonts w:asciiTheme="minorHAnsi" w:hAnsiTheme="minorHAnsi"/>
                <w:sz w:val="20"/>
                <w:szCs w:val="20"/>
              </w:rPr>
              <w:t xml:space="preserve">A specific requirement for </w:t>
            </w:r>
            <w:r w:rsidR="007A7F1B">
              <w:rPr>
                <w:rFonts w:asciiTheme="minorHAnsi" w:hAnsiTheme="minorHAnsi"/>
                <w:sz w:val="20"/>
                <w:szCs w:val="20"/>
              </w:rPr>
              <w:t xml:space="preserve">records to be maintained for </w:t>
            </w:r>
            <w:r w:rsidRPr="00823201">
              <w:rPr>
                <w:rFonts w:asciiTheme="minorHAnsi" w:hAnsiTheme="minorHAnsi"/>
                <w:sz w:val="20"/>
                <w:szCs w:val="20"/>
              </w:rPr>
              <w:t>freeze drying and cryopreservation of product.</w:t>
            </w:r>
          </w:p>
        </w:tc>
        <w:tc>
          <w:tcPr>
            <w:tcW w:w="2443" w:type="pct"/>
          </w:tcPr>
          <w:p w:rsidR="007A7F1B" w:rsidRDefault="00110E79" w:rsidP="00110E79">
            <w:pPr>
              <w:pStyle w:val="ListBullet"/>
              <w:numPr>
                <w:ilvl w:val="0"/>
                <w:numId w:val="40"/>
              </w:numPr>
              <w:adjustRightInd w:val="0"/>
              <w:snapToGrid w:val="0"/>
              <w:spacing w:before="0" w:after="200" w:line="276" w:lineRule="auto"/>
              <w:rPr>
                <w:rFonts w:asciiTheme="minorHAnsi" w:hAnsiTheme="minorHAnsi"/>
                <w:sz w:val="20"/>
                <w:szCs w:val="20"/>
              </w:rPr>
            </w:pPr>
            <w:r w:rsidRPr="00823201">
              <w:rPr>
                <w:rFonts w:asciiTheme="minorHAnsi" w:hAnsiTheme="minorHAnsi"/>
                <w:sz w:val="20"/>
                <w:szCs w:val="20"/>
              </w:rPr>
              <w:t>Brings the Code on par with current practice</w:t>
            </w:r>
          </w:p>
          <w:p w:rsidR="00110E79" w:rsidRPr="00823201" w:rsidRDefault="007A7F1B" w:rsidP="00110E79">
            <w:pPr>
              <w:pStyle w:val="ListBullet"/>
              <w:numPr>
                <w:ilvl w:val="0"/>
                <w:numId w:val="40"/>
              </w:numPr>
              <w:adjustRightInd w:val="0"/>
              <w:snapToGrid w:val="0"/>
              <w:spacing w:before="0" w:after="200" w:line="276" w:lineRule="auto"/>
              <w:rPr>
                <w:rFonts w:asciiTheme="minorHAnsi" w:hAnsiTheme="minorHAnsi"/>
                <w:sz w:val="20"/>
                <w:szCs w:val="20"/>
              </w:rPr>
            </w:pPr>
            <w:r>
              <w:rPr>
                <w:rFonts w:asciiTheme="minorHAnsi" w:hAnsiTheme="minorHAnsi"/>
                <w:sz w:val="20"/>
                <w:szCs w:val="20"/>
              </w:rPr>
              <w:t>Clarifies requirements for record keeping of procedures</w:t>
            </w:r>
          </w:p>
          <w:p w:rsidR="00110E79" w:rsidRPr="00823201" w:rsidRDefault="00110E79" w:rsidP="007A7F1B">
            <w:pPr>
              <w:pStyle w:val="ListBullet"/>
              <w:numPr>
                <w:ilvl w:val="0"/>
                <w:numId w:val="40"/>
              </w:numPr>
              <w:adjustRightInd w:val="0"/>
              <w:snapToGrid w:val="0"/>
              <w:spacing w:before="0" w:after="200" w:line="276" w:lineRule="auto"/>
              <w:rPr>
                <w:rFonts w:asciiTheme="minorHAnsi" w:hAnsiTheme="minorHAnsi"/>
                <w:sz w:val="20"/>
                <w:szCs w:val="20"/>
              </w:rPr>
            </w:pPr>
            <w:r w:rsidRPr="00823201">
              <w:rPr>
                <w:rFonts w:asciiTheme="minorHAnsi" w:hAnsiTheme="minorHAnsi"/>
                <w:sz w:val="20"/>
                <w:szCs w:val="20"/>
              </w:rPr>
              <w:t>There will be no cost or operational impacts on manufacturers arising from the change</w:t>
            </w:r>
            <w:r w:rsidR="007A7F1B">
              <w:rPr>
                <w:rFonts w:asciiTheme="minorHAnsi" w:hAnsiTheme="minorHAnsi"/>
                <w:sz w:val="20"/>
                <w:szCs w:val="20"/>
              </w:rPr>
              <w:t xml:space="preserve">. </w:t>
            </w:r>
          </w:p>
        </w:tc>
      </w:tr>
    </w:tbl>
    <w:p w:rsidR="00823201" w:rsidRDefault="00823201" w:rsidP="00823201">
      <w:pPr>
        <w:sectPr w:rsidR="00823201" w:rsidSect="00823201">
          <w:footerReference w:type="default" r:id="rId21"/>
          <w:pgSz w:w="16838" w:h="11906" w:orient="landscape" w:code="9"/>
          <w:pgMar w:top="1701" w:right="1701" w:bottom="1701" w:left="2211" w:header="907" w:footer="142" w:gutter="0"/>
          <w:cols w:space="708"/>
          <w:docGrid w:linePitch="360"/>
        </w:sectPr>
      </w:pPr>
    </w:p>
    <w:p w:rsidR="00823201" w:rsidRDefault="00823201" w:rsidP="00823201">
      <w:pPr>
        <w:pStyle w:val="Heading3"/>
      </w:pPr>
      <w:bookmarkStart w:id="68" w:name="_Toc341452859"/>
      <w:bookmarkStart w:id="69" w:name="_Toc305105041"/>
      <w:r>
        <w:lastRenderedPageBreak/>
        <w:t xml:space="preserve">Appendix </w:t>
      </w:r>
      <w:r w:rsidR="009F04DC">
        <w:t>B</w:t>
      </w:r>
      <w:r>
        <w:t xml:space="preserve">: Comparison of requirements between the new ID </w:t>
      </w:r>
      <w:r w:rsidR="004F0EB2">
        <w:t xml:space="preserve">TGO </w:t>
      </w:r>
      <w:r>
        <w:t xml:space="preserve">and the </w:t>
      </w:r>
      <w:r w:rsidR="003157A9">
        <w:t xml:space="preserve">existing </w:t>
      </w:r>
      <w:r>
        <w:t>Code</w:t>
      </w:r>
      <w:r w:rsidR="003157A9">
        <w:t xml:space="preserve"> of GMP 2000</w:t>
      </w:r>
      <w:bookmarkEnd w:id="68"/>
    </w:p>
    <w:tbl>
      <w:tblPr>
        <w:tblW w:w="0" w:type="auto"/>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Look w:val="04A0"/>
      </w:tblPr>
      <w:tblGrid>
        <w:gridCol w:w="2690"/>
        <w:gridCol w:w="2217"/>
        <w:gridCol w:w="1466"/>
        <w:gridCol w:w="2347"/>
      </w:tblGrid>
      <w:tr w:rsidR="00823201" w:rsidRPr="00FF1CE4" w:rsidTr="00823201">
        <w:trPr>
          <w:cantSplit/>
          <w:tblHeader/>
        </w:trPr>
        <w:tc>
          <w:tcPr>
            <w:tcW w:w="2690" w:type="dxa"/>
            <w:shd w:val="clear" w:color="auto" w:fill="75CFFF" w:themeFill="background2" w:themeFillTint="66"/>
          </w:tcPr>
          <w:bookmarkEnd w:id="69"/>
          <w:p w:rsidR="00823201" w:rsidRPr="00A54C9D" w:rsidRDefault="00823201" w:rsidP="00823201">
            <w:pPr>
              <w:rPr>
                <w:b/>
              </w:rPr>
            </w:pPr>
            <w:r w:rsidRPr="00A54C9D">
              <w:rPr>
                <w:b/>
              </w:rPr>
              <w:t>Requirements</w:t>
            </w:r>
          </w:p>
        </w:tc>
        <w:tc>
          <w:tcPr>
            <w:tcW w:w="2217" w:type="dxa"/>
            <w:shd w:val="clear" w:color="auto" w:fill="75CFFF" w:themeFill="background2" w:themeFillTint="66"/>
          </w:tcPr>
          <w:p w:rsidR="00823201" w:rsidRPr="00A54C9D" w:rsidRDefault="00823201" w:rsidP="00823201">
            <w:pPr>
              <w:rPr>
                <w:b/>
              </w:rPr>
            </w:pPr>
            <w:r w:rsidRPr="00A54C9D">
              <w:rPr>
                <w:b/>
              </w:rPr>
              <w:t>Principle</w:t>
            </w:r>
          </w:p>
        </w:tc>
        <w:tc>
          <w:tcPr>
            <w:tcW w:w="1466" w:type="dxa"/>
            <w:shd w:val="clear" w:color="auto" w:fill="75CFFF" w:themeFill="background2" w:themeFillTint="66"/>
          </w:tcPr>
          <w:p w:rsidR="00823201" w:rsidRPr="00A54C9D" w:rsidRDefault="00823201" w:rsidP="004F0EB2">
            <w:pPr>
              <w:rPr>
                <w:b/>
              </w:rPr>
            </w:pPr>
            <w:r>
              <w:rPr>
                <w:b/>
              </w:rPr>
              <w:t xml:space="preserve">ID </w:t>
            </w:r>
            <w:r w:rsidR="004F0EB2">
              <w:rPr>
                <w:b/>
              </w:rPr>
              <w:t>TGO</w:t>
            </w:r>
          </w:p>
        </w:tc>
        <w:tc>
          <w:tcPr>
            <w:tcW w:w="2347" w:type="dxa"/>
            <w:shd w:val="clear" w:color="auto" w:fill="75CFFF" w:themeFill="background2" w:themeFillTint="66"/>
          </w:tcPr>
          <w:p w:rsidR="00823201" w:rsidRPr="00A54C9D" w:rsidRDefault="00823201" w:rsidP="00823201">
            <w:pPr>
              <w:rPr>
                <w:b/>
              </w:rPr>
            </w:pPr>
            <w:r>
              <w:rPr>
                <w:b/>
              </w:rPr>
              <w:t>Existing Code (2000)</w:t>
            </w:r>
          </w:p>
        </w:tc>
      </w:tr>
      <w:tr w:rsidR="00823201" w:rsidTr="00823201">
        <w:trPr>
          <w:cantSplit/>
          <w:trHeight w:val="472"/>
        </w:trPr>
        <w:tc>
          <w:tcPr>
            <w:tcW w:w="2690" w:type="dxa"/>
            <w:vMerge w:val="restart"/>
            <w:vAlign w:val="center"/>
          </w:tcPr>
          <w:p w:rsidR="00823201" w:rsidRPr="008961D6" w:rsidRDefault="00823201" w:rsidP="00823201">
            <w:r w:rsidRPr="00FF1CE4">
              <w:t>General requirements</w:t>
            </w:r>
          </w:p>
          <w:p w:rsidR="00823201" w:rsidRPr="00FF1CE4" w:rsidRDefault="00823201" w:rsidP="00823201"/>
        </w:tc>
        <w:tc>
          <w:tcPr>
            <w:tcW w:w="2217" w:type="dxa"/>
            <w:tcBorders>
              <w:bottom w:val="single" w:sz="4" w:space="0" w:color="auto"/>
            </w:tcBorders>
          </w:tcPr>
          <w:p w:rsidR="00823201" w:rsidRPr="008961D6" w:rsidRDefault="00823201" w:rsidP="00823201">
            <w:r>
              <w:t>Risk management</w:t>
            </w:r>
          </w:p>
        </w:tc>
        <w:tc>
          <w:tcPr>
            <w:tcW w:w="1466" w:type="dxa"/>
            <w:tcBorders>
              <w:bottom w:val="single" w:sz="4" w:space="0" w:color="auto"/>
            </w:tcBorders>
          </w:tcPr>
          <w:p w:rsidR="00823201" w:rsidRPr="008961D6" w:rsidRDefault="00823201" w:rsidP="00823201">
            <w:r>
              <w:t>8(1)(a)</w:t>
            </w:r>
          </w:p>
        </w:tc>
        <w:tc>
          <w:tcPr>
            <w:tcW w:w="2347" w:type="dxa"/>
            <w:tcBorders>
              <w:bottom w:val="single" w:sz="4" w:space="0" w:color="auto"/>
            </w:tcBorders>
          </w:tcPr>
          <w:p w:rsidR="00823201" w:rsidRPr="008961D6" w:rsidRDefault="00823201" w:rsidP="00823201">
            <w:r>
              <w:t xml:space="preserve"> 800</w:t>
            </w:r>
          </w:p>
        </w:tc>
      </w:tr>
      <w:tr w:rsidR="00823201" w:rsidTr="00823201">
        <w:trPr>
          <w:cantSplit/>
          <w:trHeight w:val="264"/>
        </w:trPr>
        <w:tc>
          <w:tcPr>
            <w:tcW w:w="2690" w:type="dxa"/>
            <w:vMerge/>
            <w:vAlign w:val="center"/>
          </w:tcPr>
          <w:p w:rsidR="00823201" w:rsidRDefault="00823201" w:rsidP="00823201"/>
        </w:tc>
        <w:tc>
          <w:tcPr>
            <w:tcW w:w="2217" w:type="dxa"/>
            <w:tcBorders>
              <w:top w:val="single" w:sz="4" w:space="0" w:color="auto"/>
              <w:bottom w:val="single" w:sz="4" w:space="0" w:color="auto"/>
            </w:tcBorders>
          </w:tcPr>
          <w:p w:rsidR="00823201" w:rsidRPr="008961D6" w:rsidRDefault="00823201" w:rsidP="00823201">
            <w:r>
              <w:t>Donor management</w:t>
            </w:r>
          </w:p>
        </w:tc>
        <w:tc>
          <w:tcPr>
            <w:tcW w:w="1466" w:type="dxa"/>
            <w:tcBorders>
              <w:top w:val="single" w:sz="4" w:space="0" w:color="auto"/>
              <w:bottom w:val="single" w:sz="4" w:space="0" w:color="auto"/>
            </w:tcBorders>
          </w:tcPr>
          <w:p w:rsidR="00823201" w:rsidRPr="008961D6" w:rsidRDefault="00823201" w:rsidP="00823201">
            <w:r>
              <w:t>8(1)(b)</w:t>
            </w:r>
          </w:p>
        </w:tc>
        <w:tc>
          <w:tcPr>
            <w:tcW w:w="2347" w:type="dxa"/>
            <w:tcBorders>
              <w:top w:val="single" w:sz="4" w:space="0" w:color="auto"/>
              <w:bottom w:val="single" w:sz="4" w:space="0" w:color="auto"/>
            </w:tcBorders>
          </w:tcPr>
          <w:p w:rsidR="00823201" w:rsidRPr="008961D6" w:rsidRDefault="00823201" w:rsidP="00823201">
            <w:r>
              <w:t>805 – 807, 815</w:t>
            </w:r>
          </w:p>
        </w:tc>
      </w:tr>
      <w:tr w:rsidR="00823201" w:rsidTr="00823201">
        <w:trPr>
          <w:cantSplit/>
          <w:trHeight w:val="445"/>
        </w:trPr>
        <w:tc>
          <w:tcPr>
            <w:tcW w:w="2690" w:type="dxa"/>
            <w:vMerge/>
            <w:vAlign w:val="center"/>
          </w:tcPr>
          <w:p w:rsidR="00823201" w:rsidRDefault="00823201" w:rsidP="00823201"/>
        </w:tc>
        <w:tc>
          <w:tcPr>
            <w:tcW w:w="2217" w:type="dxa"/>
            <w:tcBorders>
              <w:top w:val="single" w:sz="4" w:space="0" w:color="auto"/>
            </w:tcBorders>
          </w:tcPr>
          <w:p w:rsidR="00823201" w:rsidRPr="008961D6" w:rsidRDefault="00823201" w:rsidP="00823201">
            <w:r>
              <w:t>Acceptance and release criteria</w:t>
            </w:r>
          </w:p>
        </w:tc>
        <w:tc>
          <w:tcPr>
            <w:tcW w:w="1466" w:type="dxa"/>
            <w:tcBorders>
              <w:top w:val="single" w:sz="4" w:space="0" w:color="auto"/>
            </w:tcBorders>
          </w:tcPr>
          <w:p w:rsidR="00823201" w:rsidRPr="008961D6" w:rsidRDefault="00823201" w:rsidP="00823201">
            <w:r>
              <w:t>8(1)(c)</w:t>
            </w:r>
          </w:p>
        </w:tc>
        <w:tc>
          <w:tcPr>
            <w:tcW w:w="2347" w:type="dxa"/>
            <w:tcBorders>
              <w:top w:val="single" w:sz="4" w:space="0" w:color="auto"/>
            </w:tcBorders>
          </w:tcPr>
          <w:p w:rsidR="00823201" w:rsidRPr="008961D6" w:rsidRDefault="00823201" w:rsidP="00823201">
            <w:r>
              <w:t>713, 614</w:t>
            </w:r>
          </w:p>
        </w:tc>
      </w:tr>
      <w:tr w:rsidR="00823201" w:rsidTr="00823201">
        <w:trPr>
          <w:cantSplit/>
          <w:trHeight w:val="564"/>
        </w:trPr>
        <w:tc>
          <w:tcPr>
            <w:tcW w:w="2690" w:type="dxa"/>
            <w:vMerge w:val="restart"/>
            <w:vAlign w:val="center"/>
          </w:tcPr>
          <w:p w:rsidR="00823201" w:rsidRPr="008961D6" w:rsidRDefault="00823201" w:rsidP="00823201">
            <w:r w:rsidRPr="00FF1CE4">
              <w:t xml:space="preserve">Requirements in relation to the </w:t>
            </w:r>
            <w:r w:rsidRPr="008961D6">
              <w:t>medical and social history of prospective donors</w:t>
            </w:r>
          </w:p>
        </w:tc>
        <w:tc>
          <w:tcPr>
            <w:tcW w:w="2217" w:type="dxa"/>
            <w:tcBorders>
              <w:bottom w:val="single" w:sz="4" w:space="0" w:color="auto"/>
            </w:tcBorders>
          </w:tcPr>
          <w:p w:rsidR="00823201" w:rsidRPr="008961D6" w:rsidRDefault="00823201" w:rsidP="00823201">
            <w:r>
              <w:t>Interview requirements</w:t>
            </w:r>
          </w:p>
        </w:tc>
        <w:tc>
          <w:tcPr>
            <w:tcW w:w="1466" w:type="dxa"/>
            <w:tcBorders>
              <w:bottom w:val="single" w:sz="4" w:space="0" w:color="auto"/>
            </w:tcBorders>
          </w:tcPr>
          <w:p w:rsidR="00823201" w:rsidRPr="008961D6" w:rsidRDefault="00823201" w:rsidP="00823201">
            <w:r>
              <w:t>9(1) – (2)</w:t>
            </w:r>
          </w:p>
        </w:tc>
        <w:tc>
          <w:tcPr>
            <w:tcW w:w="2347" w:type="dxa"/>
            <w:tcBorders>
              <w:bottom w:val="single" w:sz="4" w:space="0" w:color="auto"/>
            </w:tcBorders>
          </w:tcPr>
          <w:p w:rsidR="00823201" w:rsidRPr="008961D6" w:rsidRDefault="00823201" w:rsidP="00823201">
            <w:r>
              <w:t>608, 801 – 804,  812 – 813, 818, 821 – 824, 825-826</w:t>
            </w:r>
          </w:p>
        </w:tc>
      </w:tr>
      <w:tr w:rsidR="00823201" w:rsidTr="00823201">
        <w:trPr>
          <w:cantSplit/>
          <w:trHeight w:val="207"/>
        </w:trPr>
        <w:tc>
          <w:tcPr>
            <w:tcW w:w="2690" w:type="dxa"/>
            <w:vMerge/>
            <w:vAlign w:val="center"/>
          </w:tcPr>
          <w:p w:rsidR="00823201" w:rsidRDefault="00823201" w:rsidP="00823201"/>
        </w:tc>
        <w:tc>
          <w:tcPr>
            <w:tcW w:w="2217" w:type="dxa"/>
            <w:tcBorders>
              <w:top w:val="single" w:sz="4" w:space="0" w:color="auto"/>
              <w:bottom w:val="single" w:sz="4" w:space="0" w:color="auto"/>
            </w:tcBorders>
          </w:tcPr>
          <w:p w:rsidR="00823201" w:rsidRPr="008961D6" w:rsidRDefault="00823201" w:rsidP="00823201">
            <w:r>
              <w:t>Deferral criteria</w:t>
            </w:r>
          </w:p>
        </w:tc>
        <w:tc>
          <w:tcPr>
            <w:tcW w:w="1466" w:type="dxa"/>
            <w:tcBorders>
              <w:top w:val="single" w:sz="4" w:space="0" w:color="auto"/>
              <w:bottom w:val="single" w:sz="4" w:space="0" w:color="auto"/>
            </w:tcBorders>
          </w:tcPr>
          <w:p w:rsidR="00823201" w:rsidRPr="008961D6" w:rsidRDefault="00823201" w:rsidP="00823201">
            <w:r>
              <w:t>9(3)-11)</w:t>
            </w:r>
          </w:p>
        </w:tc>
        <w:tc>
          <w:tcPr>
            <w:tcW w:w="2347" w:type="dxa"/>
            <w:tcBorders>
              <w:top w:val="single" w:sz="4" w:space="0" w:color="auto"/>
              <w:bottom w:val="single" w:sz="4" w:space="0" w:color="auto"/>
            </w:tcBorders>
          </w:tcPr>
          <w:p w:rsidR="00823201" w:rsidRPr="008961D6" w:rsidRDefault="00823201" w:rsidP="00823201">
            <w:r>
              <w:t>621</w:t>
            </w:r>
          </w:p>
        </w:tc>
      </w:tr>
      <w:tr w:rsidR="00823201" w:rsidTr="00823201">
        <w:trPr>
          <w:cantSplit/>
          <w:trHeight w:val="691"/>
        </w:trPr>
        <w:tc>
          <w:tcPr>
            <w:tcW w:w="2690" w:type="dxa"/>
            <w:vMerge/>
            <w:vAlign w:val="center"/>
          </w:tcPr>
          <w:p w:rsidR="00823201" w:rsidRDefault="00823201" w:rsidP="00823201"/>
        </w:tc>
        <w:tc>
          <w:tcPr>
            <w:tcW w:w="2217" w:type="dxa"/>
            <w:tcBorders>
              <w:top w:val="single" w:sz="4" w:space="0" w:color="auto"/>
            </w:tcBorders>
          </w:tcPr>
          <w:p w:rsidR="00823201" w:rsidRPr="008961D6" w:rsidRDefault="00823201" w:rsidP="00823201">
            <w:r>
              <w:t>Donor age/ condition affecting product quality/ safety</w:t>
            </w:r>
          </w:p>
        </w:tc>
        <w:tc>
          <w:tcPr>
            <w:tcW w:w="1466" w:type="dxa"/>
            <w:tcBorders>
              <w:top w:val="single" w:sz="4" w:space="0" w:color="auto"/>
            </w:tcBorders>
          </w:tcPr>
          <w:p w:rsidR="00823201" w:rsidRPr="008961D6" w:rsidRDefault="00823201" w:rsidP="00823201">
            <w:r>
              <w:t>9(12) – (13)</w:t>
            </w:r>
          </w:p>
        </w:tc>
        <w:tc>
          <w:tcPr>
            <w:tcW w:w="2347" w:type="dxa"/>
            <w:tcBorders>
              <w:top w:val="single" w:sz="4" w:space="0" w:color="auto"/>
            </w:tcBorders>
          </w:tcPr>
          <w:p w:rsidR="00823201" w:rsidRPr="008961D6" w:rsidRDefault="00823201" w:rsidP="00823201">
            <w:r>
              <w:t xml:space="preserve">826 </w:t>
            </w:r>
          </w:p>
        </w:tc>
      </w:tr>
      <w:tr w:rsidR="00823201" w:rsidTr="00823201">
        <w:trPr>
          <w:cantSplit/>
          <w:trHeight w:val="386"/>
        </w:trPr>
        <w:tc>
          <w:tcPr>
            <w:tcW w:w="2690" w:type="dxa"/>
            <w:vMerge w:val="restart"/>
            <w:vAlign w:val="center"/>
          </w:tcPr>
          <w:p w:rsidR="00823201" w:rsidRPr="008961D6" w:rsidRDefault="00823201" w:rsidP="00823201">
            <w:r w:rsidRPr="008961D6">
              <w:t>Requirements in relation to donor blood sampling, test kits, test protocols and test management</w:t>
            </w:r>
          </w:p>
          <w:p w:rsidR="00823201" w:rsidRPr="008961D6" w:rsidRDefault="00823201" w:rsidP="00823201"/>
        </w:tc>
        <w:tc>
          <w:tcPr>
            <w:tcW w:w="2217" w:type="dxa"/>
            <w:tcBorders>
              <w:bottom w:val="single" w:sz="4" w:space="0" w:color="auto"/>
            </w:tcBorders>
          </w:tcPr>
          <w:p w:rsidR="00823201" w:rsidRPr="008961D6" w:rsidRDefault="00823201" w:rsidP="00823201">
            <w:r w:rsidRPr="008961D6">
              <w:t>Donor sampling and testing</w:t>
            </w:r>
          </w:p>
        </w:tc>
        <w:tc>
          <w:tcPr>
            <w:tcW w:w="1466" w:type="dxa"/>
            <w:tcBorders>
              <w:bottom w:val="single" w:sz="4" w:space="0" w:color="auto"/>
            </w:tcBorders>
          </w:tcPr>
          <w:p w:rsidR="00823201" w:rsidRPr="008961D6" w:rsidRDefault="00823201" w:rsidP="00823201">
            <w:r>
              <w:t>10 (1) – (5)</w:t>
            </w:r>
          </w:p>
        </w:tc>
        <w:tc>
          <w:tcPr>
            <w:tcW w:w="2347" w:type="dxa"/>
            <w:tcBorders>
              <w:bottom w:val="single" w:sz="4" w:space="0" w:color="auto"/>
            </w:tcBorders>
          </w:tcPr>
          <w:p w:rsidR="00823201" w:rsidRPr="008961D6" w:rsidRDefault="00823201" w:rsidP="00823201">
            <w:r>
              <w:t xml:space="preserve">808, 827 </w:t>
            </w:r>
          </w:p>
        </w:tc>
      </w:tr>
      <w:tr w:rsidR="00823201" w:rsidTr="00823201">
        <w:trPr>
          <w:cantSplit/>
          <w:trHeight w:val="271"/>
        </w:trPr>
        <w:tc>
          <w:tcPr>
            <w:tcW w:w="2690" w:type="dxa"/>
            <w:vMerge/>
            <w:vAlign w:val="center"/>
          </w:tcPr>
          <w:p w:rsidR="00823201" w:rsidRPr="008961D6" w:rsidRDefault="00823201" w:rsidP="00823201"/>
        </w:tc>
        <w:tc>
          <w:tcPr>
            <w:tcW w:w="2217" w:type="dxa"/>
            <w:tcBorders>
              <w:top w:val="single" w:sz="4" w:space="0" w:color="auto"/>
              <w:bottom w:val="single" w:sz="4" w:space="0" w:color="auto"/>
            </w:tcBorders>
          </w:tcPr>
          <w:p w:rsidR="00823201" w:rsidRPr="008961D6" w:rsidRDefault="00823201" w:rsidP="00823201">
            <w:r w:rsidRPr="008961D6">
              <w:t>Test methodology</w:t>
            </w:r>
          </w:p>
        </w:tc>
        <w:tc>
          <w:tcPr>
            <w:tcW w:w="1466" w:type="dxa"/>
            <w:tcBorders>
              <w:top w:val="single" w:sz="4" w:space="0" w:color="auto"/>
              <w:bottom w:val="single" w:sz="4" w:space="0" w:color="auto"/>
            </w:tcBorders>
          </w:tcPr>
          <w:p w:rsidR="00823201" w:rsidRPr="008961D6" w:rsidRDefault="00823201" w:rsidP="00823201">
            <w:r>
              <w:t>10 (6)-(8)</w:t>
            </w:r>
          </w:p>
        </w:tc>
        <w:tc>
          <w:tcPr>
            <w:tcW w:w="2347" w:type="dxa"/>
            <w:tcBorders>
              <w:top w:val="single" w:sz="4" w:space="0" w:color="auto"/>
              <w:bottom w:val="single" w:sz="4" w:space="0" w:color="auto"/>
            </w:tcBorders>
          </w:tcPr>
          <w:p w:rsidR="00823201" w:rsidRPr="008961D6" w:rsidRDefault="00823201" w:rsidP="00823201">
            <w:r>
              <w:t>829, 830-838</w:t>
            </w:r>
          </w:p>
        </w:tc>
      </w:tr>
      <w:tr w:rsidR="00823201" w:rsidTr="00823201">
        <w:trPr>
          <w:cantSplit/>
          <w:trHeight w:val="279"/>
        </w:trPr>
        <w:tc>
          <w:tcPr>
            <w:tcW w:w="2690" w:type="dxa"/>
            <w:vMerge/>
            <w:vAlign w:val="center"/>
          </w:tcPr>
          <w:p w:rsidR="00823201" w:rsidRPr="008961D6" w:rsidRDefault="00823201" w:rsidP="00823201"/>
        </w:tc>
        <w:tc>
          <w:tcPr>
            <w:tcW w:w="2217" w:type="dxa"/>
            <w:tcBorders>
              <w:top w:val="single" w:sz="4" w:space="0" w:color="auto"/>
              <w:bottom w:val="single" w:sz="4" w:space="0" w:color="auto"/>
            </w:tcBorders>
          </w:tcPr>
          <w:p w:rsidR="00823201" w:rsidRPr="008961D6" w:rsidRDefault="00823201" w:rsidP="00823201">
            <w:r w:rsidRPr="008961D6">
              <w:t>Contract testing laboratories</w:t>
            </w:r>
          </w:p>
        </w:tc>
        <w:tc>
          <w:tcPr>
            <w:tcW w:w="1466" w:type="dxa"/>
            <w:tcBorders>
              <w:top w:val="single" w:sz="4" w:space="0" w:color="auto"/>
              <w:bottom w:val="single" w:sz="4" w:space="0" w:color="auto"/>
            </w:tcBorders>
          </w:tcPr>
          <w:p w:rsidR="00823201" w:rsidRPr="008961D6" w:rsidRDefault="00823201" w:rsidP="00823201">
            <w:r>
              <w:t>10 (7)-(8)</w:t>
            </w:r>
          </w:p>
        </w:tc>
        <w:tc>
          <w:tcPr>
            <w:tcW w:w="2347" w:type="dxa"/>
            <w:tcBorders>
              <w:top w:val="single" w:sz="4" w:space="0" w:color="auto"/>
              <w:bottom w:val="single" w:sz="4" w:space="0" w:color="auto"/>
            </w:tcBorders>
          </w:tcPr>
          <w:p w:rsidR="00823201" w:rsidRPr="008961D6" w:rsidRDefault="00823201" w:rsidP="00823201">
            <w:r>
              <w:t>840-842 (contract laboratories)</w:t>
            </w:r>
          </w:p>
        </w:tc>
      </w:tr>
      <w:tr w:rsidR="00823201" w:rsidTr="00823201">
        <w:trPr>
          <w:cantSplit/>
          <w:trHeight w:val="288"/>
        </w:trPr>
        <w:tc>
          <w:tcPr>
            <w:tcW w:w="2690" w:type="dxa"/>
            <w:vMerge/>
            <w:vAlign w:val="center"/>
          </w:tcPr>
          <w:p w:rsidR="00823201" w:rsidRPr="008961D6" w:rsidRDefault="00823201" w:rsidP="00823201"/>
        </w:tc>
        <w:tc>
          <w:tcPr>
            <w:tcW w:w="2217" w:type="dxa"/>
            <w:tcBorders>
              <w:top w:val="single" w:sz="4" w:space="0" w:color="auto"/>
              <w:bottom w:val="single" w:sz="4" w:space="0" w:color="auto"/>
            </w:tcBorders>
          </w:tcPr>
          <w:p w:rsidR="00823201" w:rsidRPr="008961D6" w:rsidRDefault="00823201" w:rsidP="00823201">
            <w:r w:rsidRPr="008961D6">
              <w:t>Archive samples</w:t>
            </w:r>
          </w:p>
        </w:tc>
        <w:tc>
          <w:tcPr>
            <w:tcW w:w="1466" w:type="dxa"/>
            <w:tcBorders>
              <w:top w:val="single" w:sz="4" w:space="0" w:color="auto"/>
              <w:bottom w:val="single" w:sz="4" w:space="0" w:color="auto"/>
            </w:tcBorders>
          </w:tcPr>
          <w:p w:rsidR="00823201" w:rsidRPr="008961D6" w:rsidRDefault="00823201" w:rsidP="00823201">
            <w:r>
              <w:t>10 (9)-(10)</w:t>
            </w:r>
          </w:p>
        </w:tc>
        <w:tc>
          <w:tcPr>
            <w:tcW w:w="2347" w:type="dxa"/>
            <w:tcBorders>
              <w:top w:val="single" w:sz="4" w:space="0" w:color="auto"/>
              <w:bottom w:val="single" w:sz="4" w:space="0" w:color="auto"/>
            </w:tcBorders>
          </w:tcPr>
          <w:p w:rsidR="00823201" w:rsidRPr="008961D6" w:rsidRDefault="00823201" w:rsidP="00823201">
            <w:r>
              <w:t>839</w:t>
            </w:r>
          </w:p>
        </w:tc>
      </w:tr>
      <w:tr w:rsidR="00823201" w:rsidTr="00823201">
        <w:trPr>
          <w:cantSplit/>
          <w:trHeight w:val="507"/>
        </w:trPr>
        <w:tc>
          <w:tcPr>
            <w:tcW w:w="2690" w:type="dxa"/>
            <w:vMerge/>
            <w:vAlign w:val="center"/>
          </w:tcPr>
          <w:p w:rsidR="00823201" w:rsidRPr="008961D6" w:rsidRDefault="00823201" w:rsidP="00823201"/>
        </w:tc>
        <w:tc>
          <w:tcPr>
            <w:tcW w:w="2217" w:type="dxa"/>
            <w:tcBorders>
              <w:top w:val="single" w:sz="4" w:space="0" w:color="auto"/>
            </w:tcBorders>
          </w:tcPr>
          <w:p w:rsidR="00823201" w:rsidRPr="008961D6" w:rsidRDefault="00823201" w:rsidP="00823201">
            <w:r w:rsidRPr="008961D6">
              <w:t>Records of donor testing</w:t>
            </w:r>
          </w:p>
          <w:p w:rsidR="00823201" w:rsidRPr="008961D6" w:rsidRDefault="00823201" w:rsidP="00823201"/>
        </w:tc>
        <w:tc>
          <w:tcPr>
            <w:tcW w:w="1466" w:type="dxa"/>
            <w:tcBorders>
              <w:top w:val="single" w:sz="4" w:space="0" w:color="auto"/>
            </w:tcBorders>
          </w:tcPr>
          <w:p w:rsidR="00823201" w:rsidRPr="008961D6" w:rsidRDefault="00823201" w:rsidP="00823201">
            <w:r>
              <w:t>10 (11)</w:t>
            </w:r>
          </w:p>
        </w:tc>
        <w:tc>
          <w:tcPr>
            <w:tcW w:w="2347" w:type="dxa"/>
            <w:tcBorders>
              <w:top w:val="single" w:sz="4" w:space="0" w:color="auto"/>
            </w:tcBorders>
          </w:tcPr>
          <w:p w:rsidR="00823201" w:rsidRPr="008961D6" w:rsidRDefault="00823201" w:rsidP="00823201">
            <w:r>
              <w:t>612-613</w:t>
            </w:r>
          </w:p>
        </w:tc>
      </w:tr>
      <w:tr w:rsidR="00823201" w:rsidTr="00823201">
        <w:trPr>
          <w:cantSplit/>
          <w:trHeight w:val="265"/>
        </w:trPr>
        <w:tc>
          <w:tcPr>
            <w:tcW w:w="2690" w:type="dxa"/>
            <w:vMerge w:val="restart"/>
            <w:vAlign w:val="center"/>
          </w:tcPr>
          <w:p w:rsidR="00823201" w:rsidRPr="008961D6" w:rsidRDefault="00823201" w:rsidP="00823201">
            <w:r w:rsidRPr="008961D6">
              <w:t>Requirements in relation to donor physical assessment and testing</w:t>
            </w:r>
          </w:p>
        </w:tc>
        <w:tc>
          <w:tcPr>
            <w:tcW w:w="2217" w:type="dxa"/>
            <w:tcBorders>
              <w:bottom w:val="single" w:sz="4" w:space="0" w:color="auto"/>
            </w:tcBorders>
          </w:tcPr>
          <w:p w:rsidR="00823201" w:rsidRPr="008961D6" w:rsidRDefault="00823201" w:rsidP="00823201">
            <w:r w:rsidRPr="008961D6">
              <w:t>Physical assessment</w:t>
            </w:r>
          </w:p>
        </w:tc>
        <w:tc>
          <w:tcPr>
            <w:tcW w:w="1466" w:type="dxa"/>
            <w:tcBorders>
              <w:bottom w:val="single" w:sz="4" w:space="0" w:color="auto"/>
            </w:tcBorders>
          </w:tcPr>
          <w:p w:rsidR="00823201" w:rsidRPr="008961D6" w:rsidRDefault="00823201" w:rsidP="00823201">
            <w:r>
              <w:t>11 (1)-(2)</w:t>
            </w:r>
          </w:p>
        </w:tc>
        <w:tc>
          <w:tcPr>
            <w:tcW w:w="2347" w:type="dxa"/>
            <w:tcBorders>
              <w:bottom w:val="single" w:sz="4" w:space="0" w:color="auto"/>
            </w:tcBorders>
          </w:tcPr>
          <w:p w:rsidR="00823201" w:rsidRPr="008961D6" w:rsidRDefault="00823201" w:rsidP="00823201">
            <w:r>
              <w:t>803, 812, 821-823, 826</w:t>
            </w:r>
          </w:p>
        </w:tc>
      </w:tr>
      <w:tr w:rsidR="00823201" w:rsidTr="00823201">
        <w:trPr>
          <w:cantSplit/>
          <w:trHeight w:val="393"/>
        </w:trPr>
        <w:tc>
          <w:tcPr>
            <w:tcW w:w="2690" w:type="dxa"/>
            <w:vMerge/>
            <w:vAlign w:val="center"/>
          </w:tcPr>
          <w:p w:rsidR="00823201" w:rsidRPr="008961D6" w:rsidRDefault="00823201" w:rsidP="00823201"/>
        </w:tc>
        <w:tc>
          <w:tcPr>
            <w:tcW w:w="2217" w:type="dxa"/>
            <w:tcBorders>
              <w:top w:val="single" w:sz="4" w:space="0" w:color="auto"/>
            </w:tcBorders>
          </w:tcPr>
          <w:p w:rsidR="00823201" w:rsidRPr="008961D6" w:rsidRDefault="00823201" w:rsidP="00823201">
            <w:r w:rsidRPr="008961D6">
              <w:t>Mandatory tests</w:t>
            </w:r>
          </w:p>
        </w:tc>
        <w:tc>
          <w:tcPr>
            <w:tcW w:w="1466" w:type="dxa"/>
            <w:tcBorders>
              <w:top w:val="single" w:sz="4" w:space="0" w:color="auto"/>
            </w:tcBorders>
          </w:tcPr>
          <w:p w:rsidR="00823201" w:rsidRPr="008961D6" w:rsidRDefault="00823201" w:rsidP="00823201">
            <w:r>
              <w:t>11 (3)-(6)</w:t>
            </w:r>
          </w:p>
        </w:tc>
        <w:tc>
          <w:tcPr>
            <w:tcW w:w="2347" w:type="dxa"/>
            <w:tcBorders>
              <w:top w:val="single" w:sz="4" w:space="0" w:color="auto"/>
            </w:tcBorders>
          </w:tcPr>
          <w:p w:rsidR="00823201" w:rsidRPr="008961D6" w:rsidRDefault="00823201" w:rsidP="00823201">
            <w:r>
              <w:t xml:space="preserve">828 </w:t>
            </w:r>
          </w:p>
        </w:tc>
      </w:tr>
      <w:tr w:rsidR="00823201" w:rsidTr="00823201">
        <w:trPr>
          <w:cantSplit/>
          <w:trHeight w:val="556"/>
        </w:trPr>
        <w:tc>
          <w:tcPr>
            <w:tcW w:w="2690" w:type="dxa"/>
            <w:vMerge w:val="restart"/>
            <w:vAlign w:val="center"/>
          </w:tcPr>
          <w:p w:rsidR="00823201" w:rsidRPr="008961D6" w:rsidRDefault="00823201" w:rsidP="00823201">
            <w:r w:rsidRPr="008961D6">
              <w:lastRenderedPageBreak/>
              <w:t>Requirements in relation to microbial control</w:t>
            </w:r>
          </w:p>
          <w:p w:rsidR="00823201" w:rsidRDefault="00823201" w:rsidP="00823201"/>
          <w:p w:rsidR="00823201" w:rsidRPr="00FF1CE4" w:rsidRDefault="00823201" w:rsidP="00823201">
            <w:r>
              <w:t>Requirements in relation to microbial control (cont’d)</w:t>
            </w:r>
          </w:p>
        </w:tc>
        <w:tc>
          <w:tcPr>
            <w:tcW w:w="2217" w:type="dxa"/>
            <w:tcBorders>
              <w:bottom w:val="single" w:sz="4" w:space="0" w:color="auto"/>
            </w:tcBorders>
          </w:tcPr>
          <w:p w:rsidR="00823201" w:rsidRPr="008961D6" w:rsidRDefault="00823201" w:rsidP="00823201">
            <w:r>
              <w:t>Processes to minimise contamination</w:t>
            </w:r>
          </w:p>
        </w:tc>
        <w:tc>
          <w:tcPr>
            <w:tcW w:w="1466" w:type="dxa"/>
            <w:tcBorders>
              <w:bottom w:val="single" w:sz="4" w:space="0" w:color="auto"/>
            </w:tcBorders>
          </w:tcPr>
          <w:p w:rsidR="00823201" w:rsidRPr="008961D6" w:rsidRDefault="00823201" w:rsidP="00823201">
            <w:r>
              <w:t>12 (1)</w:t>
            </w:r>
          </w:p>
        </w:tc>
        <w:tc>
          <w:tcPr>
            <w:tcW w:w="2347" w:type="dxa"/>
            <w:tcBorders>
              <w:bottom w:val="single" w:sz="4" w:space="0" w:color="auto"/>
            </w:tcBorders>
          </w:tcPr>
          <w:p w:rsidR="00823201" w:rsidRPr="008961D6" w:rsidRDefault="00823201" w:rsidP="00823201">
            <w:r>
              <w:t>308</w:t>
            </w:r>
          </w:p>
          <w:p w:rsidR="00823201" w:rsidRDefault="00823201" w:rsidP="00823201"/>
        </w:tc>
      </w:tr>
      <w:tr w:rsidR="00823201" w:rsidTr="00823201">
        <w:trPr>
          <w:cantSplit/>
          <w:trHeight w:val="541"/>
        </w:trPr>
        <w:tc>
          <w:tcPr>
            <w:tcW w:w="2690" w:type="dxa"/>
            <w:vMerge/>
            <w:vAlign w:val="center"/>
          </w:tcPr>
          <w:p w:rsidR="00823201" w:rsidRDefault="00823201" w:rsidP="00823201"/>
        </w:tc>
        <w:tc>
          <w:tcPr>
            <w:tcW w:w="2217" w:type="dxa"/>
            <w:tcBorders>
              <w:top w:val="single" w:sz="4" w:space="0" w:color="auto"/>
              <w:bottom w:val="single" w:sz="4" w:space="0" w:color="auto"/>
            </w:tcBorders>
          </w:tcPr>
          <w:p w:rsidR="00823201" w:rsidRPr="008961D6" w:rsidRDefault="00823201" w:rsidP="00823201">
            <w:r>
              <w:t>Cell/ tissue collection times (starting material)</w:t>
            </w:r>
          </w:p>
        </w:tc>
        <w:tc>
          <w:tcPr>
            <w:tcW w:w="1466" w:type="dxa"/>
            <w:tcBorders>
              <w:top w:val="single" w:sz="4" w:space="0" w:color="auto"/>
              <w:bottom w:val="single" w:sz="4" w:space="0" w:color="auto"/>
            </w:tcBorders>
          </w:tcPr>
          <w:p w:rsidR="00823201" w:rsidRPr="008961D6" w:rsidRDefault="00823201" w:rsidP="00823201">
            <w:r>
              <w:t>12 (1) – (2)</w:t>
            </w:r>
          </w:p>
        </w:tc>
        <w:tc>
          <w:tcPr>
            <w:tcW w:w="2347" w:type="dxa"/>
            <w:tcBorders>
              <w:top w:val="single" w:sz="4" w:space="0" w:color="auto"/>
              <w:bottom w:val="single" w:sz="4" w:space="0" w:color="auto"/>
            </w:tcBorders>
          </w:tcPr>
          <w:p w:rsidR="00823201" w:rsidRPr="008961D6" w:rsidRDefault="00823201" w:rsidP="00823201">
            <w:r>
              <w:t xml:space="preserve">714 </w:t>
            </w:r>
          </w:p>
          <w:p w:rsidR="00823201" w:rsidRDefault="00823201" w:rsidP="00823201"/>
        </w:tc>
      </w:tr>
      <w:tr w:rsidR="00823201" w:rsidTr="00823201">
        <w:trPr>
          <w:cantSplit/>
          <w:trHeight w:val="260"/>
        </w:trPr>
        <w:tc>
          <w:tcPr>
            <w:tcW w:w="2690" w:type="dxa"/>
            <w:vMerge/>
            <w:vAlign w:val="center"/>
          </w:tcPr>
          <w:p w:rsidR="00823201" w:rsidRDefault="00823201" w:rsidP="00823201"/>
        </w:tc>
        <w:tc>
          <w:tcPr>
            <w:tcW w:w="2217" w:type="dxa"/>
            <w:tcBorders>
              <w:top w:val="single" w:sz="4" w:space="0" w:color="auto"/>
              <w:bottom w:val="single" w:sz="4" w:space="0" w:color="auto"/>
            </w:tcBorders>
          </w:tcPr>
          <w:p w:rsidR="00823201" w:rsidRPr="008961D6" w:rsidRDefault="00823201" w:rsidP="00823201">
            <w:r>
              <w:t>Storage and transport conditions</w:t>
            </w:r>
          </w:p>
        </w:tc>
        <w:tc>
          <w:tcPr>
            <w:tcW w:w="1466" w:type="dxa"/>
            <w:tcBorders>
              <w:top w:val="single" w:sz="4" w:space="0" w:color="auto"/>
              <w:bottom w:val="single" w:sz="4" w:space="0" w:color="auto"/>
            </w:tcBorders>
          </w:tcPr>
          <w:p w:rsidR="00823201" w:rsidRPr="008961D6" w:rsidRDefault="00823201" w:rsidP="00823201">
            <w:r>
              <w:t>12 (3)- 4)</w:t>
            </w:r>
          </w:p>
        </w:tc>
        <w:tc>
          <w:tcPr>
            <w:tcW w:w="2347" w:type="dxa"/>
            <w:tcBorders>
              <w:top w:val="single" w:sz="4" w:space="0" w:color="auto"/>
              <w:bottom w:val="single" w:sz="4" w:space="0" w:color="auto"/>
            </w:tcBorders>
          </w:tcPr>
          <w:p w:rsidR="00823201" w:rsidRPr="008961D6" w:rsidRDefault="00823201" w:rsidP="00823201">
            <w:r>
              <w:t>1001,  1011 – 1013</w:t>
            </w:r>
          </w:p>
          <w:p w:rsidR="00823201" w:rsidRDefault="00823201" w:rsidP="00823201"/>
        </w:tc>
      </w:tr>
      <w:tr w:rsidR="00823201" w:rsidTr="00823201">
        <w:trPr>
          <w:cantSplit/>
          <w:trHeight w:val="311"/>
        </w:trPr>
        <w:tc>
          <w:tcPr>
            <w:tcW w:w="2690" w:type="dxa"/>
            <w:vMerge/>
            <w:vAlign w:val="center"/>
          </w:tcPr>
          <w:p w:rsidR="00823201" w:rsidRDefault="00823201" w:rsidP="00823201"/>
        </w:tc>
        <w:tc>
          <w:tcPr>
            <w:tcW w:w="2217" w:type="dxa"/>
            <w:tcBorders>
              <w:top w:val="single" w:sz="4" w:space="0" w:color="auto"/>
            </w:tcBorders>
          </w:tcPr>
          <w:p w:rsidR="00823201" w:rsidRPr="008961D6" w:rsidRDefault="00823201" w:rsidP="00823201">
            <w:r>
              <w:t>Release criteria - microbial</w:t>
            </w:r>
          </w:p>
        </w:tc>
        <w:tc>
          <w:tcPr>
            <w:tcW w:w="1466" w:type="dxa"/>
            <w:tcBorders>
              <w:top w:val="single" w:sz="4" w:space="0" w:color="auto"/>
            </w:tcBorders>
          </w:tcPr>
          <w:p w:rsidR="00823201" w:rsidRPr="008961D6" w:rsidRDefault="00823201" w:rsidP="00823201">
            <w:r>
              <w:t>12 (5)</w:t>
            </w:r>
          </w:p>
        </w:tc>
        <w:tc>
          <w:tcPr>
            <w:tcW w:w="2347" w:type="dxa"/>
            <w:tcBorders>
              <w:top w:val="single" w:sz="4" w:space="0" w:color="auto"/>
            </w:tcBorders>
          </w:tcPr>
          <w:p w:rsidR="00823201" w:rsidRPr="008961D6" w:rsidRDefault="00823201" w:rsidP="00823201">
            <w:r>
              <w:t>913</w:t>
            </w:r>
          </w:p>
        </w:tc>
      </w:tr>
      <w:tr w:rsidR="00823201" w:rsidTr="00823201">
        <w:trPr>
          <w:cantSplit/>
          <w:trHeight w:val="784"/>
        </w:trPr>
        <w:tc>
          <w:tcPr>
            <w:tcW w:w="2690" w:type="dxa"/>
            <w:vMerge w:val="restart"/>
            <w:vAlign w:val="center"/>
          </w:tcPr>
          <w:p w:rsidR="00823201" w:rsidRPr="008961D6" w:rsidRDefault="00823201" w:rsidP="00823201">
            <w:r w:rsidRPr="008961D6">
              <w:t>Requirements in relation to substances used in collection and manufacture</w:t>
            </w:r>
          </w:p>
        </w:tc>
        <w:tc>
          <w:tcPr>
            <w:tcW w:w="2217" w:type="dxa"/>
            <w:tcBorders>
              <w:bottom w:val="single" w:sz="4" w:space="0" w:color="auto"/>
            </w:tcBorders>
          </w:tcPr>
          <w:p w:rsidR="00823201" w:rsidRPr="008961D6" w:rsidRDefault="00823201" w:rsidP="00823201">
            <w:r>
              <w:t>Quality and safety of solutions</w:t>
            </w:r>
          </w:p>
        </w:tc>
        <w:tc>
          <w:tcPr>
            <w:tcW w:w="1466" w:type="dxa"/>
            <w:tcBorders>
              <w:bottom w:val="single" w:sz="4" w:space="0" w:color="auto"/>
            </w:tcBorders>
          </w:tcPr>
          <w:p w:rsidR="00823201" w:rsidRPr="008961D6" w:rsidRDefault="00823201" w:rsidP="00823201">
            <w:r>
              <w:t>13 (2) (a)</w:t>
            </w:r>
          </w:p>
        </w:tc>
        <w:tc>
          <w:tcPr>
            <w:tcW w:w="2347" w:type="dxa"/>
            <w:tcBorders>
              <w:bottom w:val="single" w:sz="4" w:space="0" w:color="auto"/>
            </w:tcBorders>
          </w:tcPr>
          <w:p w:rsidR="00823201" w:rsidRPr="008961D6" w:rsidRDefault="00823201" w:rsidP="00823201">
            <w:r>
              <w:t>715, 902 - 903</w:t>
            </w:r>
          </w:p>
          <w:p w:rsidR="00823201" w:rsidRDefault="00823201" w:rsidP="00823201"/>
        </w:tc>
      </w:tr>
      <w:tr w:rsidR="00823201" w:rsidTr="00823201">
        <w:trPr>
          <w:cantSplit/>
          <w:trHeight w:val="381"/>
        </w:trPr>
        <w:tc>
          <w:tcPr>
            <w:tcW w:w="2690" w:type="dxa"/>
            <w:vMerge/>
          </w:tcPr>
          <w:p w:rsidR="00823201" w:rsidRDefault="00823201" w:rsidP="00823201"/>
        </w:tc>
        <w:tc>
          <w:tcPr>
            <w:tcW w:w="2217" w:type="dxa"/>
            <w:tcBorders>
              <w:top w:val="single" w:sz="4" w:space="0" w:color="auto"/>
            </w:tcBorders>
          </w:tcPr>
          <w:p w:rsidR="00823201" w:rsidRPr="008961D6" w:rsidRDefault="00823201" w:rsidP="00823201">
            <w:r>
              <w:t>Quality and safety of materials</w:t>
            </w:r>
          </w:p>
        </w:tc>
        <w:tc>
          <w:tcPr>
            <w:tcW w:w="1466" w:type="dxa"/>
            <w:tcBorders>
              <w:top w:val="single" w:sz="4" w:space="0" w:color="auto"/>
            </w:tcBorders>
          </w:tcPr>
          <w:p w:rsidR="00823201" w:rsidRPr="008961D6" w:rsidRDefault="00823201" w:rsidP="00823201">
            <w:r>
              <w:t>13 (2) (b) – (d)</w:t>
            </w:r>
          </w:p>
        </w:tc>
        <w:tc>
          <w:tcPr>
            <w:tcW w:w="2347" w:type="dxa"/>
            <w:tcBorders>
              <w:top w:val="single" w:sz="4" w:space="0" w:color="auto"/>
            </w:tcBorders>
          </w:tcPr>
          <w:p w:rsidR="00823201" w:rsidRPr="008961D6" w:rsidRDefault="00823201" w:rsidP="00823201">
            <w:r>
              <w:t>703, 902 – 903</w:t>
            </w:r>
          </w:p>
        </w:tc>
      </w:tr>
    </w:tbl>
    <w:p w:rsidR="009F04DC" w:rsidRDefault="009F04DC" w:rsidP="00823201"/>
    <w:p w:rsidR="009F04DC" w:rsidRDefault="009F04DC">
      <w:pPr>
        <w:spacing w:before="0" w:after="0" w:line="240" w:lineRule="auto"/>
      </w:pPr>
      <w:r>
        <w:br w:type="page"/>
      </w:r>
    </w:p>
    <w:p w:rsidR="00823201" w:rsidRDefault="009F04DC" w:rsidP="009F04DC">
      <w:pPr>
        <w:pStyle w:val="Heading3"/>
      </w:pPr>
      <w:bookmarkStart w:id="70" w:name="_Toc341452860"/>
      <w:r>
        <w:lastRenderedPageBreak/>
        <w:t xml:space="preserve">Appendix C: </w:t>
      </w:r>
      <w:r w:rsidR="003E509A">
        <w:t xml:space="preserve">Table of regulatory costs </w:t>
      </w:r>
      <w:r w:rsidR="00AA75E9">
        <w:t xml:space="preserve">currently applicable </w:t>
      </w:r>
      <w:r w:rsidR="003E509A">
        <w:t>to the HCT sector</w:t>
      </w:r>
      <w:bookmarkEnd w:id="70"/>
    </w:p>
    <w:p w:rsidR="003E509A" w:rsidRDefault="003E509A" w:rsidP="007050E7">
      <w:proofErr w:type="gramStart"/>
      <w:r>
        <w:t>Fees and charges as at September 2012.</w:t>
      </w:r>
      <w:proofErr w:type="gramEnd"/>
    </w:p>
    <w:p w:rsidR="003E509A" w:rsidRPr="003A0666" w:rsidRDefault="003E509A" w:rsidP="003E509A">
      <w:pPr>
        <w:rPr>
          <w:b/>
        </w:rPr>
      </w:pPr>
      <w:r>
        <w:rPr>
          <w:b/>
        </w:rPr>
        <w:t xml:space="preserve">Table: </w:t>
      </w:r>
      <w:r w:rsidRPr="003A0666">
        <w:rPr>
          <w:b/>
        </w:rPr>
        <w:t>Existing regulatory costs to HCT manufacturers (average)</w:t>
      </w:r>
    </w:p>
    <w:tbl>
      <w:tblPr>
        <w:tblStyle w:val="TableGrid1"/>
        <w:tblW w:w="0" w:type="auto"/>
        <w:tblInd w:w="-34" w:type="dxa"/>
        <w:tblLook w:val="04A0"/>
      </w:tblPr>
      <w:tblGrid>
        <w:gridCol w:w="5103"/>
        <w:gridCol w:w="1134"/>
        <w:gridCol w:w="1843"/>
      </w:tblGrid>
      <w:tr w:rsidR="003E509A" w:rsidRPr="00262570" w:rsidTr="008B036D">
        <w:tc>
          <w:tcPr>
            <w:tcW w:w="5103" w:type="dxa"/>
            <w:shd w:val="clear" w:color="auto" w:fill="D9D9D9"/>
          </w:tcPr>
          <w:p w:rsidR="003E509A" w:rsidRPr="00262570" w:rsidRDefault="003E509A" w:rsidP="00312756">
            <w:pPr>
              <w:spacing w:before="0" w:after="0" w:line="240" w:lineRule="auto"/>
              <w:ind w:left="360"/>
              <w:rPr>
                <w:b/>
                <w:color w:val="000000"/>
              </w:rPr>
            </w:pPr>
            <w:r w:rsidRPr="00262570">
              <w:rPr>
                <w:b/>
                <w:color w:val="000000"/>
              </w:rPr>
              <w:t>Type of fee or charge</w:t>
            </w:r>
          </w:p>
        </w:tc>
        <w:tc>
          <w:tcPr>
            <w:tcW w:w="1134" w:type="dxa"/>
            <w:shd w:val="clear" w:color="auto" w:fill="D9D9D9"/>
          </w:tcPr>
          <w:p w:rsidR="003E509A" w:rsidRPr="00262570" w:rsidRDefault="003E509A" w:rsidP="00312756">
            <w:pPr>
              <w:spacing w:before="0" w:after="0" w:line="240" w:lineRule="auto"/>
              <w:rPr>
                <w:b/>
                <w:color w:val="000000"/>
              </w:rPr>
            </w:pPr>
            <w:r>
              <w:rPr>
                <w:b/>
                <w:color w:val="000000"/>
              </w:rPr>
              <w:t xml:space="preserve">Average </w:t>
            </w:r>
            <w:r w:rsidRPr="00262570">
              <w:rPr>
                <w:b/>
                <w:color w:val="000000"/>
              </w:rPr>
              <w:t>Cost</w:t>
            </w:r>
          </w:p>
        </w:tc>
        <w:tc>
          <w:tcPr>
            <w:tcW w:w="1843" w:type="dxa"/>
            <w:shd w:val="clear" w:color="auto" w:fill="D9D9D9"/>
          </w:tcPr>
          <w:p w:rsidR="008B036D" w:rsidRDefault="003E509A" w:rsidP="008B036D">
            <w:pPr>
              <w:spacing w:before="0" w:after="0" w:line="240" w:lineRule="auto"/>
              <w:rPr>
                <w:b/>
                <w:color w:val="000000"/>
              </w:rPr>
            </w:pPr>
            <w:r w:rsidRPr="00262570">
              <w:rPr>
                <w:b/>
                <w:color w:val="000000"/>
              </w:rPr>
              <w:t>HCT sector</w:t>
            </w:r>
            <w:r>
              <w:rPr>
                <w:b/>
                <w:color w:val="000000"/>
              </w:rPr>
              <w:t xml:space="preserve"> </w:t>
            </w:r>
          </w:p>
          <w:p w:rsidR="003E509A" w:rsidRPr="00262570" w:rsidRDefault="008B036D" w:rsidP="008B036D">
            <w:pPr>
              <w:spacing w:before="0" w:after="0" w:line="240" w:lineRule="auto"/>
              <w:rPr>
                <w:b/>
                <w:color w:val="000000"/>
              </w:rPr>
            </w:pPr>
            <w:r>
              <w:rPr>
                <w:b/>
                <w:color w:val="000000"/>
              </w:rPr>
              <w:t>(qty affected)</w:t>
            </w:r>
          </w:p>
        </w:tc>
      </w:tr>
      <w:tr w:rsidR="003E509A" w:rsidRPr="00262570" w:rsidTr="008B036D">
        <w:tc>
          <w:tcPr>
            <w:tcW w:w="5103" w:type="dxa"/>
          </w:tcPr>
          <w:p w:rsidR="003E509A" w:rsidRPr="00262570" w:rsidRDefault="003E509A" w:rsidP="00312756">
            <w:pPr>
              <w:spacing w:before="0" w:after="0" w:line="240" w:lineRule="auto"/>
            </w:pPr>
            <w:r w:rsidRPr="00262570">
              <w:t>GMP Inspection fees biological</w:t>
            </w:r>
            <w:r>
              <w:t xml:space="preserve"> manufacturer</w:t>
            </w:r>
            <w:r w:rsidRPr="00262570">
              <w:t xml:space="preserve"> (biennially) </w:t>
            </w:r>
          </w:p>
          <w:p w:rsidR="003E509A" w:rsidRPr="00262570" w:rsidRDefault="003E509A" w:rsidP="00312756">
            <w:pPr>
              <w:spacing w:before="0" w:after="0" w:line="240" w:lineRule="auto"/>
            </w:pPr>
          </w:p>
        </w:tc>
        <w:tc>
          <w:tcPr>
            <w:tcW w:w="1134" w:type="dxa"/>
          </w:tcPr>
          <w:p w:rsidR="003E509A" w:rsidRPr="00262570" w:rsidRDefault="003E509A" w:rsidP="00312756">
            <w:pPr>
              <w:spacing w:before="0" w:after="0" w:line="240" w:lineRule="auto"/>
            </w:pPr>
            <w:r w:rsidRPr="00262570">
              <w:t xml:space="preserve">$14,700 </w:t>
            </w:r>
          </w:p>
          <w:p w:rsidR="003E509A" w:rsidRPr="00262570" w:rsidRDefault="003E509A" w:rsidP="00312756">
            <w:pPr>
              <w:spacing w:before="0" w:after="0" w:line="240" w:lineRule="auto"/>
            </w:pPr>
          </w:p>
        </w:tc>
        <w:tc>
          <w:tcPr>
            <w:tcW w:w="1843" w:type="dxa"/>
          </w:tcPr>
          <w:p w:rsidR="003E509A" w:rsidRPr="00262570" w:rsidRDefault="003E509A" w:rsidP="00312756">
            <w:pPr>
              <w:spacing w:before="0" w:after="0" w:line="240" w:lineRule="auto"/>
            </w:pPr>
            <w:r w:rsidRPr="00262570">
              <w:t>Tissues, cell therapy</w:t>
            </w:r>
            <w:r>
              <w:t xml:space="preserve"> (all)</w:t>
            </w:r>
          </w:p>
        </w:tc>
      </w:tr>
      <w:tr w:rsidR="003E509A" w:rsidRPr="00262570" w:rsidTr="008B036D">
        <w:tc>
          <w:tcPr>
            <w:tcW w:w="5103" w:type="dxa"/>
          </w:tcPr>
          <w:p w:rsidR="003E509A" w:rsidRPr="00262570" w:rsidRDefault="003E509A" w:rsidP="00312756">
            <w:pPr>
              <w:spacing w:before="0" w:after="0" w:line="240" w:lineRule="auto"/>
            </w:pPr>
            <w:r w:rsidRPr="00262570">
              <w:t>GMP Inspection fees testing facilit</w:t>
            </w:r>
            <w:r>
              <w:t>y</w:t>
            </w:r>
            <w:r w:rsidRPr="00262570">
              <w:t xml:space="preserve"> (biennially) </w:t>
            </w:r>
            <w:r>
              <w:t>(average)</w:t>
            </w:r>
          </w:p>
          <w:p w:rsidR="003E509A" w:rsidRPr="00262570" w:rsidRDefault="003E509A" w:rsidP="00312756">
            <w:pPr>
              <w:spacing w:before="0" w:after="0" w:line="240" w:lineRule="auto"/>
            </w:pPr>
          </w:p>
        </w:tc>
        <w:tc>
          <w:tcPr>
            <w:tcW w:w="1134" w:type="dxa"/>
          </w:tcPr>
          <w:p w:rsidR="003E509A" w:rsidRPr="00262570" w:rsidRDefault="003E509A" w:rsidP="00312756">
            <w:pPr>
              <w:spacing w:before="0" w:after="0" w:line="240" w:lineRule="auto"/>
            </w:pPr>
            <w:r w:rsidRPr="00262570">
              <w:t>$8000</w:t>
            </w:r>
          </w:p>
        </w:tc>
        <w:tc>
          <w:tcPr>
            <w:tcW w:w="1843" w:type="dxa"/>
          </w:tcPr>
          <w:p w:rsidR="003E509A" w:rsidRPr="00262570" w:rsidRDefault="003E509A" w:rsidP="00312756">
            <w:pPr>
              <w:spacing w:before="0" w:after="0" w:line="240" w:lineRule="auto"/>
            </w:pPr>
            <w:r w:rsidRPr="00262570">
              <w:t>Pathology</w:t>
            </w:r>
            <w:r>
              <w:t xml:space="preserve"> (all)</w:t>
            </w:r>
          </w:p>
        </w:tc>
      </w:tr>
      <w:tr w:rsidR="003E509A" w:rsidRPr="00262570" w:rsidTr="008B036D">
        <w:tc>
          <w:tcPr>
            <w:tcW w:w="5103" w:type="dxa"/>
          </w:tcPr>
          <w:p w:rsidR="003E509A" w:rsidRPr="00262570" w:rsidRDefault="003E509A" w:rsidP="00312756">
            <w:pPr>
              <w:spacing w:before="0" w:after="0" w:line="240" w:lineRule="auto"/>
            </w:pPr>
            <w:r w:rsidRPr="00262570">
              <w:t>GMP Inspection fees blood</w:t>
            </w:r>
            <w:r>
              <w:t xml:space="preserve">/HPC/ </w:t>
            </w:r>
            <w:r w:rsidRPr="00262570">
              <w:t>blood product</w:t>
            </w:r>
            <w:r>
              <w:t xml:space="preserve"> manufacturer</w:t>
            </w:r>
            <w:r w:rsidRPr="00262570">
              <w:t xml:space="preserve"> (biennially)</w:t>
            </w:r>
            <w:r>
              <w:t xml:space="preserve"> (average)</w:t>
            </w:r>
            <w:r w:rsidRPr="00262570">
              <w:t xml:space="preserve"> </w:t>
            </w:r>
          </w:p>
          <w:p w:rsidR="003E509A" w:rsidRPr="00262570" w:rsidRDefault="003E509A" w:rsidP="00312756">
            <w:pPr>
              <w:spacing w:before="0" w:after="0" w:line="240" w:lineRule="auto"/>
            </w:pPr>
          </w:p>
        </w:tc>
        <w:tc>
          <w:tcPr>
            <w:tcW w:w="1134" w:type="dxa"/>
          </w:tcPr>
          <w:p w:rsidR="003E509A" w:rsidRPr="00262570" w:rsidRDefault="003E509A" w:rsidP="00312756">
            <w:pPr>
              <w:spacing w:before="0" w:after="0" w:line="240" w:lineRule="auto"/>
            </w:pPr>
            <w:r w:rsidRPr="00262570">
              <w:t>$12,000</w:t>
            </w:r>
          </w:p>
        </w:tc>
        <w:tc>
          <w:tcPr>
            <w:tcW w:w="1843" w:type="dxa"/>
          </w:tcPr>
          <w:p w:rsidR="003E509A" w:rsidRPr="00262570" w:rsidRDefault="003E509A" w:rsidP="00312756">
            <w:pPr>
              <w:spacing w:before="0" w:after="0" w:line="240" w:lineRule="auto"/>
            </w:pPr>
            <w:r w:rsidRPr="00262570">
              <w:t>Blood, blood  products, HPC</w:t>
            </w:r>
            <w:r>
              <w:t xml:space="preserve"> (all)</w:t>
            </w:r>
          </w:p>
        </w:tc>
      </w:tr>
      <w:tr w:rsidR="00AA75E9" w:rsidRPr="00262570" w:rsidTr="008B036D">
        <w:tc>
          <w:tcPr>
            <w:tcW w:w="5103" w:type="dxa"/>
          </w:tcPr>
          <w:p w:rsidR="00AA75E9" w:rsidRPr="00262570" w:rsidRDefault="00AA75E9" w:rsidP="00312756">
            <w:pPr>
              <w:spacing w:before="0" w:after="0" w:line="240" w:lineRule="auto"/>
            </w:pPr>
            <w:r>
              <w:t>Annual ARTG inclusion charge (biologicals only)</w:t>
            </w:r>
          </w:p>
        </w:tc>
        <w:tc>
          <w:tcPr>
            <w:tcW w:w="1134" w:type="dxa"/>
          </w:tcPr>
          <w:p w:rsidR="00AA75E9" w:rsidRPr="00262570" w:rsidRDefault="00AA75E9" w:rsidP="00312756">
            <w:pPr>
              <w:spacing w:before="0" w:after="0" w:line="240" w:lineRule="auto"/>
            </w:pPr>
            <w:r>
              <w:t>$5,810</w:t>
            </w:r>
          </w:p>
        </w:tc>
        <w:tc>
          <w:tcPr>
            <w:tcW w:w="1843" w:type="dxa"/>
          </w:tcPr>
          <w:p w:rsidR="00AA75E9" w:rsidRPr="00262570" w:rsidRDefault="00AA75E9" w:rsidP="00AA75E9">
            <w:pPr>
              <w:spacing w:before="0" w:after="0" w:line="240" w:lineRule="auto"/>
            </w:pPr>
            <w:r>
              <w:t>Tissues, cell therapies (all)</w:t>
            </w:r>
          </w:p>
        </w:tc>
      </w:tr>
      <w:tr w:rsidR="003E509A" w:rsidRPr="00262570" w:rsidTr="008B036D">
        <w:tc>
          <w:tcPr>
            <w:tcW w:w="5103" w:type="dxa"/>
          </w:tcPr>
          <w:p w:rsidR="003E509A" w:rsidRPr="00262570" w:rsidRDefault="003E509A" w:rsidP="00312756">
            <w:pPr>
              <w:spacing w:before="0" w:after="0" w:line="240" w:lineRule="auto"/>
            </w:pPr>
            <w:r w:rsidRPr="00262570">
              <w:t>Annual licence charges</w:t>
            </w:r>
            <w:r>
              <w:t xml:space="preserve"> (except biologicals)</w:t>
            </w:r>
          </w:p>
        </w:tc>
        <w:tc>
          <w:tcPr>
            <w:tcW w:w="1134" w:type="dxa"/>
          </w:tcPr>
          <w:p w:rsidR="003E509A" w:rsidRPr="00262570" w:rsidRDefault="003E509A" w:rsidP="00312756">
            <w:pPr>
              <w:spacing w:before="0" w:after="0" w:line="240" w:lineRule="auto"/>
            </w:pPr>
            <w:r w:rsidRPr="00262570">
              <w:t>$5</w:t>
            </w:r>
            <w:r>
              <w:t>6</w:t>
            </w:r>
            <w:r w:rsidRPr="00262570">
              <w:t xml:space="preserve">00 </w:t>
            </w:r>
          </w:p>
        </w:tc>
        <w:tc>
          <w:tcPr>
            <w:tcW w:w="1843" w:type="dxa"/>
          </w:tcPr>
          <w:p w:rsidR="003E509A" w:rsidRPr="00262570" w:rsidRDefault="003E509A" w:rsidP="00312756">
            <w:pPr>
              <w:spacing w:before="0" w:after="0" w:line="240" w:lineRule="auto"/>
            </w:pPr>
            <w:r w:rsidRPr="00262570">
              <w:t>Blood, blood  products, HPC</w:t>
            </w:r>
            <w:r>
              <w:t xml:space="preserve"> (all)</w:t>
            </w:r>
          </w:p>
        </w:tc>
      </w:tr>
      <w:tr w:rsidR="003E509A" w:rsidRPr="00262570" w:rsidTr="008B036D">
        <w:tc>
          <w:tcPr>
            <w:tcW w:w="5103" w:type="dxa"/>
          </w:tcPr>
          <w:p w:rsidR="003E509A" w:rsidRPr="00262570" w:rsidRDefault="003E509A" w:rsidP="00312756">
            <w:pPr>
              <w:spacing w:before="0" w:after="0" w:line="240" w:lineRule="auto"/>
            </w:pPr>
            <w:r w:rsidRPr="00262570">
              <w:t>Application fee for a biological (one-off)</w:t>
            </w:r>
            <w:r w:rsidRPr="00764017">
              <w:t>*</w:t>
            </w:r>
          </w:p>
        </w:tc>
        <w:tc>
          <w:tcPr>
            <w:tcW w:w="1134" w:type="dxa"/>
          </w:tcPr>
          <w:p w:rsidR="003E509A" w:rsidRPr="00262570" w:rsidRDefault="003E509A" w:rsidP="00312756">
            <w:pPr>
              <w:spacing w:before="0" w:after="0" w:line="240" w:lineRule="auto"/>
            </w:pPr>
            <w:r w:rsidRPr="00262570">
              <w:t>$950</w:t>
            </w:r>
          </w:p>
        </w:tc>
        <w:tc>
          <w:tcPr>
            <w:tcW w:w="1843" w:type="dxa"/>
          </w:tcPr>
          <w:p w:rsidR="003E509A" w:rsidRPr="00262570" w:rsidRDefault="003E509A" w:rsidP="00312756">
            <w:pPr>
              <w:spacing w:before="0" w:after="0" w:line="240" w:lineRule="auto"/>
            </w:pPr>
            <w:r w:rsidRPr="00262570">
              <w:t>Tissues, cell therapies</w:t>
            </w:r>
            <w:r>
              <w:t xml:space="preserve"> (all)</w:t>
            </w:r>
          </w:p>
        </w:tc>
      </w:tr>
      <w:tr w:rsidR="003E509A" w:rsidRPr="00262570" w:rsidTr="008B036D">
        <w:tc>
          <w:tcPr>
            <w:tcW w:w="5103" w:type="dxa"/>
            <w:hideMark/>
          </w:tcPr>
          <w:p w:rsidR="003E509A" w:rsidRPr="00262570" w:rsidRDefault="003E509A" w:rsidP="00312756">
            <w:pPr>
              <w:spacing w:before="0" w:after="0" w:line="240" w:lineRule="auto"/>
              <w:rPr>
                <w:rFonts w:eastAsia="Times New Roman"/>
                <w:lang w:eastAsia="en-AU"/>
              </w:rPr>
            </w:pPr>
            <w:r w:rsidRPr="00262570">
              <w:rPr>
                <w:rFonts w:eastAsia="Times New Roman"/>
                <w:lang w:eastAsia="en-AU"/>
              </w:rPr>
              <w:t>Evaluation of dossier for a Class 2 biological (one-off)</w:t>
            </w:r>
            <w:r w:rsidRPr="00764017">
              <w:rPr>
                <w:rFonts w:eastAsia="Times New Roman"/>
                <w:lang w:eastAsia="en-AU"/>
              </w:rPr>
              <w:t>*</w:t>
            </w:r>
          </w:p>
        </w:tc>
        <w:tc>
          <w:tcPr>
            <w:tcW w:w="1134" w:type="dxa"/>
            <w:hideMark/>
          </w:tcPr>
          <w:p w:rsidR="003E509A" w:rsidRPr="00262570" w:rsidRDefault="003E509A" w:rsidP="00312756">
            <w:pPr>
              <w:spacing w:before="0" w:after="0" w:line="240" w:lineRule="auto"/>
              <w:rPr>
                <w:rFonts w:eastAsia="Times New Roman"/>
                <w:lang w:eastAsia="en-AU"/>
              </w:rPr>
            </w:pPr>
            <w:r w:rsidRPr="00262570">
              <w:rPr>
                <w:rFonts w:eastAsia="Times New Roman"/>
                <w:lang w:eastAsia="en-AU"/>
              </w:rPr>
              <w:t>$63,400</w:t>
            </w:r>
          </w:p>
        </w:tc>
        <w:tc>
          <w:tcPr>
            <w:tcW w:w="1843" w:type="dxa"/>
          </w:tcPr>
          <w:p w:rsidR="003E509A" w:rsidRPr="00262570" w:rsidRDefault="003E509A" w:rsidP="00312756">
            <w:pPr>
              <w:spacing w:before="0" w:after="0" w:line="240" w:lineRule="auto"/>
              <w:rPr>
                <w:rFonts w:eastAsia="Times New Roman"/>
                <w:lang w:eastAsia="en-AU"/>
              </w:rPr>
            </w:pPr>
            <w:r w:rsidRPr="00262570">
              <w:t>Tissues</w:t>
            </w:r>
            <w:r>
              <w:t xml:space="preserve"> (19)</w:t>
            </w:r>
            <w:r w:rsidRPr="00262570">
              <w:t>, cell therapies</w:t>
            </w:r>
            <w:r>
              <w:t xml:space="preserve"> (unknown) </w:t>
            </w:r>
          </w:p>
        </w:tc>
      </w:tr>
      <w:tr w:rsidR="003E509A" w:rsidRPr="00262570" w:rsidTr="008B036D">
        <w:tc>
          <w:tcPr>
            <w:tcW w:w="5103" w:type="dxa"/>
            <w:hideMark/>
          </w:tcPr>
          <w:p w:rsidR="003E509A" w:rsidRPr="00262570" w:rsidRDefault="003E509A" w:rsidP="00312756">
            <w:pPr>
              <w:spacing w:before="0" w:after="0" w:line="240" w:lineRule="auto"/>
              <w:rPr>
                <w:rFonts w:eastAsia="Times New Roman"/>
                <w:lang w:eastAsia="en-AU"/>
              </w:rPr>
            </w:pPr>
            <w:r w:rsidRPr="00262570">
              <w:rPr>
                <w:rFonts w:eastAsia="Times New Roman"/>
                <w:lang w:eastAsia="en-AU"/>
              </w:rPr>
              <w:t>Evaluation of dossier for a Class 3 biological (one-off)</w:t>
            </w:r>
            <w:r w:rsidRPr="00764017">
              <w:rPr>
                <w:rFonts w:eastAsia="Times New Roman"/>
                <w:lang w:eastAsia="en-AU"/>
              </w:rPr>
              <w:t>*</w:t>
            </w:r>
          </w:p>
        </w:tc>
        <w:tc>
          <w:tcPr>
            <w:tcW w:w="1134" w:type="dxa"/>
            <w:hideMark/>
          </w:tcPr>
          <w:p w:rsidR="003E509A" w:rsidRPr="00262570" w:rsidRDefault="003E509A" w:rsidP="00312756">
            <w:pPr>
              <w:spacing w:before="0" w:after="0" w:line="240" w:lineRule="auto"/>
              <w:rPr>
                <w:rFonts w:eastAsia="Times New Roman"/>
                <w:lang w:eastAsia="en-AU"/>
              </w:rPr>
            </w:pPr>
            <w:r w:rsidRPr="00262570">
              <w:rPr>
                <w:rFonts w:eastAsia="Times New Roman"/>
                <w:lang w:eastAsia="en-AU"/>
              </w:rPr>
              <w:t>$126,700</w:t>
            </w:r>
          </w:p>
        </w:tc>
        <w:tc>
          <w:tcPr>
            <w:tcW w:w="1843" w:type="dxa"/>
          </w:tcPr>
          <w:p w:rsidR="003E509A" w:rsidRPr="00262570" w:rsidRDefault="003E509A" w:rsidP="00312756">
            <w:pPr>
              <w:spacing w:before="0" w:after="0" w:line="240" w:lineRule="auto"/>
              <w:rPr>
                <w:rFonts w:eastAsia="Times New Roman"/>
                <w:lang w:eastAsia="en-AU"/>
              </w:rPr>
            </w:pPr>
            <w:r w:rsidRPr="00262570">
              <w:t>Tissues</w:t>
            </w:r>
            <w:r>
              <w:t xml:space="preserve"> (4)</w:t>
            </w:r>
            <w:r w:rsidRPr="00262570">
              <w:t>, cell therapies</w:t>
            </w:r>
            <w:r>
              <w:t xml:space="preserve"> (4)</w:t>
            </w:r>
          </w:p>
        </w:tc>
      </w:tr>
      <w:tr w:rsidR="003E509A" w:rsidRPr="00262570" w:rsidTr="008B036D">
        <w:tc>
          <w:tcPr>
            <w:tcW w:w="5103" w:type="dxa"/>
            <w:hideMark/>
          </w:tcPr>
          <w:p w:rsidR="003E509A" w:rsidRPr="00262570" w:rsidRDefault="003E509A" w:rsidP="00312756">
            <w:pPr>
              <w:spacing w:before="0" w:after="0" w:line="240" w:lineRule="auto"/>
              <w:rPr>
                <w:rFonts w:eastAsia="Times New Roman"/>
                <w:lang w:eastAsia="en-AU"/>
              </w:rPr>
            </w:pPr>
            <w:r w:rsidRPr="00262570">
              <w:rPr>
                <w:rFonts w:eastAsia="Times New Roman"/>
                <w:lang w:eastAsia="en-AU"/>
              </w:rPr>
              <w:t>Evaluation of dossier for a Class 4 biological (one-off)</w:t>
            </w:r>
            <w:r w:rsidRPr="00764017">
              <w:rPr>
                <w:rFonts w:eastAsia="Times New Roman"/>
                <w:lang w:eastAsia="en-AU"/>
              </w:rPr>
              <w:t>*</w:t>
            </w:r>
          </w:p>
        </w:tc>
        <w:tc>
          <w:tcPr>
            <w:tcW w:w="1134" w:type="dxa"/>
            <w:hideMark/>
          </w:tcPr>
          <w:p w:rsidR="003E509A" w:rsidRPr="00262570" w:rsidRDefault="003E509A" w:rsidP="00312756">
            <w:pPr>
              <w:spacing w:before="0" w:after="0" w:line="240" w:lineRule="auto"/>
              <w:rPr>
                <w:rFonts w:eastAsia="Times New Roman"/>
                <w:lang w:eastAsia="en-AU"/>
              </w:rPr>
            </w:pPr>
            <w:r w:rsidRPr="00262570">
              <w:rPr>
                <w:rFonts w:eastAsia="Times New Roman"/>
                <w:lang w:eastAsia="en-AU"/>
              </w:rPr>
              <w:t>$205,900</w:t>
            </w:r>
          </w:p>
        </w:tc>
        <w:tc>
          <w:tcPr>
            <w:tcW w:w="1843" w:type="dxa"/>
          </w:tcPr>
          <w:p w:rsidR="003E509A" w:rsidRPr="00262570" w:rsidRDefault="003E509A" w:rsidP="00312756">
            <w:pPr>
              <w:spacing w:before="0" w:after="0" w:line="240" w:lineRule="auto"/>
              <w:rPr>
                <w:rFonts w:eastAsia="Times New Roman"/>
                <w:lang w:eastAsia="en-AU"/>
              </w:rPr>
            </w:pPr>
            <w:r w:rsidRPr="00262570">
              <w:t>Tissues</w:t>
            </w:r>
            <w:r>
              <w:t xml:space="preserve"> (0)</w:t>
            </w:r>
            <w:r w:rsidRPr="00262570">
              <w:t>, cell therapies</w:t>
            </w:r>
            <w:r>
              <w:t xml:space="preserve"> (unknown)</w:t>
            </w:r>
          </w:p>
        </w:tc>
      </w:tr>
      <w:tr w:rsidR="003E509A" w:rsidRPr="00262570" w:rsidTr="008B036D">
        <w:tc>
          <w:tcPr>
            <w:tcW w:w="5103" w:type="dxa"/>
            <w:hideMark/>
          </w:tcPr>
          <w:p w:rsidR="003E509A" w:rsidRPr="00262570" w:rsidRDefault="003E509A" w:rsidP="00312756">
            <w:pPr>
              <w:spacing w:before="0" w:after="0" w:line="240" w:lineRule="auto"/>
              <w:rPr>
                <w:rFonts w:eastAsia="Times New Roman"/>
                <w:lang w:eastAsia="en-AU"/>
              </w:rPr>
            </w:pPr>
            <w:r w:rsidRPr="00262570">
              <w:rPr>
                <w:rFonts w:eastAsia="Times New Roman"/>
                <w:lang w:eastAsia="en-AU"/>
              </w:rPr>
              <w:t>Evaluation of technical master file or plasma master file (annual)</w:t>
            </w:r>
          </w:p>
        </w:tc>
        <w:tc>
          <w:tcPr>
            <w:tcW w:w="1134" w:type="dxa"/>
            <w:hideMark/>
          </w:tcPr>
          <w:p w:rsidR="003E509A" w:rsidRPr="00262570" w:rsidRDefault="003E509A" w:rsidP="00312756">
            <w:pPr>
              <w:spacing w:before="0" w:after="0" w:line="240" w:lineRule="auto"/>
              <w:rPr>
                <w:rFonts w:eastAsia="Times New Roman"/>
                <w:lang w:eastAsia="en-AU"/>
              </w:rPr>
            </w:pPr>
            <w:r w:rsidRPr="00262570">
              <w:t>$29,600</w:t>
            </w:r>
          </w:p>
        </w:tc>
        <w:tc>
          <w:tcPr>
            <w:tcW w:w="1843" w:type="dxa"/>
          </w:tcPr>
          <w:p w:rsidR="003E509A" w:rsidRPr="00262570" w:rsidRDefault="003E509A" w:rsidP="00312756">
            <w:pPr>
              <w:spacing w:before="0" w:after="0" w:line="240" w:lineRule="auto"/>
            </w:pPr>
            <w:r w:rsidRPr="00262570">
              <w:t>Blood, blood product</w:t>
            </w:r>
            <w:r>
              <w:t>s</w:t>
            </w:r>
            <w:r w:rsidRPr="00262570">
              <w:t>, HPC</w:t>
            </w:r>
            <w:r>
              <w:t xml:space="preserve"> (all)</w:t>
            </w:r>
          </w:p>
        </w:tc>
      </w:tr>
    </w:tbl>
    <w:p w:rsidR="003E509A" w:rsidRDefault="003E509A" w:rsidP="003E509A">
      <w:r>
        <w:t>The introduction of the new regulatory framework for biologicals requires that all biologicals manufacturers (</w:t>
      </w:r>
      <w:r w:rsidR="002F7738">
        <w:t>n=</w:t>
      </w:r>
      <w:r>
        <w:t>25</w:t>
      </w:r>
      <w:r w:rsidR="002F7738">
        <w:t xml:space="preserve"> existing</w:t>
      </w:r>
      <w:r>
        <w:t>) submit a one-off application and dossier to the TGA. It is expected that all of these applications will be received in the next two years.</w:t>
      </w:r>
    </w:p>
    <w:p w:rsidR="008F762A" w:rsidRDefault="008F762A" w:rsidP="008F762A"/>
    <w:p w:rsidR="00EC6BBA" w:rsidRPr="008F762A" w:rsidRDefault="00EC6BBA" w:rsidP="008F762A">
      <w:pPr>
        <w:sectPr w:rsidR="00EC6BBA" w:rsidRPr="008F762A" w:rsidSect="00416AC8">
          <w:headerReference w:type="default" r:id="rId22"/>
          <w:footerReference w:type="default" r:id="rId23"/>
          <w:type w:val="continuous"/>
          <w:pgSz w:w="11906" w:h="16838" w:code="9"/>
          <w:pgMar w:top="1418" w:right="1701" w:bottom="709" w:left="1701" w:header="573" w:footer="356" w:gutter="0"/>
          <w:cols w:space="708"/>
          <w:docGrid w:linePitch="360"/>
        </w:sectPr>
      </w:pPr>
      <w:r>
        <w:t xml:space="preserve">Biologicals fees and charges were developed and consulted in the Cost Recovery Impact Statement (see </w:t>
      </w:r>
      <w:r w:rsidRPr="00EC6BBA">
        <w:t>http://www.tga.gov.au/about/fees-cris-biologicals-110201.htm</w:t>
      </w:r>
      <w:r>
        <w:t>)</w:t>
      </w:r>
    </w:p>
    <w:p w:rsidR="009511F3" w:rsidRDefault="009511F3" w:rsidP="00B72678">
      <w:pPr>
        <w:pStyle w:val="Heading3"/>
      </w:pPr>
      <w:bookmarkStart w:id="71" w:name="_Toc341452861"/>
      <w:r>
        <w:lastRenderedPageBreak/>
        <w:t>Appendix D</w:t>
      </w:r>
      <w:r w:rsidR="00B72678">
        <w:t>: Issues and endorsed amendments for the revised ID Order</w:t>
      </w:r>
      <w:bookmarkEnd w:id="71"/>
    </w:p>
    <w:tbl>
      <w:tblPr>
        <w:tblStyle w:val="TableGrid"/>
        <w:tblW w:w="0" w:type="auto"/>
        <w:tblLook w:val="04A0"/>
      </w:tblPr>
      <w:tblGrid>
        <w:gridCol w:w="3075"/>
        <w:gridCol w:w="5926"/>
        <w:gridCol w:w="5926"/>
      </w:tblGrid>
      <w:tr w:rsidR="009511F3" w:rsidRPr="00B72678" w:rsidTr="00B72678">
        <w:trPr>
          <w:tblHeader/>
        </w:trPr>
        <w:tc>
          <w:tcPr>
            <w:tcW w:w="0" w:type="auto"/>
          </w:tcPr>
          <w:p w:rsidR="009511F3" w:rsidRPr="00B72678" w:rsidRDefault="009511F3" w:rsidP="00E87EE6">
            <w:pPr>
              <w:jc w:val="both"/>
              <w:rPr>
                <w:b/>
              </w:rPr>
            </w:pPr>
            <w:r w:rsidRPr="00B72678">
              <w:rPr>
                <w:b/>
              </w:rPr>
              <w:t>Issue</w:t>
            </w:r>
          </w:p>
        </w:tc>
        <w:tc>
          <w:tcPr>
            <w:tcW w:w="0" w:type="auto"/>
          </w:tcPr>
          <w:p w:rsidR="009511F3" w:rsidRPr="00B72678" w:rsidRDefault="009511F3" w:rsidP="00823201">
            <w:pPr>
              <w:rPr>
                <w:b/>
              </w:rPr>
            </w:pPr>
            <w:r w:rsidRPr="00B72678">
              <w:rPr>
                <w:b/>
              </w:rPr>
              <w:t>Comment</w:t>
            </w:r>
          </w:p>
        </w:tc>
        <w:tc>
          <w:tcPr>
            <w:tcW w:w="0" w:type="auto"/>
          </w:tcPr>
          <w:p w:rsidR="009511F3" w:rsidRPr="00B72678" w:rsidRDefault="009511F3" w:rsidP="00823201">
            <w:pPr>
              <w:rPr>
                <w:b/>
              </w:rPr>
            </w:pPr>
            <w:r w:rsidRPr="00B72678">
              <w:rPr>
                <w:b/>
              </w:rPr>
              <w:t>TGC Subcommittee endorsed response</w:t>
            </w:r>
          </w:p>
        </w:tc>
      </w:tr>
      <w:tr w:rsidR="009511F3" w:rsidTr="00B72678">
        <w:tc>
          <w:tcPr>
            <w:tcW w:w="0" w:type="auto"/>
          </w:tcPr>
          <w:p w:rsidR="009511F3" w:rsidRPr="002345BC" w:rsidRDefault="009511F3" w:rsidP="00E87EE6">
            <w:pPr>
              <w:spacing w:before="0" w:after="200" w:line="276" w:lineRule="auto"/>
              <w:ind w:left="360"/>
            </w:pPr>
            <w:r w:rsidRPr="00522AA6">
              <w:rPr>
                <w:i/>
              </w:rPr>
              <w:t>Transition arrangements for implementation of the ID Order as a TGO.</w:t>
            </w:r>
            <w:r w:rsidRPr="002345BC">
              <w:t xml:space="preserve"> </w:t>
            </w:r>
          </w:p>
          <w:p w:rsidR="009511F3" w:rsidRDefault="009511F3" w:rsidP="00E87EE6">
            <w:pPr>
              <w:spacing w:before="0" w:after="200" w:line="276" w:lineRule="auto"/>
              <w:ind w:left="360"/>
              <w:jc w:val="both"/>
            </w:pPr>
          </w:p>
        </w:tc>
        <w:tc>
          <w:tcPr>
            <w:tcW w:w="0" w:type="auto"/>
          </w:tcPr>
          <w:p w:rsidR="009511F3" w:rsidRPr="002345BC" w:rsidRDefault="009511F3" w:rsidP="009511F3">
            <w:pPr>
              <w:spacing w:before="0" w:after="200" w:line="276" w:lineRule="auto"/>
              <w:ind w:left="360"/>
            </w:pPr>
            <w:r w:rsidRPr="002345BC">
              <w:t xml:space="preserve">Stakeholders raised concerns in relation to transition arrangements and management of long standing product inventories on implementation of the TGO. </w:t>
            </w:r>
            <w:r>
              <w:t xml:space="preserve"> In particular, there were concerns that biological products already in inventory would need to be retested against additional tests specified for new donations. Currently a biological product can be used today if the practice at the time of collection had deemed the product suitable for release.</w:t>
            </w:r>
          </w:p>
          <w:p w:rsidR="009511F3" w:rsidRDefault="009511F3" w:rsidP="00823201"/>
        </w:tc>
        <w:tc>
          <w:tcPr>
            <w:tcW w:w="0" w:type="auto"/>
          </w:tcPr>
          <w:p w:rsidR="009511F3" w:rsidRPr="00304F7D" w:rsidRDefault="009511F3" w:rsidP="009511F3">
            <w:pPr>
              <w:spacing w:before="0" w:after="200" w:line="276" w:lineRule="auto"/>
              <w:ind w:left="360"/>
            </w:pPr>
            <w:r>
              <w:t xml:space="preserve">The TGC </w:t>
            </w:r>
            <w:r w:rsidR="003C09BF">
              <w:t>Subc</w:t>
            </w:r>
            <w:r w:rsidR="003C09BF" w:rsidRPr="000A77AA">
              <w:t>ommittee</w:t>
            </w:r>
            <w:r w:rsidRPr="000A77AA">
              <w:t xml:space="preserve"> supported transition arrangements for all biological products that were collected prior to the date of implementation of the ID Order (12 months after commencement of TGO). Biologicals that do not meet requirements of the TGO must comply with the equivalent of the TGA revised version after Round 2 consultation Subsection 9(9), that is the requirement to retest is to be determined by the manufacturer based on risk and after consultation with the TGA.</w:t>
            </w:r>
          </w:p>
          <w:p w:rsidR="009511F3" w:rsidRDefault="009511F3" w:rsidP="00823201"/>
        </w:tc>
      </w:tr>
      <w:tr w:rsidR="009511F3" w:rsidTr="00B72678">
        <w:tc>
          <w:tcPr>
            <w:tcW w:w="0" w:type="auto"/>
          </w:tcPr>
          <w:p w:rsidR="009511F3" w:rsidRPr="009511F3" w:rsidRDefault="009511F3" w:rsidP="00E87EE6">
            <w:pPr>
              <w:spacing w:before="0" w:after="200" w:line="276" w:lineRule="auto"/>
              <w:ind w:left="284"/>
              <w:rPr>
                <w:i/>
              </w:rPr>
            </w:pPr>
            <w:r w:rsidRPr="009511F3">
              <w:rPr>
                <w:i/>
              </w:rPr>
              <w:t xml:space="preserve">Proposed amendments to timeframes to conduct donor medical and social history interviews. </w:t>
            </w:r>
          </w:p>
          <w:p w:rsidR="009511F3" w:rsidRPr="00304F7D" w:rsidRDefault="009511F3" w:rsidP="00E87EE6">
            <w:pPr>
              <w:spacing w:before="0" w:after="200" w:line="276" w:lineRule="auto"/>
              <w:ind w:left="360"/>
              <w:jc w:val="both"/>
              <w:rPr>
                <w:highlight w:val="yellow"/>
              </w:rPr>
            </w:pPr>
          </w:p>
          <w:p w:rsidR="009511F3" w:rsidRDefault="009511F3" w:rsidP="00E87EE6">
            <w:pPr>
              <w:jc w:val="both"/>
            </w:pPr>
          </w:p>
        </w:tc>
        <w:tc>
          <w:tcPr>
            <w:tcW w:w="0" w:type="auto"/>
          </w:tcPr>
          <w:p w:rsidR="009511F3" w:rsidRPr="000A77AA" w:rsidRDefault="009511F3" w:rsidP="009511F3">
            <w:pPr>
              <w:spacing w:before="0" w:after="200" w:line="276" w:lineRule="auto"/>
              <w:ind w:left="360"/>
            </w:pPr>
            <w:r w:rsidRPr="000A77AA">
              <w:t xml:space="preserve">Stakeholders had argued both for wider (30 days prior) and narrower (the day of donation) requirements. Internationally for different product sectors there was a diversity of requirements. </w:t>
            </w:r>
          </w:p>
          <w:p w:rsidR="009511F3" w:rsidRDefault="009511F3" w:rsidP="00823201"/>
        </w:tc>
        <w:tc>
          <w:tcPr>
            <w:tcW w:w="0" w:type="auto"/>
          </w:tcPr>
          <w:p w:rsidR="009511F3" w:rsidRDefault="009511F3" w:rsidP="00823201">
            <w:r>
              <w:t>The TGC Subcommittee</w:t>
            </w:r>
            <w:r w:rsidRPr="000A77AA">
              <w:t xml:space="preserve"> agreed that as the ID Order was to apply to a range of HCTs the timeframes should be set at 30 days prior to or 30 days after donation. It was agreed that the ID Order would establish minimum requirements and that product-specific TGOs should specify the appropriate limit that manufacturers should observe for that product.</w:t>
            </w:r>
          </w:p>
        </w:tc>
      </w:tr>
      <w:tr w:rsidR="009511F3" w:rsidTr="00B72678">
        <w:tc>
          <w:tcPr>
            <w:tcW w:w="0" w:type="auto"/>
          </w:tcPr>
          <w:p w:rsidR="009511F3" w:rsidRPr="00522AA6" w:rsidRDefault="009511F3" w:rsidP="00E87EE6">
            <w:pPr>
              <w:spacing w:before="0" w:after="200" w:line="276" w:lineRule="auto"/>
              <w:ind w:left="360"/>
              <w:rPr>
                <w:i/>
              </w:rPr>
            </w:pPr>
            <w:r w:rsidRPr="00522AA6">
              <w:rPr>
                <w:i/>
              </w:rPr>
              <w:t xml:space="preserve">Applicability of donor social and medical history </w:t>
            </w:r>
            <w:r w:rsidRPr="00522AA6">
              <w:rPr>
                <w:i/>
              </w:rPr>
              <w:lastRenderedPageBreak/>
              <w:t xml:space="preserve">criteria for autologous donors. </w:t>
            </w:r>
          </w:p>
          <w:p w:rsidR="009511F3" w:rsidRDefault="009511F3" w:rsidP="00E87EE6">
            <w:pPr>
              <w:spacing w:before="0" w:after="200" w:line="276" w:lineRule="auto"/>
              <w:ind w:left="360"/>
              <w:jc w:val="both"/>
            </w:pPr>
          </w:p>
        </w:tc>
        <w:tc>
          <w:tcPr>
            <w:tcW w:w="0" w:type="auto"/>
          </w:tcPr>
          <w:p w:rsidR="009511F3" w:rsidRPr="000A77AA" w:rsidRDefault="009511F3" w:rsidP="009511F3">
            <w:pPr>
              <w:spacing w:before="0" w:after="200" w:line="276" w:lineRule="auto"/>
              <w:ind w:left="360"/>
            </w:pPr>
            <w:r>
              <w:lastRenderedPageBreak/>
              <w:t>Areas of concern were raised regarding</w:t>
            </w:r>
            <w:r w:rsidRPr="000A77AA">
              <w:t xml:space="preserve">: subsequent redirection for allogeneic use when the intent at the time </w:t>
            </w:r>
            <w:r w:rsidRPr="000A77AA">
              <w:lastRenderedPageBreak/>
              <w:t xml:space="preserve">of collection was autologous use; misdirection of autologous donations for allogeneic use with a failure of quality system management; relevance of contaminated autologous donations in the total inventory. </w:t>
            </w:r>
            <w:r>
              <w:t>It was</w:t>
            </w:r>
            <w:r w:rsidRPr="000A77AA">
              <w:t xml:space="preserve"> recognis</w:t>
            </w:r>
            <w:r>
              <w:t>ed that quality systems include</w:t>
            </w:r>
            <w:r w:rsidRPr="000A77AA">
              <w:t xml:space="preserve"> multiple s</w:t>
            </w:r>
            <w:r>
              <w:t>trategies for safety that need</w:t>
            </w:r>
            <w:r w:rsidRPr="000A77AA">
              <w:t xml:space="preserve"> to </w:t>
            </w:r>
            <w:r>
              <w:t>operate</w:t>
            </w:r>
            <w:r w:rsidRPr="000A77AA">
              <w:t xml:space="preserve"> together, and the neither questionnaires nor product labelling guaranteed safety. As autologous donations were diverse, </w:t>
            </w:r>
            <w:r>
              <w:t>it was proposed that</w:t>
            </w:r>
            <w:r w:rsidRPr="000A77AA">
              <w:t xml:space="preserve"> manufacturers determine a risk-based approach. Dealing with this issue in </w:t>
            </w:r>
            <w:r>
              <w:t>product-specific o</w:t>
            </w:r>
            <w:r w:rsidRPr="000A77AA">
              <w:t xml:space="preserve">rders was </w:t>
            </w:r>
            <w:r>
              <w:t>deemed to be not feasible, as not all tissues would be subject to product-specific o</w:t>
            </w:r>
            <w:r w:rsidRPr="000A77AA">
              <w:t xml:space="preserve">rders. </w:t>
            </w:r>
          </w:p>
          <w:p w:rsidR="009511F3" w:rsidRDefault="009511F3" w:rsidP="00823201"/>
        </w:tc>
        <w:tc>
          <w:tcPr>
            <w:tcW w:w="0" w:type="auto"/>
          </w:tcPr>
          <w:p w:rsidR="009511F3" w:rsidRPr="00304F7D" w:rsidRDefault="009511F3" w:rsidP="009511F3">
            <w:pPr>
              <w:spacing w:before="0" w:after="200" w:line="276" w:lineRule="auto"/>
              <w:ind w:left="360"/>
            </w:pPr>
            <w:r w:rsidRPr="000A77AA">
              <w:lastRenderedPageBreak/>
              <w:t xml:space="preserve">The TGC Subcommittee endorsed that for autologous donations, manufacturers should determine which, if </w:t>
            </w:r>
            <w:r w:rsidRPr="000A77AA">
              <w:lastRenderedPageBreak/>
              <w:t>any, of the medical and social history criteria listed in Table 1 of the ID Order should be applied. This will be informed by a risk-based assessment of the tissue or cells to be collected and must be justified in the product dossier submitted for product evaluation.</w:t>
            </w:r>
          </w:p>
          <w:p w:rsidR="009511F3" w:rsidRDefault="009511F3" w:rsidP="00823201"/>
        </w:tc>
      </w:tr>
      <w:tr w:rsidR="009511F3" w:rsidTr="00B72678">
        <w:tc>
          <w:tcPr>
            <w:tcW w:w="0" w:type="auto"/>
          </w:tcPr>
          <w:p w:rsidR="00522AA6" w:rsidRPr="00522AA6" w:rsidRDefault="00522AA6" w:rsidP="00E87EE6">
            <w:pPr>
              <w:spacing w:before="0" w:after="200" w:line="276" w:lineRule="auto"/>
              <w:ind w:left="360"/>
              <w:rPr>
                <w:i/>
              </w:rPr>
            </w:pPr>
            <w:r w:rsidRPr="00522AA6">
              <w:rPr>
                <w:i/>
              </w:rPr>
              <w:lastRenderedPageBreak/>
              <w:t xml:space="preserve">Ineligibility time period for non-medical drug injection. </w:t>
            </w:r>
          </w:p>
          <w:p w:rsidR="009511F3" w:rsidRDefault="009511F3" w:rsidP="00E87EE6">
            <w:pPr>
              <w:spacing w:before="0" w:after="200" w:line="276" w:lineRule="auto"/>
              <w:ind w:left="360"/>
              <w:jc w:val="both"/>
            </w:pPr>
          </w:p>
        </w:tc>
        <w:tc>
          <w:tcPr>
            <w:tcW w:w="0" w:type="auto"/>
          </w:tcPr>
          <w:p w:rsidR="00522AA6" w:rsidRPr="00304F7D" w:rsidRDefault="00522AA6" w:rsidP="00522AA6">
            <w:pPr>
              <w:spacing w:before="0" w:after="200" w:line="276" w:lineRule="auto"/>
              <w:ind w:left="360"/>
            </w:pPr>
            <w:r w:rsidRPr="00304F7D">
              <w:t>Areas of concern were raised regarding: unreliability of donor’s memories regarding non medical injected drug use; availability of laboratory testing for hepatitis; harmonisation of wording of this donor medical and social hist</w:t>
            </w:r>
            <w:r>
              <w:t>ory criterion with current Australian Red Cross Blood Service</w:t>
            </w:r>
            <w:r w:rsidRPr="00304F7D">
              <w:t xml:space="preserve"> questionnaire for blood donors wording.  </w:t>
            </w:r>
          </w:p>
          <w:p w:rsidR="00522AA6" w:rsidRPr="00304F7D" w:rsidRDefault="00522AA6" w:rsidP="00522AA6">
            <w:pPr>
              <w:spacing w:before="0" w:after="200" w:line="276" w:lineRule="auto"/>
              <w:ind w:left="360"/>
            </w:pPr>
            <w:r w:rsidRPr="00304F7D">
              <w:t xml:space="preserve">It was proposed that the guidelines for the ID Order explain non medical drug injection, including discussion on the use of medicines administered outside of </w:t>
            </w:r>
            <w:r w:rsidRPr="00304F7D">
              <w:lastRenderedPageBreak/>
              <w:t xml:space="preserve">Australia.  </w:t>
            </w:r>
          </w:p>
          <w:p w:rsidR="009511F3" w:rsidRDefault="009511F3" w:rsidP="00823201"/>
        </w:tc>
        <w:tc>
          <w:tcPr>
            <w:tcW w:w="0" w:type="auto"/>
          </w:tcPr>
          <w:p w:rsidR="00522AA6" w:rsidRPr="00304F7D" w:rsidRDefault="00522AA6" w:rsidP="00522AA6">
            <w:pPr>
              <w:spacing w:before="0" w:after="200" w:line="276" w:lineRule="auto"/>
              <w:ind w:left="360"/>
            </w:pPr>
            <w:r w:rsidRPr="00304F7D">
              <w:lastRenderedPageBreak/>
              <w:t>The TGC Subcommittee endorsed the proposal that donors who have ever injected, or been injected with, any drug for a non medical reason should be ineligible if evidence of risk behaviour occurred within the previous five years.</w:t>
            </w:r>
          </w:p>
          <w:p w:rsidR="009511F3" w:rsidRDefault="009511F3" w:rsidP="00823201"/>
        </w:tc>
      </w:tr>
      <w:tr w:rsidR="009511F3" w:rsidTr="00B72678">
        <w:tc>
          <w:tcPr>
            <w:tcW w:w="0" w:type="auto"/>
          </w:tcPr>
          <w:p w:rsidR="00522AA6" w:rsidRPr="00522AA6" w:rsidRDefault="00522AA6" w:rsidP="00E87EE6">
            <w:pPr>
              <w:spacing w:before="0" w:after="200" w:line="276" w:lineRule="auto"/>
              <w:ind w:left="360"/>
              <w:rPr>
                <w:i/>
              </w:rPr>
            </w:pPr>
            <w:r w:rsidRPr="00522AA6">
              <w:rPr>
                <w:i/>
              </w:rPr>
              <w:lastRenderedPageBreak/>
              <w:t xml:space="preserve">Ineligibility time period for risk of malaria. </w:t>
            </w:r>
          </w:p>
          <w:p w:rsidR="00522AA6" w:rsidRPr="00641C04" w:rsidRDefault="00522AA6" w:rsidP="00E87EE6">
            <w:pPr>
              <w:pStyle w:val="ListParagraph"/>
              <w:jc w:val="both"/>
              <w:rPr>
                <w:highlight w:val="yellow"/>
              </w:rPr>
            </w:pPr>
          </w:p>
          <w:p w:rsidR="009511F3" w:rsidRDefault="009511F3" w:rsidP="00E87EE6">
            <w:pPr>
              <w:spacing w:before="0" w:after="200" w:line="276" w:lineRule="auto"/>
              <w:ind w:left="360"/>
              <w:jc w:val="both"/>
            </w:pPr>
          </w:p>
        </w:tc>
        <w:tc>
          <w:tcPr>
            <w:tcW w:w="0" w:type="auto"/>
          </w:tcPr>
          <w:p w:rsidR="00522AA6" w:rsidRPr="00304F7D" w:rsidRDefault="00522AA6" w:rsidP="00522AA6">
            <w:pPr>
              <w:spacing w:before="0" w:after="200" w:line="276" w:lineRule="auto"/>
              <w:ind w:left="360"/>
            </w:pPr>
            <w:r w:rsidRPr="00304F7D">
              <w:t xml:space="preserve">It was proposed that the malaria ineligibility requirements in the ID Order should be aligned with those in TGO 81 Standards for Blood and Blood Components, which are consistent with those of the Council of Europe (2009).  </w:t>
            </w:r>
          </w:p>
          <w:p w:rsidR="009511F3" w:rsidRDefault="009511F3" w:rsidP="00823201"/>
        </w:tc>
        <w:tc>
          <w:tcPr>
            <w:tcW w:w="0" w:type="auto"/>
          </w:tcPr>
          <w:p w:rsidR="00522AA6" w:rsidRPr="00304F7D" w:rsidRDefault="003C09BF" w:rsidP="00522AA6">
            <w:pPr>
              <w:spacing w:before="0" w:after="200" w:line="276" w:lineRule="auto"/>
              <w:ind w:left="360"/>
            </w:pPr>
            <w:r>
              <w:t xml:space="preserve">The TGC Subcommittee </w:t>
            </w:r>
            <w:r w:rsidR="00522AA6" w:rsidRPr="00304F7D">
              <w:t>endorsed that the ineligibility time periods for the risk of malaria be those of the 14th edition (2009) Council of Europe requirements, with correction to “a malarial endemic area” in Table 1 of the ID Order.</w:t>
            </w:r>
          </w:p>
          <w:p w:rsidR="009511F3" w:rsidRDefault="009511F3" w:rsidP="00823201"/>
        </w:tc>
      </w:tr>
      <w:tr w:rsidR="00522AA6" w:rsidTr="00B72678">
        <w:tc>
          <w:tcPr>
            <w:tcW w:w="0" w:type="auto"/>
          </w:tcPr>
          <w:p w:rsidR="00522AA6" w:rsidRPr="00522AA6" w:rsidRDefault="00522AA6" w:rsidP="00E87EE6">
            <w:pPr>
              <w:spacing w:before="0" w:after="200" w:line="276" w:lineRule="auto"/>
              <w:ind w:left="360"/>
              <w:rPr>
                <w:i/>
              </w:rPr>
            </w:pPr>
            <w:r w:rsidRPr="00522AA6">
              <w:rPr>
                <w:i/>
              </w:rPr>
              <w:t xml:space="preserve">Malarial deferral for eye and cornea donations. </w:t>
            </w:r>
          </w:p>
          <w:p w:rsidR="00522AA6" w:rsidRPr="00304F7D" w:rsidRDefault="00522AA6" w:rsidP="00E87EE6">
            <w:pPr>
              <w:spacing w:before="0" w:after="200" w:line="276" w:lineRule="auto"/>
              <w:ind w:left="360"/>
              <w:jc w:val="both"/>
              <w:rPr>
                <w:i/>
              </w:rPr>
            </w:pPr>
          </w:p>
        </w:tc>
        <w:tc>
          <w:tcPr>
            <w:tcW w:w="0" w:type="auto"/>
          </w:tcPr>
          <w:p w:rsidR="00522AA6" w:rsidRPr="00304F7D" w:rsidRDefault="00522AA6" w:rsidP="00522AA6">
            <w:pPr>
              <w:spacing w:before="0" w:after="200" w:line="276" w:lineRule="auto"/>
              <w:ind w:left="360"/>
            </w:pPr>
            <w:r w:rsidRPr="00304F7D">
              <w:t>It was suggested that as there is no significant risk of transmission of malaria via ocular tissue and this should be reflected in requirements for donations intended exclusively for ocular tissue use.</w:t>
            </w:r>
          </w:p>
          <w:p w:rsidR="00522AA6" w:rsidRPr="00304F7D" w:rsidRDefault="00522AA6" w:rsidP="00522AA6">
            <w:pPr>
              <w:spacing w:before="0" w:after="200" w:line="276" w:lineRule="auto"/>
              <w:ind w:left="360"/>
            </w:pPr>
          </w:p>
        </w:tc>
        <w:tc>
          <w:tcPr>
            <w:tcW w:w="0" w:type="auto"/>
          </w:tcPr>
          <w:p w:rsidR="00522AA6" w:rsidRPr="00304F7D" w:rsidRDefault="00522AA6" w:rsidP="00522AA6">
            <w:pPr>
              <w:spacing w:before="0" w:after="200" w:line="276" w:lineRule="auto"/>
              <w:ind w:left="360"/>
            </w:pPr>
            <w:r w:rsidRPr="00304F7D">
              <w:t xml:space="preserve">The TGC Subcommittee endorsed the inclusion of </w:t>
            </w:r>
            <w:r>
              <w:t>a new section in the ID Order</w:t>
            </w:r>
            <w:r w:rsidRPr="00304F7D">
              <w:t>, to the effect that testing and deferral period requirement of Table 1 relating to malaria are not requirements to be met when the donation is to be used exclusively for ocular tissue.</w:t>
            </w:r>
          </w:p>
          <w:p w:rsidR="00522AA6" w:rsidRPr="00304F7D" w:rsidRDefault="00522AA6" w:rsidP="00522AA6">
            <w:pPr>
              <w:spacing w:before="0" w:after="200" w:line="276" w:lineRule="auto"/>
              <w:ind w:left="360"/>
            </w:pPr>
          </w:p>
        </w:tc>
      </w:tr>
      <w:tr w:rsidR="00522AA6" w:rsidTr="00B72678">
        <w:tc>
          <w:tcPr>
            <w:tcW w:w="0" w:type="auto"/>
          </w:tcPr>
          <w:p w:rsidR="00522AA6" w:rsidRPr="00522AA6" w:rsidRDefault="00522AA6" w:rsidP="00E87EE6">
            <w:pPr>
              <w:spacing w:before="0" w:after="200" w:line="276" w:lineRule="auto"/>
              <w:ind w:left="360"/>
              <w:rPr>
                <w:i/>
              </w:rPr>
            </w:pPr>
            <w:r w:rsidRPr="00522AA6">
              <w:rPr>
                <w:i/>
              </w:rPr>
              <w:t xml:space="preserve">Six month deferral of donor with prior exposure to risk of acquiring blood borne transmissible infection. </w:t>
            </w:r>
          </w:p>
          <w:p w:rsidR="00522AA6" w:rsidRPr="00304F7D" w:rsidRDefault="00522AA6" w:rsidP="00E87EE6">
            <w:pPr>
              <w:spacing w:before="0" w:after="200" w:line="276" w:lineRule="auto"/>
              <w:ind w:left="360"/>
              <w:jc w:val="both"/>
              <w:rPr>
                <w:i/>
              </w:rPr>
            </w:pPr>
          </w:p>
        </w:tc>
        <w:tc>
          <w:tcPr>
            <w:tcW w:w="0" w:type="auto"/>
          </w:tcPr>
          <w:p w:rsidR="00522AA6" w:rsidRPr="00D87413" w:rsidRDefault="00522AA6" w:rsidP="00522AA6">
            <w:pPr>
              <w:spacing w:before="0" w:after="200" w:line="276" w:lineRule="auto"/>
              <w:ind w:left="360"/>
            </w:pPr>
            <w:r w:rsidRPr="00D87413">
              <w:t xml:space="preserve">A proposal was made to rely on secure quarantine arrangements to not release HCT product prior to 180 day resample and retest, and so depended on strict adherence to protocols and Code. It was suggested that the guidelines include explanations and a timeline diagram of how this deferral arrangement would work. </w:t>
            </w:r>
          </w:p>
          <w:p w:rsidR="00522AA6" w:rsidRPr="00304F7D" w:rsidRDefault="00522AA6" w:rsidP="00522AA6">
            <w:pPr>
              <w:spacing w:before="0" w:after="200" w:line="276" w:lineRule="auto"/>
              <w:ind w:left="360"/>
            </w:pPr>
          </w:p>
        </w:tc>
        <w:tc>
          <w:tcPr>
            <w:tcW w:w="0" w:type="auto"/>
          </w:tcPr>
          <w:p w:rsidR="00522AA6" w:rsidRPr="00304F7D" w:rsidRDefault="00522AA6" w:rsidP="00522AA6">
            <w:pPr>
              <w:spacing w:before="0" w:after="200" w:line="276" w:lineRule="auto"/>
              <w:ind w:left="360"/>
            </w:pPr>
            <w:r w:rsidRPr="00D87413">
              <w:t>The TGC Subcommittee endorsed an addition to Table 1 of the ID Order, relating to a donor with exposure to risk of acquiring a blood borne transmissible infection, that the period of ineligibility prior to donation be qualified to the effect that ‘living donors who will be retested at 180 days are ineligible for 6 months from the time of exposure until collection of blood sample at 180 days for infectious disease screening’.</w:t>
            </w:r>
          </w:p>
        </w:tc>
      </w:tr>
      <w:tr w:rsidR="00522AA6" w:rsidTr="00B72678">
        <w:tc>
          <w:tcPr>
            <w:tcW w:w="0" w:type="auto"/>
          </w:tcPr>
          <w:p w:rsidR="00522AA6" w:rsidRPr="00D87413" w:rsidRDefault="00522AA6" w:rsidP="00E87EE6">
            <w:pPr>
              <w:spacing w:before="0" w:after="200" w:line="276" w:lineRule="auto"/>
              <w:ind w:left="360"/>
            </w:pPr>
            <w:r w:rsidRPr="00522AA6">
              <w:rPr>
                <w:i/>
              </w:rPr>
              <w:lastRenderedPageBreak/>
              <w:t>Ineligibility periods for donors with risk of prion disease</w:t>
            </w:r>
            <w:r w:rsidRPr="00D87413">
              <w:t xml:space="preserve">. </w:t>
            </w:r>
          </w:p>
          <w:p w:rsidR="00522AA6" w:rsidRPr="00304F7D" w:rsidRDefault="00522AA6" w:rsidP="00E87EE6">
            <w:pPr>
              <w:spacing w:before="0" w:after="200" w:line="276" w:lineRule="auto"/>
              <w:ind w:left="360"/>
              <w:jc w:val="both"/>
              <w:rPr>
                <w:i/>
              </w:rPr>
            </w:pPr>
          </w:p>
        </w:tc>
        <w:tc>
          <w:tcPr>
            <w:tcW w:w="0" w:type="auto"/>
          </w:tcPr>
          <w:p w:rsidR="00522AA6" w:rsidRPr="00D87413" w:rsidRDefault="00522AA6" w:rsidP="00522AA6">
            <w:pPr>
              <w:spacing w:before="0" w:after="200" w:line="276" w:lineRule="auto"/>
              <w:ind w:left="360"/>
            </w:pPr>
            <w:r w:rsidRPr="00D87413">
              <w:t xml:space="preserve">Concerns were raised regarding the ineligibility criteria for risk of prion disease, in particular the applicability of donor deferral criteria to minimise risk of prion disease from ocular donors. </w:t>
            </w:r>
          </w:p>
          <w:p w:rsidR="00522AA6" w:rsidRDefault="00522AA6" w:rsidP="00522AA6">
            <w:pPr>
              <w:spacing w:before="0" w:after="200" w:line="276" w:lineRule="auto"/>
              <w:ind w:left="360"/>
            </w:pPr>
            <w:r w:rsidRPr="00D87413">
              <w:t xml:space="preserve">After consideration of international requirements for donor referral, the impact of this on potential donor numbers and the risk of the transferral of prion disease, such as vCJD, from a donated cornea to the recipient, it was proposed that donors with a risk of prion disease should be permanently ineligible as donors, including for donations of ocular tissue. </w:t>
            </w:r>
          </w:p>
          <w:p w:rsidR="00522AA6" w:rsidRPr="00D87413" w:rsidRDefault="00522AA6" w:rsidP="00522AA6">
            <w:pPr>
              <w:spacing w:before="0" w:after="200" w:line="276" w:lineRule="auto"/>
              <w:ind w:left="360"/>
            </w:pPr>
            <w:r w:rsidRPr="00D87413">
              <w:t>It was further argued that donor exclusion criteria should relate to ‘blood components’, and not ‘blood products’.</w:t>
            </w:r>
          </w:p>
          <w:p w:rsidR="00522AA6" w:rsidRPr="00D87413" w:rsidRDefault="00522AA6" w:rsidP="00522AA6">
            <w:pPr>
              <w:spacing w:before="0" w:after="200" w:line="276" w:lineRule="auto"/>
              <w:ind w:left="360"/>
            </w:pPr>
          </w:p>
        </w:tc>
        <w:tc>
          <w:tcPr>
            <w:tcW w:w="0" w:type="auto"/>
          </w:tcPr>
          <w:p w:rsidR="00522AA6" w:rsidRPr="00D87413" w:rsidRDefault="00522AA6" w:rsidP="00522AA6">
            <w:pPr>
              <w:spacing w:before="0" w:after="200" w:line="276" w:lineRule="auto"/>
              <w:ind w:left="360"/>
            </w:pPr>
            <w:r w:rsidRPr="00D87413">
              <w:t xml:space="preserve">The TGC Subcommittee endorsed that the requirements of Table 1 of the ID Order relating to the permanent ineligibility of donors with a risk of prion disease apply to ocular tissue. </w:t>
            </w:r>
          </w:p>
          <w:p w:rsidR="00522AA6" w:rsidRDefault="00522AA6" w:rsidP="00522AA6">
            <w:pPr>
              <w:spacing w:before="0" w:after="200" w:line="276" w:lineRule="auto"/>
              <w:ind w:left="360"/>
            </w:pPr>
          </w:p>
          <w:p w:rsidR="00522AA6" w:rsidRPr="00D87413" w:rsidRDefault="00522AA6" w:rsidP="00522AA6">
            <w:pPr>
              <w:spacing w:before="0" w:after="200" w:line="276" w:lineRule="auto"/>
              <w:ind w:left="360"/>
            </w:pPr>
            <w:r w:rsidRPr="00D87413">
              <w:t>The TGC Subcommittee endorsed that deferral for donors apply to those who were recipient of allogeneic blood or blood components (but not blood products).</w:t>
            </w:r>
          </w:p>
          <w:p w:rsidR="00522AA6" w:rsidRPr="00D87413" w:rsidRDefault="00522AA6" w:rsidP="00522AA6">
            <w:pPr>
              <w:spacing w:before="0" w:after="200" w:line="276" w:lineRule="auto"/>
              <w:ind w:left="360"/>
            </w:pPr>
          </w:p>
        </w:tc>
      </w:tr>
    </w:tbl>
    <w:p w:rsidR="00B72678" w:rsidRDefault="00B72678" w:rsidP="00823201">
      <w:pPr>
        <w:sectPr w:rsidR="00B72678" w:rsidSect="00B72678">
          <w:footerReference w:type="default" r:id="rId24"/>
          <w:pgSz w:w="16838" w:h="11906" w:orient="landscape" w:code="9"/>
          <w:pgMar w:top="1701" w:right="1418" w:bottom="1701" w:left="709" w:header="573" w:footer="0" w:gutter="0"/>
          <w:cols w:space="708"/>
          <w:docGrid w:linePitch="360"/>
        </w:sectPr>
      </w:pPr>
    </w:p>
    <w:p w:rsidR="002C6E9C" w:rsidRDefault="002C6E9C" w:rsidP="001C52A8"/>
    <w:tbl>
      <w:tblPr>
        <w:tblW w:w="9145" w:type="dxa"/>
        <w:jc w:val="center"/>
        <w:tblInd w:w="-284" w:type="dxa"/>
        <w:tblLayout w:type="fixed"/>
        <w:tblCellMar>
          <w:left w:w="0" w:type="dxa"/>
          <w:right w:w="0" w:type="dxa"/>
        </w:tblCellMar>
        <w:tblLook w:val="04A0"/>
      </w:tblPr>
      <w:tblGrid>
        <w:gridCol w:w="9145"/>
      </w:tblGrid>
      <w:tr w:rsidR="006A38E4" w:rsidRPr="00487162" w:rsidTr="00E47660">
        <w:trPr>
          <w:trHeight w:hRule="exact" w:val="565"/>
          <w:jc w:val="center"/>
        </w:trPr>
        <w:tc>
          <w:tcPr>
            <w:tcW w:w="9145" w:type="dxa"/>
          </w:tcPr>
          <w:p w:rsidR="006A38E4" w:rsidRPr="00487162" w:rsidRDefault="003A6BEC" w:rsidP="008C63C5">
            <w:pPr>
              <w:pStyle w:val="TGASignoff"/>
            </w:pPr>
            <w:r>
              <w:rPr>
                <w:noProof/>
                <w:lang w:eastAsia="en-AU"/>
              </w:rPr>
              <w:pict>
                <v:shapetype id="_x0000_t32" coordsize="21600,21600" o:spt="32" o:oned="t" path="m,l21600,21600e" filled="f">
                  <v:path arrowok="t" fillok="f" o:connecttype="none"/>
                  <o:lock v:ext="edit" shapetype="t"/>
                </v:shapetype>
                <v:shape id="AutoShape 29" o:spid="_x0000_s1026" type="#_x0000_t32" style="position:absolute;left:0;text-align:left;margin-left:-73.25pt;margin-top:18pt;width:0;height:18.8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" strokecolor="#006da7">
                  <v:stroke endarrow="block"/>
                </v:shape>
              </w:pict>
            </w:r>
            <w:r w:rsidR="006A38E4" w:rsidRPr="00487162">
              <w:t>Therapeutic Goods Administration</w:t>
            </w:r>
          </w:p>
        </w:tc>
      </w:tr>
      <w:tr w:rsidR="006A38E4" w:rsidRPr="00487162" w:rsidTr="00E47660">
        <w:trPr>
          <w:trHeight w:val="1284"/>
          <w:jc w:val="center"/>
        </w:trPr>
        <w:tc>
          <w:tcPr>
            <w:tcW w:w="9145" w:type="dxa"/>
            <w:tcMar>
              <w:top w:w="28" w:type="dxa"/>
            </w:tcMar>
          </w:tcPr>
          <w:p w:rsidR="006A38E4" w:rsidRPr="00140FE3" w:rsidRDefault="006A38E4" w:rsidP="008C63C5">
            <w:pPr>
              <w:pStyle w:val="Address"/>
              <w:jc w:val="center"/>
            </w:pPr>
            <w:r w:rsidRPr="00140FE3">
              <w:t>PO Bo</w:t>
            </w:r>
            <w:r w:rsidRPr="006F652C">
              <w:t>x 100 Woden ACT 2606 A</w:t>
            </w:r>
            <w:r w:rsidRPr="00140FE3">
              <w:t>ustralia</w:t>
            </w:r>
          </w:p>
          <w:p w:rsidR="006A38E4" w:rsidRPr="00140FE3" w:rsidRDefault="006A38E4" w:rsidP="008C63C5">
            <w:pPr>
              <w:pStyle w:val="Address"/>
              <w:jc w:val="center"/>
            </w:pPr>
            <w:r w:rsidRPr="00140FE3">
              <w:t>Email: info@tga.gov.au  Phone: 1800 020 653  Fax: 02 6232 8605</w:t>
            </w:r>
          </w:p>
          <w:p w:rsidR="006A38E4" w:rsidRPr="005423EF" w:rsidRDefault="003A6BEC" w:rsidP="008C63C5">
            <w:pPr>
              <w:pStyle w:val="Address"/>
              <w:spacing w:line="260" w:lineRule="atLeast"/>
              <w:jc w:val="center"/>
              <w:rPr>
                <w:rStyle w:val="Hyperlink"/>
                <w:b/>
              </w:rPr>
            </w:pPr>
            <w:hyperlink r:id="rId25" w:history="1">
              <w:r w:rsidR="006A38E4" w:rsidRPr="005423EF">
                <w:rPr>
                  <w:rStyle w:val="Hyperlink"/>
                  <w:b/>
                </w:rPr>
                <w:t>www.tga.gov.au</w:t>
              </w:r>
            </w:hyperlink>
          </w:p>
          <w:p w:rsidR="006A38E4" w:rsidRPr="00487162" w:rsidRDefault="006A38E4" w:rsidP="00E47660">
            <w:pPr>
              <w:pStyle w:val="Reference"/>
              <w:jc w:val="center"/>
            </w:pPr>
            <w:r w:rsidRPr="00487162">
              <w:t>Reference/Publication #</w:t>
            </w:r>
          </w:p>
        </w:tc>
      </w:tr>
    </w:tbl>
    <w:p w:rsidR="00706634" w:rsidRPr="001525B4" w:rsidRDefault="00706634" w:rsidP="008E3C43">
      <w:pPr>
        <w:rPr>
          <w:sz w:val="20"/>
        </w:rPr>
      </w:pPr>
    </w:p>
    <w:sectPr w:rsidR="00706634" w:rsidRPr="001525B4" w:rsidSect="00B72678">
      <w:footerReference w:type="default" r:id="rId26"/>
      <w:headerReference w:type="first" r:id="rId27"/>
      <w:footerReference w:type="first" r:id="rId28"/>
      <w:pgSz w:w="11906" w:h="16838" w:code="9"/>
      <w:pgMar w:top="13892" w:right="1701" w:bottom="567" w:left="1701" w:header="1134" w:footer="18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57DA" w:rsidRDefault="007C57DA" w:rsidP="00C40A36">
      <w:pPr>
        <w:spacing w:after="0"/>
      </w:pPr>
      <w:r>
        <w:separator/>
      </w:r>
    </w:p>
  </w:endnote>
  <w:endnote w:type="continuationSeparator" w:id="0">
    <w:p w:rsidR="007C57DA" w:rsidRDefault="007C57DA" w:rsidP="00C40A3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7DA" w:rsidRDefault="007C57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0"/>
      <w:gridCol w:w="4360"/>
    </w:tblGrid>
    <w:tr w:rsidR="007C57DA" w:rsidRPr="00257138" w:rsidTr="000B30E5">
      <w:trPr>
        <w:trHeight w:val="423"/>
      </w:trPr>
      <w:tc>
        <w:tcPr>
          <w:tcW w:w="4360" w:type="dxa"/>
          <w:tcBorders>
            <w:top w:val="single" w:sz="4" w:space="0" w:color="auto"/>
          </w:tcBorders>
        </w:tcPr>
        <w:p w:rsidR="007C57DA" w:rsidRDefault="007C57DA" w:rsidP="000B30E5">
          <w:pPr>
            <w:pStyle w:val="Footer"/>
          </w:pPr>
        </w:p>
        <w:p w:rsidR="007C57DA" w:rsidRPr="00257138" w:rsidRDefault="007C57DA" w:rsidP="00406DB9">
          <w:pPr>
            <w:pStyle w:val="Footer"/>
          </w:pPr>
          <w:r w:rsidRPr="00257138">
            <w:t>Document title</w:t>
          </w:r>
        </w:p>
      </w:tc>
      <w:tc>
        <w:tcPr>
          <w:tcW w:w="4360" w:type="dxa"/>
          <w:tcBorders>
            <w:top w:val="single" w:sz="4" w:space="0" w:color="auto"/>
          </w:tcBorders>
        </w:tcPr>
        <w:sdt>
          <w:sdtPr>
            <w:id w:val="7002922"/>
            <w:docPartObj>
              <w:docPartGallery w:val="Page Numbers (Top of Page)"/>
              <w:docPartUnique/>
            </w:docPartObj>
          </w:sdtPr>
          <w:sdtContent>
            <w:p w:rsidR="007C57DA" w:rsidRDefault="007C57DA" w:rsidP="000B30E5">
              <w:pPr>
                <w:pStyle w:val="Footer"/>
                <w:jc w:val="right"/>
              </w:pPr>
            </w:p>
            <w:p w:rsidR="007C57DA" w:rsidRPr="00257138" w:rsidRDefault="007C57DA" w:rsidP="000B30E5">
              <w:pPr>
                <w:pStyle w:val="Footer"/>
                <w:jc w:val="right"/>
              </w:pPr>
              <w:r w:rsidRPr="00257138">
                <w:t xml:space="preserve">Page </w:t>
              </w:r>
              <w:fldSimple w:instr=" PAGE ">
                <w:r>
                  <w:rPr>
                    <w:noProof/>
                  </w:rPr>
                  <w:t>2</w:t>
                </w:r>
              </w:fldSimple>
              <w:r w:rsidRPr="00257138">
                <w:t xml:space="preserve"> of </w:t>
              </w:r>
              <w:fldSimple w:instr=" NUMPAGES  ">
                <w:r w:rsidR="005E484C">
                  <w:rPr>
                    <w:noProof/>
                  </w:rPr>
                  <w:t>48</w:t>
                </w:r>
              </w:fldSimple>
            </w:p>
          </w:sdtContent>
        </w:sdt>
      </w:tc>
    </w:tr>
    <w:tr w:rsidR="007C57DA" w:rsidRPr="00257138" w:rsidTr="000B30E5">
      <w:trPr>
        <w:trHeight w:val="263"/>
      </w:trPr>
      <w:tc>
        <w:tcPr>
          <w:tcW w:w="4360" w:type="dxa"/>
        </w:tcPr>
        <w:p w:rsidR="007C57DA" w:rsidRPr="00257138" w:rsidRDefault="007C57DA" w:rsidP="000B30E5">
          <w:pPr>
            <w:pStyle w:val="Footer"/>
          </w:pPr>
          <w:r w:rsidRPr="00257138">
            <w:t xml:space="preserve">V1.0 </w:t>
          </w:r>
          <w:r>
            <w:t>Month</w:t>
          </w:r>
          <w:r w:rsidRPr="00257138">
            <w:t xml:space="preserve"> 201</w:t>
          </w:r>
          <w:r>
            <w:t>2</w:t>
          </w:r>
        </w:p>
      </w:tc>
      <w:tc>
        <w:tcPr>
          <w:tcW w:w="4360" w:type="dxa"/>
        </w:tcPr>
        <w:p w:rsidR="007C57DA" w:rsidRPr="00257138" w:rsidRDefault="007C57DA" w:rsidP="000B30E5">
          <w:pPr>
            <w:pStyle w:val="Footer"/>
            <w:jc w:val="right"/>
          </w:pPr>
        </w:p>
      </w:tc>
    </w:tr>
  </w:tbl>
  <w:p w:rsidR="007C57DA" w:rsidRPr="00826007" w:rsidRDefault="007C57DA" w:rsidP="000B30E5">
    <w:pPr>
      <w:pStyle w:val="Footer"/>
      <w:tabs>
        <w:tab w:val="left" w:pos="7620"/>
        <w:tab w:val="right" w:pos="8504"/>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7DA" w:rsidRDefault="003A6BEC" w:rsidP="00816164">
    <w:pPr>
      <w:pStyle w:val="Footer"/>
      <w:ind w:left="-1701"/>
    </w:pPr>
    <w:sdt>
      <w:sdtPr>
        <w:id w:val="1215869"/>
        <w:showingPlcHdr/>
        <w:picture/>
      </w:sdtPr>
      <w:sdtContent>
        <w:r w:rsidR="007C57DA" w:rsidRPr="00535D83">
          <w:rPr>
            <w:noProof/>
            <w:lang w:eastAsia="en-AU"/>
          </w:rPr>
          <w:drawing>
            <wp:inline distT="0" distB="0" distL="0" distR="0">
              <wp:extent cx="7581900" cy="4819650"/>
              <wp:effectExtent l="1905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7581900" cy="4819650"/>
                      </a:xfrm>
                      <a:prstGeom prst="rect">
                        <a:avLst/>
                      </a:prstGeom>
                      <a:noFill/>
                      <a:ln w="9525">
                        <a:noFill/>
                        <a:miter lim="800000"/>
                        <a:headEnd/>
                        <a:tailEnd/>
                      </a:ln>
                    </pic:spPr>
                  </pic:pic>
                </a:graphicData>
              </a:graphic>
            </wp:inline>
          </w:drawing>
        </w:r>
      </w:sdtContent>
    </w:sdt>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23" w:type="dxa"/>
      <w:tblInd w:w="-567" w:type="dxa"/>
      <w:tblLayout w:type="fixed"/>
      <w:tblCellMar>
        <w:left w:w="0" w:type="dxa"/>
        <w:right w:w="0" w:type="dxa"/>
      </w:tblCellMar>
      <w:tblLook w:val="01E0"/>
    </w:tblPr>
    <w:tblGrid>
      <w:gridCol w:w="8931"/>
      <w:gridCol w:w="992"/>
    </w:tblGrid>
    <w:tr w:rsidR="007C57DA" w:rsidRPr="009A6687" w:rsidTr="00CC3DFF">
      <w:trPr>
        <w:trHeight w:hRule="exact" w:val="424"/>
      </w:trPr>
      <w:tc>
        <w:tcPr>
          <w:tcW w:w="8931" w:type="dxa"/>
          <w:shd w:val="clear" w:color="auto" w:fill="auto"/>
          <w:vAlign w:val="bottom"/>
        </w:tcPr>
        <w:p w:rsidR="007C57DA" w:rsidRPr="009A6687" w:rsidRDefault="007C57DA" w:rsidP="007C1ABD">
          <w:pPr>
            <w:pStyle w:val="Footer"/>
            <w:tabs>
              <w:tab w:val="clear" w:pos="9026"/>
              <w:tab w:val="right" w:pos="8931"/>
            </w:tabs>
            <w:ind w:right="108"/>
            <w:rPr>
              <w:lang w:val="fr-FR"/>
            </w:rPr>
          </w:pPr>
          <w:r>
            <w:rPr>
              <w:lang w:val="fr-FR"/>
            </w:rPr>
            <w:t xml:space="preserve">RIS – Revised requirements for human tissue and cell therapy products </w:t>
          </w:r>
        </w:p>
      </w:tc>
      <w:tc>
        <w:tcPr>
          <w:tcW w:w="992" w:type="dxa"/>
          <w:shd w:val="clear" w:color="auto" w:fill="auto"/>
          <w:vAlign w:val="bottom"/>
        </w:tcPr>
        <w:p w:rsidR="007C57DA" w:rsidRDefault="007C57DA" w:rsidP="00823201">
          <w:pPr>
            <w:pStyle w:val="Footer"/>
            <w:jc w:val="right"/>
          </w:pPr>
          <w:r>
            <w:t xml:space="preserve">Page </w:t>
          </w:r>
          <w:fldSimple w:instr=" PAGE ">
            <w:r w:rsidR="00264E12">
              <w:rPr>
                <w:noProof/>
              </w:rPr>
              <w:t>29</w:t>
            </w:r>
          </w:fldSimple>
          <w:r>
            <w:t xml:space="preserve"> of </w:t>
          </w:r>
          <w:fldSimple w:instr=" NUMPAGES  ">
            <w:r w:rsidR="00264E12">
              <w:rPr>
                <w:noProof/>
              </w:rPr>
              <w:t>32</w:t>
            </w:r>
          </w:fldSimple>
        </w:p>
        <w:p w:rsidR="007C57DA" w:rsidRPr="009A6687" w:rsidRDefault="007C57DA" w:rsidP="00823201">
          <w:pPr>
            <w:pStyle w:val="Footer"/>
            <w:jc w:val="right"/>
          </w:pPr>
          <w:r>
            <w:t xml:space="preserve"> </w:t>
          </w:r>
        </w:p>
      </w:tc>
    </w:tr>
    <w:tr w:rsidR="007C57DA" w:rsidRPr="009A6687" w:rsidTr="0063382C">
      <w:trPr>
        <w:trHeight w:hRule="exact" w:val="338"/>
      </w:trPr>
      <w:tc>
        <w:tcPr>
          <w:tcW w:w="8931" w:type="dxa"/>
          <w:shd w:val="clear" w:color="auto" w:fill="auto"/>
          <w:vAlign w:val="bottom"/>
        </w:tcPr>
        <w:p w:rsidR="007C57DA" w:rsidRDefault="007C57DA" w:rsidP="009C12CF">
          <w:pPr>
            <w:pStyle w:val="Footer"/>
            <w:tabs>
              <w:tab w:val="clear" w:pos="9026"/>
              <w:tab w:val="right" w:pos="8931"/>
            </w:tabs>
            <w:ind w:right="108"/>
            <w:rPr>
              <w:lang w:val="fr-FR"/>
            </w:rPr>
          </w:pPr>
          <w:r>
            <w:t>January 2013</w:t>
          </w:r>
        </w:p>
      </w:tc>
      <w:tc>
        <w:tcPr>
          <w:tcW w:w="992" w:type="dxa"/>
          <w:shd w:val="clear" w:color="auto" w:fill="auto"/>
          <w:vAlign w:val="bottom"/>
        </w:tcPr>
        <w:p w:rsidR="007C57DA" w:rsidRDefault="007C57DA" w:rsidP="00823201">
          <w:pPr>
            <w:pStyle w:val="Footer"/>
            <w:jc w:val="right"/>
          </w:pPr>
        </w:p>
      </w:tc>
    </w:tr>
  </w:tbl>
  <w:p w:rsidR="007C57DA" w:rsidRDefault="007C57DA">
    <w:pPr>
      <w:pStyle w:val="Footer"/>
    </w:pPr>
  </w:p>
  <w:p w:rsidR="007C57DA" w:rsidRDefault="007C57DA">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3041" w:type="dxa"/>
      <w:tblLayout w:type="fixed"/>
      <w:tblCellMar>
        <w:left w:w="0" w:type="dxa"/>
        <w:right w:w="0" w:type="dxa"/>
      </w:tblCellMar>
      <w:tblLook w:val="01E0"/>
    </w:tblPr>
    <w:tblGrid>
      <w:gridCol w:w="8931"/>
      <w:gridCol w:w="4110"/>
    </w:tblGrid>
    <w:tr w:rsidR="007C57DA" w:rsidRPr="009A6687" w:rsidTr="0063382C">
      <w:trPr>
        <w:trHeight w:hRule="exact" w:val="338"/>
      </w:trPr>
      <w:tc>
        <w:tcPr>
          <w:tcW w:w="8931" w:type="dxa"/>
          <w:shd w:val="clear" w:color="auto" w:fill="auto"/>
          <w:vAlign w:val="bottom"/>
        </w:tcPr>
        <w:p w:rsidR="007C57DA" w:rsidRPr="009A6687" w:rsidRDefault="007C57DA" w:rsidP="0063382C">
          <w:pPr>
            <w:pStyle w:val="Footer"/>
            <w:tabs>
              <w:tab w:val="clear" w:pos="9026"/>
              <w:tab w:val="right" w:pos="8931"/>
            </w:tabs>
            <w:ind w:right="108"/>
            <w:rPr>
              <w:lang w:val="fr-FR"/>
            </w:rPr>
          </w:pPr>
          <w:r>
            <w:rPr>
              <w:lang w:val="fr-FR"/>
            </w:rPr>
            <w:t xml:space="preserve">RIS – Revised requirements for human tissue and cell therapy products </w:t>
          </w:r>
        </w:p>
      </w:tc>
      <w:tc>
        <w:tcPr>
          <w:tcW w:w="4110" w:type="dxa"/>
          <w:shd w:val="clear" w:color="auto" w:fill="auto"/>
          <w:vAlign w:val="bottom"/>
        </w:tcPr>
        <w:p w:rsidR="007C57DA" w:rsidRDefault="007C57DA" w:rsidP="00823201">
          <w:pPr>
            <w:pStyle w:val="Footer"/>
            <w:jc w:val="right"/>
          </w:pPr>
          <w:r>
            <w:t xml:space="preserve">Page </w:t>
          </w:r>
          <w:fldSimple w:instr=" PAGE ">
            <w:r w:rsidR="00264E12">
              <w:rPr>
                <w:noProof/>
              </w:rPr>
              <w:t>39</w:t>
            </w:r>
          </w:fldSimple>
          <w:r>
            <w:t xml:space="preserve"> of </w:t>
          </w:r>
          <w:fldSimple w:instr=" NUMPAGES  ">
            <w:r w:rsidR="00264E12">
              <w:rPr>
                <w:noProof/>
              </w:rPr>
              <w:t>43</w:t>
            </w:r>
          </w:fldSimple>
        </w:p>
        <w:p w:rsidR="007C57DA" w:rsidRPr="009A6687" w:rsidRDefault="007C57DA" w:rsidP="00823201">
          <w:pPr>
            <w:pStyle w:val="Footer"/>
            <w:jc w:val="right"/>
          </w:pPr>
          <w:r>
            <w:t xml:space="preserve"> </w:t>
          </w:r>
        </w:p>
      </w:tc>
    </w:tr>
    <w:tr w:rsidR="007C57DA" w:rsidRPr="009A6687" w:rsidTr="0063382C">
      <w:trPr>
        <w:trHeight w:hRule="exact" w:val="338"/>
      </w:trPr>
      <w:tc>
        <w:tcPr>
          <w:tcW w:w="8931" w:type="dxa"/>
          <w:shd w:val="clear" w:color="auto" w:fill="auto"/>
          <w:vAlign w:val="bottom"/>
        </w:tcPr>
        <w:p w:rsidR="007C57DA" w:rsidRDefault="007C57DA" w:rsidP="009C12CF">
          <w:pPr>
            <w:pStyle w:val="Footer"/>
            <w:tabs>
              <w:tab w:val="clear" w:pos="9026"/>
              <w:tab w:val="right" w:pos="8931"/>
            </w:tabs>
            <w:ind w:right="108"/>
            <w:rPr>
              <w:lang w:val="fr-FR"/>
            </w:rPr>
          </w:pPr>
          <w:r>
            <w:t>January 2013</w:t>
          </w:r>
        </w:p>
      </w:tc>
      <w:tc>
        <w:tcPr>
          <w:tcW w:w="4110" w:type="dxa"/>
          <w:shd w:val="clear" w:color="auto" w:fill="auto"/>
          <w:vAlign w:val="bottom"/>
        </w:tcPr>
        <w:p w:rsidR="007C57DA" w:rsidRDefault="007C57DA" w:rsidP="00823201">
          <w:pPr>
            <w:pStyle w:val="Footer"/>
            <w:jc w:val="right"/>
          </w:pPr>
        </w:p>
      </w:tc>
    </w:tr>
  </w:tbl>
  <w:p w:rsidR="007C57DA" w:rsidRDefault="007C57DA">
    <w:pPr>
      <w:pStyle w:val="Footer"/>
    </w:pPr>
  </w:p>
  <w:p w:rsidR="007C57DA" w:rsidRDefault="007C57DA">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2800"/>
    </w:tblGrid>
    <w:tr w:rsidR="007C57DA" w:rsidRPr="00257138" w:rsidTr="0063382C">
      <w:trPr>
        <w:trHeight w:val="423"/>
      </w:trPr>
      <w:tc>
        <w:tcPr>
          <w:tcW w:w="5920" w:type="dxa"/>
          <w:tcBorders>
            <w:top w:val="single" w:sz="4" w:space="0" w:color="auto"/>
          </w:tcBorders>
        </w:tcPr>
        <w:p w:rsidR="007C57DA" w:rsidRDefault="007C57DA" w:rsidP="000B30E5">
          <w:pPr>
            <w:pStyle w:val="Footer"/>
          </w:pPr>
        </w:p>
        <w:p w:rsidR="007C57DA" w:rsidRPr="00257138" w:rsidRDefault="007C57DA" w:rsidP="0014247A">
          <w:pPr>
            <w:pStyle w:val="Footer"/>
          </w:pPr>
          <w:r>
            <w:rPr>
              <w:lang w:val="fr-FR"/>
            </w:rPr>
            <w:t>RIS – Revised requirements for human tissue and cell therapy products</w:t>
          </w:r>
        </w:p>
      </w:tc>
      <w:tc>
        <w:tcPr>
          <w:tcW w:w="2800" w:type="dxa"/>
          <w:tcBorders>
            <w:top w:val="single" w:sz="4" w:space="0" w:color="auto"/>
          </w:tcBorders>
        </w:tcPr>
        <w:sdt>
          <w:sdtPr>
            <w:id w:val="7002924"/>
            <w:docPartObj>
              <w:docPartGallery w:val="Page Numbers (Top of Page)"/>
              <w:docPartUnique/>
            </w:docPartObj>
          </w:sdtPr>
          <w:sdtContent>
            <w:p w:rsidR="007C57DA" w:rsidRDefault="007C57DA" w:rsidP="000B30E5">
              <w:pPr>
                <w:pStyle w:val="Footer"/>
                <w:jc w:val="right"/>
              </w:pPr>
            </w:p>
            <w:p w:rsidR="007C57DA" w:rsidRPr="00257138" w:rsidRDefault="007C57DA" w:rsidP="000B30E5">
              <w:pPr>
                <w:pStyle w:val="Footer"/>
                <w:jc w:val="right"/>
              </w:pPr>
              <w:r w:rsidRPr="00257138">
                <w:t xml:space="preserve">Page </w:t>
              </w:r>
              <w:fldSimple w:instr=" PAGE ">
                <w:r w:rsidR="00264E12">
                  <w:rPr>
                    <w:noProof/>
                  </w:rPr>
                  <w:t>42</w:t>
                </w:r>
              </w:fldSimple>
              <w:r w:rsidRPr="00257138">
                <w:t xml:space="preserve"> of </w:t>
              </w:r>
              <w:fldSimple w:instr=" NUMPAGES  ">
                <w:r w:rsidR="00264E12">
                  <w:rPr>
                    <w:noProof/>
                  </w:rPr>
                  <w:t>45</w:t>
                </w:r>
              </w:fldSimple>
            </w:p>
          </w:sdtContent>
        </w:sdt>
      </w:tc>
    </w:tr>
    <w:tr w:rsidR="007C57DA" w:rsidRPr="00257138" w:rsidTr="0063382C">
      <w:trPr>
        <w:trHeight w:val="263"/>
      </w:trPr>
      <w:tc>
        <w:tcPr>
          <w:tcW w:w="5920" w:type="dxa"/>
        </w:tcPr>
        <w:p w:rsidR="007C57DA" w:rsidRPr="00257138" w:rsidRDefault="007C57DA" w:rsidP="009C12CF">
          <w:pPr>
            <w:pStyle w:val="Footer"/>
          </w:pPr>
          <w:r>
            <w:t>January 2013</w:t>
          </w:r>
        </w:p>
      </w:tc>
      <w:tc>
        <w:tcPr>
          <w:tcW w:w="2800" w:type="dxa"/>
        </w:tcPr>
        <w:p w:rsidR="007C57DA" w:rsidRPr="00257138" w:rsidRDefault="007C57DA" w:rsidP="000B30E5">
          <w:pPr>
            <w:pStyle w:val="Footer"/>
            <w:jc w:val="right"/>
          </w:pPr>
        </w:p>
      </w:tc>
    </w:tr>
  </w:tbl>
  <w:p w:rsidR="007C57DA" w:rsidRPr="00826007" w:rsidRDefault="007C57DA" w:rsidP="00E177F4">
    <w:pPr>
      <w:pStyle w:val="Footer"/>
      <w:tabs>
        <w:tab w:val="left" w:pos="7620"/>
        <w:tab w:val="right" w:pos="8504"/>
      </w:tabs>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7DA" w:rsidRDefault="007C57DA" w:rsidP="000B30E5">
    <w:pPr>
      <w:pStyle w:val="Footer"/>
      <w:tabs>
        <w:tab w:val="left" w:pos="7620"/>
        <w:tab w:val="right" w:pos="8504"/>
      </w:tabs>
    </w:pPr>
  </w:p>
  <w:tbl>
    <w:tblPr>
      <w:tblStyle w:val="TableGrid"/>
      <w:tblW w:w="14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12"/>
      <w:gridCol w:w="8080"/>
    </w:tblGrid>
    <w:tr w:rsidR="007C57DA" w:rsidRPr="00257138" w:rsidTr="0063382C">
      <w:trPr>
        <w:trHeight w:val="423"/>
      </w:trPr>
      <w:tc>
        <w:tcPr>
          <w:tcW w:w="6912" w:type="dxa"/>
          <w:tcBorders>
            <w:top w:val="single" w:sz="4" w:space="0" w:color="auto"/>
          </w:tcBorders>
        </w:tcPr>
        <w:p w:rsidR="007C57DA" w:rsidRDefault="007C57DA" w:rsidP="000B30E5">
          <w:pPr>
            <w:pStyle w:val="Footer"/>
          </w:pPr>
        </w:p>
        <w:p w:rsidR="007C57DA" w:rsidRPr="00257138" w:rsidRDefault="007C57DA" w:rsidP="0014247A">
          <w:pPr>
            <w:pStyle w:val="Footer"/>
          </w:pPr>
          <w:r>
            <w:rPr>
              <w:lang w:val="fr-FR"/>
            </w:rPr>
            <w:t>RIS – Revised requirements for human tissue and cell therapy products</w:t>
          </w:r>
        </w:p>
      </w:tc>
      <w:tc>
        <w:tcPr>
          <w:tcW w:w="8080" w:type="dxa"/>
          <w:tcBorders>
            <w:top w:val="single" w:sz="4" w:space="0" w:color="auto"/>
          </w:tcBorders>
        </w:tcPr>
        <w:sdt>
          <w:sdtPr>
            <w:id w:val="219579598"/>
            <w:docPartObj>
              <w:docPartGallery w:val="Page Numbers (Top of Page)"/>
              <w:docPartUnique/>
            </w:docPartObj>
          </w:sdtPr>
          <w:sdtContent>
            <w:p w:rsidR="007C57DA" w:rsidRDefault="007C57DA" w:rsidP="000B30E5">
              <w:pPr>
                <w:pStyle w:val="Footer"/>
                <w:jc w:val="right"/>
              </w:pPr>
            </w:p>
            <w:p w:rsidR="007C57DA" w:rsidRPr="00257138" w:rsidRDefault="007C57DA" w:rsidP="000B30E5">
              <w:pPr>
                <w:pStyle w:val="Footer"/>
                <w:jc w:val="right"/>
              </w:pPr>
              <w:r w:rsidRPr="00257138">
                <w:t xml:space="preserve">Page </w:t>
              </w:r>
              <w:fldSimple w:instr=" PAGE ">
                <w:r w:rsidR="00264E12">
                  <w:rPr>
                    <w:noProof/>
                  </w:rPr>
                  <w:t>46</w:t>
                </w:r>
              </w:fldSimple>
              <w:r w:rsidRPr="00257138">
                <w:t xml:space="preserve"> of </w:t>
              </w:r>
              <w:fldSimple w:instr=" NUMPAGES  ">
                <w:r w:rsidR="00264E12">
                  <w:rPr>
                    <w:noProof/>
                  </w:rPr>
                  <w:t>46</w:t>
                </w:r>
              </w:fldSimple>
            </w:p>
          </w:sdtContent>
        </w:sdt>
      </w:tc>
    </w:tr>
    <w:tr w:rsidR="007C57DA" w:rsidRPr="00257138" w:rsidTr="0063382C">
      <w:trPr>
        <w:trHeight w:val="263"/>
      </w:trPr>
      <w:tc>
        <w:tcPr>
          <w:tcW w:w="6912" w:type="dxa"/>
        </w:tcPr>
        <w:p w:rsidR="007C57DA" w:rsidRPr="00257138" w:rsidRDefault="007C57DA" w:rsidP="009C12CF">
          <w:pPr>
            <w:pStyle w:val="Footer"/>
          </w:pPr>
          <w:r>
            <w:t>January 2013</w:t>
          </w:r>
        </w:p>
      </w:tc>
      <w:tc>
        <w:tcPr>
          <w:tcW w:w="8080" w:type="dxa"/>
        </w:tcPr>
        <w:p w:rsidR="007C57DA" w:rsidRPr="00257138" w:rsidRDefault="007C57DA" w:rsidP="000B30E5">
          <w:pPr>
            <w:pStyle w:val="Footer"/>
            <w:jc w:val="right"/>
          </w:pPr>
        </w:p>
      </w:tc>
    </w:tr>
  </w:tbl>
  <w:p w:rsidR="007C57DA" w:rsidRPr="00826007" w:rsidRDefault="007C57DA" w:rsidP="00E177F4">
    <w:pPr>
      <w:pStyle w:val="Footer"/>
      <w:tabs>
        <w:tab w:val="left" w:pos="7620"/>
        <w:tab w:val="right" w:pos="8504"/>
      </w:tabs>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7DA" w:rsidRDefault="007C57DA" w:rsidP="000B30E5">
    <w:pPr>
      <w:pStyle w:val="Footer"/>
      <w:tabs>
        <w:tab w:val="left" w:pos="7620"/>
        <w:tab w:val="right" w:pos="8504"/>
      </w:tabs>
    </w:pPr>
  </w:p>
  <w:p w:rsidR="007C57DA" w:rsidRPr="00826007" w:rsidRDefault="007C57DA" w:rsidP="00E177F4">
    <w:pPr>
      <w:pStyle w:val="Footer"/>
      <w:tabs>
        <w:tab w:val="left" w:pos="7620"/>
        <w:tab w:val="right" w:pos="8504"/>
      </w:tabs>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7DA" w:rsidRPr="008E3C43" w:rsidRDefault="007C57DA" w:rsidP="008E3C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57DA" w:rsidRDefault="007C57DA" w:rsidP="00C40A36">
      <w:pPr>
        <w:spacing w:after="0"/>
      </w:pPr>
      <w:r>
        <w:separator/>
      </w:r>
    </w:p>
  </w:footnote>
  <w:footnote w:type="continuationSeparator" w:id="0">
    <w:p w:rsidR="007C57DA" w:rsidRDefault="007C57DA" w:rsidP="00C40A36">
      <w:pPr>
        <w:spacing w:after="0"/>
      </w:pPr>
      <w:r>
        <w:continuationSeparator/>
      </w:r>
    </w:p>
  </w:footnote>
  <w:footnote w:id="1">
    <w:p w:rsidR="007C57DA" w:rsidRDefault="007C57DA">
      <w:pPr>
        <w:pStyle w:val="FootnoteText"/>
      </w:pPr>
      <w:r>
        <w:rPr>
          <w:rStyle w:val="FootnoteReference"/>
        </w:rPr>
        <w:footnoteRef/>
      </w:r>
      <w:r>
        <w:t xml:space="preserve"> </w:t>
      </w:r>
      <w:r w:rsidRPr="007C1ABD">
        <w:t xml:space="preserve">For more information regarding the Biologicals Framework </w:t>
      </w:r>
      <w:r>
        <w:t xml:space="preserve">see </w:t>
      </w:r>
      <w:hyperlink r:id="rId1" w:history="1">
        <w:r w:rsidRPr="001B0497">
          <w:rPr>
            <w:rStyle w:val="Hyperlink"/>
          </w:rPr>
          <w:t>http://www.tga.gov.au/industry/biologicals-framework.htm</w:t>
        </w:r>
      </w:hyperlink>
    </w:p>
  </w:footnote>
  <w:footnote w:id="2">
    <w:p w:rsidR="007C57DA" w:rsidRDefault="007C57DA" w:rsidP="007E760C">
      <w:pPr>
        <w:pStyle w:val="FootnoteText"/>
      </w:pPr>
      <w:r>
        <w:rPr>
          <w:rStyle w:val="FootnoteReference"/>
        </w:rPr>
        <w:footnoteRef/>
      </w:r>
      <w:r>
        <w:t xml:space="preserve"> The stakeholder database</w:t>
      </w:r>
      <w:r w:rsidRPr="00D67A6A">
        <w:t xml:space="preserve"> </w:t>
      </w:r>
      <w:r>
        <w:t>contained the names of 490 stakeholders that have registered with TGA to receive updates on the Biologicals Framework and includes federal and state government bodies, industry associations (e.g. Australian Medical Association, Australasian Tissue and Biotherapeutics Forum) and individuals from industry covering tissue banks, cord blood banks, HPC collection/processing centres, pharmaceutical/biotechnology companies, lawyers/consulting firms, and education and clinical research institutions.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7DA" w:rsidRDefault="007C57D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7DA" w:rsidRDefault="007C57DA" w:rsidP="00C3408D">
    <w:pPr>
      <w:pStyle w:val="Header"/>
    </w:pPr>
    <w:r w:rsidRPr="000F5176">
      <w:t>Therapeutic Goods Administration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7DA" w:rsidRDefault="007C57DA" w:rsidP="006D03E5">
    <w:pPr>
      <w:rPr>
        <w:noProof/>
      </w:rPr>
    </w:pPr>
    <w:r>
      <w:rPr>
        <w:noProof/>
        <w:lang w:eastAsia="en-AU"/>
      </w:rPr>
      <w:drawing>
        <wp:inline distT="0" distB="0" distL="0" distR="0">
          <wp:extent cx="3171825" cy="790575"/>
          <wp:effectExtent l="19050" t="0" r="9525" b="0"/>
          <wp:docPr id="27"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H&amp;A_logo_Inline_black.jpg"/>
                  <pic:cNvPicPr>
                    <a:picLocks noChangeAspect="1" noChangeArrowheads="1"/>
                  </pic:cNvPicPr>
                </pic:nvPicPr>
                <pic:blipFill>
                  <a:blip r:embed="rId1"/>
                  <a:srcRect/>
                  <a:stretch>
                    <a:fillRect/>
                  </a:stretch>
                </pic:blipFill>
                <pic:spPr bwMode="auto">
                  <a:xfrm>
                    <a:off x="0" y="0"/>
                    <a:ext cx="3171825" cy="790575"/>
                  </a:xfrm>
                  <a:prstGeom prst="rect">
                    <a:avLst/>
                  </a:prstGeom>
                  <a:noFill/>
                  <a:ln w="9525">
                    <a:noFill/>
                    <a:miter lim="800000"/>
                    <a:headEnd/>
                    <a:tailEnd/>
                  </a:ln>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7DA" w:rsidRPr="0063382C" w:rsidRDefault="007C57DA" w:rsidP="0063382C">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7DA" w:rsidRPr="0063382C" w:rsidRDefault="007C57DA" w:rsidP="0063382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02246D1A"/>
    <w:lvl w:ilvl="0">
      <w:start w:val="1"/>
      <w:numFmt w:val="bullet"/>
      <w:lvlText w:val=""/>
      <w:lvlJc w:val="left"/>
      <w:pPr>
        <w:tabs>
          <w:tab w:val="num" w:pos="360"/>
        </w:tabs>
        <w:ind w:left="360" w:hanging="360"/>
      </w:pPr>
      <w:rPr>
        <w:rFonts w:ascii="Symbol" w:hAnsi="Symbol" w:hint="default"/>
      </w:rPr>
    </w:lvl>
  </w:abstractNum>
  <w:abstractNum w:abstractNumId="3">
    <w:nsid w:val="00DF22BD"/>
    <w:multiLevelType w:val="hybridMultilevel"/>
    <w:tmpl w:val="B372AA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23B527D"/>
    <w:multiLevelType w:val="hybridMultilevel"/>
    <w:tmpl w:val="B65C8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5F95B62"/>
    <w:multiLevelType w:val="hybridMultilevel"/>
    <w:tmpl w:val="213AEF38"/>
    <w:lvl w:ilvl="0" w:tplc="DBB2C440">
      <w:start w:val="1"/>
      <w:numFmt w:val="bullet"/>
      <w:lvlText w:val=""/>
      <w:lvlJc w:val="left"/>
      <w:pPr>
        <w:ind w:left="72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6146E16"/>
    <w:multiLevelType w:val="hybridMultilevel"/>
    <w:tmpl w:val="EEA00C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E0C02B1"/>
    <w:multiLevelType w:val="hybridMultilevel"/>
    <w:tmpl w:val="C33A0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0E160FED"/>
    <w:multiLevelType w:val="hybridMultilevel"/>
    <w:tmpl w:val="7A3480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0F84727E"/>
    <w:multiLevelType w:val="hybridMultilevel"/>
    <w:tmpl w:val="15A6E2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1">
    <w:nsid w:val="102472F2"/>
    <w:multiLevelType w:val="hybridMultilevel"/>
    <w:tmpl w:val="E9285E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18E286F"/>
    <w:multiLevelType w:val="hybridMultilevel"/>
    <w:tmpl w:val="DA5EC7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3445A03"/>
    <w:multiLevelType w:val="hybridMultilevel"/>
    <w:tmpl w:val="BA0E5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52D26A3"/>
    <w:multiLevelType w:val="hybridMultilevel"/>
    <w:tmpl w:val="E27A1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16392C76"/>
    <w:multiLevelType w:val="hybridMultilevel"/>
    <w:tmpl w:val="BEA09C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168F13E9"/>
    <w:multiLevelType w:val="multilevel"/>
    <w:tmpl w:val="8CEA69D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Symbol" w:hAnsi="Symbo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
    <w:nsid w:val="16B66676"/>
    <w:multiLevelType w:val="hybridMultilevel"/>
    <w:tmpl w:val="57CA65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17F545D6"/>
    <w:multiLevelType w:val="hybridMultilevel"/>
    <w:tmpl w:val="D7903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181D3CE1"/>
    <w:multiLevelType w:val="hybridMultilevel"/>
    <w:tmpl w:val="8C5E90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2C1A2A61"/>
    <w:multiLevelType w:val="hybridMultilevel"/>
    <w:tmpl w:val="22AC9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5024475"/>
    <w:multiLevelType w:val="hybridMultilevel"/>
    <w:tmpl w:val="EA7C5C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BB249D9"/>
    <w:multiLevelType w:val="hybridMultilevel"/>
    <w:tmpl w:val="BE44D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C0305AB"/>
    <w:multiLevelType w:val="hybridMultilevel"/>
    <w:tmpl w:val="57CA65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DA32E57"/>
    <w:multiLevelType w:val="hybridMultilevel"/>
    <w:tmpl w:val="10B692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DD51DEF"/>
    <w:multiLevelType w:val="hybridMultilevel"/>
    <w:tmpl w:val="57CA65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500A4511"/>
    <w:multiLevelType w:val="hybridMultilevel"/>
    <w:tmpl w:val="E5D263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511904BD"/>
    <w:multiLevelType w:val="hybridMultilevel"/>
    <w:tmpl w:val="FEFA80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nsid w:val="53C20004"/>
    <w:multiLevelType w:val="multilevel"/>
    <w:tmpl w:val="5C2A3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B12E6E"/>
    <w:multiLevelType w:val="hybridMultilevel"/>
    <w:tmpl w:val="DE6C8D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07364E5"/>
    <w:multiLevelType w:val="multilevel"/>
    <w:tmpl w:val="FD10D35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4431ABC"/>
    <w:multiLevelType w:val="multilevel"/>
    <w:tmpl w:val="B3C8B192"/>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nsid w:val="67950F24"/>
    <w:multiLevelType w:val="hybridMultilevel"/>
    <w:tmpl w:val="2F727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7975B0F"/>
    <w:multiLevelType w:val="hybridMultilevel"/>
    <w:tmpl w:val="4636D912"/>
    <w:lvl w:ilvl="0" w:tplc="0C090001">
      <w:start w:val="1"/>
      <w:numFmt w:val="bullet"/>
      <w:lvlText w:val=""/>
      <w:lvlJc w:val="left"/>
      <w:pPr>
        <w:ind w:left="760" w:hanging="360"/>
      </w:pPr>
      <w:rPr>
        <w:rFonts w:ascii="Symbol" w:hAnsi="Symbol" w:hint="default"/>
      </w:rPr>
    </w:lvl>
    <w:lvl w:ilvl="1" w:tplc="0C090003" w:tentative="1">
      <w:start w:val="1"/>
      <w:numFmt w:val="bullet"/>
      <w:lvlText w:val="o"/>
      <w:lvlJc w:val="left"/>
      <w:pPr>
        <w:ind w:left="1480" w:hanging="360"/>
      </w:pPr>
      <w:rPr>
        <w:rFonts w:ascii="Courier New" w:hAnsi="Courier New" w:cs="Courier New" w:hint="default"/>
      </w:rPr>
    </w:lvl>
    <w:lvl w:ilvl="2" w:tplc="0C090005" w:tentative="1">
      <w:start w:val="1"/>
      <w:numFmt w:val="bullet"/>
      <w:lvlText w:val=""/>
      <w:lvlJc w:val="left"/>
      <w:pPr>
        <w:ind w:left="2200" w:hanging="360"/>
      </w:pPr>
      <w:rPr>
        <w:rFonts w:ascii="Wingdings" w:hAnsi="Wingdings" w:hint="default"/>
      </w:rPr>
    </w:lvl>
    <w:lvl w:ilvl="3" w:tplc="0C090001" w:tentative="1">
      <w:start w:val="1"/>
      <w:numFmt w:val="bullet"/>
      <w:lvlText w:val=""/>
      <w:lvlJc w:val="left"/>
      <w:pPr>
        <w:ind w:left="2920" w:hanging="360"/>
      </w:pPr>
      <w:rPr>
        <w:rFonts w:ascii="Symbol" w:hAnsi="Symbol" w:hint="default"/>
      </w:rPr>
    </w:lvl>
    <w:lvl w:ilvl="4" w:tplc="0C090003" w:tentative="1">
      <w:start w:val="1"/>
      <w:numFmt w:val="bullet"/>
      <w:lvlText w:val="o"/>
      <w:lvlJc w:val="left"/>
      <w:pPr>
        <w:ind w:left="3640" w:hanging="360"/>
      </w:pPr>
      <w:rPr>
        <w:rFonts w:ascii="Courier New" w:hAnsi="Courier New" w:cs="Courier New" w:hint="default"/>
      </w:rPr>
    </w:lvl>
    <w:lvl w:ilvl="5" w:tplc="0C090005" w:tentative="1">
      <w:start w:val="1"/>
      <w:numFmt w:val="bullet"/>
      <w:lvlText w:val=""/>
      <w:lvlJc w:val="left"/>
      <w:pPr>
        <w:ind w:left="4360" w:hanging="360"/>
      </w:pPr>
      <w:rPr>
        <w:rFonts w:ascii="Wingdings" w:hAnsi="Wingdings" w:hint="default"/>
      </w:rPr>
    </w:lvl>
    <w:lvl w:ilvl="6" w:tplc="0C090001" w:tentative="1">
      <w:start w:val="1"/>
      <w:numFmt w:val="bullet"/>
      <w:lvlText w:val=""/>
      <w:lvlJc w:val="left"/>
      <w:pPr>
        <w:ind w:left="5080" w:hanging="360"/>
      </w:pPr>
      <w:rPr>
        <w:rFonts w:ascii="Symbol" w:hAnsi="Symbol" w:hint="default"/>
      </w:rPr>
    </w:lvl>
    <w:lvl w:ilvl="7" w:tplc="0C090003" w:tentative="1">
      <w:start w:val="1"/>
      <w:numFmt w:val="bullet"/>
      <w:lvlText w:val="o"/>
      <w:lvlJc w:val="left"/>
      <w:pPr>
        <w:ind w:left="5800" w:hanging="360"/>
      </w:pPr>
      <w:rPr>
        <w:rFonts w:ascii="Courier New" w:hAnsi="Courier New" w:cs="Courier New" w:hint="default"/>
      </w:rPr>
    </w:lvl>
    <w:lvl w:ilvl="8" w:tplc="0C090005" w:tentative="1">
      <w:start w:val="1"/>
      <w:numFmt w:val="bullet"/>
      <w:lvlText w:val=""/>
      <w:lvlJc w:val="left"/>
      <w:pPr>
        <w:ind w:left="6520" w:hanging="360"/>
      </w:pPr>
      <w:rPr>
        <w:rFonts w:ascii="Wingdings" w:hAnsi="Wingdings" w:hint="default"/>
      </w:rPr>
    </w:lvl>
  </w:abstractNum>
  <w:abstractNum w:abstractNumId="34">
    <w:nsid w:val="679B68AB"/>
    <w:multiLevelType w:val="hybridMultilevel"/>
    <w:tmpl w:val="E5D263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6815380C"/>
    <w:multiLevelType w:val="hybridMultilevel"/>
    <w:tmpl w:val="C0F283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68C4053E"/>
    <w:multiLevelType w:val="hybridMultilevel"/>
    <w:tmpl w:val="E5D263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6AA80D84"/>
    <w:multiLevelType w:val="hybridMultilevel"/>
    <w:tmpl w:val="6EFAC8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6C217611"/>
    <w:multiLevelType w:val="hybridMultilevel"/>
    <w:tmpl w:val="8056C2A8"/>
    <w:lvl w:ilvl="0" w:tplc="89864ECE">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223728D"/>
    <w:multiLevelType w:val="hybridMultilevel"/>
    <w:tmpl w:val="9B5E0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5406A76"/>
    <w:multiLevelType w:val="hybridMultilevel"/>
    <w:tmpl w:val="11BC9F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B7B5EB0"/>
    <w:multiLevelType w:val="hybridMultilevel"/>
    <w:tmpl w:val="C750BE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7EEA186D"/>
    <w:multiLevelType w:val="hybridMultilevel"/>
    <w:tmpl w:val="A76A02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6"/>
  </w:num>
  <w:num w:numId="4">
    <w:abstractNumId w:val="16"/>
  </w:num>
  <w:num w:numId="5">
    <w:abstractNumId w:val="0"/>
  </w:num>
  <w:num w:numId="6">
    <w:abstractNumId w:val="16"/>
  </w:num>
  <w:num w:numId="7">
    <w:abstractNumId w:val="16"/>
  </w:num>
  <w:num w:numId="8">
    <w:abstractNumId w:val="10"/>
  </w:num>
  <w:num w:numId="9">
    <w:abstractNumId w:val="10"/>
  </w:num>
  <w:num w:numId="10">
    <w:abstractNumId w:val="10"/>
  </w:num>
  <w:num w:numId="11">
    <w:abstractNumId w:val="10"/>
  </w:num>
  <w:num w:numId="12">
    <w:abstractNumId w:val="12"/>
  </w:num>
  <w:num w:numId="13">
    <w:abstractNumId w:val="13"/>
  </w:num>
  <w:num w:numId="14">
    <w:abstractNumId w:val="11"/>
  </w:num>
  <w:num w:numId="15">
    <w:abstractNumId w:val="31"/>
  </w:num>
  <w:num w:numId="16">
    <w:abstractNumId w:val="24"/>
  </w:num>
  <w:num w:numId="17">
    <w:abstractNumId w:val="28"/>
  </w:num>
  <w:num w:numId="18">
    <w:abstractNumId w:val="23"/>
  </w:num>
  <w:num w:numId="19">
    <w:abstractNumId w:val="26"/>
  </w:num>
  <w:num w:numId="20">
    <w:abstractNumId w:val="36"/>
  </w:num>
  <w:num w:numId="21">
    <w:abstractNumId w:val="34"/>
  </w:num>
  <w:num w:numId="22">
    <w:abstractNumId w:val="30"/>
  </w:num>
  <w:num w:numId="23">
    <w:abstractNumId w:val="37"/>
  </w:num>
  <w:num w:numId="24">
    <w:abstractNumId w:val="32"/>
  </w:num>
  <w:num w:numId="25">
    <w:abstractNumId w:val="22"/>
  </w:num>
  <w:num w:numId="26">
    <w:abstractNumId w:val="42"/>
  </w:num>
  <w:num w:numId="27">
    <w:abstractNumId w:val="40"/>
  </w:num>
  <w:num w:numId="28">
    <w:abstractNumId w:val="15"/>
  </w:num>
  <w:num w:numId="29">
    <w:abstractNumId w:val="38"/>
  </w:num>
  <w:num w:numId="30">
    <w:abstractNumId w:val="5"/>
  </w:num>
  <w:num w:numId="31">
    <w:abstractNumId w:val="20"/>
  </w:num>
  <w:num w:numId="32">
    <w:abstractNumId w:val="14"/>
  </w:num>
  <w:num w:numId="33">
    <w:abstractNumId w:val="6"/>
  </w:num>
  <w:num w:numId="34">
    <w:abstractNumId w:val="41"/>
  </w:num>
  <w:num w:numId="35">
    <w:abstractNumId w:val="7"/>
  </w:num>
  <w:num w:numId="36">
    <w:abstractNumId w:val="35"/>
  </w:num>
  <w:num w:numId="37">
    <w:abstractNumId w:val="39"/>
  </w:num>
  <w:num w:numId="38">
    <w:abstractNumId w:val="4"/>
  </w:num>
  <w:num w:numId="39">
    <w:abstractNumId w:val="3"/>
  </w:num>
  <w:num w:numId="40">
    <w:abstractNumId w:val="19"/>
  </w:num>
  <w:num w:numId="41">
    <w:abstractNumId w:val="17"/>
  </w:num>
  <w:num w:numId="42">
    <w:abstractNumId w:val="25"/>
  </w:num>
  <w:num w:numId="43">
    <w:abstractNumId w:val="33"/>
  </w:num>
  <w:num w:numId="44">
    <w:abstractNumId w:val="8"/>
  </w:num>
  <w:num w:numId="45">
    <w:abstractNumId w:val="18"/>
  </w:num>
  <w:num w:numId="46">
    <w:abstractNumId w:val="9"/>
  </w:num>
  <w:num w:numId="47">
    <w:abstractNumId w:val="29"/>
  </w:num>
  <w:num w:numId="48">
    <w:abstractNumId w:val="21"/>
  </w:num>
  <w:num w:numId="4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proofState w:spelling="clean" w:grammar="clean"/>
  <w:stylePaneFormatFilter w:val="1001"/>
  <w:stylePaneSortMethod w:val="0000"/>
  <w:doNotTrackFormatting/>
  <w:defaultTabStop w:val="720"/>
  <w:drawingGridHorizontalSpacing w:val="110"/>
  <w:displayHorizontalDrawingGridEvery w:val="2"/>
  <w:characterSpacingControl w:val="doNotCompress"/>
  <w:hdrShapeDefaults>
    <o:shapedefaults v:ext="edit" spidmax="12289" fill="f" fillcolor="#c6d4e9" strokecolor="#002c47">
      <v:fill color="#c6d4e9" on="f"/>
      <v:stroke color="#002c47"/>
    </o:shapedefaults>
  </w:hdrShapeDefaults>
  <w:footnotePr>
    <w:footnote w:id="-1"/>
    <w:footnote w:id="0"/>
  </w:footnotePr>
  <w:endnotePr>
    <w:endnote w:id="-1"/>
    <w:endnote w:id="0"/>
  </w:endnotePr>
  <w:compat/>
  <w:rsids>
    <w:rsidRoot w:val="005E0965"/>
    <w:rsid w:val="00002031"/>
    <w:rsid w:val="0000378C"/>
    <w:rsid w:val="00004734"/>
    <w:rsid w:val="000067BD"/>
    <w:rsid w:val="00006B22"/>
    <w:rsid w:val="000071E9"/>
    <w:rsid w:val="00010832"/>
    <w:rsid w:val="0001178D"/>
    <w:rsid w:val="00011D37"/>
    <w:rsid w:val="00012591"/>
    <w:rsid w:val="0001276A"/>
    <w:rsid w:val="000140DF"/>
    <w:rsid w:val="00016BEB"/>
    <w:rsid w:val="00017377"/>
    <w:rsid w:val="000246AE"/>
    <w:rsid w:val="0002562E"/>
    <w:rsid w:val="00025C67"/>
    <w:rsid w:val="00027047"/>
    <w:rsid w:val="0002772D"/>
    <w:rsid w:val="00031338"/>
    <w:rsid w:val="00031EB9"/>
    <w:rsid w:val="00036CE5"/>
    <w:rsid w:val="0003736D"/>
    <w:rsid w:val="00042502"/>
    <w:rsid w:val="00044118"/>
    <w:rsid w:val="00047E7B"/>
    <w:rsid w:val="0005092A"/>
    <w:rsid w:val="000542CB"/>
    <w:rsid w:val="0005559E"/>
    <w:rsid w:val="000572E4"/>
    <w:rsid w:val="0006096D"/>
    <w:rsid w:val="000621AA"/>
    <w:rsid w:val="000624D6"/>
    <w:rsid w:val="00063F07"/>
    <w:rsid w:val="00065065"/>
    <w:rsid w:val="00065619"/>
    <w:rsid w:val="00070CEE"/>
    <w:rsid w:val="00070CF9"/>
    <w:rsid w:val="00071A6F"/>
    <w:rsid w:val="00073695"/>
    <w:rsid w:val="000751A5"/>
    <w:rsid w:val="0007626C"/>
    <w:rsid w:val="00077775"/>
    <w:rsid w:val="0008016F"/>
    <w:rsid w:val="0008117C"/>
    <w:rsid w:val="00083E52"/>
    <w:rsid w:val="00090471"/>
    <w:rsid w:val="0009388F"/>
    <w:rsid w:val="00093DF5"/>
    <w:rsid w:val="000958C9"/>
    <w:rsid w:val="000A108F"/>
    <w:rsid w:val="000A1F5A"/>
    <w:rsid w:val="000A33BD"/>
    <w:rsid w:val="000A4371"/>
    <w:rsid w:val="000A77AA"/>
    <w:rsid w:val="000B0994"/>
    <w:rsid w:val="000B30E5"/>
    <w:rsid w:val="000B3532"/>
    <w:rsid w:val="000B3A75"/>
    <w:rsid w:val="000B4509"/>
    <w:rsid w:val="000B574E"/>
    <w:rsid w:val="000B5E4E"/>
    <w:rsid w:val="000B6CAE"/>
    <w:rsid w:val="000B7084"/>
    <w:rsid w:val="000B7A9B"/>
    <w:rsid w:val="000C3111"/>
    <w:rsid w:val="000C6B1C"/>
    <w:rsid w:val="000D0851"/>
    <w:rsid w:val="000D2B01"/>
    <w:rsid w:val="000D391B"/>
    <w:rsid w:val="000D3D6D"/>
    <w:rsid w:val="000D44F8"/>
    <w:rsid w:val="000D4FC7"/>
    <w:rsid w:val="000D796B"/>
    <w:rsid w:val="000D7B8C"/>
    <w:rsid w:val="000D7F4C"/>
    <w:rsid w:val="000F03DA"/>
    <w:rsid w:val="000F15A3"/>
    <w:rsid w:val="000F4869"/>
    <w:rsid w:val="000F5176"/>
    <w:rsid w:val="000F5978"/>
    <w:rsid w:val="000F5B42"/>
    <w:rsid w:val="000F6E6F"/>
    <w:rsid w:val="001003F2"/>
    <w:rsid w:val="00100441"/>
    <w:rsid w:val="00102BDA"/>
    <w:rsid w:val="00102BEB"/>
    <w:rsid w:val="001037C0"/>
    <w:rsid w:val="00104D4B"/>
    <w:rsid w:val="00105459"/>
    <w:rsid w:val="00105B26"/>
    <w:rsid w:val="0010601F"/>
    <w:rsid w:val="00110E79"/>
    <w:rsid w:val="00110EA5"/>
    <w:rsid w:val="00114543"/>
    <w:rsid w:val="00115240"/>
    <w:rsid w:val="00115508"/>
    <w:rsid w:val="00116028"/>
    <w:rsid w:val="001178C1"/>
    <w:rsid w:val="001210F1"/>
    <w:rsid w:val="001218CF"/>
    <w:rsid w:val="00122780"/>
    <w:rsid w:val="00125091"/>
    <w:rsid w:val="00125318"/>
    <w:rsid w:val="001259BE"/>
    <w:rsid w:val="00127FB2"/>
    <w:rsid w:val="001305A2"/>
    <w:rsid w:val="00130E1B"/>
    <w:rsid w:val="00133238"/>
    <w:rsid w:val="00133F8B"/>
    <w:rsid w:val="00135154"/>
    <w:rsid w:val="00135CD3"/>
    <w:rsid w:val="00140FE3"/>
    <w:rsid w:val="0014197B"/>
    <w:rsid w:val="0014247A"/>
    <w:rsid w:val="0014375A"/>
    <w:rsid w:val="0014438E"/>
    <w:rsid w:val="001447CD"/>
    <w:rsid w:val="00146576"/>
    <w:rsid w:val="001500F7"/>
    <w:rsid w:val="0015015C"/>
    <w:rsid w:val="001516B1"/>
    <w:rsid w:val="0015191E"/>
    <w:rsid w:val="001520BA"/>
    <w:rsid w:val="001525B4"/>
    <w:rsid w:val="00153696"/>
    <w:rsid w:val="001561EF"/>
    <w:rsid w:val="00156316"/>
    <w:rsid w:val="00162945"/>
    <w:rsid w:val="00165389"/>
    <w:rsid w:val="00165DC3"/>
    <w:rsid w:val="001678EC"/>
    <w:rsid w:val="001713A3"/>
    <w:rsid w:val="00172A15"/>
    <w:rsid w:val="00174F71"/>
    <w:rsid w:val="0017693F"/>
    <w:rsid w:val="0017728D"/>
    <w:rsid w:val="0018110E"/>
    <w:rsid w:val="00181684"/>
    <w:rsid w:val="001843C6"/>
    <w:rsid w:val="00184D18"/>
    <w:rsid w:val="001850E0"/>
    <w:rsid w:val="0018539B"/>
    <w:rsid w:val="0018634B"/>
    <w:rsid w:val="0018660B"/>
    <w:rsid w:val="00190EF5"/>
    <w:rsid w:val="001912F1"/>
    <w:rsid w:val="00192AAA"/>
    <w:rsid w:val="001947CE"/>
    <w:rsid w:val="0019493D"/>
    <w:rsid w:val="00195280"/>
    <w:rsid w:val="00195295"/>
    <w:rsid w:val="001977B5"/>
    <w:rsid w:val="00197E9C"/>
    <w:rsid w:val="001A0D85"/>
    <w:rsid w:val="001A1FF0"/>
    <w:rsid w:val="001A525F"/>
    <w:rsid w:val="001A5541"/>
    <w:rsid w:val="001A7414"/>
    <w:rsid w:val="001B09F9"/>
    <w:rsid w:val="001B1C75"/>
    <w:rsid w:val="001B213E"/>
    <w:rsid w:val="001B6448"/>
    <w:rsid w:val="001C1F32"/>
    <w:rsid w:val="001C2A9B"/>
    <w:rsid w:val="001C323E"/>
    <w:rsid w:val="001C3908"/>
    <w:rsid w:val="001C4975"/>
    <w:rsid w:val="001C49C9"/>
    <w:rsid w:val="001C52A8"/>
    <w:rsid w:val="001C68CB"/>
    <w:rsid w:val="001D37E0"/>
    <w:rsid w:val="001D40FD"/>
    <w:rsid w:val="001D62A5"/>
    <w:rsid w:val="001D7224"/>
    <w:rsid w:val="001D7F08"/>
    <w:rsid w:val="001E07CF"/>
    <w:rsid w:val="001E08EF"/>
    <w:rsid w:val="001E14E6"/>
    <w:rsid w:val="001E16E0"/>
    <w:rsid w:val="001E22F5"/>
    <w:rsid w:val="001E3946"/>
    <w:rsid w:val="001E4B1A"/>
    <w:rsid w:val="001E59F1"/>
    <w:rsid w:val="001E6AE1"/>
    <w:rsid w:val="001E7398"/>
    <w:rsid w:val="001E774B"/>
    <w:rsid w:val="001F10A0"/>
    <w:rsid w:val="001F2211"/>
    <w:rsid w:val="001F23A4"/>
    <w:rsid w:val="001F45B2"/>
    <w:rsid w:val="001F49EB"/>
    <w:rsid w:val="001F6227"/>
    <w:rsid w:val="001F6CBA"/>
    <w:rsid w:val="001F7BDF"/>
    <w:rsid w:val="00201D4E"/>
    <w:rsid w:val="00211EE3"/>
    <w:rsid w:val="00212E98"/>
    <w:rsid w:val="0021456B"/>
    <w:rsid w:val="00217091"/>
    <w:rsid w:val="00217CC6"/>
    <w:rsid w:val="00220B8A"/>
    <w:rsid w:val="002227BC"/>
    <w:rsid w:val="00224346"/>
    <w:rsid w:val="002257F3"/>
    <w:rsid w:val="00227615"/>
    <w:rsid w:val="00230336"/>
    <w:rsid w:val="00231082"/>
    <w:rsid w:val="00233456"/>
    <w:rsid w:val="002339A5"/>
    <w:rsid w:val="002345BC"/>
    <w:rsid w:val="00234C61"/>
    <w:rsid w:val="00237691"/>
    <w:rsid w:val="00240004"/>
    <w:rsid w:val="0024002B"/>
    <w:rsid w:val="00242538"/>
    <w:rsid w:val="002425FE"/>
    <w:rsid w:val="00244ED8"/>
    <w:rsid w:val="0024581F"/>
    <w:rsid w:val="00247FB9"/>
    <w:rsid w:val="00257138"/>
    <w:rsid w:val="00257848"/>
    <w:rsid w:val="00257F46"/>
    <w:rsid w:val="002604D1"/>
    <w:rsid w:val="00260B49"/>
    <w:rsid w:val="00262570"/>
    <w:rsid w:val="00264E12"/>
    <w:rsid w:val="0026764E"/>
    <w:rsid w:val="0027084A"/>
    <w:rsid w:val="002709E8"/>
    <w:rsid w:val="002730F2"/>
    <w:rsid w:val="00274ADB"/>
    <w:rsid w:val="00280F9F"/>
    <w:rsid w:val="00281B38"/>
    <w:rsid w:val="00281C8A"/>
    <w:rsid w:val="002823CD"/>
    <w:rsid w:val="002856C0"/>
    <w:rsid w:val="00286434"/>
    <w:rsid w:val="00286C59"/>
    <w:rsid w:val="00292C84"/>
    <w:rsid w:val="002942D1"/>
    <w:rsid w:val="0029489D"/>
    <w:rsid w:val="002956F9"/>
    <w:rsid w:val="00297BD3"/>
    <w:rsid w:val="002A0339"/>
    <w:rsid w:val="002A0556"/>
    <w:rsid w:val="002A0BC2"/>
    <w:rsid w:val="002A0FDB"/>
    <w:rsid w:val="002A1FA7"/>
    <w:rsid w:val="002A3FF1"/>
    <w:rsid w:val="002A40B0"/>
    <w:rsid w:val="002A5B3A"/>
    <w:rsid w:val="002A6461"/>
    <w:rsid w:val="002A6C06"/>
    <w:rsid w:val="002A7E3B"/>
    <w:rsid w:val="002B1638"/>
    <w:rsid w:val="002B32D3"/>
    <w:rsid w:val="002C376C"/>
    <w:rsid w:val="002C6E9C"/>
    <w:rsid w:val="002C6F8D"/>
    <w:rsid w:val="002D0C92"/>
    <w:rsid w:val="002D197A"/>
    <w:rsid w:val="002D2E1F"/>
    <w:rsid w:val="002D68E3"/>
    <w:rsid w:val="002D739A"/>
    <w:rsid w:val="002D7B16"/>
    <w:rsid w:val="002D7B3F"/>
    <w:rsid w:val="002E193A"/>
    <w:rsid w:val="002E4C9A"/>
    <w:rsid w:val="002F11F8"/>
    <w:rsid w:val="002F2D16"/>
    <w:rsid w:val="002F34D1"/>
    <w:rsid w:val="002F36E1"/>
    <w:rsid w:val="002F3F56"/>
    <w:rsid w:val="002F44B5"/>
    <w:rsid w:val="002F4CBB"/>
    <w:rsid w:val="002F7738"/>
    <w:rsid w:val="00300350"/>
    <w:rsid w:val="0030061A"/>
    <w:rsid w:val="00301754"/>
    <w:rsid w:val="00301FA3"/>
    <w:rsid w:val="00304F7D"/>
    <w:rsid w:val="0030571D"/>
    <w:rsid w:val="00307AA8"/>
    <w:rsid w:val="00311AC0"/>
    <w:rsid w:val="00312756"/>
    <w:rsid w:val="003146EE"/>
    <w:rsid w:val="003157A9"/>
    <w:rsid w:val="00320B98"/>
    <w:rsid w:val="0032222D"/>
    <w:rsid w:val="00323F14"/>
    <w:rsid w:val="003252DE"/>
    <w:rsid w:val="00325E64"/>
    <w:rsid w:val="0033016D"/>
    <w:rsid w:val="00330A74"/>
    <w:rsid w:val="00330C3E"/>
    <w:rsid w:val="00331DBB"/>
    <w:rsid w:val="00332559"/>
    <w:rsid w:val="0033351C"/>
    <w:rsid w:val="0033352D"/>
    <w:rsid w:val="00350041"/>
    <w:rsid w:val="00350236"/>
    <w:rsid w:val="0035146C"/>
    <w:rsid w:val="003521E8"/>
    <w:rsid w:val="003539B5"/>
    <w:rsid w:val="00357700"/>
    <w:rsid w:val="00360EEB"/>
    <w:rsid w:val="00361C71"/>
    <w:rsid w:val="00366043"/>
    <w:rsid w:val="003664BF"/>
    <w:rsid w:val="0036676B"/>
    <w:rsid w:val="00367E9F"/>
    <w:rsid w:val="00370DDA"/>
    <w:rsid w:val="003728F3"/>
    <w:rsid w:val="00372AE6"/>
    <w:rsid w:val="003737EF"/>
    <w:rsid w:val="00373805"/>
    <w:rsid w:val="00376321"/>
    <w:rsid w:val="00376339"/>
    <w:rsid w:val="00376793"/>
    <w:rsid w:val="00390900"/>
    <w:rsid w:val="003925C4"/>
    <w:rsid w:val="0039595B"/>
    <w:rsid w:val="003A2DDF"/>
    <w:rsid w:val="003A420B"/>
    <w:rsid w:val="003A4512"/>
    <w:rsid w:val="003A507B"/>
    <w:rsid w:val="003A6BEC"/>
    <w:rsid w:val="003A70D1"/>
    <w:rsid w:val="003B0AAD"/>
    <w:rsid w:val="003B362C"/>
    <w:rsid w:val="003B37C5"/>
    <w:rsid w:val="003B47B5"/>
    <w:rsid w:val="003B79BD"/>
    <w:rsid w:val="003B7E39"/>
    <w:rsid w:val="003C09BF"/>
    <w:rsid w:val="003C14C2"/>
    <w:rsid w:val="003C3052"/>
    <w:rsid w:val="003C3574"/>
    <w:rsid w:val="003C58DC"/>
    <w:rsid w:val="003C6ACA"/>
    <w:rsid w:val="003C7A4A"/>
    <w:rsid w:val="003D2077"/>
    <w:rsid w:val="003D2E30"/>
    <w:rsid w:val="003D3B63"/>
    <w:rsid w:val="003D4711"/>
    <w:rsid w:val="003D6B56"/>
    <w:rsid w:val="003D7E8D"/>
    <w:rsid w:val="003E3208"/>
    <w:rsid w:val="003E3DF5"/>
    <w:rsid w:val="003E509A"/>
    <w:rsid w:val="003F0B04"/>
    <w:rsid w:val="003F4CCC"/>
    <w:rsid w:val="003F7341"/>
    <w:rsid w:val="003F78AD"/>
    <w:rsid w:val="00400325"/>
    <w:rsid w:val="0040134E"/>
    <w:rsid w:val="00402511"/>
    <w:rsid w:val="00404B57"/>
    <w:rsid w:val="004067EC"/>
    <w:rsid w:val="00406DB9"/>
    <w:rsid w:val="00407C10"/>
    <w:rsid w:val="00407C2E"/>
    <w:rsid w:val="004129C4"/>
    <w:rsid w:val="00412CD0"/>
    <w:rsid w:val="0041631F"/>
    <w:rsid w:val="00416AC8"/>
    <w:rsid w:val="004258EB"/>
    <w:rsid w:val="00425CF0"/>
    <w:rsid w:val="0042758D"/>
    <w:rsid w:val="00427841"/>
    <w:rsid w:val="004315A8"/>
    <w:rsid w:val="004316D2"/>
    <w:rsid w:val="004344F4"/>
    <w:rsid w:val="0044054B"/>
    <w:rsid w:val="00440A2D"/>
    <w:rsid w:val="004479B7"/>
    <w:rsid w:val="00455CAC"/>
    <w:rsid w:val="004564A7"/>
    <w:rsid w:val="004576D4"/>
    <w:rsid w:val="004617BF"/>
    <w:rsid w:val="00461B7A"/>
    <w:rsid w:val="004622FE"/>
    <w:rsid w:val="00462B1D"/>
    <w:rsid w:val="00465201"/>
    <w:rsid w:val="00465EB2"/>
    <w:rsid w:val="004664F2"/>
    <w:rsid w:val="004665EF"/>
    <w:rsid w:val="00467176"/>
    <w:rsid w:val="00467693"/>
    <w:rsid w:val="0047174A"/>
    <w:rsid w:val="00472427"/>
    <w:rsid w:val="004745F2"/>
    <w:rsid w:val="00483D37"/>
    <w:rsid w:val="00484A5D"/>
    <w:rsid w:val="0049106F"/>
    <w:rsid w:val="004923FF"/>
    <w:rsid w:val="004932F5"/>
    <w:rsid w:val="00494B29"/>
    <w:rsid w:val="00494E60"/>
    <w:rsid w:val="00496B2E"/>
    <w:rsid w:val="0049734C"/>
    <w:rsid w:val="004A455E"/>
    <w:rsid w:val="004A720C"/>
    <w:rsid w:val="004B0ABA"/>
    <w:rsid w:val="004B3293"/>
    <w:rsid w:val="004B53E5"/>
    <w:rsid w:val="004B5A8F"/>
    <w:rsid w:val="004B7B76"/>
    <w:rsid w:val="004C0070"/>
    <w:rsid w:val="004C1296"/>
    <w:rsid w:val="004C4096"/>
    <w:rsid w:val="004D2C54"/>
    <w:rsid w:val="004D3410"/>
    <w:rsid w:val="004D51A6"/>
    <w:rsid w:val="004D5A1C"/>
    <w:rsid w:val="004D6937"/>
    <w:rsid w:val="004D7C98"/>
    <w:rsid w:val="004E3B32"/>
    <w:rsid w:val="004E4120"/>
    <w:rsid w:val="004E5685"/>
    <w:rsid w:val="004E62C2"/>
    <w:rsid w:val="004E65D1"/>
    <w:rsid w:val="004E7B49"/>
    <w:rsid w:val="004F0EB2"/>
    <w:rsid w:val="004F0F38"/>
    <w:rsid w:val="004F484B"/>
    <w:rsid w:val="00500AFC"/>
    <w:rsid w:val="00500E2E"/>
    <w:rsid w:val="00501921"/>
    <w:rsid w:val="00510D58"/>
    <w:rsid w:val="00511CBB"/>
    <w:rsid w:val="005121C1"/>
    <w:rsid w:val="005147B7"/>
    <w:rsid w:val="0051575A"/>
    <w:rsid w:val="005168ED"/>
    <w:rsid w:val="005179D6"/>
    <w:rsid w:val="00520D7C"/>
    <w:rsid w:val="0052287F"/>
    <w:rsid w:val="00522AA6"/>
    <w:rsid w:val="005246C7"/>
    <w:rsid w:val="00525545"/>
    <w:rsid w:val="005273FB"/>
    <w:rsid w:val="00530354"/>
    <w:rsid w:val="00530FB3"/>
    <w:rsid w:val="00534466"/>
    <w:rsid w:val="005354B5"/>
    <w:rsid w:val="00535561"/>
    <w:rsid w:val="00535D83"/>
    <w:rsid w:val="00537967"/>
    <w:rsid w:val="0054184D"/>
    <w:rsid w:val="00541FD8"/>
    <w:rsid w:val="005423EF"/>
    <w:rsid w:val="00542598"/>
    <w:rsid w:val="005434C6"/>
    <w:rsid w:val="00543B39"/>
    <w:rsid w:val="005442D6"/>
    <w:rsid w:val="0054497C"/>
    <w:rsid w:val="00544D8F"/>
    <w:rsid w:val="00546523"/>
    <w:rsid w:val="00550096"/>
    <w:rsid w:val="00552A63"/>
    <w:rsid w:val="00553034"/>
    <w:rsid w:val="0055658C"/>
    <w:rsid w:val="00557FF9"/>
    <w:rsid w:val="00560037"/>
    <w:rsid w:val="00561F93"/>
    <w:rsid w:val="00563B6F"/>
    <w:rsid w:val="005671F9"/>
    <w:rsid w:val="00567A2E"/>
    <w:rsid w:val="00570CBC"/>
    <w:rsid w:val="00571D3E"/>
    <w:rsid w:val="00571EDD"/>
    <w:rsid w:val="00572E23"/>
    <w:rsid w:val="005732F1"/>
    <w:rsid w:val="005760DA"/>
    <w:rsid w:val="00576378"/>
    <w:rsid w:val="00577E38"/>
    <w:rsid w:val="00584285"/>
    <w:rsid w:val="00585322"/>
    <w:rsid w:val="005864F4"/>
    <w:rsid w:val="00593AD1"/>
    <w:rsid w:val="005978D3"/>
    <w:rsid w:val="00597D5D"/>
    <w:rsid w:val="005A1131"/>
    <w:rsid w:val="005A3F64"/>
    <w:rsid w:val="005A4BA8"/>
    <w:rsid w:val="005A5A3A"/>
    <w:rsid w:val="005A663E"/>
    <w:rsid w:val="005A7966"/>
    <w:rsid w:val="005B075B"/>
    <w:rsid w:val="005B0A63"/>
    <w:rsid w:val="005B16AA"/>
    <w:rsid w:val="005B7F99"/>
    <w:rsid w:val="005C1D20"/>
    <w:rsid w:val="005C4B7F"/>
    <w:rsid w:val="005C5570"/>
    <w:rsid w:val="005C66BA"/>
    <w:rsid w:val="005C79A4"/>
    <w:rsid w:val="005D15B9"/>
    <w:rsid w:val="005D1689"/>
    <w:rsid w:val="005D1C9B"/>
    <w:rsid w:val="005D5442"/>
    <w:rsid w:val="005D55A3"/>
    <w:rsid w:val="005D57C9"/>
    <w:rsid w:val="005D6302"/>
    <w:rsid w:val="005D7D29"/>
    <w:rsid w:val="005E0965"/>
    <w:rsid w:val="005E1E94"/>
    <w:rsid w:val="005E3C2C"/>
    <w:rsid w:val="005E475F"/>
    <w:rsid w:val="005E484C"/>
    <w:rsid w:val="005E4A28"/>
    <w:rsid w:val="005E7CCC"/>
    <w:rsid w:val="005F160D"/>
    <w:rsid w:val="005F2840"/>
    <w:rsid w:val="005F458A"/>
    <w:rsid w:val="005F5830"/>
    <w:rsid w:val="005F5F6C"/>
    <w:rsid w:val="00601C38"/>
    <w:rsid w:val="006042EA"/>
    <w:rsid w:val="006076C3"/>
    <w:rsid w:val="006101A7"/>
    <w:rsid w:val="00611ED1"/>
    <w:rsid w:val="006156C2"/>
    <w:rsid w:val="00616399"/>
    <w:rsid w:val="0062125A"/>
    <w:rsid w:val="00621597"/>
    <w:rsid w:val="00621A1E"/>
    <w:rsid w:val="006241C2"/>
    <w:rsid w:val="00625015"/>
    <w:rsid w:val="00625189"/>
    <w:rsid w:val="00625A3A"/>
    <w:rsid w:val="006265E5"/>
    <w:rsid w:val="00631B52"/>
    <w:rsid w:val="00632809"/>
    <w:rsid w:val="006328EC"/>
    <w:rsid w:val="0063382C"/>
    <w:rsid w:val="006409BF"/>
    <w:rsid w:val="00640FC3"/>
    <w:rsid w:val="006417F3"/>
    <w:rsid w:val="00641C04"/>
    <w:rsid w:val="00642020"/>
    <w:rsid w:val="006443D4"/>
    <w:rsid w:val="00646897"/>
    <w:rsid w:val="00646FF0"/>
    <w:rsid w:val="006507E4"/>
    <w:rsid w:val="0065154A"/>
    <w:rsid w:val="0065337B"/>
    <w:rsid w:val="00653693"/>
    <w:rsid w:val="0065419D"/>
    <w:rsid w:val="00655B5F"/>
    <w:rsid w:val="00656063"/>
    <w:rsid w:val="006604D8"/>
    <w:rsid w:val="0066114F"/>
    <w:rsid w:val="00662201"/>
    <w:rsid w:val="00663706"/>
    <w:rsid w:val="00663716"/>
    <w:rsid w:val="00664A5B"/>
    <w:rsid w:val="00667942"/>
    <w:rsid w:val="006743A5"/>
    <w:rsid w:val="006747E2"/>
    <w:rsid w:val="00675C52"/>
    <w:rsid w:val="0067614F"/>
    <w:rsid w:val="006779DF"/>
    <w:rsid w:val="00680C08"/>
    <w:rsid w:val="00682627"/>
    <w:rsid w:val="0068325B"/>
    <w:rsid w:val="0068560D"/>
    <w:rsid w:val="00685C75"/>
    <w:rsid w:val="0068646E"/>
    <w:rsid w:val="0068741A"/>
    <w:rsid w:val="0069076F"/>
    <w:rsid w:val="006931B1"/>
    <w:rsid w:val="006A15C0"/>
    <w:rsid w:val="006A38E4"/>
    <w:rsid w:val="006A496F"/>
    <w:rsid w:val="006A6FD6"/>
    <w:rsid w:val="006B32AB"/>
    <w:rsid w:val="006B4F44"/>
    <w:rsid w:val="006C11DF"/>
    <w:rsid w:val="006C1F3B"/>
    <w:rsid w:val="006C3E2A"/>
    <w:rsid w:val="006C43B5"/>
    <w:rsid w:val="006C43F8"/>
    <w:rsid w:val="006C642F"/>
    <w:rsid w:val="006C7C92"/>
    <w:rsid w:val="006D03E5"/>
    <w:rsid w:val="006D5D3E"/>
    <w:rsid w:val="006E00B8"/>
    <w:rsid w:val="006E08B3"/>
    <w:rsid w:val="006E0D6B"/>
    <w:rsid w:val="006E2CA7"/>
    <w:rsid w:val="006E44C3"/>
    <w:rsid w:val="006E4E00"/>
    <w:rsid w:val="006E7DDD"/>
    <w:rsid w:val="006F0414"/>
    <w:rsid w:val="006F1604"/>
    <w:rsid w:val="006F46EA"/>
    <w:rsid w:val="006F48D7"/>
    <w:rsid w:val="006F572E"/>
    <w:rsid w:val="006F6284"/>
    <w:rsid w:val="006F652C"/>
    <w:rsid w:val="006F6C81"/>
    <w:rsid w:val="007046D6"/>
    <w:rsid w:val="00704BBB"/>
    <w:rsid w:val="007050E7"/>
    <w:rsid w:val="00705DB0"/>
    <w:rsid w:val="00706634"/>
    <w:rsid w:val="00706AFE"/>
    <w:rsid w:val="00706F56"/>
    <w:rsid w:val="0070723A"/>
    <w:rsid w:val="007101B8"/>
    <w:rsid w:val="00711A6A"/>
    <w:rsid w:val="00713169"/>
    <w:rsid w:val="00715B63"/>
    <w:rsid w:val="007173F4"/>
    <w:rsid w:val="00720C25"/>
    <w:rsid w:val="007217C7"/>
    <w:rsid w:val="00722170"/>
    <w:rsid w:val="00723297"/>
    <w:rsid w:val="00723BF8"/>
    <w:rsid w:val="00724E19"/>
    <w:rsid w:val="00724EED"/>
    <w:rsid w:val="00725B6E"/>
    <w:rsid w:val="007263AA"/>
    <w:rsid w:val="00726F13"/>
    <w:rsid w:val="00730725"/>
    <w:rsid w:val="00733388"/>
    <w:rsid w:val="00733968"/>
    <w:rsid w:val="00733CC2"/>
    <w:rsid w:val="007351BE"/>
    <w:rsid w:val="0074142E"/>
    <w:rsid w:val="0074253D"/>
    <w:rsid w:val="0074429B"/>
    <w:rsid w:val="0074721C"/>
    <w:rsid w:val="007477F8"/>
    <w:rsid w:val="00751CA2"/>
    <w:rsid w:val="00753687"/>
    <w:rsid w:val="00753A56"/>
    <w:rsid w:val="0075413F"/>
    <w:rsid w:val="00755B40"/>
    <w:rsid w:val="0075652A"/>
    <w:rsid w:val="007615BC"/>
    <w:rsid w:val="007622D7"/>
    <w:rsid w:val="00762F05"/>
    <w:rsid w:val="0076355C"/>
    <w:rsid w:val="00764017"/>
    <w:rsid w:val="00764FC4"/>
    <w:rsid w:val="007652FF"/>
    <w:rsid w:val="00767588"/>
    <w:rsid w:val="00770BD8"/>
    <w:rsid w:val="00771329"/>
    <w:rsid w:val="00771722"/>
    <w:rsid w:val="0077326F"/>
    <w:rsid w:val="00773EF7"/>
    <w:rsid w:val="00774547"/>
    <w:rsid w:val="00774E1D"/>
    <w:rsid w:val="0077675A"/>
    <w:rsid w:val="00777B2B"/>
    <w:rsid w:val="00780355"/>
    <w:rsid w:val="00785721"/>
    <w:rsid w:val="0078794A"/>
    <w:rsid w:val="00793A59"/>
    <w:rsid w:val="00795DC5"/>
    <w:rsid w:val="007A180B"/>
    <w:rsid w:val="007A2162"/>
    <w:rsid w:val="007A2693"/>
    <w:rsid w:val="007A330B"/>
    <w:rsid w:val="007A4C2E"/>
    <w:rsid w:val="007A6E55"/>
    <w:rsid w:val="007A72C6"/>
    <w:rsid w:val="007A7F1B"/>
    <w:rsid w:val="007B19CF"/>
    <w:rsid w:val="007B2FBE"/>
    <w:rsid w:val="007B5AC0"/>
    <w:rsid w:val="007B65D0"/>
    <w:rsid w:val="007B7540"/>
    <w:rsid w:val="007C02DC"/>
    <w:rsid w:val="007C0D71"/>
    <w:rsid w:val="007C0F3D"/>
    <w:rsid w:val="007C134D"/>
    <w:rsid w:val="007C1ABD"/>
    <w:rsid w:val="007C1AF7"/>
    <w:rsid w:val="007C2B5D"/>
    <w:rsid w:val="007C50C5"/>
    <w:rsid w:val="007C57DA"/>
    <w:rsid w:val="007D04D3"/>
    <w:rsid w:val="007D16C7"/>
    <w:rsid w:val="007D3913"/>
    <w:rsid w:val="007D4364"/>
    <w:rsid w:val="007D5E7A"/>
    <w:rsid w:val="007D7836"/>
    <w:rsid w:val="007E175B"/>
    <w:rsid w:val="007E35A2"/>
    <w:rsid w:val="007E5B91"/>
    <w:rsid w:val="007E760C"/>
    <w:rsid w:val="007F17AF"/>
    <w:rsid w:val="007F1B8E"/>
    <w:rsid w:val="007F2B9A"/>
    <w:rsid w:val="007F4B72"/>
    <w:rsid w:val="007F5877"/>
    <w:rsid w:val="007F618C"/>
    <w:rsid w:val="007F657B"/>
    <w:rsid w:val="0080017F"/>
    <w:rsid w:val="00800D58"/>
    <w:rsid w:val="00802363"/>
    <w:rsid w:val="00805571"/>
    <w:rsid w:val="0080697D"/>
    <w:rsid w:val="00806A92"/>
    <w:rsid w:val="00813CB0"/>
    <w:rsid w:val="00816164"/>
    <w:rsid w:val="00821776"/>
    <w:rsid w:val="00821BCB"/>
    <w:rsid w:val="008227B2"/>
    <w:rsid w:val="00823201"/>
    <w:rsid w:val="008257EC"/>
    <w:rsid w:val="00826007"/>
    <w:rsid w:val="00827D9B"/>
    <w:rsid w:val="00831345"/>
    <w:rsid w:val="008320C3"/>
    <w:rsid w:val="008321F5"/>
    <w:rsid w:val="00832369"/>
    <w:rsid w:val="00834660"/>
    <w:rsid w:val="00836BC2"/>
    <w:rsid w:val="00836FC2"/>
    <w:rsid w:val="00837950"/>
    <w:rsid w:val="00840313"/>
    <w:rsid w:val="00842394"/>
    <w:rsid w:val="008466D5"/>
    <w:rsid w:val="00850DD4"/>
    <w:rsid w:val="00852F34"/>
    <w:rsid w:val="0085641B"/>
    <w:rsid w:val="00857136"/>
    <w:rsid w:val="00871916"/>
    <w:rsid w:val="00872717"/>
    <w:rsid w:val="00873AAF"/>
    <w:rsid w:val="008762EF"/>
    <w:rsid w:val="008771D1"/>
    <w:rsid w:val="00877B41"/>
    <w:rsid w:val="00881819"/>
    <w:rsid w:val="00882270"/>
    <w:rsid w:val="0088462A"/>
    <w:rsid w:val="00887C84"/>
    <w:rsid w:val="008901A2"/>
    <w:rsid w:val="00891593"/>
    <w:rsid w:val="0089234E"/>
    <w:rsid w:val="008931A9"/>
    <w:rsid w:val="00893F3E"/>
    <w:rsid w:val="00894D9F"/>
    <w:rsid w:val="00896018"/>
    <w:rsid w:val="00897E0D"/>
    <w:rsid w:val="008A2386"/>
    <w:rsid w:val="008A273C"/>
    <w:rsid w:val="008A2B9D"/>
    <w:rsid w:val="008A3674"/>
    <w:rsid w:val="008A52FC"/>
    <w:rsid w:val="008A5E0B"/>
    <w:rsid w:val="008A6B7B"/>
    <w:rsid w:val="008A6D59"/>
    <w:rsid w:val="008A7095"/>
    <w:rsid w:val="008B036D"/>
    <w:rsid w:val="008B480C"/>
    <w:rsid w:val="008B4B03"/>
    <w:rsid w:val="008B553E"/>
    <w:rsid w:val="008B596F"/>
    <w:rsid w:val="008C159F"/>
    <w:rsid w:val="008C1623"/>
    <w:rsid w:val="008C30DF"/>
    <w:rsid w:val="008C4021"/>
    <w:rsid w:val="008C4AEF"/>
    <w:rsid w:val="008C51A9"/>
    <w:rsid w:val="008C6352"/>
    <w:rsid w:val="008C63C5"/>
    <w:rsid w:val="008C7541"/>
    <w:rsid w:val="008C770C"/>
    <w:rsid w:val="008D209A"/>
    <w:rsid w:val="008D2676"/>
    <w:rsid w:val="008D51FF"/>
    <w:rsid w:val="008D62F9"/>
    <w:rsid w:val="008D7440"/>
    <w:rsid w:val="008E16CF"/>
    <w:rsid w:val="008E1B21"/>
    <w:rsid w:val="008E1FDD"/>
    <w:rsid w:val="008E2A1A"/>
    <w:rsid w:val="008E351E"/>
    <w:rsid w:val="008E3C43"/>
    <w:rsid w:val="008F1CCC"/>
    <w:rsid w:val="008F283A"/>
    <w:rsid w:val="008F2967"/>
    <w:rsid w:val="008F2B4D"/>
    <w:rsid w:val="008F669F"/>
    <w:rsid w:val="008F6EF7"/>
    <w:rsid w:val="008F762A"/>
    <w:rsid w:val="00900CF2"/>
    <w:rsid w:val="0090513E"/>
    <w:rsid w:val="009110D4"/>
    <w:rsid w:val="009142C0"/>
    <w:rsid w:val="00920330"/>
    <w:rsid w:val="00920FF4"/>
    <w:rsid w:val="009219D7"/>
    <w:rsid w:val="00922D53"/>
    <w:rsid w:val="00923B70"/>
    <w:rsid w:val="0092600B"/>
    <w:rsid w:val="00930237"/>
    <w:rsid w:val="00930D3C"/>
    <w:rsid w:val="00932026"/>
    <w:rsid w:val="00933622"/>
    <w:rsid w:val="009347C0"/>
    <w:rsid w:val="00936698"/>
    <w:rsid w:val="00936F4F"/>
    <w:rsid w:val="00937C58"/>
    <w:rsid w:val="00937D94"/>
    <w:rsid w:val="00940927"/>
    <w:rsid w:val="00940BA0"/>
    <w:rsid w:val="00941348"/>
    <w:rsid w:val="009445E7"/>
    <w:rsid w:val="00944AA3"/>
    <w:rsid w:val="00945639"/>
    <w:rsid w:val="00945C29"/>
    <w:rsid w:val="00947097"/>
    <w:rsid w:val="009511F3"/>
    <w:rsid w:val="00952800"/>
    <w:rsid w:val="009546A6"/>
    <w:rsid w:val="0095585D"/>
    <w:rsid w:val="00957F19"/>
    <w:rsid w:val="009606FC"/>
    <w:rsid w:val="00960F8D"/>
    <w:rsid w:val="0096129D"/>
    <w:rsid w:val="00963C08"/>
    <w:rsid w:val="00964F68"/>
    <w:rsid w:val="009731FF"/>
    <w:rsid w:val="00973511"/>
    <w:rsid w:val="00973BFF"/>
    <w:rsid w:val="00974DBB"/>
    <w:rsid w:val="00977013"/>
    <w:rsid w:val="00980C7A"/>
    <w:rsid w:val="00982CB7"/>
    <w:rsid w:val="00987645"/>
    <w:rsid w:val="00987D4E"/>
    <w:rsid w:val="009907D6"/>
    <w:rsid w:val="00990C31"/>
    <w:rsid w:val="0099110E"/>
    <w:rsid w:val="00991CC8"/>
    <w:rsid w:val="00992B83"/>
    <w:rsid w:val="00992BFF"/>
    <w:rsid w:val="00997D2F"/>
    <w:rsid w:val="009A1CE0"/>
    <w:rsid w:val="009A39CD"/>
    <w:rsid w:val="009A3EF7"/>
    <w:rsid w:val="009A42CD"/>
    <w:rsid w:val="009A4CED"/>
    <w:rsid w:val="009A5BC7"/>
    <w:rsid w:val="009A7078"/>
    <w:rsid w:val="009A7893"/>
    <w:rsid w:val="009B1D12"/>
    <w:rsid w:val="009B3475"/>
    <w:rsid w:val="009B416B"/>
    <w:rsid w:val="009B4FE3"/>
    <w:rsid w:val="009B68A6"/>
    <w:rsid w:val="009C005C"/>
    <w:rsid w:val="009C0649"/>
    <w:rsid w:val="009C12CF"/>
    <w:rsid w:val="009C1965"/>
    <w:rsid w:val="009C4BD5"/>
    <w:rsid w:val="009C5530"/>
    <w:rsid w:val="009C62E3"/>
    <w:rsid w:val="009D1458"/>
    <w:rsid w:val="009D2E04"/>
    <w:rsid w:val="009D68E3"/>
    <w:rsid w:val="009D68F9"/>
    <w:rsid w:val="009D7280"/>
    <w:rsid w:val="009D7B77"/>
    <w:rsid w:val="009E0BB0"/>
    <w:rsid w:val="009E36BA"/>
    <w:rsid w:val="009E3FBB"/>
    <w:rsid w:val="009E41DC"/>
    <w:rsid w:val="009E7DDE"/>
    <w:rsid w:val="009F018D"/>
    <w:rsid w:val="009F04DC"/>
    <w:rsid w:val="009F0B33"/>
    <w:rsid w:val="009F2968"/>
    <w:rsid w:val="009F42ED"/>
    <w:rsid w:val="009F708F"/>
    <w:rsid w:val="009F7941"/>
    <w:rsid w:val="00A06B50"/>
    <w:rsid w:val="00A071D1"/>
    <w:rsid w:val="00A07591"/>
    <w:rsid w:val="00A07A97"/>
    <w:rsid w:val="00A1235B"/>
    <w:rsid w:val="00A12E8A"/>
    <w:rsid w:val="00A1327A"/>
    <w:rsid w:val="00A14DF7"/>
    <w:rsid w:val="00A24C4A"/>
    <w:rsid w:val="00A26E24"/>
    <w:rsid w:val="00A27F12"/>
    <w:rsid w:val="00A31667"/>
    <w:rsid w:val="00A3246D"/>
    <w:rsid w:val="00A333DB"/>
    <w:rsid w:val="00A36FA7"/>
    <w:rsid w:val="00A40FB8"/>
    <w:rsid w:val="00A4235C"/>
    <w:rsid w:val="00A42A5C"/>
    <w:rsid w:val="00A46492"/>
    <w:rsid w:val="00A475B7"/>
    <w:rsid w:val="00A47AF7"/>
    <w:rsid w:val="00A47C3E"/>
    <w:rsid w:val="00A50226"/>
    <w:rsid w:val="00A56D7F"/>
    <w:rsid w:val="00A609CB"/>
    <w:rsid w:val="00A60BAD"/>
    <w:rsid w:val="00A649FD"/>
    <w:rsid w:val="00A655E1"/>
    <w:rsid w:val="00A65B2B"/>
    <w:rsid w:val="00A66565"/>
    <w:rsid w:val="00A6669D"/>
    <w:rsid w:val="00A71489"/>
    <w:rsid w:val="00A72C92"/>
    <w:rsid w:val="00A73A8D"/>
    <w:rsid w:val="00A85583"/>
    <w:rsid w:val="00A85789"/>
    <w:rsid w:val="00A86A20"/>
    <w:rsid w:val="00A87334"/>
    <w:rsid w:val="00A8752E"/>
    <w:rsid w:val="00A8764D"/>
    <w:rsid w:val="00A87E18"/>
    <w:rsid w:val="00A907D5"/>
    <w:rsid w:val="00A93126"/>
    <w:rsid w:val="00A93498"/>
    <w:rsid w:val="00A94071"/>
    <w:rsid w:val="00AA1EBD"/>
    <w:rsid w:val="00AA3EB9"/>
    <w:rsid w:val="00AA5447"/>
    <w:rsid w:val="00AA5F7D"/>
    <w:rsid w:val="00AA75E9"/>
    <w:rsid w:val="00AB03DB"/>
    <w:rsid w:val="00AB10AA"/>
    <w:rsid w:val="00AB181F"/>
    <w:rsid w:val="00AB4FFA"/>
    <w:rsid w:val="00AB5644"/>
    <w:rsid w:val="00AB6BED"/>
    <w:rsid w:val="00AC0759"/>
    <w:rsid w:val="00AC17E3"/>
    <w:rsid w:val="00AC2B40"/>
    <w:rsid w:val="00AC2BB2"/>
    <w:rsid w:val="00AC2C3C"/>
    <w:rsid w:val="00AC3BD9"/>
    <w:rsid w:val="00AE14B1"/>
    <w:rsid w:val="00AE1A36"/>
    <w:rsid w:val="00AE368A"/>
    <w:rsid w:val="00AE5AB2"/>
    <w:rsid w:val="00AE65EB"/>
    <w:rsid w:val="00AE69CC"/>
    <w:rsid w:val="00AE6B0F"/>
    <w:rsid w:val="00AF0583"/>
    <w:rsid w:val="00AF164B"/>
    <w:rsid w:val="00AF1BD0"/>
    <w:rsid w:val="00AF1D94"/>
    <w:rsid w:val="00AF416E"/>
    <w:rsid w:val="00AF4E58"/>
    <w:rsid w:val="00AF52B5"/>
    <w:rsid w:val="00AF5630"/>
    <w:rsid w:val="00AF568D"/>
    <w:rsid w:val="00AF5803"/>
    <w:rsid w:val="00AF60C5"/>
    <w:rsid w:val="00B0075B"/>
    <w:rsid w:val="00B009C6"/>
    <w:rsid w:val="00B00ACB"/>
    <w:rsid w:val="00B01548"/>
    <w:rsid w:val="00B01551"/>
    <w:rsid w:val="00B1030F"/>
    <w:rsid w:val="00B109C6"/>
    <w:rsid w:val="00B113E2"/>
    <w:rsid w:val="00B147DA"/>
    <w:rsid w:val="00B15EC0"/>
    <w:rsid w:val="00B16AD8"/>
    <w:rsid w:val="00B21D29"/>
    <w:rsid w:val="00B21FC5"/>
    <w:rsid w:val="00B23323"/>
    <w:rsid w:val="00B24209"/>
    <w:rsid w:val="00B24FF5"/>
    <w:rsid w:val="00B25034"/>
    <w:rsid w:val="00B2768B"/>
    <w:rsid w:val="00B3349D"/>
    <w:rsid w:val="00B33863"/>
    <w:rsid w:val="00B33C3E"/>
    <w:rsid w:val="00B34915"/>
    <w:rsid w:val="00B34A5D"/>
    <w:rsid w:val="00B35A44"/>
    <w:rsid w:val="00B36177"/>
    <w:rsid w:val="00B363D1"/>
    <w:rsid w:val="00B365FB"/>
    <w:rsid w:val="00B37D17"/>
    <w:rsid w:val="00B4175E"/>
    <w:rsid w:val="00B41D7D"/>
    <w:rsid w:val="00B41E0A"/>
    <w:rsid w:val="00B423F2"/>
    <w:rsid w:val="00B440F3"/>
    <w:rsid w:val="00B44772"/>
    <w:rsid w:val="00B46FCA"/>
    <w:rsid w:val="00B47622"/>
    <w:rsid w:val="00B510E1"/>
    <w:rsid w:val="00B51109"/>
    <w:rsid w:val="00B527DB"/>
    <w:rsid w:val="00B5351F"/>
    <w:rsid w:val="00B54C25"/>
    <w:rsid w:val="00B55180"/>
    <w:rsid w:val="00B56D6F"/>
    <w:rsid w:val="00B57127"/>
    <w:rsid w:val="00B61F03"/>
    <w:rsid w:val="00B627FF"/>
    <w:rsid w:val="00B709BD"/>
    <w:rsid w:val="00B70C9A"/>
    <w:rsid w:val="00B711F4"/>
    <w:rsid w:val="00B72678"/>
    <w:rsid w:val="00B743B1"/>
    <w:rsid w:val="00B76B91"/>
    <w:rsid w:val="00B76BA2"/>
    <w:rsid w:val="00B81387"/>
    <w:rsid w:val="00B82D17"/>
    <w:rsid w:val="00B82D42"/>
    <w:rsid w:val="00B87BB7"/>
    <w:rsid w:val="00B90C19"/>
    <w:rsid w:val="00B91818"/>
    <w:rsid w:val="00B91D59"/>
    <w:rsid w:val="00B937F6"/>
    <w:rsid w:val="00B9484C"/>
    <w:rsid w:val="00B94CFB"/>
    <w:rsid w:val="00B94FE8"/>
    <w:rsid w:val="00B96F87"/>
    <w:rsid w:val="00BA609F"/>
    <w:rsid w:val="00BA676A"/>
    <w:rsid w:val="00BB07D0"/>
    <w:rsid w:val="00BB1085"/>
    <w:rsid w:val="00BB169A"/>
    <w:rsid w:val="00BB2AEB"/>
    <w:rsid w:val="00BB4591"/>
    <w:rsid w:val="00BB5C36"/>
    <w:rsid w:val="00BB7407"/>
    <w:rsid w:val="00BB7B90"/>
    <w:rsid w:val="00BC1148"/>
    <w:rsid w:val="00BC19F2"/>
    <w:rsid w:val="00BC1CAB"/>
    <w:rsid w:val="00BC2160"/>
    <w:rsid w:val="00BC3E38"/>
    <w:rsid w:val="00BC622A"/>
    <w:rsid w:val="00BC69F8"/>
    <w:rsid w:val="00BD01B2"/>
    <w:rsid w:val="00BD0B28"/>
    <w:rsid w:val="00BD33AF"/>
    <w:rsid w:val="00BD5475"/>
    <w:rsid w:val="00BE0A78"/>
    <w:rsid w:val="00BE1BC8"/>
    <w:rsid w:val="00BE204C"/>
    <w:rsid w:val="00BE243C"/>
    <w:rsid w:val="00BE288B"/>
    <w:rsid w:val="00BE723B"/>
    <w:rsid w:val="00BE79F0"/>
    <w:rsid w:val="00BF046D"/>
    <w:rsid w:val="00BF1779"/>
    <w:rsid w:val="00BF2D2D"/>
    <w:rsid w:val="00BF3133"/>
    <w:rsid w:val="00BF38B9"/>
    <w:rsid w:val="00BF43F2"/>
    <w:rsid w:val="00BF5D04"/>
    <w:rsid w:val="00BF6AA1"/>
    <w:rsid w:val="00C03ADA"/>
    <w:rsid w:val="00C0556A"/>
    <w:rsid w:val="00C11229"/>
    <w:rsid w:val="00C13563"/>
    <w:rsid w:val="00C14835"/>
    <w:rsid w:val="00C1617C"/>
    <w:rsid w:val="00C2045A"/>
    <w:rsid w:val="00C20BBF"/>
    <w:rsid w:val="00C21B06"/>
    <w:rsid w:val="00C23477"/>
    <w:rsid w:val="00C24FC6"/>
    <w:rsid w:val="00C25B05"/>
    <w:rsid w:val="00C27D17"/>
    <w:rsid w:val="00C337EF"/>
    <w:rsid w:val="00C3408D"/>
    <w:rsid w:val="00C35670"/>
    <w:rsid w:val="00C4016F"/>
    <w:rsid w:val="00C404A6"/>
    <w:rsid w:val="00C40A36"/>
    <w:rsid w:val="00C44419"/>
    <w:rsid w:val="00C44CD8"/>
    <w:rsid w:val="00C45E7B"/>
    <w:rsid w:val="00C46098"/>
    <w:rsid w:val="00C471B1"/>
    <w:rsid w:val="00C5171D"/>
    <w:rsid w:val="00C549DD"/>
    <w:rsid w:val="00C60514"/>
    <w:rsid w:val="00C6316B"/>
    <w:rsid w:val="00C634A9"/>
    <w:rsid w:val="00C6425D"/>
    <w:rsid w:val="00C6785B"/>
    <w:rsid w:val="00C7475B"/>
    <w:rsid w:val="00C76805"/>
    <w:rsid w:val="00C772FF"/>
    <w:rsid w:val="00C801AF"/>
    <w:rsid w:val="00C80256"/>
    <w:rsid w:val="00C831A1"/>
    <w:rsid w:val="00C85953"/>
    <w:rsid w:val="00C86AEB"/>
    <w:rsid w:val="00C8714B"/>
    <w:rsid w:val="00C87DC4"/>
    <w:rsid w:val="00C91C58"/>
    <w:rsid w:val="00C92564"/>
    <w:rsid w:val="00C93D21"/>
    <w:rsid w:val="00C96D63"/>
    <w:rsid w:val="00C97A10"/>
    <w:rsid w:val="00CA0235"/>
    <w:rsid w:val="00CA045E"/>
    <w:rsid w:val="00CA0CAD"/>
    <w:rsid w:val="00CA1EB6"/>
    <w:rsid w:val="00CA3EAE"/>
    <w:rsid w:val="00CA4C97"/>
    <w:rsid w:val="00CA6518"/>
    <w:rsid w:val="00CA7F9C"/>
    <w:rsid w:val="00CB333B"/>
    <w:rsid w:val="00CB6329"/>
    <w:rsid w:val="00CB6BC0"/>
    <w:rsid w:val="00CB73C5"/>
    <w:rsid w:val="00CC1B7C"/>
    <w:rsid w:val="00CC2A82"/>
    <w:rsid w:val="00CC2B23"/>
    <w:rsid w:val="00CC3DFF"/>
    <w:rsid w:val="00CC727F"/>
    <w:rsid w:val="00CD0C66"/>
    <w:rsid w:val="00CD1F02"/>
    <w:rsid w:val="00CD2439"/>
    <w:rsid w:val="00CD30CC"/>
    <w:rsid w:val="00CD4C0F"/>
    <w:rsid w:val="00CD6FCC"/>
    <w:rsid w:val="00CE0913"/>
    <w:rsid w:val="00CE152B"/>
    <w:rsid w:val="00CE25A6"/>
    <w:rsid w:val="00CE3524"/>
    <w:rsid w:val="00CE516C"/>
    <w:rsid w:val="00CE5619"/>
    <w:rsid w:val="00CE5898"/>
    <w:rsid w:val="00CE5BB0"/>
    <w:rsid w:val="00CF15C3"/>
    <w:rsid w:val="00CF160A"/>
    <w:rsid w:val="00CF197E"/>
    <w:rsid w:val="00CF2B6F"/>
    <w:rsid w:val="00CF39F8"/>
    <w:rsid w:val="00CF4791"/>
    <w:rsid w:val="00CF4CA1"/>
    <w:rsid w:val="00CF7237"/>
    <w:rsid w:val="00D017ED"/>
    <w:rsid w:val="00D03566"/>
    <w:rsid w:val="00D0554A"/>
    <w:rsid w:val="00D11F5C"/>
    <w:rsid w:val="00D153B1"/>
    <w:rsid w:val="00D15FA5"/>
    <w:rsid w:val="00D2086B"/>
    <w:rsid w:val="00D20C4E"/>
    <w:rsid w:val="00D22081"/>
    <w:rsid w:val="00D220D8"/>
    <w:rsid w:val="00D224FE"/>
    <w:rsid w:val="00D229BA"/>
    <w:rsid w:val="00D24A0B"/>
    <w:rsid w:val="00D25158"/>
    <w:rsid w:val="00D254E8"/>
    <w:rsid w:val="00D30526"/>
    <w:rsid w:val="00D31CD5"/>
    <w:rsid w:val="00D3646E"/>
    <w:rsid w:val="00D3760B"/>
    <w:rsid w:val="00D37F81"/>
    <w:rsid w:val="00D425E2"/>
    <w:rsid w:val="00D429B7"/>
    <w:rsid w:val="00D42B46"/>
    <w:rsid w:val="00D50DB8"/>
    <w:rsid w:val="00D516A3"/>
    <w:rsid w:val="00D517EB"/>
    <w:rsid w:val="00D604C9"/>
    <w:rsid w:val="00D606FD"/>
    <w:rsid w:val="00D6356A"/>
    <w:rsid w:val="00D6493E"/>
    <w:rsid w:val="00D6523F"/>
    <w:rsid w:val="00D661D7"/>
    <w:rsid w:val="00D662ED"/>
    <w:rsid w:val="00D6666D"/>
    <w:rsid w:val="00D72DE1"/>
    <w:rsid w:val="00D7538E"/>
    <w:rsid w:val="00D7555F"/>
    <w:rsid w:val="00D7589F"/>
    <w:rsid w:val="00D811DF"/>
    <w:rsid w:val="00D8155D"/>
    <w:rsid w:val="00D81773"/>
    <w:rsid w:val="00D81BEC"/>
    <w:rsid w:val="00D83270"/>
    <w:rsid w:val="00D85417"/>
    <w:rsid w:val="00D87413"/>
    <w:rsid w:val="00D9200C"/>
    <w:rsid w:val="00D92630"/>
    <w:rsid w:val="00D93582"/>
    <w:rsid w:val="00D953F7"/>
    <w:rsid w:val="00DA1124"/>
    <w:rsid w:val="00DA1837"/>
    <w:rsid w:val="00DA24C7"/>
    <w:rsid w:val="00DA381C"/>
    <w:rsid w:val="00DA4CD9"/>
    <w:rsid w:val="00DA55DF"/>
    <w:rsid w:val="00DA6532"/>
    <w:rsid w:val="00DA6E84"/>
    <w:rsid w:val="00DB317A"/>
    <w:rsid w:val="00DB3C27"/>
    <w:rsid w:val="00DB6B59"/>
    <w:rsid w:val="00DB7FB4"/>
    <w:rsid w:val="00DC0CB4"/>
    <w:rsid w:val="00DC4755"/>
    <w:rsid w:val="00DC67DA"/>
    <w:rsid w:val="00DD29E7"/>
    <w:rsid w:val="00DD51B0"/>
    <w:rsid w:val="00DD57C1"/>
    <w:rsid w:val="00DD7430"/>
    <w:rsid w:val="00DD75A3"/>
    <w:rsid w:val="00DD76DE"/>
    <w:rsid w:val="00DE02AE"/>
    <w:rsid w:val="00DE6588"/>
    <w:rsid w:val="00DE6A0C"/>
    <w:rsid w:val="00DE6C04"/>
    <w:rsid w:val="00DF082B"/>
    <w:rsid w:val="00DF1D7F"/>
    <w:rsid w:val="00DF45B9"/>
    <w:rsid w:val="00DF4D68"/>
    <w:rsid w:val="00DF6BE8"/>
    <w:rsid w:val="00DF72EE"/>
    <w:rsid w:val="00E02FB4"/>
    <w:rsid w:val="00E02FE3"/>
    <w:rsid w:val="00E03112"/>
    <w:rsid w:val="00E05C03"/>
    <w:rsid w:val="00E0622F"/>
    <w:rsid w:val="00E07A09"/>
    <w:rsid w:val="00E11E4D"/>
    <w:rsid w:val="00E1340C"/>
    <w:rsid w:val="00E13FAF"/>
    <w:rsid w:val="00E14550"/>
    <w:rsid w:val="00E177F4"/>
    <w:rsid w:val="00E20571"/>
    <w:rsid w:val="00E21651"/>
    <w:rsid w:val="00E22953"/>
    <w:rsid w:val="00E235F7"/>
    <w:rsid w:val="00E239D4"/>
    <w:rsid w:val="00E30C88"/>
    <w:rsid w:val="00E32A50"/>
    <w:rsid w:val="00E32A5C"/>
    <w:rsid w:val="00E36157"/>
    <w:rsid w:val="00E40B22"/>
    <w:rsid w:val="00E4588F"/>
    <w:rsid w:val="00E46DA3"/>
    <w:rsid w:val="00E47660"/>
    <w:rsid w:val="00E50DC2"/>
    <w:rsid w:val="00E52126"/>
    <w:rsid w:val="00E529C1"/>
    <w:rsid w:val="00E53A36"/>
    <w:rsid w:val="00E564F0"/>
    <w:rsid w:val="00E57BF6"/>
    <w:rsid w:val="00E6045D"/>
    <w:rsid w:val="00E624AA"/>
    <w:rsid w:val="00E62793"/>
    <w:rsid w:val="00E70452"/>
    <w:rsid w:val="00E73B39"/>
    <w:rsid w:val="00E75915"/>
    <w:rsid w:val="00E76789"/>
    <w:rsid w:val="00E82B31"/>
    <w:rsid w:val="00E836CC"/>
    <w:rsid w:val="00E87D4C"/>
    <w:rsid w:val="00E87EE6"/>
    <w:rsid w:val="00E91E9F"/>
    <w:rsid w:val="00E94A2F"/>
    <w:rsid w:val="00E96FC3"/>
    <w:rsid w:val="00E9772B"/>
    <w:rsid w:val="00E97ED2"/>
    <w:rsid w:val="00EA07CA"/>
    <w:rsid w:val="00EA16DE"/>
    <w:rsid w:val="00EA1F09"/>
    <w:rsid w:val="00EA23C6"/>
    <w:rsid w:val="00EA2805"/>
    <w:rsid w:val="00EA3DD9"/>
    <w:rsid w:val="00EA406B"/>
    <w:rsid w:val="00EA7E1D"/>
    <w:rsid w:val="00EB0620"/>
    <w:rsid w:val="00EB0798"/>
    <w:rsid w:val="00EB134B"/>
    <w:rsid w:val="00EB40AD"/>
    <w:rsid w:val="00EB586E"/>
    <w:rsid w:val="00EB5EC2"/>
    <w:rsid w:val="00EB5FC8"/>
    <w:rsid w:val="00EB6412"/>
    <w:rsid w:val="00EC3A7F"/>
    <w:rsid w:val="00EC6BBA"/>
    <w:rsid w:val="00ED0D11"/>
    <w:rsid w:val="00ED555A"/>
    <w:rsid w:val="00ED5A41"/>
    <w:rsid w:val="00EE140E"/>
    <w:rsid w:val="00EE3D10"/>
    <w:rsid w:val="00EE6413"/>
    <w:rsid w:val="00EE779A"/>
    <w:rsid w:val="00EF1163"/>
    <w:rsid w:val="00EF131E"/>
    <w:rsid w:val="00EF237D"/>
    <w:rsid w:val="00EF2F9A"/>
    <w:rsid w:val="00EF41E8"/>
    <w:rsid w:val="00EF454A"/>
    <w:rsid w:val="00EF47FC"/>
    <w:rsid w:val="00EF4940"/>
    <w:rsid w:val="00EF578B"/>
    <w:rsid w:val="00EF6895"/>
    <w:rsid w:val="00F00CC9"/>
    <w:rsid w:val="00F01623"/>
    <w:rsid w:val="00F033EC"/>
    <w:rsid w:val="00F04559"/>
    <w:rsid w:val="00F04F68"/>
    <w:rsid w:val="00F05CEE"/>
    <w:rsid w:val="00F12670"/>
    <w:rsid w:val="00F12CB8"/>
    <w:rsid w:val="00F14B27"/>
    <w:rsid w:val="00F15CB9"/>
    <w:rsid w:val="00F20B1E"/>
    <w:rsid w:val="00F21A30"/>
    <w:rsid w:val="00F2301F"/>
    <w:rsid w:val="00F279EF"/>
    <w:rsid w:val="00F3022C"/>
    <w:rsid w:val="00F3148D"/>
    <w:rsid w:val="00F32781"/>
    <w:rsid w:val="00F33A1E"/>
    <w:rsid w:val="00F35298"/>
    <w:rsid w:val="00F3529E"/>
    <w:rsid w:val="00F35604"/>
    <w:rsid w:val="00F40B9F"/>
    <w:rsid w:val="00F427F0"/>
    <w:rsid w:val="00F4385D"/>
    <w:rsid w:val="00F450A8"/>
    <w:rsid w:val="00F464F4"/>
    <w:rsid w:val="00F47E37"/>
    <w:rsid w:val="00F527C0"/>
    <w:rsid w:val="00F52C24"/>
    <w:rsid w:val="00F53896"/>
    <w:rsid w:val="00F54267"/>
    <w:rsid w:val="00F542BB"/>
    <w:rsid w:val="00F54A0D"/>
    <w:rsid w:val="00F5682E"/>
    <w:rsid w:val="00F609DD"/>
    <w:rsid w:val="00F640B6"/>
    <w:rsid w:val="00F643B7"/>
    <w:rsid w:val="00F652D5"/>
    <w:rsid w:val="00F66697"/>
    <w:rsid w:val="00F76070"/>
    <w:rsid w:val="00F764BF"/>
    <w:rsid w:val="00F777EF"/>
    <w:rsid w:val="00F80049"/>
    <w:rsid w:val="00F8080F"/>
    <w:rsid w:val="00F80E40"/>
    <w:rsid w:val="00F84EF2"/>
    <w:rsid w:val="00F85654"/>
    <w:rsid w:val="00F86E7A"/>
    <w:rsid w:val="00F8709D"/>
    <w:rsid w:val="00F87809"/>
    <w:rsid w:val="00F87931"/>
    <w:rsid w:val="00F91A1D"/>
    <w:rsid w:val="00F92D6F"/>
    <w:rsid w:val="00F93241"/>
    <w:rsid w:val="00F94A72"/>
    <w:rsid w:val="00F9661B"/>
    <w:rsid w:val="00FA1187"/>
    <w:rsid w:val="00FA5B82"/>
    <w:rsid w:val="00FA639E"/>
    <w:rsid w:val="00FB040F"/>
    <w:rsid w:val="00FB0542"/>
    <w:rsid w:val="00FB62F1"/>
    <w:rsid w:val="00FB662C"/>
    <w:rsid w:val="00FB6B11"/>
    <w:rsid w:val="00FC02D2"/>
    <w:rsid w:val="00FC03C8"/>
    <w:rsid w:val="00FC0575"/>
    <w:rsid w:val="00FC1235"/>
    <w:rsid w:val="00FC19E1"/>
    <w:rsid w:val="00FC1C07"/>
    <w:rsid w:val="00FC25E4"/>
    <w:rsid w:val="00FC4EF7"/>
    <w:rsid w:val="00FC76FC"/>
    <w:rsid w:val="00FD20D7"/>
    <w:rsid w:val="00FD2472"/>
    <w:rsid w:val="00FD7603"/>
    <w:rsid w:val="00FD77BF"/>
    <w:rsid w:val="00FE0E5A"/>
    <w:rsid w:val="00FE14A2"/>
    <w:rsid w:val="00FE1DEE"/>
    <w:rsid w:val="00FE206C"/>
    <w:rsid w:val="00FE4F9C"/>
    <w:rsid w:val="00FE501F"/>
    <w:rsid w:val="00FF2126"/>
    <w:rsid w:val="00FF5E7E"/>
    <w:rsid w:val="00FF69BE"/>
    <w:rsid w:val="00FF6A9A"/>
    <w:rsid w:val="00FF6DFD"/>
    <w:rsid w:val="00FF7333"/>
    <w:rsid w:val="00FF7439"/>
    <w:rsid w:val="00FF7B93"/>
    <w:rsid w:val="00FF7C2A"/>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fill="f" fillcolor="#c6d4e9" strokecolor="#002c47">
      <v:fill color="#c6d4e9" on="f"/>
      <v:stroke color="#002c47"/>
    </o:shapedefaults>
    <o:shapelayout v:ext="edit">
      <o:idmap v:ext="edit" data="1"/>
      <o:rules v:ext="edit">
        <o:r id="V:Rule2" type="connector" idref="#AutoShape 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semiHidden="0" w:unhideWhenUsed="0"/>
    <w:lsdException w:name="footer" w:semiHidden="0" w:uiPriority="0" w:unhideWhenUsed="0" w:qFormat="1"/>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01551"/>
    <w:pPr>
      <w:spacing w:before="180" w:after="180" w:line="240" w:lineRule="atLeast"/>
    </w:pPr>
    <w:rPr>
      <w:sz w:val="22"/>
      <w:szCs w:val="22"/>
      <w:lang w:eastAsia="en-US"/>
    </w:rPr>
  </w:style>
  <w:style w:type="paragraph" w:styleId="Heading1">
    <w:name w:val="heading 1"/>
    <w:basedOn w:val="Title"/>
    <w:next w:val="Normal"/>
    <w:link w:val="Heading1Char"/>
    <w:uiPriority w:val="9"/>
    <w:qFormat/>
    <w:rsid w:val="002E193A"/>
    <w:pPr>
      <w:framePr w:hSpace="180" w:wrap="around" w:vAnchor="page" w:hAnchor="margin" w:y="3271"/>
      <w:outlineLvl w:val="0"/>
    </w:pPr>
  </w:style>
  <w:style w:type="paragraph" w:styleId="Heading2">
    <w:name w:val="heading 2"/>
    <w:basedOn w:val="Normal"/>
    <w:next w:val="Normal"/>
    <w:link w:val="Heading2Char"/>
    <w:qFormat/>
    <w:rsid w:val="002E193A"/>
    <w:pPr>
      <w:keepNext/>
      <w:keepLines/>
      <w:spacing w:before="480" w:after="360"/>
      <w:outlineLvl w:val="1"/>
    </w:pPr>
    <w:rPr>
      <w:rFonts w:ascii="Arial" w:eastAsia="Times New Roman" w:hAnsi="Arial"/>
      <w:b/>
      <w:bCs/>
      <w:sz w:val="48"/>
      <w:szCs w:val="26"/>
    </w:rPr>
  </w:style>
  <w:style w:type="paragraph" w:styleId="Heading3">
    <w:name w:val="heading 3"/>
    <w:basedOn w:val="Heading2"/>
    <w:next w:val="Normal"/>
    <w:link w:val="Heading3Char"/>
    <w:qFormat/>
    <w:rsid w:val="002E193A"/>
    <w:pPr>
      <w:outlineLvl w:val="2"/>
    </w:pPr>
    <w:rPr>
      <w:sz w:val="32"/>
    </w:rPr>
  </w:style>
  <w:style w:type="paragraph" w:styleId="Heading4">
    <w:name w:val="heading 4"/>
    <w:basedOn w:val="Normal"/>
    <w:next w:val="Normal"/>
    <w:link w:val="Heading4Char"/>
    <w:qFormat/>
    <w:rsid w:val="002E193A"/>
    <w:pPr>
      <w:spacing w:before="360" w:after="0" w:line="220" w:lineRule="atLeast"/>
      <w:outlineLvl w:val="3"/>
    </w:pPr>
    <w:rPr>
      <w:b/>
      <w:bCs/>
      <w:szCs w:val="21"/>
    </w:rPr>
  </w:style>
  <w:style w:type="paragraph" w:styleId="Heading5">
    <w:name w:val="heading 5"/>
    <w:basedOn w:val="Normal"/>
    <w:next w:val="Normal"/>
    <w:link w:val="Heading5Char"/>
    <w:uiPriority w:val="9"/>
    <w:qFormat/>
    <w:rsid w:val="002E193A"/>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qFormat/>
    <w:rsid w:val="002E193A"/>
    <w:pPr>
      <w:spacing w:line="220" w:lineRule="atLeast"/>
      <w:outlineLvl w:val="5"/>
    </w:pPr>
    <w:rPr>
      <w:rFonts w:eastAsia="Times New Roman"/>
      <w:bCs/>
      <w:i/>
      <w:szCs w:val="21"/>
    </w:rPr>
  </w:style>
  <w:style w:type="paragraph" w:styleId="Heading7">
    <w:name w:val="heading 7"/>
    <w:basedOn w:val="Normal"/>
    <w:next w:val="Normal"/>
    <w:link w:val="Heading7Char"/>
    <w:uiPriority w:val="9"/>
    <w:qFormat/>
    <w:rsid w:val="002E193A"/>
    <w:pPr>
      <w:spacing w:after="60" w:line="180" w:lineRule="atLeast"/>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73C5"/>
    <w:rPr>
      <w:rFonts w:ascii="Arial" w:eastAsia="Times New Roman" w:hAnsi="Arial"/>
      <w:color w:val="002C47"/>
      <w:spacing w:val="5"/>
      <w:kern w:val="28"/>
      <w:sz w:val="52"/>
      <w:szCs w:val="52"/>
      <w:lang w:eastAsia="en-US"/>
    </w:rPr>
  </w:style>
  <w:style w:type="character" w:customStyle="1" w:styleId="Heading2Char">
    <w:name w:val="Heading 2 Char"/>
    <w:basedOn w:val="DefaultParagraphFont"/>
    <w:link w:val="Heading2"/>
    <w:rsid w:val="00CB73C5"/>
    <w:rPr>
      <w:rFonts w:ascii="Arial" w:eastAsia="Times New Roman" w:hAnsi="Arial"/>
      <w:b/>
      <w:bCs/>
      <w:sz w:val="48"/>
      <w:szCs w:val="26"/>
      <w:lang w:eastAsia="en-US"/>
    </w:rPr>
  </w:style>
  <w:style w:type="character" w:customStyle="1" w:styleId="Heading3Char">
    <w:name w:val="Heading 3 Char"/>
    <w:basedOn w:val="DefaultParagraphFont"/>
    <w:link w:val="Heading3"/>
    <w:rsid w:val="00CB73C5"/>
    <w:rPr>
      <w:rFonts w:ascii="Arial" w:eastAsia="Times New Roman" w:hAnsi="Arial"/>
      <w:b/>
      <w:bCs/>
      <w:sz w:val="32"/>
      <w:szCs w:val="26"/>
      <w:lang w:eastAsia="en-US"/>
    </w:rPr>
  </w:style>
  <w:style w:type="paragraph" w:customStyle="1" w:styleId="Address">
    <w:name w:val="Address"/>
    <w:basedOn w:val="Normal"/>
    <w:qFormat/>
    <w:rsid w:val="006F652C"/>
    <w:pPr>
      <w:spacing w:before="0" w:after="0" w:line="240" w:lineRule="auto"/>
    </w:pPr>
    <w:rPr>
      <w:sz w:val="21"/>
    </w:rPr>
  </w:style>
  <w:style w:type="paragraph" w:customStyle="1" w:styleId="AxisLabel">
    <w:name w:val="Axis Label"/>
    <w:basedOn w:val="Normal"/>
    <w:qFormat/>
    <w:rsid w:val="00F3148D"/>
    <w:pPr>
      <w:spacing w:after="0" w:line="240" w:lineRule="auto"/>
    </w:pPr>
    <w:rPr>
      <w:rFonts w:ascii="Arial" w:hAnsi="Arial"/>
      <w:noProof/>
      <w:sz w:val="14"/>
      <w:lang w:eastAsia="en-AU"/>
    </w:rPr>
  </w:style>
  <w:style w:type="paragraph" w:customStyle="1" w:styleId="AxisTitle">
    <w:name w:val="Axis Title"/>
    <w:basedOn w:val="Normal"/>
    <w:qFormat/>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5D1689"/>
    <w:pPr>
      <w:spacing w:before="120" w:after="120"/>
    </w:pPr>
    <w:rPr>
      <w:sz w:val="19"/>
      <w:szCs w:val="18"/>
    </w:rPr>
  </w:style>
  <w:style w:type="paragraph" w:customStyle="1" w:styleId="Contents">
    <w:name w:val="Contents"/>
    <w:basedOn w:val="Normal"/>
    <w:rsid w:val="005D1689"/>
    <w:pPr>
      <w:spacing w:before="0" w:after="360"/>
    </w:pPr>
    <w:rPr>
      <w:rFonts w:ascii="Arial" w:hAnsi="Arial"/>
      <w:b/>
      <w:sz w:val="64"/>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customStyle="1" w:styleId="FigureTitle">
    <w:name w:val="Figure Title"/>
    <w:basedOn w:val="Normal"/>
    <w:qFormat/>
    <w:rsid w:val="009A5BC7"/>
    <w:pPr>
      <w:spacing w:line="220" w:lineRule="atLeast"/>
    </w:pPr>
    <w:rPr>
      <w:b/>
      <w:sz w:val="20"/>
    </w:rPr>
  </w:style>
  <w:style w:type="character" w:customStyle="1" w:styleId="Heading4Char">
    <w:name w:val="Heading 4 Char"/>
    <w:basedOn w:val="DefaultParagraphFont"/>
    <w:link w:val="Heading4"/>
    <w:rsid w:val="00E22953"/>
    <w:rPr>
      <w:b/>
      <w:bCs/>
      <w:sz w:val="22"/>
      <w:szCs w:val="21"/>
      <w:lang w:eastAsia="en-US"/>
    </w:rPr>
  </w:style>
  <w:style w:type="paragraph" w:customStyle="1" w:styleId="FlowChartWhiteHeading">
    <w:name w:val="Flow Chart White Heading"/>
    <w:basedOn w:val="Normal"/>
    <w:rsid w:val="001D7224"/>
    <w:pPr>
      <w:spacing w:before="120"/>
      <w:jc w:val="center"/>
    </w:pPr>
    <w:rPr>
      <w:rFonts w:ascii="Arial" w:hAnsi="Arial"/>
      <w:b/>
      <w:color w:val="FFFFFF"/>
    </w:rPr>
  </w:style>
  <w:style w:type="paragraph" w:customStyle="1" w:styleId="FlowChartBlackHeading">
    <w:name w:val="Flow Chart Black Heading"/>
    <w:basedOn w:val="FlowChartWhiteHeading"/>
    <w:rsid w:val="001D7224"/>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5A1131"/>
    <w:pPr>
      <w:jc w:val="center"/>
    </w:pPr>
    <w:rPr>
      <w:rFonts w:ascii="Arial" w:hAnsi="Arial"/>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qFormat/>
    <w:rsid w:val="00257138"/>
    <w:pPr>
      <w:tabs>
        <w:tab w:val="center" w:pos="4513"/>
        <w:tab w:val="right" w:pos="9026"/>
      </w:tabs>
      <w:spacing w:before="0" w:after="0" w:line="240" w:lineRule="auto"/>
      <w:contextualSpacing/>
    </w:pPr>
    <w:rPr>
      <w:sz w:val="17"/>
    </w:rPr>
  </w:style>
  <w:style w:type="character" w:customStyle="1" w:styleId="FooterChar">
    <w:name w:val="Footer Char"/>
    <w:basedOn w:val="DefaultParagraphFont"/>
    <w:link w:val="Footer"/>
    <w:rsid w:val="00257138"/>
    <w:rPr>
      <w:sz w:val="17"/>
      <w:szCs w:val="22"/>
      <w:lang w:eastAsia="en-US"/>
    </w:rPr>
  </w:style>
  <w:style w:type="paragraph" w:styleId="Header">
    <w:name w:val="header"/>
    <w:basedOn w:val="Normal"/>
    <w:link w:val="HeaderChar"/>
    <w:uiPriority w:val="99"/>
    <w:rsid w:val="006C1F3B"/>
    <w:pPr>
      <w:pBdr>
        <w:bottom w:val="single" w:sz="4" w:space="3" w:color="auto"/>
      </w:pBdr>
      <w:tabs>
        <w:tab w:val="center" w:pos="4513"/>
        <w:tab w:val="right" w:pos="9026"/>
      </w:tabs>
      <w:spacing w:before="0" w:after="480" w:line="240" w:lineRule="auto"/>
      <w:jc w:val="right"/>
    </w:pPr>
    <w:rPr>
      <w:sz w:val="17"/>
    </w:rPr>
  </w:style>
  <w:style w:type="character" w:customStyle="1" w:styleId="HeaderChar">
    <w:name w:val="Header Char"/>
    <w:basedOn w:val="DefaultParagraphFont"/>
    <w:link w:val="Header"/>
    <w:uiPriority w:val="99"/>
    <w:rsid w:val="00F3148D"/>
    <w:rPr>
      <w:rFonts w:ascii="Cambria" w:eastAsia="Cambria" w:hAnsi="Cambria" w:cs="Times New Roman"/>
      <w:sz w:val="17"/>
    </w:rPr>
  </w:style>
  <w:style w:type="paragraph" w:customStyle="1" w:styleId="HeaderNoLine">
    <w:name w:val="Header No Line"/>
    <w:basedOn w:val="Header"/>
    <w:rsid w:val="000F5176"/>
    <w:pPr>
      <w:pBdr>
        <w:bottom w:val="none" w:sz="0" w:space="0" w:color="auto"/>
      </w:pBdr>
      <w:spacing w:after="120"/>
    </w:pPr>
  </w:style>
  <w:style w:type="character" w:customStyle="1" w:styleId="Heading5Char">
    <w:name w:val="Heading 5 Char"/>
    <w:basedOn w:val="DefaultParagraphFont"/>
    <w:link w:val="Heading5"/>
    <w:uiPriority w:val="9"/>
    <w:rsid w:val="00FA639E"/>
    <w:rPr>
      <w:rFonts w:eastAsia="Times New Roman"/>
      <w:b/>
      <w:bCs/>
      <w:i/>
      <w:color w:val="001523"/>
      <w:sz w:val="22"/>
      <w:szCs w:val="21"/>
      <w:lang w:eastAsia="en-US"/>
    </w:rPr>
  </w:style>
  <w:style w:type="character" w:customStyle="1" w:styleId="Heading6Char">
    <w:name w:val="Heading 6 Char"/>
    <w:basedOn w:val="DefaultParagraphFont"/>
    <w:link w:val="Heading6"/>
    <w:uiPriority w:val="9"/>
    <w:rsid w:val="00F3148D"/>
    <w:rPr>
      <w:rFonts w:eastAsia="Times New Roman"/>
      <w:bCs/>
      <w:i/>
      <w:sz w:val="22"/>
      <w:szCs w:val="21"/>
      <w:lang w:eastAsia="en-US"/>
    </w:rPr>
  </w:style>
  <w:style w:type="character" w:customStyle="1" w:styleId="Heading7Char">
    <w:name w:val="Heading 7 Char"/>
    <w:basedOn w:val="DefaultParagraphFont"/>
    <w:link w:val="Heading7"/>
    <w:uiPriority w:val="9"/>
    <w:rsid w:val="00F3148D"/>
    <w:rPr>
      <w:rFonts w:eastAsia="Times New Roman"/>
      <w:bCs/>
      <w:sz w:val="18"/>
      <w:szCs w:val="24"/>
      <w:lang w:eastAsia="en-US"/>
    </w:rPr>
  </w:style>
  <w:style w:type="character" w:styleId="Hyperlink">
    <w:name w:val="Hyperlink"/>
    <w:basedOn w:val="DefaultParagraphFont"/>
    <w:uiPriority w:val="99"/>
    <w:rsid w:val="000B30E5"/>
    <w:rPr>
      <w:color w:val="0000E1"/>
      <w:u w:val="single"/>
      <w:bdr w:val="none" w:sz="0" w:space="0" w:color="auto"/>
    </w:rPr>
  </w:style>
  <w:style w:type="paragraph" w:customStyle="1" w:styleId="Key">
    <w:name w:val="Key"/>
    <w:basedOn w:val="Normal"/>
    <w:qFormat/>
    <w:rsid w:val="00F3148D"/>
    <w:rPr>
      <w:sz w:val="14"/>
    </w:rPr>
  </w:style>
  <w:style w:type="paragraph" w:customStyle="1" w:styleId="LegalCopy">
    <w:name w:val="Legal Copy"/>
    <w:basedOn w:val="Footer"/>
    <w:qFormat/>
    <w:rsid w:val="00A1235B"/>
    <w:pPr>
      <w:contextualSpacing w:val="0"/>
    </w:pPr>
  </w:style>
  <w:style w:type="paragraph" w:customStyle="1" w:styleId="LegalSubheading">
    <w:name w:val="Legal Subheading"/>
    <w:basedOn w:val="Footer"/>
    <w:qFormat/>
    <w:rsid w:val="00F3148D"/>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EA1F09"/>
    <w:pPr>
      <w:numPr>
        <w:numId w:val="7"/>
      </w:numPr>
      <w:spacing w:before="60" w:after="120"/>
      <w:ind w:left="357" w:hanging="357"/>
    </w:pPr>
  </w:style>
  <w:style w:type="paragraph" w:styleId="ListBullet2">
    <w:name w:val="List Bullet 2"/>
    <w:basedOn w:val="Normal"/>
    <w:uiPriority w:val="99"/>
    <w:qFormat/>
    <w:rsid w:val="00EA1F09"/>
    <w:pPr>
      <w:numPr>
        <w:ilvl w:val="1"/>
        <w:numId w:val="7"/>
      </w:numPr>
      <w:spacing w:before="60" w:after="120"/>
    </w:pPr>
  </w:style>
  <w:style w:type="paragraph" w:styleId="ListBullet3">
    <w:name w:val="List Bullet 3"/>
    <w:basedOn w:val="Normal"/>
    <w:uiPriority w:val="99"/>
    <w:qFormat/>
    <w:rsid w:val="00EA1F09"/>
    <w:pPr>
      <w:numPr>
        <w:ilvl w:val="2"/>
        <w:numId w:val="7"/>
      </w:numPr>
      <w:spacing w:before="60"/>
      <w:ind w:left="1077" w:hanging="357"/>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0B6CAE"/>
    <w:pPr>
      <w:keepNext/>
    </w:pPr>
    <w:rPr>
      <w:rFonts w:ascii="Arial" w:hAnsi="Arial"/>
      <w:b/>
      <w:sz w:val="32"/>
    </w:rPr>
  </w:style>
  <w:style w:type="paragraph" w:customStyle="1" w:styleId="Notes">
    <w:name w:val="Notes"/>
    <w:basedOn w:val="Normal"/>
    <w:qFormat/>
    <w:locked/>
    <w:rsid w:val="00F3148D"/>
    <w:pPr>
      <w:spacing w:after="0" w:line="240" w:lineRule="auto"/>
    </w:pPr>
    <w:rPr>
      <w:rFonts w:ascii="Arial" w:hAnsi="Arial"/>
      <w:sz w:val="16"/>
    </w:rPr>
  </w:style>
  <w:style w:type="paragraph" w:customStyle="1" w:styleId="Numberbullet0">
    <w:name w:val="Number bullet"/>
    <w:basedOn w:val="ListBullet"/>
    <w:qFormat/>
    <w:rsid w:val="00357700"/>
    <w:pPr>
      <w:numPr>
        <w:numId w:val="11"/>
      </w:numPr>
    </w:pPr>
  </w:style>
  <w:style w:type="paragraph" w:customStyle="1" w:styleId="Numberbullet2">
    <w:name w:val="Number bullet 2"/>
    <w:basedOn w:val="ListBullet2"/>
    <w:qFormat/>
    <w:rsid w:val="00EA1F09"/>
    <w:pPr>
      <w:numPr>
        <w:numId w:val="11"/>
      </w:numPr>
      <w:ind w:left="850" w:hanging="425"/>
    </w:pPr>
  </w:style>
  <w:style w:type="paragraph" w:customStyle="1" w:styleId="Numberbullet3">
    <w:name w:val="Number bullet 3"/>
    <w:basedOn w:val="ListBullet3"/>
    <w:qFormat/>
    <w:rsid w:val="00357700"/>
    <w:pPr>
      <w:numPr>
        <w:numId w:val="11"/>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link w:val="SubtitleChar"/>
    <w:uiPriority w:val="11"/>
    <w:qFormat/>
    <w:rsid w:val="00DA24C7"/>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DA24C7"/>
    <w:rPr>
      <w:rFonts w:ascii="Arial" w:eastAsia="Times New Roman" w:hAnsi="Arial"/>
      <w:bCs/>
      <w:iCs/>
      <w:color w:val="006DA7"/>
      <w:sz w:val="40"/>
      <w:szCs w:val="24"/>
      <w:lang w:eastAsia="en-US"/>
    </w:rPr>
  </w:style>
  <w:style w:type="table" w:styleId="TableGrid">
    <w:name w:val="Table Grid"/>
    <w:basedOn w:val="TableNormal"/>
    <w:rsid w:val="00F3148D"/>
    <w:rPr>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qFormat/>
    <w:rsid w:val="00F3148D"/>
    <w:rPr>
      <w:rFonts w:ascii="Calibri" w:eastAsia="Calibri" w:hAnsi="Calibri"/>
      <w:b/>
      <w:color w:val="FFFFFF"/>
      <w:sz w:val="20"/>
    </w:rPr>
  </w:style>
  <w:style w:type="paragraph" w:customStyle="1" w:styleId="TableHeading1">
    <w:name w:val="Table Heading 1"/>
    <w:basedOn w:val="Normal"/>
    <w:qFormat/>
    <w:rsid w:val="00F3148D"/>
    <w:rPr>
      <w:b/>
      <w:color w:val="FFFFFF"/>
      <w:sz w:val="19"/>
    </w:rPr>
  </w:style>
  <w:style w:type="paragraph" w:customStyle="1" w:styleId="TableHeading2">
    <w:name w:val="Table Heading 2"/>
    <w:basedOn w:val="Normal"/>
    <w:qFormat/>
    <w:rsid w:val="00F3148D"/>
    <w:rPr>
      <w:b/>
      <w:sz w:val="19"/>
    </w:rPr>
  </w:style>
  <w:style w:type="paragraph" w:customStyle="1" w:styleId="Tabletext">
    <w:name w:val="Table text"/>
    <w:basedOn w:val="Normal"/>
    <w:qFormat/>
    <w:rsid w:val="00F3148D"/>
    <w:rPr>
      <w:sz w:val="19"/>
    </w:rPr>
  </w:style>
  <w:style w:type="table" w:customStyle="1" w:styleId="TableTGAblue">
    <w:name w:val="Table TGA blue"/>
    <w:basedOn w:val="TableNormal"/>
    <w:uiPriority w:val="99"/>
    <w:qFormat/>
    <w:rsid w:val="004F484B"/>
    <w:pPr>
      <w:keepNext/>
    </w:pPr>
    <w:rPr>
      <w:color w:val="000000"/>
      <w:sz w:val="22"/>
      <w:szCs w:val="21"/>
    </w:rPr>
    <w:tblPr>
      <w:tblInd w:w="0" w:type="dxa"/>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style>
  <w:style w:type="table" w:customStyle="1" w:styleId="TableTGAblack">
    <w:name w:val="Table TGA black"/>
    <w:basedOn w:val="TableNormal"/>
    <w:uiPriority w:val="99"/>
    <w:rsid w:val="004F484B"/>
    <w:pPr>
      <w:keepNext/>
      <w:spacing w:before="60"/>
    </w:pPr>
    <w:rPr>
      <w:color w:val="000000"/>
      <w:sz w:val="22"/>
      <w:szCs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qFormat/>
    <w:rsid w:val="005D1689"/>
    <w:pPr>
      <w:keepNext/>
    </w:pPr>
    <w:rPr>
      <w:b/>
      <w:sz w:val="20"/>
    </w:rPr>
  </w:style>
  <w:style w:type="paragraph" w:customStyle="1" w:styleId="TGASignoff">
    <w:name w:val="TGA Signoff"/>
    <w:basedOn w:val="Normal"/>
    <w:qFormat/>
    <w:rsid w:val="006F652C"/>
    <w:pPr>
      <w:spacing w:after="360"/>
      <w:jc w:val="center"/>
    </w:pPr>
    <w:rPr>
      <w:rFonts w:ascii="Arial" w:hAnsi="Arial"/>
      <w:b/>
      <w:sz w:val="28"/>
    </w:rPr>
  </w:style>
  <w:style w:type="paragraph" w:styleId="Title">
    <w:name w:val="Title"/>
    <w:link w:val="TitleChar"/>
    <w:uiPriority w:val="10"/>
    <w:qFormat/>
    <w:rsid w:val="00F3529E"/>
    <w:pPr>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F3529E"/>
    <w:rPr>
      <w:rFonts w:ascii="Arial" w:eastAsia="Times New Roman" w:hAnsi="Arial"/>
      <w:color w:val="002C47"/>
      <w:spacing w:val="5"/>
      <w:kern w:val="28"/>
      <w:sz w:val="52"/>
      <w:szCs w:val="52"/>
      <w:lang w:eastAsia="en-US"/>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1525B4"/>
    <w:pPr>
      <w:tabs>
        <w:tab w:val="right" w:leader="underscore" w:pos="8505"/>
      </w:tabs>
      <w:spacing w:after="100"/>
      <w:ind w:left="1021"/>
    </w:pPr>
    <w:rPr>
      <w:sz w:val="21"/>
    </w:rPr>
  </w:style>
  <w:style w:type="paragraph" w:styleId="TOCHeading">
    <w:name w:val="TOC Heading"/>
    <w:basedOn w:val="Heading1"/>
    <w:next w:val="Normal"/>
    <w:uiPriority w:val="39"/>
    <w:semiHidden/>
    <w:unhideWhenUsed/>
    <w:qFormat/>
    <w:rsid w:val="00F3148D"/>
    <w:pPr>
      <w:framePr w:wrap="around"/>
      <w:spacing w:after="0" w:line="276" w:lineRule="auto"/>
      <w:outlineLvl w:val="9"/>
    </w:pPr>
    <w:rPr>
      <w:color w:val="002035"/>
      <w:sz w:val="28"/>
      <w:lang w:val="en-US"/>
    </w:rPr>
  </w:style>
  <w:style w:type="paragraph" w:customStyle="1" w:styleId="Subject">
    <w:name w:val="Subject"/>
    <w:basedOn w:val="Normal"/>
    <w:qFormat/>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unhideWhenUsed/>
    <w:rsid w:val="001525B4"/>
    <w:pPr>
      <w:spacing w:before="0" w:after="0" w:line="240" w:lineRule="auto"/>
    </w:pPr>
    <w:rPr>
      <w:sz w:val="20"/>
      <w:szCs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unhideWhenUsed/>
    <w:rsid w:val="001525B4"/>
    <w:rPr>
      <w:vertAlign w:val="superscript"/>
    </w:rPr>
  </w:style>
  <w:style w:type="paragraph" w:customStyle="1" w:styleId="Footnote">
    <w:name w:val="Footnote"/>
    <w:basedOn w:val="FootnoteText"/>
    <w:qFormat/>
    <w:rsid w:val="001525B4"/>
    <w:pPr>
      <w:spacing w:after="240"/>
    </w:pPr>
  </w:style>
  <w:style w:type="paragraph" w:styleId="ListParagraph">
    <w:name w:val="List Paragraph"/>
    <w:basedOn w:val="Normal"/>
    <w:uiPriority w:val="99"/>
    <w:qFormat/>
    <w:rsid w:val="0018660B"/>
    <w:pPr>
      <w:ind w:left="720"/>
      <w:contextualSpacing/>
    </w:pPr>
  </w:style>
  <w:style w:type="paragraph" w:customStyle="1" w:styleId="FigureDescription">
    <w:name w:val="Figure Description"/>
    <w:basedOn w:val="Normal"/>
    <w:next w:val="Normal"/>
    <w:qFormat/>
    <w:rsid w:val="006A38E4"/>
    <w:pPr>
      <w:spacing w:before="120" w:after="0"/>
    </w:pPr>
    <w:rPr>
      <w:sz w:val="19"/>
    </w:rPr>
  </w:style>
  <w:style w:type="paragraph" w:customStyle="1" w:styleId="TableDescription">
    <w:name w:val="Table Description"/>
    <w:basedOn w:val="FigureDescription"/>
    <w:qFormat/>
    <w:rsid w:val="00016BEB"/>
    <w:pPr>
      <w:keepNext/>
      <w:spacing w:after="240"/>
    </w:pPr>
    <w:rPr>
      <w:szCs w:val="19"/>
    </w:rPr>
  </w:style>
  <w:style w:type="character" w:styleId="CommentReference">
    <w:name w:val="annotation reference"/>
    <w:basedOn w:val="DefaultParagraphFont"/>
    <w:uiPriority w:val="99"/>
    <w:unhideWhenUsed/>
    <w:rsid w:val="00027047"/>
    <w:rPr>
      <w:sz w:val="16"/>
      <w:szCs w:val="16"/>
    </w:rPr>
  </w:style>
  <w:style w:type="paragraph" w:styleId="CommentText">
    <w:name w:val="annotation text"/>
    <w:basedOn w:val="Normal"/>
    <w:link w:val="CommentTextChar"/>
    <w:unhideWhenUsed/>
    <w:rsid w:val="00027047"/>
    <w:pPr>
      <w:spacing w:before="0" w:after="120" w:line="240" w:lineRule="auto"/>
    </w:pPr>
    <w:rPr>
      <w:rFonts w:eastAsiaTheme="minorHAnsi" w:cstheme="minorBidi"/>
      <w:sz w:val="20"/>
      <w:szCs w:val="20"/>
    </w:rPr>
  </w:style>
  <w:style w:type="character" w:customStyle="1" w:styleId="CommentTextChar">
    <w:name w:val="Comment Text Char"/>
    <w:basedOn w:val="DefaultParagraphFont"/>
    <w:link w:val="CommentText"/>
    <w:rsid w:val="00027047"/>
    <w:rPr>
      <w:rFonts w:eastAsiaTheme="minorHAnsi" w:cstheme="minorBidi"/>
      <w:lang w:eastAsia="en-US"/>
    </w:rPr>
  </w:style>
  <w:style w:type="paragraph" w:styleId="CommentSubject">
    <w:name w:val="annotation subject"/>
    <w:basedOn w:val="CommentText"/>
    <w:next w:val="CommentText"/>
    <w:link w:val="CommentSubjectChar"/>
    <w:uiPriority w:val="99"/>
    <w:semiHidden/>
    <w:unhideWhenUsed/>
    <w:rsid w:val="00280F9F"/>
    <w:pPr>
      <w:spacing w:before="180" w:after="180"/>
    </w:pPr>
    <w:rPr>
      <w:rFonts w:eastAsia="Cambria" w:cs="Times New Roman"/>
      <w:b/>
      <w:bCs/>
    </w:rPr>
  </w:style>
  <w:style w:type="character" w:customStyle="1" w:styleId="CommentSubjectChar">
    <w:name w:val="Comment Subject Char"/>
    <w:basedOn w:val="CommentTextChar"/>
    <w:link w:val="CommentSubject"/>
    <w:uiPriority w:val="99"/>
    <w:semiHidden/>
    <w:rsid w:val="00280F9F"/>
    <w:rPr>
      <w:rFonts w:eastAsiaTheme="minorHAnsi" w:cstheme="minorBidi"/>
      <w:b/>
      <w:bCs/>
      <w:lang w:eastAsia="en-US"/>
    </w:rPr>
  </w:style>
  <w:style w:type="paragraph" w:styleId="EndnoteText">
    <w:name w:val="endnote text"/>
    <w:basedOn w:val="Normal"/>
    <w:link w:val="EndnoteTextChar"/>
    <w:uiPriority w:val="99"/>
    <w:semiHidden/>
    <w:unhideWhenUsed/>
    <w:rsid w:val="00FB662C"/>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FB662C"/>
    <w:rPr>
      <w:lang w:eastAsia="en-US"/>
    </w:rPr>
  </w:style>
  <w:style w:type="character" w:styleId="EndnoteReference">
    <w:name w:val="endnote reference"/>
    <w:basedOn w:val="DefaultParagraphFont"/>
    <w:uiPriority w:val="99"/>
    <w:semiHidden/>
    <w:unhideWhenUsed/>
    <w:rsid w:val="00FB662C"/>
    <w:rPr>
      <w:vertAlign w:val="superscript"/>
    </w:rPr>
  </w:style>
  <w:style w:type="table" w:customStyle="1" w:styleId="TableGrid1">
    <w:name w:val="Table Grid1"/>
    <w:basedOn w:val="TableNormal"/>
    <w:next w:val="TableGrid"/>
    <w:uiPriority w:val="59"/>
    <w:rsid w:val="00262570"/>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on">
    <w:name w:val="Revision"/>
    <w:hidden/>
    <w:uiPriority w:val="99"/>
    <w:semiHidden/>
    <w:rsid w:val="005D57C9"/>
    <w:rPr>
      <w:sz w:val="22"/>
      <w:szCs w:val="22"/>
      <w:lang w:eastAsia="en-US"/>
    </w:rPr>
  </w:style>
  <w:style w:type="paragraph" w:styleId="NormalWeb">
    <w:name w:val="Normal (Web)"/>
    <w:basedOn w:val="Normal"/>
    <w:uiPriority w:val="99"/>
    <w:semiHidden/>
    <w:unhideWhenUsed/>
    <w:rsid w:val="007C134D"/>
    <w:pPr>
      <w:spacing w:before="100" w:beforeAutospacing="1" w:after="100" w:afterAutospacing="1" w:line="240" w:lineRule="auto"/>
    </w:pPr>
    <w:rPr>
      <w:rFonts w:ascii="Times New Roman" w:eastAsia="Times New Roman" w:hAnsi="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semiHidden="0" w:unhideWhenUsed="0"/>
    <w:lsdException w:name="footer" w:semiHidden="0" w:unhideWhenUsed="0"/>
    <w:lsdException w:name="caption" w:semiHidden="0" w:uiPriority="35" w:unhideWhenUsed="0"/>
    <w:lsdException w:name="annotation reference" w:uiPriority="0"/>
    <w:lsdException w:name="List Bullet" w:semiHidden="0" w:unhideWhenUsed="0" w:qFormat="1"/>
    <w:lsdException w:name="List Bullet 2" w:semiHidden="0" w:unhideWhenUsed="0"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01551"/>
    <w:pPr>
      <w:spacing w:before="180" w:after="180" w:line="240" w:lineRule="atLeast"/>
    </w:pPr>
    <w:rPr>
      <w:sz w:val="22"/>
      <w:szCs w:val="22"/>
      <w:lang w:eastAsia="en-US"/>
    </w:rPr>
  </w:style>
  <w:style w:type="paragraph" w:styleId="Heading1">
    <w:name w:val="heading 1"/>
    <w:basedOn w:val="Title"/>
    <w:next w:val="Normal"/>
    <w:link w:val="Heading1Char"/>
    <w:uiPriority w:val="9"/>
    <w:qFormat/>
    <w:rsid w:val="002E193A"/>
    <w:pPr>
      <w:framePr w:hSpace="180" w:wrap="around" w:vAnchor="page" w:hAnchor="margin" w:y="3271"/>
      <w:outlineLvl w:val="0"/>
    </w:pPr>
  </w:style>
  <w:style w:type="paragraph" w:styleId="Heading2">
    <w:name w:val="heading 2"/>
    <w:basedOn w:val="Normal"/>
    <w:next w:val="Normal"/>
    <w:link w:val="Heading2Char"/>
    <w:qFormat/>
    <w:rsid w:val="002E193A"/>
    <w:pPr>
      <w:keepNext/>
      <w:keepLines/>
      <w:spacing w:before="480" w:after="360"/>
      <w:outlineLvl w:val="1"/>
    </w:pPr>
    <w:rPr>
      <w:rFonts w:ascii="Arial" w:eastAsia="Times New Roman" w:hAnsi="Arial"/>
      <w:b/>
      <w:bCs/>
      <w:sz w:val="48"/>
      <w:szCs w:val="26"/>
    </w:rPr>
  </w:style>
  <w:style w:type="paragraph" w:styleId="Heading3">
    <w:name w:val="heading 3"/>
    <w:basedOn w:val="Heading2"/>
    <w:next w:val="Normal"/>
    <w:link w:val="Heading3Char"/>
    <w:qFormat/>
    <w:rsid w:val="002E193A"/>
    <w:pPr>
      <w:outlineLvl w:val="2"/>
    </w:pPr>
    <w:rPr>
      <w:sz w:val="32"/>
    </w:rPr>
  </w:style>
  <w:style w:type="paragraph" w:styleId="Heading4">
    <w:name w:val="heading 4"/>
    <w:basedOn w:val="Normal"/>
    <w:next w:val="Normal"/>
    <w:link w:val="Heading4Char"/>
    <w:qFormat/>
    <w:rsid w:val="002E193A"/>
    <w:pPr>
      <w:spacing w:before="360" w:after="0" w:line="220" w:lineRule="atLeast"/>
      <w:outlineLvl w:val="3"/>
    </w:pPr>
    <w:rPr>
      <w:b/>
      <w:bCs/>
      <w:szCs w:val="21"/>
    </w:rPr>
  </w:style>
  <w:style w:type="paragraph" w:styleId="Heading5">
    <w:name w:val="heading 5"/>
    <w:basedOn w:val="Normal"/>
    <w:next w:val="Normal"/>
    <w:link w:val="Heading5Char"/>
    <w:uiPriority w:val="9"/>
    <w:qFormat/>
    <w:rsid w:val="002E193A"/>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qFormat/>
    <w:rsid w:val="002E193A"/>
    <w:pPr>
      <w:spacing w:line="220" w:lineRule="atLeast"/>
      <w:outlineLvl w:val="5"/>
    </w:pPr>
    <w:rPr>
      <w:rFonts w:eastAsia="Times New Roman"/>
      <w:bCs/>
      <w:i/>
      <w:szCs w:val="21"/>
    </w:rPr>
  </w:style>
  <w:style w:type="paragraph" w:styleId="Heading7">
    <w:name w:val="heading 7"/>
    <w:basedOn w:val="Normal"/>
    <w:next w:val="Normal"/>
    <w:link w:val="Heading7Char"/>
    <w:uiPriority w:val="9"/>
    <w:qFormat/>
    <w:rsid w:val="002E193A"/>
    <w:pPr>
      <w:spacing w:after="60" w:line="180" w:lineRule="atLeast"/>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73C5"/>
    <w:rPr>
      <w:rFonts w:ascii="Arial" w:eastAsia="Times New Roman" w:hAnsi="Arial"/>
      <w:color w:val="002C47"/>
      <w:spacing w:val="5"/>
      <w:kern w:val="28"/>
      <w:sz w:val="52"/>
      <w:szCs w:val="52"/>
      <w:lang w:eastAsia="en-US"/>
    </w:rPr>
  </w:style>
  <w:style w:type="character" w:customStyle="1" w:styleId="Heading2Char">
    <w:name w:val="Heading 2 Char"/>
    <w:basedOn w:val="DefaultParagraphFont"/>
    <w:link w:val="Heading2"/>
    <w:rsid w:val="00CB73C5"/>
    <w:rPr>
      <w:rFonts w:ascii="Arial" w:eastAsia="Times New Roman" w:hAnsi="Arial"/>
      <w:b/>
      <w:bCs/>
      <w:sz w:val="48"/>
      <w:szCs w:val="26"/>
      <w:lang w:eastAsia="en-US"/>
    </w:rPr>
  </w:style>
  <w:style w:type="character" w:customStyle="1" w:styleId="Heading3Char">
    <w:name w:val="Heading 3 Char"/>
    <w:basedOn w:val="DefaultParagraphFont"/>
    <w:link w:val="Heading3"/>
    <w:rsid w:val="00CB73C5"/>
    <w:rPr>
      <w:rFonts w:ascii="Arial" w:eastAsia="Times New Roman" w:hAnsi="Arial"/>
      <w:b/>
      <w:bCs/>
      <w:sz w:val="32"/>
      <w:szCs w:val="26"/>
      <w:lang w:eastAsia="en-US"/>
    </w:rPr>
  </w:style>
  <w:style w:type="paragraph" w:customStyle="1" w:styleId="Address">
    <w:name w:val="Address"/>
    <w:basedOn w:val="Normal"/>
    <w:qFormat/>
    <w:rsid w:val="006F652C"/>
    <w:pPr>
      <w:spacing w:before="0" w:after="0" w:line="240" w:lineRule="auto"/>
    </w:pPr>
    <w:rPr>
      <w:sz w:val="21"/>
    </w:rPr>
  </w:style>
  <w:style w:type="paragraph" w:customStyle="1" w:styleId="AxisLabel">
    <w:name w:val="Axis Label"/>
    <w:basedOn w:val="Normal"/>
    <w:qFormat/>
    <w:rsid w:val="00F3148D"/>
    <w:pPr>
      <w:spacing w:after="0" w:line="240" w:lineRule="auto"/>
    </w:pPr>
    <w:rPr>
      <w:rFonts w:ascii="Arial" w:hAnsi="Arial"/>
      <w:noProof/>
      <w:sz w:val="14"/>
      <w:lang w:eastAsia="en-AU"/>
    </w:rPr>
  </w:style>
  <w:style w:type="paragraph" w:customStyle="1" w:styleId="AxisTitle">
    <w:name w:val="Axis Title"/>
    <w:basedOn w:val="Normal"/>
    <w:qFormat/>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5D1689"/>
    <w:pPr>
      <w:spacing w:before="120" w:after="120"/>
    </w:pPr>
    <w:rPr>
      <w:sz w:val="19"/>
      <w:szCs w:val="18"/>
    </w:rPr>
  </w:style>
  <w:style w:type="paragraph" w:customStyle="1" w:styleId="Contents">
    <w:name w:val="Contents"/>
    <w:basedOn w:val="Normal"/>
    <w:rsid w:val="005D1689"/>
    <w:pPr>
      <w:spacing w:before="0" w:after="360"/>
    </w:pPr>
    <w:rPr>
      <w:rFonts w:ascii="Arial" w:hAnsi="Arial"/>
      <w:b/>
      <w:sz w:val="64"/>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customStyle="1" w:styleId="FigureTitle">
    <w:name w:val="Figure Title"/>
    <w:basedOn w:val="Normal"/>
    <w:qFormat/>
    <w:rsid w:val="009A5BC7"/>
    <w:pPr>
      <w:spacing w:line="220" w:lineRule="atLeast"/>
    </w:pPr>
    <w:rPr>
      <w:b/>
      <w:sz w:val="20"/>
    </w:rPr>
  </w:style>
  <w:style w:type="character" w:customStyle="1" w:styleId="Heading4Char">
    <w:name w:val="Heading 4 Char"/>
    <w:basedOn w:val="DefaultParagraphFont"/>
    <w:link w:val="Heading4"/>
    <w:rsid w:val="00E22953"/>
    <w:rPr>
      <w:b/>
      <w:bCs/>
      <w:sz w:val="22"/>
      <w:szCs w:val="21"/>
      <w:lang w:eastAsia="en-US"/>
    </w:rPr>
  </w:style>
  <w:style w:type="paragraph" w:customStyle="1" w:styleId="FlowChartWhiteHeading">
    <w:name w:val="Flow Chart White Heading"/>
    <w:basedOn w:val="Normal"/>
    <w:rsid w:val="001D7224"/>
    <w:pPr>
      <w:spacing w:before="120"/>
      <w:jc w:val="center"/>
    </w:pPr>
    <w:rPr>
      <w:rFonts w:ascii="Arial" w:hAnsi="Arial"/>
      <w:b/>
      <w:color w:val="FFFFFF"/>
    </w:rPr>
  </w:style>
  <w:style w:type="paragraph" w:customStyle="1" w:styleId="FlowChartBlackHeading">
    <w:name w:val="Flow Chart Black Heading"/>
    <w:basedOn w:val="FlowChartWhiteHeading"/>
    <w:rsid w:val="001D7224"/>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5A1131"/>
    <w:pPr>
      <w:jc w:val="center"/>
    </w:pPr>
    <w:rPr>
      <w:rFonts w:ascii="Arial" w:hAnsi="Arial"/>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257138"/>
    <w:pPr>
      <w:tabs>
        <w:tab w:val="center" w:pos="4513"/>
        <w:tab w:val="right" w:pos="9026"/>
      </w:tabs>
      <w:spacing w:before="0" w:after="0" w:line="240" w:lineRule="auto"/>
      <w:contextualSpacing/>
    </w:pPr>
    <w:rPr>
      <w:sz w:val="17"/>
    </w:rPr>
  </w:style>
  <w:style w:type="character" w:customStyle="1" w:styleId="FooterChar">
    <w:name w:val="Footer Char"/>
    <w:basedOn w:val="DefaultParagraphFont"/>
    <w:link w:val="Footer"/>
    <w:uiPriority w:val="99"/>
    <w:rsid w:val="00257138"/>
    <w:rPr>
      <w:sz w:val="17"/>
      <w:szCs w:val="22"/>
      <w:lang w:eastAsia="en-US"/>
    </w:rPr>
  </w:style>
  <w:style w:type="paragraph" w:styleId="Header">
    <w:name w:val="header"/>
    <w:basedOn w:val="Normal"/>
    <w:link w:val="HeaderChar"/>
    <w:uiPriority w:val="99"/>
    <w:rsid w:val="006C1F3B"/>
    <w:pPr>
      <w:pBdr>
        <w:bottom w:val="single" w:sz="4" w:space="3" w:color="auto"/>
      </w:pBdr>
      <w:tabs>
        <w:tab w:val="center" w:pos="4513"/>
        <w:tab w:val="right" w:pos="9026"/>
      </w:tabs>
      <w:spacing w:before="0" w:after="480" w:line="240" w:lineRule="auto"/>
      <w:jc w:val="right"/>
    </w:pPr>
    <w:rPr>
      <w:sz w:val="17"/>
    </w:rPr>
  </w:style>
  <w:style w:type="character" w:customStyle="1" w:styleId="HeaderChar">
    <w:name w:val="Header Char"/>
    <w:basedOn w:val="DefaultParagraphFont"/>
    <w:link w:val="Header"/>
    <w:uiPriority w:val="99"/>
    <w:rsid w:val="00F3148D"/>
    <w:rPr>
      <w:rFonts w:ascii="Cambria" w:eastAsia="Cambria" w:hAnsi="Cambria" w:cs="Times New Roman"/>
      <w:sz w:val="17"/>
    </w:rPr>
  </w:style>
  <w:style w:type="paragraph" w:customStyle="1" w:styleId="HeaderNoLine">
    <w:name w:val="Header No Line"/>
    <w:basedOn w:val="Header"/>
    <w:rsid w:val="000F5176"/>
    <w:pPr>
      <w:pBdr>
        <w:bottom w:val="none" w:sz="0" w:space="0" w:color="auto"/>
      </w:pBdr>
      <w:spacing w:after="120"/>
    </w:pPr>
  </w:style>
  <w:style w:type="character" w:customStyle="1" w:styleId="Heading5Char">
    <w:name w:val="Heading 5 Char"/>
    <w:basedOn w:val="DefaultParagraphFont"/>
    <w:link w:val="Heading5"/>
    <w:uiPriority w:val="9"/>
    <w:rsid w:val="00FA639E"/>
    <w:rPr>
      <w:rFonts w:eastAsia="Times New Roman"/>
      <w:b/>
      <w:bCs/>
      <w:i/>
      <w:color w:val="001523"/>
      <w:sz w:val="22"/>
      <w:szCs w:val="21"/>
      <w:lang w:eastAsia="en-US"/>
    </w:rPr>
  </w:style>
  <w:style w:type="character" w:customStyle="1" w:styleId="Heading6Char">
    <w:name w:val="Heading 6 Char"/>
    <w:basedOn w:val="DefaultParagraphFont"/>
    <w:link w:val="Heading6"/>
    <w:uiPriority w:val="9"/>
    <w:rsid w:val="00F3148D"/>
    <w:rPr>
      <w:rFonts w:eastAsia="Times New Roman"/>
      <w:bCs/>
      <w:i/>
      <w:sz w:val="22"/>
      <w:szCs w:val="21"/>
      <w:lang w:eastAsia="en-US"/>
    </w:rPr>
  </w:style>
  <w:style w:type="character" w:customStyle="1" w:styleId="Heading7Char">
    <w:name w:val="Heading 7 Char"/>
    <w:basedOn w:val="DefaultParagraphFont"/>
    <w:link w:val="Heading7"/>
    <w:uiPriority w:val="9"/>
    <w:rsid w:val="00F3148D"/>
    <w:rPr>
      <w:rFonts w:eastAsia="Times New Roman"/>
      <w:bCs/>
      <w:sz w:val="18"/>
      <w:szCs w:val="24"/>
      <w:lang w:eastAsia="en-US"/>
    </w:rPr>
  </w:style>
  <w:style w:type="character" w:styleId="Hyperlink">
    <w:name w:val="Hyperlink"/>
    <w:basedOn w:val="DefaultParagraphFont"/>
    <w:uiPriority w:val="99"/>
    <w:rsid w:val="000B30E5"/>
    <w:rPr>
      <w:color w:val="0000E1"/>
      <w:u w:val="single"/>
      <w:bdr w:val="none" w:sz="0" w:space="0" w:color="auto"/>
    </w:rPr>
  </w:style>
  <w:style w:type="paragraph" w:customStyle="1" w:styleId="Key">
    <w:name w:val="Key"/>
    <w:basedOn w:val="Normal"/>
    <w:qFormat/>
    <w:rsid w:val="00F3148D"/>
    <w:rPr>
      <w:sz w:val="14"/>
    </w:rPr>
  </w:style>
  <w:style w:type="paragraph" w:customStyle="1" w:styleId="LegalCopy">
    <w:name w:val="Legal Copy"/>
    <w:basedOn w:val="Footer"/>
    <w:qFormat/>
    <w:rsid w:val="00A1235B"/>
    <w:pPr>
      <w:contextualSpacing w:val="0"/>
    </w:pPr>
  </w:style>
  <w:style w:type="paragraph" w:customStyle="1" w:styleId="LegalSubheading">
    <w:name w:val="Legal Subheading"/>
    <w:basedOn w:val="Footer"/>
    <w:qFormat/>
    <w:rsid w:val="00F3148D"/>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EA1F09"/>
    <w:pPr>
      <w:numPr>
        <w:numId w:val="7"/>
      </w:numPr>
      <w:spacing w:before="60" w:after="120"/>
      <w:ind w:left="357" w:hanging="357"/>
    </w:pPr>
  </w:style>
  <w:style w:type="paragraph" w:styleId="ListBullet2">
    <w:name w:val="List Bullet 2"/>
    <w:basedOn w:val="Normal"/>
    <w:uiPriority w:val="99"/>
    <w:qFormat/>
    <w:rsid w:val="00EA1F09"/>
    <w:pPr>
      <w:numPr>
        <w:ilvl w:val="1"/>
        <w:numId w:val="7"/>
      </w:numPr>
      <w:spacing w:before="60" w:after="120"/>
      <w:ind w:left="714" w:hanging="357"/>
    </w:pPr>
  </w:style>
  <w:style w:type="paragraph" w:styleId="ListBullet3">
    <w:name w:val="List Bullet 3"/>
    <w:basedOn w:val="Normal"/>
    <w:uiPriority w:val="99"/>
    <w:qFormat/>
    <w:rsid w:val="00EA1F09"/>
    <w:pPr>
      <w:numPr>
        <w:ilvl w:val="2"/>
        <w:numId w:val="7"/>
      </w:numPr>
      <w:spacing w:before="60"/>
      <w:ind w:left="1077" w:hanging="357"/>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0B6CAE"/>
    <w:pPr>
      <w:keepNext/>
    </w:pPr>
    <w:rPr>
      <w:rFonts w:ascii="Arial" w:hAnsi="Arial"/>
      <w:b/>
      <w:sz w:val="32"/>
    </w:rPr>
  </w:style>
  <w:style w:type="paragraph" w:customStyle="1" w:styleId="Notes">
    <w:name w:val="Notes"/>
    <w:basedOn w:val="Normal"/>
    <w:qFormat/>
    <w:locked/>
    <w:rsid w:val="00F3148D"/>
    <w:pPr>
      <w:spacing w:after="0" w:line="240" w:lineRule="auto"/>
    </w:pPr>
    <w:rPr>
      <w:rFonts w:ascii="Arial" w:hAnsi="Arial"/>
      <w:sz w:val="16"/>
    </w:rPr>
  </w:style>
  <w:style w:type="paragraph" w:customStyle="1" w:styleId="Numberbullet0">
    <w:name w:val="Number bullet"/>
    <w:basedOn w:val="ListBullet"/>
    <w:qFormat/>
    <w:rsid w:val="00357700"/>
    <w:pPr>
      <w:numPr>
        <w:numId w:val="11"/>
      </w:numPr>
    </w:pPr>
  </w:style>
  <w:style w:type="paragraph" w:customStyle="1" w:styleId="Numberbullet2">
    <w:name w:val="Number bullet 2"/>
    <w:basedOn w:val="ListBullet2"/>
    <w:qFormat/>
    <w:rsid w:val="00EA1F09"/>
    <w:pPr>
      <w:numPr>
        <w:numId w:val="11"/>
      </w:numPr>
      <w:ind w:left="850" w:hanging="425"/>
    </w:pPr>
  </w:style>
  <w:style w:type="paragraph" w:customStyle="1" w:styleId="Numberbullet3">
    <w:name w:val="Number bullet 3"/>
    <w:basedOn w:val="ListBullet3"/>
    <w:qFormat/>
    <w:rsid w:val="00357700"/>
    <w:pPr>
      <w:numPr>
        <w:numId w:val="11"/>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link w:val="SubtitleChar"/>
    <w:uiPriority w:val="11"/>
    <w:qFormat/>
    <w:rsid w:val="00DA24C7"/>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DA24C7"/>
    <w:rPr>
      <w:rFonts w:ascii="Arial" w:eastAsia="Times New Roman" w:hAnsi="Arial"/>
      <w:bCs/>
      <w:iCs/>
      <w:color w:val="006DA7"/>
      <w:sz w:val="40"/>
      <w:szCs w:val="24"/>
      <w:lang w:eastAsia="en-US"/>
    </w:rPr>
  </w:style>
  <w:style w:type="table" w:styleId="TableGrid">
    <w:name w:val="Table Grid"/>
    <w:basedOn w:val="TableNormal"/>
    <w:uiPriority w:val="59"/>
    <w:rsid w:val="00F3148D"/>
    <w:rPr>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qFormat/>
    <w:rsid w:val="00F3148D"/>
    <w:rPr>
      <w:rFonts w:ascii="Calibri" w:eastAsia="Calibri" w:hAnsi="Calibri"/>
      <w:b/>
      <w:color w:val="FFFFFF"/>
      <w:sz w:val="20"/>
    </w:rPr>
  </w:style>
  <w:style w:type="paragraph" w:customStyle="1" w:styleId="TableHeading1">
    <w:name w:val="Table Heading 1"/>
    <w:basedOn w:val="Normal"/>
    <w:qFormat/>
    <w:rsid w:val="00F3148D"/>
    <w:rPr>
      <w:b/>
      <w:color w:val="FFFFFF"/>
      <w:sz w:val="19"/>
    </w:rPr>
  </w:style>
  <w:style w:type="paragraph" w:customStyle="1" w:styleId="TableHeading2">
    <w:name w:val="Table Heading 2"/>
    <w:basedOn w:val="Normal"/>
    <w:qFormat/>
    <w:rsid w:val="00F3148D"/>
    <w:rPr>
      <w:b/>
      <w:sz w:val="19"/>
    </w:rPr>
  </w:style>
  <w:style w:type="paragraph" w:customStyle="1" w:styleId="Tabletext">
    <w:name w:val="Table text"/>
    <w:basedOn w:val="Normal"/>
    <w:qFormat/>
    <w:rsid w:val="00F3148D"/>
    <w:rPr>
      <w:sz w:val="19"/>
    </w:rPr>
  </w:style>
  <w:style w:type="table" w:customStyle="1" w:styleId="TableTGAblue">
    <w:name w:val="Table TGA blue"/>
    <w:basedOn w:val="TableNormal"/>
    <w:uiPriority w:val="99"/>
    <w:qFormat/>
    <w:rsid w:val="004F484B"/>
    <w:pPr>
      <w:keepNext/>
    </w:pPr>
    <w:rPr>
      <w:color w:val="000000"/>
      <w:sz w:val="22"/>
      <w:szCs w:val="21"/>
    </w:rPr>
    <w:tblPr>
      <w:tblInd w:w="0" w:type="dxa"/>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style>
  <w:style w:type="table" w:customStyle="1" w:styleId="TableTGAblack">
    <w:name w:val="Table TGA black"/>
    <w:basedOn w:val="TableNormal"/>
    <w:uiPriority w:val="99"/>
    <w:rsid w:val="004F484B"/>
    <w:pPr>
      <w:keepNext/>
      <w:spacing w:before="60"/>
    </w:pPr>
    <w:rPr>
      <w:color w:val="000000"/>
      <w:sz w:val="22"/>
      <w:szCs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qFormat/>
    <w:rsid w:val="005D1689"/>
    <w:pPr>
      <w:keepNext/>
    </w:pPr>
    <w:rPr>
      <w:b/>
      <w:sz w:val="20"/>
    </w:rPr>
  </w:style>
  <w:style w:type="paragraph" w:customStyle="1" w:styleId="TGASignoff">
    <w:name w:val="TGA Signoff"/>
    <w:basedOn w:val="Normal"/>
    <w:qFormat/>
    <w:rsid w:val="006F652C"/>
    <w:pPr>
      <w:spacing w:after="360"/>
      <w:jc w:val="center"/>
    </w:pPr>
    <w:rPr>
      <w:rFonts w:ascii="Arial" w:hAnsi="Arial"/>
      <w:b/>
      <w:sz w:val="28"/>
    </w:rPr>
  </w:style>
  <w:style w:type="paragraph" w:styleId="Title">
    <w:name w:val="Title"/>
    <w:link w:val="TitleChar"/>
    <w:uiPriority w:val="10"/>
    <w:qFormat/>
    <w:rsid w:val="00F3529E"/>
    <w:pPr>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F3529E"/>
    <w:rPr>
      <w:rFonts w:ascii="Arial" w:eastAsia="Times New Roman" w:hAnsi="Arial"/>
      <w:color w:val="002C47"/>
      <w:spacing w:val="5"/>
      <w:kern w:val="28"/>
      <w:sz w:val="52"/>
      <w:szCs w:val="52"/>
      <w:lang w:eastAsia="en-US"/>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1525B4"/>
    <w:pPr>
      <w:tabs>
        <w:tab w:val="right" w:leader="underscore" w:pos="8505"/>
      </w:tabs>
      <w:spacing w:after="100"/>
      <w:ind w:left="1021"/>
    </w:pPr>
    <w:rPr>
      <w:sz w:val="21"/>
    </w:rPr>
  </w:style>
  <w:style w:type="paragraph" w:styleId="TOCHeading">
    <w:name w:val="TOC Heading"/>
    <w:basedOn w:val="Heading1"/>
    <w:next w:val="Normal"/>
    <w:uiPriority w:val="39"/>
    <w:semiHidden/>
    <w:unhideWhenUsed/>
    <w:qFormat/>
    <w:rsid w:val="00F3148D"/>
    <w:pPr>
      <w:framePr w:wrap="around"/>
      <w:spacing w:after="0" w:line="276" w:lineRule="auto"/>
      <w:outlineLvl w:val="9"/>
    </w:pPr>
    <w:rPr>
      <w:color w:val="002035"/>
      <w:sz w:val="28"/>
      <w:lang w:val="en-US"/>
    </w:rPr>
  </w:style>
  <w:style w:type="paragraph" w:customStyle="1" w:styleId="Subject">
    <w:name w:val="Subject"/>
    <w:basedOn w:val="Normal"/>
    <w:qFormat/>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unhideWhenUsed/>
    <w:rsid w:val="001525B4"/>
    <w:pPr>
      <w:spacing w:before="0" w:after="0" w:line="240" w:lineRule="auto"/>
    </w:pPr>
    <w:rPr>
      <w:sz w:val="20"/>
      <w:szCs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unhideWhenUsed/>
    <w:rsid w:val="001525B4"/>
    <w:rPr>
      <w:vertAlign w:val="superscript"/>
    </w:rPr>
  </w:style>
  <w:style w:type="paragraph" w:customStyle="1" w:styleId="Footnote">
    <w:name w:val="Footnote"/>
    <w:basedOn w:val="FootnoteText"/>
    <w:qFormat/>
    <w:rsid w:val="001525B4"/>
    <w:pPr>
      <w:spacing w:after="240"/>
    </w:pPr>
  </w:style>
  <w:style w:type="paragraph" w:styleId="ListParagraph">
    <w:name w:val="List Paragraph"/>
    <w:basedOn w:val="Normal"/>
    <w:uiPriority w:val="99"/>
    <w:qFormat/>
    <w:rsid w:val="0018660B"/>
    <w:pPr>
      <w:ind w:left="720"/>
      <w:contextualSpacing/>
    </w:pPr>
  </w:style>
  <w:style w:type="paragraph" w:customStyle="1" w:styleId="FigureDescription">
    <w:name w:val="Figure Description"/>
    <w:basedOn w:val="Normal"/>
    <w:next w:val="Normal"/>
    <w:qFormat/>
    <w:rsid w:val="006A38E4"/>
    <w:pPr>
      <w:spacing w:before="120" w:after="0"/>
    </w:pPr>
    <w:rPr>
      <w:sz w:val="19"/>
    </w:rPr>
  </w:style>
  <w:style w:type="paragraph" w:customStyle="1" w:styleId="TableDescription">
    <w:name w:val="Table Description"/>
    <w:basedOn w:val="FigureDescription"/>
    <w:qFormat/>
    <w:rsid w:val="00016BEB"/>
    <w:pPr>
      <w:keepNext/>
      <w:spacing w:after="240"/>
    </w:pPr>
    <w:rPr>
      <w:szCs w:val="19"/>
    </w:rPr>
  </w:style>
  <w:style w:type="character" w:styleId="CommentReference">
    <w:name w:val="annotation reference"/>
    <w:basedOn w:val="DefaultParagraphFont"/>
    <w:unhideWhenUsed/>
    <w:rsid w:val="00027047"/>
    <w:rPr>
      <w:sz w:val="16"/>
      <w:szCs w:val="16"/>
    </w:rPr>
  </w:style>
  <w:style w:type="paragraph" w:styleId="CommentText">
    <w:name w:val="annotation text"/>
    <w:basedOn w:val="Normal"/>
    <w:link w:val="CommentTextChar"/>
    <w:unhideWhenUsed/>
    <w:rsid w:val="00027047"/>
    <w:pPr>
      <w:spacing w:before="0" w:after="120" w:line="240" w:lineRule="auto"/>
    </w:pPr>
    <w:rPr>
      <w:rFonts w:eastAsiaTheme="minorHAnsi" w:cstheme="minorBidi"/>
      <w:sz w:val="20"/>
      <w:szCs w:val="20"/>
    </w:rPr>
  </w:style>
  <w:style w:type="character" w:customStyle="1" w:styleId="CommentTextChar">
    <w:name w:val="Comment Text Char"/>
    <w:basedOn w:val="DefaultParagraphFont"/>
    <w:link w:val="CommentText"/>
    <w:rsid w:val="00027047"/>
    <w:rPr>
      <w:rFonts w:eastAsiaTheme="minorHAnsi" w:cstheme="minorBidi"/>
      <w:lang w:eastAsia="en-US"/>
    </w:rPr>
  </w:style>
  <w:style w:type="paragraph" w:styleId="CommentSubject">
    <w:name w:val="annotation subject"/>
    <w:basedOn w:val="CommentText"/>
    <w:next w:val="CommentText"/>
    <w:link w:val="CommentSubjectChar"/>
    <w:uiPriority w:val="99"/>
    <w:semiHidden/>
    <w:unhideWhenUsed/>
    <w:rsid w:val="00280F9F"/>
    <w:pPr>
      <w:spacing w:before="180" w:after="180"/>
    </w:pPr>
    <w:rPr>
      <w:rFonts w:eastAsia="Cambria" w:cs="Times New Roman"/>
      <w:b/>
      <w:bCs/>
    </w:rPr>
  </w:style>
  <w:style w:type="character" w:customStyle="1" w:styleId="CommentSubjectChar">
    <w:name w:val="Comment Subject Char"/>
    <w:basedOn w:val="CommentTextChar"/>
    <w:link w:val="CommentSubject"/>
    <w:uiPriority w:val="99"/>
    <w:semiHidden/>
    <w:rsid w:val="00280F9F"/>
    <w:rPr>
      <w:rFonts w:eastAsiaTheme="minorHAnsi" w:cstheme="minorBidi"/>
      <w:b/>
      <w:bCs/>
      <w:lang w:eastAsia="en-US"/>
    </w:rPr>
  </w:style>
</w:styles>
</file>

<file path=word/webSettings.xml><?xml version="1.0" encoding="utf-8"?>
<w:webSettings xmlns:r="http://schemas.openxmlformats.org/officeDocument/2006/relationships" xmlns:w="http://schemas.openxmlformats.org/wordprocessingml/2006/main">
  <w:divs>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509053154">
      <w:bodyDiv w:val="1"/>
      <w:marLeft w:val="0"/>
      <w:marRight w:val="0"/>
      <w:marTop w:val="0"/>
      <w:marBottom w:val="0"/>
      <w:divBdr>
        <w:top w:val="none" w:sz="0" w:space="0" w:color="auto"/>
        <w:left w:val="none" w:sz="0" w:space="0" w:color="auto"/>
        <w:bottom w:val="none" w:sz="0" w:space="0" w:color="auto"/>
        <w:right w:val="none" w:sz="0" w:space="0" w:color="auto"/>
      </w:divBdr>
      <w:divsChild>
        <w:div w:id="1124690093">
          <w:marLeft w:val="0"/>
          <w:marRight w:val="0"/>
          <w:marTop w:val="0"/>
          <w:marBottom w:val="0"/>
          <w:divBdr>
            <w:top w:val="none" w:sz="0" w:space="0" w:color="auto"/>
            <w:left w:val="none" w:sz="0" w:space="0" w:color="auto"/>
            <w:bottom w:val="none" w:sz="0" w:space="0" w:color="auto"/>
            <w:right w:val="none" w:sz="0" w:space="0" w:color="auto"/>
          </w:divBdr>
          <w:divsChild>
            <w:div w:id="47310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18" Type="http://schemas.openxmlformats.org/officeDocument/2006/relationships/hyperlink" Target="http://www.tga.gov.au/newsroom/consult-bt-standards-1012.htm" TargetMode="Externa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tga.gov.au/newsroom/consult-bt-standards-0912.htm" TargetMode="External"/><Relationship Id="rId25" Type="http://schemas.openxmlformats.org/officeDocument/2006/relationships/hyperlink" Target="http://www.tga.gov.au" TargetMode="External"/><Relationship Id="rId2" Type="http://schemas.openxmlformats.org/officeDocument/2006/relationships/numbering" Target="numbering.xml"/><Relationship Id="rId16" Type="http://schemas.openxmlformats.org/officeDocument/2006/relationships/hyperlink" Target="mailto:tga.copyright@tga.gov.au" TargetMode="Externa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32"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tga.gov.au" TargetMode="External"/><Relationship Id="rId23" Type="http://schemas.openxmlformats.org/officeDocument/2006/relationships/footer" Target="footer6.xml"/><Relationship Id="rId28" Type="http://schemas.openxmlformats.org/officeDocument/2006/relationships/footer" Target="footer9.xml"/><Relationship Id="rId10" Type="http://schemas.openxmlformats.org/officeDocument/2006/relationships/header" Target="header2.xml"/><Relationship Id="rId19" Type="http://schemas.openxmlformats.org/officeDocument/2006/relationships/hyperlink" Target="http://www.tga.gov.au/industry/biologicals-framework.ht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header" Target="header5.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www.tga.gov.au/industry/biologicals-framework.ht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GA">
  <a:themeElements>
    <a:clrScheme name="TGA colours">
      <a:dk1>
        <a:srgbClr val="002C47"/>
      </a:dk1>
      <a:lt1>
        <a:srgbClr val="B3C960"/>
      </a:lt1>
      <a:dk2>
        <a:srgbClr val="4D2779"/>
      </a:dk2>
      <a:lt2>
        <a:srgbClr val="006DA7"/>
      </a:lt2>
      <a:accent1>
        <a:srgbClr val="25451C"/>
      </a:accent1>
      <a:accent2>
        <a:srgbClr val="50555C"/>
      </a:accent2>
      <a:accent3>
        <a:srgbClr val="002C47"/>
      </a:accent3>
      <a:accent4>
        <a:srgbClr val="B3C960"/>
      </a:accent4>
      <a:accent5>
        <a:srgbClr val="006DA7"/>
      </a:accent5>
      <a:accent6>
        <a:srgbClr val="006664"/>
      </a:accent6>
      <a:hlink>
        <a:srgbClr val="4D2779"/>
      </a:hlink>
      <a:folHlink>
        <a:srgbClr val="25451C"/>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7D702-1974-471E-BDFA-2DD18A359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13972</Words>
  <Characters>79615</Characters>
  <Application>Microsoft Office Word</Application>
  <DocSecurity>0</DocSecurity>
  <Lines>1916</Lines>
  <Paragraphs>653</Paragraphs>
  <ScaleCrop>false</ScaleCrop>
  <HeadingPairs>
    <vt:vector size="2" baseType="variant">
      <vt:variant>
        <vt:lpstr>Title</vt:lpstr>
      </vt:variant>
      <vt:variant>
        <vt:i4>1</vt:i4>
      </vt:variant>
    </vt:vector>
  </HeadingPairs>
  <TitlesOfParts>
    <vt:vector size="1" baseType="lpstr">
      <vt:lpstr/>
    </vt:vector>
  </TitlesOfParts>
  <Company>TGA</Company>
  <LinksUpToDate>false</LinksUpToDate>
  <CharactersWithSpaces>93201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turneb</dc:creator>
  <cp:lastModifiedBy>Carter, Bless</cp:lastModifiedBy>
  <cp:revision>2</cp:revision>
  <cp:lastPrinted>2013-01-11T03:55:00Z</cp:lastPrinted>
  <dcterms:created xsi:type="dcterms:W3CDTF">2013-05-23T06:02:00Z</dcterms:created>
  <dcterms:modified xsi:type="dcterms:W3CDTF">2013-05-23T06:02:00Z</dcterms:modified>
</cp:coreProperties>
</file>