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B3" w:rsidRPr="00824B0A" w:rsidRDefault="0009706E" w:rsidP="0009706E">
      <w:pPr>
        <w:jc w:val="center"/>
        <w:rPr>
          <w:rFonts w:ascii="Arial" w:hAnsi="Arial" w:cs="Arial"/>
          <w:b/>
          <w:u w:val="single"/>
        </w:rPr>
      </w:pPr>
      <w:r w:rsidRPr="00824B0A">
        <w:rPr>
          <w:rFonts w:ascii="Arial" w:hAnsi="Arial" w:cs="Arial"/>
          <w:b/>
          <w:u w:val="single"/>
        </w:rPr>
        <w:t>EXPLANATORY STATEMENT</w:t>
      </w:r>
    </w:p>
    <w:p w:rsidR="0009706E" w:rsidRPr="00824B0A" w:rsidRDefault="0009706E" w:rsidP="0009706E">
      <w:pPr>
        <w:jc w:val="center"/>
        <w:rPr>
          <w:rFonts w:ascii="Arial" w:hAnsi="Arial" w:cs="Arial"/>
        </w:rPr>
      </w:pPr>
      <w:r w:rsidRPr="00824B0A">
        <w:rPr>
          <w:rFonts w:ascii="Arial" w:hAnsi="Arial" w:cs="Arial"/>
        </w:rPr>
        <w:t xml:space="preserve">Issued by the Australian Communications and Media Authority </w:t>
      </w:r>
    </w:p>
    <w:p w:rsidR="001C6EEE" w:rsidRPr="0019060E" w:rsidRDefault="001C6EEE" w:rsidP="007A5975">
      <w:pPr>
        <w:jc w:val="center"/>
        <w:rPr>
          <w:rFonts w:ascii="Arial" w:hAnsi="Arial" w:cs="Arial"/>
          <w:b/>
          <w:i/>
        </w:rPr>
      </w:pPr>
      <w:r w:rsidRPr="0019060E">
        <w:rPr>
          <w:rFonts w:ascii="Arial" w:hAnsi="Arial" w:cs="Arial"/>
          <w:b/>
          <w:i/>
        </w:rPr>
        <w:t xml:space="preserve">Radiocommunications </w:t>
      </w:r>
      <w:r w:rsidR="007A5975">
        <w:rPr>
          <w:rFonts w:ascii="Arial" w:hAnsi="Arial" w:cs="Arial"/>
          <w:b/>
          <w:i/>
        </w:rPr>
        <w:t>Licence Conditions (Apparatus Licence) Amendment Determination 2013</w:t>
      </w:r>
      <w:r w:rsidRPr="0019060E">
        <w:rPr>
          <w:rFonts w:ascii="Arial" w:hAnsi="Arial" w:cs="Arial"/>
          <w:b/>
          <w:i/>
        </w:rPr>
        <w:t xml:space="preserve"> (No. 1)</w:t>
      </w:r>
    </w:p>
    <w:p w:rsidR="0019060E" w:rsidRPr="00824B0A" w:rsidRDefault="0019060E" w:rsidP="0019060E">
      <w:pPr>
        <w:jc w:val="center"/>
        <w:rPr>
          <w:rFonts w:ascii="Arial" w:hAnsi="Arial" w:cs="Arial"/>
          <w:b/>
          <w:i/>
        </w:rPr>
      </w:pPr>
      <w:r w:rsidRPr="001C6EEE">
        <w:rPr>
          <w:rFonts w:ascii="Arial" w:hAnsi="Arial" w:cs="Arial"/>
          <w:b/>
          <w:i/>
        </w:rPr>
        <w:t>Radioco</w:t>
      </w:r>
      <w:r>
        <w:rPr>
          <w:rFonts w:ascii="Arial" w:hAnsi="Arial" w:cs="Arial"/>
          <w:b/>
          <w:i/>
        </w:rPr>
        <w:t>mmunications Act 1992</w:t>
      </w:r>
    </w:p>
    <w:p w:rsidR="00BC14CE" w:rsidRPr="00824B0A" w:rsidRDefault="00BC14CE" w:rsidP="0009706E">
      <w:pPr>
        <w:rPr>
          <w:rFonts w:ascii="Arial" w:hAnsi="Arial" w:cs="Arial"/>
          <w:b/>
        </w:rPr>
      </w:pPr>
      <w:r w:rsidRPr="00824B0A">
        <w:rPr>
          <w:rFonts w:ascii="Arial" w:hAnsi="Arial" w:cs="Arial"/>
          <w:b/>
        </w:rPr>
        <w:t>Purpose</w:t>
      </w:r>
    </w:p>
    <w:p w:rsidR="0019060E" w:rsidRPr="007A5975" w:rsidRDefault="0019060E" w:rsidP="001C6EEE">
      <w:pPr>
        <w:rPr>
          <w:rFonts w:ascii="Arial" w:hAnsi="Arial" w:cs="Arial"/>
        </w:rPr>
      </w:pPr>
      <w:r w:rsidRPr="007A5975">
        <w:rPr>
          <w:rFonts w:ascii="Arial" w:hAnsi="Arial" w:cs="Arial"/>
        </w:rPr>
        <w:t xml:space="preserve">The </w:t>
      </w:r>
      <w:r w:rsidR="007A5975" w:rsidRPr="007A5975">
        <w:rPr>
          <w:rFonts w:ascii="Arial" w:hAnsi="Arial" w:cs="Arial"/>
          <w:i/>
        </w:rPr>
        <w:t xml:space="preserve">Radiocommunications Licence Conditions (Apparatus Licence) Amendment Determination 2013 (No. 1) </w:t>
      </w:r>
      <w:r w:rsidRPr="007A5975">
        <w:rPr>
          <w:rFonts w:ascii="Arial" w:hAnsi="Arial" w:cs="Arial"/>
        </w:rPr>
        <w:t>(</w:t>
      </w:r>
      <w:r w:rsidRPr="007A5975">
        <w:rPr>
          <w:rFonts w:ascii="Arial" w:hAnsi="Arial" w:cs="Arial"/>
          <w:b/>
        </w:rPr>
        <w:t xml:space="preserve">the </w:t>
      </w:r>
      <w:r w:rsidR="003F1D73">
        <w:rPr>
          <w:rFonts w:ascii="Arial" w:hAnsi="Arial" w:cs="Arial"/>
          <w:b/>
        </w:rPr>
        <w:t>Apparatus Licence LCD Amendment</w:t>
      </w:r>
      <w:r w:rsidRPr="007A5975">
        <w:rPr>
          <w:rFonts w:ascii="Arial" w:hAnsi="Arial" w:cs="Arial"/>
          <w:b/>
        </w:rPr>
        <w:t xml:space="preserve">) </w:t>
      </w:r>
      <w:r w:rsidRPr="007A5975">
        <w:rPr>
          <w:rFonts w:ascii="Arial" w:hAnsi="Arial" w:cs="Arial"/>
        </w:rPr>
        <w:t xml:space="preserve">amends the </w:t>
      </w:r>
      <w:r w:rsidR="007A5975" w:rsidRPr="007A5975">
        <w:rPr>
          <w:rFonts w:ascii="Arial" w:hAnsi="Arial" w:cs="Arial"/>
          <w:i/>
        </w:rPr>
        <w:t>Radiocommunications Licence Conditions (Apparatus Licence) Determination 2003</w:t>
      </w:r>
      <w:r w:rsidRPr="007A5975">
        <w:rPr>
          <w:rFonts w:ascii="Arial" w:hAnsi="Arial" w:cs="Arial"/>
          <w:i/>
        </w:rPr>
        <w:t xml:space="preserve"> </w:t>
      </w:r>
      <w:r w:rsidR="003543BF">
        <w:rPr>
          <w:rFonts w:ascii="Arial" w:hAnsi="Arial" w:cs="Arial"/>
          <w:b/>
        </w:rPr>
        <w:t>(</w:t>
      </w:r>
      <w:r w:rsidR="003F1D73" w:rsidRPr="007A5975">
        <w:rPr>
          <w:rFonts w:ascii="Arial" w:hAnsi="Arial" w:cs="Arial"/>
          <w:b/>
        </w:rPr>
        <w:t xml:space="preserve">the </w:t>
      </w:r>
      <w:r w:rsidR="003F1D73">
        <w:rPr>
          <w:rFonts w:ascii="Arial" w:hAnsi="Arial" w:cs="Arial"/>
          <w:b/>
        </w:rPr>
        <w:t>Apparatus Licence LCD</w:t>
      </w:r>
      <w:r w:rsidRPr="007A5975">
        <w:rPr>
          <w:rFonts w:ascii="Arial" w:hAnsi="Arial" w:cs="Arial"/>
          <w:b/>
        </w:rPr>
        <w:t>)</w:t>
      </w:r>
      <w:r w:rsidRPr="007A5975">
        <w:rPr>
          <w:rFonts w:ascii="Arial" w:hAnsi="Arial" w:cs="Arial"/>
        </w:rPr>
        <w:t xml:space="preserve">. </w:t>
      </w:r>
    </w:p>
    <w:p w:rsidR="0019060E" w:rsidRDefault="0019060E" w:rsidP="001C6E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F1D73">
        <w:rPr>
          <w:rFonts w:ascii="Arial" w:hAnsi="Arial" w:cs="Arial"/>
        </w:rPr>
        <w:t>Apparatus Licence LCD</w:t>
      </w:r>
      <w:r>
        <w:rPr>
          <w:rFonts w:ascii="Arial" w:hAnsi="Arial" w:cs="Arial"/>
        </w:rPr>
        <w:t xml:space="preserve"> adopts the mandatory requirements in the </w:t>
      </w:r>
      <w:r w:rsidR="003F1D73">
        <w:rPr>
          <w:rFonts w:ascii="Arial" w:hAnsi="Arial" w:cs="Arial"/>
        </w:rPr>
        <w:t xml:space="preserve">Australian Standard </w:t>
      </w:r>
      <w:r w:rsidR="003F1D73" w:rsidRPr="00CA1D84">
        <w:rPr>
          <w:rFonts w:ascii="Arial" w:hAnsi="Arial" w:cs="Arial"/>
          <w:i/>
          <w:color w:val="000000"/>
        </w:rPr>
        <w:t>AS 2772.2:1988 – Radiofrequency radiation – Part 2: Principles and methods of measurement – 300 kHz to 100 GHz</w:t>
      </w:r>
      <w:r w:rsidR="003F1D73" w:rsidRPr="00CA1D84">
        <w:rPr>
          <w:rFonts w:ascii="Arial" w:hAnsi="Arial" w:cs="Arial"/>
        </w:rPr>
        <w:t xml:space="preserve"> </w:t>
      </w:r>
      <w:r w:rsidR="003543BF">
        <w:rPr>
          <w:rFonts w:ascii="Arial" w:hAnsi="Arial" w:cs="Arial"/>
          <w:b/>
        </w:rPr>
        <w:t>(the A</w:t>
      </w:r>
      <w:r w:rsidR="00494D97">
        <w:rPr>
          <w:rFonts w:ascii="Arial" w:hAnsi="Arial" w:cs="Arial"/>
          <w:b/>
        </w:rPr>
        <w:t>S Standard)</w:t>
      </w:r>
      <w:r>
        <w:rPr>
          <w:rFonts w:ascii="Arial" w:hAnsi="Arial" w:cs="Arial"/>
          <w:i/>
        </w:rPr>
        <w:t>.</w:t>
      </w:r>
      <w:r w:rsidR="00494D97">
        <w:rPr>
          <w:rFonts w:ascii="Arial" w:hAnsi="Arial" w:cs="Arial"/>
          <w:i/>
        </w:rPr>
        <w:t xml:space="preserve"> </w:t>
      </w:r>
      <w:r w:rsidR="007A5975">
        <w:rPr>
          <w:rFonts w:ascii="Arial" w:hAnsi="Arial" w:cs="Arial"/>
        </w:rPr>
        <w:t>The AS</w:t>
      </w:r>
      <w:r w:rsidR="00494D97">
        <w:rPr>
          <w:rFonts w:ascii="Arial" w:hAnsi="Arial" w:cs="Arial"/>
        </w:rPr>
        <w:t xml:space="preserve"> Standard was </w:t>
      </w:r>
      <w:r w:rsidR="00110011">
        <w:rPr>
          <w:rFonts w:ascii="Arial" w:hAnsi="Arial" w:cs="Arial"/>
        </w:rPr>
        <w:t xml:space="preserve">replaced </w:t>
      </w:r>
      <w:r w:rsidR="00494D97">
        <w:rPr>
          <w:rFonts w:ascii="Arial" w:hAnsi="Arial" w:cs="Arial"/>
        </w:rPr>
        <w:t xml:space="preserve">by </w:t>
      </w:r>
      <w:r w:rsidR="003F1D73" w:rsidRPr="00143FFC">
        <w:rPr>
          <w:rFonts w:ascii="Arial" w:hAnsi="Arial" w:cs="Arial"/>
        </w:rPr>
        <w:t xml:space="preserve">the </w:t>
      </w:r>
      <w:r w:rsidR="00164E6A" w:rsidRPr="00275BF3">
        <w:rPr>
          <w:rStyle w:val="Emphasis"/>
          <w:rFonts w:ascii="Arial" w:hAnsi="Arial" w:cs="Arial"/>
          <w:i w:val="0"/>
          <w:color w:val="000000" w:themeColor="text1"/>
          <w:shd w:val="clear" w:color="auto" w:fill="FFFFFF"/>
        </w:rPr>
        <w:t xml:space="preserve">Australian/New Zealand Standard </w:t>
      </w:r>
      <w:r w:rsidR="00164E6A" w:rsidRPr="00275BF3">
        <w:rPr>
          <w:rFonts w:ascii="Arial" w:hAnsi="Arial" w:cs="Arial"/>
          <w:i/>
        </w:rPr>
        <w:t>AS/NZS 2772.2</w:t>
      </w:r>
      <w:r w:rsidR="00164E6A" w:rsidRPr="00275BF3">
        <w:rPr>
          <w:rFonts w:ascii="Arial" w:hAnsi="Arial" w:cs="Arial"/>
        </w:rPr>
        <w:t xml:space="preserve"> - </w:t>
      </w:r>
      <w:r w:rsidR="00164E6A" w:rsidRPr="00275BF3">
        <w:rPr>
          <w:rFonts w:ascii="Arial" w:hAnsi="Arial" w:cs="Arial"/>
          <w:i/>
        </w:rPr>
        <w:t>Radiofrequency fields Part 2: Principles and methods of measurement and computation — 3 kHz to 300 GHz</w:t>
      </w:r>
      <w:r w:rsidR="00164E6A" w:rsidRPr="00143FFC" w:rsidDel="00164E6A">
        <w:rPr>
          <w:rFonts w:ascii="Arial" w:hAnsi="Arial" w:cs="Arial"/>
        </w:rPr>
        <w:t xml:space="preserve"> </w:t>
      </w:r>
      <w:r w:rsidR="003F1D73" w:rsidRPr="00143FFC">
        <w:rPr>
          <w:rFonts w:ascii="Arial" w:hAnsi="Arial" w:cs="Arial"/>
        </w:rPr>
        <w:t>published by Standards Australia and Standards New Zealand</w:t>
      </w:r>
      <w:r w:rsidR="003F1D73">
        <w:rPr>
          <w:rFonts w:ascii="Arial" w:hAnsi="Arial" w:cs="Arial"/>
        </w:rPr>
        <w:t xml:space="preserve"> </w:t>
      </w:r>
      <w:r w:rsidR="003F1D73" w:rsidRPr="003F1D73">
        <w:rPr>
          <w:rFonts w:ascii="Arial" w:hAnsi="Arial" w:cs="Arial"/>
          <w:b/>
        </w:rPr>
        <w:t>(the AS/NZS Standard)</w:t>
      </w:r>
      <w:r w:rsidR="00110011">
        <w:rPr>
          <w:rFonts w:ascii="Arial" w:hAnsi="Arial" w:cs="Arial"/>
        </w:rPr>
        <w:t xml:space="preserve"> in May 2011</w:t>
      </w:r>
      <w:r w:rsidR="003F1D73" w:rsidRPr="003F1D73">
        <w:rPr>
          <w:rFonts w:ascii="Arial" w:hAnsi="Arial" w:cs="Arial"/>
        </w:rPr>
        <w:t>.</w:t>
      </w:r>
      <w:r w:rsidR="007A5975">
        <w:rPr>
          <w:rFonts w:ascii="Arial" w:hAnsi="Arial" w:cs="Arial"/>
          <w:i/>
          <w:color w:val="000000"/>
        </w:rPr>
        <w:t xml:space="preserve"> </w:t>
      </w:r>
    </w:p>
    <w:p w:rsidR="00F47463" w:rsidRPr="00F47463" w:rsidRDefault="00494D97" w:rsidP="00494D97">
      <w:pPr>
        <w:rPr>
          <w:rStyle w:val="Emphasis"/>
          <w:rFonts w:ascii="Arial" w:hAnsi="Arial" w:cs="Arial"/>
          <w:iCs w:val="0"/>
        </w:rPr>
      </w:pPr>
      <w:r>
        <w:rPr>
          <w:rFonts w:ascii="Arial" w:hAnsi="Arial" w:cs="Arial"/>
        </w:rPr>
        <w:t xml:space="preserve">The purpose of the </w:t>
      </w:r>
      <w:r w:rsidR="003F1D73" w:rsidRPr="003F1D73">
        <w:rPr>
          <w:rFonts w:ascii="Arial" w:hAnsi="Arial" w:cs="Arial"/>
        </w:rPr>
        <w:t>Apparatus Licence LCD Amendment</w:t>
      </w:r>
      <w:r w:rsidR="003F1D73">
        <w:rPr>
          <w:rFonts w:ascii="Arial" w:hAnsi="Arial" w:cs="Arial"/>
        </w:rPr>
        <w:t xml:space="preserve"> </w:t>
      </w:r>
      <w:r w:rsidR="003543BF">
        <w:rPr>
          <w:rFonts w:ascii="Arial" w:hAnsi="Arial" w:cs="Arial"/>
        </w:rPr>
        <w:t xml:space="preserve">is to amend the </w:t>
      </w:r>
      <w:r w:rsidR="003F1D73" w:rsidRPr="003F1D73">
        <w:rPr>
          <w:rFonts w:ascii="Arial" w:hAnsi="Arial" w:cs="Arial"/>
        </w:rPr>
        <w:t>Apparatus Licence LCD</w:t>
      </w:r>
      <w:r w:rsidR="003F1D73">
        <w:rPr>
          <w:rFonts w:ascii="Arial" w:hAnsi="Arial" w:cs="Arial"/>
        </w:rPr>
        <w:t xml:space="preserve"> </w:t>
      </w:r>
      <w:r w:rsidR="003543BF">
        <w:rPr>
          <w:rFonts w:ascii="Arial" w:hAnsi="Arial" w:cs="Arial"/>
        </w:rPr>
        <w:t xml:space="preserve">to replace references to the AS Standard with references to the AS/NZS </w:t>
      </w:r>
      <w:r w:rsidR="003F1D73">
        <w:rPr>
          <w:rFonts w:ascii="Arial" w:hAnsi="Arial" w:cs="Arial"/>
        </w:rPr>
        <w:t>Standard</w:t>
      </w:r>
      <w:r w:rsidR="00CE3793">
        <w:rPr>
          <w:rFonts w:ascii="Arial" w:hAnsi="Arial" w:cs="Arial"/>
        </w:rPr>
        <w:t>. The Apparatus Licence LCD Amendment also includes</w:t>
      </w:r>
      <w:r w:rsidR="00E323B5">
        <w:rPr>
          <w:rFonts w:ascii="Arial" w:hAnsi="Arial" w:cs="Arial"/>
        </w:rPr>
        <w:t xml:space="preserve"> </w:t>
      </w:r>
      <w:r w:rsidR="00513EA4">
        <w:rPr>
          <w:rFonts w:ascii="Arial" w:hAnsi="Arial" w:cs="Arial"/>
        </w:rPr>
        <w:t>transitional mechanisms for compliance after the Apparatus Licence LCD Amendment has commenced</w:t>
      </w:r>
      <w:r w:rsidR="00BB4139">
        <w:rPr>
          <w:rFonts w:ascii="Arial" w:hAnsi="Arial" w:cs="Arial"/>
        </w:rPr>
        <w:t>.</w:t>
      </w:r>
      <w:r w:rsidR="00CE3793">
        <w:rPr>
          <w:rFonts w:ascii="Arial" w:hAnsi="Arial" w:cs="Arial"/>
        </w:rPr>
        <w:t xml:space="preserve"> </w:t>
      </w:r>
      <w:r w:rsidR="006F44C9">
        <w:rPr>
          <w:rFonts w:ascii="Arial" w:hAnsi="Arial" w:cs="Arial"/>
          <w:snapToGrid w:val="0"/>
        </w:rPr>
        <w:t>Transmitters</w:t>
      </w:r>
      <w:r w:rsidR="00CE3793">
        <w:rPr>
          <w:rFonts w:ascii="Arial" w:hAnsi="Arial" w:cs="Arial"/>
          <w:snapToGrid w:val="0"/>
        </w:rPr>
        <w:t xml:space="preserve"> can be tested either against</w:t>
      </w:r>
      <w:r w:rsidR="00110011">
        <w:rPr>
          <w:rFonts w:ascii="Arial" w:hAnsi="Arial" w:cs="Arial"/>
          <w:snapToGrid w:val="0"/>
        </w:rPr>
        <w:t xml:space="preserve"> either</w:t>
      </w:r>
      <w:r w:rsidR="00CE3793">
        <w:rPr>
          <w:rFonts w:ascii="Arial" w:hAnsi="Arial" w:cs="Arial"/>
          <w:snapToGrid w:val="0"/>
        </w:rPr>
        <w:t xml:space="preserve"> the AS Standard or the AS/NZS Standard for a period of one year after the Apparatus Licence LCD Amendment takes effect</w:t>
      </w:r>
      <w:r w:rsidR="00513EA4">
        <w:rPr>
          <w:rFonts w:ascii="Arial" w:hAnsi="Arial" w:cs="Arial"/>
        </w:rPr>
        <w:t>.</w:t>
      </w:r>
    </w:p>
    <w:p w:rsidR="00F47463" w:rsidRDefault="00F47463" w:rsidP="001C6EEE">
      <w:pPr>
        <w:rPr>
          <w:rStyle w:val="Emphasis"/>
          <w:rFonts w:ascii="Arial" w:hAnsi="Arial" w:cs="Arial"/>
          <w:i w:val="0"/>
          <w:color w:val="000000" w:themeColor="text1"/>
          <w:shd w:val="clear" w:color="auto" w:fill="FFFFFF"/>
        </w:rPr>
      </w:pPr>
    </w:p>
    <w:p w:rsidR="009663EE" w:rsidRPr="00824B0A" w:rsidRDefault="009663EE" w:rsidP="0009706E">
      <w:pPr>
        <w:rPr>
          <w:rFonts w:ascii="Arial" w:hAnsi="Arial" w:cs="Arial"/>
          <w:b/>
          <w:snapToGrid w:val="0"/>
        </w:rPr>
      </w:pPr>
      <w:r w:rsidRPr="00824B0A">
        <w:rPr>
          <w:rFonts w:ascii="Arial" w:hAnsi="Arial" w:cs="Arial"/>
          <w:b/>
          <w:snapToGrid w:val="0"/>
        </w:rPr>
        <w:t xml:space="preserve">Legislative Provisions </w:t>
      </w:r>
    </w:p>
    <w:p w:rsidR="00601C24" w:rsidRDefault="009663EE" w:rsidP="00FC5C31">
      <w:pPr>
        <w:rPr>
          <w:rFonts w:ascii="Arial" w:hAnsi="Arial" w:cs="Arial"/>
          <w:snapToGrid w:val="0"/>
        </w:rPr>
      </w:pPr>
      <w:r w:rsidRPr="00824B0A">
        <w:rPr>
          <w:rFonts w:ascii="Arial" w:hAnsi="Arial" w:cs="Arial"/>
          <w:snapToGrid w:val="0"/>
        </w:rPr>
        <w:t xml:space="preserve">The </w:t>
      </w:r>
      <w:r w:rsidR="003F1D73" w:rsidRPr="003F1D73">
        <w:rPr>
          <w:rFonts w:ascii="Arial" w:hAnsi="Arial" w:cs="Arial"/>
        </w:rPr>
        <w:t>Apparatus Licence LCD</w:t>
      </w:r>
      <w:r w:rsidR="003F1D73">
        <w:rPr>
          <w:rFonts w:ascii="Arial" w:hAnsi="Arial" w:cs="Arial"/>
          <w:snapToGrid w:val="0"/>
        </w:rPr>
        <w:t xml:space="preserve"> </w:t>
      </w:r>
      <w:r w:rsidR="00430E95">
        <w:rPr>
          <w:rFonts w:ascii="Arial" w:hAnsi="Arial" w:cs="Arial"/>
          <w:snapToGrid w:val="0"/>
        </w:rPr>
        <w:t>is</w:t>
      </w:r>
      <w:r w:rsidR="00BA1BEA" w:rsidRPr="00824B0A">
        <w:rPr>
          <w:rFonts w:ascii="Arial" w:hAnsi="Arial" w:cs="Arial"/>
          <w:snapToGrid w:val="0"/>
        </w:rPr>
        <w:t xml:space="preserve"> </w:t>
      </w:r>
      <w:r w:rsidRPr="00824B0A">
        <w:rPr>
          <w:rFonts w:ascii="Arial" w:hAnsi="Arial" w:cs="Arial"/>
          <w:snapToGrid w:val="0"/>
        </w:rPr>
        <w:t xml:space="preserve">made under </w:t>
      </w:r>
      <w:r w:rsidR="003F1D73">
        <w:rPr>
          <w:rFonts w:ascii="Arial" w:hAnsi="Arial" w:cs="Arial"/>
          <w:snapToGrid w:val="0"/>
        </w:rPr>
        <w:t>paragraph</w:t>
      </w:r>
      <w:r w:rsidRPr="00824B0A">
        <w:rPr>
          <w:rFonts w:ascii="Arial" w:hAnsi="Arial" w:cs="Arial"/>
          <w:snapToGrid w:val="0"/>
        </w:rPr>
        <w:t xml:space="preserve"> </w:t>
      </w:r>
      <w:r w:rsidR="003543BF">
        <w:rPr>
          <w:rFonts w:ascii="Arial" w:hAnsi="Arial" w:cs="Arial"/>
          <w:snapToGrid w:val="0"/>
        </w:rPr>
        <w:t>107</w:t>
      </w:r>
      <w:r w:rsidR="00110011">
        <w:rPr>
          <w:rFonts w:ascii="Arial" w:hAnsi="Arial" w:cs="Arial"/>
          <w:snapToGrid w:val="0"/>
        </w:rPr>
        <w:t>(1)(f)</w:t>
      </w:r>
      <w:r w:rsidR="00832178">
        <w:rPr>
          <w:rFonts w:ascii="Arial" w:hAnsi="Arial" w:cs="Arial"/>
          <w:snapToGrid w:val="0"/>
        </w:rPr>
        <w:t xml:space="preserve"> of the </w:t>
      </w:r>
      <w:r w:rsidR="00832178">
        <w:rPr>
          <w:rFonts w:ascii="Arial" w:hAnsi="Arial" w:cs="Arial"/>
          <w:i/>
          <w:snapToGrid w:val="0"/>
        </w:rPr>
        <w:t xml:space="preserve">Radiocommunications Act 1992 </w:t>
      </w:r>
      <w:r w:rsidR="00832178">
        <w:rPr>
          <w:rFonts w:ascii="Arial" w:hAnsi="Arial" w:cs="Arial"/>
          <w:snapToGrid w:val="0"/>
        </w:rPr>
        <w:t>(</w:t>
      </w:r>
      <w:r w:rsidR="00832178">
        <w:rPr>
          <w:rFonts w:ascii="Arial" w:hAnsi="Arial" w:cs="Arial"/>
          <w:b/>
          <w:snapToGrid w:val="0"/>
        </w:rPr>
        <w:t>the Act)</w:t>
      </w:r>
      <w:r w:rsidR="00832178" w:rsidRPr="00832178">
        <w:rPr>
          <w:rFonts w:ascii="Arial" w:hAnsi="Arial" w:cs="Arial"/>
          <w:snapToGrid w:val="0"/>
        </w:rPr>
        <w:t>.</w:t>
      </w:r>
      <w:r w:rsidR="00832178">
        <w:rPr>
          <w:rFonts w:ascii="Arial" w:hAnsi="Arial" w:cs="Arial"/>
          <w:snapToGrid w:val="0"/>
        </w:rPr>
        <w:t xml:space="preserve"> </w:t>
      </w:r>
      <w:r w:rsidR="00567093">
        <w:rPr>
          <w:rFonts w:ascii="Arial" w:hAnsi="Arial" w:cs="Arial"/>
          <w:snapToGrid w:val="0"/>
        </w:rPr>
        <w:t>This provision</w:t>
      </w:r>
      <w:r w:rsidR="00832178">
        <w:rPr>
          <w:rFonts w:ascii="Arial" w:hAnsi="Arial" w:cs="Arial"/>
          <w:snapToGrid w:val="0"/>
        </w:rPr>
        <w:t xml:space="preserve"> allows the </w:t>
      </w:r>
      <w:r w:rsidR="009B625B" w:rsidRPr="00824B0A">
        <w:rPr>
          <w:rFonts w:ascii="Arial" w:hAnsi="Arial" w:cs="Arial"/>
          <w:snapToGrid w:val="0"/>
        </w:rPr>
        <w:t>Australian Communications and Media Authority (</w:t>
      </w:r>
      <w:r w:rsidR="009B625B" w:rsidRPr="00824B0A">
        <w:rPr>
          <w:rFonts w:ascii="Arial" w:hAnsi="Arial" w:cs="Arial"/>
          <w:b/>
          <w:snapToGrid w:val="0"/>
        </w:rPr>
        <w:t>the ACMA</w:t>
      </w:r>
      <w:r w:rsidR="009B625B" w:rsidRPr="00824B0A">
        <w:rPr>
          <w:rFonts w:ascii="Arial" w:hAnsi="Arial" w:cs="Arial"/>
          <w:snapToGrid w:val="0"/>
        </w:rPr>
        <w:t xml:space="preserve">) to </w:t>
      </w:r>
      <w:r w:rsidR="003543BF">
        <w:rPr>
          <w:rFonts w:ascii="Arial" w:hAnsi="Arial" w:cs="Arial"/>
          <w:snapToGrid w:val="0"/>
        </w:rPr>
        <w:t>determin</w:t>
      </w:r>
      <w:r w:rsidR="00867260">
        <w:rPr>
          <w:rFonts w:ascii="Arial" w:hAnsi="Arial" w:cs="Arial"/>
          <w:snapToGrid w:val="0"/>
        </w:rPr>
        <w:t>e</w:t>
      </w:r>
      <w:r w:rsidR="003543BF">
        <w:rPr>
          <w:rFonts w:ascii="Arial" w:hAnsi="Arial" w:cs="Arial"/>
          <w:snapToGrid w:val="0"/>
        </w:rPr>
        <w:t xml:space="preserve">, </w:t>
      </w:r>
      <w:r w:rsidR="000B3999">
        <w:rPr>
          <w:rFonts w:ascii="Arial" w:hAnsi="Arial" w:cs="Arial"/>
          <w:snapToGrid w:val="0"/>
        </w:rPr>
        <w:t>by</w:t>
      </w:r>
      <w:r w:rsidR="009B625B" w:rsidRPr="00824B0A">
        <w:rPr>
          <w:rFonts w:ascii="Arial" w:hAnsi="Arial" w:cs="Arial"/>
          <w:snapToGrid w:val="0"/>
        </w:rPr>
        <w:t xml:space="preserve"> written instrument</w:t>
      </w:r>
      <w:r w:rsidR="000B3999">
        <w:rPr>
          <w:rFonts w:ascii="Arial" w:hAnsi="Arial" w:cs="Arial"/>
          <w:snapToGrid w:val="0"/>
        </w:rPr>
        <w:t>,</w:t>
      </w:r>
      <w:r w:rsidR="009B625B" w:rsidRPr="00824B0A">
        <w:rPr>
          <w:rFonts w:ascii="Arial" w:hAnsi="Arial" w:cs="Arial"/>
          <w:snapToGrid w:val="0"/>
        </w:rPr>
        <w:t xml:space="preserve"> </w:t>
      </w:r>
      <w:r w:rsidR="003543BF">
        <w:rPr>
          <w:rFonts w:ascii="Arial" w:hAnsi="Arial" w:cs="Arial"/>
          <w:snapToGrid w:val="0"/>
        </w:rPr>
        <w:t xml:space="preserve">conditions </w:t>
      </w:r>
      <w:r w:rsidR="00867260">
        <w:rPr>
          <w:rFonts w:ascii="Arial" w:hAnsi="Arial" w:cs="Arial"/>
          <w:snapToGrid w:val="0"/>
        </w:rPr>
        <w:t>in relation to a particular type of apparatus licence</w:t>
      </w:r>
      <w:r w:rsidR="003543BF">
        <w:rPr>
          <w:rFonts w:ascii="Arial" w:hAnsi="Arial" w:cs="Arial"/>
          <w:snapToGrid w:val="0"/>
        </w:rPr>
        <w:t xml:space="preserve">. </w:t>
      </w:r>
    </w:p>
    <w:p w:rsidR="00430E95" w:rsidRPr="006425AE" w:rsidRDefault="00430E95" w:rsidP="00430E95">
      <w:pPr>
        <w:rPr>
          <w:rFonts w:ascii="Arial" w:eastAsia="Times New Roman" w:hAnsi="Arial" w:cs="Arial"/>
          <w:snapToGrid w:val="0"/>
          <w:sz w:val="24"/>
          <w:szCs w:val="20"/>
        </w:rPr>
      </w:pPr>
      <w:r w:rsidRPr="006425AE">
        <w:rPr>
          <w:rFonts w:ascii="Arial" w:hAnsi="Arial" w:cs="Arial"/>
          <w:snapToGrid w:val="0"/>
        </w:rPr>
        <w:t xml:space="preserve">Subsection 33(3) of the </w:t>
      </w:r>
      <w:r w:rsidRPr="006425AE">
        <w:rPr>
          <w:rFonts w:ascii="Arial" w:hAnsi="Arial" w:cs="Arial"/>
          <w:i/>
          <w:snapToGrid w:val="0"/>
        </w:rPr>
        <w:t xml:space="preserve">Acts Interpretation Act 1901 </w:t>
      </w:r>
      <w:r w:rsidRPr="006425AE">
        <w:rPr>
          <w:rFonts w:ascii="Arial" w:hAnsi="Arial" w:cs="Arial"/>
          <w:snapToGrid w:val="0"/>
        </w:rPr>
        <w:t xml:space="preserve">provides that where an Act confers a power to make a legislative instrument, the power shall be construed to include a </w:t>
      </w:r>
      <w:r w:rsidRPr="006425AE">
        <w:rPr>
          <w:rFonts w:ascii="Arial" w:hAnsi="Arial" w:cs="Arial"/>
        </w:rPr>
        <w:t xml:space="preserve">power exercisable in the like manner and subject to the like conditions (if any) to </w:t>
      </w:r>
      <w:r>
        <w:rPr>
          <w:rFonts w:ascii="Arial" w:hAnsi="Arial" w:cs="Arial"/>
        </w:rPr>
        <w:t xml:space="preserve">repeal, rescind, revoke, amend or </w:t>
      </w:r>
      <w:r w:rsidRPr="006425AE">
        <w:rPr>
          <w:rFonts w:ascii="Arial" w:hAnsi="Arial" w:cs="Arial"/>
        </w:rPr>
        <w:t>vary any such instrument.</w:t>
      </w:r>
      <w:r>
        <w:rPr>
          <w:rFonts w:ascii="Arial" w:hAnsi="Arial" w:cs="Arial"/>
        </w:rPr>
        <w:t xml:space="preserve"> The </w:t>
      </w:r>
      <w:r w:rsidR="003F1D73" w:rsidRPr="003F1D73">
        <w:rPr>
          <w:rFonts w:ascii="Arial" w:hAnsi="Arial" w:cs="Arial"/>
        </w:rPr>
        <w:t>Apparatus Licence LCD Amendment</w:t>
      </w:r>
      <w:r w:rsidR="003F1D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made under </w:t>
      </w:r>
      <w:r w:rsidR="00110011">
        <w:rPr>
          <w:rFonts w:ascii="Arial" w:hAnsi="Arial" w:cs="Arial"/>
        </w:rPr>
        <w:t xml:space="preserve">paragraph </w:t>
      </w:r>
      <w:r>
        <w:rPr>
          <w:rFonts w:ascii="Arial" w:hAnsi="Arial" w:cs="Arial"/>
        </w:rPr>
        <w:t>107</w:t>
      </w:r>
      <w:r w:rsidR="00110011">
        <w:rPr>
          <w:rFonts w:ascii="Arial" w:hAnsi="Arial" w:cs="Arial"/>
        </w:rPr>
        <w:t>(1)(f)</w:t>
      </w:r>
      <w:r>
        <w:rPr>
          <w:rFonts w:ascii="Arial" w:hAnsi="Arial" w:cs="Arial"/>
        </w:rPr>
        <w:t xml:space="preserve"> and amends the </w:t>
      </w:r>
      <w:r w:rsidR="003F1D73">
        <w:rPr>
          <w:rFonts w:ascii="Arial" w:hAnsi="Arial" w:cs="Arial"/>
        </w:rPr>
        <w:t>Apparatus Licence LCD</w:t>
      </w:r>
      <w:r>
        <w:rPr>
          <w:rFonts w:ascii="Arial" w:hAnsi="Arial" w:cs="Arial"/>
        </w:rPr>
        <w:t xml:space="preserve">. </w:t>
      </w:r>
    </w:p>
    <w:p w:rsidR="009663EE" w:rsidRPr="00824B0A" w:rsidRDefault="00D64123" w:rsidP="0009706E">
      <w:pPr>
        <w:rPr>
          <w:rFonts w:ascii="Arial" w:hAnsi="Arial" w:cs="Arial"/>
          <w:snapToGrid w:val="0"/>
        </w:rPr>
      </w:pPr>
      <w:r w:rsidRPr="00F11AAE">
        <w:rPr>
          <w:rFonts w:ascii="Arial" w:hAnsi="Arial" w:cs="Arial"/>
          <w:snapToGrid w:val="0"/>
        </w:rPr>
        <w:t>The</w:t>
      </w:r>
      <w:r>
        <w:rPr>
          <w:rFonts w:ascii="Arial" w:hAnsi="Arial" w:cs="Arial"/>
          <w:snapToGrid w:val="0"/>
        </w:rPr>
        <w:t xml:space="preserve"> </w:t>
      </w:r>
      <w:r w:rsidR="003F1D73" w:rsidRPr="003F1D73">
        <w:rPr>
          <w:rFonts w:ascii="Arial" w:hAnsi="Arial" w:cs="Arial"/>
        </w:rPr>
        <w:t>Apparatus Licence LCD</w:t>
      </w:r>
      <w:r w:rsidR="003F1D73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sets the conditions applicable to all apparatus licenses issued under sections 100 and 100B of the Act. </w:t>
      </w:r>
    </w:p>
    <w:p w:rsidR="00B5310D" w:rsidRDefault="00B5310D" w:rsidP="00824B0A">
      <w:pPr>
        <w:pStyle w:val="ACMABodyText"/>
        <w:rPr>
          <w:rFonts w:ascii="Arial" w:hAnsi="Arial" w:cs="Arial"/>
          <w:i/>
          <w:sz w:val="22"/>
          <w:szCs w:val="22"/>
        </w:rPr>
      </w:pPr>
    </w:p>
    <w:p w:rsidR="00275BF3" w:rsidRDefault="00275BF3" w:rsidP="00824B0A">
      <w:pPr>
        <w:pStyle w:val="ACMABodyText"/>
        <w:rPr>
          <w:rFonts w:ascii="Arial" w:hAnsi="Arial" w:cs="Arial"/>
          <w:i/>
          <w:sz w:val="22"/>
          <w:szCs w:val="22"/>
        </w:rPr>
      </w:pPr>
    </w:p>
    <w:p w:rsidR="00275BF3" w:rsidRDefault="00275BF3" w:rsidP="00824B0A">
      <w:pPr>
        <w:pStyle w:val="ACMABodyText"/>
        <w:rPr>
          <w:rFonts w:ascii="Arial" w:hAnsi="Arial" w:cs="Arial"/>
          <w:i/>
          <w:sz w:val="22"/>
          <w:szCs w:val="22"/>
        </w:rPr>
      </w:pPr>
    </w:p>
    <w:p w:rsidR="009B625B" w:rsidRPr="00824B0A" w:rsidRDefault="009B625B" w:rsidP="0009706E">
      <w:pPr>
        <w:rPr>
          <w:rFonts w:ascii="Arial" w:hAnsi="Arial" w:cs="Arial"/>
          <w:b/>
          <w:snapToGrid w:val="0"/>
        </w:rPr>
      </w:pPr>
      <w:r w:rsidRPr="00824B0A">
        <w:rPr>
          <w:rFonts w:ascii="Arial" w:hAnsi="Arial" w:cs="Arial"/>
          <w:b/>
          <w:snapToGrid w:val="0"/>
        </w:rPr>
        <w:lastRenderedPageBreak/>
        <w:t xml:space="preserve">Background </w:t>
      </w:r>
    </w:p>
    <w:p w:rsidR="00B5310D" w:rsidRDefault="00BB085F" w:rsidP="0009706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5310D" w:rsidRPr="00B5310D">
        <w:rPr>
          <w:rFonts w:ascii="Arial" w:hAnsi="Arial" w:cs="Arial"/>
        </w:rPr>
        <w:t xml:space="preserve">he </w:t>
      </w:r>
      <w:r w:rsidR="003F1D73">
        <w:rPr>
          <w:rFonts w:ascii="Arial" w:hAnsi="Arial" w:cs="Arial"/>
        </w:rPr>
        <w:t>Apparatus Licence LCD</w:t>
      </w:r>
      <w:r w:rsidR="00BD6830">
        <w:rPr>
          <w:rFonts w:ascii="Arial" w:hAnsi="Arial" w:cs="Arial"/>
        </w:rPr>
        <w:t xml:space="preserve"> sets out, among other things, the circumstances under which a transmitter may be operated to communicate with another station and sets conditions regulating human exposure to electromagnetic radiation (EMR) emitted by a transmitter. </w:t>
      </w:r>
    </w:p>
    <w:p w:rsidR="00494D97" w:rsidRDefault="0020167D" w:rsidP="0020167D">
      <w:pPr>
        <w:rPr>
          <w:rStyle w:val="Emphasis"/>
          <w:rFonts w:ascii="Arial" w:hAnsi="Arial" w:cs="Arial"/>
          <w:color w:val="000000" w:themeColor="text1"/>
          <w:shd w:val="clear" w:color="auto" w:fill="FFFFFF"/>
        </w:rPr>
      </w:pPr>
      <w:r w:rsidRPr="00832178">
        <w:rPr>
          <w:rFonts w:ascii="Arial" w:hAnsi="Arial" w:cs="Arial"/>
        </w:rPr>
        <w:t>The</w:t>
      </w:r>
      <w:r w:rsidR="003F1D73">
        <w:rPr>
          <w:rFonts w:ascii="Arial" w:hAnsi="Arial" w:cs="Arial"/>
        </w:rPr>
        <w:t xml:space="preserve"> Apparatus Licence LCD</w:t>
      </w:r>
      <w:r w:rsidR="00BD6830">
        <w:rPr>
          <w:rFonts w:ascii="Arial" w:hAnsi="Arial" w:cs="Arial"/>
        </w:rPr>
        <w:t xml:space="preserve"> references the AS Standard as the applicable standard for assessing radiofrequency (RF) emissions </w:t>
      </w:r>
      <w:r w:rsidR="003D49B9">
        <w:rPr>
          <w:rFonts w:ascii="Arial" w:hAnsi="Arial" w:cs="Arial"/>
        </w:rPr>
        <w:t xml:space="preserve">for </w:t>
      </w:r>
      <w:r w:rsidR="00BD6830">
        <w:rPr>
          <w:rFonts w:ascii="Arial" w:hAnsi="Arial" w:cs="Arial"/>
        </w:rPr>
        <w:t>a transmitter to which section 9 of the Determination does not apply.</w:t>
      </w:r>
      <w:r w:rsidR="00494D97">
        <w:rPr>
          <w:rStyle w:val="Emphasis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202FFB">
        <w:rPr>
          <w:rStyle w:val="Emphasis"/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20167D" w:rsidRPr="00824B0A" w:rsidRDefault="0020167D" w:rsidP="0020167D">
      <w:pPr>
        <w:rPr>
          <w:rFonts w:ascii="Arial" w:hAnsi="Arial" w:cs="Arial"/>
        </w:rPr>
      </w:pPr>
      <w:r w:rsidRPr="00832178">
        <w:rPr>
          <w:rFonts w:ascii="Arial" w:hAnsi="Arial" w:cs="Arial"/>
        </w:rPr>
        <w:t xml:space="preserve">The </w:t>
      </w:r>
      <w:r w:rsidR="003F1D73">
        <w:rPr>
          <w:rFonts w:ascii="Arial" w:hAnsi="Arial" w:cs="Arial"/>
        </w:rPr>
        <w:t xml:space="preserve">Apparatus Licence LCD </w:t>
      </w:r>
      <w:r w:rsidRPr="00832178">
        <w:rPr>
          <w:rFonts w:ascii="Arial" w:hAnsi="Arial" w:cs="Arial"/>
        </w:rPr>
        <w:t xml:space="preserve">currently requires compliance with </w:t>
      </w:r>
      <w:r w:rsidR="00BD6830">
        <w:rPr>
          <w:rFonts w:ascii="Arial" w:hAnsi="Arial" w:cs="Arial"/>
        </w:rPr>
        <w:t xml:space="preserve">the AS Standard. The </w:t>
      </w:r>
      <w:r w:rsidR="003B2D80">
        <w:rPr>
          <w:rFonts w:ascii="Arial" w:hAnsi="Arial" w:cs="Arial"/>
        </w:rPr>
        <w:t xml:space="preserve">purpose of the </w:t>
      </w:r>
      <w:r w:rsidR="003F1D73">
        <w:rPr>
          <w:rFonts w:ascii="Arial" w:hAnsi="Arial" w:cs="Arial"/>
        </w:rPr>
        <w:t xml:space="preserve">Apparatus Licence LCD Amendment </w:t>
      </w:r>
      <w:r w:rsidR="003B2D80">
        <w:rPr>
          <w:rFonts w:ascii="Arial" w:hAnsi="Arial" w:cs="Arial"/>
        </w:rPr>
        <w:t xml:space="preserve">is to amend the </w:t>
      </w:r>
      <w:r w:rsidR="003F1D73">
        <w:rPr>
          <w:rFonts w:ascii="Arial" w:hAnsi="Arial" w:cs="Arial"/>
        </w:rPr>
        <w:t xml:space="preserve">Apparatus Licence LCD </w:t>
      </w:r>
      <w:r w:rsidR="003B2D80">
        <w:rPr>
          <w:rFonts w:ascii="Arial" w:hAnsi="Arial" w:cs="Arial"/>
        </w:rPr>
        <w:t xml:space="preserve">to replace </w:t>
      </w:r>
      <w:r w:rsidR="003F1D73">
        <w:rPr>
          <w:rFonts w:ascii="Arial" w:hAnsi="Arial" w:cs="Arial"/>
        </w:rPr>
        <w:t>references to the AS Standard with references to</w:t>
      </w:r>
      <w:r w:rsidR="003B2D80">
        <w:rPr>
          <w:rFonts w:ascii="Arial" w:hAnsi="Arial" w:cs="Arial"/>
        </w:rPr>
        <w:t xml:space="preserve"> the AS/NZS Standard. </w:t>
      </w:r>
    </w:p>
    <w:p w:rsidR="00AC5934" w:rsidRDefault="00AC5934" w:rsidP="0009706E">
      <w:pPr>
        <w:rPr>
          <w:rFonts w:ascii="Arial" w:hAnsi="Arial" w:cs="Arial"/>
          <w:b/>
          <w:snapToGrid w:val="0"/>
        </w:rPr>
      </w:pPr>
    </w:p>
    <w:p w:rsidR="007179B6" w:rsidRPr="00824B0A" w:rsidRDefault="007179B6" w:rsidP="0009706E">
      <w:pPr>
        <w:rPr>
          <w:rFonts w:ascii="Arial" w:hAnsi="Arial" w:cs="Arial"/>
          <w:b/>
          <w:snapToGrid w:val="0"/>
        </w:rPr>
      </w:pPr>
      <w:r w:rsidRPr="00824B0A">
        <w:rPr>
          <w:rFonts w:ascii="Arial" w:hAnsi="Arial" w:cs="Arial"/>
          <w:b/>
          <w:snapToGrid w:val="0"/>
        </w:rPr>
        <w:t>Operation</w:t>
      </w:r>
    </w:p>
    <w:p w:rsidR="009378AE" w:rsidRPr="0091318A" w:rsidRDefault="00140419" w:rsidP="009378AE">
      <w:pPr>
        <w:pStyle w:val="ListParagraph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3F1D73" w:rsidRPr="003F70B4">
        <w:rPr>
          <w:rFonts w:eastAsiaTheme="minorHAnsi" w:cs="Arial"/>
          <w:sz w:val="22"/>
          <w:szCs w:val="22"/>
        </w:rPr>
        <w:t xml:space="preserve">Apparatus Licence LCD Amendment </w:t>
      </w:r>
      <w:r w:rsidRPr="003F70B4">
        <w:rPr>
          <w:rFonts w:eastAsiaTheme="minorHAnsi" w:cs="Arial"/>
          <w:sz w:val="22"/>
          <w:szCs w:val="22"/>
        </w:rPr>
        <w:t>amends</w:t>
      </w:r>
      <w:r>
        <w:rPr>
          <w:rFonts w:cs="Arial"/>
          <w:sz w:val="22"/>
          <w:szCs w:val="22"/>
        </w:rPr>
        <w:t xml:space="preserve"> the </w:t>
      </w:r>
      <w:r w:rsidR="003F70B4" w:rsidRPr="003F70B4">
        <w:rPr>
          <w:rFonts w:eastAsiaTheme="minorHAnsi" w:cs="Arial"/>
          <w:sz w:val="22"/>
          <w:szCs w:val="22"/>
        </w:rPr>
        <w:t xml:space="preserve">Apparatus Licence LCD </w:t>
      </w:r>
      <w:r>
        <w:rPr>
          <w:rFonts w:cs="Arial"/>
          <w:sz w:val="22"/>
          <w:szCs w:val="22"/>
        </w:rPr>
        <w:t>to adopt the mandatory requirements of the AS/NZS Standard</w:t>
      </w:r>
      <w:r w:rsidR="003F70B4">
        <w:rPr>
          <w:rFonts w:cs="Arial"/>
          <w:sz w:val="22"/>
          <w:szCs w:val="22"/>
        </w:rPr>
        <w:t>.</w:t>
      </w:r>
      <w:r w:rsidR="00164E6A">
        <w:rPr>
          <w:rFonts w:cs="Arial"/>
          <w:sz w:val="22"/>
          <w:szCs w:val="22"/>
        </w:rPr>
        <w:t xml:space="preserve"> The Apparatus Licence LCD Amendment also includes transitional arrangements</w:t>
      </w:r>
      <w:r w:rsidR="00D41510">
        <w:rPr>
          <w:rFonts w:cs="Arial"/>
          <w:sz w:val="22"/>
          <w:szCs w:val="22"/>
        </w:rPr>
        <w:t xml:space="preserve"> </w:t>
      </w:r>
      <w:r w:rsidR="00D41510" w:rsidRPr="007B380A">
        <w:rPr>
          <w:rFonts w:cs="Arial"/>
          <w:sz w:val="22"/>
          <w:szCs w:val="22"/>
        </w:rPr>
        <w:t xml:space="preserve">if the AS/NZS Standard is amended.  The transitional provisions </w:t>
      </w:r>
      <w:r w:rsidR="00164E6A" w:rsidRPr="007B380A">
        <w:rPr>
          <w:rFonts w:cs="Arial"/>
          <w:sz w:val="22"/>
          <w:szCs w:val="22"/>
        </w:rPr>
        <w:t xml:space="preserve">allow for </w:t>
      </w:r>
      <w:r w:rsidR="006F44C9" w:rsidRPr="007B380A">
        <w:rPr>
          <w:rFonts w:cs="Arial"/>
          <w:sz w:val="22"/>
          <w:szCs w:val="22"/>
        </w:rPr>
        <w:t xml:space="preserve">transmitters </w:t>
      </w:r>
      <w:r w:rsidR="00164E6A" w:rsidRPr="007B380A">
        <w:rPr>
          <w:rFonts w:cs="Arial"/>
          <w:sz w:val="22"/>
          <w:szCs w:val="22"/>
        </w:rPr>
        <w:t xml:space="preserve">to be tested either against the </w:t>
      </w:r>
      <w:r w:rsidR="00D41510" w:rsidRPr="007B380A">
        <w:rPr>
          <w:rFonts w:cs="Arial"/>
          <w:sz w:val="22"/>
          <w:szCs w:val="22"/>
        </w:rPr>
        <w:t xml:space="preserve">amended </w:t>
      </w:r>
      <w:r w:rsidR="00164E6A" w:rsidRPr="007B380A">
        <w:rPr>
          <w:rFonts w:cs="Arial"/>
          <w:sz w:val="22"/>
          <w:szCs w:val="22"/>
        </w:rPr>
        <w:t>AS</w:t>
      </w:r>
      <w:r w:rsidR="00D41510" w:rsidRPr="007B380A">
        <w:rPr>
          <w:rFonts w:cs="Arial"/>
          <w:sz w:val="22"/>
          <w:szCs w:val="22"/>
        </w:rPr>
        <w:t>/NZS Standard or the AS/NZS Standard</w:t>
      </w:r>
      <w:r w:rsidR="00164E6A" w:rsidRPr="007B380A">
        <w:rPr>
          <w:rFonts w:cs="Arial"/>
          <w:sz w:val="22"/>
          <w:szCs w:val="22"/>
        </w:rPr>
        <w:t xml:space="preserve"> </w:t>
      </w:r>
      <w:r w:rsidR="00D41510" w:rsidRPr="007B380A">
        <w:rPr>
          <w:rFonts w:cs="Arial"/>
          <w:sz w:val="22"/>
          <w:szCs w:val="22"/>
        </w:rPr>
        <w:t xml:space="preserve">as in force immediately before the amendment date for </w:t>
      </w:r>
      <w:r w:rsidR="000450A8" w:rsidRPr="007B380A">
        <w:rPr>
          <w:rFonts w:cs="Arial"/>
          <w:sz w:val="22"/>
          <w:szCs w:val="22"/>
        </w:rPr>
        <w:t xml:space="preserve">a period less than </w:t>
      </w:r>
      <w:r w:rsidR="00D41510" w:rsidRPr="007B380A">
        <w:rPr>
          <w:rFonts w:cs="Arial"/>
          <w:sz w:val="22"/>
          <w:szCs w:val="22"/>
        </w:rPr>
        <w:t>one year after the date the amend</w:t>
      </w:r>
      <w:r w:rsidR="000450A8" w:rsidRPr="007B380A">
        <w:rPr>
          <w:rFonts w:cs="Arial"/>
          <w:sz w:val="22"/>
          <w:szCs w:val="22"/>
        </w:rPr>
        <w:t>ed standard</w:t>
      </w:r>
      <w:r w:rsidR="00D41510" w:rsidRPr="007B380A">
        <w:rPr>
          <w:rFonts w:cs="Arial"/>
          <w:sz w:val="22"/>
          <w:szCs w:val="22"/>
        </w:rPr>
        <w:t xml:space="preserve"> takes effect.</w:t>
      </w:r>
      <w:r w:rsidR="00D41510">
        <w:rPr>
          <w:rFonts w:cs="Arial"/>
          <w:sz w:val="22"/>
          <w:szCs w:val="22"/>
        </w:rPr>
        <w:t xml:space="preserve">  </w:t>
      </w:r>
    </w:p>
    <w:p w:rsidR="00140419" w:rsidRDefault="00140419" w:rsidP="0020167D">
      <w:pPr>
        <w:pStyle w:val="ACMANumberedLis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20167D" w:rsidRDefault="003B2D80" w:rsidP="00E02C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F70B4" w:rsidRPr="003F70B4">
        <w:rPr>
          <w:rFonts w:ascii="Arial" w:hAnsi="Arial" w:cs="Arial"/>
        </w:rPr>
        <w:t xml:space="preserve">Apparatus Licence LCD </w:t>
      </w:r>
      <w:r w:rsidR="003F70B4">
        <w:rPr>
          <w:rFonts w:ascii="Arial" w:hAnsi="Arial" w:cs="Arial"/>
        </w:rPr>
        <w:t xml:space="preserve">currently </w:t>
      </w:r>
      <w:r>
        <w:rPr>
          <w:rFonts w:ascii="Arial" w:hAnsi="Arial" w:cs="Arial"/>
        </w:rPr>
        <w:t xml:space="preserve">references the AS Standard as the applicable standard for assessing RF emissions where a transmitter to which section 9 of the </w:t>
      </w:r>
      <w:r w:rsidR="003F70B4" w:rsidRPr="003F70B4">
        <w:rPr>
          <w:rFonts w:ascii="Arial" w:hAnsi="Arial" w:cs="Arial"/>
        </w:rPr>
        <w:t xml:space="preserve">Apparatus Licence LCD </w:t>
      </w:r>
      <w:r>
        <w:rPr>
          <w:rFonts w:ascii="Arial" w:hAnsi="Arial" w:cs="Arial"/>
        </w:rPr>
        <w:t>does not apply. In 2011, the AS Standard was amended to be issued as a joint industry standard for Austr</w:t>
      </w:r>
      <w:r w:rsidR="00BB085F">
        <w:rPr>
          <w:rFonts w:ascii="Arial" w:hAnsi="Arial" w:cs="Arial"/>
        </w:rPr>
        <w:t xml:space="preserve">alia and New Zealand. The AS/NZS </w:t>
      </w:r>
      <w:r w:rsidR="003F70B4">
        <w:rPr>
          <w:rFonts w:ascii="Arial" w:hAnsi="Arial" w:cs="Arial"/>
        </w:rPr>
        <w:t>Standard</w:t>
      </w:r>
      <w:r w:rsidR="00BB085F">
        <w:rPr>
          <w:rFonts w:ascii="Arial" w:hAnsi="Arial" w:cs="Arial"/>
        </w:rPr>
        <w:t xml:space="preserve"> is an updated industry standard that includes minor and machinery updates to the previous AS Standard. </w:t>
      </w:r>
    </w:p>
    <w:p w:rsidR="003B2D80" w:rsidRPr="0020167D" w:rsidRDefault="003B2D80" w:rsidP="00E02CFF">
      <w:pPr>
        <w:rPr>
          <w:rFonts w:ascii="Arial" w:hAnsi="Arial" w:cs="Arial"/>
        </w:rPr>
      </w:pPr>
    </w:p>
    <w:p w:rsidR="007179B6" w:rsidRPr="00824B0A" w:rsidRDefault="00676925" w:rsidP="0009706E">
      <w:pPr>
        <w:rPr>
          <w:rFonts w:ascii="Arial" w:hAnsi="Arial" w:cs="Arial"/>
          <w:b/>
          <w:snapToGrid w:val="0"/>
        </w:rPr>
      </w:pPr>
      <w:r w:rsidRPr="00824B0A">
        <w:rPr>
          <w:rFonts w:ascii="Arial" w:hAnsi="Arial" w:cs="Arial"/>
          <w:b/>
          <w:snapToGrid w:val="0"/>
        </w:rPr>
        <w:t xml:space="preserve">Consultation </w:t>
      </w:r>
    </w:p>
    <w:p w:rsidR="002434AE" w:rsidRDefault="00202FFB" w:rsidP="00202FFB">
      <w:pPr>
        <w:rPr>
          <w:rFonts w:ascii="Arial" w:hAnsi="Arial" w:cs="Arial"/>
          <w:snapToGrid w:val="0"/>
        </w:rPr>
      </w:pPr>
      <w:r w:rsidRPr="00202FFB">
        <w:rPr>
          <w:rFonts w:ascii="Arial" w:hAnsi="Arial" w:cs="Arial"/>
          <w:snapToGrid w:val="0"/>
        </w:rPr>
        <w:t xml:space="preserve">The ACMA </w:t>
      </w:r>
      <w:r w:rsidR="002434AE" w:rsidRPr="00202FFB">
        <w:rPr>
          <w:rFonts w:ascii="Arial" w:hAnsi="Arial" w:cs="Arial"/>
          <w:snapToGrid w:val="0"/>
        </w:rPr>
        <w:t>conducted a public consultation process in relation t</w:t>
      </w:r>
      <w:r w:rsidRPr="00202FFB">
        <w:rPr>
          <w:rFonts w:ascii="Arial" w:hAnsi="Arial" w:cs="Arial"/>
          <w:snapToGrid w:val="0"/>
        </w:rPr>
        <w:t>o the</w:t>
      </w:r>
      <w:r w:rsidR="00D83FC8">
        <w:rPr>
          <w:rFonts w:ascii="Arial" w:hAnsi="Arial" w:cs="Arial"/>
          <w:snapToGrid w:val="0"/>
        </w:rPr>
        <w:t xml:space="preserve"> </w:t>
      </w:r>
      <w:r w:rsidR="003F70B4" w:rsidRPr="003F70B4">
        <w:rPr>
          <w:rFonts w:ascii="Arial" w:hAnsi="Arial" w:cs="Arial"/>
        </w:rPr>
        <w:t>Apparatus Licence LCD</w:t>
      </w:r>
      <w:r w:rsidR="003D49B9">
        <w:rPr>
          <w:rFonts w:ascii="Arial" w:hAnsi="Arial" w:cs="Arial"/>
        </w:rPr>
        <w:t xml:space="preserve"> Amendment</w:t>
      </w:r>
      <w:r w:rsidR="00D83FC8">
        <w:rPr>
          <w:rFonts w:ascii="Arial" w:hAnsi="Arial" w:cs="Arial"/>
          <w:snapToGrid w:val="0"/>
        </w:rPr>
        <w:t xml:space="preserve">. </w:t>
      </w:r>
      <w:r w:rsidR="002434AE" w:rsidRPr="00202FFB">
        <w:rPr>
          <w:rFonts w:ascii="Arial" w:hAnsi="Arial" w:cs="Arial"/>
          <w:snapToGrid w:val="0"/>
        </w:rPr>
        <w:t>T</w:t>
      </w:r>
      <w:r w:rsidR="008917E4" w:rsidRPr="00202FFB">
        <w:rPr>
          <w:rFonts w:ascii="Arial" w:hAnsi="Arial" w:cs="Arial"/>
          <w:snapToGrid w:val="0"/>
        </w:rPr>
        <w:t xml:space="preserve">he </w:t>
      </w:r>
      <w:r w:rsidR="002434AE" w:rsidRPr="00202FFB">
        <w:rPr>
          <w:rFonts w:ascii="Arial" w:hAnsi="Arial" w:cs="Arial"/>
          <w:snapToGrid w:val="0"/>
        </w:rPr>
        <w:t xml:space="preserve">consultation period commenced </w:t>
      </w:r>
      <w:r w:rsidR="00457063">
        <w:rPr>
          <w:rFonts w:ascii="Arial" w:hAnsi="Arial" w:cs="Arial"/>
          <w:snapToGrid w:val="0"/>
        </w:rPr>
        <w:t xml:space="preserve">on </w:t>
      </w:r>
      <w:r w:rsidR="00D83FC8">
        <w:rPr>
          <w:rFonts w:ascii="Arial" w:hAnsi="Arial" w:cs="Arial"/>
          <w:snapToGrid w:val="0"/>
        </w:rPr>
        <w:t>2</w:t>
      </w:r>
      <w:r w:rsidR="00C03869">
        <w:rPr>
          <w:rFonts w:ascii="Arial" w:hAnsi="Arial" w:cs="Arial"/>
          <w:snapToGrid w:val="0"/>
        </w:rPr>
        <w:t>3</w:t>
      </w:r>
      <w:r w:rsidR="00D83FC8">
        <w:rPr>
          <w:rFonts w:ascii="Arial" w:hAnsi="Arial" w:cs="Arial"/>
          <w:snapToGrid w:val="0"/>
        </w:rPr>
        <w:t xml:space="preserve"> January 2013</w:t>
      </w:r>
      <w:r w:rsidR="006D758A">
        <w:rPr>
          <w:rFonts w:ascii="Arial" w:hAnsi="Arial" w:cs="Arial"/>
          <w:snapToGrid w:val="0"/>
        </w:rPr>
        <w:t xml:space="preserve"> and was </w:t>
      </w:r>
      <w:proofErr w:type="gramStart"/>
      <w:r w:rsidR="006D758A">
        <w:rPr>
          <w:rFonts w:ascii="Arial" w:hAnsi="Arial" w:cs="Arial"/>
          <w:snapToGrid w:val="0"/>
        </w:rPr>
        <w:t xml:space="preserve">open </w:t>
      </w:r>
      <w:r w:rsidR="003D49B9">
        <w:rPr>
          <w:rFonts w:ascii="Arial" w:hAnsi="Arial" w:cs="Arial"/>
          <w:snapToGrid w:val="0"/>
        </w:rPr>
        <w:t xml:space="preserve"> until</w:t>
      </w:r>
      <w:proofErr w:type="gramEnd"/>
      <w:r w:rsidR="006D758A">
        <w:rPr>
          <w:rFonts w:ascii="Arial" w:hAnsi="Arial" w:cs="Arial"/>
          <w:snapToGrid w:val="0"/>
        </w:rPr>
        <w:t xml:space="preserve"> 22 February 2013. </w:t>
      </w:r>
      <w:r w:rsidR="00D83FC8">
        <w:rPr>
          <w:rFonts w:ascii="Arial" w:hAnsi="Arial" w:cs="Arial"/>
          <w:snapToGrid w:val="0"/>
        </w:rPr>
        <w:t xml:space="preserve">A </w:t>
      </w:r>
      <w:r w:rsidR="003D4C40">
        <w:rPr>
          <w:rFonts w:ascii="Arial" w:hAnsi="Arial" w:cs="Arial"/>
          <w:snapToGrid w:val="0"/>
        </w:rPr>
        <w:t xml:space="preserve">draft </w:t>
      </w:r>
      <w:r w:rsidR="00D83FC8">
        <w:rPr>
          <w:rFonts w:ascii="Arial" w:hAnsi="Arial" w:cs="Arial"/>
          <w:snapToGrid w:val="0"/>
        </w:rPr>
        <w:t xml:space="preserve">copy of the </w:t>
      </w:r>
      <w:r w:rsidR="003F70B4" w:rsidRPr="003F70B4">
        <w:rPr>
          <w:rFonts w:ascii="Arial" w:hAnsi="Arial" w:cs="Arial"/>
        </w:rPr>
        <w:t xml:space="preserve">Apparatus Licence LCD </w:t>
      </w:r>
      <w:r w:rsidR="003F70B4">
        <w:rPr>
          <w:rFonts w:ascii="Arial" w:hAnsi="Arial" w:cs="Arial"/>
        </w:rPr>
        <w:t xml:space="preserve">Amendment </w:t>
      </w:r>
      <w:r w:rsidR="00D83FC8">
        <w:rPr>
          <w:rFonts w:ascii="Arial" w:hAnsi="Arial" w:cs="Arial"/>
          <w:snapToGrid w:val="0"/>
        </w:rPr>
        <w:t>was made available o</w:t>
      </w:r>
      <w:r w:rsidR="003F70B4">
        <w:rPr>
          <w:rFonts w:ascii="Arial" w:hAnsi="Arial" w:cs="Arial"/>
          <w:snapToGrid w:val="0"/>
        </w:rPr>
        <w:t>n</w:t>
      </w:r>
      <w:r w:rsidR="00D83FC8">
        <w:rPr>
          <w:rFonts w:ascii="Arial" w:hAnsi="Arial" w:cs="Arial"/>
          <w:snapToGrid w:val="0"/>
        </w:rPr>
        <w:t xml:space="preserve"> the ACMA website during the consultation</w:t>
      </w:r>
      <w:r w:rsidR="00457063">
        <w:rPr>
          <w:rFonts w:ascii="Arial" w:hAnsi="Arial" w:cs="Arial"/>
          <w:snapToGrid w:val="0"/>
        </w:rPr>
        <w:t xml:space="preserve"> period</w:t>
      </w:r>
      <w:r w:rsidR="00D83FC8">
        <w:rPr>
          <w:rFonts w:ascii="Arial" w:hAnsi="Arial" w:cs="Arial"/>
          <w:snapToGrid w:val="0"/>
        </w:rPr>
        <w:t xml:space="preserve">. Additionally, </w:t>
      </w:r>
      <w:r w:rsidR="00164E6A">
        <w:rPr>
          <w:rFonts w:ascii="Arial" w:hAnsi="Arial" w:cs="Arial"/>
          <w:snapToGrid w:val="0"/>
        </w:rPr>
        <w:t>the ACMA directly emailed interested stakeholders to notify them of the consultation process.</w:t>
      </w:r>
    </w:p>
    <w:p w:rsidR="00430E95" w:rsidRDefault="00430E95" w:rsidP="0009706E">
      <w:pPr>
        <w:rPr>
          <w:rFonts w:ascii="Arial" w:hAnsi="Arial" w:cs="Arial"/>
          <w:snapToGrid w:val="0"/>
          <w:highlight w:val="yellow"/>
        </w:rPr>
      </w:pPr>
      <w:r>
        <w:rPr>
          <w:rFonts w:ascii="Arial" w:hAnsi="Arial" w:cs="Arial"/>
          <w:snapToGrid w:val="0"/>
        </w:rPr>
        <w:t xml:space="preserve">Prior to making the AS/NZS </w:t>
      </w:r>
      <w:r w:rsidR="003F70B4">
        <w:rPr>
          <w:rFonts w:ascii="Arial" w:hAnsi="Arial" w:cs="Arial"/>
          <w:snapToGrid w:val="0"/>
        </w:rPr>
        <w:t>Standard</w:t>
      </w:r>
      <w:r>
        <w:rPr>
          <w:rFonts w:ascii="Arial" w:hAnsi="Arial" w:cs="Arial"/>
          <w:snapToGrid w:val="0"/>
        </w:rPr>
        <w:t>, a public consultation process on the proposed amendments to the AS Standard was conducted</w:t>
      </w:r>
      <w:r w:rsidR="003F70B4">
        <w:rPr>
          <w:rFonts w:ascii="Arial" w:hAnsi="Arial" w:cs="Arial"/>
          <w:snapToGrid w:val="0"/>
        </w:rPr>
        <w:t xml:space="preserve"> by Standards Australia and Standards New Zealand</w:t>
      </w:r>
      <w:r>
        <w:rPr>
          <w:rFonts w:ascii="Arial" w:hAnsi="Arial" w:cs="Arial"/>
          <w:snapToGrid w:val="0"/>
        </w:rPr>
        <w:t xml:space="preserve">. </w:t>
      </w:r>
    </w:p>
    <w:p w:rsidR="00837D49" w:rsidRPr="005A45C7" w:rsidRDefault="005A45C7" w:rsidP="0009706E">
      <w:pPr>
        <w:rPr>
          <w:rFonts w:ascii="Arial" w:hAnsi="Arial" w:cs="Arial"/>
          <w:snapToGrid w:val="0"/>
        </w:rPr>
      </w:pPr>
      <w:r w:rsidRPr="005A45C7">
        <w:rPr>
          <w:rFonts w:ascii="Arial" w:hAnsi="Arial" w:cs="Arial"/>
          <w:snapToGrid w:val="0"/>
        </w:rPr>
        <w:t xml:space="preserve">During the </w:t>
      </w:r>
      <w:r w:rsidR="00506375" w:rsidRPr="005A45C7">
        <w:rPr>
          <w:rFonts w:ascii="Arial" w:hAnsi="Arial" w:cs="Arial"/>
          <w:snapToGrid w:val="0"/>
        </w:rPr>
        <w:t>consultation period</w:t>
      </w:r>
      <w:r w:rsidR="003F70B4">
        <w:rPr>
          <w:rFonts w:ascii="Arial" w:hAnsi="Arial" w:cs="Arial"/>
          <w:snapToGrid w:val="0"/>
        </w:rPr>
        <w:t xml:space="preserve"> on the </w:t>
      </w:r>
      <w:r w:rsidR="003F70B4" w:rsidRPr="003F70B4">
        <w:rPr>
          <w:rFonts w:ascii="Arial" w:hAnsi="Arial" w:cs="Arial"/>
        </w:rPr>
        <w:t>Apparatus Licence LCD</w:t>
      </w:r>
      <w:r w:rsidR="003F70B4">
        <w:rPr>
          <w:rFonts w:ascii="Arial" w:hAnsi="Arial" w:cs="Arial"/>
        </w:rPr>
        <w:t xml:space="preserve"> Amendment</w:t>
      </w:r>
      <w:r w:rsidR="00506375" w:rsidRPr="005A45C7">
        <w:rPr>
          <w:rFonts w:ascii="Arial" w:hAnsi="Arial" w:cs="Arial"/>
          <w:snapToGrid w:val="0"/>
        </w:rPr>
        <w:t xml:space="preserve">, </w:t>
      </w:r>
      <w:r w:rsidRPr="005A45C7">
        <w:rPr>
          <w:rFonts w:ascii="Arial" w:hAnsi="Arial" w:cs="Arial"/>
          <w:snapToGrid w:val="0"/>
        </w:rPr>
        <w:t xml:space="preserve">one </w:t>
      </w:r>
      <w:r w:rsidR="00506375" w:rsidRPr="005A45C7">
        <w:rPr>
          <w:rFonts w:ascii="Arial" w:hAnsi="Arial" w:cs="Arial"/>
          <w:snapToGrid w:val="0"/>
        </w:rPr>
        <w:t>submission</w:t>
      </w:r>
      <w:r w:rsidRPr="005A45C7">
        <w:rPr>
          <w:rFonts w:ascii="Arial" w:hAnsi="Arial" w:cs="Arial"/>
          <w:snapToGrid w:val="0"/>
        </w:rPr>
        <w:t xml:space="preserve"> from the Australian Mobile Telecommunications Association (AMTA) was</w:t>
      </w:r>
      <w:r w:rsidR="009675C6" w:rsidRPr="005A45C7">
        <w:rPr>
          <w:rFonts w:ascii="Arial" w:hAnsi="Arial" w:cs="Arial"/>
          <w:snapToGrid w:val="0"/>
        </w:rPr>
        <w:t xml:space="preserve"> received and considered by the ACMA</w:t>
      </w:r>
      <w:r w:rsidR="00506375" w:rsidRPr="005A45C7">
        <w:rPr>
          <w:rFonts w:ascii="Arial" w:hAnsi="Arial" w:cs="Arial"/>
          <w:snapToGrid w:val="0"/>
        </w:rPr>
        <w:t xml:space="preserve">. </w:t>
      </w:r>
      <w:r w:rsidRPr="005A45C7">
        <w:rPr>
          <w:rFonts w:ascii="Arial" w:hAnsi="Arial" w:cs="Arial"/>
          <w:snapToGrid w:val="0"/>
        </w:rPr>
        <w:t xml:space="preserve">The AMTA submission supported the </w:t>
      </w:r>
      <w:r w:rsidR="003F70B4" w:rsidRPr="003F70B4">
        <w:rPr>
          <w:rFonts w:ascii="Arial" w:hAnsi="Arial" w:cs="Arial"/>
        </w:rPr>
        <w:t>Apparatus Licence LCD</w:t>
      </w:r>
      <w:r w:rsidR="003F70B4">
        <w:rPr>
          <w:rFonts w:ascii="Arial" w:hAnsi="Arial" w:cs="Arial"/>
        </w:rPr>
        <w:t xml:space="preserve"> Amendment</w:t>
      </w:r>
      <w:r w:rsidR="00676388">
        <w:rPr>
          <w:rFonts w:ascii="Arial" w:hAnsi="Arial" w:cs="Arial"/>
          <w:snapToGrid w:val="0"/>
        </w:rPr>
        <w:t xml:space="preserve"> but submitted</w:t>
      </w:r>
      <w:r w:rsidRPr="005A45C7">
        <w:rPr>
          <w:rFonts w:ascii="Arial" w:hAnsi="Arial" w:cs="Arial"/>
          <w:snapToGrid w:val="0"/>
        </w:rPr>
        <w:t xml:space="preserve"> that appropriate transitiona</w:t>
      </w:r>
      <w:r w:rsidR="003F70B4">
        <w:rPr>
          <w:rFonts w:ascii="Arial" w:hAnsi="Arial" w:cs="Arial"/>
          <w:snapToGrid w:val="0"/>
        </w:rPr>
        <w:t>l</w:t>
      </w:r>
      <w:r w:rsidRPr="005A45C7">
        <w:rPr>
          <w:rFonts w:ascii="Arial" w:hAnsi="Arial" w:cs="Arial"/>
          <w:snapToGrid w:val="0"/>
        </w:rPr>
        <w:t xml:space="preserve"> mechanisms </w:t>
      </w:r>
      <w:r w:rsidR="00676388">
        <w:rPr>
          <w:rFonts w:ascii="Arial" w:hAnsi="Arial" w:cs="Arial"/>
          <w:snapToGrid w:val="0"/>
        </w:rPr>
        <w:t>should be</w:t>
      </w:r>
      <w:r w:rsidR="00676388" w:rsidRPr="005A45C7">
        <w:rPr>
          <w:rFonts w:ascii="Arial" w:hAnsi="Arial" w:cs="Arial"/>
          <w:snapToGrid w:val="0"/>
        </w:rPr>
        <w:t xml:space="preserve"> </w:t>
      </w:r>
      <w:r w:rsidRPr="005A45C7">
        <w:rPr>
          <w:rFonts w:ascii="Arial" w:hAnsi="Arial" w:cs="Arial"/>
          <w:snapToGrid w:val="0"/>
        </w:rPr>
        <w:t xml:space="preserve">included to minimise </w:t>
      </w:r>
      <w:r w:rsidR="003D49B9">
        <w:rPr>
          <w:rFonts w:ascii="Arial" w:hAnsi="Arial" w:cs="Arial"/>
          <w:snapToGrid w:val="0"/>
        </w:rPr>
        <w:t xml:space="preserve">the </w:t>
      </w:r>
      <w:r w:rsidRPr="005A45C7">
        <w:rPr>
          <w:rFonts w:ascii="Arial" w:hAnsi="Arial" w:cs="Arial"/>
          <w:snapToGrid w:val="0"/>
        </w:rPr>
        <w:t>regulatory burden on industry stakeholders.</w:t>
      </w:r>
      <w:r w:rsidR="00513EA4" w:rsidRPr="00513EA4">
        <w:rPr>
          <w:rFonts w:ascii="Arial" w:hAnsi="Arial" w:cs="Arial"/>
          <w:snapToGrid w:val="0"/>
        </w:rPr>
        <w:t xml:space="preserve"> </w:t>
      </w:r>
      <w:r w:rsidR="00513EA4" w:rsidRPr="00442401">
        <w:rPr>
          <w:rFonts w:ascii="Arial" w:hAnsi="Arial" w:cs="Arial"/>
          <w:snapToGrid w:val="0"/>
        </w:rPr>
        <w:t xml:space="preserve">The </w:t>
      </w:r>
      <w:r w:rsidR="00676388">
        <w:rPr>
          <w:rFonts w:ascii="Arial" w:hAnsi="Arial" w:cs="Arial"/>
          <w:snapToGrid w:val="0"/>
        </w:rPr>
        <w:t xml:space="preserve">ACMA took this submission into account and </w:t>
      </w:r>
      <w:r w:rsidR="00457063">
        <w:rPr>
          <w:rFonts w:ascii="Arial" w:hAnsi="Arial" w:cs="Arial"/>
          <w:snapToGrid w:val="0"/>
        </w:rPr>
        <w:t>has</w:t>
      </w:r>
      <w:r w:rsidR="00513EA4" w:rsidRPr="00442401">
        <w:rPr>
          <w:rFonts w:ascii="Arial" w:hAnsi="Arial" w:cs="Arial"/>
          <w:snapToGrid w:val="0"/>
        </w:rPr>
        <w:t xml:space="preserve"> incorporate</w:t>
      </w:r>
      <w:r w:rsidR="00457063">
        <w:rPr>
          <w:rFonts w:ascii="Arial" w:hAnsi="Arial" w:cs="Arial"/>
          <w:snapToGrid w:val="0"/>
        </w:rPr>
        <w:t>d</w:t>
      </w:r>
      <w:r w:rsidR="00513EA4" w:rsidRPr="00442401">
        <w:rPr>
          <w:rFonts w:ascii="Arial" w:hAnsi="Arial" w:cs="Arial"/>
          <w:snapToGrid w:val="0"/>
        </w:rPr>
        <w:t xml:space="preserve"> transitiona</w:t>
      </w:r>
      <w:r w:rsidR="00513EA4">
        <w:rPr>
          <w:rFonts w:ascii="Arial" w:hAnsi="Arial" w:cs="Arial"/>
          <w:snapToGrid w:val="0"/>
        </w:rPr>
        <w:t>l</w:t>
      </w:r>
      <w:r w:rsidR="00513EA4" w:rsidRPr="00442401">
        <w:rPr>
          <w:rFonts w:ascii="Arial" w:hAnsi="Arial" w:cs="Arial"/>
          <w:snapToGrid w:val="0"/>
        </w:rPr>
        <w:t xml:space="preserve"> </w:t>
      </w:r>
      <w:r w:rsidR="00676388">
        <w:rPr>
          <w:rFonts w:ascii="Arial" w:hAnsi="Arial" w:cs="Arial"/>
          <w:snapToGrid w:val="0"/>
        </w:rPr>
        <w:t>arrangements</w:t>
      </w:r>
      <w:r w:rsidR="00457063">
        <w:rPr>
          <w:rFonts w:ascii="Arial" w:hAnsi="Arial" w:cs="Arial"/>
          <w:snapToGrid w:val="0"/>
        </w:rPr>
        <w:t xml:space="preserve"> into the </w:t>
      </w:r>
      <w:r w:rsidR="00457063" w:rsidRPr="003F70B4">
        <w:rPr>
          <w:rFonts w:ascii="Arial" w:hAnsi="Arial" w:cs="Arial"/>
        </w:rPr>
        <w:t>Apparatus Licence LCD</w:t>
      </w:r>
      <w:r w:rsidR="00457063">
        <w:rPr>
          <w:rFonts w:ascii="Arial" w:hAnsi="Arial" w:cs="Arial"/>
        </w:rPr>
        <w:t xml:space="preserve"> </w:t>
      </w:r>
      <w:r w:rsidR="00457063">
        <w:rPr>
          <w:rFonts w:ascii="Arial" w:hAnsi="Arial" w:cs="Arial"/>
        </w:rPr>
        <w:lastRenderedPageBreak/>
        <w:t>Amendment. Those arrangements</w:t>
      </w:r>
      <w:r w:rsidR="00457063">
        <w:rPr>
          <w:rFonts w:ascii="Arial" w:hAnsi="Arial" w:cs="Arial"/>
          <w:snapToGrid w:val="0"/>
        </w:rPr>
        <w:t xml:space="preserve"> allow</w:t>
      </w:r>
      <w:r w:rsidR="00513EA4">
        <w:rPr>
          <w:rFonts w:ascii="Arial" w:hAnsi="Arial" w:cs="Arial"/>
          <w:snapToGrid w:val="0"/>
        </w:rPr>
        <w:t xml:space="preserve"> </w:t>
      </w:r>
      <w:r w:rsidR="006F44C9">
        <w:rPr>
          <w:rFonts w:ascii="Arial" w:hAnsi="Arial" w:cs="Arial"/>
          <w:snapToGrid w:val="0"/>
        </w:rPr>
        <w:t xml:space="preserve">transmitters </w:t>
      </w:r>
      <w:r w:rsidR="00457063">
        <w:rPr>
          <w:rFonts w:ascii="Arial" w:hAnsi="Arial" w:cs="Arial"/>
          <w:snapToGrid w:val="0"/>
        </w:rPr>
        <w:t>to</w:t>
      </w:r>
      <w:r w:rsidR="00EA6237">
        <w:rPr>
          <w:rFonts w:ascii="Arial" w:hAnsi="Arial" w:cs="Arial"/>
          <w:snapToGrid w:val="0"/>
        </w:rPr>
        <w:t xml:space="preserve"> be tested against</w:t>
      </w:r>
      <w:r w:rsidR="003D49B9">
        <w:rPr>
          <w:rFonts w:ascii="Arial" w:hAnsi="Arial" w:cs="Arial"/>
          <w:snapToGrid w:val="0"/>
        </w:rPr>
        <w:t xml:space="preserve"> either</w:t>
      </w:r>
      <w:r w:rsidR="00EA6237">
        <w:rPr>
          <w:rFonts w:ascii="Arial" w:hAnsi="Arial" w:cs="Arial"/>
          <w:snapToGrid w:val="0"/>
        </w:rPr>
        <w:t xml:space="preserve"> the AS Standard or the AS/NZS Standard for a period of one year after the Apparatus Licence LCD Amendment takes effect</w:t>
      </w:r>
      <w:r w:rsidR="00442401" w:rsidRPr="00442401">
        <w:rPr>
          <w:rFonts w:ascii="Arial" w:hAnsi="Arial" w:cs="Arial"/>
          <w:snapToGrid w:val="0"/>
        </w:rPr>
        <w:t xml:space="preserve">. </w:t>
      </w:r>
    </w:p>
    <w:p w:rsidR="009675C6" w:rsidRPr="00824B0A" w:rsidRDefault="009675C6" w:rsidP="0009706E">
      <w:pPr>
        <w:rPr>
          <w:rFonts w:ascii="Arial" w:hAnsi="Arial" w:cs="Arial"/>
          <w:snapToGrid w:val="0"/>
        </w:rPr>
      </w:pPr>
    </w:p>
    <w:p w:rsidR="00EF5835" w:rsidRPr="00824B0A" w:rsidRDefault="00EF5835" w:rsidP="0009706E">
      <w:pPr>
        <w:rPr>
          <w:rFonts w:ascii="Arial" w:hAnsi="Arial" w:cs="Arial"/>
          <w:b/>
          <w:snapToGrid w:val="0"/>
        </w:rPr>
      </w:pPr>
      <w:r w:rsidRPr="00824B0A">
        <w:rPr>
          <w:rFonts w:ascii="Arial" w:hAnsi="Arial" w:cs="Arial"/>
          <w:b/>
          <w:snapToGrid w:val="0"/>
        </w:rPr>
        <w:t xml:space="preserve">Regulation Impact </w:t>
      </w:r>
    </w:p>
    <w:p w:rsidR="00EF5835" w:rsidRDefault="00EF5835" w:rsidP="0009706E">
      <w:pPr>
        <w:rPr>
          <w:rFonts w:ascii="Arial" w:hAnsi="Arial" w:cs="Arial"/>
          <w:snapToGrid w:val="0"/>
        </w:rPr>
      </w:pPr>
      <w:r w:rsidRPr="00824B0A">
        <w:rPr>
          <w:rFonts w:ascii="Arial" w:hAnsi="Arial" w:cs="Arial"/>
          <w:snapToGrid w:val="0"/>
        </w:rPr>
        <w:t>The Office of Best Practice Regulation</w:t>
      </w:r>
      <w:r w:rsidR="00B7526A">
        <w:rPr>
          <w:rFonts w:ascii="Arial" w:hAnsi="Arial" w:cs="Arial"/>
          <w:snapToGrid w:val="0"/>
        </w:rPr>
        <w:t xml:space="preserve"> (</w:t>
      </w:r>
      <w:r w:rsidR="00B7526A" w:rsidRPr="00B7526A">
        <w:rPr>
          <w:rFonts w:ascii="Arial" w:hAnsi="Arial" w:cs="Arial"/>
          <w:b/>
          <w:snapToGrid w:val="0"/>
        </w:rPr>
        <w:t>OBPR</w:t>
      </w:r>
      <w:r w:rsidR="00B7526A">
        <w:rPr>
          <w:rFonts w:ascii="Arial" w:hAnsi="Arial" w:cs="Arial"/>
          <w:snapToGrid w:val="0"/>
        </w:rPr>
        <w:t>)</w:t>
      </w:r>
      <w:r w:rsidRPr="00824B0A">
        <w:rPr>
          <w:rFonts w:ascii="Arial" w:hAnsi="Arial" w:cs="Arial"/>
          <w:snapToGrid w:val="0"/>
        </w:rPr>
        <w:t xml:space="preserve"> has considered the matter and formed </w:t>
      </w:r>
      <w:r w:rsidR="0009789B">
        <w:rPr>
          <w:rFonts w:ascii="Arial" w:hAnsi="Arial" w:cs="Arial"/>
          <w:snapToGrid w:val="0"/>
        </w:rPr>
        <w:t>the</w:t>
      </w:r>
      <w:r w:rsidR="0009789B" w:rsidRPr="00824B0A">
        <w:rPr>
          <w:rFonts w:ascii="Arial" w:hAnsi="Arial" w:cs="Arial"/>
          <w:snapToGrid w:val="0"/>
        </w:rPr>
        <w:t xml:space="preserve"> </w:t>
      </w:r>
      <w:r w:rsidRPr="00824B0A">
        <w:rPr>
          <w:rFonts w:ascii="Arial" w:hAnsi="Arial" w:cs="Arial"/>
          <w:snapToGrid w:val="0"/>
        </w:rPr>
        <w:t xml:space="preserve">opinion that the </w:t>
      </w:r>
      <w:r w:rsidR="003F70B4" w:rsidRPr="003F70B4">
        <w:rPr>
          <w:rFonts w:ascii="Arial" w:hAnsi="Arial" w:cs="Arial"/>
        </w:rPr>
        <w:t>Apparatus Licence LCD</w:t>
      </w:r>
      <w:r w:rsidR="003F70B4">
        <w:rPr>
          <w:rFonts w:ascii="Arial" w:hAnsi="Arial" w:cs="Arial"/>
        </w:rPr>
        <w:t xml:space="preserve"> Amendment</w:t>
      </w:r>
      <w:r w:rsidR="003F70B4" w:rsidRPr="00824B0A">
        <w:rPr>
          <w:rFonts w:ascii="Arial" w:hAnsi="Arial" w:cs="Arial"/>
          <w:snapToGrid w:val="0"/>
        </w:rPr>
        <w:t xml:space="preserve"> </w:t>
      </w:r>
      <w:r w:rsidR="00E0194D" w:rsidRPr="00824B0A">
        <w:rPr>
          <w:rFonts w:ascii="Arial" w:hAnsi="Arial" w:cs="Arial"/>
          <w:snapToGrid w:val="0"/>
        </w:rPr>
        <w:t xml:space="preserve">will have minor and machinery impact and does not impose any substantial additional regulatory burden. </w:t>
      </w:r>
      <w:r w:rsidR="0009789B">
        <w:rPr>
          <w:rFonts w:ascii="Arial" w:hAnsi="Arial" w:cs="Arial"/>
          <w:snapToGrid w:val="0"/>
        </w:rPr>
        <w:t xml:space="preserve">Accordingly, OBPR advised that a regulatory impact statement is not required.  </w:t>
      </w:r>
      <w:r w:rsidR="00E0194D" w:rsidRPr="00824B0A">
        <w:rPr>
          <w:rFonts w:ascii="Arial" w:hAnsi="Arial" w:cs="Arial"/>
          <w:snapToGrid w:val="0"/>
        </w:rPr>
        <w:t>The OBP</w:t>
      </w:r>
      <w:r w:rsidR="0009789B">
        <w:rPr>
          <w:rFonts w:ascii="Arial" w:hAnsi="Arial" w:cs="Arial"/>
          <w:snapToGrid w:val="0"/>
        </w:rPr>
        <w:t>R</w:t>
      </w:r>
      <w:r w:rsidR="00E0194D" w:rsidRPr="00824B0A">
        <w:rPr>
          <w:rFonts w:ascii="Arial" w:hAnsi="Arial" w:cs="Arial"/>
          <w:snapToGrid w:val="0"/>
        </w:rPr>
        <w:t xml:space="preserve"> exemption number is ID 14</w:t>
      </w:r>
      <w:r w:rsidR="00BB085F">
        <w:rPr>
          <w:rFonts w:ascii="Arial" w:hAnsi="Arial" w:cs="Arial"/>
          <w:snapToGrid w:val="0"/>
        </w:rPr>
        <w:t>522</w:t>
      </w:r>
      <w:r w:rsidR="00E0194D" w:rsidRPr="00824B0A">
        <w:rPr>
          <w:rFonts w:ascii="Arial" w:hAnsi="Arial" w:cs="Arial"/>
          <w:snapToGrid w:val="0"/>
        </w:rPr>
        <w:t>.</w:t>
      </w:r>
    </w:p>
    <w:p w:rsidR="009675C6" w:rsidRPr="00824B0A" w:rsidRDefault="009675C6" w:rsidP="0009706E">
      <w:pPr>
        <w:rPr>
          <w:rFonts w:ascii="Arial" w:hAnsi="Arial" w:cs="Arial"/>
          <w:snapToGrid w:val="0"/>
        </w:rPr>
      </w:pPr>
    </w:p>
    <w:p w:rsidR="007179B6" w:rsidRPr="00824B0A" w:rsidRDefault="00CB2BEC" w:rsidP="0009706E">
      <w:pPr>
        <w:rPr>
          <w:rFonts w:ascii="Arial" w:hAnsi="Arial" w:cs="Arial"/>
          <w:b/>
          <w:snapToGrid w:val="0"/>
        </w:rPr>
      </w:pPr>
      <w:r w:rsidRPr="00824B0A">
        <w:rPr>
          <w:rFonts w:ascii="Arial" w:hAnsi="Arial" w:cs="Arial"/>
          <w:b/>
          <w:snapToGrid w:val="0"/>
        </w:rPr>
        <w:t xml:space="preserve">Documents Incorporated in this Instrument by Reference </w:t>
      </w:r>
    </w:p>
    <w:p w:rsidR="00202FFB" w:rsidRDefault="00AC5934" w:rsidP="0009706E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The</w:t>
      </w:r>
      <w:r w:rsidR="00676388" w:rsidRPr="00143FFC">
        <w:rPr>
          <w:rFonts w:ascii="Arial" w:hAnsi="Arial" w:cs="Arial"/>
          <w:i/>
        </w:rPr>
        <w:t xml:space="preserve"> </w:t>
      </w:r>
      <w:r w:rsidR="00164E6A" w:rsidRPr="00275BF3">
        <w:rPr>
          <w:rStyle w:val="Emphasis"/>
          <w:rFonts w:ascii="Arial" w:hAnsi="Arial" w:cs="Arial"/>
          <w:i w:val="0"/>
          <w:color w:val="000000" w:themeColor="text1"/>
          <w:shd w:val="clear" w:color="auto" w:fill="FFFFFF"/>
        </w:rPr>
        <w:t xml:space="preserve">Australian/New Zealand Standard </w:t>
      </w:r>
      <w:r w:rsidR="00164E6A" w:rsidRPr="00275BF3">
        <w:rPr>
          <w:rFonts w:ascii="Arial" w:hAnsi="Arial" w:cs="Arial"/>
          <w:i/>
        </w:rPr>
        <w:t>AS/NZS 2772.2</w:t>
      </w:r>
      <w:r w:rsidR="00164E6A" w:rsidRPr="00275BF3">
        <w:rPr>
          <w:rFonts w:ascii="Arial" w:hAnsi="Arial" w:cs="Arial"/>
        </w:rPr>
        <w:t xml:space="preserve"> - </w:t>
      </w:r>
      <w:r w:rsidR="00164E6A" w:rsidRPr="00275BF3">
        <w:rPr>
          <w:rFonts w:ascii="Arial" w:hAnsi="Arial" w:cs="Arial"/>
          <w:i/>
        </w:rPr>
        <w:t xml:space="preserve">Radiofrequency fields Part 2: Principles and methods of measurement and computation — 3 kHz to 300 GHz </w:t>
      </w:r>
      <w:r w:rsidR="00734560" w:rsidRPr="00734560">
        <w:rPr>
          <w:rFonts w:ascii="Arial" w:hAnsi="Arial" w:cs="Arial"/>
        </w:rPr>
        <w:t xml:space="preserve">(the </w:t>
      </w:r>
      <w:r w:rsidR="00734560" w:rsidRPr="00734560">
        <w:rPr>
          <w:rFonts w:ascii="Arial" w:hAnsi="Arial" w:cs="Arial"/>
          <w:b/>
        </w:rPr>
        <w:t>AS/NZS Standard</w:t>
      </w:r>
      <w:r w:rsidR="00734560" w:rsidRPr="00734560">
        <w:rPr>
          <w:rFonts w:ascii="Arial" w:hAnsi="Arial" w:cs="Arial"/>
        </w:rPr>
        <w:t xml:space="preserve">) </w:t>
      </w:r>
      <w:r>
        <w:rPr>
          <w:rFonts w:ascii="Arial" w:hAnsi="Arial" w:cs="Arial"/>
          <w:snapToGrid w:val="0"/>
        </w:rPr>
        <w:t xml:space="preserve"> </w:t>
      </w:r>
      <w:r w:rsidR="00430E95">
        <w:rPr>
          <w:rFonts w:ascii="Arial" w:hAnsi="Arial" w:cs="Arial"/>
          <w:snapToGrid w:val="0"/>
        </w:rPr>
        <w:t xml:space="preserve">- </w:t>
      </w:r>
      <w:r>
        <w:rPr>
          <w:rFonts w:ascii="Arial" w:hAnsi="Arial" w:cs="Arial"/>
          <w:snapToGrid w:val="0"/>
        </w:rPr>
        <w:t xml:space="preserve">published by Standards Australia and Standards New Zealand is incorporated, as in force from time to time. Copies of </w:t>
      </w:r>
      <w:r w:rsidR="0035248B">
        <w:rPr>
          <w:rFonts w:ascii="Arial" w:hAnsi="Arial" w:cs="Arial"/>
          <w:snapToGrid w:val="0"/>
        </w:rPr>
        <w:t xml:space="preserve">the </w:t>
      </w:r>
      <w:r>
        <w:rPr>
          <w:rFonts w:ascii="Arial" w:hAnsi="Arial" w:cs="Arial"/>
          <w:snapToGrid w:val="0"/>
        </w:rPr>
        <w:t>AS/NZS</w:t>
      </w:r>
      <w:r w:rsidR="0035248B">
        <w:rPr>
          <w:rFonts w:ascii="Arial" w:hAnsi="Arial" w:cs="Arial"/>
          <w:snapToGrid w:val="0"/>
        </w:rPr>
        <w:t xml:space="preserve"> Standard</w:t>
      </w:r>
      <w:r>
        <w:rPr>
          <w:rFonts w:ascii="Arial" w:hAnsi="Arial" w:cs="Arial"/>
          <w:snapToGrid w:val="0"/>
        </w:rPr>
        <w:t xml:space="preserve"> can be obtained from Standards Australia at </w:t>
      </w:r>
      <w:hyperlink r:id="rId11" w:history="1">
        <w:r w:rsidRPr="00BB6A35">
          <w:rPr>
            <w:rStyle w:val="Hyperlink"/>
            <w:rFonts w:ascii="Arial" w:hAnsi="Arial" w:cs="Arial"/>
            <w:snapToGrid w:val="0"/>
          </w:rPr>
          <w:t>www.standards.org.au</w:t>
        </w:r>
      </w:hyperlink>
      <w:r>
        <w:rPr>
          <w:rFonts w:ascii="Arial" w:hAnsi="Arial" w:cs="Arial"/>
          <w:snapToGrid w:val="0"/>
        </w:rPr>
        <w:t>.</w:t>
      </w:r>
    </w:p>
    <w:p w:rsidR="00430E95" w:rsidRDefault="00430E95" w:rsidP="0009706E">
      <w:pPr>
        <w:rPr>
          <w:rFonts w:ascii="Arial" w:hAnsi="Arial" w:cs="Arial"/>
          <w:b/>
          <w:snapToGrid w:val="0"/>
        </w:rPr>
      </w:pPr>
    </w:p>
    <w:p w:rsidR="00624B13" w:rsidRPr="003F70B4" w:rsidRDefault="00AC5934" w:rsidP="0009706E">
      <w:pPr>
        <w:rPr>
          <w:rFonts w:ascii="Arial" w:hAnsi="Arial" w:cs="Arial"/>
          <w:b/>
          <w:snapToGrid w:val="0"/>
        </w:rPr>
      </w:pPr>
      <w:r w:rsidRPr="003F70B4">
        <w:rPr>
          <w:rFonts w:ascii="Arial" w:hAnsi="Arial" w:cs="Arial"/>
          <w:b/>
          <w:snapToGrid w:val="0"/>
        </w:rPr>
        <w:t xml:space="preserve">Notes on </w:t>
      </w:r>
      <w:r w:rsidR="00430E95" w:rsidRPr="003F70B4">
        <w:rPr>
          <w:rFonts w:ascii="Arial" w:hAnsi="Arial" w:cs="Arial"/>
          <w:b/>
          <w:snapToGrid w:val="0"/>
        </w:rPr>
        <w:t xml:space="preserve">the </w:t>
      </w:r>
      <w:r w:rsidR="003F70B4" w:rsidRPr="003F70B4">
        <w:rPr>
          <w:rFonts w:ascii="Arial" w:hAnsi="Arial" w:cs="Arial"/>
          <w:b/>
        </w:rPr>
        <w:t>Apparatus Licence LCD Amendment</w:t>
      </w:r>
      <w:r w:rsidR="003F70B4" w:rsidRPr="003F70B4">
        <w:rPr>
          <w:rFonts w:ascii="Arial" w:hAnsi="Arial" w:cs="Arial"/>
          <w:b/>
          <w:snapToGrid w:val="0"/>
        </w:rPr>
        <w:t xml:space="preserve"> </w:t>
      </w:r>
    </w:p>
    <w:p w:rsidR="007179B6" w:rsidRDefault="00624B13" w:rsidP="0009706E">
      <w:pPr>
        <w:rPr>
          <w:rFonts w:ascii="Arial" w:hAnsi="Arial" w:cs="Arial"/>
          <w:snapToGrid w:val="0"/>
        </w:rPr>
      </w:pPr>
      <w:r w:rsidRPr="00824B0A">
        <w:rPr>
          <w:rFonts w:ascii="Arial" w:hAnsi="Arial" w:cs="Arial"/>
          <w:snapToGrid w:val="0"/>
        </w:rPr>
        <w:t xml:space="preserve">The provisions of the </w:t>
      </w:r>
      <w:r w:rsidR="003F70B4" w:rsidRPr="003F70B4">
        <w:rPr>
          <w:rFonts w:ascii="Arial" w:hAnsi="Arial" w:cs="Arial"/>
        </w:rPr>
        <w:t>Apparatus Licence LCD</w:t>
      </w:r>
      <w:r w:rsidR="003F70B4">
        <w:rPr>
          <w:rFonts w:ascii="Arial" w:hAnsi="Arial" w:cs="Arial"/>
        </w:rPr>
        <w:t xml:space="preserve"> Amendment</w:t>
      </w:r>
      <w:r w:rsidR="00430E95">
        <w:rPr>
          <w:rFonts w:ascii="Arial" w:hAnsi="Arial" w:cs="Arial"/>
          <w:snapToGrid w:val="0"/>
        </w:rPr>
        <w:t xml:space="preserve"> </w:t>
      </w:r>
      <w:r w:rsidRPr="00824B0A">
        <w:rPr>
          <w:rFonts w:ascii="Arial" w:hAnsi="Arial" w:cs="Arial"/>
          <w:snapToGrid w:val="0"/>
        </w:rPr>
        <w:t xml:space="preserve">are described in </w:t>
      </w:r>
      <w:r w:rsidR="00734560" w:rsidRPr="00734560">
        <w:rPr>
          <w:rFonts w:ascii="Arial" w:hAnsi="Arial" w:cs="Arial"/>
          <w:b/>
          <w:snapToGrid w:val="0"/>
          <w:u w:val="single"/>
        </w:rPr>
        <w:t>Attachment 1</w:t>
      </w:r>
      <w:r w:rsidRPr="00824B0A">
        <w:rPr>
          <w:rFonts w:ascii="Arial" w:hAnsi="Arial" w:cs="Arial"/>
          <w:snapToGrid w:val="0"/>
        </w:rPr>
        <w:t xml:space="preserve">. </w:t>
      </w:r>
    </w:p>
    <w:p w:rsidR="00430E95" w:rsidRPr="00824B0A" w:rsidRDefault="00430E95" w:rsidP="0009706E">
      <w:pPr>
        <w:rPr>
          <w:rFonts w:ascii="Arial" w:hAnsi="Arial" w:cs="Arial"/>
          <w:snapToGrid w:val="0"/>
        </w:rPr>
      </w:pPr>
    </w:p>
    <w:p w:rsidR="00624B13" w:rsidRPr="00824B0A" w:rsidRDefault="00624B13" w:rsidP="0009706E">
      <w:pPr>
        <w:rPr>
          <w:rFonts w:ascii="Arial" w:hAnsi="Arial" w:cs="Arial"/>
          <w:b/>
          <w:snapToGrid w:val="0"/>
        </w:rPr>
      </w:pPr>
      <w:r w:rsidRPr="00824B0A">
        <w:rPr>
          <w:rFonts w:ascii="Arial" w:hAnsi="Arial" w:cs="Arial"/>
          <w:b/>
          <w:snapToGrid w:val="0"/>
        </w:rPr>
        <w:t xml:space="preserve">Statement of Compatibility with Human Rights </w:t>
      </w:r>
    </w:p>
    <w:p w:rsidR="00DF12CA" w:rsidRDefault="00430E95">
      <w:pPr>
        <w:rPr>
          <w:rFonts w:ascii="Arial" w:hAnsi="Arial" w:cs="Arial"/>
        </w:rPr>
      </w:pPr>
      <w:r w:rsidRPr="00964168">
        <w:rPr>
          <w:rFonts w:ascii="Arial" w:hAnsi="Arial" w:cs="Arial"/>
        </w:rPr>
        <w:t xml:space="preserve">Subsection 9(1) of the </w:t>
      </w:r>
      <w:r w:rsidRPr="00964168">
        <w:rPr>
          <w:rFonts w:ascii="Arial" w:hAnsi="Arial" w:cs="Arial"/>
          <w:i/>
        </w:rPr>
        <w:t>Human Rights (Parliamentary Scrutiny) Act 2011</w:t>
      </w:r>
      <w:r w:rsidRPr="00964168">
        <w:rPr>
          <w:rFonts w:ascii="Arial" w:hAnsi="Arial" w:cs="Arial"/>
        </w:rPr>
        <w:t xml:space="preserve"> requires the rule</w:t>
      </w:r>
      <w:r w:rsidR="0035248B">
        <w:rPr>
          <w:rFonts w:ascii="Arial" w:hAnsi="Arial" w:cs="Arial"/>
        </w:rPr>
        <w:t>-</w:t>
      </w:r>
      <w:r w:rsidRPr="00964168">
        <w:rPr>
          <w:rFonts w:ascii="Arial" w:hAnsi="Arial" w:cs="Arial"/>
        </w:rPr>
        <w:t xml:space="preserve">maker in relation to a legislative instrument to which section 42 (disallowance) of the </w:t>
      </w:r>
      <w:r w:rsidRPr="00964168">
        <w:rPr>
          <w:rFonts w:ascii="Arial" w:hAnsi="Arial" w:cs="Arial"/>
          <w:i/>
        </w:rPr>
        <w:t>Legislative Instruments Act 2003</w:t>
      </w:r>
      <w:r w:rsidRPr="00964168">
        <w:rPr>
          <w:rFonts w:ascii="Arial" w:hAnsi="Arial" w:cs="Arial"/>
        </w:rPr>
        <w:t xml:space="preserve"> applies</w:t>
      </w:r>
      <w:r w:rsidR="0035248B">
        <w:rPr>
          <w:rFonts w:ascii="Arial" w:hAnsi="Arial" w:cs="Arial"/>
        </w:rPr>
        <w:t>,</w:t>
      </w:r>
      <w:r w:rsidRPr="00964168">
        <w:rPr>
          <w:rFonts w:ascii="Arial" w:hAnsi="Arial" w:cs="Arial"/>
        </w:rPr>
        <w:t xml:space="preserve"> to cause a statement of compatibility to be prepared in respect of that legislative instrument. This statement is in </w:t>
      </w:r>
      <w:r w:rsidRPr="00964168">
        <w:rPr>
          <w:rFonts w:ascii="Arial" w:hAnsi="Arial" w:cs="Arial"/>
          <w:b/>
          <w:u w:val="single"/>
        </w:rPr>
        <w:t xml:space="preserve">Attachment </w:t>
      </w:r>
      <w:r>
        <w:rPr>
          <w:rFonts w:ascii="Arial" w:hAnsi="Arial" w:cs="Arial"/>
          <w:b/>
          <w:u w:val="single"/>
        </w:rPr>
        <w:t>2</w:t>
      </w:r>
      <w:r w:rsidRPr="00964168">
        <w:rPr>
          <w:rFonts w:ascii="Arial" w:hAnsi="Arial" w:cs="Arial"/>
        </w:rPr>
        <w:t>.</w:t>
      </w:r>
    </w:p>
    <w:p w:rsidR="00430E95" w:rsidRDefault="00430E95" w:rsidP="008F6804">
      <w:pPr>
        <w:rPr>
          <w:rFonts w:ascii="Arial" w:hAnsi="Arial" w:cs="Arial"/>
          <w:b/>
          <w:snapToGrid w:val="0"/>
        </w:rPr>
      </w:pPr>
    </w:p>
    <w:p w:rsidR="00430E95" w:rsidRDefault="00430E95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br w:type="page"/>
      </w:r>
    </w:p>
    <w:p w:rsidR="00F03203" w:rsidRPr="00F51B63" w:rsidRDefault="008F6804" w:rsidP="008F6804">
      <w:pPr>
        <w:rPr>
          <w:rFonts w:ascii="Arial" w:hAnsi="Arial" w:cs="Arial"/>
          <w:b/>
          <w:snapToGrid w:val="0"/>
        </w:rPr>
      </w:pPr>
      <w:r w:rsidRPr="00F51B63">
        <w:rPr>
          <w:rFonts w:ascii="Arial" w:hAnsi="Arial" w:cs="Arial"/>
          <w:b/>
          <w:snapToGrid w:val="0"/>
        </w:rPr>
        <w:lastRenderedPageBreak/>
        <w:t>A</w:t>
      </w:r>
      <w:r w:rsidR="00F03203" w:rsidRPr="00F51B63">
        <w:rPr>
          <w:rFonts w:ascii="Arial" w:hAnsi="Arial" w:cs="Arial"/>
          <w:b/>
          <w:snapToGrid w:val="0"/>
        </w:rPr>
        <w:t>ttachment 1</w:t>
      </w:r>
    </w:p>
    <w:p w:rsidR="007179B6" w:rsidRPr="00F51B63" w:rsidRDefault="00F03203" w:rsidP="00F03203">
      <w:pPr>
        <w:jc w:val="center"/>
        <w:rPr>
          <w:rFonts w:ascii="Arial" w:hAnsi="Arial" w:cs="Arial"/>
          <w:b/>
          <w:snapToGrid w:val="0"/>
        </w:rPr>
      </w:pPr>
      <w:r w:rsidRPr="00F51B63">
        <w:rPr>
          <w:rFonts w:ascii="Arial" w:hAnsi="Arial" w:cs="Arial"/>
          <w:b/>
          <w:snapToGrid w:val="0"/>
        </w:rPr>
        <w:t>Notes on the instrument</w:t>
      </w:r>
    </w:p>
    <w:p w:rsidR="007179B6" w:rsidRPr="00F51B63" w:rsidRDefault="00F03203" w:rsidP="0009706E">
      <w:pPr>
        <w:rPr>
          <w:rFonts w:ascii="Arial" w:hAnsi="Arial" w:cs="Arial"/>
          <w:b/>
        </w:rPr>
      </w:pPr>
      <w:r w:rsidRPr="00F51B63">
        <w:rPr>
          <w:rFonts w:ascii="Arial" w:hAnsi="Arial" w:cs="Arial"/>
          <w:b/>
        </w:rPr>
        <w:t>Section 1</w:t>
      </w:r>
      <w:r w:rsidRPr="00F51B63">
        <w:rPr>
          <w:rFonts w:ascii="Arial" w:hAnsi="Arial" w:cs="Arial"/>
          <w:b/>
        </w:rPr>
        <w:tab/>
        <w:t xml:space="preserve">Name of </w:t>
      </w:r>
      <w:r w:rsidR="00E51287" w:rsidRPr="00F51B63">
        <w:rPr>
          <w:rFonts w:ascii="Arial" w:hAnsi="Arial" w:cs="Arial"/>
          <w:b/>
        </w:rPr>
        <w:t>Amendment</w:t>
      </w:r>
      <w:r w:rsidRPr="00F51B63">
        <w:rPr>
          <w:rFonts w:ascii="Arial" w:hAnsi="Arial" w:cs="Arial"/>
          <w:b/>
        </w:rPr>
        <w:t xml:space="preserve"> </w:t>
      </w:r>
    </w:p>
    <w:p w:rsidR="000F5A51" w:rsidRPr="009356A5" w:rsidRDefault="008F6804" w:rsidP="009356A5">
      <w:pPr>
        <w:rPr>
          <w:rFonts w:ascii="Arial" w:hAnsi="Arial" w:cs="Arial"/>
          <w:i/>
        </w:rPr>
      </w:pPr>
      <w:r w:rsidRPr="009356A5">
        <w:rPr>
          <w:rFonts w:ascii="Arial" w:hAnsi="Arial" w:cs="Arial"/>
        </w:rPr>
        <w:t xml:space="preserve">Section 1 provides </w:t>
      </w:r>
      <w:r w:rsidR="00E51287" w:rsidRPr="009356A5">
        <w:rPr>
          <w:rFonts w:ascii="Arial" w:hAnsi="Arial" w:cs="Arial"/>
        </w:rPr>
        <w:t xml:space="preserve">that </w:t>
      </w:r>
      <w:r w:rsidRPr="009356A5">
        <w:rPr>
          <w:rFonts w:ascii="Arial" w:hAnsi="Arial" w:cs="Arial"/>
        </w:rPr>
        <w:t xml:space="preserve">the name of the instrument is the </w:t>
      </w:r>
      <w:r w:rsidR="009356A5" w:rsidRPr="009356A5">
        <w:rPr>
          <w:rFonts w:ascii="Arial" w:hAnsi="Arial" w:cs="Arial"/>
          <w:i/>
        </w:rPr>
        <w:t>Radiocommunications Licence Conditions (Apparatus Licence) Amendment Determination 2013 (No. 1)</w:t>
      </w:r>
      <w:r w:rsidR="00D83FC8" w:rsidRPr="009356A5">
        <w:rPr>
          <w:rFonts w:ascii="Arial" w:hAnsi="Arial" w:cs="Arial"/>
          <w:i/>
        </w:rPr>
        <w:t>.</w:t>
      </w:r>
    </w:p>
    <w:p w:rsidR="00F03203" w:rsidRPr="00F51B63" w:rsidRDefault="00F03203" w:rsidP="0009706E">
      <w:pPr>
        <w:rPr>
          <w:rFonts w:ascii="Arial" w:hAnsi="Arial" w:cs="Arial"/>
          <w:b/>
        </w:rPr>
      </w:pPr>
      <w:r w:rsidRPr="00F51B63">
        <w:rPr>
          <w:rFonts w:ascii="Arial" w:hAnsi="Arial" w:cs="Arial"/>
          <w:b/>
        </w:rPr>
        <w:t>Section 2</w:t>
      </w:r>
      <w:r w:rsidRPr="00F51B63">
        <w:rPr>
          <w:rFonts w:ascii="Arial" w:hAnsi="Arial" w:cs="Arial"/>
          <w:b/>
        </w:rPr>
        <w:tab/>
        <w:t xml:space="preserve">Commencement </w:t>
      </w:r>
    </w:p>
    <w:p w:rsidR="008F6804" w:rsidRPr="00F51B63" w:rsidRDefault="00430E95" w:rsidP="000970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Section 2 provides that the </w:t>
      </w:r>
      <w:r w:rsidR="003D49B9">
        <w:rPr>
          <w:rFonts w:ascii="Arial" w:hAnsi="Arial" w:cs="Arial"/>
        </w:rPr>
        <w:t>instrument</w:t>
      </w:r>
      <w:r>
        <w:rPr>
          <w:rFonts w:ascii="Arial" w:hAnsi="Arial" w:cs="Arial"/>
        </w:rPr>
        <w:t xml:space="preserve"> commences on the day after it is registered on the Federal Register of Legislative Instruments. </w:t>
      </w:r>
    </w:p>
    <w:p w:rsidR="00F03203" w:rsidRPr="00F51B63" w:rsidRDefault="008F6804" w:rsidP="0009706E">
      <w:pPr>
        <w:rPr>
          <w:rFonts w:ascii="Arial" w:hAnsi="Arial" w:cs="Arial"/>
          <w:b/>
          <w:i/>
        </w:rPr>
      </w:pPr>
      <w:r w:rsidRPr="00F51B63">
        <w:rPr>
          <w:rFonts w:ascii="Arial" w:hAnsi="Arial" w:cs="Arial"/>
          <w:b/>
        </w:rPr>
        <w:t>Section 3</w:t>
      </w:r>
      <w:r w:rsidRPr="00F51B63">
        <w:rPr>
          <w:rFonts w:ascii="Arial" w:hAnsi="Arial" w:cs="Arial"/>
          <w:b/>
        </w:rPr>
        <w:tab/>
        <w:t xml:space="preserve">Amendment of </w:t>
      </w:r>
      <w:r w:rsidR="001D3616" w:rsidRPr="001D3616">
        <w:rPr>
          <w:rFonts w:ascii="Arial" w:hAnsi="Arial" w:cs="Arial"/>
          <w:b/>
          <w:i/>
        </w:rPr>
        <w:t>Radiocommunications Licence Conditions (Apparatus Licence) Determination 2003</w:t>
      </w:r>
    </w:p>
    <w:p w:rsidR="00D83FC8" w:rsidRPr="00F51B63" w:rsidRDefault="00430E95" w:rsidP="0009706E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Section 3 provides that </w:t>
      </w:r>
      <w:r w:rsidR="001D3616">
        <w:rPr>
          <w:rFonts w:ascii="Arial" w:hAnsi="Arial" w:cs="Arial"/>
        </w:rPr>
        <w:t xml:space="preserve">Schedule </w:t>
      </w:r>
      <w:r>
        <w:rPr>
          <w:rFonts w:ascii="Arial" w:hAnsi="Arial" w:cs="Arial"/>
        </w:rPr>
        <w:t xml:space="preserve">1 </w:t>
      </w:r>
      <w:r w:rsidR="00D83FC8" w:rsidRPr="00F51B63">
        <w:rPr>
          <w:rFonts w:ascii="Arial" w:hAnsi="Arial" w:cs="Arial"/>
        </w:rPr>
        <w:t xml:space="preserve">amends the </w:t>
      </w:r>
      <w:r w:rsidR="009356A5" w:rsidRPr="007A5975">
        <w:rPr>
          <w:rFonts w:ascii="Arial" w:hAnsi="Arial" w:cs="Arial"/>
          <w:i/>
        </w:rPr>
        <w:t>Radiocommunications Licence Conditions (Apparatus Licence) Determination 2003</w:t>
      </w:r>
      <w:r w:rsidR="00D83FC8" w:rsidRPr="00F51B63">
        <w:rPr>
          <w:rFonts w:ascii="Arial" w:hAnsi="Arial" w:cs="Arial"/>
          <w:i/>
        </w:rPr>
        <w:t xml:space="preserve">. </w:t>
      </w:r>
    </w:p>
    <w:p w:rsidR="008F6804" w:rsidRPr="00F51B63" w:rsidRDefault="00262ABC" w:rsidP="0009706E">
      <w:pPr>
        <w:rPr>
          <w:rFonts w:ascii="Arial" w:hAnsi="Arial" w:cs="Arial"/>
          <w:b/>
        </w:rPr>
      </w:pPr>
      <w:r w:rsidRPr="00F51B63">
        <w:rPr>
          <w:rFonts w:ascii="Arial" w:hAnsi="Arial" w:cs="Arial"/>
          <w:b/>
        </w:rPr>
        <w:br/>
      </w:r>
      <w:r w:rsidR="008F6804" w:rsidRPr="00F51B63">
        <w:rPr>
          <w:rFonts w:ascii="Arial" w:hAnsi="Arial" w:cs="Arial"/>
          <w:b/>
        </w:rPr>
        <w:t>Schedule 1</w:t>
      </w:r>
    </w:p>
    <w:p w:rsidR="00E323B5" w:rsidRDefault="008F6804" w:rsidP="00F51B63">
      <w:pPr>
        <w:rPr>
          <w:rFonts w:ascii="Arial" w:hAnsi="Arial" w:cs="Arial"/>
        </w:rPr>
      </w:pPr>
      <w:r w:rsidRPr="00F51B63">
        <w:rPr>
          <w:rFonts w:ascii="Arial" w:hAnsi="Arial" w:cs="Arial"/>
        </w:rPr>
        <w:t>Item [1]</w:t>
      </w:r>
      <w:r w:rsidR="00F51B63" w:rsidRPr="00F51B63">
        <w:rPr>
          <w:rFonts w:ascii="Arial" w:hAnsi="Arial" w:cs="Arial"/>
        </w:rPr>
        <w:t xml:space="preserve"> </w:t>
      </w:r>
      <w:r w:rsidR="009356A5">
        <w:rPr>
          <w:rFonts w:ascii="Arial" w:hAnsi="Arial" w:cs="Arial"/>
        </w:rPr>
        <w:t>p</w:t>
      </w:r>
      <w:r w:rsidR="00F51B63" w:rsidRPr="00F51B63">
        <w:rPr>
          <w:rFonts w:ascii="Arial" w:hAnsi="Arial" w:cs="Arial"/>
        </w:rPr>
        <w:t>rovides</w:t>
      </w:r>
      <w:r w:rsidR="009356A5">
        <w:rPr>
          <w:rFonts w:ascii="Arial" w:hAnsi="Arial" w:cs="Arial"/>
        </w:rPr>
        <w:t xml:space="preserve"> an</w:t>
      </w:r>
      <w:r w:rsidR="00F51B63" w:rsidRPr="00F51B63">
        <w:rPr>
          <w:rFonts w:ascii="Arial" w:hAnsi="Arial" w:cs="Arial"/>
        </w:rPr>
        <w:t xml:space="preserve"> addition</w:t>
      </w:r>
      <w:r w:rsidR="00E323B5">
        <w:rPr>
          <w:rFonts w:ascii="Arial" w:hAnsi="Arial" w:cs="Arial"/>
        </w:rPr>
        <w:t xml:space="preserve">al definition in </w:t>
      </w:r>
      <w:r w:rsidR="009356A5">
        <w:rPr>
          <w:rFonts w:ascii="Arial" w:hAnsi="Arial" w:cs="Arial"/>
        </w:rPr>
        <w:t xml:space="preserve">subsection 4(1), </w:t>
      </w:r>
      <w:r w:rsidR="00465B53">
        <w:rPr>
          <w:rFonts w:ascii="Arial" w:hAnsi="Arial" w:cs="Arial"/>
        </w:rPr>
        <w:t xml:space="preserve">namely, defining </w:t>
      </w:r>
      <w:r w:rsidR="00DD3222" w:rsidRPr="00DD3222">
        <w:rPr>
          <w:rFonts w:ascii="Arial" w:hAnsi="Arial" w:cs="Arial"/>
          <w:i/>
        </w:rPr>
        <w:t>AS/NZS 2772.2.</w:t>
      </w:r>
    </w:p>
    <w:p w:rsidR="00E323B5" w:rsidRDefault="009356A5" w:rsidP="00F51B63">
      <w:pPr>
        <w:rPr>
          <w:rFonts w:ascii="Arial" w:hAnsi="Arial" w:cs="Arial"/>
        </w:rPr>
      </w:pPr>
      <w:r>
        <w:rPr>
          <w:rFonts w:ascii="Arial" w:hAnsi="Arial" w:cs="Arial"/>
        </w:rPr>
        <w:t>Item [2]</w:t>
      </w:r>
      <w:r w:rsidR="00E323B5">
        <w:rPr>
          <w:rFonts w:ascii="Arial" w:hAnsi="Arial" w:cs="Arial"/>
        </w:rPr>
        <w:t xml:space="preserve"> updates the definition of </w:t>
      </w:r>
      <w:r w:rsidR="001F5F4F">
        <w:rPr>
          <w:rFonts w:ascii="Arial" w:hAnsi="Arial" w:cs="Arial"/>
          <w:i/>
        </w:rPr>
        <w:t>NATA-</w:t>
      </w:r>
      <w:r w:rsidR="008953EF" w:rsidRPr="008953EF">
        <w:rPr>
          <w:rFonts w:ascii="Arial" w:hAnsi="Arial" w:cs="Arial"/>
          <w:i/>
        </w:rPr>
        <w:t>accredited body</w:t>
      </w:r>
      <w:r w:rsidR="00E323B5">
        <w:rPr>
          <w:rFonts w:ascii="Arial" w:hAnsi="Arial" w:cs="Arial"/>
        </w:rPr>
        <w:t xml:space="preserve"> in subsection 4(1)</w:t>
      </w:r>
      <w:r w:rsidR="00275BF3">
        <w:rPr>
          <w:rFonts w:ascii="Arial" w:hAnsi="Arial" w:cs="Arial"/>
        </w:rPr>
        <w:t xml:space="preserve"> </w:t>
      </w:r>
      <w:r w:rsidR="00465B53">
        <w:rPr>
          <w:rFonts w:ascii="Arial" w:hAnsi="Arial" w:cs="Arial"/>
        </w:rPr>
        <w:t>to include AS/NZS 2772.2.</w:t>
      </w:r>
    </w:p>
    <w:p w:rsidR="003D49B9" w:rsidRDefault="003F70B4" w:rsidP="003D49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Item [3] </w:t>
      </w:r>
      <w:r w:rsidR="00E323B5">
        <w:rPr>
          <w:rFonts w:ascii="Arial" w:hAnsi="Arial" w:cs="Arial"/>
        </w:rPr>
        <w:t>replaces section 10 with a new section 10 and adds a section 10A.</w:t>
      </w:r>
      <w:r w:rsidR="006A14ED">
        <w:rPr>
          <w:rFonts w:ascii="Arial" w:hAnsi="Arial" w:cs="Arial"/>
        </w:rPr>
        <w:t xml:space="preserve"> </w:t>
      </w:r>
      <w:r w:rsidR="006A14ED">
        <w:rPr>
          <w:rFonts w:ascii="Arial" w:hAnsi="Arial" w:cs="Arial"/>
        </w:rPr>
        <w:br/>
        <w:t xml:space="preserve">The new section </w:t>
      </w:r>
      <w:r w:rsidR="001F5F4F">
        <w:rPr>
          <w:rFonts w:ascii="Arial" w:hAnsi="Arial" w:cs="Arial"/>
        </w:rPr>
        <w:t>10 updates</w:t>
      </w:r>
      <w:r w:rsidR="006A14ED">
        <w:rPr>
          <w:rFonts w:ascii="Arial" w:hAnsi="Arial" w:cs="Arial"/>
        </w:rPr>
        <w:t xml:space="preserve"> references to the industry standard to AS/NZS 2772.2 and provides a mechanism for use of existing assessments made under AS 2772.2 under certain circumstances.</w:t>
      </w:r>
    </w:p>
    <w:p w:rsidR="006A14ED" w:rsidRDefault="006A14ED" w:rsidP="006A14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added section 10A provides </w:t>
      </w:r>
      <w:r w:rsidR="00465B5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a transition</w:t>
      </w:r>
      <w:r w:rsidR="00465B53">
        <w:rPr>
          <w:rFonts w:ascii="Arial" w:hAnsi="Arial" w:cs="Arial"/>
        </w:rPr>
        <w:t>al arrangement</w:t>
      </w:r>
      <w:r>
        <w:rPr>
          <w:rFonts w:ascii="Arial" w:hAnsi="Arial" w:cs="Arial"/>
        </w:rPr>
        <w:t xml:space="preserve"> </w:t>
      </w:r>
      <w:r w:rsidR="00465B53">
        <w:rPr>
          <w:rFonts w:ascii="Arial" w:hAnsi="Arial" w:cs="Arial"/>
        </w:rPr>
        <w:t xml:space="preserve">in relation to </w:t>
      </w:r>
      <w:r w:rsidR="00C96CE6">
        <w:rPr>
          <w:rFonts w:ascii="Arial" w:hAnsi="Arial" w:cs="Arial"/>
        </w:rPr>
        <w:t xml:space="preserve">measurements and calculations of RF fields produced by specified transmitters </w:t>
      </w:r>
      <w:r>
        <w:rPr>
          <w:rFonts w:ascii="Arial" w:hAnsi="Arial" w:cs="Arial"/>
        </w:rPr>
        <w:t xml:space="preserve">made </w:t>
      </w:r>
      <w:r w:rsidR="00477FD8">
        <w:rPr>
          <w:rFonts w:ascii="Arial" w:hAnsi="Arial" w:cs="Arial"/>
        </w:rPr>
        <w:t xml:space="preserve">in accordance with </w:t>
      </w:r>
      <w:r>
        <w:rPr>
          <w:rFonts w:ascii="Arial" w:hAnsi="Arial" w:cs="Arial"/>
        </w:rPr>
        <w:t>AS/NZS 2772.2</w:t>
      </w:r>
      <w:r w:rsidR="00477FD8" w:rsidRPr="00477FD8">
        <w:rPr>
          <w:rFonts w:ascii="Arial" w:hAnsi="Arial" w:cs="Arial"/>
        </w:rPr>
        <w:t xml:space="preserve"> </w:t>
      </w:r>
      <w:r w:rsidR="00477FD8">
        <w:rPr>
          <w:rFonts w:ascii="Arial" w:hAnsi="Arial" w:cs="Arial"/>
        </w:rPr>
        <w:t>if AS/NZS 2772.2 is amended</w:t>
      </w:r>
      <w:r>
        <w:rPr>
          <w:rFonts w:ascii="Arial" w:hAnsi="Arial" w:cs="Arial"/>
        </w:rPr>
        <w:t>.</w:t>
      </w:r>
    </w:p>
    <w:p w:rsidR="00800645" w:rsidRDefault="006A14ED">
      <w:pPr>
        <w:rPr>
          <w:rFonts w:ascii="Arial" w:hAnsi="Arial" w:cs="Arial"/>
        </w:rPr>
      </w:pPr>
      <w:r>
        <w:rPr>
          <w:rFonts w:ascii="Arial" w:hAnsi="Arial" w:cs="Arial"/>
        </w:rPr>
        <w:t>Item [4] updates references in subparagraph 12(1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</w:rPr>
        <w:t xml:space="preserve">b)(i) to refer to the appropriate </w:t>
      </w:r>
      <w:r w:rsidR="003D49B9">
        <w:rPr>
          <w:rFonts w:ascii="Arial" w:hAnsi="Arial" w:cs="Arial"/>
        </w:rPr>
        <w:t>provision</w:t>
      </w:r>
      <w:r>
        <w:rPr>
          <w:rFonts w:ascii="Arial" w:hAnsi="Arial" w:cs="Arial"/>
        </w:rPr>
        <w:t xml:space="preserve"> in the new section 10.</w:t>
      </w:r>
    </w:p>
    <w:p w:rsidR="00800645" w:rsidRDefault="006A14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Item [5] removes </w:t>
      </w:r>
      <w:r w:rsidR="003D49B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reference to </w:t>
      </w:r>
      <w:r w:rsidR="003D49B9">
        <w:rPr>
          <w:rFonts w:ascii="Arial" w:hAnsi="Arial" w:cs="Arial"/>
        </w:rPr>
        <w:t xml:space="preserve">an old </w:t>
      </w:r>
      <w:r>
        <w:rPr>
          <w:rFonts w:ascii="Arial" w:hAnsi="Arial" w:cs="Arial"/>
        </w:rPr>
        <w:t xml:space="preserve">commencement date </w:t>
      </w:r>
      <w:r w:rsidR="003D49B9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the requirements which is no longer</w:t>
      </w:r>
      <w:r w:rsidR="003D49B9">
        <w:rPr>
          <w:rFonts w:ascii="Arial" w:hAnsi="Arial" w:cs="Arial"/>
        </w:rPr>
        <w:t xml:space="preserve"> necessary</w:t>
      </w:r>
      <w:r>
        <w:rPr>
          <w:rFonts w:ascii="Arial" w:hAnsi="Arial" w:cs="Arial"/>
        </w:rPr>
        <w:t>.</w:t>
      </w:r>
    </w:p>
    <w:p w:rsidR="00E323B5" w:rsidRPr="008F6804" w:rsidRDefault="00E323B5" w:rsidP="00F51B63">
      <w:pPr>
        <w:rPr>
          <w:rFonts w:ascii="Arial" w:hAnsi="Arial" w:cs="Arial"/>
        </w:rPr>
      </w:pPr>
    </w:p>
    <w:p w:rsidR="005E309F" w:rsidRPr="00824B0A" w:rsidRDefault="005E309F" w:rsidP="0009706E">
      <w:pPr>
        <w:rPr>
          <w:rFonts w:ascii="Arial" w:hAnsi="Arial" w:cs="Arial"/>
          <w:b/>
        </w:rPr>
      </w:pPr>
    </w:p>
    <w:p w:rsidR="00430E95" w:rsidRDefault="00430E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E309F" w:rsidRPr="00824B0A" w:rsidRDefault="005E309F" w:rsidP="0009706E">
      <w:pPr>
        <w:rPr>
          <w:rFonts w:ascii="Arial" w:hAnsi="Arial" w:cs="Arial"/>
          <w:b/>
        </w:rPr>
      </w:pPr>
    </w:p>
    <w:p w:rsidR="005E309F" w:rsidRPr="00C63D15" w:rsidRDefault="005E309F" w:rsidP="00EC7A95">
      <w:pPr>
        <w:rPr>
          <w:rFonts w:ascii="Arial" w:hAnsi="Arial" w:cs="Arial"/>
          <w:b/>
        </w:rPr>
      </w:pPr>
      <w:r w:rsidRPr="00C63D15">
        <w:rPr>
          <w:rFonts w:ascii="Arial" w:hAnsi="Arial" w:cs="Arial"/>
          <w:b/>
        </w:rPr>
        <w:t xml:space="preserve">Attachment 2 </w:t>
      </w:r>
    </w:p>
    <w:p w:rsidR="0058555C" w:rsidRPr="009B77E8" w:rsidRDefault="0058555C" w:rsidP="0058555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360" w:after="120"/>
        <w:jc w:val="center"/>
        <w:rPr>
          <w:rFonts w:ascii="Arial" w:hAnsi="Arial" w:cs="Arial"/>
          <w:b/>
          <w:sz w:val="28"/>
          <w:szCs w:val="28"/>
        </w:rPr>
      </w:pPr>
    </w:p>
    <w:p w:rsidR="0058555C" w:rsidRPr="009B77E8" w:rsidRDefault="0058555C" w:rsidP="0058555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360" w:after="120"/>
        <w:jc w:val="center"/>
        <w:rPr>
          <w:rFonts w:ascii="Arial" w:hAnsi="Arial" w:cs="Arial"/>
          <w:b/>
          <w:sz w:val="28"/>
          <w:szCs w:val="28"/>
        </w:rPr>
      </w:pPr>
      <w:r w:rsidRPr="009B77E8">
        <w:rPr>
          <w:rFonts w:ascii="Arial" w:hAnsi="Arial" w:cs="Arial"/>
          <w:b/>
          <w:sz w:val="28"/>
          <w:szCs w:val="28"/>
        </w:rPr>
        <w:t>Statement of Compatibility with Human Rights</w:t>
      </w:r>
    </w:p>
    <w:p w:rsidR="0058555C" w:rsidRPr="009B77E8" w:rsidRDefault="0058555C" w:rsidP="0058555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120" w:after="120"/>
        <w:jc w:val="center"/>
        <w:rPr>
          <w:rFonts w:ascii="Arial" w:hAnsi="Arial" w:cs="Arial"/>
        </w:rPr>
      </w:pPr>
      <w:r w:rsidRPr="009B77E8">
        <w:rPr>
          <w:rFonts w:ascii="Arial" w:hAnsi="Arial" w:cs="Arial"/>
          <w:i/>
        </w:rPr>
        <w:t>Prepared in accordance with Part 3 of the Human Rights (Parliamentary Scrutiny) Act 2011</w:t>
      </w:r>
    </w:p>
    <w:p w:rsidR="0058555C" w:rsidRPr="009356A5" w:rsidRDefault="0058555C" w:rsidP="0058555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i/>
          <w:iCs/>
        </w:rPr>
      </w:pPr>
      <w:r w:rsidRPr="009B77E8">
        <w:rPr>
          <w:rFonts w:ascii="Arial" w:hAnsi="Arial" w:cs="Arial"/>
          <w:b/>
          <w:bCs/>
          <w:i/>
          <w:iCs/>
        </w:rPr>
        <w:br/>
      </w:r>
      <w:r w:rsidR="009356A5" w:rsidRPr="009356A5">
        <w:rPr>
          <w:rFonts w:ascii="Arial" w:hAnsi="Arial" w:cs="Arial"/>
          <w:b/>
          <w:i/>
        </w:rPr>
        <w:t>Radiocommunications Licence Conditions (Apparatus Licence) Amendment Determination 2013 (No. 1)</w:t>
      </w:r>
    </w:p>
    <w:p w:rsidR="00EC7A95" w:rsidRDefault="00EC7A95" w:rsidP="0058555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i/>
          <w:iCs/>
        </w:rPr>
      </w:pPr>
    </w:p>
    <w:p w:rsidR="0058555C" w:rsidRPr="009B77E8" w:rsidRDefault="0058555C" w:rsidP="0058555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i/>
          <w:iCs/>
        </w:rPr>
      </w:pPr>
    </w:p>
    <w:p w:rsidR="0058555C" w:rsidRPr="009B77E8" w:rsidRDefault="0058555C" w:rsidP="0058555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  <w:r w:rsidRPr="009B77E8">
        <w:rPr>
          <w:rFonts w:ascii="Arial" w:hAnsi="Arial" w:cs="Arial"/>
          <w:b/>
          <w:bCs/>
          <w:i/>
          <w:iCs/>
        </w:rPr>
        <w:br/>
      </w:r>
      <w:r w:rsidRPr="009B77E8">
        <w:rPr>
          <w:rFonts w:ascii="Arial" w:hAnsi="Arial" w:cs="Arial"/>
        </w:rPr>
        <w:t xml:space="preserve">This </w:t>
      </w:r>
      <w:r w:rsidR="0082483A">
        <w:rPr>
          <w:rFonts w:ascii="Arial" w:hAnsi="Arial" w:cs="Arial"/>
        </w:rPr>
        <w:t>l</w:t>
      </w:r>
      <w:r w:rsidRPr="009B77E8">
        <w:rPr>
          <w:rFonts w:ascii="Arial" w:hAnsi="Arial" w:cs="Arial"/>
        </w:rPr>
        <w:t xml:space="preserve">egislative </w:t>
      </w:r>
      <w:r w:rsidR="0082483A">
        <w:rPr>
          <w:rFonts w:ascii="Arial" w:hAnsi="Arial" w:cs="Arial"/>
        </w:rPr>
        <w:t>i</w:t>
      </w:r>
      <w:r w:rsidRPr="009B77E8">
        <w:rPr>
          <w:rFonts w:ascii="Arial" w:hAnsi="Arial" w:cs="Arial"/>
        </w:rPr>
        <w:t xml:space="preserve">nstrument is compatible with the human rights and freedoms recognised or declared in the international instruments listed in section 3 of the </w:t>
      </w:r>
      <w:r w:rsidRPr="009B77E8">
        <w:rPr>
          <w:rFonts w:ascii="Arial" w:hAnsi="Arial" w:cs="Arial"/>
          <w:i/>
        </w:rPr>
        <w:t>Human Rights (Parliamentary Scrutiny) Act 2011</w:t>
      </w:r>
      <w:r w:rsidRPr="009B77E8">
        <w:rPr>
          <w:rFonts w:ascii="Arial" w:hAnsi="Arial" w:cs="Arial"/>
        </w:rPr>
        <w:t>.</w:t>
      </w:r>
    </w:p>
    <w:p w:rsidR="0058555C" w:rsidRPr="009B77E8" w:rsidRDefault="0058555C" w:rsidP="0058555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120" w:after="120"/>
        <w:jc w:val="both"/>
        <w:rPr>
          <w:rFonts w:ascii="Arial" w:hAnsi="Arial" w:cs="Arial"/>
          <w:b/>
        </w:rPr>
      </w:pPr>
      <w:r w:rsidRPr="009B77E8">
        <w:rPr>
          <w:rFonts w:ascii="Arial" w:hAnsi="Arial" w:cs="Arial"/>
          <w:b/>
        </w:rPr>
        <w:br/>
        <w:t>Overview of the Legislative Instrument</w:t>
      </w:r>
    </w:p>
    <w:p w:rsidR="000F5A51" w:rsidRPr="000F5A51" w:rsidRDefault="0058555C" w:rsidP="0058555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outlineLvl w:val="0"/>
        <w:rPr>
          <w:rStyle w:val="Emphasis"/>
          <w:rFonts w:ascii="Arial" w:hAnsi="Arial" w:cs="Arial"/>
          <w:i w:val="0"/>
          <w:color w:val="000000" w:themeColor="text1"/>
          <w:shd w:val="clear" w:color="auto" w:fill="FFFFFF"/>
        </w:rPr>
      </w:pPr>
      <w:r w:rsidRPr="000F5A51">
        <w:rPr>
          <w:rFonts w:ascii="Arial" w:eastAsia="Times New Roman" w:hAnsi="Arial" w:cs="Arial"/>
          <w:color w:val="000000" w:themeColor="text1"/>
          <w:lang w:eastAsia="en-AU"/>
        </w:rPr>
        <w:t xml:space="preserve">The </w:t>
      </w:r>
      <w:r w:rsidR="0082483A" w:rsidRPr="000F5A51">
        <w:rPr>
          <w:rFonts w:ascii="Arial" w:eastAsia="Times New Roman" w:hAnsi="Arial" w:cs="Arial"/>
          <w:color w:val="000000" w:themeColor="text1"/>
          <w:lang w:eastAsia="en-AU"/>
        </w:rPr>
        <w:t xml:space="preserve">legislative instrument amends the </w:t>
      </w:r>
      <w:r w:rsidR="000F5A51" w:rsidRPr="000F5A51">
        <w:rPr>
          <w:rFonts w:ascii="Arial" w:eastAsia="Times New Roman" w:hAnsi="Arial" w:cs="Arial"/>
          <w:i/>
          <w:color w:val="000000" w:themeColor="text1"/>
          <w:lang w:eastAsia="en-AU"/>
        </w:rPr>
        <w:t>Radiocommunications</w:t>
      </w:r>
      <w:r w:rsidR="009356A5">
        <w:rPr>
          <w:rFonts w:ascii="Arial" w:eastAsia="Times New Roman" w:hAnsi="Arial" w:cs="Arial"/>
          <w:i/>
          <w:color w:val="000000" w:themeColor="text1"/>
          <w:lang w:eastAsia="en-AU"/>
        </w:rPr>
        <w:t xml:space="preserve"> Licence Conditions (Apparatus Licence) Determination 2003</w:t>
      </w:r>
      <w:r w:rsidR="000F5A51" w:rsidRPr="000F5A51">
        <w:rPr>
          <w:rFonts w:ascii="Arial" w:eastAsia="Times New Roman" w:hAnsi="Arial" w:cs="Arial"/>
          <w:i/>
          <w:color w:val="000000" w:themeColor="text1"/>
          <w:lang w:eastAsia="en-AU"/>
        </w:rPr>
        <w:t xml:space="preserve"> </w:t>
      </w:r>
      <w:r w:rsidR="000F5A51" w:rsidRPr="000F5A51">
        <w:rPr>
          <w:rFonts w:ascii="Arial" w:eastAsia="Times New Roman" w:hAnsi="Arial" w:cs="Arial"/>
          <w:b/>
          <w:color w:val="000000" w:themeColor="text1"/>
          <w:lang w:eastAsia="en-AU"/>
        </w:rPr>
        <w:t xml:space="preserve">(the </w:t>
      </w:r>
      <w:r w:rsidR="001D3616">
        <w:rPr>
          <w:rFonts w:ascii="Arial" w:hAnsi="Arial" w:cs="Arial"/>
          <w:b/>
        </w:rPr>
        <w:t>Apparatus Licence LCD</w:t>
      </w:r>
      <w:r w:rsidR="000F5A51" w:rsidRPr="000F5A51">
        <w:rPr>
          <w:rFonts w:ascii="Arial" w:eastAsia="Times New Roman" w:hAnsi="Arial" w:cs="Arial"/>
          <w:b/>
          <w:color w:val="000000" w:themeColor="text1"/>
          <w:lang w:eastAsia="en-AU"/>
        </w:rPr>
        <w:t>)</w:t>
      </w:r>
      <w:r w:rsidR="000F5A51" w:rsidRPr="000F5A51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="000F5A51" w:rsidRPr="000F5A51">
        <w:rPr>
          <w:rFonts w:ascii="Arial" w:hAnsi="Arial" w:cs="Arial"/>
          <w:bCs/>
          <w:iCs/>
          <w:color w:val="000000" w:themeColor="text1"/>
        </w:rPr>
        <w:t xml:space="preserve">made under </w:t>
      </w:r>
      <w:r w:rsidR="00477FD8">
        <w:rPr>
          <w:rFonts w:ascii="Arial" w:hAnsi="Arial" w:cs="Arial"/>
          <w:bCs/>
          <w:iCs/>
          <w:color w:val="000000" w:themeColor="text1"/>
        </w:rPr>
        <w:t xml:space="preserve">paragraph </w:t>
      </w:r>
      <w:r w:rsidR="009356A5">
        <w:rPr>
          <w:rFonts w:ascii="Arial" w:hAnsi="Arial" w:cs="Arial"/>
          <w:bCs/>
          <w:iCs/>
          <w:color w:val="000000" w:themeColor="text1"/>
        </w:rPr>
        <w:t xml:space="preserve">107 (1) (f) of the </w:t>
      </w:r>
      <w:r w:rsidR="000F5A51" w:rsidRPr="000F5A51">
        <w:rPr>
          <w:rFonts w:ascii="Arial" w:hAnsi="Arial" w:cs="Arial"/>
          <w:bCs/>
          <w:i/>
          <w:iCs/>
          <w:color w:val="000000" w:themeColor="text1"/>
        </w:rPr>
        <w:t>Radiocommunications Act 1992.</w:t>
      </w:r>
      <w:r w:rsidR="000F5A51" w:rsidRPr="000F5A51">
        <w:rPr>
          <w:rFonts w:ascii="Arial" w:hAnsi="Arial" w:cs="Arial"/>
          <w:bCs/>
          <w:iCs/>
          <w:color w:val="000000" w:themeColor="text1"/>
        </w:rPr>
        <w:t xml:space="preserve"> </w:t>
      </w:r>
      <w:r w:rsidR="0064437A" w:rsidRPr="000F5A51">
        <w:rPr>
          <w:rFonts w:ascii="Arial" w:hAnsi="Arial" w:cs="Arial"/>
          <w:bCs/>
          <w:iCs/>
          <w:color w:val="000000" w:themeColor="text1"/>
        </w:rPr>
        <w:t>The A</w:t>
      </w:r>
      <w:r w:rsidR="00275BF3">
        <w:rPr>
          <w:rFonts w:ascii="Arial" w:hAnsi="Arial" w:cs="Arial"/>
          <w:bCs/>
          <w:iCs/>
          <w:color w:val="000000" w:themeColor="text1"/>
        </w:rPr>
        <w:t>pparatus Licence LCD</w:t>
      </w:r>
      <w:r w:rsidR="0064437A" w:rsidRPr="000F5A51">
        <w:rPr>
          <w:rFonts w:ascii="Arial" w:hAnsi="Arial" w:cs="Arial"/>
          <w:bCs/>
          <w:iCs/>
          <w:color w:val="000000" w:themeColor="text1"/>
        </w:rPr>
        <w:t xml:space="preserve"> </w:t>
      </w:r>
      <w:r w:rsidR="00477FD8">
        <w:rPr>
          <w:rFonts w:ascii="Arial" w:hAnsi="Arial" w:cs="Arial"/>
          <w:bCs/>
          <w:iCs/>
          <w:color w:val="000000" w:themeColor="text1"/>
        </w:rPr>
        <w:t xml:space="preserve">currently </w:t>
      </w:r>
      <w:r w:rsidR="000F5A51" w:rsidRPr="000F5A51">
        <w:rPr>
          <w:rFonts w:ascii="Arial" w:hAnsi="Arial" w:cs="Arial"/>
          <w:bCs/>
          <w:iCs/>
          <w:color w:val="000000" w:themeColor="text1"/>
        </w:rPr>
        <w:t xml:space="preserve">refers to </w:t>
      </w:r>
      <w:r w:rsidR="000F5A51" w:rsidRPr="000F5A51">
        <w:rPr>
          <w:rFonts w:ascii="Arial" w:hAnsi="Arial" w:cs="Arial"/>
          <w:color w:val="000000" w:themeColor="text1"/>
          <w:shd w:val="clear" w:color="auto" w:fill="FFFFFF"/>
        </w:rPr>
        <w:t>the industry standard</w:t>
      </w:r>
      <w:r w:rsidR="000F5A51" w:rsidRPr="000F5A5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="009356A5" w:rsidRPr="009356A5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>AS</w:t>
      </w:r>
      <w:r w:rsidR="009356A5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356A5" w:rsidRPr="006D4448">
        <w:rPr>
          <w:rFonts w:ascii="Arial" w:hAnsi="Arial" w:cs="Arial"/>
          <w:i/>
          <w:color w:val="000000"/>
        </w:rPr>
        <w:t xml:space="preserve">2772.2:1988 – Radiofrequency radiation – Part 2: Principles and methods of measurement – 300 </w:t>
      </w:r>
      <w:r w:rsidR="009356A5" w:rsidRPr="00275BF3">
        <w:rPr>
          <w:rFonts w:ascii="Arial" w:hAnsi="Arial" w:cs="Arial"/>
          <w:i/>
          <w:color w:val="000000"/>
        </w:rPr>
        <w:t>kHz to 100 GHz</w:t>
      </w:r>
      <w:r w:rsidR="000F5A51" w:rsidRPr="00275BF3">
        <w:rPr>
          <w:rStyle w:val="Emphasis"/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0F5A51" w:rsidRPr="00275BF3">
        <w:rPr>
          <w:rStyle w:val="Emphasis"/>
          <w:rFonts w:ascii="Arial" w:hAnsi="Arial" w:cs="Arial"/>
          <w:i w:val="0"/>
          <w:color w:val="000000" w:themeColor="text1"/>
          <w:shd w:val="clear" w:color="auto" w:fill="FFFFFF"/>
        </w:rPr>
        <w:t xml:space="preserve">The AS Standard was </w:t>
      </w:r>
      <w:r w:rsidR="00477FD8" w:rsidRPr="00275BF3">
        <w:rPr>
          <w:rStyle w:val="Emphasis"/>
          <w:rFonts w:ascii="Arial" w:hAnsi="Arial" w:cs="Arial"/>
          <w:i w:val="0"/>
          <w:color w:val="000000" w:themeColor="text1"/>
          <w:shd w:val="clear" w:color="auto" w:fill="FFFFFF"/>
        </w:rPr>
        <w:t xml:space="preserve">replaced </w:t>
      </w:r>
      <w:r w:rsidR="000F5A51" w:rsidRPr="00275BF3">
        <w:rPr>
          <w:rStyle w:val="Emphasis"/>
          <w:rFonts w:ascii="Arial" w:hAnsi="Arial" w:cs="Arial"/>
          <w:i w:val="0"/>
          <w:color w:val="000000" w:themeColor="text1"/>
          <w:shd w:val="clear" w:color="auto" w:fill="FFFFFF"/>
        </w:rPr>
        <w:t xml:space="preserve">by </w:t>
      </w:r>
      <w:r w:rsidR="00477FD8" w:rsidRPr="00275BF3">
        <w:rPr>
          <w:rStyle w:val="Emphasis"/>
          <w:rFonts w:ascii="Arial" w:hAnsi="Arial" w:cs="Arial"/>
          <w:i w:val="0"/>
          <w:color w:val="000000" w:themeColor="text1"/>
          <w:shd w:val="clear" w:color="auto" w:fill="FFFFFF"/>
        </w:rPr>
        <w:t xml:space="preserve">the </w:t>
      </w:r>
      <w:r w:rsidR="00275BF3" w:rsidRPr="00275BF3">
        <w:rPr>
          <w:rStyle w:val="Emphasis"/>
          <w:rFonts w:ascii="Arial" w:hAnsi="Arial" w:cs="Arial"/>
          <w:i w:val="0"/>
          <w:color w:val="000000" w:themeColor="text1"/>
          <w:shd w:val="clear" w:color="auto" w:fill="FFFFFF"/>
        </w:rPr>
        <w:t xml:space="preserve">Australian/New Zealand Standard </w:t>
      </w:r>
      <w:r w:rsidR="00275BF3" w:rsidRPr="00275BF3">
        <w:rPr>
          <w:rFonts w:ascii="Arial" w:hAnsi="Arial" w:cs="Arial"/>
          <w:i/>
        </w:rPr>
        <w:t>AS/NZS 2772.2</w:t>
      </w:r>
      <w:r w:rsidR="00275BF3" w:rsidRPr="00275BF3">
        <w:rPr>
          <w:rFonts w:ascii="Arial" w:hAnsi="Arial" w:cs="Arial"/>
        </w:rPr>
        <w:t xml:space="preserve"> - </w:t>
      </w:r>
      <w:r w:rsidR="00275BF3" w:rsidRPr="00275BF3">
        <w:rPr>
          <w:rFonts w:ascii="Arial" w:hAnsi="Arial" w:cs="Arial"/>
          <w:i/>
        </w:rPr>
        <w:t xml:space="preserve">Radiofrequency fields Part 2: Principles and methods of measurement and computation — 3 kHz to 300 GHz </w:t>
      </w:r>
      <w:r w:rsidR="00275BF3" w:rsidRPr="00275BF3">
        <w:rPr>
          <w:rFonts w:ascii="Arial" w:hAnsi="Arial" w:cs="Arial"/>
        </w:rPr>
        <w:t>published by Standards Australia and Standards New Zealand.</w:t>
      </w:r>
      <w:r w:rsidR="000F5A51" w:rsidRPr="00275BF3">
        <w:rPr>
          <w:rStyle w:val="Emphasis"/>
          <w:rFonts w:ascii="Arial" w:hAnsi="Arial" w:cs="Arial"/>
          <w:i w:val="0"/>
          <w:color w:val="000000" w:themeColor="text1"/>
          <w:shd w:val="clear" w:color="auto" w:fill="FFFFFF"/>
        </w:rPr>
        <w:t xml:space="preserve"> The legislative instrument will amend the </w:t>
      </w:r>
      <w:r w:rsidR="001D3616" w:rsidRPr="00275BF3">
        <w:rPr>
          <w:rStyle w:val="Emphasis"/>
          <w:rFonts w:ascii="Arial" w:hAnsi="Arial" w:cs="Arial"/>
          <w:i w:val="0"/>
          <w:color w:val="000000" w:themeColor="text1"/>
          <w:shd w:val="clear" w:color="auto" w:fill="FFFFFF"/>
        </w:rPr>
        <w:t>Apparatus Licence LCD</w:t>
      </w:r>
      <w:r w:rsidR="000F5A51" w:rsidRPr="00275BF3">
        <w:rPr>
          <w:rStyle w:val="Emphasis"/>
          <w:rFonts w:ascii="Arial" w:hAnsi="Arial" w:cs="Arial"/>
          <w:i w:val="0"/>
          <w:color w:val="000000" w:themeColor="text1"/>
          <w:shd w:val="clear" w:color="auto" w:fill="FFFFFF"/>
        </w:rPr>
        <w:t xml:space="preserve"> </w:t>
      </w:r>
      <w:r w:rsidR="00477FD8" w:rsidRPr="00275BF3">
        <w:rPr>
          <w:rStyle w:val="Emphasis"/>
          <w:rFonts w:ascii="Arial" w:hAnsi="Arial" w:cs="Arial"/>
          <w:i w:val="0"/>
          <w:color w:val="000000" w:themeColor="text1"/>
          <w:shd w:val="clear" w:color="auto" w:fill="FFFFFF"/>
        </w:rPr>
        <w:t>to reflect the new industry standard</w:t>
      </w:r>
      <w:r w:rsidR="000F5A51" w:rsidRPr="00275BF3">
        <w:rPr>
          <w:rStyle w:val="Emphasis"/>
          <w:rFonts w:ascii="Arial" w:hAnsi="Arial" w:cs="Arial"/>
          <w:i w:val="0"/>
          <w:color w:val="000000" w:themeColor="text1"/>
          <w:shd w:val="clear" w:color="auto" w:fill="FFFFFF"/>
        </w:rPr>
        <w:t>.</w:t>
      </w:r>
      <w:r w:rsidR="000F5A51" w:rsidRPr="000F5A51">
        <w:rPr>
          <w:rStyle w:val="Emphasis"/>
          <w:rFonts w:ascii="Arial" w:hAnsi="Arial" w:cs="Arial"/>
          <w:i w:val="0"/>
          <w:color w:val="000000" w:themeColor="text1"/>
          <w:shd w:val="clear" w:color="auto" w:fill="FFFFFF"/>
        </w:rPr>
        <w:t xml:space="preserve"> </w:t>
      </w:r>
    </w:p>
    <w:p w:rsidR="0058555C" w:rsidRDefault="0058555C" w:rsidP="0058555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en-AU"/>
        </w:rPr>
      </w:pPr>
    </w:p>
    <w:p w:rsidR="0058555C" w:rsidRPr="009B77E8" w:rsidRDefault="0058555C" w:rsidP="0058555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120" w:after="120"/>
        <w:rPr>
          <w:rFonts w:ascii="Arial" w:hAnsi="Arial" w:cs="Arial"/>
          <w:b/>
        </w:rPr>
      </w:pPr>
      <w:r w:rsidRPr="009B77E8">
        <w:rPr>
          <w:rFonts w:ascii="Arial" w:hAnsi="Arial" w:cs="Arial"/>
          <w:b/>
        </w:rPr>
        <w:t>Human rights implications</w:t>
      </w:r>
    </w:p>
    <w:p w:rsidR="0058555C" w:rsidRPr="009B77E8" w:rsidRDefault="0058555C" w:rsidP="0058555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120" w:after="120"/>
        <w:jc w:val="both"/>
        <w:rPr>
          <w:rFonts w:ascii="Arial" w:hAnsi="Arial" w:cs="Arial"/>
        </w:rPr>
      </w:pPr>
      <w:r w:rsidRPr="009B77E8">
        <w:rPr>
          <w:rFonts w:ascii="Arial" w:hAnsi="Arial" w:cs="Arial"/>
        </w:rPr>
        <w:t xml:space="preserve">This </w:t>
      </w:r>
      <w:r w:rsidR="00A66772">
        <w:rPr>
          <w:rFonts w:ascii="Arial" w:hAnsi="Arial" w:cs="Arial"/>
        </w:rPr>
        <w:t>l</w:t>
      </w:r>
      <w:r w:rsidRPr="009B77E8">
        <w:rPr>
          <w:rFonts w:ascii="Arial" w:hAnsi="Arial" w:cs="Arial"/>
        </w:rPr>
        <w:t xml:space="preserve">egislative </w:t>
      </w:r>
      <w:r w:rsidR="00A66772">
        <w:rPr>
          <w:rFonts w:ascii="Arial" w:hAnsi="Arial" w:cs="Arial"/>
        </w:rPr>
        <w:t>i</w:t>
      </w:r>
      <w:r w:rsidRPr="009B77E8">
        <w:rPr>
          <w:rFonts w:ascii="Arial" w:hAnsi="Arial" w:cs="Arial"/>
        </w:rPr>
        <w:t>nstrument does not engage any of the applicable rights or freedoms.</w:t>
      </w:r>
    </w:p>
    <w:p w:rsidR="0058555C" w:rsidRPr="009B77E8" w:rsidRDefault="0058555C" w:rsidP="0058555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120" w:after="120"/>
        <w:rPr>
          <w:rFonts w:ascii="Arial" w:hAnsi="Arial" w:cs="Arial"/>
          <w:b/>
        </w:rPr>
      </w:pPr>
      <w:r w:rsidRPr="009B77E8">
        <w:rPr>
          <w:rFonts w:ascii="Arial" w:hAnsi="Arial" w:cs="Arial"/>
          <w:b/>
        </w:rPr>
        <w:t>Conclusion</w:t>
      </w:r>
    </w:p>
    <w:p w:rsidR="0058555C" w:rsidRPr="009B77E8" w:rsidRDefault="0058555C" w:rsidP="0058555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120" w:after="120"/>
        <w:rPr>
          <w:rFonts w:ascii="Arial" w:hAnsi="Arial" w:cs="Arial"/>
        </w:rPr>
      </w:pPr>
      <w:r w:rsidRPr="009B77E8">
        <w:rPr>
          <w:rFonts w:ascii="Arial" w:hAnsi="Arial" w:cs="Arial"/>
        </w:rPr>
        <w:t xml:space="preserve">This </w:t>
      </w:r>
      <w:r w:rsidR="00A66772">
        <w:rPr>
          <w:rFonts w:ascii="Arial" w:hAnsi="Arial" w:cs="Arial"/>
        </w:rPr>
        <w:t>l</w:t>
      </w:r>
      <w:r w:rsidRPr="009B77E8">
        <w:rPr>
          <w:rFonts w:ascii="Arial" w:hAnsi="Arial" w:cs="Arial"/>
        </w:rPr>
        <w:t xml:space="preserve">egislative </w:t>
      </w:r>
      <w:r w:rsidR="00A66772">
        <w:rPr>
          <w:rFonts w:ascii="Arial" w:hAnsi="Arial" w:cs="Arial"/>
        </w:rPr>
        <w:t>i</w:t>
      </w:r>
      <w:r w:rsidRPr="009B77E8">
        <w:rPr>
          <w:rFonts w:ascii="Arial" w:hAnsi="Arial" w:cs="Arial"/>
        </w:rPr>
        <w:t xml:space="preserve">nstrument is compatible with human rights as it </w:t>
      </w:r>
      <w:r>
        <w:rPr>
          <w:rFonts w:ascii="Arial" w:hAnsi="Arial" w:cs="Arial"/>
        </w:rPr>
        <w:t xml:space="preserve">does not raise any human rights </w:t>
      </w:r>
      <w:r w:rsidRPr="009B77E8">
        <w:rPr>
          <w:rFonts w:ascii="Arial" w:hAnsi="Arial" w:cs="Arial"/>
        </w:rPr>
        <w:t>issues.</w:t>
      </w:r>
      <w:r w:rsidRPr="009B77E8">
        <w:rPr>
          <w:rFonts w:ascii="Arial" w:hAnsi="Arial" w:cs="Arial"/>
        </w:rPr>
        <w:br/>
      </w:r>
    </w:p>
    <w:p w:rsidR="005E309F" w:rsidRDefault="005E309F" w:rsidP="0009706E">
      <w:pPr>
        <w:rPr>
          <w:rFonts w:cstheme="minorHAnsi"/>
          <w:b/>
        </w:rPr>
      </w:pPr>
    </w:p>
    <w:sectPr w:rsidR="005E309F" w:rsidSect="00987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986"/>
    <w:multiLevelType w:val="hybridMultilevel"/>
    <w:tmpl w:val="A788986C"/>
    <w:lvl w:ilvl="0" w:tplc="0C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3D63384"/>
    <w:multiLevelType w:val="hybridMultilevel"/>
    <w:tmpl w:val="236A1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6B4C7D"/>
    <w:multiLevelType w:val="hybridMultilevel"/>
    <w:tmpl w:val="3FAC3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B526B"/>
    <w:multiLevelType w:val="hybridMultilevel"/>
    <w:tmpl w:val="BE64A8E8"/>
    <w:lvl w:ilvl="0" w:tplc="544A00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</w:rPr>
    </w:lvl>
    <w:lvl w:ilvl="1" w:tplc="8B54880C">
      <w:start w:val="6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9706E"/>
    <w:rsid w:val="00004963"/>
    <w:rsid w:val="0004413F"/>
    <w:rsid w:val="000441E2"/>
    <w:rsid w:val="000450A8"/>
    <w:rsid w:val="00062245"/>
    <w:rsid w:val="00065ADA"/>
    <w:rsid w:val="00071AC5"/>
    <w:rsid w:val="00076013"/>
    <w:rsid w:val="0009706E"/>
    <w:rsid w:val="0009789B"/>
    <w:rsid w:val="000A0CEF"/>
    <w:rsid w:val="000B3999"/>
    <w:rsid w:val="000C74C2"/>
    <w:rsid w:val="000E469C"/>
    <w:rsid w:val="000F5A51"/>
    <w:rsid w:val="00110011"/>
    <w:rsid w:val="00137A7C"/>
    <w:rsid w:val="00140419"/>
    <w:rsid w:val="00162798"/>
    <w:rsid w:val="00164E6A"/>
    <w:rsid w:val="00165A99"/>
    <w:rsid w:val="001852B0"/>
    <w:rsid w:val="0019060E"/>
    <w:rsid w:val="001B1CC1"/>
    <w:rsid w:val="001C6EEE"/>
    <w:rsid w:val="001D3616"/>
    <w:rsid w:val="001F5F4F"/>
    <w:rsid w:val="0020167D"/>
    <w:rsid w:val="00202FFB"/>
    <w:rsid w:val="002114FB"/>
    <w:rsid w:val="00213F4D"/>
    <w:rsid w:val="00225780"/>
    <w:rsid w:val="00226856"/>
    <w:rsid w:val="00231D3B"/>
    <w:rsid w:val="0024327F"/>
    <w:rsid w:val="002434AE"/>
    <w:rsid w:val="00252D21"/>
    <w:rsid w:val="002542B2"/>
    <w:rsid w:val="00255FCD"/>
    <w:rsid w:val="002577EC"/>
    <w:rsid w:val="00262ABC"/>
    <w:rsid w:val="00275BF3"/>
    <w:rsid w:val="002A0C05"/>
    <w:rsid w:val="002D16D6"/>
    <w:rsid w:val="00300F72"/>
    <w:rsid w:val="003106AB"/>
    <w:rsid w:val="0032317B"/>
    <w:rsid w:val="00333DC6"/>
    <w:rsid w:val="00337057"/>
    <w:rsid w:val="00342B20"/>
    <w:rsid w:val="0035248B"/>
    <w:rsid w:val="003543BF"/>
    <w:rsid w:val="003545E0"/>
    <w:rsid w:val="00360F0D"/>
    <w:rsid w:val="00384188"/>
    <w:rsid w:val="003A115B"/>
    <w:rsid w:val="003A5EFB"/>
    <w:rsid w:val="003B2D80"/>
    <w:rsid w:val="003B6FF0"/>
    <w:rsid w:val="003B778A"/>
    <w:rsid w:val="003C0897"/>
    <w:rsid w:val="003C7B72"/>
    <w:rsid w:val="003D49B9"/>
    <w:rsid w:val="003D4C40"/>
    <w:rsid w:val="003D5A88"/>
    <w:rsid w:val="003F1D73"/>
    <w:rsid w:val="003F70B4"/>
    <w:rsid w:val="00400E99"/>
    <w:rsid w:val="00401060"/>
    <w:rsid w:val="00423EC8"/>
    <w:rsid w:val="00430E95"/>
    <w:rsid w:val="00437DAE"/>
    <w:rsid w:val="00442401"/>
    <w:rsid w:val="004559B6"/>
    <w:rsid w:val="00457063"/>
    <w:rsid w:val="00462A2E"/>
    <w:rsid w:val="00465B53"/>
    <w:rsid w:val="004718BF"/>
    <w:rsid w:val="00477FD8"/>
    <w:rsid w:val="00483B9E"/>
    <w:rsid w:val="00494D97"/>
    <w:rsid w:val="004D57D1"/>
    <w:rsid w:val="004E04EC"/>
    <w:rsid w:val="004F246C"/>
    <w:rsid w:val="00506375"/>
    <w:rsid w:val="00510EB5"/>
    <w:rsid w:val="00513EA4"/>
    <w:rsid w:val="005432CE"/>
    <w:rsid w:val="0055167D"/>
    <w:rsid w:val="00554105"/>
    <w:rsid w:val="0056662E"/>
    <w:rsid w:val="00567093"/>
    <w:rsid w:val="0058028F"/>
    <w:rsid w:val="00581848"/>
    <w:rsid w:val="0058555C"/>
    <w:rsid w:val="00591DEA"/>
    <w:rsid w:val="00596E5F"/>
    <w:rsid w:val="005A45C7"/>
    <w:rsid w:val="005B022D"/>
    <w:rsid w:val="005D2CF1"/>
    <w:rsid w:val="005E309F"/>
    <w:rsid w:val="005E7663"/>
    <w:rsid w:val="005E796B"/>
    <w:rsid w:val="0060010D"/>
    <w:rsid w:val="00601C24"/>
    <w:rsid w:val="00607DB3"/>
    <w:rsid w:val="00614292"/>
    <w:rsid w:val="00624B13"/>
    <w:rsid w:val="00625C56"/>
    <w:rsid w:val="00642AA5"/>
    <w:rsid w:val="0064437A"/>
    <w:rsid w:val="00650511"/>
    <w:rsid w:val="0065197C"/>
    <w:rsid w:val="0067446E"/>
    <w:rsid w:val="00676388"/>
    <w:rsid w:val="00676925"/>
    <w:rsid w:val="006806DE"/>
    <w:rsid w:val="00682E10"/>
    <w:rsid w:val="006A14ED"/>
    <w:rsid w:val="006A1735"/>
    <w:rsid w:val="006D758A"/>
    <w:rsid w:val="006F44C9"/>
    <w:rsid w:val="007179B6"/>
    <w:rsid w:val="00734560"/>
    <w:rsid w:val="00760E09"/>
    <w:rsid w:val="007806E4"/>
    <w:rsid w:val="00780996"/>
    <w:rsid w:val="007A5975"/>
    <w:rsid w:val="007B380A"/>
    <w:rsid w:val="007E58FC"/>
    <w:rsid w:val="007F4A1D"/>
    <w:rsid w:val="00800645"/>
    <w:rsid w:val="00802B92"/>
    <w:rsid w:val="0082483A"/>
    <w:rsid w:val="00824B0A"/>
    <w:rsid w:val="00825D32"/>
    <w:rsid w:val="00832178"/>
    <w:rsid w:val="00837832"/>
    <w:rsid w:val="00837D49"/>
    <w:rsid w:val="008513D9"/>
    <w:rsid w:val="008619CE"/>
    <w:rsid w:val="00867260"/>
    <w:rsid w:val="008743AF"/>
    <w:rsid w:val="008917E4"/>
    <w:rsid w:val="008953EF"/>
    <w:rsid w:val="008B29C2"/>
    <w:rsid w:val="008D4E85"/>
    <w:rsid w:val="008F6804"/>
    <w:rsid w:val="0090038C"/>
    <w:rsid w:val="009071BD"/>
    <w:rsid w:val="00913ABD"/>
    <w:rsid w:val="009356A5"/>
    <w:rsid w:val="009378AE"/>
    <w:rsid w:val="009513A1"/>
    <w:rsid w:val="009663EE"/>
    <w:rsid w:val="009675C6"/>
    <w:rsid w:val="00974B5B"/>
    <w:rsid w:val="0098091E"/>
    <w:rsid w:val="009873B3"/>
    <w:rsid w:val="009B625B"/>
    <w:rsid w:val="009B6C50"/>
    <w:rsid w:val="00A01215"/>
    <w:rsid w:val="00A077BF"/>
    <w:rsid w:val="00A12F25"/>
    <w:rsid w:val="00A57896"/>
    <w:rsid w:val="00A62640"/>
    <w:rsid w:val="00A665BC"/>
    <w:rsid w:val="00A66772"/>
    <w:rsid w:val="00AC20D1"/>
    <w:rsid w:val="00AC5934"/>
    <w:rsid w:val="00AC696C"/>
    <w:rsid w:val="00AC69EB"/>
    <w:rsid w:val="00AD2080"/>
    <w:rsid w:val="00AE4758"/>
    <w:rsid w:val="00AF2FBC"/>
    <w:rsid w:val="00B016E5"/>
    <w:rsid w:val="00B23170"/>
    <w:rsid w:val="00B24632"/>
    <w:rsid w:val="00B270FB"/>
    <w:rsid w:val="00B44C1A"/>
    <w:rsid w:val="00B5310D"/>
    <w:rsid w:val="00B7526A"/>
    <w:rsid w:val="00BA1BEA"/>
    <w:rsid w:val="00BB085F"/>
    <w:rsid w:val="00BB4139"/>
    <w:rsid w:val="00BC14CE"/>
    <w:rsid w:val="00BC372C"/>
    <w:rsid w:val="00BC4225"/>
    <w:rsid w:val="00BD6748"/>
    <w:rsid w:val="00BD6830"/>
    <w:rsid w:val="00BD7C91"/>
    <w:rsid w:val="00BE2DAB"/>
    <w:rsid w:val="00C03869"/>
    <w:rsid w:val="00C10677"/>
    <w:rsid w:val="00C52111"/>
    <w:rsid w:val="00C63D15"/>
    <w:rsid w:val="00C6448A"/>
    <w:rsid w:val="00C7197C"/>
    <w:rsid w:val="00C96CE6"/>
    <w:rsid w:val="00C96EFA"/>
    <w:rsid w:val="00C97C2C"/>
    <w:rsid w:val="00CB2BEC"/>
    <w:rsid w:val="00CC2FB5"/>
    <w:rsid w:val="00CE3793"/>
    <w:rsid w:val="00CF3E70"/>
    <w:rsid w:val="00CF5C51"/>
    <w:rsid w:val="00D022E9"/>
    <w:rsid w:val="00D118D2"/>
    <w:rsid w:val="00D1691B"/>
    <w:rsid w:val="00D22C7B"/>
    <w:rsid w:val="00D23173"/>
    <w:rsid w:val="00D27320"/>
    <w:rsid w:val="00D36DAA"/>
    <w:rsid w:val="00D36EE3"/>
    <w:rsid w:val="00D41510"/>
    <w:rsid w:val="00D579B8"/>
    <w:rsid w:val="00D64123"/>
    <w:rsid w:val="00D74243"/>
    <w:rsid w:val="00D75092"/>
    <w:rsid w:val="00D75FA9"/>
    <w:rsid w:val="00D83FC8"/>
    <w:rsid w:val="00D9232F"/>
    <w:rsid w:val="00D95781"/>
    <w:rsid w:val="00DB415E"/>
    <w:rsid w:val="00DD3222"/>
    <w:rsid w:val="00DD6A90"/>
    <w:rsid w:val="00DE6976"/>
    <w:rsid w:val="00DF12CA"/>
    <w:rsid w:val="00E0194D"/>
    <w:rsid w:val="00E02CFF"/>
    <w:rsid w:val="00E076C5"/>
    <w:rsid w:val="00E10C70"/>
    <w:rsid w:val="00E122F1"/>
    <w:rsid w:val="00E323B5"/>
    <w:rsid w:val="00E3388C"/>
    <w:rsid w:val="00E343C7"/>
    <w:rsid w:val="00E51287"/>
    <w:rsid w:val="00E6523F"/>
    <w:rsid w:val="00E742BD"/>
    <w:rsid w:val="00E82D24"/>
    <w:rsid w:val="00E9233E"/>
    <w:rsid w:val="00E9297E"/>
    <w:rsid w:val="00EA6237"/>
    <w:rsid w:val="00EC7A95"/>
    <w:rsid w:val="00EF37BB"/>
    <w:rsid w:val="00EF5835"/>
    <w:rsid w:val="00F03203"/>
    <w:rsid w:val="00F051D9"/>
    <w:rsid w:val="00F47463"/>
    <w:rsid w:val="00F51B63"/>
    <w:rsid w:val="00F72508"/>
    <w:rsid w:val="00FA698A"/>
    <w:rsid w:val="00FB20B3"/>
    <w:rsid w:val="00FB6E05"/>
    <w:rsid w:val="00FC5C31"/>
    <w:rsid w:val="00FC6365"/>
    <w:rsid w:val="00FE6149"/>
    <w:rsid w:val="00FF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1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4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4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4B13"/>
    <w:rPr>
      <w:color w:val="0000FF" w:themeColor="hyperlink"/>
      <w:u w:val="single"/>
    </w:rPr>
  </w:style>
  <w:style w:type="paragraph" w:customStyle="1" w:styleId="ACMABodyText">
    <w:name w:val="ACMA Body Text"/>
    <w:rsid w:val="00824B0A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NumberedList">
    <w:name w:val="ACMA Numbered List"/>
    <w:rsid w:val="00607DB3"/>
    <w:pPr>
      <w:numPr>
        <w:numId w:val="1"/>
      </w:numPr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607DB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6EEE"/>
    <w:rPr>
      <w:i/>
      <w:iCs/>
    </w:rPr>
  </w:style>
  <w:style w:type="paragraph" w:styleId="ListParagraph">
    <w:name w:val="List Paragraph"/>
    <w:basedOn w:val="Normal"/>
    <w:uiPriority w:val="34"/>
    <w:qFormat/>
    <w:rsid w:val="0083217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bidi="he-IL"/>
    </w:rPr>
  </w:style>
  <w:style w:type="character" w:customStyle="1" w:styleId="apple-converted-space">
    <w:name w:val="apple-converted-space"/>
    <w:basedOn w:val="DefaultParagraphFont"/>
    <w:rsid w:val="000F5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://www.standards.org.au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KNAH4PPFC442-1945-390</_dlc_DocId>
    <_dlc_DocIdUrl xmlns="6db8f3c6-01a1-4322-b043-a3b2a190f7a8">
      <Url>http://collaboration/organisation/Auth/Chair/Auth/_layouts/DocIdRedir.aspx?ID=KNAH4PPFC442-1945-390</Url>
      <Description>KNAH4PPFC442-1945-390</Description>
    </_dlc_DocIdUrl>
    <Record_x0020_Number xmlns="83630db1-6fc2-4dfd-b3fe-d61d34e1440c">ER2013/022978</Record_x0020_Number>
    <Legacy_x0020_Record_x0020_Number xmlns="83630db1-6fc2-4dfd-b3fe-d61d34e1440c" xsi:nil="true"/>
    <IconOverlay xmlns="http://schemas.microsoft.com/sharepoint/v4" xsi:nil="true"/>
    <Category xmlns="5e268b55-9e20-462b-aba6-694451a37717">(none)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020C07817F1F68498B2166EE12B17A57" ma:contentTypeVersion="35" ma:contentTypeDescription="A document enhanced so that it is automatically captured by RecordPoint." ma:contentTypeScope="" ma:versionID="e7e4629d89fad1c8ff1348d29791285f">
  <xsd:schema xmlns:xsd="http://www.w3.org/2001/XMLSchema" xmlns:xs="http://www.w3.org/2001/XMLSchema" xmlns:p="http://schemas.microsoft.com/office/2006/metadata/properties" xmlns:ns2="83630db1-6fc2-4dfd-b3fe-d61d34e1440c" xmlns:ns3="6db8f3c6-01a1-4322-b043-a3b2a190f7a8" xmlns:ns4="5e268b55-9e20-462b-aba6-694451a37717" xmlns:ns5="http://schemas.microsoft.com/sharepoint/v4" targetNamespace="http://schemas.microsoft.com/office/2006/metadata/properties" ma:root="true" ma:fieldsID="d30610679a7f49b9b50f4c260411420f" ns2:_="" ns3:_="" ns4:_="" ns5:_="">
    <xsd:import namespace="83630db1-6fc2-4dfd-b3fe-d61d34e1440c"/>
    <xsd:import namespace="6db8f3c6-01a1-4322-b043-a3b2a190f7a8"/>
    <xsd:import namespace="5e268b55-9e20-462b-aba6-694451a377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4:Category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8b55-9e20-462b-aba6-694451a37717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EF92AC-20F1-43BB-81FE-3C9D8507627F}"/>
</file>

<file path=customXml/itemProps2.xml><?xml version="1.0" encoding="utf-8"?>
<ds:datastoreItem xmlns:ds="http://schemas.openxmlformats.org/officeDocument/2006/customXml" ds:itemID="{0EA98C8F-B1F9-4FCA-9B60-1BE7F2C505C0}"/>
</file>

<file path=customXml/itemProps3.xml><?xml version="1.0" encoding="utf-8"?>
<ds:datastoreItem xmlns:ds="http://schemas.openxmlformats.org/officeDocument/2006/customXml" ds:itemID="{C462C353-06F9-4911-97AF-7435261F164D}"/>
</file>

<file path=customXml/itemProps4.xml><?xml version="1.0" encoding="utf-8"?>
<ds:datastoreItem xmlns:ds="http://schemas.openxmlformats.org/officeDocument/2006/customXml" ds:itemID="{C200BBC8-C4E9-481F-BF84-544CE60C82D4}"/>
</file>

<file path=customXml/itemProps5.xml><?xml version="1.0" encoding="utf-8"?>
<ds:datastoreItem xmlns:ds="http://schemas.openxmlformats.org/officeDocument/2006/customXml" ds:itemID="{9F1805B6-4E50-43BD-85D4-437340709243}"/>
</file>

<file path=customXml/itemProps6.xml><?xml version="1.0" encoding="utf-8"?>
<ds:datastoreItem xmlns:ds="http://schemas.openxmlformats.org/officeDocument/2006/customXml" ds:itemID="{E92EEAAC-3285-496C-AFEB-6FCF5973BF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Attachment_C_-_Explanatory_Statement Apparatus Licence LCD</vt:lpstr>
    </vt:vector>
  </TitlesOfParts>
  <Company>Australian Communications and Media Authority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Kristy Tehan</dc:creator>
  <cp:lastModifiedBy>Colin Payne</cp:lastModifiedBy>
  <cp:revision>3</cp:revision>
  <cp:lastPrinted>2012-08-29T23:10:00Z</cp:lastPrinted>
  <dcterms:created xsi:type="dcterms:W3CDTF">2013-05-09T23:43:00Z</dcterms:created>
  <dcterms:modified xsi:type="dcterms:W3CDTF">2013-05-09T23:46:00Z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0x01010070E27D6A746B5B48ADF22C2128054D5500020C07817F1F68498B2166EE12B17A57</vt:lpwstr>
  </property>
  <property fmtid="{D5CDD505-2E9C-101B-9397-08002B2CF9AE}" pid="3" name="_dlc_DocIdItemGuid">
    <vt:lpwstr>d4b7d061-cb2e-4c27-95e3-424ac7a59935</vt:lpwstr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>2013-05-10T13:27:12.1940477+10:00</vt:lpwstr>
  </property>
  <property fmtid="{D5CDD505-2E9C-101B-9397-08002B2CF9AE}" pid="6" name="RecordPoint_SubmissionDate">
    <vt:lpwstr/>
  </property>
  <property fmtid="{D5CDD505-2E9C-101B-9397-08002B2CF9AE}" pid="7" name="RecordPoint_ActiveItemSiteId">
    <vt:lpwstr>{7ba5f3c1-1ab9-4cc3-a7c0-334d2b0aec73}</vt:lpwstr>
  </property>
  <property fmtid="{D5CDD505-2E9C-101B-9397-08002B2CF9AE}" pid="8" name="RecordPoint_ActiveItemListId">
    <vt:lpwstr>{12ea2e24-8e38-48f0-8667-2a35c1c96989}</vt:lpwstr>
  </property>
  <property fmtid="{D5CDD505-2E9C-101B-9397-08002B2CF9AE}" pid="9" name="RecordPoint_ActiveItemMoved">
    <vt:lpwstr/>
  </property>
  <property fmtid="{D5CDD505-2E9C-101B-9397-08002B2CF9AE}" pid="10" name="RecordPoint_ActiveItemUniqueId">
    <vt:lpwstr>{d4b7d061-cb2e-4c27-95e3-424ac7a59935}</vt:lpwstr>
  </property>
  <property fmtid="{D5CDD505-2E9C-101B-9397-08002B2CF9AE}" pid="11" name="RecordPoint_RecordFormat">
    <vt:lpwstr/>
  </property>
  <property fmtid="{D5CDD505-2E9C-101B-9397-08002B2CF9AE}" pid="12" name="RecordPoint_ActiveItemWebId">
    <vt:lpwstr>{e61cc4da-a431-400f-9f48-bf2ba12a7e9a}</vt:lpwstr>
  </property>
</Properties>
</file>