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docProps/app.xml" ContentType="application/vnd.openxmlformats-officedocument.extended-properties+xml"/>
  <Override PartName="/docProps/custom.xml" ContentType="application/vnd.openxmlformats-officedocument.custom-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5.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0BD2CE" w14:textId="77777777" w:rsidR="004C1471" w:rsidRDefault="004C1471" w:rsidP="000E4BAF">
      <w:pPr>
        <w:pStyle w:val="Title"/>
        <w:ind w:left="0" w:firstLine="0"/>
        <w:jc w:val="left"/>
      </w:pPr>
    </w:p>
    <w:p w14:paraId="0CA2F711" w14:textId="77777777" w:rsidR="005700EB" w:rsidRDefault="00D819A3" w:rsidP="00B76F80">
      <w:pPr>
        <w:pStyle w:val="Title"/>
      </w:pPr>
      <w:r>
        <w:t xml:space="preserve">MINISTERIAL </w:t>
      </w:r>
      <w:r w:rsidR="00272066">
        <w:t>TRADE REPORTING DETERMINATION</w:t>
      </w:r>
    </w:p>
    <w:p w14:paraId="62ECEC90" w14:textId="77777777" w:rsidR="00B76F80" w:rsidRDefault="00272066" w:rsidP="00B76F80">
      <w:pPr>
        <w:pStyle w:val="Title"/>
      </w:pPr>
      <w:r>
        <w:t xml:space="preserve">SECTION </w:t>
      </w:r>
      <w:proofErr w:type="gramStart"/>
      <w:r>
        <w:t>901B</w:t>
      </w:r>
      <w:r w:rsidR="00177334">
        <w:t>(</w:t>
      </w:r>
      <w:proofErr w:type="gramEnd"/>
      <w:r w:rsidR="00177334">
        <w:t>2)</w:t>
      </w:r>
      <w:r w:rsidR="005700EB">
        <w:t xml:space="preserve"> CORPORATIONS ACT 2001</w:t>
      </w:r>
    </w:p>
    <w:p w14:paraId="363C42A7" w14:textId="77777777" w:rsidR="00B76F80" w:rsidRDefault="00B76F80" w:rsidP="00B76F80">
      <w:pPr>
        <w:pStyle w:val="Title"/>
      </w:pPr>
    </w:p>
    <w:p w14:paraId="40D5E18D" w14:textId="77777777" w:rsidR="00B76F80" w:rsidRDefault="00B76F80" w:rsidP="00B76F80">
      <w:pPr>
        <w:pStyle w:val="Title"/>
      </w:pPr>
      <w:r>
        <w:t>EXPLANATORY STATEMENT</w:t>
      </w:r>
    </w:p>
    <w:p w14:paraId="683AB2BD" w14:textId="77777777" w:rsidR="00B76F80" w:rsidRDefault="00B76F80" w:rsidP="00B76F80">
      <w:pPr>
        <w:ind w:right="-311"/>
        <w:jc w:val="center"/>
      </w:pPr>
    </w:p>
    <w:p w14:paraId="2EE7F8AB" w14:textId="77777777" w:rsidR="00B76F80" w:rsidRDefault="00B76F80" w:rsidP="00B76F80">
      <w:pPr>
        <w:pStyle w:val="BodyTextcentred"/>
      </w:pPr>
      <w:r>
        <w:t xml:space="preserve">Prepared by the Australian </w:t>
      </w:r>
      <w:r w:rsidR="00272066">
        <w:t>Treasury</w:t>
      </w:r>
    </w:p>
    <w:p w14:paraId="143B8334" w14:textId="77777777" w:rsidR="00B76F80" w:rsidRDefault="00B76F80" w:rsidP="00B76F80">
      <w:pPr>
        <w:pStyle w:val="BodyTextcentreditals"/>
      </w:pPr>
      <w:r>
        <w:t>Corporations Act 2001</w:t>
      </w:r>
    </w:p>
    <w:p w14:paraId="4A251584" w14:textId="77777777" w:rsidR="000B292B" w:rsidRDefault="000B292B" w:rsidP="00B76F80">
      <w:pPr>
        <w:pStyle w:val="BodyTextcentreditals"/>
      </w:pPr>
      <w:r>
        <w:t>Corporations (Derivatives) Determination 2013</w:t>
      </w:r>
    </w:p>
    <w:p w14:paraId="0BB74891" w14:textId="77777777" w:rsidR="00347FE5" w:rsidRPr="00347FE5" w:rsidRDefault="00B76F80" w:rsidP="00347FE5">
      <w:pPr>
        <w:pStyle w:val="BodyText"/>
        <w:numPr>
          <w:ilvl w:val="0"/>
          <w:numId w:val="15"/>
        </w:numPr>
        <w:tabs>
          <w:tab w:val="clear" w:pos="567"/>
          <w:tab w:val="clear" w:pos="680"/>
        </w:tabs>
        <w:rPr>
          <w:lang w:val="en-US"/>
        </w:rPr>
      </w:pPr>
      <w:r w:rsidRPr="00047E36">
        <w:rPr>
          <w:lang w:val="en-US"/>
        </w:rPr>
        <w:t xml:space="preserve">The </w:t>
      </w:r>
      <w:r w:rsidR="00314A05" w:rsidRPr="00047E36">
        <w:rPr>
          <w:lang w:val="en-US"/>
        </w:rPr>
        <w:t xml:space="preserve">Hon </w:t>
      </w:r>
      <w:r w:rsidR="00272066" w:rsidRPr="00047E36">
        <w:rPr>
          <w:lang w:val="en-US"/>
        </w:rPr>
        <w:t>Wayne Swan</w:t>
      </w:r>
      <w:r w:rsidR="00314A05" w:rsidRPr="00047E36">
        <w:rPr>
          <w:lang w:val="en-US"/>
        </w:rPr>
        <w:t xml:space="preserve"> MP, </w:t>
      </w:r>
      <w:r w:rsidR="00272066" w:rsidRPr="00047E36">
        <w:rPr>
          <w:lang w:val="en-US"/>
        </w:rPr>
        <w:t>Deputy Prime Minister and Treasurer</w:t>
      </w:r>
      <w:r w:rsidR="004F271F">
        <w:rPr>
          <w:lang w:val="en-US"/>
        </w:rPr>
        <w:t xml:space="preserve"> (DPMT)</w:t>
      </w:r>
      <w:r w:rsidR="00272066" w:rsidRPr="00047E36">
        <w:rPr>
          <w:lang w:val="en-US"/>
        </w:rPr>
        <w:t xml:space="preserve"> </w:t>
      </w:r>
      <w:r w:rsidRPr="00047E36">
        <w:rPr>
          <w:lang w:val="en-US"/>
        </w:rPr>
        <w:t xml:space="preserve">makes </w:t>
      </w:r>
      <w:r w:rsidR="00E82968" w:rsidRPr="00047E36">
        <w:rPr>
          <w:lang w:val="en-US"/>
        </w:rPr>
        <w:t xml:space="preserve">this </w:t>
      </w:r>
      <w:r w:rsidR="00314A05" w:rsidRPr="00047E36">
        <w:rPr>
          <w:lang w:val="en-US"/>
        </w:rPr>
        <w:t xml:space="preserve">determination </w:t>
      </w:r>
      <w:r w:rsidR="004A3025" w:rsidRPr="00047E36">
        <w:rPr>
          <w:lang w:val="en-US"/>
        </w:rPr>
        <w:t xml:space="preserve">dated </w:t>
      </w:r>
      <w:r w:rsidR="00314A05" w:rsidRPr="00047E36">
        <w:rPr>
          <w:lang w:val="en-US"/>
        </w:rPr>
        <w:t>under</w:t>
      </w:r>
      <w:r w:rsidRPr="00047E36">
        <w:rPr>
          <w:lang w:val="en-US"/>
        </w:rPr>
        <w:t xml:space="preserve"> </w:t>
      </w:r>
      <w:r w:rsidR="00314A05" w:rsidRPr="00047E36">
        <w:rPr>
          <w:lang w:val="en-US"/>
        </w:rPr>
        <w:t>paragraph</w:t>
      </w:r>
      <w:r w:rsidRPr="00047E36">
        <w:rPr>
          <w:lang w:val="en-US"/>
        </w:rPr>
        <w:t xml:space="preserve"> </w:t>
      </w:r>
      <w:r w:rsidR="00272066" w:rsidRPr="00047E36">
        <w:rPr>
          <w:lang w:val="en-US"/>
        </w:rPr>
        <w:t xml:space="preserve">901B(2) </w:t>
      </w:r>
      <w:r w:rsidRPr="00047E36">
        <w:rPr>
          <w:lang w:val="en-US"/>
        </w:rPr>
        <w:t xml:space="preserve">of the </w:t>
      </w:r>
      <w:r w:rsidRPr="00F23687">
        <w:rPr>
          <w:i/>
          <w:lang w:val="en-US"/>
        </w:rPr>
        <w:t>Corporations Act 2001</w:t>
      </w:r>
      <w:r w:rsidRPr="00047E36">
        <w:rPr>
          <w:lang w:val="en-US"/>
        </w:rPr>
        <w:t xml:space="preserve"> (the Act). </w:t>
      </w:r>
    </w:p>
    <w:p w14:paraId="11678D77" w14:textId="77777777" w:rsidR="00B76F80" w:rsidRDefault="00CE7A97" w:rsidP="00047E36">
      <w:pPr>
        <w:pStyle w:val="BodyText"/>
        <w:numPr>
          <w:ilvl w:val="0"/>
          <w:numId w:val="15"/>
        </w:numPr>
        <w:tabs>
          <w:tab w:val="clear" w:pos="567"/>
          <w:tab w:val="clear" w:pos="680"/>
        </w:tabs>
        <w:rPr>
          <w:lang w:val="en-US"/>
        </w:rPr>
      </w:pPr>
      <w:r w:rsidRPr="00047E36">
        <w:rPr>
          <w:lang w:val="en-US"/>
        </w:rPr>
        <w:t>P</w:t>
      </w:r>
      <w:r w:rsidR="00314A05" w:rsidRPr="00047E36">
        <w:rPr>
          <w:lang w:val="en-US"/>
        </w:rPr>
        <w:t xml:space="preserve">aragraph </w:t>
      </w:r>
      <w:r w:rsidR="00272066" w:rsidRPr="00047E36">
        <w:rPr>
          <w:lang w:val="en-US"/>
        </w:rPr>
        <w:t xml:space="preserve">901B(2) </w:t>
      </w:r>
      <w:r w:rsidR="008D72EF" w:rsidRPr="00047E36">
        <w:rPr>
          <w:lang w:val="en-US"/>
        </w:rPr>
        <w:t>of the Act</w:t>
      </w:r>
      <w:r w:rsidR="00B76F80" w:rsidRPr="00047E36">
        <w:rPr>
          <w:lang w:val="en-US"/>
        </w:rPr>
        <w:t xml:space="preserve"> provides that </w:t>
      </w:r>
      <w:r w:rsidR="00314A05" w:rsidRPr="00047E36">
        <w:rPr>
          <w:lang w:val="en-US"/>
        </w:rPr>
        <w:t xml:space="preserve">the </w:t>
      </w:r>
      <w:r w:rsidR="00272066" w:rsidRPr="00047E36">
        <w:rPr>
          <w:lang w:val="en-US"/>
        </w:rPr>
        <w:t>Minister may, by legislativ</w:t>
      </w:r>
      <w:r w:rsidR="005D46DC">
        <w:rPr>
          <w:lang w:val="en-US"/>
        </w:rPr>
        <w:t xml:space="preserve">e instrument, determine one or </w:t>
      </w:r>
      <w:r w:rsidR="00272066" w:rsidRPr="00047E36">
        <w:rPr>
          <w:lang w:val="en-US"/>
        </w:rPr>
        <w:t>more classes of derivatives in relation to which execution  requirements, reporting requirem</w:t>
      </w:r>
      <w:r w:rsidR="005D46DC">
        <w:rPr>
          <w:lang w:val="en-US"/>
        </w:rPr>
        <w:t xml:space="preserve">ents, or clearing requirements </w:t>
      </w:r>
      <w:r w:rsidR="00272066" w:rsidRPr="00047E36">
        <w:rPr>
          <w:lang w:val="en-US"/>
        </w:rPr>
        <w:t xml:space="preserve">may be imposed. </w:t>
      </w:r>
    </w:p>
    <w:p w14:paraId="4CAAB6D7" w14:textId="77777777" w:rsidR="00347FE5" w:rsidRPr="00E20A1B" w:rsidRDefault="00347FE5" w:rsidP="00347FE5">
      <w:pPr>
        <w:pStyle w:val="BodyText"/>
        <w:numPr>
          <w:ilvl w:val="0"/>
          <w:numId w:val="15"/>
        </w:numPr>
        <w:tabs>
          <w:tab w:val="clear" w:pos="567"/>
          <w:tab w:val="clear" w:pos="680"/>
        </w:tabs>
        <w:rPr>
          <w:lang w:val="en-US"/>
        </w:rPr>
      </w:pPr>
      <w:r>
        <w:rPr>
          <w:lang w:val="en-US"/>
        </w:rPr>
        <w:t>The d</w:t>
      </w:r>
      <w:r w:rsidRPr="00347FE5">
        <w:rPr>
          <w:lang w:val="en-US"/>
        </w:rPr>
        <w:t>ate</w:t>
      </w:r>
      <w:r>
        <w:rPr>
          <w:lang w:val="en-US"/>
        </w:rPr>
        <w:t xml:space="preserve"> of commencement of t</w:t>
      </w:r>
      <w:bookmarkStart w:id="0" w:name="_GoBack"/>
      <w:bookmarkEnd w:id="0"/>
      <w:r>
        <w:rPr>
          <w:lang w:val="en-US"/>
        </w:rPr>
        <w:t>his</w:t>
      </w:r>
      <w:r w:rsidRPr="00347FE5">
        <w:rPr>
          <w:lang w:val="en-US"/>
        </w:rPr>
        <w:t xml:space="preserve"> Determination </w:t>
      </w:r>
      <w:r>
        <w:rPr>
          <w:lang w:val="en-US"/>
        </w:rPr>
        <w:t>is the day</w:t>
      </w:r>
      <w:r w:rsidRPr="00347FE5">
        <w:rPr>
          <w:lang w:val="en-US"/>
        </w:rPr>
        <w:t xml:space="preserve"> following registration on</w:t>
      </w:r>
      <w:r>
        <w:rPr>
          <w:lang w:val="en-US"/>
        </w:rPr>
        <w:t xml:space="preserve"> the</w:t>
      </w:r>
      <w:r w:rsidRPr="00347FE5">
        <w:rPr>
          <w:lang w:val="en-US"/>
        </w:rPr>
        <w:t xml:space="preserve"> Federal Register of Legislative Instruments </w:t>
      </w:r>
      <w:r>
        <w:rPr>
          <w:lang w:val="en-US"/>
        </w:rPr>
        <w:t>(</w:t>
      </w:r>
      <w:r w:rsidRPr="00347FE5">
        <w:rPr>
          <w:lang w:val="en-US"/>
        </w:rPr>
        <w:t>FRLI</w:t>
      </w:r>
      <w:r>
        <w:rPr>
          <w:lang w:val="en-US"/>
        </w:rPr>
        <w:t>)</w:t>
      </w:r>
      <w:r w:rsidRPr="00347FE5">
        <w:rPr>
          <w:lang w:val="en-US"/>
        </w:rPr>
        <w:t>.</w:t>
      </w:r>
    </w:p>
    <w:p w14:paraId="4C35412D" w14:textId="77777777" w:rsidR="00114A73" w:rsidRPr="00047E36" w:rsidRDefault="00B76F80" w:rsidP="00047E36">
      <w:pPr>
        <w:pStyle w:val="Heading1"/>
        <w:tabs>
          <w:tab w:val="clear" w:pos="879"/>
        </w:tabs>
        <w:overflowPunct/>
        <w:autoSpaceDE/>
        <w:autoSpaceDN/>
        <w:adjustRightInd/>
        <w:spacing w:after="60" w:line="240" w:lineRule="auto"/>
        <w:textAlignment w:val="auto"/>
        <w:rPr>
          <w:rFonts w:cs="Arial"/>
          <w:bCs/>
          <w:kern w:val="32"/>
          <w:sz w:val="24"/>
          <w:szCs w:val="32"/>
        </w:rPr>
      </w:pPr>
      <w:bookmarkStart w:id="1" w:name="_Toc158699036"/>
      <w:r>
        <w:rPr>
          <w:rFonts w:cs="Arial"/>
          <w:bCs/>
          <w:kern w:val="32"/>
          <w:sz w:val="24"/>
          <w:szCs w:val="32"/>
        </w:rPr>
        <w:t>Background</w:t>
      </w:r>
      <w:bookmarkEnd w:id="1"/>
    </w:p>
    <w:p w14:paraId="32124AD8" w14:textId="77777777" w:rsidR="003D3CFD" w:rsidRPr="0044339D" w:rsidRDefault="003D3CFD" w:rsidP="0044339D">
      <w:pPr>
        <w:pStyle w:val="BodyText"/>
        <w:numPr>
          <w:ilvl w:val="0"/>
          <w:numId w:val="15"/>
        </w:numPr>
        <w:tabs>
          <w:tab w:val="clear" w:pos="567"/>
          <w:tab w:val="clear" w:pos="680"/>
        </w:tabs>
        <w:rPr>
          <w:lang w:val="en-US"/>
        </w:rPr>
      </w:pPr>
      <w:r w:rsidRPr="003D3CFD">
        <w:rPr>
          <w:lang w:val="en-US"/>
        </w:rPr>
        <w:t xml:space="preserve">Paragraph 901B(2) of the legislation provides that the Minister can make a Determination allowing </w:t>
      </w:r>
      <w:r w:rsidR="005D46DC">
        <w:rPr>
          <w:lang w:val="en-US"/>
        </w:rPr>
        <w:t xml:space="preserve">the Australian Securities and Investments Commission (ASIC) </w:t>
      </w:r>
      <w:r w:rsidRPr="003D3CFD">
        <w:rPr>
          <w:lang w:val="en-US"/>
        </w:rPr>
        <w:t>to make rules requiring trade reporting in the prescribed classes of derivatives.</w:t>
      </w:r>
    </w:p>
    <w:p w14:paraId="02CDFEBD" w14:textId="77777777" w:rsidR="00591EC6" w:rsidRPr="0044339D" w:rsidRDefault="003D3CFD" w:rsidP="0044339D">
      <w:pPr>
        <w:pStyle w:val="BodyText"/>
        <w:numPr>
          <w:ilvl w:val="0"/>
          <w:numId w:val="15"/>
        </w:numPr>
        <w:tabs>
          <w:tab w:val="clear" w:pos="567"/>
          <w:tab w:val="clear" w:pos="680"/>
        </w:tabs>
        <w:rPr>
          <w:lang w:val="en-US"/>
        </w:rPr>
      </w:pPr>
      <w:r>
        <w:rPr>
          <w:lang w:val="en-US"/>
        </w:rPr>
        <w:t xml:space="preserve">This provision </w:t>
      </w:r>
      <w:r w:rsidR="003567FC">
        <w:rPr>
          <w:lang w:val="en-US"/>
        </w:rPr>
        <w:t>was inserted into the Act  by</w:t>
      </w:r>
      <w:r>
        <w:rPr>
          <w:lang w:val="en-US"/>
        </w:rPr>
        <w:t xml:space="preserve"> t</w:t>
      </w:r>
      <w:r w:rsidR="00591EC6">
        <w:rPr>
          <w:lang w:val="en-US"/>
        </w:rPr>
        <w:t xml:space="preserve">he </w:t>
      </w:r>
      <w:r w:rsidR="00591EC6" w:rsidRPr="0044339D">
        <w:rPr>
          <w:lang w:val="en-US"/>
        </w:rPr>
        <w:t>Corporations Legislation Amendment (Derivatives Transactions) Act 2012</w:t>
      </w:r>
      <w:r w:rsidR="005D46DC">
        <w:rPr>
          <w:lang w:val="en-US"/>
        </w:rPr>
        <w:t xml:space="preserve"> (the legislation)</w:t>
      </w:r>
      <w:r w:rsidR="00591EC6" w:rsidRPr="00591EC6">
        <w:rPr>
          <w:lang w:val="en-US"/>
        </w:rPr>
        <w:t xml:space="preserve">, </w:t>
      </w:r>
      <w:r>
        <w:rPr>
          <w:lang w:val="en-US"/>
        </w:rPr>
        <w:t xml:space="preserve">which </w:t>
      </w:r>
      <w:r w:rsidR="00591EC6" w:rsidRPr="00591EC6">
        <w:rPr>
          <w:lang w:val="en-US"/>
        </w:rPr>
        <w:t xml:space="preserve">was </w:t>
      </w:r>
      <w:r w:rsidR="003567FC">
        <w:rPr>
          <w:lang w:val="en-US"/>
        </w:rPr>
        <w:t>passed</w:t>
      </w:r>
      <w:r w:rsidR="00591EC6" w:rsidRPr="00591EC6">
        <w:rPr>
          <w:lang w:val="en-US"/>
        </w:rPr>
        <w:t xml:space="preserve"> in the Spring 2012 Sittings of Parliament and came into effect from 1 January 2013.</w:t>
      </w:r>
      <w:r w:rsidR="00591EC6">
        <w:rPr>
          <w:lang w:val="en-US"/>
        </w:rPr>
        <w:t xml:space="preserve"> The legislation introduced a legislative framework </w:t>
      </w:r>
      <w:r w:rsidR="00591EC6" w:rsidRPr="00591EC6">
        <w:rPr>
          <w:lang w:val="en-US"/>
        </w:rPr>
        <w:t xml:space="preserve">allowing the Minister to mandate data reporting, central clearing or platform trading requirements </w:t>
      </w:r>
      <w:r w:rsidR="003567FC">
        <w:rPr>
          <w:lang w:val="en-US"/>
        </w:rPr>
        <w:t>for</w:t>
      </w:r>
      <w:r w:rsidR="00591EC6" w:rsidRPr="00591EC6">
        <w:rPr>
          <w:lang w:val="en-US"/>
        </w:rPr>
        <w:t xml:space="preserve"> classes of OTC derivatives </w:t>
      </w:r>
      <w:r w:rsidR="003567FC">
        <w:rPr>
          <w:lang w:val="en-US"/>
        </w:rPr>
        <w:t>transactions</w:t>
      </w:r>
      <w:r w:rsidR="00591EC6" w:rsidRPr="00591EC6">
        <w:rPr>
          <w:lang w:val="en-US"/>
        </w:rPr>
        <w:t xml:space="preserve">, and allows ASIC to write rules that </w:t>
      </w:r>
      <w:r w:rsidR="003567FC">
        <w:rPr>
          <w:lang w:val="en-US"/>
        </w:rPr>
        <w:t>specify</w:t>
      </w:r>
      <w:r w:rsidR="00591EC6" w:rsidRPr="00591EC6">
        <w:rPr>
          <w:lang w:val="en-US"/>
        </w:rPr>
        <w:t xml:space="preserve"> the details of </w:t>
      </w:r>
      <w:r w:rsidR="003567FC">
        <w:rPr>
          <w:lang w:val="en-US"/>
        </w:rPr>
        <w:t>any</w:t>
      </w:r>
      <w:r w:rsidR="00591EC6" w:rsidRPr="00591EC6">
        <w:rPr>
          <w:lang w:val="en-US"/>
        </w:rPr>
        <w:t xml:space="preserve"> mandatory requirements. The legislative framework also allows ASIC to write rules regulating the licensing and operations of trade repositories.</w:t>
      </w:r>
    </w:p>
    <w:p w14:paraId="33B249F7" w14:textId="77777777" w:rsidR="00EA4DED" w:rsidRPr="00EA4DED" w:rsidRDefault="0093156D" w:rsidP="0044339D">
      <w:pPr>
        <w:pStyle w:val="BodyText"/>
        <w:numPr>
          <w:ilvl w:val="0"/>
          <w:numId w:val="15"/>
        </w:numPr>
        <w:tabs>
          <w:tab w:val="clear" w:pos="567"/>
          <w:tab w:val="clear" w:pos="680"/>
        </w:tabs>
        <w:rPr>
          <w:lang w:val="en-US"/>
        </w:rPr>
      </w:pPr>
      <w:r w:rsidRPr="00EA4DED">
        <w:rPr>
          <w:lang w:val="en-US"/>
        </w:rPr>
        <w:t xml:space="preserve">To give effect to </w:t>
      </w:r>
      <w:r w:rsidR="00EA4DED" w:rsidRPr="00EA4DED">
        <w:rPr>
          <w:lang w:val="en-US"/>
        </w:rPr>
        <w:t>the</w:t>
      </w:r>
      <w:r w:rsidRPr="00EA4DED">
        <w:rPr>
          <w:lang w:val="en-US"/>
        </w:rPr>
        <w:t xml:space="preserve"> </w:t>
      </w:r>
      <w:r w:rsidR="003D3CFD" w:rsidRPr="00EA4DED">
        <w:rPr>
          <w:lang w:val="en-US"/>
        </w:rPr>
        <w:t>Determination</w:t>
      </w:r>
      <w:r w:rsidRPr="00EA4DED">
        <w:rPr>
          <w:lang w:val="en-US"/>
        </w:rPr>
        <w:t>, ASIC is tasked with developing ‘derivative tra</w:t>
      </w:r>
      <w:r w:rsidR="004F271F" w:rsidRPr="00EA4DED">
        <w:rPr>
          <w:lang w:val="en-US"/>
        </w:rPr>
        <w:t xml:space="preserve">nsaction rules’. </w:t>
      </w:r>
      <w:r w:rsidRPr="00EA4DED">
        <w:rPr>
          <w:lang w:val="en-US"/>
        </w:rPr>
        <w:t xml:space="preserve">These rules will clarify matters such as the institutional and product scope of the obligation, as well as details of how any relevant mandatory obligations can be complied with. </w:t>
      </w:r>
      <w:r w:rsidR="00EA4DED" w:rsidRPr="00EA4DED">
        <w:rPr>
          <w:lang w:val="en-US"/>
        </w:rPr>
        <w:t xml:space="preserve">ASIC’s decisions to make rules for a class of derivatives will be subject to public consultation.  Rules will require the consent of the Minister and will be disallowable legislative instruments.  Further, the scope of rules and other technical features </w:t>
      </w:r>
      <w:r w:rsidR="00EA4DED" w:rsidRPr="00EA4DED">
        <w:rPr>
          <w:lang w:val="en-US"/>
        </w:rPr>
        <w:lastRenderedPageBreak/>
        <w:t>of the scheme may be further limited by regulations, under section 903C of the Act.</w:t>
      </w:r>
    </w:p>
    <w:p w14:paraId="59CC5023" w14:textId="77777777" w:rsidR="00A13A06" w:rsidRPr="00440C1A" w:rsidRDefault="0093156D" w:rsidP="003D3CFD">
      <w:pPr>
        <w:pStyle w:val="BodyText"/>
        <w:numPr>
          <w:ilvl w:val="0"/>
          <w:numId w:val="15"/>
        </w:numPr>
        <w:tabs>
          <w:tab w:val="clear" w:pos="567"/>
          <w:tab w:val="clear" w:pos="680"/>
        </w:tabs>
        <w:rPr>
          <w:lang w:val="en-US"/>
        </w:rPr>
      </w:pPr>
      <w:r w:rsidRPr="00047E36">
        <w:rPr>
          <w:lang w:val="en-US"/>
        </w:rPr>
        <w:t>The legislation also establishes a licensing regime for derivative trade repositories, largely modelled on the existing licensing regimes for market operators and clearing and settlement facilities under the Act. ASIC will have primary responsibility for administering this regime and overseeing any trade repositories licensed under the regime, as well as making ‘derivative trade repository rules’ under section 903A to govern the conduct of those repositories</w:t>
      </w:r>
      <w:r w:rsidR="00440C1A">
        <w:rPr>
          <w:lang w:val="en-US"/>
        </w:rPr>
        <w:t>,</w:t>
      </w:r>
      <w:r w:rsidR="00440C1A" w:rsidRPr="00440C1A">
        <w:rPr>
          <w:lang w:val="en-US"/>
        </w:rPr>
        <w:t xml:space="preserve"> in</w:t>
      </w:r>
      <w:r w:rsidR="00440C1A">
        <w:rPr>
          <w:lang w:val="en-US"/>
        </w:rPr>
        <w:t xml:space="preserve"> </w:t>
      </w:r>
      <w:r w:rsidR="00440C1A" w:rsidRPr="00440C1A">
        <w:rPr>
          <w:lang w:val="en-US"/>
        </w:rPr>
        <w:t xml:space="preserve">addition to issuing and imposing conditions on individual </w:t>
      </w:r>
      <w:r w:rsidR="003567FC">
        <w:rPr>
          <w:lang w:val="en-US"/>
        </w:rPr>
        <w:t>trade repository</w:t>
      </w:r>
      <w:r w:rsidR="00440C1A" w:rsidRPr="00440C1A">
        <w:rPr>
          <w:lang w:val="en-US"/>
        </w:rPr>
        <w:t xml:space="preserve"> licensees.</w:t>
      </w:r>
    </w:p>
    <w:p w14:paraId="0E2B4388" w14:textId="77777777" w:rsidR="0093156D" w:rsidRPr="0093156D" w:rsidRDefault="00B76F80" w:rsidP="00047E36">
      <w:pPr>
        <w:pStyle w:val="Heading1"/>
        <w:tabs>
          <w:tab w:val="clear" w:pos="879"/>
        </w:tabs>
        <w:overflowPunct/>
        <w:autoSpaceDE/>
        <w:autoSpaceDN/>
        <w:adjustRightInd/>
        <w:spacing w:after="60" w:line="240" w:lineRule="auto"/>
        <w:textAlignment w:val="auto"/>
        <w:rPr>
          <w:rFonts w:cs="Arial"/>
          <w:bCs/>
          <w:kern w:val="32"/>
          <w:sz w:val="24"/>
          <w:szCs w:val="32"/>
        </w:rPr>
      </w:pPr>
      <w:bookmarkStart w:id="2" w:name="_Toc158699037"/>
      <w:r>
        <w:rPr>
          <w:rFonts w:cs="Arial"/>
          <w:bCs/>
          <w:kern w:val="32"/>
          <w:sz w:val="24"/>
          <w:szCs w:val="32"/>
        </w:rPr>
        <w:t xml:space="preserve">Purpose of the </w:t>
      </w:r>
      <w:bookmarkEnd w:id="2"/>
      <w:r w:rsidR="00101126">
        <w:rPr>
          <w:rFonts w:cs="Arial"/>
          <w:bCs/>
          <w:kern w:val="32"/>
          <w:sz w:val="24"/>
          <w:szCs w:val="32"/>
        </w:rPr>
        <w:t>M</w:t>
      </w:r>
      <w:r w:rsidR="00FA15AB">
        <w:rPr>
          <w:rFonts w:cs="Arial"/>
          <w:bCs/>
          <w:kern w:val="32"/>
          <w:sz w:val="24"/>
          <w:szCs w:val="32"/>
        </w:rPr>
        <w:t>inisterial D</w:t>
      </w:r>
      <w:r w:rsidR="00065887">
        <w:rPr>
          <w:rFonts w:cs="Arial"/>
          <w:bCs/>
          <w:kern w:val="32"/>
          <w:sz w:val="24"/>
          <w:szCs w:val="32"/>
        </w:rPr>
        <w:t>etermination</w:t>
      </w:r>
    </w:p>
    <w:p w14:paraId="2CCA72B4" w14:textId="77777777" w:rsidR="00C67186" w:rsidRPr="003D3CFD" w:rsidRDefault="00010F3B" w:rsidP="0044339D">
      <w:pPr>
        <w:pStyle w:val="BodyText"/>
        <w:numPr>
          <w:ilvl w:val="0"/>
          <w:numId w:val="15"/>
        </w:numPr>
        <w:tabs>
          <w:tab w:val="clear" w:pos="567"/>
          <w:tab w:val="clear" w:pos="680"/>
        </w:tabs>
        <w:rPr>
          <w:lang w:val="en-US"/>
        </w:rPr>
      </w:pPr>
      <w:r w:rsidRPr="003D3CFD">
        <w:rPr>
          <w:lang w:val="en-US"/>
        </w:rPr>
        <w:t xml:space="preserve">The </w:t>
      </w:r>
      <w:r w:rsidR="003D3CFD" w:rsidRPr="003D3CFD">
        <w:rPr>
          <w:lang w:val="en-US"/>
        </w:rPr>
        <w:t>purpose of this Determination is to empower ASIC, under the Act, to make derivative transaction rules necessary for the implementation of Australia’s trade reporting</w:t>
      </w:r>
      <w:r w:rsidR="003D3CFD">
        <w:rPr>
          <w:lang w:val="en-US"/>
        </w:rPr>
        <w:t xml:space="preserve"> regime, </w:t>
      </w:r>
      <w:r w:rsidRPr="003D3CFD">
        <w:rPr>
          <w:lang w:val="en-US"/>
        </w:rPr>
        <w:t xml:space="preserve">in line </w:t>
      </w:r>
      <w:r w:rsidR="003D3CFD" w:rsidRPr="003D3CFD">
        <w:rPr>
          <w:lang w:val="en-US"/>
        </w:rPr>
        <w:t>with the</w:t>
      </w:r>
      <w:r w:rsidRPr="003D3CFD">
        <w:rPr>
          <w:lang w:val="en-US"/>
        </w:rPr>
        <w:t xml:space="preserve"> approach taken internationally and </w:t>
      </w:r>
      <w:r w:rsidR="003567FC">
        <w:rPr>
          <w:lang w:val="en-US"/>
        </w:rPr>
        <w:t xml:space="preserve">in a manner that </w:t>
      </w:r>
      <w:r w:rsidRPr="003D3CFD">
        <w:rPr>
          <w:lang w:val="en-US"/>
        </w:rPr>
        <w:t>takes into account domestic market developments.</w:t>
      </w:r>
    </w:p>
    <w:p w14:paraId="6D9F2301" w14:textId="77777777" w:rsidR="00CE638F" w:rsidRPr="00CE638F" w:rsidRDefault="00B76F80" w:rsidP="00CE638F">
      <w:pPr>
        <w:pStyle w:val="Heading1"/>
        <w:tabs>
          <w:tab w:val="clear" w:pos="879"/>
        </w:tabs>
        <w:overflowPunct/>
        <w:autoSpaceDE/>
        <w:autoSpaceDN/>
        <w:adjustRightInd/>
        <w:spacing w:after="60" w:line="240" w:lineRule="auto"/>
        <w:textAlignment w:val="auto"/>
        <w:rPr>
          <w:rFonts w:cs="Arial"/>
          <w:bCs/>
          <w:kern w:val="32"/>
          <w:sz w:val="24"/>
          <w:szCs w:val="32"/>
        </w:rPr>
      </w:pPr>
      <w:bookmarkStart w:id="3" w:name="_Toc158699040"/>
      <w:r>
        <w:rPr>
          <w:rFonts w:cs="Arial"/>
          <w:bCs/>
          <w:kern w:val="32"/>
          <w:sz w:val="24"/>
          <w:szCs w:val="32"/>
        </w:rPr>
        <w:t xml:space="preserve">Operation of the </w:t>
      </w:r>
      <w:bookmarkEnd w:id="3"/>
      <w:r w:rsidR="00BB1DBC">
        <w:rPr>
          <w:rFonts w:cs="Arial"/>
          <w:bCs/>
          <w:kern w:val="32"/>
          <w:sz w:val="24"/>
          <w:szCs w:val="32"/>
        </w:rPr>
        <w:t>M</w:t>
      </w:r>
      <w:r w:rsidR="00440C1A">
        <w:rPr>
          <w:rFonts w:cs="Arial"/>
          <w:bCs/>
          <w:kern w:val="32"/>
          <w:sz w:val="24"/>
          <w:szCs w:val="32"/>
        </w:rPr>
        <w:t>inisterial D</w:t>
      </w:r>
      <w:r w:rsidR="00E82968">
        <w:rPr>
          <w:rFonts w:cs="Arial"/>
          <w:bCs/>
          <w:kern w:val="32"/>
          <w:sz w:val="24"/>
          <w:szCs w:val="32"/>
        </w:rPr>
        <w:t>etermination</w:t>
      </w:r>
    </w:p>
    <w:p w14:paraId="0D0EBF5F" w14:textId="77777777" w:rsidR="00347FE5" w:rsidRPr="0044339D" w:rsidRDefault="00CE638F" w:rsidP="0044339D">
      <w:pPr>
        <w:pStyle w:val="BodyText"/>
        <w:numPr>
          <w:ilvl w:val="0"/>
          <w:numId w:val="15"/>
        </w:numPr>
        <w:tabs>
          <w:tab w:val="clear" w:pos="567"/>
          <w:tab w:val="clear" w:pos="680"/>
        </w:tabs>
        <w:rPr>
          <w:lang w:val="en-US"/>
        </w:rPr>
      </w:pPr>
      <w:r w:rsidRPr="00010F3B">
        <w:rPr>
          <w:lang w:val="en-US"/>
        </w:rPr>
        <w:t>This Determination empowers ASIC</w:t>
      </w:r>
      <w:r w:rsidR="00177334">
        <w:rPr>
          <w:lang w:val="en-US"/>
        </w:rPr>
        <w:t>, under section 901B(2) of the Act,</w:t>
      </w:r>
      <w:r w:rsidRPr="00010F3B">
        <w:rPr>
          <w:lang w:val="en-US"/>
        </w:rPr>
        <w:t xml:space="preserve"> to </w:t>
      </w:r>
      <w:r w:rsidR="00177334">
        <w:rPr>
          <w:lang w:val="en-US"/>
        </w:rPr>
        <w:t>make rules requiring</w:t>
      </w:r>
      <w:r w:rsidRPr="00010F3B">
        <w:rPr>
          <w:lang w:val="en-US"/>
        </w:rPr>
        <w:t xml:space="preserve"> the reporting of interest rate, </w:t>
      </w:r>
      <w:r w:rsidR="003567FC">
        <w:rPr>
          <w:lang w:val="en-US"/>
        </w:rPr>
        <w:t>foreign exchange</w:t>
      </w:r>
      <w:r w:rsidRPr="00010F3B">
        <w:rPr>
          <w:lang w:val="en-US"/>
        </w:rPr>
        <w:t>, credit, equity and all commodity derivatives with the exception of electricity derivatives to licensed trade</w:t>
      </w:r>
      <w:r w:rsidR="00177334">
        <w:rPr>
          <w:lang w:val="en-US"/>
        </w:rPr>
        <w:t xml:space="preserve"> repositories</w:t>
      </w:r>
      <w:r w:rsidR="005D46DC">
        <w:rPr>
          <w:lang w:val="en-US"/>
        </w:rPr>
        <w:t>,</w:t>
      </w:r>
      <w:r w:rsidR="00177334">
        <w:rPr>
          <w:lang w:val="en-US"/>
        </w:rPr>
        <w:t xml:space="preserve"> where these exist</w:t>
      </w:r>
      <w:r w:rsidR="003567FC">
        <w:rPr>
          <w:lang w:val="en-US"/>
        </w:rPr>
        <w:t>.</w:t>
      </w:r>
    </w:p>
    <w:p w14:paraId="09D06978" w14:textId="77777777" w:rsidR="00347FE5" w:rsidRPr="0044339D" w:rsidRDefault="00CE638F" w:rsidP="0044339D">
      <w:pPr>
        <w:pStyle w:val="BodyText"/>
        <w:numPr>
          <w:ilvl w:val="0"/>
          <w:numId w:val="15"/>
        </w:numPr>
        <w:tabs>
          <w:tab w:val="clear" w:pos="567"/>
          <w:tab w:val="clear" w:pos="680"/>
        </w:tabs>
        <w:rPr>
          <w:lang w:val="en-US"/>
        </w:rPr>
      </w:pPr>
      <w:r w:rsidRPr="00CE638F">
        <w:rPr>
          <w:lang w:val="en-US"/>
        </w:rPr>
        <w:t xml:space="preserve">The five derivatives classes in the Determination are intended to align with </w:t>
      </w:r>
      <w:r w:rsidR="003567FC">
        <w:rPr>
          <w:lang w:val="en-US"/>
        </w:rPr>
        <w:t>generally used industry derivatives taxonomies</w:t>
      </w:r>
      <w:r w:rsidRPr="00CE638F">
        <w:rPr>
          <w:lang w:val="en-US"/>
        </w:rPr>
        <w:t>, such as th</w:t>
      </w:r>
      <w:r w:rsidR="005D46DC">
        <w:rPr>
          <w:lang w:val="en-US"/>
        </w:rPr>
        <w:t>ose</w:t>
      </w:r>
      <w:r w:rsidR="003567FC">
        <w:rPr>
          <w:lang w:val="en-US"/>
        </w:rPr>
        <w:t xml:space="preserve"> issued by the</w:t>
      </w:r>
      <w:r w:rsidRPr="00CE638F">
        <w:rPr>
          <w:lang w:val="en-US"/>
        </w:rPr>
        <w:t xml:space="preserve"> International Swaps and Derivatives Association </w:t>
      </w:r>
      <w:r w:rsidR="005D46DC">
        <w:rPr>
          <w:lang w:val="en-US"/>
        </w:rPr>
        <w:t xml:space="preserve">for </w:t>
      </w:r>
      <w:r w:rsidR="003567FC">
        <w:rPr>
          <w:lang w:val="en-US"/>
        </w:rPr>
        <w:t>over the counter (</w:t>
      </w:r>
      <w:r w:rsidRPr="00CE638F">
        <w:rPr>
          <w:lang w:val="en-US"/>
        </w:rPr>
        <w:t>OTC</w:t>
      </w:r>
      <w:r w:rsidR="003567FC">
        <w:rPr>
          <w:lang w:val="en-US"/>
        </w:rPr>
        <w:t>)</w:t>
      </w:r>
      <w:r w:rsidR="005D46DC">
        <w:rPr>
          <w:lang w:val="en-US"/>
        </w:rPr>
        <w:t xml:space="preserve"> Derivatives Taxonomies</w:t>
      </w:r>
      <w:r w:rsidR="003567FC">
        <w:rPr>
          <w:lang w:val="en-US"/>
        </w:rPr>
        <w:t>.</w:t>
      </w:r>
    </w:p>
    <w:p w14:paraId="1B6ADEC9" w14:textId="77777777" w:rsidR="00347FE5" w:rsidRPr="0044339D" w:rsidRDefault="00172A4C" w:rsidP="0044339D">
      <w:pPr>
        <w:pStyle w:val="BodyText"/>
        <w:numPr>
          <w:ilvl w:val="0"/>
          <w:numId w:val="15"/>
        </w:numPr>
        <w:tabs>
          <w:tab w:val="clear" w:pos="567"/>
          <w:tab w:val="clear" w:pos="680"/>
        </w:tabs>
        <w:rPr>
          <w:lang w:val="en-US"/>
        </w:rPr>
      </w:pPr>
      <w:r w:rsidRPr="00347FE5">
        <w:rPr>
          <w:lang w:val="en-US"/>
        </w:rPr>
        <w:t>The broad-based nature of the Determination gives</w:t>
      </w:r>
      <w:r w:rsidRPr="000C07E9">
        <w:rPr>
          <w:lang w:val="en-US"/>
        </w:rPr>
        <w:t xml:space="preserve"> ASIC the flexibility in scope to impose reporting requirements on specific entities and for specific products as required, commensurate with stakeholder consultation feedback, and the implementation of trade reporting arrangements in other jurisdictions. </w:t>
      </w:r>
    </w:p>
    <w:p w14:paraId="6DF195B7" w14:textId="77777777" w:rsidR="00347FE5" w:rsidRPr="0044339D" w:rsidRDefault="00172A4C" w:rsidP="0044339D">
      <w:pPr>
        <w:pStyle w:val="BodyText"/>
        <w:numPr>
          <w:ilvl w:val="0"/>
          <w:numId w:val="15"/>
        </w:numPr>
        <w:tabs>
          <w:tab w:val="clear" w:pos="567"/>
          <w:tab w:val="clear" w:pos="680"/>
        </w:tabs>
        <w:rPr>
          <w:lang w:val="en-US"/>
        </w:rPr>
      </w:pPr>
      <w:r w:rsidRPr="00347FE5">
        <w:rPr>
          <w:lang w:val="en-US"/>
        </w:rPr>
        <w:t>The flexibility also extends to the timing of the imposition of trade reporting obligations. It is expected that the trade reporting obligation will be phas</w:t>
      </w:r>
      <w:r w:rsidR="005D46DC">
        <w:rPr>
          <w:lang w:val="en-US"/>
        </w:rPr>
        <w:t xml:space="preserve">ed </w:t>
      </w:r>
      <w:r w:rsidRPr="00347FE5">
        <w:rPr>
          <w:lang w:val="en-US"/>
        </w:rPr>
        <w:t>in</w:t>
      </w:r>
      <w:r w:rsidR="005D46DC">
        <w:rPr>
          <w:lang w:val="en-US"/>
        </w:rPr>
        <w:t>,</w:t>
      </w:r>
      <w:r w:rsidRPr="00347FE5">
        <w:rPr>
          <w:lang w:val="en-US"/>
        </w:rPr>
        <w:t xml:space="preserve"> with the timing of implementation left to ASIC to determine in consultation with stakeholders and with regard being had to the technical challenges that emerge with respect to</w:t>
      </w:r>
      <w:r w:rsidR="005D46DC">
        <w:rPr>
          <w:lang w:val="en-US"/>
        </w:rPr>
        <w:t xml:space="preserve"> particular market participants</w:t>
      </w:r>
      <w:r w:rsidRPr="00347FE5">
        <w:rPr>
          <w:lang w:val="en-US"/>
        </w:rPr>
        <w:t xml:space="preserve"> and derivative classes. </w:t>
      </w:r>
    </w:p>
    <w:p w14:paraId="68097F5F" w14:textId="77777777" w:rsidR="0044339D" w:rsidRDefault="00047E36" w:rsidP="0044339D">
      <w:pPr>
        <w:pStyle w:val="BodyText"/>
        <w:numPr>
          <w:ilvl w:val="0"/>
          <w:numId w:val="15"/>
        </w:numPr>
        <w:tabs>
          <w:tab w:val="clear" w:pos="567"/>
          <w:tab w:val="clear" w:pos="680"/>
        </w:tabs>
        <w:rPr>
          <w:lang w:val="en-US"/>
        </w:rPr>
      </w:pPr>
      <w:r w:rsidRPr="0044339D">
        <w:rPr>
          <w:lang w:val="en-US"/>
        </w:rPr>
        <w:t xml:space="preserve">In developing </w:t>
      </w:r>
      <w:r w:rsidR="00440C1A" w:rsidRPr="0044339D">
        <w:rPr>
          <w:lang w:val="en-US"/>
        </w:rPr>
        <w:t>the</w:t>
      </w:r>
      <w:r w:rsidRPr="0044339D">
        <w:rPr>
          <w:lang w:val="en-US"/>
        </w:rPr>
        <w:t xml:space="preserve"> rules</w:t>
      </w:r>
      <w:r w:rsidR="00D954B1" w:rsidRPr="0044339D">
        <w:rPr>
          <w:lang w:val="en-US"/>
        </w:rPr>
        <w:t>, ASIC will need to undertake a consultation process with industry</w:t>
      </w:r>
      <w:r w:rsidR="0044339D" w:rsidRPr="0044339D">
        <w:rPr>
          <w:lang w:val="en-US"/>
        </w:rPr>
        <w:t xml:space="preserve"> as specified under section 901J</w:t>
      </w:r>
      <w:r w:rsidR="00D954B1" w:rsidRPr="0044339D">
        <w:rPr>
          <w:lang w:val="en-US"/>
        </w:rPr>
        <w:t xml:space="preserve">. As commodity derivatives (except for electricity derivatives) are included in the Determination, </w:t>
      </w:r>
      <w:r w:rsidRPr="0044339D">
        <w:rPr>
          <w:lang w:val="en-US"/>
        </w:rPr>
        <w:t xml:space="preserve">ASIC will be required to consider the impact of the rules on the underlying commodity market prior to </w:t>
      </w:r>
      <w:proofErr w:type="spellStart"/>
      <w:r w:rsidRPr="0044339D">
        <w:rPr>
          <w:lang w:val="en-US"/>
        </w:rPr>
        <w:t>finalising</w:t>
      </w:r>
      <w:proofErr w:type="spellEnd"/>
      <w:r w:rsidRPr="0044339D">
        <w:rPr>
          <w:lang w:val="en-US"/>
        </w:rPr>
        <w:t xml:space="preserve"> the </w:t>
      </w:r>
      <w:r w:rsidR="003567FC">
        <w:rPr>
          <w:lang w:val="en-US"/>
        </w:rPr>
        <w:t>derivative transaction rules</w:t>
      </w:r>
      <w:r w:rsidRPr="0044339D">
        <w:rPr>
          <w:lang w:val="en-US"/>
        </w:rPr>
        <w:t xml:space="preserve">. </w:t>
      </w:r>
      <w:r w:rsidR="00D954B1" w:rsidRPr="0044339D">
        <w:rPr>
          <w:lang w:val="en-US"/>
        </w:rPr>
        <w:t xml:space="preserve">To fulfill </w:t>
      </w:r>
      <w:r w:rsidR="00D954B1" w:rsidRPr="0044339D">
        <w:rPr>
          <w:lang w:val="en-US"/>
        </w:rPr>
        <w:lastRenderedPageBreak/>
        <w:t>this requirement</w:t>
      </w:r>
      <w:r w:rsidRPr="0044339D">
        <w:rPr>
          <w:lang w:val="en-US"/>
        </w:rPr>
        <w:t xml:space="preserve">, ASIC would be expected to consult with commodity market stakeholders, industry groups and regulators in the development of the </w:t>
      </w:r>
      <w:r w:rsidR="003567FC">
        <w:rPr>
          <w:lang w:val="en-US"/>
        </w:rPr>
        <w:t>derivative transaction rules</w:t>
      </w:r>
      <w:r w:rsidRPr="0044339D">
        <w:rPr>
          <w:lang w:val="en-US"/>
        </w:rPr>
        <w:t>.</w:t>
      </w:r>
      <w:r w:rsidR="00CE638F" w:rsidRPr="0044339D">
        <w:rPr>
          <w:lang w:val="en-US"/>
        </w:rPr>
        <w:t xml:space="preserve"> In addition, </w:t>
      </w:r>
      <w:r w:rsidR="0044339D">
        <w:rPr>
          <w:lang w:val="en-US"/>
        </w:rPr>
        <w:t>t</w:t>
      </w:r>
      <w:r w:rsidR="00CE638F" w:rsidRPr="0044339D">
        <w:rPr>
          <w:lang w:val="en-US"/>
        </w:rPr>
        <w:t>here are requirements to prepare regulation impact assessment</w:t>
      </w:r>
      <w:r w:rsidR="003567FC">
        <w:rPr>
          <w:lang w:val="en-US"/>
        </w:rPr>
        <w:t>s</w:t>
      </w:r>
      <w:r w:rsidR="00CE638F" w:rsidRPr="0044339D">
        <w:rPr>
          <w:lang w:val="en-US"/>
        </w:rPr>
        <w:t xml:space="preserve"> with respect to this rule making mandate.  </w:t>
      </w:r>
      <w:bookmarkStart w:id="4" w:name="_Toc158699042"/>
    </w:p>
    <w:p w14:paraId="4F683CF2" w14:textId="77777777" w:rsidR="0044339D" w:rsidRPr="0044339D" w:rsidRDefault="00CE638F" w:rsidP="0044339D">
      <w:pPr>
        <w:pStyle w:val="BodyText"/>
        <w:numPr>
          <w:ilvl w:val="0"/>
          <w:numId w:val="15"/>
        </w:numPr>
        <w:tabs>
          <w:tab w:val="clear" w:pos="567"/>
          <w:tab w:val="clear" w:pos="680"/>
        </w:tabs>
        <w:rPr>
          <w:lang w:val="en-US"/>
        </w:rPr>
      </w:pPr>
      <w:r w:rsidRPr="0044339D">
        <w:rPr>
          <w:lang w:val="en-US"/>
        </w:rPr>
        <w:t xml:space="preserve">Restrictions on the coverage of any rules can be provided for by regulations. </w:t>
      </w:r>
    </w:p>
    <w:p w14:paraId="6CF6FD28" w14:textId="77777777" w:rsidR="00347FE5" w:rsidRPr="0044339D" w:rsidRDefault="0093156D" w:rsidP="0011072A">
      <w:pPr>
        <w:pStyle w:val="BodyText"/>
        <w:numPr>
          <w:ilvl w:val="0"/>
          <w:numId w:val="15"/>
        </w:numPr>
        <w:tabs>
          <w:tab w:val="clear" w:pos="567"/>
          <w:tab w:val="clear" w:pos="680"/>
        </w:tabs>
        <w:rPr>
          <w:lang w:val="en-US"/>
        </w:rPr>
      </w:pPr>
      <w:r w:rsidRPr="0044339D">
        <w:rPr>
          <w:lang w:val="en-US"/>
        </w:rPr>
        <w:t xml:space="preserve">Electricity derivatives are </w:t>
      </w:r>
      <w:r w:rsidR="00F00734" w:rsidRPr="0044339D">
        <w:rPr>
          <w:lang w:val="en-US"/>
        </w:rPr>
        <w:t>excluded from the Determination;</w:t>
      </w:r>
      <w:r w:rsidRPr="0044339D">
        <w:rPr>
          <w:lang w:val="en-US"/>
        </w:rPr>
        <w:t xml:space="preserve"> their future inclusion will be considered following the completion of the </w:t>
      </w:r>
      <w:r w:rsidR="0011072A" w:rsidRPr="0011072A">
        <w:rPr>
          <w:lang w:val="en-US"/>
        </w:rPr>
        <w:t>Australian Energy Market Commission</w:t>
      </w:r>
      <w:r w:rsidRPr="0044339D">
        <w:rPr>
          <w:lang w:val="en-US"/>
        </w:rPr>
        <w:t>’s</w:t>
      </w:r>
      <w:r w:rsidR="0011072A">
        <w:rPr>
          <w:lang w:val="en-US"/>
        </w:rPr>
        <w:t xml:space="preserve"> (AEMC)</w:t>
      </w:r>
      <w:r w:rsidRPr="0044339D">
        <w:rPr>
          <w:lang w:val="en-US"/>
        </w:rPr>
        <w:t xml:space="preserve"> financial resilience</w:t>
      </w:r>
      <w:r w:rsidR="0011072A">
        <w:rPr>
          <w:lang w:val="en-US"/>
        </w:rPr>
        <w:t xml:space="preserve"> review</w:t>
      </w:r>
      <w:r w:rsidR="005D46DC">
        <w:rPr>
          <w:lang w:val="en-US"/>
        </w:rPr>
        <w:t>,</w:t>
      </w:r>
      <w:r w:rsidR="0011072A">
        <w:rPr>
          <w:lang w:val="en-US"/>
        </w:rPr>
        <w:t xml:space="preserve"> due to report in 2013. </w:t>
      </w:r>
    </w:p>
    <w:p w14:paraId="5A5AE14A" w14:textId="77777777" w:rsidR="00177334" w:rsidRPr="00347FE5" w:rsidRDefault="00D954B1" w:rsidP="0044339D">
      <w:pPr>
        <w:pStyle w:val="BodyText"/>
        <w:numPr>
          <w:ilvl w:val="0"/>
          <w:numId w:val="15"/>
        </w:numPr>
        <w:tabs>
          <w:tab w:val="clear" w:pos="567"/>
          <w:tab w:val="clear" w:pos="680"/>
        </w:tabs>
        <w:rPr>
          <w:lang w:val="en-US"/>
        </w:rPr>
      </w:pPr>
      <w:r w:rsidRPr="00D954B1">
        <w:rPr>
          <w:lang w:val="en-US"/>
        </w:rPr>
        <w:t>While it is proposed that there be a broad-based determination requiring reporting of derivative trades in the first quarter of 2013, the obligations would be phased in through ASIC rule-making.</w:t>
      </w:r>
    </w:p>
    <w:p w14:paraId="6B81B42A" w14:textId="77777777" w:rsidR="00347FE5" w:rsidRDefault="00347FE5" w:rsidP="00347FE5">
      <w:pPr>
        <w:pStyle w:val="Heading1"/>
        <w:tabs>
          <w:tab w:val="clear" w:pos="879"/>
        </w:tabs>
        <w:overflowPunct/>
        <w:autoSpaceDE/>
        <w:autoSpaceDN/>
        <w:adjustRightInd/>
        <w:spacing w:after="60" w:line="240" w:lineRule="auto"/>
        <w:textAlignment w:val="auto"/>
        <w:rPr>
          <w:rFonts w:cs="Arial"/>
          <w:bCs/>
          <w:kern w:val="32"/>
          <w:sz w:val="24"/>
          <w:szCs w:val="32"/>
        </w:rPr>
      </w:pPr>
      <w:r w:rsidRPr="00347FE5">
        <w:rPr>
          <w:rFonts w:cs="Arial"/>
          <w:bCs/>
          <w:kern w:val="32"/>
          <w:sz w:val="24"/>
          <w:szCs w:val="32"/>
        </w:rPr>
        <w:t>Statement of Compatibility with Human Rights</w:t>
      </w:r>
    </w:p>
    <w:p w14:paraId="69E998C1" w14:textId="77777777" w:rsidR="00347FE5" w:rsidRPr="00347FE5" w:rsidRDefault="00347FE5" w:rsidP="00347FE5">
      <w:pPr>
        <w:pStyle w:val="CommentText"/>
      </w:pPr>
    </w:p>
    <w:p w14:paraId="41961ABA" w14:textId="77777777" w:rsidR="0011072A" w:rsidRDefault="00347FE5" w:rsidP="0011072A">
      <w:pPr>
        <w:pStyle w:val="ListParagraph"/>
        <w:numPr>
          <w:ilvl w:val="0"/>
          <w:numId w:val="15"/>
        </w:numPr>
        <w:rPr>
          <w:szCs w:val="20"/>
          <w:lang w:val="en-US"/>
        </w:rPr>
      </w:pPr>
      <w:r w:rsidRPr="0011072A">
        <w:rPr>
          <w:szCs w:val="20"/>
          <w:lang w:val="en-US"/>
        </w:rPr>
        <w:t xml:space="preserve">This instrument is compatible with the human rights and freedoms recognised or declared in the international instruments listed in section 3 of the </w:t>
      </w:r>
      <w:r w:rsidRPr="0011072A">
        <w:rPr>
          <w:i/>
          <w:szCs w:val="20"/>
          <w:lang w:val="en-US"/>
        </w:rPr>
        <w:t>Human Rights (Parliamentary Scrutiny) Act 2011</w:t>
      </w:r>
      <w:r w:rsidRPr="0011072A">
        <w:rPr>
          <w:szCs w:val="20"/>
          <w:lang w:val="en-US"/>
        </w:rPr>
        <w:t>.</w:t>
      </w:r>
      <w:r w:rsidR="0011072A" w:rsidRPr="0011072A">
        <w:rPr>
          <w:szCs w:val="20"/>
          <w:lang w:val="en-US"/>
        </w:rPr>
        <w:t xml:space="preserve">  </w:t>
      </w:r>
    </w:p>
    <w:p w14:paraId="368C19A7" w14:textId="77777777" w:rsidR="0011072A" w:rsidRDefault="0011072A" w:rsidP="0011072A">
      <w:pPr>
        <w:pStyle w:val="ListParagraph"/>
        <w:rPr>
          <w:szCs w:val="20"/>
          <w:lang w:val="en-US"/>
        </w:rPr>
      </w:pPr>
    </w:p>
    <w:p w14:paraId="37C0EB78" w14:textId="77777777" w:rsidR="0011072A" w:rsidRPr="0011072A" w:rsidRDefault="0011072A" w:rsidP="0011072A">
      <w:pPr>
        <w:pStyle w:val="ListParagraph"/>
        <w:numPr>
          <w:ilvl w:val="0"/>
          <w:numId w:val="15"/>
        </w:numPr>
        <w:rPr>
          <w:szCs w:val="20"/>
          <w:lang w:val="en-US"/>
        </w:rPr>
      </w:pPr>
      <w:r>
        <w:rPr>
          <w:szCs w:val="20"/>
          <w:lang w:val="en-US"/>
        </w:rPr>
        <w:t xml:space="preserve">A </w:t>
      </w:r>
      <w:r w:rsidRPr="0011072A">
        <w:rPr>
          <w:szCs w:val="20"/>
          <w:lang w:val="en-US"/>
        </w:rPr>
        <w:t>Statement of Compatibility with Human Rights</w:t>
      </w:r>
      <w:r>
        <w:rPr>
          <w:szCs w:val="20"/>
          <w:lang w:val="en-US"/>
        </w:rPr>
        <w:t xml:space="preserve"> in relation to the trade reporting regime generally is provided at page 55 of the Revised Explanatory Memorandum to the </w:t>
      </w:r>
      <w:r w:rsidRPr="0044339D">
        <w:rPr>
          <w:lang w:val="en-US"/>
        </w:rPr>
        <w:t>Corporations Legislation Amendment (Derivatives Transactions) Act 2012</w:t>
      </w:r>
      <w:r>
        <w:rPr>
          <w:lang w:val="en-US"/>
        </w:rPr>
        <w:t>.</w:t>
      </w:r>
    </w:p>
    <w:p w14:paraId="7F161F39" w14:textId="77777777" w:rsidR="00347FE5" w:rsidRPr="00347FE5" w:rsidRDefault="000C07E9" w:rsidP="00347FE5">
      <w:pPr>
        <w:pStyle w:val="Heading1"/>
        <w:tabs>
          <w:tab w:val="clear" w:pos="879"/>
        </w:tabs>
        <w:overflowPunct/>
        <w:autoSpaceDE/>
        <w:autoSpaceDN/>
        <w:adjustRightInd/>
        <w:spacing w:after="60" w:line="240" w:lineRule="auto"/>
        <w:textAlignment w:val="auto"/>
        <w:rPr>
          <w:rFonts w:cs="Arial"/>
          <w:bCs/>
          <w:kern w:val="32"/>
          <w:sz w:val="24"/>
          <w:szCs w:val="32"/>
        </w:rPr>
      </w:pPr>
      <w:r>
        <w:rPr>
          <w:rFonts w:cs="Arial"/>
          <w:bCs/>
          <w:kern w:val="32"/>
          <w:sz w:val="24"/>
          <w:szCs w:val="32"/>
        </w:rPr>
        <w:t>Consulta</w:t>
      </w:r>
      <w:r w:rsidR="00B76F80">
        <w:rPr>
          <w:rFonts w:cs="Arial"/>
          <w:bCs/>
          <w:kern w:val="32"/>
          <w:sz w:val="24"/>
          <w:szCs w:val="32"/>
        </w:rPr>
        <w:t>tion</w:t>
      </w:r>
      <w:bookmarkEnd w:id="4"/>
    </w:p>
    <w:p w14:paraId="0EB8DC99" w14:textId="77777777" w:rsidR="00347FE5" w:rsidRPr="0044339D" w:rsidRDefault="00DF6EF8" w:rsidP="0011072A">
      <w:pPr>
        <w:pStyle w:val="BodyText"/>
        <w:numPr>
          <w:ilvl w:val="0"/>
          <w:numId w:val="15"/>
        </w:numPr>
        <w:tabs>
          <w:tab w:val="clear" w:pos="567"/>
          <w:tab w:val="clear" w:pos="680"/>
        </w:tabs>
        <w:rPr>
          <w:lang w:val="en-US"/>
        </w:rPr>
      </w:pPr>
      <w:r w:rsidRPr="00347FE5">
        <w:rPr>
          <w:lang w:val="en-US"/>
        </w:rPr>
        <w:t xml:space="preserve">Consultation on proposals for the prescription of </w:t>
      </w:r>
      <w:r w:rsidR="00666497" w:rsidRPr="00347FE5">
        <w:rPr>
          <w:lang w:val="en-US"/>
        </w:rPr>
        <w:t>the</w:t>
      </w:r>
      <w:r w:rsidRPr="00347FE5">
        <w:rPr>
          <w:lang w:val="en-US"/>
        </w:rPr>
        <w:t xml:space="preserve"> derivatives for trade reporting rule making purposes commenced on 12 December, with a 15 February 2013 close</w:t>
      </w:r>
      <w:r w:rsidR="0011072A">
        <w:rPr>
          <w:lang w:val="en-US"/>
        </w:rPr>
        <w:t xml:space="preserve">, by way of the Treasury discussion paper </w:t>
      </w:r>
      <w:r w:rsidR="0011072A" w:rsidRPr="0011072A">
        <w:rPr>
          <w:i/>
          <w:lang w:val="en-US"/>
        </w:rPr>
        <w:t>Implementation of Australia's G-20 over-the-counter derivatives commitments</w:t>
      </w:r>
      <w:r w:rsidRPr="00347FE5">
        <w:rPr>
          <w:lang w:val="en-US"/>
        </w:rPr>
        <w:t xml:space="preserve">.  </w:t>
      </w:r>
      <w:r w:rsidR="00B55F34" w:rsidRPr="00347FE5">
        <w:rPr>
          <w:lang w:val="en-US"/>
        </w:rPr>
        <w:t xml:space="preserve">The proposals were based on recommendations provided by </w:t>
      </w:r>
      <w:r w:rsidR="0011072A">
        <w:rPr>
          <w:lang w:val="en-US"/>
        </w:rPr>
        <w:t>the Australian Prudential Regulatory Authority,</w:t>
      </w:r>
      <w:r w:rsidR="00B55F34" w:rsidRPr="00347FE5">
        <w:rPr>
          <w:lang w:val="en-US"/>
        </w:rPr>
        <w:t xml:space="preserve"> ASIC and the R</w:t>
      </w:r>
      <w:r w:rsidR="0011072A">
        <w:rPr>
          <w:lang w:val="en-US"/>
        </w:rPr>
        <w:t>eserve Bank of Australia</w:t>
      </w:r>
      <w:r w:rsidR="00B55F34" w:rsidRPr="00347FE5">
        <w:rPr>
          <w:lang w:val="en-US"/>
        </w:rPr>
        <w:t xml:space="preserve"> contained in the Regulators’ Report published in October 2012. </w:t>
      </w:r>
      <w:r w:rsidR="003A2B09" w:rsidRPr="00347FE5">
        <w:rPr>
          <w:lang w:val="en-US"/>
        </w:rPr>
        <w:t xml:space="preserve"> </w:t>
      </w:r>
    </w:p>
    <w:p w14:paraId="64F39C0B" w14:textId="77777777" w:rsidR="00347FE5" w:rsidRPr="0044339D" w:rsidRDefault="003A2B09" w:rsidP="0044339D">
      <w:pPr>
        <w:pStyle w:val="BodyText"/>
        <w:numPr>
          <w:ilvl w:val="0"/>
          <w:numId w:val="15"/>
        </w:numPr>
        <w:tabs>
          <w:tab w:val="clear" w:pos="567"/>
          <w:tab w:val="clear" w:pos="680"/>
        </w:tabs>
        <w:rPr>
          <w:lang w:val="en-US"/>
        </w:rPr>
      </w:pPr>
      <w:r w:rsidRPr="00347FE5">
        <w:rPr>
          <w:lang w:val="en-US"/>
        </w:rPr>
        <w:t>Overall 23 formal submissions were received, comprising 20 public submissions and 3 confidential submissions. Respondents included market participants, financial and other professional service providers, financial institutions, financial industry associations, and energy</w:t>
      </w:r>
      <w:r w:rsidR="00347FE5">
        <w:rPr>
          <w:lang w:val="en-US"/>
        </w:rPr>
        <w:t xml:space="preserve"> sector firms and associations.</w:t>
      </w:r>
    </w:p>
    <w:p w14:paraId="70B63041" w14:textId="77777777" w:rsidR="00347FE5" w:rsidRPr="0044339D" w:rsidRDefault="00985F79" w:rsidP="0044339D">
      <w:pPr>
        <w:pStyle w:val="BodyText"/>
        <w:numPr>
          <w:ilvl w:val="0"/>
          <w:numId w:val="15"/>
        </w:numPr>
        <w:tabs>
          <w:tab w:val="clear" w:pos="567"/>
          <w:tab w:val="clear" w:pos="680"/>
        </w:tabs>
        <w:rPr>
          <w:lang w:val="en-US"/>
        </w:rPr>
      </w:pPr>
      <w:r w:rsidRPr="00347FE5">
        <w:rPr>
          <w:lang w:val="en-US"/>
        </w:rPr>
        <w:t xml:space="preserve">Stakeholder submissions were broadly supportive of the Government’s approach towards implementing its G-20 OTC derivatives commitments and agreed with the importance of the commitments being implemented in a globally coordinated, least cost manner. </w:t>
      </w:r>
    </w:p>
    <w:p w14:paraId="18661AC9" w14:textId="77777777" w:rsidR="00347FE5" w:rsidRPr="0044339D" w:rsidRDefault="00985F79" w:rsidP="0044339D">
      <w:pPr>
        <w:pStyle w:val="BodyText"/>
        <w:numPr>
          <w:ilvl w:val="0"/>
          <w:numId w:val="15"/>
        </w:numPr>
        <w:tabs>
          <w:tab w:val="clear" w:pos="567"/>
          <w:tab w:val="clear" w:pos="680"/>
        </w:tabs>
        <w:rPr>
          <w:lang w:val="en-US"/>
        </w:rPr>
      </w:pPr>
      <w:r w:rsidRPr="00347FE5">
        <w:rPr>
          <w:lang w:val="en-US"/>
        </w:rPr>
        <w:lastRenderedPageBreak/>
        <w:t xml:space="preserve">Energy sector respondents were comfortable with the position of </w:t>
      </w:r>
      <w:r w:rsidR="0011072A">
        <w:rPr>
          <w:lang w:val="en-US"/>
        </w:rPr>
        <w:t xml:space="preserve">delaying any decision on the introduction of </w:t>
      </w:r>
      <w:r w:rsidRPr="00347FE5">
        <w:rPr>
          <w:lang w:val="en-US"/>
        </w:rPr>
        <w:t>mandatory trade reporting for electricity derivatives until after the AEMC’s financial resili</w:t>
      </w:r>
      <w:r w:rsidR="0044339D">
        <w:rPr>
          <w:lang w:val="en-US"/>
        </w:rPr>
        <w:t>ence review had been completed.</w:t>
      </w:r>
    </w:p>
    <w:p w14:paraId="201E5D86" w14:textId="77777777" w:rsidR="00347FE5" w:rsidRPr="0044339D" w:rsidRDefault="005D46DC" w:rsidP="0044339D">
      <w:pPr>
        <w:pStyle w:val="BodyText"/>
        <w:numPr>
          <w:ilvl w:val="0"/>
          <w:numId w:val="15"/>
        </w:numPr>
        <w:tabs>
          <w:tab w:val="clear" w:pos="567"/>
          <w:tab w:val="clear" w:pos="680"/>
        </w:tabs>
        <w:rPr>
          <w:lang w:val="en-US"/>
        </w:rPr>
      </w:pPr>
      <w:r>
        <w:rPr>
          <w:lang w:val="en-US"/>
        </w:rPr>
        <w:t>T</w:t>
      </w:r>
      <w:r w:rsidR="00DF6EF8" w:rsidRPr="00347FE5">
        <w:rPr>
          <w:lang w:val="en-US"/>
        </w:rPr>
        <w:t>he Minister for Resources and Energy has been consulted</w:t>
      </w:r>
      <w:r>
        <w:rPr>
          <w:lang w:val="en-US"/>
        </w:rPr>
        <w:t xml:space="preserve"> separately</w:t>
      </w:r>
      <w:r w:rsidR="00DF6EF8" w:rsidRPr="00347FE5">
        <w:rPr>
          <w:lang w:val="en-US"/>
        </w:rPr>
        <w:t xml:space="preserve"> on this Determination</w:t>
      </w:r>
      <w:r>
        <w:rPr>
          <w:lang w:val="en-US"/>
        </w:rPr>
        <w:t>,</w:t>
      </w:r>
      <w:r w:rsidR="00DF6EF8" w:rsidRPr="00347FE5">
        <w:rPr>
          <w:lang w:val="en-US"/>
        </w:rPr>
        <w:t xml:space="preserve"> given the Determination includes commodity derivative</w:t>
      </w:r>
      <w:r w:rsidR="0044339D">
        <w:rPr>
          <w:lang w:val="en-US"/>
        </w:rPr>
        <w:t>s in ASIC’s rule making power.</w:t>
      </w:r>
    </w:p>
    <w:p w14:paraId="47F6A29D" w14:textId="77777777" w:rsidR="00347FE5" w:rsidRDefault="000C07E9" w:rsidP="00347FE5">
      <w:pPr>
        <w:pStyle w:val="Heading1"/>
        <w:tabs>
          <w:tab w:val="clear" w:pos="879"/>
        </w:tabs>
        <w:overflowPunct/>
        <w:autoSpaceDE/>
        <w:autoSpaceDN/>
        <w:adjustRightInd/>
        <w:spacing w:after="60" w:line="240" w:lineRule="auto"/>
        <w:textAlignment w:val="auto"/>
        <w:rPr>
          <w:rFonts w:cs="Arial"/>
          <w:bCs/>
          <w:kern w:val="32"/>
          <w:sz w:val="24"/>
          <w:szCs w:val="32"/>
        </w:rPr>
      </w:pPr>
      <w:r w:rsidRPr="000C07E9">
        <w:rPr>
          <w:rFonts w:cs="Arial"/>
          <w:bCs/>
          <w:kern w:val="32"/>
          <w:sz w:val="24"/>
          <w:szCs w:val="32"/>
        </w:rPr>
        <w:t>Regulatory Impact Statement</w:t>
      </w:r>
    </w:p>
    <w:p w14:paraId="5BC93F12" w14:textId="77777777" w:rsidR="00347FE5" w:rsidRPr="00347FE5" w:rsidRDefault="00347FE5" w:rsidP="00347FE5">
      <w:pPr>
        <w:pStyle w:val="CommentText"/>
      </w:pPr>
    </w:p>
    <w:p w14:paraId="52856DCE" w14:textId="77777777" w:rsidR="006107C0" w:rsidRPr="006C32C1" w:rsidRDefault="002957F0" w:rsidP="00347FE5">
      <w:pPr>
        <w:pStyle w:val="ListParagraph"/>
        <w:numPr>
          <w:ilvl w:val="0"/>
          <w:numId w:val="15"/>
        </w:numPr>
        <w:rPr>
          <w:szCs w:val="20"/>
          <w:lang w:val="en-US"/>
        </w:rPr>
      </w:pPr>
      <w:r w:rsidRPr="006C32C1">
        <w:rPr>
          <w:szCs w:val="20"/>
          <w:lang w:val="en-US"/>
        </w:rPr>
        <w:t>A regulatory impact statement on the proposed trade reporting reforms ha</w:t>
      </w:r>
      <w:r w:rsidR="00047E36" w:rsidRPr="006C32C1">
        <w:rPr>
          <w:szCs w:val="20"/>
          <w:lang w:val="en-US"/>
        </w:rPr>
        <w:t>s</w:t>
      </w:r>
      <w:r w:rsidRPr="006C32C1">
        <w:rPr>
          <w:szCs w:val="20"/>
          <w:lang w:val="en-US"/>
        </w:rPr>
        <w:t xml:space="preserve"> been judged as compliant by the Office of </w:t>
      </w:r>
      <w:r w:rsidR="006C32C1">
        <w:rPr>
          <w:szCs w:val="20"/>
          <w:lang w:val="en-US"/>
        </w:rPr>
        <w:t>Best Practice Regulation (</w:t>
      </w:r>
      <w:r w:rsidR="006C32C1" w:rsidRPr="00301650">
        <w:rPr>
          <w:szCs w:val="20"/>
          <w:u w:val="single"/>
          <w:lang w:val="en-US"/>
        </w:rPr>
        <w:t>ref: 13512</w:t>
      </w:r>
      <w:r w:rsidRPr="006C32C1">
        <w:rPr>
          <w:szCs w:val="20"/>
          <w:lang w:val="en-US"/>
        </w:rPr>
        <w:t>)</w:t>
      </w:r>
      <w:r w:rsidR="00994C11" w:rsidRPr="006C32C1">
        <w:rPr>
          <w:szCs w:val="20"/>
          <w:lang w:val="en-US"/>
        </w:rPr>
        <w:t xml:space="preserve">. </w:t>
      </w:r>
    </w:p>
    <w:sectPr w:rsidR="006107C0" w:rsidRPr="006C32C1" w:rsidSect="00065887">
      <w:headerReference w:type="even" r:id="rId12"/>
      <w:headerReference w:type="default" r:id="rId13"/>
      <w:footerReference w:type="default" r:id="rId14"/>
      <w:headerReference w:type="first" r:id="rId15"/>
      <w:pgSz w:w="11906" w:h="16838" w:code="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39D0C6" w14:textId="77777777" w:rsidR="008E48CB" w:rsidRDefault="008E48CB" w:rsidP="00A4388C">
      <w:r>
        <w:separator/>
      </w:r>
    </w:p>
  </w:endnote>
  <w:endnote w:type="continuationSeparator" w:id="0">
    <w:p w14:paraId="5D780FFA" w14:textId="77777777" w:rsidR="008E48CB" w:rsidRDefault="008E48CB" w:rsidP="00A43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77CA75" w14:textId="77777777" w:rsidR="00065887" w:rsidRPr="002D10D6" w:rsidRDefault="00065887">
    <w:pPr>
      <w:pStyle w:val="Footer"/>
      <w:rPr>
        <w:sz w:val="22"/>
        <w:szCs w:val="22"/>
      </w:rPr>
    </w:pPr>
  </w:p>
  <w:p w14:paraId="679EACF7" w14:textId="77777777" w:rsidR="00065887" w:rsidRDefault="000658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D250A0" w14:textId="77777777" w:rsidR="008E48CB" w:rsidRDefault="008E48CB" w:rsidP="00A4388C">
      <w:r>
        <w:separator/>
      </w:r>
    </w:p>
  </w:footnote>
  <w:footnote w:type="continuationSeparator" w:id="0">
    <w:p w14:paraId="457C9C3D" w14:textId="77777777" w:rsidR="008E48CB" w:rsidRDefault="008E48CB" w:rsidP="00A438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4A890F" w14:textId="77777777" w:rsidR="00065887" w:rsidRDefault="000B292B">
    <w:pPr>
      <w:pStyle w:val="Header"/>
    </w:pPr>
    <w:r>
      <w:rPr>
        <w:noProof/>
      </w:rPr>
      <w:pict w14:anchorId="47F14EB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8194" type="#_x0000_t136" style="position:absolute;margin-left:0;margin-top:0;width:418.5pt;height:167.4pt;rotation:315;z-index:-2516587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5723B4" w14:textId="77777777" w:rsidR="00065887" w:rsidRDefault="000B292B">
    <w:pPr>
      <w:pStyle w:val="Header"/>
      <w:jc w:val="center"/>
    </w:pPr>
    <w:sdt>
      <w:sdtPr>
        <w:id w:val="-2064483217"/>
        <w:docPartObj>
          <w:docPartGallery w:val="Page Numbers (Top of Page)"/>
          <w:docPartUnique/>
        </w:docPartObj>
      </w:sdtPr>
      <w:sdtEndPr/>
      <w:sdtContent>
        <w:r w:rsidR="009F0081">
          <w:fldChar w:fldCharType="begin"/>
        </w:r>
        <w:r w:rsidR="003446F9">
          <w:instrText xml:space="preserve"> PAGE   \* MERGEFORMAT </w:instrText>
        </w:r>
        <w:r w:rsidR="009F0081">
          <w:fldChar w:fldCharType="separate"/>
        </w:r>
        <w:r>
          <w:rPr>
            <w:noProof/>
          </w:rPr>
          <w:t>1</w:t>
        </w:r>
        <w:r w:rsidR="009F0081">
          <w:rPr>
            <w:noProof/>
          </w:rPr>
          <w:fldChar w:fldCharType="end"/>
        </w:r>
      </w:sdtContent>
    </w:sdt>
  </w:p>
  <w:p w14:paraId="0801B5EB" w14:textId="77777777" w:rsidR="00065887" w:rsidRDefault="0006588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48A015" w14:textId="77777777" w:rsidR="00065887" w:rsidRDefault="00065887">
    <w:pPr>
      <w:pStyle w:val="Header"/>
      <w:jc w:val="center"/>
    </w:pPr>
  </w:p>
  <w:sdt>
    <w:sdtPr>
      <w:id w:val="492372786"/>
      <w:docPartObj>
        <w:docPartGallery w:val="Page Numbers (Top of Page)"/>
        <w:docPartUnique/>
      </w:docPartObj>
    </w:sdtPr>
    <w:sdtEndPr/>
    <w:sdtContent>
      <w:p w14:paraId="5532120E" w14:textId="77777777" w:rsidR="00065887" w:rsidRDefault="00065887">
        <w:pPr>
          <w:pStyle w:val="Header"/>
          <w:jc w:val="center"/>
        </w:pPr>
      </w:p>
      <w:p w14:paraId="7CEB8769" w14:textId="77777777" w:rsidR="00065887" w:rsidRDefault="000B292B">
        <w:pPr>
          <w:pStyle w:val="Header"/>
          <w:jc w:val="center"/>
        </w:pPr>
      </w:p>
    </w:sdtContent>
  </w:sdt>
  <w:p w14:paraId="72B6CFA9" w14:textId="77777777" w:rsidR="00065887" w:rsidRDefault="000658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9165A"/>
    <w:multiLevelType w:val="hybridMultilevel"/>
    <w:tmpl w:val="73B2EB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EAC03BC"/>
    <w:multiLevelType w:val="hybridMultilevel"/>
    <w:tmpl w:val="BA9C7B34"/>
    <w:lvl w:ilvl="0" w:tplc="BCE4EAB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2B55A0A"/>
    <w:multiLevelType w:val="hybridMultilevel"/>
    <w:tmpl w:val="EEACF3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59D5EBF"/>
    <w:multiLevelType w:val="hybridMultilevel"/>
    <w:tmpl w:val="02AE4EDA"/>
    <w:lvl w:ilvl="0" w:tplc="4DAE7A48">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B2C29BA"/>
    <w:multiLevelType w:val="hybridMultilevel"/>
    <w:tmpl w:val="BBCAABA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22717EC8"/>
    <w:multiLevelType w:val="hybridMultilevel"/>
    <w:tmpl w:val="06C29FAC"/>
    <w:lvl w:ilvl="0" w:tplc="1734894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32396367"/>
    <w:multiLevelType w:val="hybridMultilevel"/>
    <w:tmpl w:val="4D8675FE"/>
    <w:lvl w:ilvl="0" w:tplc="0C09000F">
      <w:start w:val="1"/>
      <w:numFmt w:val="decimal"/>
      <w:lvlText w:val="%1."/>
      <w:lvlJc w:val="left"/>
      <w:pPr>
        <w:ind w:left="720" w:hanging="360"/>
      </w:pPr>
    </w:lvl>
    <w:lvl w:ilvl="1" w:tplc="0E5C53A2">
      <w:start w:val="1"/>
      <w:numFmt w:val="bullet"/>
      <w:lvlText w:val=""/>
      <w:lvlJc w:val="left"/>
      <w:pPr>
        <w:ind w:left="1440" w:hanging="360"/>
      </w:pPr>
      <w:rPr>
        <w:rFonts w:ascii="Symbol" w:hAnsi="Symbol"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37184FDB"/>
    <w:multiLevelType w:val="hybridMultilevel"/>
    <w:tmpl w:val="B30AF8AE"/>
    <w:lvl w:ilvl="0" w:tplc="D8582876">
      <w:start w:val="1"/>
      <w:numFmt w:val="lowerLetter"/>
      <w:lvlText w:val="(%1)"/>
      <w:lvlJc w:val="left"/>
      <w:pPr>
        <w:ind w:left="765" w:hanging="360"/>
      </w:pPr>
      <w:rPr>
        <w:rFonts w:hint="default"/>
      </w:rPr>
    </w:lvl>
    <w:lvl w:ilvl="1" w:tplc="0C090019" w:tentative="1">
      <w:start w:val="1"/>
      <w:numFmt w:val="lowerLetter"/>
      <w:lvlText w:val="%2."/>
      <w:lvlJc w:val="left"/>
      <w:pPr>
        <w:ind w:left="1485" w:hanging="360"/>
      </w:pPr>
    </w:lvl>
    <w:lvl w:ilvl="2" w:tplc="0C09001B" w:tentative="1">
      <w:start w:val="1"/>
      <w:numFmt w:val="lowerRoman"/>
      <w:lvlText w:val="%3."/>
      <w:lvlJc w:val="right"/>
      <w:pPr>
        <w:ind w:left="2205" w:hanging="180"/>
      </w:pPr>
    </w:lvl>
    <w:lvl w:ilvl="3" w:tplc="0C09000F" w:tentative="1">
      <w:start w:val="1"/>
      <w:numFmt w:val="decimal"/>
      <w:lvlText w:val="%4."/>
      <w:lvlJc w:val="left"/>
      <w:pPr>
        <w:ind w:left="2925" w:hanging="360"/>
      </w:pPr>
    </w:lvl>
    <w:lvl w:ilvl="4" w:tplc="0C090019" w:tentative="1">
      <w:start w:val="1"/>
      <w:numFmt w:val="lowerLetter"/>
      <w:lvlText w:val="%5."/>
      <w:lvlJc w:val="left"/>
      <w:pPr>
        <w:ind w:left="3645" w:hanging="360"/>
      </w:pPr>
    </w:lvl>
    <w:lvl w:ilvl="5" w:tplc="0C09001B" w:tentative="1">
      <w:start w:val="1"/>
      <w:numFmt w:val="lowerRoman"/>
      <w:lvlText w:val="%6."/>
      <w:lvlJc w:val="right"/>
      <w:pPr>
        <w:ind w:left="4365" w:hanging="180"/>
      </w:pPr>
    </w:lvl>
    <w:lvl w:ilvl="6" w:tplc="0C09000F" w:tentative="1">
      <w:start w:val="1"/>
      <w:numFmt w:val="decimal"/>
      <w:lvlText w:val="%7."/>
      <w:lvlJc w:val="left"/>
      <w:pPr>
        <w:ind w:left="5085" w:hanging="360"/>
      </w:pPr>
    </w:lvl>
    <w:lvl w:ilvl="7" w:tplc="0C090019" w:tentative="1">
      <w:start w:val="1"/>
      <w:numFmt w:val="lowerLetter"/>
      <w:lvlText w:val="%8."/>
      <w:lvlJc w:val="left"/>
      <w:pPr>
        <w:ind w:left="5805" w:hanging="360"/>
      </w:pPr>
    </w:lvl>
    <w:lvl w:ilvl="8" w:tplc="0C09001B" w:tentative="1">
      <w:start w:val="1"/>
      <w:numFmt w:val="lowerRoman"/>
      <w:lvlText w:val="%9."/>
      <w:lvlJc w:val="right"/>
      <w:pPr>
        <w:ind w:left="6525" w:hanging="180"/>
      </w:pPr>
    </w:lvl>
  </w:abstractNum>
  <w:abstractNum w:abstractNumId="8">
    <w:nsid w:val="3A853836"/>
    <w:multiLevelType w:val="hybridMultilevel"/>
    <w:tmpl w:val="C9E272C2"/>
    <w:lvl w:ilvl="0" w:tplc="3CA2668E">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D3A2B1A"/>
    <w:multiLevelType w:val="hybridMultilevel"/>
    <w:tmpl w:val="7B18A2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D714D4B"/>
    <w:multiLevelType w:val="multilevel"/>
    <w:tmpl w:val="A316FE50"/>
    <w:styleLink w:val="ChapterList"/>
    <w:lvl w:ilvl="0">
      <w:start w:val="1"/>
      <w:numFmt w:val="decimal"/>
      <w:pStyle w:val="ChapterHeading"/>
      <w:lvlText w:val="Chapter %1"/>
      <w:lvlJc w:val="left"/>
      <w:pPr>
        <w:tabs>
          <w:tab w:val="num" w:pos="1134"/>
        </w:tabs>
        <w:ind w:left="0" w:firstLine="0"/>
      </w:pPr>
      <w:rPr>
        <w:rFonts w:hint="default"/>
      </w:rPr>
    </w:lvl>
    <w:lvl w:ilvl="1">
      <w:start w:val="1"/>
      <w:numFmt w:val="decimal"/>
      <w:pStyle w:val="base-text-paragraph"/>
      <w:lvlText w:val="%1.%2"/>
      <w:lvlJc w:val="left"/>
      <w:pPr>
        <w:tabs>
          <w:tab w:val="num" w:pos="1986"/>
        </w:tabs>
        <w:ind w:left="1135" w:firstLine="0"/>
      </w:pPr>
      <w:rPr>
        <w:rFonts w:hint="default"/>
      </w:rPr>
    </w:lvl>
    <w:lvl w:ilvl="2">
      <w:start w:val="1"/>
      <w:numFmt w:val="decimal"/>
      <w:lvlRestart w:val="1"/>
      <w:pStyle w:val="Diagram"/>
      <w:suff w:val="nothing"/>
      <w:lvlText w:val="Diagram %1.%3"/>
      <w:lvlJc w:val="left"/>
      <w:pPr>
        <w:ind w:left="1134" w:firstLine="0"/>
      </w:pPr>
      <w:rPr>
        <w:rFonts w:hint="default"/>
      </w:rPr>
    </w:lvl>
    <w:lvl w:ilvl="3">
      <w:start w:val="1"/>
      <w:numFmt w:val="decimal"/>
      <w:lvlRestart w:val="1"/>
      <w:pStyle w:val="ExampleHeading"/>
      <w:suff w:val="nothing"/>
      <w:lvlText w:val="Example %1.%4"/>
      <w:lvlJc w:val="left"/>
      <w:pPr>
        <w:ind w:left="1134" w:firstLine="0"/>
      </w:pPr>
      <w:rPr>
        <w:rFonts w:hint="default"/>
      </w:rPr>
    </w:lvl>
    <w:lvl w:ilvl="4">
      <w:start w:val="1"/>
      <w:numFmt w:val="decimal"/>
      <w:lvlRestart w:val="1"/>
      <w:pStyle w:val="TableHeadingoutsidetable"/>
      <w:suff w:val="nothing"/>
      <w:lvlText w:val="Table %1.%5"/>
      <w:lvlJc w:val="left"/>
      <w:pPr>
        <w:ind w:left="1134"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44E12992"/>
    <w:multiLevelType w:val="hybridMultilevel"/>
    <w:tmpl w:val="40046D04"/>
    <w:lvl w:ilvl="0" w:tplc="9D02CC36">
      <w:start w:val="1"/>
      <w:numFmt w:val="lowerRoman"/>
      <w:pStyle w:val="Subsubpara"/>
      <w:lvlText w:val="(%1)"/>
      <w:lvlJc w:val="left"/>
      <w:pPr>
        <w:tabs>
          <w:tab w:val="num" w:pos="1799"/>
        </w:tabs>
        <w:ind w:left="1259"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9230C34"/>
    <w:multiLevelType w:val="hybridMultilevel"/>
    <w:tmpl w:val="BBCAABA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5FC66DE8"/>
    <w:multiLevelType w:val="hybridMultilevel"/>
    <w:tmpl w:val="BBCAABA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65DF6494"/>
    <w:multiLevelType w:val="multilevel"/>
    <w:tmpl w:val="A316FE50"/>
    <w:numStyleLink w:val="ChapterList"/>
  </w:abstractNum>
  <w:abstractNum w:abstractNumId="15">
    <w:nsid w:val="6EA9285D"/>
    <w:multiLevelType w:val="hybridMultilevel"/>
    <w:tmpl w:val="BBCAABA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76475031"/>
    <w:multiLevelType w:val="hybridMultilevel"/>
    <w:tmpl w:val="B30AF8AE"/>
    <w:lvl w:ilvl="0" w:tplc="D8582876">
      <w:start w:val="1"/>
      <w:numFmt w:val="lowerLetter"/>
      <w:lvlText w:val="(%1)"/>
      <w:lvlJc w:val="left"/>
      <w:pPr>
        <w:ind w:left="765" w:hanging="360"/>
      </w:pPr>
      <w:rPr>
        <w:rFonts w:hint="default"/>
      </w:rPr>
    </w:lvl>
    <w:lvl w:ilvl="1" w:tplc="0C090019" w:tentative="1">
      <w:start w:val="1"/>
      <w:numFmt w:val="lowerLetter"/>
      <w:lvlText w:val="%2."/>
      <w:lvlJc w:val="left"/>
      <w:pPr>
        <w:ind w:left="1485" w:hanging="360"/>
      </w:pPr>
    </w:lvl>
    <w:lvl w:ilvl="2" w:tplc="0C09001B" w:tentative="1">
      <w:start w:val="1"/>
      <w:numFmt w:val="lowerRoman"/>
      <w:lvlText w:val="%3."/>
      <w:lvlJc w:val="right"/>
      <w:pPr>
        <w:ind w:left="2205" w:hanging="180"/>
      </w:pPr>
    </w:lvl>
    <w:lvl w:ilvl="3" w:tplc="0C09000F" w:tentative="1">
      <w:start w:val="1"/>
      <w:numFmt w:val="decimal"/>
      <w:lvlText w:val="%4."/>
      <w:lvlJc w:val="left"/>
      <w:pPr>
        <w:ind w:left="2925" w:hanging="360"/>
      </w:pPr>
    </w:lvl>
    <w:lvl w:ilvl="4" w:tplc="0C090019" w:tentative="1">
      <w:start w:val="1"/>
      <w:numFmt w:val="lowerLetter"/>
      <w:lvlText w:val="%5."/>
      <w:lvlJc w:val="left"/>
      <w:pPr>
        <w:ind w:left="3645" w:hanging="360"/>
      </w:pPr>
    </w:lvl>
    <w:lvl w:ilvl="5" w:tplc="0C09001B" w:tentative="1">
      <w:start w:val="1"/>
      <w:numFmt w:val="lowerRoman"/>
      <w:lvlText w:val="%6."/>
      <w:lvlJc w:val="right"/>
      <w:pPr>
        <w:ind w:left="4365" w:hanging="180"/>
      </w:pPr>
    </w:lvl>
    <w:lvl w:ilvl="6" w:tplc="0C09000F" w:tentative="1">
      <w:start w:val="1"/>
      <w:numFmt w:val="decimal"/>
      <w:lvlText w:val="%7."/>
      <w:lvlJc w:val="left"/>
      <w:pPr>
        <w:ind w:left="5085" w:hanging="360"/>
      </w:pPr>
    </w:lvl>
    <w:lvl w:ilvl="7" w:tplc="0C090019" w:tentative="1">
      <w:start w:val="1"/>
      <w:numFmt w:val="lowerLetter"/>
      <w:lvlText w:val="%8."/>
      <w:lvlJc w:val="left"/>
      <w:pPr>
        <w:ind w:left="5805" w:hanging="360"/>
      </w:pPr>
    </w:lvl>
    <w:lvl w:ilvl="8" w:tplc="0C09001B" w:tentative="1">
      <w:start w:val="1"/>
      <w:numFmt w:val="lowerRoman"/>
      <w:lvlText w:val="%9."/>
      <w:lvlJc w:val="right"/>
      <w:pPr>
        <w:ind w:left="6525" w:hanging="180"/>
      </w:pPr>
    </w:lvl>
  </w:abstractNum>
  <w:abstractNum w:abstractNumId="17">
    <w:nsid w:val="77857696"/>
    <w:multiLevelType w:val="hybridMultilevel"/>
    <w:tmpl w:val="4E6618A8"/>
    <w:lvl w:ilvl="0" w:tplc="5726AC30">
      <w:start w:val="1"/>
      <w:numFmt w:val="lowerLetter"/>
      <w:pStyle w:val="Subpara"/>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794428B"/>
    <w:multiLevelType w:val="multilevel"/>
    <w:tmpl w:val="ABCAE828"/>
    <w:name w:val="StandardBulletedList"/>
    <w:lvl w:ilvl="0">
      <w:start w:val="1"/>
      <w:numFmt w:val="bullet"/>
      <w:pStyle w:val="Bullet"/>
      <w:lvlText w:val="•"/>
      <w:lvlJc w:val="left"/>
      <w:pPr>
        <w:tabs>
          <w:tab w:val="num" w:pos="567"/>
        </w:tabs>
        <w:ind w:left="567" w:hanging="567"/>
      </w:pPr>
      <w:rPr>
        <w:rFonts w:ascii="Times New Roman" w:hAnsi="Times New Roman" w:cs="Times New Roman"/>
      </w:rPr>
    </w:lvl>
    <w:lvl w:ilvl="1">
      <w:start w:val="1"/>
      <w:numFmt w:val="bullet"/>
      <w:pStyle w:val="Dash"/>
      <w:lvlText w:val="–"/>
      <w:lvlJc w:val="left"/>
      <w:pPr>
        <w:tabs>
          <w:tab w:val="num" w:pos="1134"/>
        </w:tabs>
        <w:ind w:left="1134" w:hanging="567"/>
      </w:pPr>
      <w:rPr>
        <w:rFonts w:ascii="Times New Roman" w:hAnsi="Times New Roman" w:cs="Times New Roman"/>
      </w:rPr>
    </w:lvl>
    <w:lvl w:ilvl="2">
      <w:start w:val="1"/>
      <w:numFmt w:val="bullet"/>
      <w:pStyle w:val="DoubleDo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17"/>
  </w:num>
  <w:num w:numId="3">
    <w:abstractNumId w:val="11"/>
  </w:num>
  <w:num w:numId="4">
    <w:abstractNumId w:val="7"/>
  </w:num>
  <w:num w:numId="5">
    <w:abstractNumId w:val="16"/>
  </w:num>
  <w:num w:numId="6">
    <w:abstractNumId w:val="9"/>
  </w:num>
  <w:num w:numId="7">
    <w:abstractNumId w:val="8"/>
  </w:num>
  <w:num w:numId="8">
    <w:abstractNumId w:val="2"/>
  </w:num>
  <w:num w:numId="9">
    <w:abstractNumId w:val="5"/>
  </w:num>
  <w:num w:numId="10">
    <w:abstractNumId w:val="0"/>
  </w:num>
  <w:num w:numId="11">
    <w:abstractNumId w:val="1"/>
  </w:num>
  <w:num w:numId="12">
    <w:abstractNumId w:val="18"/>
  </w:num>
  <w:num w:numId="13">
    <w:abstractNumId w:val="10"/>
  </w:num>
  <w:num w:numId="14">
    <w:abstractNumId w:val="14"/>
  </w:num>
  <w:num w:numId="15">
    <w:abstractNumId w:val="13"/>
  </w:num>
  <w:num w:numId="16">
    <w:abstractNumId w:val="4"/>
  </w:num>
  <w:num w:numId="17">
    <w:abstractNumId w:val="6"/>
  </w:num>
  <w:num w:numId="18">
    <w:abstractNumId w:val="15"/>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drawingGridHorizontalSpacing w:val="120"/>
  <w:displayHorizontalDrawingGridEvery w:val="2"/>
  <w:noPunctuationKerning/>
  <w:characterSpacingControl w:val="doNotCompress"/>
  <w:hdrShapeDefaults>
    <o:shapedefaults v:ext="edit" spidmax="8195"/>
    <o:shapelayout v:ext="edit">
      <o:idmap v:ext="edit" data="8"/>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188"/>
    <w:rsid w:val="00002BD3"/>
    <w:rsid w:val="00002CBA"/>
    <w:rsid w:val="00010CB0"/>
    <w:rsid w:val="00010F3B"/>
    <w:rsid w:val="00027D89"/>
    <w:rsid w:val="0003546A"/>
    <w:rsid w:val="00040CFC"/>
    <w:rsid w:val="00047E36"/>
    <w:rsid w:val="000654E9"/>
    <w:rsid w:val="00065887"/>
    <w:rsid w:val="000862C6"/>
    <w:rsid w:val="000912A9"/>
    <w:rsid w:val="000962D4"/>
    <w:rsid w:val="000B15BD"/>
    <w:rsid w:val="000B292B"/>
    <w:rsid w:val="000B2ABA"/>
    <w:rsid w:val="000C07E9"/>
    <w:rsid w:val="000C5F39"/>
    <w:rsid w:val="000E4BAF"/>
    <w:rsid w:val="000E7D6F"/>
    <w:rsid w:val="000F32A1"/>
    <w:rsid w:val="001003CA"/>
    <w:rsid w:val="00101126"/>
    <w:rsid w:val="00101FCA"/>
    <w:rsid w:val="0011072A"/>
    <w:rsid w:val="00114A73"/>
    <w:rsid w:val="001239E9"/>
    <w:rsid w:val="00154D17"/>
    <w:rsid w:val="00160401"/>
    <w:rsid w:val="00165B1F"/>
    <w:rsid w:val="0017152B"/>
    <w:rsid w:val="00172A4C"/>
    <w:rsid w:val="00177334"/>
    <w:rsid w:val="001933D6"/>
    <w:rsid w:val="001A198E"/>
    <w:rsid w:val="001A342B"/>
    <w:rsid w:val="001B1EBE"/>
    <w:rsid w:val="001B3707"/>
    <w:rsid w:val="001B45AC"/>
    <w:rsid w:val="001C32A4"/>
    <w:rsid w:val="001C3F25"/>
    <w:rsid w:val="001D109C"/>
    <w:rsid w:val="001D4AF4"/>
    <w:rsid w:val="001F4363"/>
    <w:rsid w:val="0020102C"/>
    <w:rsid w:val="00211188"/>
    <w:rsid w:val="0023430B"/>
    <w:rsid w:val="00257D80"/>
    <w:rsid w:val="00272066"/>
    <w:rsid w:val="00281228"/>
    <w:rsid w:val="002957F0"/>
    <w:rsid w:val="002A38A6"/>
    <w:rsid w:val="002A5786"/>
    <w:rsid w:val="002B4260"/>
    <w:rsid w:val="002D10D6"/>
    <w:rsid w:val="002D1CA2"/>
    <w:rsid w:val="002D56A2"/>
    <w:rsid w:val="002D6341"/>
    <w:rsid w:val="002D743F"/>
    <w:rsid w:val="002E0CD2"/>
    <w:rsid w:val="002E33AF"/>
    <w:rsid w:val="002E3DFB"/>
    <w:rsid w:val="002F3109"/>
    <w:rsid w:val="00301650"/>
    <w:rsid w:val="00314A05"/>
    <w:rsid w:val="003313FF"/>
    <w:rsid w:val="00336EC7"/>
    <w:rsid w:val="0033797F"/>
    <w:rsid w:val="003435F7"/>
    <w:rsid w:val="003446F9"/>
    <w:rsid w:val="00344E3C"/>
    <w:rsid w:val="00347FE5"/>
    <w:rsid w:val="003567FC"/>
    <w:rsid w:val="00370516"/>
    <w:rsid w:val="00371D95"/>
    <w:rsid w:val="00377E04"/>
    <w:rsid w:val="003870BC"/>
    <w:rsid w:val="003A16B9"/>
    <w:rsid w:val="003A1F4B"/>
    <w:rsid w:val="003A2B09"/>
    <w:rsid w:val="003D3CFD"/>
    <w:rsid w:val="003D56AC"/>
    <w:rsid w:val="003E1891"/>
    <w:rsid w:val="003E7C92"/>
    <w:rsid w:val="004009A9"/>
    <w:rsid w:val="00422DC1"/>
    <w:rsid w:val="00440C1A"/>
    <w:rsid w:val="0044339D"/>
    <w:rsid w:val="004466DA"/>
    <w:rsid w:val="00457C90"/>
    <w:rsid w:val="00485B29"/>
    <w:rsid w:val="004A0545"/>
    <w:rsid w:val="004A3025"/>
    <w:rsid w:val="004A6513"/>
    <w:rsid w:val="004C1471"/>
    <w:rsid w:val="004C1E98"/>
    <w:rsid w:val="004F271F"/>
    <w:rsid w:val="0050426A"/>
    <w:rsid w:val="005202C6"/>
    <w:rsid w:val="00542F23"/>
    <w:rsid w:val="005700EB"/>
    <w:rsid w:val="00581B50"/>
    <w:rsid w:val="00586B53"/>
    <w:rsid w:val="00591EC6"/>
    <w:rsid w:val="00592695"/>
    <w:rsid w:val="00594479"/>
    <w:rsid w:val="005A69AC"/>
    <w:rsid w:val="005D0FCB"/>
    <w:rsid w:val="005D46DC"/>
    <w:rsid w:val="005D5AC5"/>
    <w:rsid w:val="005E269D"/>
    <w:rsid w:val="005F23C0"/>
    <w:rsid w:val="006044C1"/>
    <w:rsid w:val="0060542C"/>
    <w:rsid w:val="006107C0"/>
    <w:rsid w:val="0063086E"/>
    <w:rsid w:val="00641789"/>
    <w:rsid w:val="00642E98"/>
    <w:rsid w:val="00643AB8"/>
    <w:rsid w:val="00647AFB"/>
    <w:rsid w:val="00666497"/>
    <w:rsid w:val="006B00C4"/>
    <w:rsid w:val="006B7F62"/>
    <w:rsid w:val="006C32C1"/>
    <w:rsid w:val="006D625E"/>
    <w:rsid w:val="007056E6"/>
    <w:rsid w:val="00711927"/>
    <w:rsid w:val="00721B1C"/>
    <w:rsid w:val="00726940"/>
    <w:rsid w:val="00746B13"/>
    <w:rsid w:val="00746D71"/>
    <w:rsid w:val="00754E38"/>
    <w:rsid w:val="00767865"/>
    <w:rsid w:val="00770935"/>
    <w:rsid w:val="00777D84"/>
    <w:rsid w:val="00797B16"/>
    <w:rsid w:val="007B0F30"/>
    <w:rsid w:val="008011CC"/>
    <w:rsid w:val="00806F2E"/>
    <w:rsid w:val="00824773"/>
    <w:rsid w:val="0085373D"/>
    <w:rsid w:val="0086578A"/>
    <w:rsid w:val="008A116C"/>
    <w:rsid w:val="008B5C7E"/>
    <w:rsid w:val="008C1836"/>
    <w:rsid w:val="008D18B3"/>
    <w:rsid w:val="008D1AE2"/>
    <w:rsid w:val="008D72EF"/>
    <w:rsid w:val="008E391F"/>
    <w:rsid w:val="008E48CB"/>
    <w:rsid w:val="008E55BA"/>
    <w:rsid w:val="008F01BC"/>
    <w:rsid w:val="0090725E"/>
    <w:rsid w:val="009126AD"/>
    <w:rsid w:val="0091498B"/>
    <w:rsid w:val="00915983"/>
    <w:rsid w:val="00927492"/>
    <w:rsid w:val="0093156D"/>
    <w:rsid w:val="009359F1"/>
    <w:rsid w:val="009419A0"/>
    <w:rsid w:val="00952B08"/>
    <w:rsid w:val="009621B1"/>
    <w:rsid w:val="00963D95"/>
    <w:rsid w:val="009715BB"/>
    <w:rsid w:val="00972DFA"/>
    <w:rsid w:val="00985F79"/>
    <w:rsid w:val="00994C11"/>
    <w:rsid w:val="009B0698"/>
    <w:rsid w:val="009C6818"/>
    <w:rsid w:val="009D1DAA"/>
    <w:rsid w:val="009E1695"/>
    <w:rsid w:val="009E57A3"/>
    <w:rsid w:val="009F0081"/>
    <w:rsid w:val="009F2DAB"/>
    <w:rsid w:val="00A12788"/>
    <w:rsid w:val="00A13A06"/>
    <w:rsid w:val="00A3164F"/>
    <w:rsid w:val="00A40A43"/>
    <w:rsid w:val="00A4388C"/>
    <w:rsid w:val="00A44BDC"/>
    <w:rsid w:val="00A51AFE"/>
    <w:rsid w:val="00A64B0F"/>
    <w:rsid w:val="00A664EB"/>
    <w:rsid w:val="00A67614"/>
    <w:rsid w:val="00A728B2"/>
    <w:rsid w:val="00A75394"/>
    <w:rsid w:val="00A97FA8"/>
    <w:rsid w:val="00AA3206"/>
    <w:rsid w:val="00AB303D"/>
    <w:rsid w:val="00AD3EEC"/>
    <w:rsid w:val="00AE0E65"/>
    <w:rsid w:val="00AE7C64"/>
    <w:rsid w:val="00AF2F4E"/>
    <w:rsid w:val="00B01072"/>
    <w:rsid w:val="00B03D1B"/>
    <w:rsid w:val="00B228EB"/>
    <w:rsid w:val="00B37DEB"/>
    <w:rsid w:val="00B43C50"/>
    <w:rsid w:val="00B45580"/>
    <w:rsid w:val="00B55F34"/>
    <w:rsid w:val="00B76F80"/>
    <w:rsid w:val="00B95A62"/>
    <w:rsid w:val="00BB0385"/>
    <w:rsid w:val="00BB1DBC"/>
    <w:rsid w:val="00BC15C8"/>
    <w:rsid w:val="00BC3D08"/>
    <w:rsid w:val="00BE22F8"/>
    <w:rsid w:val="00BE2D78"/>
    <w:rsid w:val="00BE2E1F"/>
    <w:rsid w:val="00BE5378"/>
    <w:rsid w:val="00BF0F2D"/>
    <w:rsid w:val="00BF76E0"/>
    <w:rsid w:val="00C15F34"/>
    <w:rsid w:val="00C17464"/>
    <w:rsid w:val="00C22360"/>
    <w:rsid w:val="00C2448E"/>
    <w:rsid w:val="00C33795"/>
    <w:rsid w:val="00C36AAB"/>
    <w:rsid w:val="00C400A8"/>
    <w:rsid w:val="00C40EE2"/>
    <w:rsid w:val="00C42656"/>
    <w:rsid w:val="00C5382E"/>
    <w:rsid w:val="00C57683"/>
    <w:rsid w:val="00C67186"/>
    <w:rsid w:val="00C90E5E"/>
    <w:rsid w:val="00C96063"/>
    <w:rsid w:val="00CA45BA"/>
    <w:rsid w:val="00CB0968"/>
    <w:rsid w:val="00CC0F12"/>
    <w:rsid w:val="00CD03F1"/>
    <w:rsid w:val="00CD3DEC"/>
    <w:rsid w:val="00CD4065"/>
    <w:rsid w:val="00CE638F"/>
    <w:rsid w:val="00CE7A97"/>
    <w:rsid w:val="00CF7D5D"/>
    <w:rsid w:val="00D06214"/>
    <w:rsid w:val="00D06A2C"/>
    <w:rsid w:val="00D3128B"/>
    <w:rsid w:val="00D52404"/>
    <w:rsid w:val="00D55DFC"/>
    <w:rsid w:val="00D65831"/>
    <w:rsid w:val="00D671D7"/>
    <w:rsid w:val="00D702CD"/>
    <w:rsid w:val="00D819A3"/>
    <w:rsid w:val="00D83997"/>
    <w:rsid w:val="00D954B1"/>
    <w:rsid w:val="00D972C3"/>
    <w:rsid w:val="00DB480D"/>
    <w:rsid w:val="00DC0D34"/>
    <w:rsid w:val="00DC4761"/>
    <w:rsid w:val="00DC53E0"/>
    <w:rsid w:val="00DC6494"/>
    <w:rsid w:val="00DD3F67"/>
    <w:rsid w:val="00DE0D81"/>
    <w:rsid w:val="00DF6EF8"/>
    <w:rsid w:val="00E04C83"/>
    <w:rsid w:val="00E06B90"/>
    <w:rsid w:val="00E16862"/>
    <w:rsid w:val="00E1703B"/>
    <w:rsid w:val="00E201E3"/>
    <w:rsid w:val="00E20A1B"/>
    <w:rsid w:val="00E27C25"/>
    <w:rsid w:val="00E3301E"/>
    <w:rsid w:val="00E44FDB"/>
    <w:rsid w:val="00E534D5"/>
    <w:rsid w:val="00E82968"/>
    <w:rsid w:val="00EA4DED"/>
    <w:rsid w:val="00EA6F0A"/>
    <w:rsid w:val="00EA7DBD"/>
    <w:rsid w:val="00EB2AC7"/>
    <w:rsid w:val="00EC1C11"/>
    <w:rsid w:val="00ED6031"/>
    <w:rsid w:val="00ED6BAC"/>
    <w:rsid w:val="00EE6B3D"/>
    <w:rsid w:val="00F00734"/>
    <w:rsid w:val="00F23687"/>
    <w:rsid w:val="00F4680C"/>
    <w:rsid w:val="00F52120"/>
    <w:rsid w:val="00F81F92"/>
    <w:rsid w:val="00F911FD"/>
    <w:rsid w:val="00FA15AB"/>
    <w:rsid w:val="00FB63EA"/>
    <w:rsid w:val="00FC2339"/>
    <w:rsid w:val="00FC4891"/>
    <w:rsid w:val="00FD60A5"/>
    <w:rsid w:val="00FF49F3"/>
    <w:rsid w:val="00FF511D"/>
    <w:rsid w:val="00FF61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5"/>
    <o:shapelayout v:ext="edit">
      <o:idmap v:ext="edit" data="1"/>
    </o:shapelayout>
  </w:shapeDefaults>
  <w:decimalSymbol w:val="."/>
  <w:listSeparator w:val=","/>
  <w14:docId w14:val="4A193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862"/>
    <w:rPr>
      <w:sz w:val="24"/>
      <w:szCs w:val="24"/>
      <w:lang w:eastAsia="en-US"/>
    </w:rPr>
  </w:style>
  <w:style w:type="paragraph" w:styleId="Heading1">
    <w:name w:val="heading 1"/>
    <w:aliases w:val="h1,header 1"/>
    <w:next w:val="CommentText"/>
    <w:link w:val="Heading1Char"/>
    <w:qFormat/>
    <w:rsid w:val="00E16862"/>
    <w:pPr>
      <w:keepNext/>
      <w:tabs>
        <w:tab w:val="left" w:pos="879"/>
      </w:tabs>
      <w:overflowPunct w:val="0"/>
      <w:autoSpaceDE w:val="0"/>
      <w:autoSpaceDN w:val="0"/>
      <w:adjustRightInd w:val="0"/>
      <w:spacing w:before="360" w:after="120" w:line="340" w:lineRule="atLeast"/>
      <w:textAlignment w:val="baseline"/>
      <w:outlineLvl w:val="0"/>
    </w:pPr>
    <w:rPr>
      <w:rFonts w:ascii="Arial" w:hAnsi="Arial"/>
      <w:b/>
      <w:kern w:val="28"/>
      <w:sz w:val="40"/>
      <w:lang w:eastAsia="en-US"/>
    </w:rPr>
  </w:style>
  <w:style w:type="paragraph" w:styleId="Heading2">
    <w:name w:val="heading 2"/>
    <w:next w:val="BodyText"/>
    <w:qFormat/>
    <w:rsid w:val="00E16862"/>
    <w:pPr>
      <w:keepNext/>
      <w:overflowPunct w:val="0"/>
      <w:autoSpaceDE w:val="0"/>
      <w:autoSpaceDN w:val="0"/>
      <w:adjustRightInd w:val="0"/>
      <w:spacing w:before="120" w:after="80"/>
      <w:textAlignment w:val="baseline"/>
      <w:outlineLvl w:val="1"/>
    </w:pPr>
    <w:rPr>
      <w:rFonts w:ascii="Arial" w:hAnsi="Arial"/>
      <w:b/>
      <w:sz w:val="32"/>
      <w:lang w:eastAsia="en-US"/>
    </w:rPr>
  </w:style>
  <w:style w:type="paragraph" w:styleId="Heading3">
    <w:name w:val="heading 3"/>
    <w:basedOn w:val="Normal"/>
    <w:next w:val="Normal"/>
    <w:qFormat/>
    <w:rsid w:val="00E16862"/>
    <w:pPr>
      <w:keepNext/>
      <w:spacing w:line="240" w:lineRule="atLeast"/>
      <w:ind w:left="357"/>
      <w:jc w:val="right"/>
      <w:outlineLvl w:val="2"/>
    </w:pPr>
  </w:style>
  <w:style w:type="paragraph" w:styleId="Heading4">
    <w:name w:val="heading 4"/>
    <w:basedOn w:val="Normal"/>
    <w:next w:val="Normal"/>
    <w:link w:val="Heading4Char"/>
    <w:uiPriority w:val="9"/>
    <w:semiHidden/>
    <w:unhideWhenUsed/>
    <w:qFormat/>
    <w:rsid w:val="00B4558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semiHidden/>
    <w:rsid w:val="00E16862"/>
    <w:pPr>
      <w:tabs>
        <w:tab w:val="left" w:pos="567"/>
        <w:tab w:val="left" w:pos="680"/>
      </w:tabs>
      <w:overflowPunct w:val="0"/>
      <w:autoSpaceDE w:val="0"/>
      <w:autoSpaceDN w:val="0"/>
      <w:adjustRightInd w:val="0"/>
      <w:spacing w:before="200" w:line="300" w:lineRule="atLeast"/>
      <w:textAlignment w:val="baseline"/>
    </w:pPr>
    <w:rPr>
      <w:sz w:val="24"/>
      <w:lang w:eastAsia="en-US"/>
    </w:rPr>
  </w:style>
  <w:style w:type="paragraph" w:styleId="Title">
    <w:name w:val="Title"/>
    <w:basedOn w:val="Normal"/>
    <w:link w:val="TitleChar"/>
    <w:qFormat/>
    <w:rsid w:val="00E16862"/>
    <w:pPr>
      <w:overflowPunct w:val="0"/>
      <w:autoSpaceDE w:val="0"/>
      <w:autoSpaceDN w:val="0"/>
      <w:adjustRightInd w:val="0"/>
      <w:ind w:left="567" w:hanging="567"/>
      <w:jc w:val="center"/>
      <w:textAlignment w:val="baseline"/>
    </w:pPr>
    <w:rPr>
      <w:b/>
      <w:bCs/>
      <w:sz w:val="28"/>
      <w:szCs w:val="20"/>
    </w:rPr>
  </w:style>
  <w:style w:type="paragraph" w:customStyle="1" w:styleId="BodyTextcentreditals">
    <w:name w:val="Body Text centred itals"/>
    <w:basedOn w:val="BodyText"/>
    <w:rsid w:val="00E16862"/>
    <w:pPr>
      <w:jc w:val="center"/>
    </w:pPr>
    <w:rPr>
      <w:i/>
      <w:iCs/>
    </w:rPr>
  </w:style>
  <w:style w:type="paragraph" w:customStyle="1" w:styleId="BodyTextcentred">
    <w:name w:val="Body Text centred"/>
    <w:basedOn w:val="BodyText"/>
    <w:rsid w:val="00E16862"/>
    <w:pPr>
      <w:jc w:val="center"/>
    </w:pPr>
  </w:style>
  <w:style w:type="paragraph" w:customStyle="1" w:styleId="Subsubpara">
    <w:name w:val="Sub sub para"/>
    <w:basedOn w:val="Normal"/>
    <w:rsid w:val="00E16862"/>
    <w:pPr>
      <w:numPr>
        <w:numId w:val="3"/>
      </w:numPr>
      <w:tabs>
        <w:tab w:val="clear" w:pos="1799"/>
        <w:tab w:val="num" w:pos="360"/>
        <w:tab w:val="left" w:pos="540"/>
      </w:tabs>
      <w:spacing w:before="100" w:line="300" w:lineRule="exact"/>
      <w:ind w:left="0" w:firstLine="0"/>
    </w:pPr>
  </w:style>
  <w:style w:type="paragraph" w:customStyle="1" w:styleId="Subpara">
    <w:name w:val="Sub para"/>
    <w:basedOn w:val="BodyText"/>
    <w:rsid w:val="00E16862"/>
    <w:pPr>
      <w:numPr>
        <w:numId w:val="2"/>
      </w:numPr>
      <w:tabs>
        <w:tab w:val="clear" w:pos="567"/>
        <w:tab w:val="clear" w:pos="680"/>
        <w:tab w:val="clear" w:pos="1440"/>
        <w:tab w:val="num" w:pos="360"/>
        <w:tab w:val="num" w:pos="540"/>
      </w:tabs>
      <w:spacing w:before="100"/>
      <w:ind w:left="0" w:hanging="1440"/>
    </w:pPr>
  </w:style>
  <w:style w:type="paragraph" w:styleId="CommentText">
    <w:name w:val="annotation text"/>
    <w:basedOn w:val="Normal"/>
    <w:link w:val="CommentTextChar"/>
    <w:semiHidden/>
    <w:rsid w:val="00E16862"/>
    <w:rPr>
      <w:sz w:val="20"/>
      <w:szCs w:val="20"/>
    </w:rPr>
  </w:style>
  <w:style w:type="paragraph" w:styleId="Header">
    <w:name w:val="header"/>
    <w:basedOn w:val="Normal"/>
    <w:link w:val="HeaderChar"/>
    <w:uiPriority w:val="99"/>
    <w:unhideWhenUsed/>
    <w:rsid w:val="00A4388C"/>
    <w:pPr>
      <w:tabs>
        <w:tab w:val="center" w:pos="4513"/>
        <w:tab w:val="right" w:pos="9026"/>
      </w:tabs>
    </w:pPr>
  </w:style>
  <w:style w:type="character" w:customStyle="1" w:styleId="HeaderChar">
    <w:name w:val="Header Char"/>
    <w:basedOn w:val="DefaultParagraphFont"/>
    <w:link w:val="Header"/>
    <w:uiPriority w:val="99"/>
    <w:rsid w:val="00A4388C"/>
    <w:rPr>
      <w:sz w:val="24"/>
      <w:szCs w:val="24"/>
      <w:lang w:eastAsia="en-US"/>
    </w:rPr>
  </w:style>
  <w:style w:type="paragraph" w:styleId="Footer">
    <w:name w:val="footer"/>
    <w:basedOn w:val="Normal"/>
    <w:link w:val="FooterChar"/>
    <w:uiPriority w:val="99"/>
    <w:unhideWhenUsed/>
    <w:rsid w:val="00A4388C"/>
    <w:pPr>
      <w:tabs>
        <w:tab w:val="center" w:pos="4513"/>
        <w:tab w:val="right" w:pos="9026"/>
      </w:tabs>
    </w:pPr>
  </w:style>
  <w:style w:type="character" w:customStyle="1" w:styleId="FooterChar">
    <w:name w:val="Footer Char"/>
    <w:basedOn w:val="DefaultParagraphFont"/>
    <w:link w:val="Footer"/>
    <w:uiPriority w:val="99"/>
    <w:rsid w:val="00A4388C"/>
    <w:rPr>
      <w:sz w:val="24"/>
      <w:szCs w:val="24"/>
      <w:lang w:eastAsia="en-US"/>
    </w:rPr>
  </w:style>
  <w:style w:type="paragraph" w:styleId="BalloonText">
    <w:name w:val="Balloon Text"/>
    <w:basedOn w:val="Normal"/>
    <w:link w:val="BalloonTextChar"/>
    <w:uiPriority w:val="99"/>
    <w:semiHidden/>
    <w:unhideWhenUsed/>
    <w:rsid w:val="00A4388C"/>
    <w:rPr>
      <w:rFonts w:ascii="Tahoma" w:hAnsi="Tahoma" w:cs="Tahoma"/>
      <w:sz w:val="16"/>
      <w:szCs w:val="16"/>
    </w:rPr>
  </w:style>
  <w:style w:type="character" w:customStyle="1" w:styleId="BalloonTextChar">
    <w:name w:val="Balloon Text Char"/>
    <w:basedOn w:val="DefaultParagraphFont"/>
    <w:link w:val="BalloonText"/>
    <w:uiPriority w:val="99"/>
    <w:semiHidden/>
    <w:rsid w:val="00A4388C"/>
    <w:rPr>
      <w:rFonts w:ascii="Tahoma" w:hAnsi="Tahoma" w:cs="Tahoma"/>
      <w:sz w:val="16"/>
      <w:szCs w:val="16"/>
      <w:lang w:eastAsia="en-US"/>
    </w:rPr>
  </w:style>
  <w:style w:type="character" w:customStyle="1" w:styleId="Heading1Char">
    <w:name w:val="Heading 1 Char"/>
    <w:aliases w:val="h1 Char,header 1 Char"/>
    <w:basedOn w:val="DefaultParagraphFont"/>
    <w:link w:val="Heading1"/>
    <w:rsid w:val="009715BB"/>
    <w:rPr>
      <w:rFonts w:ascii="Arial" w:hAnsi="Arial"/>
      <w:b/>
      <w:kern w:val="28"/>
      <w:sz w:val="40"/>
      <w:lang w:eastAsia="en-US"/>
    </w:rPr>
  </w:style>
  <w:style w:type="character" w:customStyle="1" w:styleId="BodyTextChar">
    <w:name w:val="Body Text Char"/>
    <w:basedOn w:val="DefaultParagraphFont"/>
    <w:link w:val="BodyText"/>
    <w:semiHidden/>
    <w:rsid w:val="009715BB"/>
    <w:rPr>
      <w:sz w:val="24"/>
      <w:lang w:eastAsia="en-US"/>
    </w:rPr>
  </w:style>
  <w:style w:type="character" w:customStyle="1" w:styleId="TitleChar">
    <w:name w:val="Title Char"/>
    <w:basedOn w:val="DefaultParagraphFont"/>
    <w:link w:val="Title"/>
    <w:rsid w:val="009715BB"/>
    <w:rPr>
      <w:b/>
      <w:bCs/>
      <w:sz w:val="28"/>
      <w:lang w:eastAsia="en-US"/>
    </w:rPr>
  </w:style>
  <w:style w:type="character" w:customStyle="1" w:styleId="CommentTextChar">
    <w:name w:val="Comment Text Char"/>
    <w:basedOn w:val="DefaultParagraphFont"/>
    <w:link w:val="CommentText"/>
    <w:semiHidden/>
    <w:rsid w:val="009715BB"/>
    <w:rPr>
      <w:lang w:eastAsia="en-US"/>
    </w:rPr>
  </w:style>
  <w:style w:type="paragraph" w:customStyle="1" w:styleId="Bullet">
    <w:name w:val="Bullet"/>
    <w:basedOn w:val="Normal"/>
    <w:link w:val="BulletChar"/>
    <w:rsid w:val="00CB0968"/>
    <w:pPr>
      <w:numPr>
        <w:numId w:val="12"/>
      </w:numPr>
    </w:pPr>
    <w:rPr>
      <w:iCs/>
      <w:lang w:val="en-US"/>
    </w:rPr>
  </w:style>
  <w:style w:type="character" w:customStyle="1" w:styleId="BulletChar">
    <w:name w:val="Bullet Char"/>
    <w:basedOn w:val="BodyTextChar"/>
    <w:link w:val="Bullet"/>
    <w:rsid w:val="00CB0968"/>
    <w:rPr>
      <w:iCs/>
      <w:sz w:val="24"/>
      <w:szCs w:val="24"/>
      <w:lang w:val="en-US" w:eastAsia="en-US"/>
    </w:rPr>
  </w:style>
  <w:style w:type="paragraph" w:customStyle="1" w:styleId="Dash">
    <w:name w:val="Dash"/>
    <w:basedOn w:val="Normal"/>
    <w:link w:val="DashChar"/>
    <w:rsid w:val="00CB0968"/>
    <w:pPr>
      <w:numPr>
        <w:ilvl w:val="1"/>
        <w:numId w:val="12"/>
      </w:numPr>
    </w:pPr>
    <w:rPr>
      <w:iCs/>
      <w:lang w:val="en-US"/>
    </w:rPr>
  </w:style>
  <w:style w:type="character" w:customStyle="1" w:styleId="DashChar">
    <w:name w:val="Dash Char"/>
    <w:basedOn w:val="BodyTextChar"/>
    <w:link w:val="Dash"/>
    <w:rsid w:val="00CB0968"/>
    <w:rPr>
      <w:iCs/>
      <w:sz w:val="24"/>
      <w:szCs w:val="24"/>
      <w:lang w:val="en-US" w:eastAsia="en-US"/>
    </w:rPr>
  </w:style>
  <w:style w:type="paragraph" w:customStyle="1" w:styleId="DoubleDot">
    <w:name w:val="Double Dot"/>
    <w:basedOn w:val="Normal"/>
    <w:link w:val="DoubleDotChar"/>
    <w:rsid w:val="00CB0968"/>
    <w:pPr>
      <w:numPr>
        <w:ilvl w:val="2"/>
        <w:numId w:val="12"/>
      </w:numPr>
    </w:pPr>
    <w:rPr>
      <w:iCs/>
      <w:lang w:val="en-US"/>
    </w:rPr>
  </w:style>
  <w:style w:type="character" w:customStyle="1" w:styleId="DoubleDotChar">
    <w:name w:val="Double Dot Char"/>
    <w:basedOn w:val="BodyTextChar"/>
    <w:link w:val="DoubleDot"/>
    <w:rsid w:val="00CB0968"/>
    <w:rPr>
      <w:iCs/>
      <w:sz w:val="24"/>
      <w:szCs w:val="24"/>
      <w:lang w:val="en-US" w:eastAsia="en-US"/>
    </w:rPr>
  </w:style>
  <w:style w:type="paragraph" w:customStyle="1" w:styleId="ChapterHeading">
    <w:name w:val="Chapter Heading"/>
    <w:next w:val="Heading2"/>
    <w:rsid w:val="00B45580"/>
    <w:pPr>
      <w:numPr>
        <w:numId w:val="14"/>
      </w:numPr>
      <w:pBdr>
        <w:top w:val="single" w:sz="4" w:space="1" w:color="auto"/>
        <w:bottom w:val="single" w:sz="4" w:space="1" w:color="auto"/>
      </w:pBdr>
      <w:spacing w:before="240" w:line="260" w:lineRule="atLeast"/>
    </w:pPr>
    <w:rPr>
      <w:rFonts w:ascii="Helvetica" w:hAnsi="Helvetica"/>
      <w:b/>
      <w:i/>
      <w:sz w:val="38"/>
    </w:rPr>
  </w:style>
  <w:style w:type="paragraph" w:customStyle="1" w:styleId="TableHeadingoutsidetable">
    <w:name w:val="Table Heading (outside table)"/>
    <w:basedOn w:val="Heading4"/>
    <w:rsid w:val="00B45580"/>
    <w:pPr>
      <w:keepLines w:val="0"/>
      <w:numPr>
        <w:ilvl w:val="4"/>
        <w:numId w:val="14"/>
      </w:numPr>
      <w:tabs>
        <w:tab w:val="num" w:pos="360"/>
      </w:tabs>
      <w:spacing w:before="120" w:after="120"/>
      <w:ind w:left="0"/>
    </w:pPr>
    <w:rPr>
      <w:rFonts w:ascii="Times New Roman" w:eastAsia="Times New Roman" w:hAnsi="Times New Roman" w:cs="Times New Roman"/>
      <w:bCs w:val="0"/>
      <w:i w:val="0"/>
      <w:iCs w:val="0"/>
      <w:color w:val="auto"/>
      <w:sz w:val="22"/>
      <w:szCs w:val="20"/>
      <w:lang w:eastAsia="en-AU"/>
    </w:rPr>
  </w:style>
  <w:style w:type="paragraph" w:customStyle="1" w:styleId="base-text-paragraph">
    <w:name w:val="base-text-paragraph"/>
    <w:basedOn w:val="Normal"/>
    <w:rsid w:val="00B45580"/>
    <w:pPr>
      <w:numPr>
        <w:ilvl w:val="1"/>
        <w:numId w:val="14"/>
      </w:numPr>
      <w:spacing w:before="120" w:after="120"/>
    </w:pPr>
    <w:rPr>
      <w:sz w:val="22"/>
      <w:szCs w:val="20"/>
      <w:lang w:eastAsia="en-AU"/>
    </w:rPr>
  </w:style>
  <w:style w:type="paragraph" w:customStyle="1" w:styleId="ExampleHeading">
    <w:name w:val="Example Heading"/>
    <w:basedOn w:val="Normal"/>
    <w:next w:val="Normal"/>
    <w:rsid w:val="00B45580"/>
    <w:pPr>
      <w:keepNext/>
      <w:numPr>
        <w:ilvl w:val="3"/>
        <w:numId w:val="14"/>
      </w:numPr>
      <w:spacing w:before="120" w:after="120"/>
    </w:pPr>
    <w:rPr>
      <w:b/>
      <w:sz w:val="22"/>
      <w:szCs w:val="20"/>
      <w:lang w:eastAsia="en-AU"/>
    </w:rPr>
  </w:style>
  <w:style w:type="paragraph" w:customStyle="1" w:styleId="Diagram">
    <w:name w:val="Diagram"/>
    <w:basedOn w:val="Normal"/>
    <w:next w:val="Normal"/>
    <w:rsid w:val="00B45580"/>
    <w:pPr>
      <w:keepNext/>
      <w:numPr>
        <w:ilvl w:val="2"/>
        <w:numId w:val="14"/>
      </w:numPr>
    </w:pPr>
    <w:rPr>
      <w:b/>
      <w:sz w:val="22"/>
      <w:szCs w:val="20"/>
      <w:lang w:eastAsia="en-AU"/>
    </w:rPr>
  </w:style>
  <w:style w:type="numbering" w:customStyle="1" w:styleId="ChapterList">
    <w:name w:val="ChapterList"/>
    <w:uiPriority w:val="99"/>
    <w:rsid w:val="00B45580"/>
    <w:pPr>
      <w:numPr>
        <w:numId w:val="13"/>
      </w:numPr>
    </w:pPr>
  </w:style>
  <w:style w:type="paragraph" w:customStyle="1" w:styleId="ExMemo-Normal">
    <w:name w:val="ExMemo - Normal"/>
    <w:basedOn w:val="base-text-paragraph"/>
    <w:qFormat/>
    <w:rsid w:val="00B45580"/>
    <w:pPr>
      <w:tabs>
        <w:tab w:val="clear" w:pos="1986"/>
        <w:tab w:val="num" w:pos="567"/>
        <w:tab w:val="num" w:pos="2552"/>
      </w:tabs>
      <w:ind w:left="567" w:hanging="567"/>
    </w:pPr>
  </w:style>
  <w:style w:type="character" w:customStyle="1" w:styleId="Heading4Char">
    <w:name w:val="Heading 4 Char"/>
    <w:basedOn w:val="DefaultParagraphFont"/>
    <w:link w:val="Heading4"/>
    <w:uiPriority w:val="9"/>
    <w:semiHidden/>
    <w:rsid w:val="00B45580"/>
    <w:rPr>
      <w:rFonts w:asciiTheme="majorHAnsi" w:eastAsiaTheme="majorEastAsia" w:hAnsiTheme="majorHAnsi" w:cstheme="majorBidi"/>
      <w:b/>
      <w:bCs/>
      <w:i/>
      <w:iCs/>
      <w:color w:val="4F81BD" w:themeColor="accent1"/>
      <w:sz w:val="24"/>
      <w:szCs w:val="24"/>
      <w:lang w:eastAsia="en-US"/>
    </w:rPr>
  </w:style>
  <w:style w:type="paragraph" w:styleId="FootnoteText">
    <w:name w:val="footnote text"/>
    <w:basedOn w:val="Normal"/>
    <w:link w:val="FootnoteTextChar"/>
    <w:uiPriority w:val="99"/>
    <w:rsid w:val="0093156D"/>
    <w:pPr>
      <w:tabs>
        <w:tab w:val="left" w:pos="284"/>
      </w:tabs>
      <w:ind w:left="284" w:hanging="284"/>
      <w:jc w:val="both"/>
    </w:pPr>
    <w:rPr>
      <w:rFonts w:ascii="Book Antiqua" w:hAnsi="Book Antiqua"/>
      <w:color w:val="000000"/>
      <w:sz w:val="18"/>
      <w:szCs w:val="20"/>
      <w:lang w:eastAsia="en-AU"/>
    </w:rPr>
  </w:style>
  <w:style w:type="character" w:customStyle="1" w:styleId="FootnoteTextChar">
    <w:name w:val="Footnote Text Char"/>
    <w:basedOn w:val="DefaultParagraphFont"/>
    <w:link w:val="FootnoteText"/>
    <w:uiPriority w:val="99"/>
    <w:rsid w:val="0093156D"/>
    <w:rPr>
      <w:rFonts w:ascii="Book Antiqua" w:hAnsi="Book Antiqua"/>
      <w:color w:val="000000"/>
      <w:sz w:val="18"/>
    </w:rPr>
  </w:style>
  <w:style w:type="character" w:styleId="FootnoteReference">
    <w:name w:val="footnote reference"/>
    <w:uiPriority w:val="99"/>
    <w:rsid w:val="0093156D"/>
    <w:rPr>
      <w:sz w:val="20"/>
      <w:vertAlign w:val="superscript"/>
    </w:rPr>
  </w:style>
  <w:style w:type="paragraph" w:styleId="ListParagraph">
    <w:name w:val="List Paragraph"/>
    <w:basedOn w:val="Normal"/>
    <w:uiPriority w:val="34"/>
    <w:qFormat/>
    <w:rsid w:val="00047E36"/>
    <w:pPr>
      <w:ind w:left="720"/>
      <w:contextualSpacing/>
    </w:pPr>
  </w:style>
  <w:style w:type="character" w:customStyle="1" w:styleId="st1">
    <w:name w:val="st1"/>
    <w:basedOn w:val="DefaultParagraphFont"/>
    <w:rsid w:val="001107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862"/>
    <w:rPr>
      <w:sz w:val="24"/>
      <w:szCs w:val="24"/>
      <w:lang w:eastAsia="en-US"/>
    </w:rPr>
  </w:style>
  <w:style w:type="paragraph" w:styleId="Heading1">
    <w:name w:val="heading 1"/>
    <w:aliases w:val="h1,header 1"/>
    <w:next w:val="CommentText"/>
    <w:link w:val="Heading1Char"/>
    <w:qFormat/>
    <w:rsid w:val="00E16862"/>
    <w:pPr>
      <w:keepNext/>
      <w:tabs>
        <w:tab w:val="left" w:pos="879"/>
      </w:tabs>
      <w:overflowPunct w:val="0"/>
      <w:autoSpaceDE w:val="0"/>
      <w:autoSpaceDN w:val="0"/>
      <w:adjustRightInd w:val="0"/>
      <w:spacing w:before="360" w:after="120" w:line="340" w:lineRule="atLeast"/>
      <w:textAlignment w:val="baseline"/>
      <w:outlineLvl w:val="0"/>
    </w:pPr>
    <w:rPr>
      <w:rFonts w:ascii="Arial" w:hAnsi="Arial"/>
      <w:b/>
      <w:kern w:val="28"/>
      <w:sz w:val="40"/>
      <w:lang w:eastAsia="en-US"/>
    </w:rPr>
  </w:style>
  <w:style w:type="paragraph" w:styleId="Heading2">
    <w:name w:val="heading 2"/>
    <w:next w:val="BodyText"/>
    <w:qFormat/>
    <w:rsid w:val="00E16862"/>
    <w:pPr>
      <w:keepNext/>
      <w:overflowPunct w:val="0"/>
      <w:autoSpaceDE w:val="0"/>
      <w:autoSpaceDN w:val="0"/>
      <w:adjustRightInd w:val="0"/>
      <w:spacing w:before="120" w:after="80"/>
      <w:textAlignment w:val="baseline"/>
      <w:outlineLvl w:val="1"/>
    </w:pPr>
    <w:rPr>
      <w:rFonts w:ascii="Arial" w:hAnsi="Arial"/>
      <w:b/>
      <w:sz w:val="32"/>
      <w:lang w:eastAsia="en-US"/>
    </w:rPr>
  </w:style>
  <w:style w:type="paragraph" w:styleId="Heading3">
    <w:name w:val="heading 3"/>
    <w:basedOn w:val="Normal"/>
    <w:next w:val="Normal"/>
    <w:qFormat/>
    <w:rsid w:val="00E16862"/>
    <w:pPr>
      <w:keepNext/>
      <w:spacing w:line="240" w:lineRule="atLeast"/>
      <w:ind w:left="357"/>
      <w:jc w:val="right"/>
      <w:outlineLvl w:val="2"/>
    </w:pPr>
  </w:style>
  <w:style w:type="paragraph" w:styleId="Heading4">
    <w:name w:val="heading 4"/>
    <w:basedOn w:val="Normal"/>
    <w:next w:val="Normal"/>
    <w:link w:val="Heading4Char"/>
    <w:uiPriority w:val="9"/>
    <w:semiHidden/>
    <w:unhideWhenUsed/>
    <w:qFormat/>
    <w:rsid w:val="00B4558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semiHidden/>
    <w:rsid w:val="00E16862"/>
    <w:pPr>
      <w:tabs>
        <w:tab w:val="left" w:pos="567"/>
        <w:tab w:val="left" w:pos="680"/>
      </w:tabs>
      <w:overflowPunct w:val="0"/>
      <w:autoSpaceDE w:val="0"/>
      <w:autoSpaceDN w:val="0"/>
      <w:adjustRightInd w:val="0"/>
      <w:spacing w:before="200" w:line="300" w:lineRule="atLeast"/>
      <w:textAlignment w:val="baseline"/>
    </w:pPr>
    <w:rPr>
      <w:sz w:val="24"/>
      <w:lang w:eastAsia="en-US"/>
    </w:rPr>
  </w:style>
  <w:style w:type="paragraph" w:styleId="Title">
    <w:name w:val="Title"/>
    <w:basedOn w:val="Normal"/>
    <w:link w:val="TitleChar"/>
    <w:qFormat/>
    <w:rsid w:val="00E16862"/>
    <w:pPr>
      <w:overflowPunct w:val="0"/>
      <w:autoSpaceDE w:val="0"/>
      <w:autoSpaceDN w:val="0"/>
      <w:adjustRightInd w:val="0"/>
      <w:ind w:left="567" w:hanging="567"/>
      <w:jc w:val="center"/>
      <w:textAlignment w:val="baseline"/>
    </w:pPr>
    <w:rPr>
      <w:b/>
      <w:bCs/>
      <w:sz w:val="28"/>
      <w:szCs w:val="20"/>
    </w:rPr>
  </w:style>
  <w:style w:type="paragraph" w:customStyle="1" w:styleId="BodyTextcentreditals">
    <w:name w:val="Body Text centred itals"/>
    <w:basedOn w:val="BodyText"/>
    <w:rsid w:val="00E16862"/>
    <w:pPr>
      <w:jc w:val="center"/>
    </w:pPr>
    <w:rPr>
      <w:i/>
      <w:iCs/>
    </w:rPr>
  </w:style>
  <w:style w:type="paragraph" w:customStyle="1" w:styleId="BodyTextcentred">
    <w:name w:val="Body Text centred"/>
    <w:basedOn w:val="BodyText"/>
    <w:rsid w:val="00E16862"/>
    <w:pPr>
      <w:jc w:val="center"/>
    </w:pPr>
  </w:style>
  <w:style w:type="paragraph" w:customStyle="1" w:styleId="Subsubpara">
    <w:name w:val="Sub sub para"/>
    <w:basedOn w:val="Normal"/>
    <w:rsid w:val="00E16862"/>
    <w:pPr>
      <w:numPr>
        <w:numId w:val="3"/>
      </w:numPr>
      <w:tabs>
        <w:tab w:val="clear" w:pos="1799"/>
        <w:tab w:val="num" w:pos="360"/>
        <w:tab w:val="left" w:pos="540"/>
      </w:tabs>
      <w:spacing w:before="100" w:line="300" w:lineRule="exact"/>
      <w:ind w:left="0" w:firstLine="0"/>
    </w:pPr>
  </w:style>
  <w:style w:type="paragraph" w:customStyle="1" w:styleId="Subpara">
    <w:name w:val="Sub para"/>
    <w:basedOn w:val="BodyText"/>
    <w:rsid w:val="00E16862"/>
    <w:pPr>
      <w:numPr>
        <w:numId w:val="2"/>
      </w:numPr>
      <w:tabs>
        <w:tab w:val="clear" w:pos="567"/>
        <w:tab w:val="clear" w:pos="680"/>
        <w:tab w:val="clear" w:pos="1440"/>
        <w:tab w:val="num" w:pos="360"/>
        <w:tab w:val="num" w:pos="540"/>
      </w:tabs>
      <w:spacing w:before="100"/>
      <w:ind w:left="0" w:hanging="1440"/>
    </w:pPr>
  </w:style>
  <w:style w:type="paragraph" w:styleId="CommentText">
    <w:name w:val="annotation text"/>
    <w:basedOn w:val="Normal"/>
    <w:link w:val="CommentTextChar"/>
    <w:semiHidden/>
    <w:rsid w:val="00E16862"/>
    <w:rPr>
      <w:sz w:val="20"/>
      <w:szCs w:val="20"/>
    </w:rPr>
  </w:style>
  <w:style w:type="paragraph" w:styleId="Header">
    <w:name w:val="header"/>
    <w:basedOn w:val="Normal"/>
    <w:link w:val="HeaderChar"/>
    <w:uiPriority w:val="99"/>
    <w:unhideWhenUsed/>
    <w:rsid w:val="00A4388C"/>
    <w:pPr>
      <w:tabs>
        <w:tab w:val="center" w:pos="4513"/>
        <w:tab w:val="right" w:pos="9026"/>
      </w:tabs>
    </w:pPr>
  </w:style>
  <w:style w:type="character" w:customStyle="1" w:styleId="HeaderChar">
    <w:name w:val="Header Char"/>
    <w:basedOn w:val="DefaultParagraphFont"/>
    <w:link w:val="Header"/>
    <w:uiPriority w:val="99"/>
    <w:rsid w:val="00A4388C"/>
    <w:rPr>
      <w:sz w:val="24"/>
      <w:szCs w:val="24"/>
      <w:lang w:eastAsia="en-US"/>
    </w:rPr>
  </w:style>
  <w:style w:type="paragraph" w:styleId="Footer">
    <w:name w:val="footer"/>
    <w:basedOn w:val="Normal"/>
    <w:link w:val="FooterChar"/>
    <w:uiPriority w:val="99"/>
    <w:unhideWhenUsed/>
    <w:rsid w:val="00A4388C"/>
    <w:pPr>
      <w:tabs>
        <w:tab w:val="center" w:pos="4513"/>
        <w:tab w:val="right" w:pos="9026"/>
      </w:tabs>
    </w:pPr>
  </w:style>
  <w:style w:type="character" w:customStyle="1" w:styleId="FooterChar">
    <w:name w:val="Footer Char"/>
    <w:basedOn w:val="DefaultParagraphFont"/>
    <w:link w:val="Footer"/>
    <w:uiPriority w:val="99"/>
    <w:rsid w:val="00A4388C"/>
    <w:rPr>
      <w:sz w:val="24"/>
      <w:szCs w:val="24"/>
      <w:lang w:eastAsia="en-US"/>
    </w:rPr>
  </w:style>
  <w:style w:type="paragraph" w:styleId="BalloonText">
    <w:name w:val="Balloon Text"/>
    <w:basedOn w:val="Normal"/>
    <w:link w:val="BalloonTextChar"/>
    <w:uiPriority w:val="99"/>
    <w:semiHidden/>
    <w:unhideWhenUsed/>
    <w:rsid w:val="00A4388C"/>
    <w:rPr>
      <w:rFonts w:ascii="Tahoma" w:hAnsi="Tahoma" w:cs="Tahoma"/>
      <w:sz w:val="16"/>
      <w:szCs w:val="16"/>
    </w:rPr>
  </w:style>
  <w:style w:type="character" w:customStyle="1" w:styleId="BalloonTextChar">
    <w:name w:val="Balloon Text Char"/>
    <w:basedOn w:val="DefaultParagraphFont"/>
    <w:link w:val="BalloonText"/>
    <w:uiPriority w:val="99"/>
    <w:semiHidden/>
    <w:rsid w:val="00A4388C"/>
    <w:rPr>
      <w:rFonts w:ascii="Tahoma" w:hAnsi="Tahoma" w:cs="Tahoma"/>
      <w:sz w:val="16"/>
      <w:szCs w:val="16"/>
      <w:lang w:eastAsia="en-US"/>
    </w:rPr>
  </w:style>
  <w:style w:type="character" w:customStyle="1" w:styleId="Heading1Char">
    <w:name w:val="Heading 1 Char"/>
    <w:aliases w:val="h1 Char,header 1 Char"/>
    <w:basedOn w:val="DefaultParagraphFont"/>
    <w:link w:val="Heading1"/>
    <w:rsid w:val="009715BB"/>
    <w:rPr>
      <w:rFonts w:ascii="Arial" w:hAnsi="Arial"/>
      <w:b/>
      <w:kern w:val="28"/>
      <w:sz w:val="40"/>
      <w:lang w:eastAsia="en-US"/>
    </w:rPr>
  </w:style>
  <w:style w:type="character" w:customStyle="1" w:styleId="BodyTextChar">
    <w:name w:val="Body Text Char"/>
    <w:basedOn w:val="DefaultParagraphFont"/>
    <w:link w:val="BodyText"/>
    <w:semiHidden/>
    <w:rsid w:val="009715BB"/>
    <w:rPr>
      <w:sz w:val="24"/>
      <w:lang w:eastAsia="en-US"/>
    </w:rPr>
  </w:style>
  <w:style w:type="character" w:customStyle="1" w:styleId="TitleChar">
    <w:name w:val="Title Char"/>
    <w:basedOn w:val="DefaultParagraphFont"/>
    <w:link w:val="Title"/>
    <w:rsid w:val="009715BB"/>
    <w:rPr>
      <w:b/>
      <w:bCs/>
      <w:sz w:val="28"/>
      <w:lang w:eastAsia="en-US"/>
    </w:rPr>
  </w:style>
  <w:style w:type="character" w:customStyle="1" w:styleId="CommentTextChar">
    <w:name w:val="Comment Text Char"/>
    <w:basedOn w:val="DefaultParagraphFont"/>
    <w:link w:val="CommentText"/>
    <w:semiHidden/>
    <w:rsid w:val="009715BB"/>
    <w:rPr>
      <w:lang w:eastAsia="en-US"/>
    </w:rPr>
  </w:style>
  <w:style w:type="paragraph" w:customStyle="1" w:styleId="Bullet">
    <w:name w:val="Bullet"/>
    <w:basedOn w:val="Normal"/>
    <w:link w:val="BulletChar"/>
    <w:rsid w:val="00CB0968"/>
    <w:pPr>
      <w:numPr>
        <w:numId w:val="12"/>
      </w:numPr>
    </w:pPr>
    <w:rPr>
      <w:iCs/>
      <w:lang w:val="en-US"/>
    </w:rPr>
  </w:style>
  <w:style w:type="character" w:customStyle="1" w:styleId="BulletChar">
    <w:name w:val="Bullet Char"/>
    <w:basedOn w:val="BodyTextChar"/>
    <w:link w:val="Bullet"/>
    <w:rsid w:val="00CB0968"/>
    <w:rPr>
      <w:iCs/>
      <w:sz w:val="24"/>
      <w:szCs w:val="24"/>
      <w:lang w:val="en-US" w:eastAsia="en-US"/>
    </w:rPr>
  </w:style>
  <w:style w:type="paragraph" w:customStyle="1" w:styleId="Dash">
    <w:name w:val="Dash"/>
    <w:basedOn w:val="Normal"/>
    <w:link w:val="DashChar"/>
    <w:rsid w:val="00CB0968"/>
    <w:pPr>
      <w:numPr>
        <w:ilvl w:val="1"/>
        <w:numId w:val="12"/>
      </w:numPr>
    </w:pPr>
    <w:rPr>
      <w:iCs/>
      <w:lang w:val="en-US"/>
    </w:rPr>
  </w:style>
  <w:style w:type="character" w:customStyle="1" w:styleId="DashChar">
    <w:name w:val="Dash Char"/>
    <w:basedOn w:val="BodyTextChar"/>
    <w:link w:val="Dash"/>
    <w:rsid w:val="00CB0968"/>
    <w:rPr>
      <w:iCs/>
      <w:sz w:val="24"/>
      <w:szCs w:val="24"/>
      <w:lang w:val="en-US" w:eastAsia="en-US"/>
    </w:rPr>
  </w:style>
  <w:style w:type="paragraph" w:customStyle="1" w:styleId="DoubleDot">
    <w:name w:val="Double Dot"/>
    <w:basedOn w:val="Normal"/>
    <w:link w:val="DoubleDotChar"/>
    <w:rsid w:val="00CB0968"/>
    <w:pPr>
      <w:numPr>
        <w:ilvl w:val="2"/>
        <w:numId w:val="12"/>
      </w:numPr>
    </w:pPr>
    <w:rPr>
      <w:iCs/>
      <w:lang w:val="en-US"/>
    </w:rPr>
  </w:style>
  <w:style w:type="character" w:customStyle="1" w:styleId="DoubleDotChar">
    <w:name w:val="Double Dot Char"/>
    <w:basedOn w:val="BodyTextChar"/>
    <w:link w:val="DoubleDot"/>
    <w:rsid w:val="00CB0968"/>
    <w:rPr>
      <w:iCs/>
      <w:sz w:val="24"/>
      <w:szCs w:val="24"/>
      <w:lang w:val="en-US" w:eastAsia="en-US"/>
    </w:rPr>
  </w:style>
  <w:style w:type="paragraph" w:customStyle="1" w:styleId="ChapterHeading">
    <w:name w:val="Chapter Heading"/>
    <w:next w:val="Heading2"/>
    <w:rsid w:val="00B45580"/>
    <w:pPr>
      <w:numPr>
        <w:numId w:val="14"/>
      </w:numPr>
      <w:pBdr>
        <w:top w:val="single" w:sz="4" w:space="1" w:color="auto"/>
        <w:bottom w:val="single" w:sz="4" w:space="1" w:color="auto"/>
      </w:pBdr>
      <w:spacing w:before="240" w:line="260" w:lineRule="atLeast"/>
    </w:pPr>
    <w:rPr>
      <w:rFonts w:ascii="Helvetica" w:hAnsi="Helvetica"/>
      <w:b/>
      <w:i/>
      <w:sz w:val="38"/>
    </w:rPr>
  </w:style>
  <w:style w:type="paragraph" w:customStyle="1" w:styleId="TableHeadingoutsidetable">
    <w:name w:val="Table Heading (outside table)"/>
    <w:basedOn w:val="Heading4"/>
    <w:rsid w:val="00B45580"/>
    <w:pPr>
      <w:keepLines w:val="0"/>
      <w:numPr>
        <w:ilvl w:val="4"/>
        <w:numId w:val="14"/>
      </w:numPr>
      <w:tabs>
        <w:tab w:val="num" w:pos="360"/>
      </w:tabs>
      <w:spacing w:before="120" w:after="120"/>
      <w:ind w:left="0"/>
    </w:pPr>
    <w:rPr>
      <w:rFonts w:ascii="Times New Roman" w:eastAsia="Times New Roman" w:hAnsi="Times New Roman" w:cs="Times New Roman"/>
      <w:bCs w:val="0"/>
      <w:i w:val="0"/>
      <w:iCs w:val="0"/>
      <w:color w:val="auto"/>
      <w:sz w:val="22"/>
      <w:szCs w:val="20"/>
      <w:lang w:eastAsia="en-AU"/>
    </w:rPr>
  </w:style>
  <w:style w:type="paragraph" w:customStyle="1" w:styleId="base-text-paragraph">
    <w:name w:val="base-text-paragraph"/>
    <w:basedOn w:val="Normal"/>
    <w:rsid w:val="00B45580"/>
    <w:pPr>
      <w:numPr>
        <w:ilvl w:val="1"/>
        <w:numId w:val="14"/>
      </w:numPr>
      <w:spacing w:before="120" w:after="120"/>
    </w:pPr>
    <w:rPr>
      <w:sz w:val="22"/>
      <w:szCs w:val="20"/>
      <w:lang w:eastAsia="en-AU"/>
    </w:rPr>
  </w:style>
  <w:style w:type="paragraph" w:customStyle="1" w:styleId="ExampleHeading">
    <w:name w:val="Example Heading"/>
    <w:basedOn w:val="Normal"/>
    <w:next w:val="Normal"/>
    <w:rsid w:val="00B45580"/>
    <w:pPr>
      <w:keepNext/>
      <w:numPr>
        <w:ilvl w:val="3"/>
        <w:numId w:val="14"/>
      </w:numPr>
      <w:spacing w:before="120" w:after="120"/>
    </w:pPr>
    <w:rPr>
      <w:b/>
      <w:sz w:val="22"/>
      <w:szCs w:val="20"/>
      <w:lang w:eastAsia="en-AU"/>
    </w:rPr>
  </w:style>
  <w:style w:type="paragraph" w:customStyle="1" w:styleId="Diagram">
    <w:name w:val="Diagram"/>
    <w:basedOn w:val="Normal"/>
    <w:next w:val="Normal"/>
    <w:rsid w:val="00B45580"/>
    <w:pPr>
      <w:keepNext/>
      <w:numPr>
        <w:ilvl w:val="2"/>
        <w:numId w:val="14"/>
      </w:numPr>
    </w:pPr>
    <w:rPr>
      <w:b/>
      <w:sz w:val="22"/>
      <w:szCs w:val="20"/>
      <w:lang w:eastAsia="en-AU"/>
    </w:rPr>
  </w:style>
  <w:style w:type="numbering" w:customStyle="1" w:styleId="ChapterList">
    <w:name w:val="ChapterList"/>
    <w:uiPriority w:val="99"/>
    <w:rsid w:val="00B45580"/>
    <w:pPr>
      <w:numPr>
        <w:numId w:val="13"/>
      </w:numPr>
    </w:pPr>
  </w:style>
  <w:style w:type="paragraph" w:customStyle="1" w:styleId="ExMemo-Normal">
    <w:name w:val="ExMemo - Normal"/>
    <w:basedOn w:val="base-text-paragraph"/>
    <w:qFormat/>
    <w:rsid w:val="00B45580"/>
    <w:pPr>
      <w:tabs>
        <w:tab w:val="clear" w:pos="1986"/>
        <w:tab w:val="num" w:pos="567"/>
        <w:tab w:val="num" w:pos="2552"/>
      </w:tabs>
      <w:ind w:left="567" w:hanging="567"/>
    </w:pPr>
  </w:style>
  <w:style w:type="character" w:customStyle="1" w:styleId="Heading4Char">
    <w:name w:val="Heading 4 Char"/>
    <w:basedOn w:val="DefaultParagraphFont"/>
    <w:link w:val="Heading4"/>
    <w:uiPriority w:val="9"/>
    <w:semiHidden/>
    <w:rsid w:val="00B45580"/>
    <w:rPr>
      <w:rFonts w:asciiTheme="majorHAnsi" w:eastAsiaTheme="majorEastAsia" w:hAnsiTheme="majorHAnsi" w:cstheme="majorBidi"/>
      <w:b/>
      <w:bCs/>
      <w:i/>
      <w:iCs/>
      <w:color w:val="4F81BD" w:themeColor="accent1"/>
      <w:sz w:val="24"/>
      <w:szCs w:val="24"/>
      <w:lang w:eastAsia="en-US"/>
    </w:rPr>
  </w:style>
  <w:style w:type="paragraph" w:styleId="FootnoteText">
    <w:name w:val="footnote text"/>
    <w:basedOn w:val="Normal"/>
    <w:link w:val="FootnoteTextChar"/>
    <w:uiPriority w:val="99"/>
    <w:rsid w:val="0093156D"/>
    <w:pPr>
      <w:tabs>
        <w:tab w:val="left" w:pos="284"/>
      </w:tabs>
      <w:ind w:left="284" w:hanging="284"/>
      <w:jc w:val="both"/>
    </w:pPr>
    <w:rPr>
      <w:rFonts w:ascii="Book Antiqua" w:hAnsi="Book Antiqua"/>
      <w:color w:val="000000"/>
      <w:sz w:val="18"/>
      <w:szCs w:val="20"/>
      <w:lang w:eastAsia="en-AU"/>
    </w:rPr>
  </w:style>
  <w:style w:type="character" w:customStyle="1" w:styleId="FootnoteTextChar">
    <w:name w:val="Footnote Text Char"/>
    <w:basedOn w:val="DefaultParagraphFont"/>
    <w:link w:val="FootnoteText"/>
    <w:uiPriority w:val="99"/>
    <w:rsid w:val="0093156D"/>
    <w:rPr>
      <w:rFonts w:ascii="Book Antiqua" w:hAnsi="Book Antiqua"/>
      <w:color w:val="000000"/>
      <w:sz w:val="18"/>
    </w:rPr>
  </w:style>
  <w:style w:type="character" w:styleId="FootnoteReference">
    <w:name w:val="footnote reference"/>
    <w:uiPriority w:val="99"/>
    <w:rsid w:val="0093156D"/>
    <w:rPr>
      <w:sz w:val="20"/>
      <w:vertAlign w:val="superscript"/>
    </w:rPr>
  </w:style>
  <w:style w:type="paragraph" w:styleId="ListParagraph">
    <w:name w:val="List Paragraph"/>
    <w:basedOn w:val="Normal"/>
    <w:uiPriority w:val="34"/>
    <w:qFormat/>
    <w:rsid w:val="00047E36"/>
    <w:pPr>
      <w:ind w:left="720"/>
      <w:contextualSpacing/>
    </w:pPr>
  </w:style>
  <w:style w:type="character" w:customStyle="1" w:styleId="st1">
    <w:name w:val="st1"/>
    <w:basedOn w:val="DefaultParagraphFont"/>
    <w:rsid w:val="001107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customXml" Target="../customXml/item5.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customXml" Target="../customXml/item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General Content" ma:contentTypeID="0x010100E726210826AA43828690450C811EB923009CA11FFD1E014DF4B1FA162D0F61129800080350834F0B46469CE5D2ECAC346F75" ma:contentTypeVersion="20" ma:contentTypeDescription="If you are creating a Word, PowerPoint or Excel document use the options available in the drop down list; for all other documents leave the content type as General Content." ma:contentTypeScope="" ma:versionID="bbad538253b6338ab44ee83f813e76fa">
  <xsd:schema xmlns:xsd="http://www.w3.org/2001/XMLSchema" xmlns:xs="http://www.w3.org/2001/XMLSchema" xmlns:p="http://schemas.microsoft.com/office/2006/metadata/properties" xmlns:ns2="378b04f6-f261-4499-b462-41ddd755ff66" targetNamespace="http://schemas.microsoft.com/office/2006/metadata/properties" ma:root="true" ma:fieldsID="8b996ababbe5a57890161772b35c4b0b" ns2:_="">
    <xsd:import namespace="378b04f6-f261-4499-b462-41ddd755ff66"/>
    <xsd:element name="properties">
      <xsd:complexType>
        <xsd:sequence>
          <xsd:element name="documentManagement">
            <xsd:complexType>
              <xsd:all>
                <xsd:element ref="ns2:_dlc_DocId" minOccurs="0"/>
                <xsd:element ref="ns2:_dlc_DocIdPersistId" minOccurs="0"/>
                <xsd:element ref="ns2:_dlc_DocId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8b04f6-f261-4499-b462-41ddd755ff6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PersistId" ma:index="9" nillable="true" ma:displayName="Persist ID" ma:description="Keep ID on add." ma:hidden="true" ma:internalName="_dlc_DocIdPersistId" ma:readOnly="true">
      <xsd:simpleType>
        <xsd:restriction base="dms:Boolean"/>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PolicyDirtyBag xmlns="microsoft.office.server.policy.changes">
  <Microsoft.Office.RecordsManagement.PolicyFeatures.PolicyAudit op="Change"/>
</PolicyDirtyBag>
</file>

<file path=customXml/item6.xml><?xml version="1.0" encoding="utf-8"?>
<?mso-contentType ?>
<p:Policy xmlns:p="office.server.policy" id="" local="true">
  <p:Name>Treasury Document Audit Policy</p:Name>
  <p:Description/>
  <p:Statement/>
  <p:PolicyItems>
    <p:PolicyItem featureId="Microsoft.Office.RecordsManagement.PolicyFeatures.PolicyAudit" staticId="0x010100E726210826AA43828690450C811EB923|1757814118" UniqueId="cd6ee51b-74b3-452a-9d55-03bd9a48be8f">
      <p:Name>Auditing</p:Name>
      <p:Description>Audits user actions on documents and list items to the Audit Log.</p:Description>
      <p:CustomData>
        <Audit>
          <Update/>
          <CheckInOut/>
          <MoveCopy/>
          <DeleteRestore/>
        </Audit>
      </p:CustomData>
    </p:PolicyItem>
  </p:PolicyItems>
</p:Policy>
</file>

<file path=customXml/itemProps1.xml><?xml version="1.0" encoding="utf-8"?>
<ds:datastoreItem xmlns:ds="http://schemas.openxmlformats.org/officeDocument/2006/customXml" ds:itemID="{0C26AD2E-8F5F-4A3D-937F-3D5ED129AA76}"/>
</file>

<file path=customXml/itemProps2.xml><?xml version="1.0" encoding="utf-8"?>
<ds:datastoreItem xmlns:ds="http://schemas.openxmlformats.org/officeDocument/2006/customXml" ds:itemID="{4B77162F-BC2D-4280-8AA6-2E484CCC036B}"/>
</file>

<file path=customXml/itemProps3.xml><?xml version="1.0" encoding="utf-8"?>
<ds:datastoreItem xmlns:ds="http://schemas.openxmlformats.org/officeDocument/2006/customXml" ds:itemID="{74C403C6-3790-4865-A99F-2CD33A504E1C}"/>
</file>

<file path=customXml/itemProps4.xml><?xml version="1.0" encoding="utf-8"?>
<ds:datastoreItem xmlns:ds="http://schemas.openxmlformats.org/officeDocument/2006/customXml" ds:itemID="{BA061D84-14A2-4FF7-9C96-0BDBBCC6FE80}"/>
</file>

<file path=customXml/itemProps5.xml><?xml version="1.0" encoding="utf-8"?>
<ds:datastoreItem xmlns:ds="http://schemas.openxmlformats.org/officeDocument/2006/customXml" ds:itemID="{0EF009C7-0925-4AC8-BA14-ECA0608EA2B4}"/>
</file>

<file path=customXml/itemProps6.xml><?xml version="1.0" encoding="utf-8"?>
<ds:datastoreItem xmlns:ds="http://schemas.openxmlformats.org/officeDocument/2006/customXml" ds:itemID="{31A10554-3EFB-4A15-984A-2C521F18FB39}"/>
</file>

<file path=docProps/app.xml><?xml version="1.0" encoding="utf-8"?>
<Properties xmlns="http://schemas.openxmlformats.org/officeDocument/2006/extended-properties" xmlns:vt="http://schemas.openxmlformats.org/officeDocument/2006/docPropsVTypes">
  <Template>Normal.dotm</Template>
  <TotalTime>0</TotalTime>
  <Pages>4</Pages>
  <Words>1157</Words>
  <Characters>6595</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2013-05-17T01:29:00Z</dcterms:created>
  <dcterms:modified xsi:type="dcterms:W3CDTF">2013-05-17T01:29:00Z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A3506577</vt:lpwstr>
  </property>
  <property fmtid="{D5CDD505-2E9C-101B-9397-08002B2CF9AE}" pid="4" name="Objective-Title">
    <vt:lpwstr>ES for CO 12-340 2Apr2012</vt:lpwstr>
  </property>
  <property fmtid="{D5CDD505-2E9C-101B-9397-08002B2CF9AE}" pid="5" name="Objective-Comment">
    <vt:lpwstr/>
  </property>
  <property fmtid="{D5CDD505-2E9C-101B-9397-08002B2CF9AE}" pid="6" name="Objective-CreationStamp">
    <vt:filetime>2012-04-02T02:14:27Z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2012-04-02T03:55:34Z</vt:filetime>
  </property>
  <property fmtid="{D5CDD505-2E9C-101B-9397-08002B2CF9AE}" pid="11" name="Objective-Owner">
    <vt:lpwstr>Evelyn Ong</vt:lpwstr>
  </property>
  <property fmtid="{D5CDD505-2E9C-101B-9397-08002B2CF9AE}" pid="12" name="Objective-Path">
    <vt:lpwstr>ASIC BCS:REGULATION &amp; COMPLIANCE:Applications:Deposit Takers &amp; Insurers:Fiduciary Services Limited:</vt:lpwstr>
  </property>
  <property fmtid="{D5CDD505-2E9C-101B-9397-08002B2CF9AE}" pid="13" name="Objective-Parent">
    <vt:lpwstr>Fiduciary Services Limited</vt:lpwstr>
  </property>
  <property fmtid="{D5CDD505-2E9C-101B-9397-08002B2CF9AE}" pid="14" name="Objective-State">
    <vt:lpwstr>Being Drafted</vt:lpwstr>
  </property>
  <property fmtid="{D5CDD505-2E9C-101B-9397-08002B2CF9AE}" pid="15" name="Objective-Version">
    <vt:lpwstr>0.3</vt:lpwstr>
  </property>
  <property fmtid="{D5CDD505-2E9C-101B-9397-08002B2CF9AE}" pid="16" name="Objective-VersionNumber">
    <vt:i4>3</vt:i4>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IN-CONFIDENCE]</vt:lpwstr>
  </property>
  <property fmtid="{D5CDD505-2E9C-101B-9397-08002B2CF9AE}" pid="20" name="Objective-Caveats">
    <vt:lpwstr/>
  </property>
  <property fmtid="{D5CDD505-2E9C-101B-9397-08002B2CF9AE}" pid="21" name="Objective-Category [system]">
    <vt:lpwstr/>
  </property>
  <property fmtid="{D5CDD505-2E9C-101B-9397-08002B2CF9AE}" pid="22" name="_AdHocReviewCycleID">
    <vt:i4>336584021</vt:i4>
  </property>
  <property fmtid="{D5CDD505-2E9C-101B-9397-08002B2CF9AE}" pid="23" name="_NewReviewCycle">
    <vt:lpwstr/>
  </property>
  <property fmtid="{D5CDD505-2E9C-101B-9397-08002B2CF9AE}" pid="24" name="_PreviousAdHocReviewCycleID">
    <vt:i4>-875957408</vt:i4>
  </property>
  <property fmtid="{D5CDD505-2E9C-101B-9397-08002B2CF9AE}" pid="25" name="_ReviewingToolsShownOnce">
    <vt:lpwstr/>
  </property>
  <property fmtid="{D5CDD505-2E9C-101B-9397-08002B2CF9AE}" pid="26" name="ContentTypeId">
    <vt:lpwstr>0x010100E726210826AA43828690450C811EB923009CA11FFD1E014DF4B1FA162D0F61129800080350834F0B46469CE5D2ECAC346F75</vt:lpwstr>
  </property>
</Properties>
</file>