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E16" w:rsidRDefault="006C2E16" w:rsidP="002A27A7">
      <w:pPr>
        <w:spacing w:before="240"/>
        <w:ind w:left="-709"/>
      </w:pPr>
      <w:r>
        <w:rPr>
          <w:noProof/>
          <w:lang w:eastAsia="en-AU"/>
        </w:rPr>
        <mc:AlternateContent>
          <mc:Choice Requires="wps">
            <w:drawing>
              <wp:inline distT="0" distB="0" distL="0" distR="0">
                <wp:extent cx="6934200" cy="3924300"/>
                <wp:effectExtent l="0" t="0" r="0" b="0"/>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924300"/>
                        </a:xfrm>
                        <a:prstGeom prst="rect">
                          <a:avLst/>
                        </a:prstGeom>
                        <a:gradFill rotWithShape="1">
                          <a:gsLst>
                            <a:gs pos="0">
                              <a:srgbClr val="DDDDDD">
                                <a:alpha val="0"/>
                              </a:srgbClr>
                            </a:gs>
                            <a:gs pos="100000">
                              <a:srgbClr val="DDDDDD">
                                <a:gamma/>
                                <a:shade val="46275"/>
                                <a:invGamma/>
                                <a:alpha val="34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BE7" w:rsidRPr="007E6545" w:rsidRDefault="001C6BE7" w:rsidP="007E6545">
                            <w:pPr>
                              <w:pStyle w:val="TitleHeading"/>
                              <w:ind w:left="0" w:hanging="11"/>
                              <w:jc w:val="both"/>
                              <w:rPr>
                                <w:rFonts w:ascii="Calibri" w:hAnsi="Calibri"/>
                                <w:color w:val="A6A6A6" w:themeColor="background1" w:themeShade="A6"/>
                              </w:rPr>
                            </w:pPr>
                            <w:r w:rsidRPr="007E6545">
                              <w:rPr>
                                <w:rFonts w:ascii="Calibri" w:hAnsi="Calibri"/>
                                <w:color w:val="A6A6A6" w:themeColor="background1" w:themeShade="A6"/>
                              </w:rPr>
                              <w:t xml:space="preserve">National Environment Protection (Assessment of Site Contamination) Measure </w:t>
                            </w:r>
                            <w:r w:rsidRPr="007E6545">
                              <w:rPr>
                                <w:rFonts w:ascii="Arial" w:hAnsi="Arial" w:cs="Arial"/>
                                <w:color w:val="A6A6A6" w:themeColor="background1" w:themeShade="A6"/>
                              </w:rPr>
                              <w:t>1999</w:t>
                            </w:r>
                            <w:r w:rsidRPr="007E6545">
                              <w:rPr>
                                <w:rFonts w:ascii="Calibri" w:hAnsi="Calibri"/>
                                <w:color w:val="A6A6A6" w:themeColor="background1" w:themeShade="A6"/>
                              </w:rPr>
                              <w:t xml:space="preserve"> </w:t>
                            </w:r>
                            <w:r w:rsidRPr="007E6545">
                              <w:rPr>
                                <w:color w:val="A6A6A6" w:themeColor="background1" w:themeShade="A6"/>
                              </w:rPr>
                              <w:t xml:space="preserve">National Environment Protection (Assessment of Site Contamination) Measure </w:t>
                            </w:r>
                            <w:r w:rsidRPr="007E6545">
                              <w:rPr>
                                <w:rFonts w:ascii="Arial" w:hAnsi="Arial" w:cs="Arial"/>
                                <w:color w:val="A6A6A6" w:themeColor="background1" w:themeShade="A6"/>
                              </w:rPr>
                              <w:t>1999</w:t>
                            </w:r>
                            <w:r w:rsidRPr="007E6545">
                              <w:rPr>
                                <w:color w:val="A6A6A6" w:themeColor="background1" w:themeShade="A6"/>
                              </w:rPr>
                              <w:t xml:space="preserve"> </w:t>
                            </w:r>
                            <w:r w:rsidRPr="007E6545">
                              <w:rPr>
                                <w:rFonts w:ascii="Book Antiqua" w:hAnsi="Book Antiqua"/>
                                <w:color w:val="A6A6A6" w:themeColor="background1" w:themeShade="A6"/>
                              </w:rPr>
                              <w:t xml:space="preserve">National Environment Protection (Assessment of Site Contamination) Measure </w:t>
                            </w:r>
                            <w:r w:rsidRPr="007E6545">
                              <w:rPr>
                                <w:rFonts w:ascii="Arial" w:hAnsi="Arial" w:cs="Arial"/>
                                <w:color w:val="A6A6A6" w:themeColor="background1" w:themeShade="A6"/>
                              </w:rPr>
                              <w:t>1999</w:t>
                            </w:r>
                            <w:r w:rsidRPr="007E6545">
                              <w:rPr>
                                <w:rFonts w:ascii="Book Antiqua" w:hAnsi="Book Antiqua"/>
                                <w:color w:val="A6A6A6" w:themeColor="background1" w:themeShade="A6"/>
                              </w:rPr>
                              <w:t xml:space="preserve">  </w:t>
                            </w:r>
                            <w:r w:rsidRPr="007E6545">
                              <w:rPr>
                                <w:rFonts w:ascii="Calibri" w:hAnsi="Calibri"/>
                                <w:color w:val="A6A6A6" w:themeColor="background1" w:themeShade="A6"/>
                              </w:rPr>
                              <w:t xml:space="preserve">National Environment Protection (Assessment of Site Contamination) Measure </w:t>
                            </w:r>
                            <w:r w:rsidRPr="007E6545">
                              <w:rPr>
                                <w:rFonts w:ascii="Arial" w:hAnsi="Arial" w:cs="Arial"/>
                                <w:color w:val="A6A6A6" w:themeColor="background1" w:themeShade="A6"/>
                              </w:rPr>
                              <w:t>1999</w:t>
                            </w:r>
                            <w:r w:rsidRPr="007E6545">
                              <w:rPr>
                                <w:rFonts w:ascii="Calibri" w:hAnsi="Calibri"/>
                                <w:color w:val="A6A6A6" w:themeColor="background1" w:themeShade="A6"/>
                              </w:rPr>
                              <w:t xml:space="preserve"> </w:t>
                            </w:r>
                            <w:r w:rsidRPr="007E6545">
                              <w:rPr>
                                <w:color w:val="A6A6A6" w:themeColor="background1" w:themeShade="A6"/>
                              </w:rPr>
                              <w:t>National Environment Protection (Assessment of Site</w:t>
                            </w:r>
                            <w:r w:rsidRPr="007E6545">
                              <w:rPr>
                                <w:rFonts w:ascii="Calibri" w:hAnsi="Calibri"/>
                                <w:color w:val="A6A6A6" w:themeColor="background1" w:themeShade="A6"/>
                              </w:rPr>
                              <w:t xml:space="preserve"> Contamination) Measure </w:t>
                            </w:r>
                            <w:r w:rsidRPr="007E6545">
                              <w:rPr>
                                <w:rFonts w:ascii="Arial" w:hAnsi="Arial" w:cs="Arial"/>
                                <w:color w:val="A6A6A6" w:themeColor="background1" w:themeShade="A6"/>
                              </w:rPr>
                              <w:t>1999</w:t>
                            </w:r>
                            <w:r w:rsidRPr="007E6545">
                              <w:rPr>
                                <w:rFonts w:ascii="Calibri" w:hAnsi="Calibri"/>
                                <w:color w:val="A6A6A6" w:themeColor="background1" w:themeShade="A6"/>
                              </w:rPr>
                              <w:t xml:space="preserve"> </w:t>
                            </w:r>
                            <w:r w:rsidRPr="007E6545">
                              <w:rPr>
                                <w:rFonts w:ascii="Book Antiqua" w:hAnsi="Book Antiqua"/>
                                <w:color w:val="A6A6A6" w:themeColor="background1" w:themeShade="A6"/>
                              </w:rPr>
                              <w:t>National Environment Protection (Assessment of</w:t>
                            </w:r>
                            <w:r w:rsidRPr="007E6545">
                              <w:rPr>
                                <w:rFonts w:ascii="Book Antiqua" w:hAnsi="Book Antiqua"/>
                                <w:color w:val="A6A6A6" w:themeColor="background1" w:themeShade="A6"/>
                              </w:rPr>
                              <w:br/>
                            </w:r>
                          </w:p>
                          <w:p w:rsidR="001C6BE7" w:rsidRPr="007E6545" w:rsidRDefault="001C6BE7" w:rsidP="007E6545">
                            <w:pPr>
                              <w:pStyle w:val="TitleHeading"/>
                              <w:ind w:left="8505" w:hanging="3260"/>
                              <w:jc w:val="both"/>
                              <w:rPr>
                                <w:rFonts w:ascii="Calibri" w:hAnsi="Calibri"/>
                                <w:color w:val="C0C0C0"/>
                                <w:sz w:val="80"/>
                                <w:szCs w:val="80"/>
                              </w:rPr>
                            </w:pPr>
                            <w:r w:rsidRPr="007E6545">
                              <w:rPr>
                                <w:rFonts w:eastAsia="Kozuka Mincho Pro B"/>
                                <w:sz w:val="80"/>
                                <w:szCs w:val="80"/>
                              </w:rPr>
                              <w:t>Schedule B5b</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13" o:spid="_x0000_s1026" type="#_x0000_t202" style="width:546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" fillcolor="#ddd" stroked="f">
                <v:fill opacity="0" color2="#666" o:opacity2="22282f" rotate="t" focus="100%" type="gradient"/>
                <v:textbox>
                  <w:txbxContent>
                    <w:p w:rsidR="001C6BE7" w:rsidRPr="007E6545" w:rsidRDefault="001C6BE7" w:rsidP="007E6545">
                      <w:pPr>
                        <w:pStyle w:val="TitleHeading"/>
                        <w:ind w:left="0" w:hanging="11"/>
                        <w:jc w:val="both"/>
                        <w:rPr>
                          <w:rFonts w:ascii="Calibri" w:hAnsi="Calibri"/>
                          <w:color w:val="A6A6A6" w:themeColor="background1" w:themeShade="A6"/>
                        </w:rPr>
                      </w:pPr>
                      <w:r w:rsidRPr="007E6545">
                        <w:rPr>
                          <w:rFonts w:ascii="Calibri" w:hAnsi="Calibri"/>
                          <w:color w:val="A6A6A6" w:themeColor="background1" w:themeShade="A6"/>
                        </w:rPr>
                        <w:t xml:space="preserve">National Environment Protection (Assessment of Site Contamination) Measure </w:t>
                      </w:r>
                      <w:r w:rsidRPr="007E6545">
                        <w:rPr>
                          <w:rFonts w:ascii="Arial" w:hAnsi="Arial" w:cs="Arial"/>
                          <w:color w:val="A6A6A6" w:themeColor="background1" w:themeShade="A6"/>
                        </w:rPr>
                        <w:t>1999</w:t>
                      </w:r>
                      <w:r w:rsidRPr="007E6545">
                        <w:rPr>
                          <w:rFonts w:ascii="Calibri" w:hAnsi="Calibri"/>
                          <w:color w:val="A6A6A6" w:themeColor="background1" w:themeShade="A6"/>
                        </w:rPr>
                        <w:t xml:space="preserve"> </w:t>
                      </w:r>
                      <w:r w:rsidRPr="007E6545">
                        <w:rPr>
                          <w:color w:val="A6A6A6" w:themeColor="background1" w:themeShade="A6"/>
                        </w:rPr>
                        <w:t xml:space="preserve">National Environment Protection (Assessment of Site Contamination) Measure </w:t>
                      </w:r>
                      <w:r w:rsidRPr="007E6545">
                        <w:rPr>
                          <w:rFonts w:ascii="Arial" w:hAnsi="Arial" w:cs="Arial"/>
                          <w:color w:val="A6A6A6" w:themeColor="background1" w:themeShade="A6"/>
                        </w:rPr>
                        <w:t>1999</w:t>
                      </w:r>
                      <w:r w:rsidRPr="007E6545">
                        <w:rPr>
                          <w:color w:val="A6A6A6" w:themeColor="background1" w:themeShade="A6"/>
                        </w:rPr>
                        <w:t xml:space="preserve"> </w:t>
                      </w:r>
                      <w:r w:rsidRPr="007E6545">
                        <w:rPr>
                          <w:rFonts w:ascii="Book Antiqua" w:hAnsi="Book Antiqua"/>
                          <w:color w:val="A6A6A6" w:themeColor="background1" w:themeShade="A6"/>
                        </w:rPr>
                        <w:t xml:space="preserve">National Environment Protection (Assessment of Site Contamination) Measure </w:t>
                      </w:r>
                      <w:r w:rsidRPr="007E6545">
                        <w:rPr>
                          <w:rFonts w:ascii="Arial" w:hAnsi="Arial" w:cs="Arial"/>
                          <w:color w:val="A6A6A6" w:themeColor="background1" w:themeShade="A6"/>
                        </w:rPr>
                        <w:t>1999</w:t>
                      </w:r>
                      <w:r w:rsidRPr="007E6545">
                        <w:rPr>
                          <w:rFonts w:ascii="Book Antiqua" w:hAnsi="Book Antiqua"/>
                          <w:color w:val="A6A6A6" w:themeColor="background1" w:themeShade="A6"/>
                        </w:rPr>
                        <w:t xml:space="preserve">  </w:t>
                      </w:r>
                      <w:r w:rsidRPr="007E6545">
                        <w:rPr>
                          <w:rFonts w:ascii="Calibri" w:hAnsi="Calibri"/>
                          <w:color w:val="A6A6A6" w:themeColor="background1" w:themeShade="A6"/>
                        </w:rPr>
                        <w:t xml:space="preserve">National Environment Protection (Assessment of Site Contamination) Measure </w:t>
                      </w:r>
                      <w:r w:rsidRPr="007E6545">
                        <w:rPr>
                          <w:rFonts w:ascii="Arial" w:hAnsi="Arial" w:cs="Arial"/>
                          <w:color w:val="A6A6A6" w:themeColor="background1" w:themeShade="A6"/>
                        </w:rPr>
                        <w:t>1999</w:t>
                      </w:r>
                      <w:r w:rsidRPr="007E6545">
                        <w:rPr>
                          <w:rFonts w:ascii="Calibri" w:hAnsi="Calibri"/>
                          <w:color w:val="A6A6A6" w:themeColor="background1" w:themeShade="A6"/>
                        </w:rPr>
                        <w:t xml:space="preserve"> </w:t>
                      </w:r>
                      <w:r w:rsidRPr="007E6545">
                        <w:rPr>
                          <w:color w:val="A6A6A6" w:themeColor="background1" w:themeShade="A6"/>
                        </w:rPr>
                        <w:t>National Environment Protection (Assessment of Site</w:t>
                      </w:r>
                      <w:r w:rsidRPr="007E6545">
                        <w:rPr>
                          <w:rFonts w:ascii="Calibri" w:hAnsi="Calibri"/>
                          <w:color w:val="A6A6A6" w:themeColor="background1" w:themeShade="A6"/>
                        </w:rPr>
                        <w:t xml:space="preserve"> Contamination) Measure </w:t>
                      </w:r>
                      <w:r w:rsidRPr="007E6545">
                        <w:rPr>
                          <w:rFonts w:ascii="Arial" w:hAnsi="Arial" w:cs="Arial"/>
                          <w:color w:val="A6A6A6" w:themeColor="background1" w:themeShade="A6"/>
                        </w:rPr>
                        <w:t>1999</w:t>
                      </w:r>
                      <w:r w:rsidRPr="007E6545">
                        <w:rPr>
                          <w:rFonts w:ascii="Calibri" w:hAnsi="Calibri"/>
                          <w:color w:val="A6A6A6" w:themeColor="background1" w:themeShade="A6"/>
                        </w:rPr>
                        <w:t xml:space="preserve"> </w:t>
                      </w:r>
                      <w:r w:rsidRPr="007E6545">
                        <w:rPr>
                          <w:rFonts w:ascii="Book Antiqua" w:hAnsi="Book Antiqua"/>
                          <w:color w:val="A6A6A6" w:themeColor="background1" w:themeShade="A6"/>
                        </w:rPr>
                        <w:t>National Environment Protection (Assessment of</w:t>
                      </w:r>
                      <w:r w:rsidRPr="007E6545">
                        <w:rPr>
                          <w:rFonts w:ascii="Book Antiqua" w:hAnsi="Book Antiqua"/>
                          <w:color w:val="A6A6A6" w:themeColor="background1" w:themeShade="A6"/>
                        </w:rPr>
                        <w:br/>
                      </w:r>
                    </w:p>
                    <w:p w:rsidR="001C6BE7" w:rsidRPr="007E6545" w:rsidRDefault="001C6BE7" w:rsidP="007E6545">
                      <w:pPr>
                        <w:pStyle w:val="TitleHeading"/>
                        <w:ind w:left="8505" w:hanging="3260"/>
                        <w:jc w:val="both"/>
                        <w:rPr>
                          <w:rFonts w:ascii="Calibri" w:hAnsi="Calibri"/>
                          <w:color w:val="C0C0C0"/>
                          <w:sz w:val="80"/>
                          <w:szCs w:val="80"/>
                        </w:rPr>
                      </w:pPr>
                      <w:r w:rsidRPr="007E6545">
                        <w:rPr>
                          <w:rFonts w:eastAsia="Kozuka Mincho Pro B"/>
                          <w:sz w:val="80"/>
                          <w:szCs w:val="80"/>
                        </w:rPr>
                        <w:t>Schedule B5b</w:t>
                      </w:r>
                    </w:p>
                  </w:txbxContent>
                </v:textbox>
                <w10:anchorlock/>
              </v:shape>
            </w:pict>
          </mc:Fallback>
        </mc:AlternateContent>
      </w:r>
    </w:p>
    <w:p w:rsidR="006C2E16" w:rsidRDefault="006C2E16" w:rsidP="002A27A7">
      <w:pPr>
        <w:spacing w:before="240"/>
        <w:ind w:left="-709"/>
      </w:pPr>
    </w:p>
    <w:p w:rsidR="006C2E16" w:rsidRDefault="006C2E16" w:rsidP="002A27A7">
      <w:pPr>
        <w:ind w:left="-709" w:right="566"/>
        <w:jc w:val="right"/>
      </w:pPr>
      <w:r>
        <w:rPr>
          <w:noProof/>
          <w:lang w:eastAsia="en-AU"/>
        </w:rPr>
        <mc:AlternateContent>
          <mc:Choice Requires="wps">
            <w:drawing>
              <wp:inline distT="0" distB="0" distL="0" distR="0" wp14:anchorId="3DFAAA19" wp14:editId="545C6616">
                <wp:extent cx="0" cy="1828800"/>
                <wp:effectExtent l="38100" t="0" r="38100" b="0"/>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412" o:spid="_x0000_s1026" style="visibility:visible;mso-wrap-style:square;mso-left-percent:-10001;mso-top-percent:-10001;mso-position-horizontal:absolute;mso-position-horizontal-relative:char;mso-position-vertical:absolute;mso-position-vertical-relative:line;mso-left-percent:-10001;mso-top-percent:-10001" from="0,0" to="0,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" strokecolor="gray" strokeweight="6pt">
                <v:stroke dashstyle="dashDot"/>
                <w10:anchorlock/>
              </v:line>
            </w:pict>
          </mc:Fallback>
        </mc:AlternateContent>
      </w:r>
    </w:p>
    <w:p w:rsidR="006C2E16" w:rsidRDefault="006C2E16" w:rsidP="002A27A7">
      <w:pPr>
        <w:ind w:left="-709" w:right="566"/>
        <w:jc w:val="right"/>
      </w:pPr>
    </w:p>
    <w:p w:rsidR="006C2E16" w:rsidRDefault="006C2E16" w:rsidP="002A27A7">
      <w:pPr>
        <w:ind w:left="-993"/>
      </w:pPr>
      <w:r>
        <w:rPr>
          <w:noProof/>
          <w:lang w:eastAsia="en-AU"/>
        </w:rPr>
        <mc:AlternateContent>
          <mc:Choice Requires="wps">
            <w:drawing>
              <wp:inline distT="0" distB="0" distL="0" distR="0" wp14:anchorId="3B70B60D" wp14:editId="6E04F6EC">
                <wp:extent cx="7429500" cy="2402205"/>
                <wp:effectExtent l="0" t="0" r="19050" b="17145"/>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402205"/>
                        </a:xfrm>
                        <a:prstGeom prst="rect">
                          <a:avLst/>
                        </a:prstGeom>
                        <a:solidFill>
                          <a:srgbClr val="FFFFFF"/>
                        </a:solidFill>
                        <a:ln w="9525">
                          <a:solidFill>
                            <a:srgbClr val="808080"/>
                          </a:solidFill>
                          <a:miter lim="800000"/>
                          <a:headEnd/>
                          <a:tailEnd/>
                        </a:ln>
                      </wps:spPr>
                      <wps:txbx>
                        <w:txbxContent>
                          <w:p w:rsidR="001C6BE7" w:rsidRPr="000E0F3F" w:rsidRDefault="001C6BE7" w:rsidP="001C6BE7">
                            <w:pPr>
                              <w:pStyle w:val="TitleHeading"/>
                            </w:pPr>
                            <w:r w:rsidRPr="000E0F3F">
                              <w:t>GUIDELINE ON</w:t>
                            </w:r>
                          </w:p>
                          <w:p w:rsidR="001C6BE7" w:rsidRDefault="001C6BE7" w:rsidP="001C6BE7">
                            <w:pPr>
                              <w:pStyle w:val="TitleHeading"/>
                            </w:pPr>
                          </w:p>
                          <w:p w:rsidR="001C6BE7" w:rsidRDefault="001C6BE7" w:rsidP="001C6BE7">
                            <w:pPr>
                              <w:pStyle w:val="TitleHeading"/>
                            </w:pPr>
                            <w:r w:rsidRPr="00DA4830">
                              <w:t>Methodology to Derive</w:t>
                            </w:r>
                          </w:p>
                          <w:p w:rsidR="001C6BE7" w:rsidRDefault="001C6BE7" w:rsidP="001C6BE7">
                            <w:pPr>
                              <w:pStyle w:val="TitleHeading"/>
                            </w:pPr>
                            <w:r w:rsidRPr="00DA4830">
                              <w:t>Ecological Investigation</w:t>
                            </w:r>
                            <w:r>
                              <w:t xml:space="preserve"> </w:t>
                            </w:r>
                            <w:r w:rsidRPr="00DA4830">
                              <w:t>Levels</w:t>
                            </w:r>
                          </w:p>
                          <w:p w:rsidR="001C6BE7" w:rsidRPr="00DA4830" w:rsidRDefault="001C6BE7" w:rsidP="001C6BE7">
                            <w:pPr>
                              <w:pStyle w:val="TitleHeading"/>
                            </w:pPr>
                            <w:r w:rsidRPr="00DA4830">
                              <w:t>in Contaminated Soils</w:t>
                            </w:r>
                          </w:p>
                          <w:p w:rsidR="001C6BE7" w:rsidRPr="000E0F3F" w:rsidRDefault="001C6BE7" w:rsidP="001C6BE7">
                            <w:pPr>
                              <w:pStyle w:val="TitleHeading"/>
                            </w:pPr>
                          </w:p>
                          <w:p w:rsidR="001C6BE7" w:rsidRPr="00B72F2E" w:rsidRDefault="001C6BE7" w:rsidP="006C2E16">
                            <w:pPr>
                              <w:jc w:val="right"/>
                              <w:rPr>
                                <w:sz w:val="60"/>
                                <w:szCs w:val="60"/>
                              </w:rPr>
                            </w:pPr>
                          </w:p>
                        </w:txbxContent>
                      </wps:txbx>
                      <wps:bodyPr rot="0" vert="horz" wrap="square" lIns="91440" tIns="45720" rIns="91440" bIns="45720" anchor="t" anchorCtr="0" upright="1">
                        <a:noAutofit/>
                      </wps:bodyPr>
                    </wps:wsp>
                  </a:graphicData>
                </a:graphic>
              </wp:inline>
            </w:drawing>
          </mc:Choice>
          <mc:Fallback>
            <w:pict>
              <v:shape id="Text Box 411" o:spid="_x0000_s1027" type="#_x0000_t202" style="width:585pt;height:1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" strokecolor="gray">
                <v:textbox>
                  <w:txbxContent>
                    <w:p w:rsidR="001C6BE7" w:rsidRPr="000E0F3F" w:rsidRDefault="001C6BE7" w:rsidP="001C6BE7">
                      <w:pPr>
                        <w:pStyle w:val="TitleHeading"/>
                      </w:pPr>
                      <w:r w:rsidRPr="000E0F3F">
                        <w:t>GUIDELINE ON</w:t>
                      </w:r>
                    </w:p>
                    <w:p w:rsidR="001C6BE7" w:rsidRDefault="001C6BE7" w:rsidP="001C6BE7">
                      <w:pPr>
                        <w:pStyle w:val="TitleHeading"/>
                      </w:pPr>
                    </w:p>
                    <w:p w:rsidR="001C6BE7" w:rsidRDefault="001C6BE7" w:rsidP="001C6BE7">
                      <w:pPr>
                        <w:pStyle w:val="TitleHeading"/>
                      </w:pPr>
                      <w:r w:rsidRPr="00DA4830">
                        <w:t>Methodology to Derive</w:t>
                      </w:r>
                    </w:p>
                    <w:p w:rsidR="001C6BE7" w:rsidRDefault="001C6BE7" w:rsidP="001C6BE7">
                      <w:pPr>
                        <w:pStyle w:val="TitleHeading"/>
                      </w:pPr>
                      <w:r w:rsidRPr="00DA4830">
                        <w:t>Ecological Investigation</w:t>
                      </w:r>
                      <w:r>
                        <w:t xml:space="preserve"> </w:t>
                      </w:r>
                      <w:r w:rsidRPr="00DA4830">
                        <w:t>Levels</w:t>
                      </w:r>
                    </w:p>
                    <w:p w:rsidR="001C6BE7" w:rsidRPr="00DA4830" w:rsidRDefault="001C6BE7" w:rsidP="001C6BE7">
                      <w:pPr>
                        <w:pStyle w:val="TitleHeading"/>
                      </w:pPr>
                      <w:r w:rsidRPr="00DA4830">
                        <w:t>in Contaminated Soils</w:t>
                      </w:r>
                    </w:p>
                    <w:p w:rsidR="001C6BE7" w:rsidRPr="000E0F3F" w:rsidRDefault="001C6BE7" w:rsidP="001C6BE7">
                      <w:pPr>
                        <w:pStyle w:val="TitleHeading"/>
                      </w:pPr>
                    </w:p>
                    <w:p w:rsidR="001C6BE7" w:rsidRPr="00B72F2E" w:rsidRDefault="001C6BE7" w:rsidP="006C2E16">
                      <w:pPr>
                        <w:jc w:val="right"/>
                        <w:rPr>
                          <w:sz w:val="60"/>
                          <w:szCs w:val="60"/>
                        </w:rPr>
                      </w:pPr>
                    </w:p>
                  </w:txbxContent>
                </v:textbox>
                <w10:anchorlock/>
              </v:shape>
            </w:pict>
          </mc:Fallback>
        </mc:AlternateContent>
      </w:r>
    </w:p>
    <w:p w:rsidR="006C2E16" w:rsidRDefault="006C2E16" w:rsidP="001C6BE7">
      <w:pPr>
        <w:pStyle w:val="text"/>
      </w:pPr>
    </w:p>
    <w:p w:rsidR="002A27A7" w:rsidRDefault="002A27A7" w:rsidP="001C6BE7">
      <w:pPr>
        <w:pStyle w:val="text"/>
      </w:pPr>
    </w:p>
    <w:p w:rsidR="002A27A7" w:rsidRDefault="002A27A7" w:rsidP="001C6BE7">
      <w:pPr>
        <w:pStyle w:val="text"/>
      </w:pPr>
    </w:p>
    <w:p w:rsidR="002A27A7" w:rsidRDefault="002A27A7" w:rsidP="001C6BE7">
      <w:pPr>
        <w:pStyle w:val="text"/>
      </w:pPr>
    </w:p>
    <w:p w:rsidR="002A27A7" w:rsidRDefault="00595C7C" w:rsidP="001C6BE7">
      <w:pPr>
        <w:pStyle w:val="text"/>
      </w:pPr>
      <w:r>
        <w:rPr>
          <w:noProof/>
        </w:rPr>
        <mc:AlternateContent>
          <mc:Choice Requires="wps">
            <w:drawing>
              <wp:inline distT="0" distB="0" distL="0" distR="0" wp14:anchorId="12F4EBC7" wp14:editId="5905DACD">
                <wp:extent cx="0" cy="1962150"/>
                <wp:effectExtent l="38100" t="0" r="38100" b="0"/>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0"/>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410" o:spid="_x0000_s1026" style="visibility:visible;mso-wrap-style:square;mso-left-percent:-10001;mso-top-percent:-10001;mso-position-horizontal:absolute;mso-position-horizontal-relative:char;mso-position-vertical:absolute;mso-position-vertical-relative:line;mso-left-percent:-10001;mso-top-percent:-10001" from="0,0" to="0,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" strokecolor="gray" strokeweight="6pt">
                <v:stroke dashstyle="dashDot"/>
                <w10:anchorlock/>
              </v:line>
            </w:pict>
          </mc:Fallback>
        </mc:AlternateContent>
      </w:r>
    </w:p>
    <w:p w:rsidR="002A27A7" w:rsidRDefault="002A27A7" w:rsidP="001C6BE7">
      <w:pPr>
        <w:pStyle w:val="text"/>
      </w:pPr>
    </w:p>
    <w:p w:rsidR="006C2E16" w:rsidRPr="0010461D" w:rsidRDefault="006C2E16" w:rsidP="001C6BE7">
      <w:pPr>
        <w:pStyle w:val="text"/>
        <w:rPr>
          <w:rFonts w:ascii="Arial" w:hAnsi="Arial" w:cs="Arial"/>
        </w:rPr>
      </w:pPr>
      <w:r>
        <w:rPr>
          <w:noProof/>
        </w:rPr>
        <mc:AlternateContent>
          <mc:Choice Requires="wps">
            <w:drawing>
              <wp:inline distT="0" distB="0" distL="0" distR="0" wp14:anchorId="2D83956C" wp14:editId="2C081B77">
                <wp:extent cx="5969635" cy="3695065"/>
                <wp:effectExtent l="0" t="0" r="12065" b="19685"/>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3695065"/>
                        </a:xfrm>
                        <a:prstGeom prst="rect">
                          <a:avLst/>
                        </a:prstGeom>
                        <a:solidFill>
                          <a:srgbClr val="FFFFFF"/>
                        </a:solidFill>
                        <a:ln w="9525">
                          <a:solidFill>
                            <a:srgbClr val="000000"/>
                          </a:solidFill>
                          <a:miter lim="800000"/>
                          <a:headEnd/>
                          <a:tailEnd/>
                        </a:ln>
                      </wps:spPr>
                      <wps:txbx>
                        <w:txbxContent>
                          <w:p w:rsidR="001C6BE7" w:rsidRPr="005B2B9A" w:rsidRDefault="001C6BE7" w:rsidP="006C2E16">
                            <w:pPr>
                              <w:rPr>
                                <w:rFonts w:ascii="Arial" w:hAnsi="Arial" w:cs="Arial"/>
                                <w:b/>
                                <w:spacing w:val="20"/>
                                <w:sz w:val="24"/>
                              </w:rPr>
                            </w:pPr>
                            <w:r w:rsidRPr="005B2B9A">
                              <w:rPr>
                                <w:rFonts w:ascii="Arial" w:hAnsi="Arial" w:cs="Arial"/>
                                <w:b/>
                                <w:spacing w:val="20"/>
                                <w:sz w:val="24"/>
                              </w:rPr>
                              <w:t>Explanatory note</w:t>
                            </w:r>
                          </w:p>
                          <w:p w:rsidR="001C6BE7" w:rsidRPr="002115BB" w:rsidRDefault="001C6BE7" w:rsidP="006C2E16">
                            <w:pPr>
                              <w:rPr>
                                <w:rFonts w:ascii="Calibri" w:hAnsi="Calibri"/>
                                <w:spacing w:val="20"/>
                                <w:szCs w:val="22"/>
                              </w:rPr>
                            </w:pPr>
                            <w:r w:rsidRPr="002115BB">
                              <w:rPr>
                                <w:rFonts w:ascii="Arial" w:hAnsi="Arial" w:cs="Arial"/>
                                <w:spacing w:val="20"/>
                                <w:szCs w:val="22"/>
                              </w:rPr>
                              <w:t>The following guideline provides general guidance in relation to investigation levels for soil, soil vapour and groundwater in the assessment of site contamination.</w:t>
                            </w:r>
                          </w:p>
                          <w:p w:rsidR="001C6BE7" w:rsidRPr="002115BB" w:rsidRDefault="001C6BE7" w:rsidP="006C2E16">
                            <w:pPr>
                              <w:rPr>
                                <w:rFonts w:ascii="Arial" w:hAnsi="Arial" w:cs="Arial"/>
                                <w:spacing w:val="20"/>
                                <w:szCs w:val="22"/>
                              </w:rPr>
                            </w:pPr>
                          </w:p>
                          <w:p w:rsidR="001C6BE7" w:rsidRPr="002115BB" w:rsidRDefault="001C6BE7" w:rsidP="006C2E16">
                            <w:pPr>
                              <w:rPr>
                                <w:rFonts w:ascii="Arial" w:hAnsi="Arial" w:cs="Arial"/>
                                <w:spacing w:val="20"/>
                                <w:szCs w:val="22"/>
                              </w:rPr>
                            </w:pPr>
                            <w:r w:rsidRPr="002115BB">
                              <w:rPr>
                                <w:rFonts w:ascii="Arial" w:hAnsi="Arial" w:cs="Arial"/>
                                <w:spacing w:val="20"/>
                                <w:szCs w:val="22"/>
                              </w:rPr>
                              <w:t>This Schedule forms part of the National Environment Protection (Assessment of Site Contamination) Measure 1999 and should be read in conjunction with that document, which includes a policy framework and assessment of site contamination flowchart.</w:t>
                            </w:r>
                          </w:p>
                          <w:p w:rsidR="001C6BE7" w:rsidRPr="002115BB" w:rsidRDefault="001C6BE7" w:rsidP="006C2E16">
                            <w:pPr>
                              <w:rPr>
                                <w:rFonts w:ascii="Arial" w:hAnsi="Arial" w:cs="Arial"/>
                                <w:spacing w:val="20"/>
                                <w:szCs w:val="22"/>
                              </w:rPr>
                            </w:pPr>
                          </w:p>
                          <w:p w:rsidR="001C6BE7" w:rsidRPr="002115BB" w:rsidRDefault="001C6BE7" w:rsidP="006C2E16">
                            <w:pPr>
                              <w:rPr>
                                <w:rFonts w:ascii="Arial" w:hAnsi="Arial" w:cs="Arial"/>
                                <w:spacing w:val="20"/>
                                <w:szCs w:val="22"/>
                              </w:rPr>
                            </w:pPr>
                            <w:r w:rsidRPr="002115BB">
                              <w:rPr>
                                <w:rFonts w:ascii="Arial" w:hAnsi="Arial" w:cs="Arial"/>
                                <w:spacing w:val="20"/>
                                <w:szCs w:val="22"/>
                              </w:rPr>
                              <w:t>The original Schedule B</w:t>
                            </w:r>
                            <w:r>
                              <w:rPr>
                                <w:rFonts w:ascii="Arial" w:hAnsi="Arial" w:cs="Arial"/>
                                <w:spacing w:val="20"/>
                                <w:szCs w:val="22"/>
                              </w:rPr>
                              <w:t>5</w:t>
                            </w:r>
                            <w:r w:rsidRPr="002115BB">
                              <w:rPr>
                                <w:rFonts w:ascii="Arial" w:hAnsi="Arial" w:cs="Arial"/>
                                <w:spacing w:val="20"/>
                                <w:szCs w:val="22"/>
                              </w:rPr>
                              <w:t xml:space="preserve"> to the National Environment Protection (Assessment of Site Contamination) Measure 1999 has been repealed and replaced by this document</w:t>
                            </w:r>
                            <w:r>
                              <w:rPr>
                                <w:rFonts w:ascii="Arial" w:hAnsi="Arial" w:cs="Arial"/>
                                <w:spacing w:val="20"/>
                                <w:szCs w:val="22"/>
                              </w:rPr>
                              <w:t>,</w:t>
                            </w:r>
                            <w:r w:rsidRPr="00C46C84">
                              <w:rPr>
                                <w:rFonts w:ascii="Arial" w:hAnsi="Arial" w:cs="Arial"/>
                                <w:spacing w:val="20"/>
                              </w:rPr>
                              <w:t xml:space="preserve"> </w:t>
                            </w:r>
                            <w:r>
                              <w:rPr>
                                <w:rFonts w:ascii="Arial" w:hAnsi="Arial" w:cs="Arial"/>
                                <w:spacing w:val="20"/>
                              </w:rPr>
                              <w:t>together</w:t>
                            </w:r>
                            <w:r w:rsidRPr="00083FA4">
                              <w:rPr>
                                <w:rFonts w:ascii="Arial" w:hAnsi="Arial" w:cs="Arial"/>
                                <w:spacing w:val="20"/>
                              </w:rPr>
                              <w:t xml:space="preserve"> with Schedule B5a and Schedule B5c</w:t>
                            </w:r>
                            <w:r w:rsidRPr="002115BB">
                              <w:rPr>
                                <w:rFonts w:ascii="Arial" w:hAnsi="Arial" w:cs="Arial"/>
                                <w:spacing w:val="20"/>
                                <w:szCs w:val="22"/>
                              </w:rPr>
                              <w:t>.</w:t>
                            </w:r>
                          </w:p>
                          <w:p w:rsidR="001C6BE7" w:rsidRDefault="001C6BE7" w:rsidP="006C2E16">
                            <w:pPr>
                              <w:rPr>
                                <w:rFonts w:ascii="Arial" w:hAnsi="Arial" w:cs="Arial"/>
                                <w:spacing w:val="20"/>
                              </w:rPr>
                            </w:pPr>
                          </w:p>
                          <w:p w:rsidR="001C6BE7" w:rsidRPr="00083FA4" w:rsidRDefault="001C6BE7" w:rsidP="006C2E16">
                            <w:pPr>
                              <w:rPr>
                                <w:rFonts w:ascii="Arial" w:hAnsi="Arial" w:cs="Arial"/>
                                <w:spacing w:val="20"/>
                              </w:rPr>
                            </w:pPr>
                            <w:r w:rsidRPr="00083FA4">
                              <w:rPr>
                                <w:rFonts w:ascii="Arial" w:hAnsi="Arial" w:cs="Arial"/>
                                <w:spacing w:val="20"/>
                              </w:rPr>
                              <w:t xml:space="preserve">The National Environment Protection Council (NEPC) acknowledges the contribution of the Commonwealth Scientific and Industrial Research Organisation (CSIRO), the NSW </w:t>
                            </w:r>
                            <w:r>
                              <w:rPr>
                                <w:rFonts w:ascii="Arial" w:hAnsi="Arial" w:cs="Arial"/>
                                <w:spacing w:val="20"/>
                              </w:rPr>
                              <w:t>Environment Protection Authority</w:t>
                            </w:r>
                            <w:r w:rsidRPr="00083FA4">
                              <w:rPr>
                                <w:rFonts w:ascii="Arial" w:hAnsi="Arial" w:cs="Arial"/>
                                <w:spacing w:val="20"/>
                              </w:rPr>
                              <w:t xml:space="preserve"> and the NSW Environmental Trust to the development of this Measure.</w:t>
                            </w:r>
                          </w:p>
                          <w:p w:rsidR="001C6BE7" w:rsidRPr="0010461D" w:rsidRDefault="001C6BE7" w:rsidP="006C2E16"/>
                        </w:txbxContent>
                      </wps:txbx>
                      <wps:bodyPr rot="0" vert="horz" wrap="square" lIns="91440" tIns="45720" rIns="91440" bIns="45720" anchor="t" anchorCtr="0" upright="1">
                        <a:noAutofit/>
                      </wps:bodyPr>
                    </wps:wsp>
                  </a:graphicData>
                </a:graphic>
              </wp:inline>
            </w:drawing>
          </mc:Choice>
          <mc:Fallback>
            <w:pict>
              <v:shape id="Text Box 409" o:spid="_x0000_s1028" type="#_x0000_t202" style="width:470.05pt;height:2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">
                <v:textbox>
                  <w:txbxContent>
                    <w:p w:rsidR="001C6BE7" w:rsidRPr="005B2B9A" w:rsidRDefault="001C6BE7" w:rsidP="006C2E16">
                      <w:pPr>
                        <w:rPr>
                          <w:rFonts w:ascii="Arial" w:hAnsi="Arial" w:cs="Arial"/>
                          <w:b/>
                          <w:spacing w:val="20"/>
                          <w:sz w:val="24"/>
                        </w:rPr>
                      </w:pPr>
                      <w:r w:rsidRPr="005B2B9A">
                        <w:rPr>
                          <w:rFonts w:ascii="Arial" w:hAnsi="Arial" w:cs="Arial"/>
                          <w:b/>
                          <w:spacing w:val="20"/>
                          <w:sz w:val="24"/>
                        </w:rPr>
                        <w:t>Explanatory note</w:t>
                      </w:r>
                    </w:p>
                    <w:p w:rsidR="001C6BE7" w:rsidRPr="002115BB" w:rsidRDefault="001C6BE7" w:rsidP="006C2E16">
                      <w:pPr>
                        <w:rPr>
                          <w:rFonts w:ascii="Calibri" w:hAnsi="Calibri"/>
                          <w:spacing w:val="20"/>
                          <w:szCs w:val="22"/>
                        </w:rPr>
                      </w:pPr>
                      <w:r w:rsidRPr="002115BB">
                        <w:rPr>
                          <w:rFonts w:ascii="Arial" w:hAnsi="Arial" w:cs="Arial"/>
                          <w:spacing w:val="20"/>
                          <w:szCs w:val="22"/>
                        </w:rPr>
                        <w:t>The following guideline provides general guidance in relation to investigation levels for soil, soil vapour and groundwater in the assessment of site contamination.</w:t>
                      </w:r>
                    </w:p>
                    <w:p w:rsidR="001C6BE7" w:rsidRPr="002115BB" w:rsidRDefault="001C6BE7" w:rsidP="006C2E16">
                      <w:pPr>
                        <w:rPr>
                          <w:rFonts w:ascii="Arial" w:hAnsi="Arial" w:cs="Arial"/>
                          <w:spacing w:val="20"/>
                          <w:szCs w:val="22"/>
                        </w:rPr>
                      </w:pPr>
                    </w:p>
                    <w:p w:rsidR="001C6BE7" w:rsidRPr="002115BB" w:rsidRDefault="001C6BE7" w:rsidP="006C2E16">
                      <w:pPr>
                        <w:rPr>
                          <w:rFonts w:ascii="Arial" w:hAnsi="Arial" w:cs="Arial"/>
                          <w:spacing w:val="20"/>
                          <w:szCs w:val="22"/>
                        </w:rPr>
                      </w:pPr>
                      <w:r w:rsidRPr="002115BB">
                        <w:rPr>
                          <w:rFonts w:ascii="Arial" w:hAnsi="Arial" w:cs="Arial"/>
                          <w:spacing w:val="20"/>
                          <w:szCs w:val="22"/>
                        </w:rPr>
                        <w:t>This Schedule forms part of the National Environment Protection (Assessment of Site Contamination) Measure 1999 and should be read in conjunction with that document, which includes a policy framework and assessment of site contamination flowchart.</w:t>
                      </w:r>
                    </w:p>
                    <w:p w:rsidR="001C6BE7" w:rsidRPr="002115BB" w:rsidRDefault="001C6BE7" w:rsidP="006C2E16">
                      <w:pPr>
                        <w:rPr>
                          <w:rFonts w:ascii="Arial" w:hAnsi="Arial" w:cs="Arial"/>
                          <w:spacing w:val="20"/>
                          <w:szCs w:val="22"/>
                        </w:rPr>
                      </w:pPr>
                    </w:p>
                    <w:p w:rsidR="001C6BE7" w:rsidRPr="002115BB" w:rsidRDefault="001C6BE7" w:rsidP="006C2E16">
                      <w:pPr>
                        <w:rPr>
                          <w:rFonts w:ascii="Arial" w:hAnsi="Arial" w:cs="Arial"/>
                          <w:spacing w:val="20"/>
                          <w:szCs w:val="22"/>
                        </w:rPr>
                      </w:pPr>
                      <w:r w:rsidRPr="002115BB">
                        <w:rPr>
                          <w:rFonts w:ascii="Arial" w:hAnsi="Arial" w:cs="Arial"/>
                          <w:spacing w:val="20"/>
                          <w:szCs w:val="22"/>
                        </w:rPr>
                        <w:t>The original Schedule B</w:t>
                      </w:r>
                      <w:r>
                        <w:rPr>
                          <w:rFonts w:ascii="Arial" w:hAnsi="Arial" w:cs="Arial"/>
                          <w:spacing w:val="20"/>
                          <w:szCs w:val="22"/>
                        </w:rPr>
                        <w:t>5</w:t>
                      </w:r>
                      <w:r w:rsidRPr="002115BB">
                        <w:rPr>
                          <w:rFonts w:ascii="Arial" w:hAnsi="Arial" w:cs="Arial"/>
                          <w:spacing w:val="20"/>
                          <w:szCs w:val="22"/>
                        </w:rPr>
                        <w:t xml:space="preserve"> to the National Environment Protection (Assessment of Site Contamination) Measure 1999 has been repealed and replaced by this document</w:t>
                      </w:r>
                      <w:r>
                        <w:rPr>
                          <w:rFonts w:ascii="Arial" w:hAnsi="Arial" w:cs="Arial"/>
                          <w:spacing w:val="20"/>
                          <w:szCs w:val="22"/>
                        </w:rPr>
                        <w:t>,</w:t>
                      </w:r>
                      <w:r w:rsidRPr="00C46C84">
                        <w:rPr>
                          <w:rFonts w:ascii="Arial" w:hAnsi="Arial" w:cs="Arial"/>
                          <w:spacing w:val="20"/>
                        </w:rPr>
                        <w:t xml:space="preserve"> </w:t>
                      </w:r>
                      <w:r>
                        <w:rPr>
                          <w:rFonts w:ascii="Arial" w:hAnsi="Arial" w:cs="Arial"/>
                          <w:spacing w:val="20"/>
                        </w:rPr>
                        <w:t>together</w:t>
                      </w:r>
                      <w:r w:rsidRPr="00083FA4">
                        <w:rPr>
                          <w:rFonts w:ascii="Arial" w:hAnsi="Arial" w:cs="Arial"/>
                          <w:spacing w:val="20"/>
                        </w:rPr>
                        <w:t xml:space="preserve"> with Schedule B5a and Schedule B5c</w:t>
                      </w:r>
                      <w:r w:rsidRPr="002115BB">
                        <w:rPr>
                          <w:rFonts w:ascii="Arial" w:hAnsi="Arial" w:cs="Arial"/>
                          <w:spacing w:val="20"/>
                          <w:szCs w:val="22"/>
                        </w:rPr>
                        <w:t>.</w:t>
                      </w:r>
                    </w:p>
                    <w:p w:rsidR="001C6BE7" w:rsidRDefault="001C6BE7" w:rsidP="006C2E16">
                      <w:pPr>
                        <w:rPr>
                          <w:rFonts w:ascii="Arial" w:hAnsi="Arial" w:cs="Arial"/>
                          <w:spacing w:val="20"/>
                        </w:rPr>
                      </w:pPr>
                    </w:p>
                    <w:p w:rsidR="001C6BE7" w:rsidRPr="00083FA4" w:rsidRDefault="001C6BE7" w:rsidP="006C2E16">
                      <w:pPr>
                        <w:rPr>
                          <w:rFonts w:ascii="Arial" w:hAnsi="Arial" w:cs="Arial"/>
                          <w:spacing w:val="20"/>
                        </w:rPr>
                      </w:pPr>
                      <w:r w:rsidRPr="00083FA4">
                        <w:rPr>
                          <w:rFonts w:ascii="Arial" w:hAnsi="Arial" w:cs="Arial"/>
                          <w:spacing w:val="20"/>
                        </w:rPr>
                        <w:t xml:space="preserve">The National Environment Protection Council (NEPC) acknowledges the contribution of the Commonwealth Scientific and Industrial Research Organisation (CSIRO), the NSW </w:t>
                      </w:r>
                      <w:r>
                        <w:rPr>
                          <w:rFonts w:ascii="Arial" w:hAnsi="Arial" w:cs="Arial"/>
                          <w:spacing w:val="20"/>
                        </w:rPr>
                        <w:t>Environment Protection Authority</w:t>
                      </w:r>
                      <w:r w:rsidRPr="00083FA4">
                        <w:rPr>
                          <w:rFonts w:ascii="Arial" w:hAnsi="Arial" w:cs="Arial"/>
                          <w:spacing w:val="20"/>
                        </w:rPr>
                        <w:t xml:space="preserve"> and the NSW Environmental Trust to the development of this Measure.</w:t>
                      </w:r>
                    </w:p>
                    <w:p w:rsidR="001C6BE7" w:rsidRPr="0010461D" w:rsidRDefault="001C6BE7" w:rsidP="006C2E16"/>
                  </w:txbxContent>
                </v:textbox>
                <w10:anchorlock/>
              </v:shape>
            </w:pict>
          </mc:Fallback>
        </mc:AlternateContent>
      </w:r>
    </w:p>
    <w:p w:rsidR="006C2E16" w:rsidRPr="00C45564" w:rsidRDefault="006C2E16" w:rsidP="006C2E16">
      <w:pPr>
        <w:sectPr w:rsidR="006C2E16" w:rsidRPr="00C45564" w:rsidSect="006C2E16">
          <w:footerReference w:type="default" r:id="rId9"/>
          <w:pgSz w:w="11906" w:h="16838" w:code="9"/>
          <w:pgMar w:top="567" w:right="567" w:bottom="567" w:left="1134" w:header="720" w:footer="720" w:gutter="0"/>
          <w:paperSrc w:first="2" w:other="2"/>
          <w:cols w:space="720"/>
        </w:sectPr>
      </w:pPr>
    </w:p>
    <w:p w:rsidR="006C2E16" w:rsidRPr="00C45564" w:rsidRDefault="007E6545" w:rsidP="006C2E16">
      <w:pPr>
        <w:pStyle w:val="TOC1"/>
      </w:pPr>
      <w:r>
        <w:lastRenderedPageBreak/>
        <w:tab/>
      </w:r>
      <w:r>
        <w:tab/>
      </w:r>
      <w:r w:rsidRPr="003F4DD3">
        <w:t>Page</w:t>
      </w:r>
      <w:r w:rsidR="006C2E16">
        <w:rPr>
          <w:noProof/>
        </w:rPr>
        <mc:AlternateContent>
          <mc:Choice Requires="wps">
            <w:drawing>
              <wp:anchor distT="0" distB="0" distL="114300" distR="114300" simplePos="0" relativeHeight="251661312" behindDoc="0" locked="0" layoutInCell="0" allowOverlap="1" wp14:anchorId="43598DCB" wp14:editId="5DA17644">
                <wp:simplePos x="0" y="0"/>
                <wp:positionH relativeFrom="page">
                  <wp:posOffset>914400</wp:posOffset>
                </wp:positionH>
                <wp:positionV relativeFrom="page">
                  <wp:posOffset>824230</wp:posOffset>
                </wp:positionV>
                <wp:extent cx="5913120" cy="1252220"/>
                <wp:effectExtent l="9525" t="5080" r="11430" b="9525"/>
                <wp:wrapSquare wrapText="bothSides"/>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252220"/>
                        </a:xfrm>
                        <a:prstGeom prst="rect">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FFFFFF">
                                      <a:gamma/>
                                      <a:shade val="46275"/>
                                      <a:invGamma/>
                                    </a:srgbClr>
                                  </a:gs>
                                  <a:gs pos="100000">
                                    <a:srgbClr val="FFFFFF"/>
                                  </a:gs>
                                </a:gsLst>
                                <a:lin ang="5400000" scaled="1"/>
                              </a:gradFill>
                            </a14:hiddenFill>
                          </a:ext>
                        </a:extLst>
                      </wps:spPr>
                      <wps:txbx>
                        <w:txbxContent>
                          <w:p w:rsidR="001C6BE7" w:rsidRPr="004B72AD" w:rsidRDefault="001C6BE7" w:rsidP="006C2E16">
                            <w:pPr>
                              <w:jc w:val="center"/>
                              <w:rPr>
                                <w:rFonts w:ascii="Arial" w:hAnsi="Arial" w:cs="Arial"/>
                                <w:b/>
                                <w:sz w:val="32"/>
                                <w:szCs w:val="32"/>
                              </w:rPr>
                            </w:pPr>
                            <w:r w:rsidRPr="004B72AD">
                              <w:rPr>
                                <w:rFonts w:ascii="Arial" w:hAnsi="Arial" w:cs="Arial"/>
                                <w:b/>
                                <w:sz w:val="32"/>
                                <w:szCs w:val="32"/>
                              </w:rPr>
                              <w:t>Contents</w:t>
                            </w:r>
                          </w:p>
                          <w:p w:rsidR="001C6BE7" w:rsidRPr="004B72AD" w:rsidRDefault="001C6BE7" w:rsidP="006C2E16">
                            <w:pPr>
                              <w:jc w:val="center"/>
                              <w:rPr>
                                <w:rFonts w:ascii="Arial" w:hAnsi="Arial" w:cs="Arial"/>
                                <w:b/>
                                <w:sz w:val="32"/>
                                <w:szCs w:val="32"/>
                              </w:rPr>
                            </w:pPr>
                            <w:r w:rsidRPr="004B72AD">
                              <w:rPr>
                                <w:rFonts w:ascii="Arial" w:hAnsi="Arial" w:cs="Arial"/>
                                <w:b/>
                                <w:sz w:val="32"/>
                                <w:szCs w:val="32"/>
                              </w:rPr>
                              <w:t>Methodology to derive ecological</w:t>
                            </w:r>
                            <w:r w:rsidRPr="004B72AD">
                              <w:rPr>
                                <w:rFonts w:ascii="Arial" w:hAnsi="Arial" w:cs="Arial"/>
                                <w:b/>
                                <w:sz w:val="32"/>
                                <w:szCs w:val="32"/>
                              </w:rPr>
                              <w:br/>
                              <w:t>investigation levels in contaminated soils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29" type="#_x0000_t202" style="position:absolute;left:0;text-align:left;margin-left:1in;margin-top:64.9pt;width:465.6pt;height:9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" o:allowincell="f" filled="f" fillcolor="#767676">
                <v:fill focus="100%" type="gradient"/>
                <v:textbox>
                  <w:txbxContent>
                    <w:p w:rsidR="001C6BE7" w:rsidRPr="004B72AD" w:rsidRDefault="001C6BE7" w:rsidP="006C2E16">
                      <w:pPr>
                        <w:jc w:val="center"/>
                        <w:rPr>
                          <w:rFonts w:ascii="Arial" w:hAnsi="Arial" w:cs="Arial"/>
                          <w:b/>
                          <w:sz w:val="32"/>
                          <w:szCs w:val="32"/>
                        </w:rPr>
                      </w:pPr>
                      <w:r w:rsidRPr="004B72AD">
                        <w:rPr>
                          <w:rFonts w:ascii="Arial" w:hAnsi="Arial" w:cs="Arial"/>
                          <w:b/>
                          <w:sz w:val="32"/>
                          <w:szCs w:val="32"/>
                        </w:rPr>
                        <w:t>Contents</w:t>
                      </w:r>
                    </w:p>
                    <w:p w:rsidR="001C6BE7" w:rsidRPr="004B72AD" w:rsidRDefault="001C6BE7" w:rsidP="006C2E16">
                      <w:pPr>
                        <w:jc w:val="center"/>
                        <w:rPr>
                          <w:rFonts w:ascii="Arial" w:hAnsi="Arial" w:cs="Arial"/>
                          <w:b/>
                          <w:sz w:val="32"/>
                          <w:szCs w:val="32"/>
                        </w:rPr>
                      </w:pPr>
                      <w:r w:rsidRPr="004B72AD">
                        <w:rPr>
                          <w:rFonts w:ascii="Arial" w:hAnsi="Arial" w:cs="Arial"/>
                          <w:b/>
                          <w:sz w:val="32"/>
                          <w:szCs w:val="32"/>
                        </w:rPr>
                        <w:t>Methodology to derive ecological</w:t>
                      </w:r>
                      <w:r w:rsidRPr="004B72AD">
                        <w:rPr>
                          <w:rFonts w:ascii="Arial" w:hAnsi="Arial" w:cs="Arial"/>
                          <w:b/>
                          <w:sz w:val="32"/>
                          <w:szCs w:val="32"/>
                        </w:rPr>
                        <w:br/>
                        <w:t>investigation levels in contaminated soils</w:t>
                      </w:r>
                    </w:p>
                  </w:txbxContent>
                </v:textbox>
                <w10:wrap type="square" anchorx="page" anchory="page"/>
              </v:shape>
            </w:pict>
          </mc:Fallback>
        </mc:AlternateContent>
      </w:r>
    </w:p>
    <w:p w:rsidR="006C2E16" w:rsidRPr="00C45564" w:rsidRDefault="006C2E16" w:rsidP="006C2E16">
      <w:pPr>
        <w:tabs>
          <w:tab w:val="right" w:pos="9070"/>
        </w:tabs>
      </w:pPr>
    </w:p>
    <w:p w:rsidR="002762F0" w:rsidRDefault="006C2E16" w:rsidP="001929E0">
      <w:pPr>
        <w:pStyle w:val="TOC1"/>
        <w:keepNext w:val="0"/>
        <w:rPr>
          <w:rFonts w:asciiTheme="minorHAnsi" w:eastAsiaTheme="minorEastAsia" w:hAnsiTheme="minorHAnsi" w:cstheme="minorBidi"/>
          <w:b w:val="0"/>
          <w:noProof/>
          <w:kern w:val="0"/>
          <w:sz w:val="22"/>
          <w:szCs w:val="22"/>
        </w:rPr>
      </w:pPr>
      <w:r>
        <w:rPr>
          <w:bCs/>
          <w:noProof/>
          <w:szCs w:val="22"/>
        </w:rPr>
        <w:fldChar w:fldCharType="begin"/>
      </w:r>
      <w:r>
        <w:instrText xml:space="preserve"> TOC \o "1-4" </w:instrText>
      </w:r>
      <w:r>
        <w:rPr>
          <w:bCs/>
          <w:noProof/>
          <w:szCs w:val="22"/>
        </w:rPr>
        <w:fldChar w:fldCharType="separate"/>
      </w:r>
      <w:r w:rsidR="002762F0">
        <w:rPr>
          <w:noProof/>
        </w:rPr>
        <w:t>1</w:t>
      </w:r>
      <w:r w:rsidR="002762F0">
        <w:rPr>
          <w:rFonts w:asciiTheme="minorHAnsi" w:eastAsiaTheme="minorEastAsia" w:hAnsiTheme="minorHAnsi" w:cstheme="minorBidi"/>
          <w:b w:val="0"/>
          <w:noProof/>
          <w:kern w:val="0"/>
          <w:sz w:val="22"/>
          <w:szCs w:val="22"/>
        </w:rPr>
        <w:tab/>
      </w:r>
      <w:r w:rsidR="002762F0">
        <w:rPr>
          <w:noProof/>
        </w:rPr>
        <w:t>Introduction</w:t>
      </w:r>
      <w:r w:rsidR="002762F0">
        <w:rPr>
          <w:noProof/>
        </w:rPr>
        <w:tab/>
      </w:r>
      <w:r w:rsidR="002762F0">
        <w:rPr>
          <w:noProof/>
        </w:rPr>
        <w:fldChar w:fldCharType="begin"/>
      </w:r>
      <w:r w:rsidR="002762F0">
        <w:rPr>
          <w:noProof/>
        </w:rPr>
        <w:instrText xml:space="preserve"> PAGEREF _Toc351713113 \h </w:instrText>
      </w:r>
      <w:r w:rsidR="002762F0">
        <w:rPr>
          <w:noProof/>
        </w:rPr>
      </w:r>
      <w:r w:rsidR="002762F0">
        <w:rPr>
          <w:noProof/>
        </w:rPr>
        <w:fldChar w:fldCharType="separate"/>
      </w:r>
      <w:r w:rsidR="000F03FC">
        <w:rPr>
          <w:noProof/>
        </w:rPr>
        <w:t>1</w:t>
      </w:r>
      <w:r w:rsidR="002762F0">
        <w:rPr>
          <w:noProof/>
        </w:rPr>
        <w:fldChar w:fldCharType="end"/>
      </w:r>
    </w:p>
    <w:p w:rsidR="002762F0" w:rsidRDefault="002762F0" w:rsidP="001929E0">
      <w:pPr>
        <w:pStyle w:val="TOC1"/>
        <w:keepNext w:val="0"/>
        <w:rPr>
          <w:rFonts w:asciiTheme="minorHAnsi" w:eastAsiaTheme="minorEastAsia" w:hAnsiTheme="minorHAnsi" w:cstheme="minorBidi"/>
          <w:b w:val="0"/>
          <w:noProof/>
          <w:kern w:val="0"/>
          <w:sz w:val="22"/>
          <w:szCs w:val="22"/>
        </w:rPr>
      </w:pPr>
      <w:r>
        <w:rPr>
          <w:noProof/>
        </w:rPr>
        <w:t>2</w:t>
      </w:r>
      <w:r>
        <w:rPr>
          <w:rFonts w:asciiTheme="minorHAnsi" w:eastAsiaTheme="minorEastAsia" w:hAnsiTheme="minorHAnsi" w:cstheme="minorBidi"/>
          <w:b w:val="0"/>
          <w:noProof/>
          <w:kern w:val="0"/>
          <w:sz w:val="22"/>
          <w:szCs w:val="22"/>
        </w:rPr>
        <w:tab/>
      </w:r>
      <w:r>
        <w:rPr>
          <w:noProof/>
        </w:rPr>
        <w:t>EIL derivation methodology</w:t>
      </w:r>
      <w:r>
        <w:rPr>
          <w:noProof/>
        </w:rPr>
        <w:tab/>
      </w:r>
      <w:r>
        <w:rPr>
          <w:noProof/>
        </w:rPr>
        <w:fldChar w:fldCharType="begin"/>
      </w:r>
      <w:r>
        <w:rPr>
          <w:noProof/>
        </w:rPr>
        <w:instrText xml:space="preserve"> PAGEREF _Toc351713114 \h </w:instrText>
      </w:r>
      <w:r>
        <w:rPr>
          <w:noProof/>
        </w:rPr>
      </w:r>
      <w:r>
        <w:rPr>
          <w:noProof/>
        </w:rPr>
        <w:fldChar w:fldCharType="separate"/>
      </w:r>
      <w:r w:rsidR="000F03FC">
        <w:rPr>
          <w:noProof/>
        </w:rPr>
        <w:t>2</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t>2.1</w:t>
      </w:r>
      <w:r>
        <w:rPr>
          <w:rFonts w:asciiTheme="minorHAnsi" w:eastAsiaTheme="minorEastAsia" w:hAnsiTheme="minorHAnsi" w:cstheme="minorBidi"/>
          <w:b w:val="0"/>
          <w:noProof/>
          <w:kern w:val="0"/>
          <w:sz w:val="22"/>
          <w:szCs w:val="22"/>
        </w:rPr>
        <w:tab/>
      </w:r>
      <w:r>
        <w:rPr>
          <w:noProof/>
        </w:rPr>
        <w:t>Overview of the EIL derivation methodology</w:t>
      </w:r>
      <w:r>
        <w:rPr>
          <w:noProof/>
        </w:rPr>
        <w:tab/>
      </w:r>
      <w:r>
        <w:rPr>
          <w:noProof/>
        </w:rPr>
        <w:fldChar w:fldCharType="begin"/>
      </w:r>
      <w:r>
        <w:rPr>
          <w:noProof/>
        </w:rPr>
        <w:instrText xml:space="preserve"> PAGEREF _Toc351713115 \h </w:instrText>
      </w:r>
      <w:r>
        <w:rPr>
          <w:noProof/>
        </w:rPr>
      </w:r>
      <w:r>
        <w:rPr>
          <w:noProof/>
        </w:rPr>
        <w:fldChar w:fldCharType="separate"/>
      </w:r>
      <w:r w:rsidR="000F03FC">
        <w:rPr>
          <w:noProof/>
        </w:rPr>
        <w:t>2</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t>2.2</w:t>
      </w:r>
      <w:r>
        <w:rPr>
          <w:rFonts w:asciiTheme="minorHAnsi" w:eastAsiaTheme="minorEastAsia" w:hAnsiTheme="minorHAnsi" w:cstheme="minorBidi"/>
          <w:b w:val="0"/>
          <w:noProof/>
          <w:kern w:val="0"/>
          <w:sz w:val="22"/>
          <w:szCs w:val="22"/>
        </w:rPr>
        <w:tab/>
      </w:r>
      <w:r>
        <w:rPr>
          <w:noProof/>
        </w:rPr>
        <w:t>Levels of protection</w:t>
      </w:r>
      <w:r>
        <w:rPr>
          <w:noProof/>
        </w:rPr>
        <w:tab/>
      </w:r>
      <w:r>
        <w:rPr>
          <w:noProof/>
        </w:rPr>
        <w:fldChar w:fldCharType="begin"/>
      </w:r>
      <w:r>
        <w:rPr>
          <w:noProof/>
        </w:rPr>
        <w:instrText xml:space="preserve"> PAGEREF _Toc351713116 \h </w:instrText>
      </w:r>
      <w:r>
        <w:rPr>
          <w:noProof/>
        </w:rPr>
      </w:r>
      <w:r>
        <w:rPr>
          <w:noProof/>
        </w:rPr>
        <w:fldChar w:fldCharType="separate"/>
      </w:r>
      <w:r w:rsidR="000F03FC">
        <w:rPr>
          <w:noProof/>
        </w:rPr>
        <w:t>2</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2.2.1</w:t>
      </w:r>
      <w:r>
        <w:rPr>
          <w:rFonts w:asciiTheme="minorHAnsi" w:eastAsiaTheme="minorEastAsia" w:hAnsiTheme="minorHAnsi" w:cstheme="minorBidi"/>
          <w:b w:val="0"/>
          <w:noProof/>
          <w:kern w:val="0"/>
          <w:szCs w:val="22"/>
        </w:rPr>
        <w:tab/>
      </w:r>
      <w:r>
        <w:rPr>
          <w:noProof/>
        </w:rPr>
        <w:t>Levels of protection for specific land uses</w:t>
      </w:r>
      <w:r>
        <w:rPr>
          <w:noProof/>
        </w:rPr>
        <w:tab/>
      </w:r>
      <w:r>
        <w:rPr>
          <w:noProof/>
        </w:rPr>
        <w:fldChar w:fldCharType="begin"/>
      </w:r>
      <w:r>
        <w:rPr>
          <w:noProof/>
        </w:rPr>
        <w:instrText xml:space="preserve"> PAGEREF _Toc351713117 \h </w:instrText>
      </w:r>
      <w:r>
        <w:rPr>
          <w:noProof/>
        </w:rPr>
      </w:r>
      <w:r>
        <w:rPr>
          <w:noProof/>
        </w:rPr>
        <w:fldChar w:fldCharType="separate"/>
      </w:r>
      <w:r w:rsidR="000F03FC">
        <w:rPr>
          <w:noProof/>
        </w:rPr>
        <w:t>3</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2.2.1.1</w:t>
      </w:r>
      <w:r>
        <w:rPr>
          <w:rFonts w:asciiTheme="minorHAnsi" w:eastAsiaTheme="minorEastAsia" w:hAnsiTheme="minorHAnsi" w:cstheme="minorBidi"/>
          <w:b w:val="0"/>
          <w:noProof/>
          <w:kern w:val="0"/>
          <w:sz w:val="22"/>
          <w:szCs w:val="22"/>
        </w:rPr>
        <w:tab/>
      </w:r>
      <w:r>
        <w:rPr>
          <w:noProof/>
        </w:rPr>
        <w:t>National parks and areas with high ecological value</w:t>
      </w:r>
      <w:r>
        <w:rPr>
          <w:noProof/>
        </w:rPr>
        <w:tab/>
      </w:r>
      <w:r>
        <w:rPr>
          <w:noProof/>
        </w:rPr>
        <w:fldChar w:fldCharType="begin"/>
      </w:r>
      <w:r>
        <w:rPr>
          <w:noProof/>
        </w:rPr>
        <w:instrText xml:space="preserve"> PAGEREF _Toc351713118 \h </w:instrText>
      </w:r>
      <w:r>
        <w:rPr>
          <w:noProof/>
        </w:rPr>
      </w:r>
      <w:r>
        <w:rPr>
          <w:noProof/>
        </w:rPr>
        <w:fldChar w:fldCharType="separate"/>
      </w:r>
      <w:r w:rsidR="000F03FC">
        <w:rPr>
          <w:noProof/>
        </w:rPr>
        <w:t>4</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2.2.1.2</w:t>
      </w:r>
      <w:r>
        <w:rPr>
          <w:rFonts w:asciiTheme="minorHAnsi" w:eastAsiaTheme="minorEastAsia" w:hAnsiTheme="minorHAnsi" w:cstheme="minorBidi"/>
          <w:b w:val="0"/>
          <w:noProof/>
          <w:kern w:val="0"/>
          <w:sz w:val="22"/>
          <w:szCs w:val="22"/>
        </w:rPr>
        <w:tab/>
      </w:r>
      <w:r>
        <w:rPr>
          <w:noProof/>
        </w:rPr>
        <w:t>Urban residential and public open space</w:t>
      </w:r>
      <w:r>
        <w:rPr>
          <w:noProof/>
        </w:rPr>
        <w:tab/>
      </w:r>
      <w:r>
        <w:rPr>
          <w:noProof/>
        </w:rPr>
        <w:fldChar w:fldCharType="begin"/>
      </w:r>
      <w:r>
        <w:rPr>
          <w:noProof/>
        </w:rPr>
        <w:instrText xml:space="preserve"> PAGEREF _Toc351713119 \h </w:instrText>
      </w:r>
      <w:r>
        <w:rPr>
          <w:noProof/>
        </w:rPr>
      </w:r>
      <w:r>
        <w:rPr>
          <w:noProof/>
        </w:rPr>
        <w:fldChar w:fldCharType="separate"/>
      </w:r>
      <w:r w:rsidR="000F03FC">
        <w:rPr>
          <w:noProof/>
        </w:rPr>
        <w:t>5</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2.2.1.3</w:t>
      </w:r>
      <w:r>
        <w:rPr>
          <w:rFonts w:asciiTheme="minorHAnsi" w:eastAsiaTheme="minorEastAsia" w:hAnsiTheme="minorHAnsi" w:cstheme="minorBidi"/>
          <w:b w:val="0"/>
          <w:noProof/>
          <w:kern w:val="0"/>
          <w:sz w:val="22"/>
          <w:szCs w:val="22"/>
        </w:rPr>
        <w:tab/>
      </w:r>
      <w:r>
        <w:rPr>
          <w:noProof/>
        </w:rPr>
        <w:t>Commercial and industrial land</w:t>
      </w:r>
      <w:r>
        <w:rPr>
          <w:noProof/>
        </w:rPr>
        <w:tab/>
      </w:r>
      <w:r>
        <w:rPr>
          <w:noProof/>
        </w:rPr>
        <w:fldChar w:fldCharType="begin"/>
      </w:r>
      <w:r>
        <w:rPr>
          <w:noProof/>
        </w:rPr>
        <w:instrText xml:space="preserve"> PAGEREF _Toc351713120 \h </w:instrText>
      </w:r>
      <w:r>
        <w:rPr>
          <w:noProof/>
        </w:rPr>
      </w:r>
      <w:r>
        <w:rPr>
          <w:noProof/>
        </w:rPr>
        <w:fldChar w:fldCharType="separate"/>
      </w:r>
      <w:r w:rsidR="000F03FC">
        <w:rPr>
          <w:noProof/>
        </w:rPr>
        <w:t>5</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2.2.1.4</w:t>
      </w:r>
      <w:r>
        <w:rPr>
          <w:rFonts w:asciiTheme="minorHAnsi" w:eastAsiaTheme="minorEastAsia" w:hAnsiTheme="minorHAnsi" w:cstheme="minorBidi"/>
          <w:b w:val="0"/>
          <w:noProof/>
          <w:kern w:val="0"/>
          <w:sz w:val="22"/>
          <w:szCs w:val="22"/>
        </w:rPr>
        <w:tab/>
      </w:r>
      <w:r>
        <w:rPr>
          <w:noProof/>
        </w:rPr>
        <w:t>Agricultural land</w:t>
      </w:r>
      <w:r>
        <w:rPr>
          <w:noProof/>
        </w:rPr>
        <w:tab/>
      </w:r>
      <w:r>
        <w:rPr>
          <w:noProof/>
        </w:rPr>
        <w:fldChar w:fldCharType="begin"/>
      </w:r>
      <w:r>
        <w:rPr>
          <w:noProof/>
        </w:rPr>
        <w:instrText xml:space="preserve"> PAGEREF _Toc351713121 \h </w:instrText>
      </w:r>
      <w:r>
        <w:rPr>
          <w:noProof/>
        </w:rPr>
      </w:r>
      <w:r>
        <w:rPr>
          <w:noProof/>
        </w:rPr>
        <w:fldChar w:fldCharType="separate"/>
      </w:r>
      <w:r w:rsidR="000F03FC">
        <w:rPr>
          <w:noProof/>
        </w:rPr>
        <w:t>5</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t>2.3</w:t>
      </w:r>
      <w:r>
        <w:rPr>
          <w:rFonts w:asciiTheme="minorHAnsi" w:eastAsiaTheme="minorEastAsia" w:hAnsiTheme="minorHAnsi" w:cstheme="minorBidi"/>
          <w:b w:val="0"/>
          <w:noProof/>
          <w:kern w:val="0"/>
          <w:sz w:val="22"/>
          <w:szCs w:val="22"/>
        </w:rPr>
        <w:tab/>
      </w:r>
      <w:r>
        <w:rPr>
          <w:noProof/>
        </w:rPr>
        <w:t>Determining the most important exposure pathways</w:t>
      </w:r>
      <w:r>
        <w:rPr>
          <w:noProof/>
        </w:rPr>
        <w:tab/>
      </w:r>
      <w:r>
        <w:rPr>
          <w:noProof/>
        </w:rPr>
        <w:fldChar w:fldCharType="begin"/>
      </w:r>
      <w:r>
        <w:rPr>
          <w:noProof/>
        </w:rPr>
        <w:instrText xml:space="preserve"> PAGEREF _Toc351713122 \h </w:instrText>
      </w:r>
      <w:r>
        <w:rPr>
          <w:noProof/>
        </w:rPr>
      </w:r>
      <w:r>
        <w:rPr>
          <w:noProof/>
        </w:rPr>
        <w:fldChar w:fldCharType="separate"/>
      </w:r>
      <w:r w:rsidR="000F03FC">
        <w:rPr>
          <w:noProof/>
        </w:rPr>
        <w:t>5</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2.3.1</w:t>
      </w:r>
      <w:r>
        <w:rPr>
          <w:rFonts w:asciiTheme="minorHAnsi" w:eastAsiaTheme="minorEastAsia" w:hAnsiTheme="minorHAnsi" w:cstheme="minorBidi"/>
          <w:b w:val="0"/>
          <w:noProof/>
          <w:kern w:val="0"/>
          <w:szCs w:val="22"/>
        </w:rPr>
        <w:tab/>
      </w:r>
      <w:r>
        <w:rPr>
          <w:noProof/>
        </w:rPr>
        <w:t>Exposure pathway assessment for organic contaminants</w:t>
      </w:r>
      <w:r>
        <w:rPr>
          <w:noProof/>
        </w:rPr>
        <w:tab/>
      </w:r>
      <w:r>
        <w:rPr>
          <w:noProof/>
        </w:rPr>
        <w:fldChar w:fldCharType="begin"/>
      </w:r>
      <w:r>
        <w:rPr>
          <w:noProof/>
        </w:rPr>
        <w:instrText xml:space="preserve"> PAGEREF _Toc351713123 \h </w:instrText>
      </w:r>
      <w:r>
        <w:rPr>
          <w:noProof/>
        </w:rPr>
      </w:r>
      <w:r>
        <w:rPr>
          <w:noProof/>
        </w:rPr>
        <w:fldChar w:fldCharType="separate"/>
      </w:r>
      <w:r w:rsidR="000F03FC">
        <w:rPr>
          <w:noProof/>
        </w:rPr>
        <w:t>9</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2.3.1.1</w:t>
      </w:r>
      <w:r>
        <w:rPr>
          <w:rFonts w:asciiTheme="minorHAnsi" w:eastAsiaTheme="minorEastAsia" w:hAnsiTheme="minorHAnsi" w:cstheme="minorBidi"/>
          <w:b w:val="0"/>
          <w:noProof/>
          <w:kern w:val="0"/>
          <w:sz w:val="22"/>
          <w:szCs w:val="22"/>
        </w:rPr>
        <w:tab/>
      </w:r>
      <w:r>
        <w:rPr>
          <w:noProof/>
        </w:rPr>
        <w:t>Half-life</w:t>
      </w:r>
      <w:r>
        <w:rPr>
          <w:noProof/>
        </w:rPr>
        <w:tab/>
      </w:r>
      <w:r>
        <w:rPr>
          <w:noProof/>
        </w:rPr>
        <w:fldChar w:fldCharType="begin"/>
      </w:r>
      <w:r>
        <w:rPr>
          <w:noProof/>
        </w:rPr>
        <w:instrText xml:space="preserve"> PAGEREF _Toc351713124 \h </w:instrText>
      </w:r>
      <w:r>
        <w:rPr>
          <w:noProof/>
        </w:rPr>
      </w:r>
      <w:r>
        <w:rPr>
          <w:noProof/>
        </w:rPr>
        <w:fldChar w:fldCharType="separate"/>
      </w:r>
      <w:r w:rsidR="000F03FC">
        <w:rPr>
          <w:noProof/>
        </w:rPr>
        <w:t>9</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2.3.1.2</w:t>
      </w:r>
      <w:r>
        <w:rPr>
          <w:rFonts w:asciiTheme="minorHAnsi" w:eastAsiaTheme="minorEastAsia" w:hAnsiTheme="minorHAnsi" w:cstheme="minorBidi"/>
          <w:b w:val="0"/>
          <w:noProof/>
          <w:kern w:val="0"/>
          <w:sz w:val="22"/>
          <w:szCs w:val="22"/>
        </w:rPr>
        <w:tab/>
      </w:r>
      <w:r>
        <w:rPr>
          <w:noProof/>
        </w:rPr>
        <w:t>Henry’s law constant</w:t>
      </w:r>
      <w:r>
        <w:rPr>
          <w:noProof/>
        </w:rPr>
        <w:tab/>
      </w:r>
      <w:r>
        <w:rPr>
          <w:noProof/>
        </w:rPr>
        <w:fldChar w:fldCharType="begin"/>
      </w:r>
      <w:r>
        <w:rPr>
          <w:noProof/>
        </w:rPr>
        <w:instrText xml:space="preserve"> PAGEREF _Toc351713125 \h </w:instrText>
      </w:r>
      <w:r>
        <w:rPr>
          <w:noProof/>
        </w:rPr>
      </w:r>
      <w:r>
        <w:rPr>
          <w:noProof/>
        </w:rPr>
        <w:fldChar w:fldCharType="separate"/>
      </w:r>
      <w:r w:rsidR="000F03FC">
        <w:rPr>
          <w:noProof/>
        </w:rPr>
        <w:t>9</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2.3.1.3</w:t>
      </w:r>
      <w:r>
        <w:rPr>
          <w:rFonts w:asciiTheme="minorHAnsi" w:eastAsiaTheme="minorEastAsia" w:hAnsiTheme="minorHAnsi" w:cstheme="minorBidi"/>
          <w:b w:val="0"/>
          <w:noProof/>
          <w:kern w:val="0"/>
          <w:sz w:val="22"/>
          <w:szCs w:val="22"/>
        </w:rPr>
        <w:tab/>
      </w:r>
      <w:r>
        <w:rPr>
          <w:noProof/>
        </w:rPr>
        <w:t>Octanol-water partition</w:t>
      </w:r>
      <w:r>
        <w:rPr>
          <w:noProof/>
        </w:rPr>
        <w:tab/>
      </w:r>
      <w:r>
        <w:rPr>
          <w:noProof/>
        </w:rPr>
        <w:fldChar w:fldCharType="begin"/>
      </w:r>
      <w:r>
        <w:rPr>
          <w:noProof/>
        </w:rPr>
        <w:instrText xml:space="preserve"> PAGEREF _Toc351713126 \h </w:instrText>
      </w:r>
      <w:r>
        <w:rPr>
          <w:noProof/>
        </w:rPr>
      </w:r>
      <w:r>
        <w:rPr>
          <w:noProof/>
        </w:rPr>
        <w:fldChar w:fldCharType="separate"/>
      </w:r>
      <w:r w:rsidR="000F03FC">
        <w:rPr>
          <w:noProof/>
        </w:rPr>
        <w:t>10</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2.3.1.4</w:t>
      </w:r>
      <w:r>
        <w:rPr>
          <w:rFonts w:asciiTheme="minorHAnsi" w:eastAsiaTheme="minorEastAsia" w:hAnsiTheme="minorHAnsi" w:cstheme="minorBidi"/>
          <w:b w:val="0"/>
          <w:noProof/>
          <w:kern w:val="0"/>
          <w:sz w:val="22"/>
          <w:szCs w:val="22"/>
        </w:rPr>
        <w:tab/>
      </w:r>
      <w:r>
        <w:rPr>
          <w:noProof/>
        </w:rPr>
        <w:t>Overview of the main exposure pathways for organic contaminants</w:t>
      </w:r>
      <w:r>
        <w:rPr>
          <w:noProof/>
        </w:rPr>
        <w:tab/>
      </w:r>
      <w:r>
        <w:rPr>
          <w:noProof/>
        </w:rPr>
        <w:fldChar w:fldCharType="begin"/>
      </w:r>
      <w:r>
        <w:rPr>
          <w:noProof/>
        </w:rPr>
        <w:instrText xml:space="preserve"> PAGEREF _Toc351713127 \h </w:instrText>
      </w:r>
      <w:r>
        <w:rPr>
          <w:noProof/>
        </w:rPr>
      </w:r>
      <w:r>
        <w:rPr>
          <w:noProof/>
        </w:rPr>
        <w:fldChar w:fldCharType="separate"/>
      </w:r>
      <w:r w:rsidR="000F03FC">
        <w:rPr>
          <w:noProof/>
        </w:rPr>
        <w:t>11</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2.3.2</w:t>
      </w:r>
      <w:r>
        <w:rPr>
          <w:rFonts w:asciiTheme="minorHAnsi" w:eastAsiaTheme="minorEastAsia" w:hAnsiTheme="minorHAnsi" w:cstheme="minorBidi"/>
          <w:b w:val="0"/>
          <w:noProof/>
          <w:kern w:val="0"/>
          <w:szCs w:val="22"/>
        </w:rPr>
        <w:tab/>
      </w:r>
      <w:r>
        <w:rPr>
          <w:noProof/>
        </w:rPr>
        <w:t>Exposure pathway assessment for inorganic contaminants</w:t>
      </w:r>
      <w:r>
        <w:rPr>
          <w:noProof/>
        </w:rPr>
        <w:tab/>
      </w:r>
      <w:r>
        <w:rPr>
          <w:noProof/>
        </w:rPr>
        <w:fldChar w:fldCharType="begin"/>
      </w:r>
      <w:r>
        <w:rPr>
          <w:noProof/>
        </w:rPr>
        <w:instrText xml:space="preserve"> PAGEREF _Toc351713128 \h </w:instrText>
      </w:r>
      <w:r>
        <w:rPr>
          <w:noProof/>
        </w:rPr>
      </w:r>
      <w:r>
        <w:rPr>
          <w:noProof/>
        </w:rPr>
        <w:fldChar w:fldCharType="separate"/>
      </w:r>
      <w:r w:rsidR="000F03FC">
        <w:rPr>
          <w:noProof/>
        </w:rPr>
        <w:t>11</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2.3.2.1</w:t>
      </w:r>
      <w:r>
        <w:rPr>
          <w:rFonts w:asciiTheme="minorHAnsi" w:eastAsiaTheme="minorEastAsia" w:hAnsiTheme="minorHAnsi" w:cstheme="minorBidi"/>
          <w:b w:val="0"/>
          <w:noProof/>
          <w:kern w:val="0"/>
          <w:sz w:val="22"/>
          <w:szCs w:val="22"/>
        </w:rPr>
        <w:tab/>
      </w:r>
      <w:r>
        <w:rPr>
          <w:noProof/>
        </w:rPr>
        <w:t>Biomagnification</w:t>
      </w:r>
      <w:r>
        <w:rPr>
          <w:noProof/>
        </w:rPr>
        <w:tab/>
      </w:r>
      <w:r>
        <w:rPr>
          <w:noProof/>
        </w:rPr>
        <w:fldChar w:fldCharType="begin"/>
      </w:r>
      <w:r>
        <w:rPr>
          <w:noProof/>
        </w:rPr>
        <w:instrText xml:space="preserve"> PAGEREF _Toc351713129 \h </w:instrText>
      </w:r>
      <w:r>
        <w:rPr>
          <w:noProof/>
        </w:rPr>
      </w:r>
      <w:r>
        <w:rPr>
          <w:noProof/>
        </w:rPr>
        <w:fldChar w:fldCharType="separate"/>
      </w:r>
      <w:r w:rsidR="000F03FC">
        <w:rPr>
          <w:noProof/>
        </w:rPr>
        <w:t>11</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2.3.2.2</w:t>
      </w:r>
      <w:r>
        <w:rPr>
          <w:rFonts w:asciiTheme="minorHAnsi" w:eastAsiaTheme="minorEastAsia" w:hAnsiTheme="minorHAnsi" w:cstheme="minorBidi"/>
          <w:b w:val="0"/>
          <w:noProof/>
          <w:kern w:val="0"/>
          <w:sz w:val="22"/>
          <w:szCs w:val="22"/>
        </w:rPr>
        <w:tab/>
      </w:r>
      <w:r>
        <w:rPr>
          <w:noProof/>
        </w:rPr>
        <w:t>Henry’s law constant</w:t>
      </w:r>
      <w:r>
        <w:rPr>
          <w:noProof/>
        </w:rPr>
        <w:tab/>
      </w:r>
      <w:r>
        <w:rPr>
          <w:noProof/>
        </w:rPr>
        <w:fldChar w:fldCharType="begin"/>
      </w:r>
      <w:r>
        <w:rPr>
          <w:noProof/>
        </w:rPr>
        <w:instrText xml:space="preserve"> PAGEREF _Toc351713130 \h </w:instrText>
      </w:r>
      <w:r>
        <w:rPr>
          <w:noProof/>
        </w:rPr>
      </w:r>
      <w:r>
        <w:rPr>
          <w:noProof/>
        </w:rPr>
        <w:fldChar w:fldCharType="separate"/>
      </w:r>
      <w:r w:rsidR="000F03FC">
        <w:rPr>
          <w:noProof/>
        </w:rPr>
        <w:t>12</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2.3.2.3</w:t>
      </w:r>
      <w:r>
        <w:rPr>
          <w:rFonts w:asciiTheme="minorHAnsi" w:eastAsiaTheme="minorEastAsia" w:hAnsiTheme="minorHAnsi" w:cstheme="minorBidi"/>
          <w:b w:val="0"/>
          <w:noProof/>
          <w:kern w:val="0"/>
          <w:sz w:val="22"/>
          <w:szCs w:val="22"/>
        </w:rPr>
        <w:tab/>
      </w:r>
      <w:r>
        <w:rPr>
          <w:noProof/>
        </w:rPr>
        <w:t>Overview of main exposure pathways for inorganic contaminants</w:t>
      </w:r>
      <w:r>
        <w:rPr>
          <w:noProof/>
        </w:rPr>
        <w:tab/>
      </w:r>
      <w:r>
        <w:rPr>
          <w:noProof/>
        </w:rPr>
        <w:fldChar w:fldCharType="begin"/>
      </w:r>
      <w:r>
        <w:rPr>
          <w:noProof/>
        </w:rPr>
        <w:instrText xml:space="preserve"> PAGEREF _Toc351713131 \h </w:instrText>
      </w:r>
      <w:r>
        <w:rPr>
          <w:noProof/>
        </w:rPr>
      </w:r>
      <w:r>
        <w:rPr>
          <w:noProof/>
        </w:rPr>
        <w:fldChar w:fldCharType="separate"/>
      </w:r>
      <w:r w:rsidR="000F03FC">
        <w:rPr>
          <w:noProof/>
        </w:rPr>
        <w:t>12</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t>2.4</w:t>
      </w:r>
      <w:r>
        <w:rPr>
          <w:rFonts w:asciiTheme="minorHAnsi" w:eastAsiaTheme="minorEastAsia" w:hAnsiTheme="minorHAnsi" w:cstheme="minorBidi"/>
          <w:b w:val="0"/>
          <w:noProof/>
          <w:kern w:val="0"/>
          <w:sz w:val="22"/>
          <w:szCs w:val="22"/>
        </w:rPr>
        <w:tab/>
      </w:r>
      <w:r>
        <w:rPr>
          <w:noProof/>
        </w:rPr>
        <w:t>Derivation of EIL values</w:t>
      </w:r>
      <w:r>
        <w:rPr>
          <w:noProof/>
        </w:rPr>
        <w:tab/>
      </w:r>
      <w:r>
        <w:rPr>
          <w:noProof/>
        </w:rPr>
        <w:fldChar w:fldCharType="begin"/>
      </w:r>
      <w:r>
        <w:rPr>
          <w:noProof/>
        </w:rPr>
        <w:instrText xml:space="preserve"> PAGEREF _Toc351713132 \h </w:instrText>
      </w:r>
      <w:r>
        <w:rPr>
          <w:noProof/>
        </w:rPr>
      </w:r>
      <w:r>
        <w:rPr>
          <w:noProof/>
        </w:rPr>
        <w:fldChar w:fldCharType="separate"/>
      </w:r>
      <w:r w:rsidR="000F03FC">
        <w:rPr>
          <w:noProof/>
        </w:rPr>
        <w:t>12</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2.4.1</w:t>
      </w:r>
      <w:r>
        <w:rPr>
          <w:rFonts w:asciiTheme="minorHAnsi" w:eastAsiaTheme="minorEastAsia" w:hAnsiTheme="minorHAnsi" w:cstheme="minorBidi"/>
          <w:b w:val="0"/>
          <w:noProof/>
          <w:kern w:val="0"/>
          <w:szCs w:val="22"/>
        </w:rPr>
        <w:tab/>
      </w:r>
      <w:r>
        <w:rPr>
          <w:noProof/>
        </w:rPr>
        <w:t>Collation and screening of data</w:t>
      </w:r>
      <w:r>
        <w:rPr>
          <w:noProof/>
        </w:rPr>
        <w:tab/>
      </w:r>
      <w:r>
        <w:rPr>
          <w:noProof/>
        </w:rPr>
        <w:fldChar w:fldCharType="begin"/>
      </w:r>
      <w:r>
        <w:rPr>
          <w:noProof/>
        </w:rPr>
        <w:instrText xml:space="preserve"> PAGEREF _Toc351713133 \h </w:instrText>
      </w:r>
      <w:r>
        <w:rPr>
          <w:noProof/>
        </w:rPr>
      </w:r>
      <w:r>
        <w:rPr>
          <w:noProof/>
        </w:rPr>
        <w:fldChar w:fldCharType="separate"/>
      </w:r>
      <w:r w:rsidR="000F03FC">
        <w:rPr>
          <w:noProof/>
        </w:rPr>
        <w:t>13</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2.4.1.1</w:t>
      </w:r>
      <w:r>
        <w:rPr>
          <w:rFonts w:asciiTheme="minorHAnsi" w:eastAsiaTheme="minorEastAsia" w:hAnsiTheme="minorHAnsi" w:cstheme="minorBidi"/>
          <w:b w:val="0"/>
          <w:noProof/>
          <w:kern w:val="0"/>
          <w:sz w:val="22"/>
          <w:szCs w:val="22"/>
        </w:rPr>
        <w:tab/>
      </w:r>
      <w:r>
        <w:rPr>
          <w:noProof/>
        </w:rPr>
        <w:t>Toxicity data collation</w:t>
      </w:r>
      <w:r>
        <w:rPr>
          <w:noProof/>
        </w:rPr>
        <w:tab/>
      </w:r>
      <w:r>
        <w:rPr>
          <w:noProof/>
        </w:rPr>
        <w:fldChar w:fldCharType="begin"/>
      </w:r>
      <w:r>
        <w:rPr>
          <w:noProof/>
        </w:rPr>
        <w:instrText xml:space="preserve"> PAGEREF _Toc351713134 \h </w:instrText>
      </w:r>
      <w:r>
        <w:rPr>
          <w:noProof/>
        </w:rPr>
      </w:r>
      <w:r>
        <w:rPr>
          <w:noProof/>
        </w:rPr>
        <w:fldChar w:fldCharType="separate"/>
      </w:r>
      <w:r w:rsidR="000F03FC">
        <w:rPr>
          <w:noProof/>
        </w:rPr>
        <w:t>13</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2.4.1.2</w:t>
      </w:r>
      <w:r>
        <w:rPr>
          <w:rFonts w:asciiTheme="minorHAnsi" w:eastAsiaTheme="minorEastAsia" w:hAnsiTheme="minorHAnsi" w:cstheme="minorBidi"/>
          <w:b w:val="0"/>
          <w:noProof/>
          <w:kern w:val="0"/>
          <w:sz w:val="22"/>
          <w:szCs w:val="22"/>
        </w:rPr>
        <w:tab/>
      </w:r>
      <w:r>
        <w:rPr>
          <w:noProof/>
        </w:rPr>
        <w:t>Quantitative structure</w:t>
      </w:r>
      <w:r>
        <w:rPr>
          <w:noProof/>
        </w:rPr>
        <w:sym w:font="Symbol" w:char="F02D"/>
      </w:r>
      <w:r>
        <w:rPr>
          <w:noProof/>
        </w:rPr>
        <w:t>activity relationships</w:t>
      </w:r>
      <w:r>
        <w:rPr>
          <w:noProof/>
        </w:rPr>
        <w:tab/>
      </w:r>
      <w:r>
        <w:rPr>
          <w:noProof/>
        </w:rPr>
        <w:fldChar w:fldCharType="begin"/>
      </w:r>
      <w:r>
        <w:rPr>
          <w:noProof/>
        </w:rPr>
        <w:instrText xml:space="preserve"> PAGEREF _Toc351713135 \h </w:instrText>
      </w:r>
      <w:r>
        <w:rPr>
          <w:noProof/>
        </w:rPr>
      </w:r>
      <w:r>
        <w:rPr>
          <w:noProof/>
        </w:rPr>
        <w:fldChar w:fldCharType="separate"/>
      </w:r>
      <w:r w:rsidR="000F03FC">
        <w:rPr>
          <w:noProof/>
        </w:rPr>
        <w:t>14</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2.4.1.3</w:t>
      </w:r>
      <w:r>
        <w:rPr>
          <w:rFonts w:asciiTheme="minorHAnsi" w:eastAsiaTheme="minorEastAsia" w:hAnsiTheme="minorHAnsi" w:cstheme="minorBidi"/>
          <w:b w:val="0"/>
          <w:noProof/>
          <w:kern w:val="0"/>
          <w:sz w:val="22"/>
          <w:szCs w:val="22"/>
        </w:rPr>
        <w:tab/>
      </w:r>
      <w:r>
        <w:rPr>
          <w:noProof/>
        </w:rPr>
        <w:t>Quantitative activity</w:t>
      </w:r>
      <w:r>
        <w:rPr>
          <w:noProof/>
        </w:rPr>
        <w:sym w:font="Symbol" w:char="F02D"/>
      </w:r>
      <w:r>
        <w:rPr>
          <w:noProof/>
        </w:rPr>
        <w:t>activity relationships</w:t>
      </w:r>
      <w:r>
        <w:rPr>
          <w:noProof/>
        </w:rPr>
        <w:tab/>
      </w:r>
      <w:r>
        <w:rPr>
          <w:noProof/>
        </w:rPr>
        <w:fldChar w:fldCharType="begin"/>
      </w:r>
      <w:r>
        <w:rPr>
          <w:noProof/>
        </w:rPr>
        <w:instrText xml:space="preserve"> PAGEREF _Toc351713136 \h </w:instrText>
      </w:r>
      <w:r>
        <w:rPr>
          <w:noProof/>
        </w:rPr>
      </w:r>
      <w:r>
        <w:rPr>
          <w:noProof/>
        </w:rPr>
        <w:fldChar w:fldCharType="separate"/>
      </w:r>
      <w:r w:rsidR="000F03FC">
        <w:rPr>
          <w:noProof/>
        </w:rPr>
        <w:t>15</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2.4.1.4</w:t>
      </w:r>
      <w:r>
        <w:rPr>
          <w:rFonts w:asciiTheme="minorHAnsi" w:eastAsiaTheme="minorEastAsia" w:hAnsiTheme="minorHAnsi" w:cstheme="minorBidi"/>
          <w:b w:val="0"/>
          <w:noProof/>
          <w:kern w:val="0"/>
          <w:sz w:val="22"/>
          <w:szCs w:val="22"/>
        </w:rPr>
        <w:tab/>
      </w:r>
      <w:r>
        <w:rPr>
          <w:noProof/>
        </w:rPr>
        <w:t>Equilibrium partitioning method</w:t>
      </w:r>
      <w:r>
        <w:rPr>
          <w:noProof/>
        </w:rPr>
        <w:tab/>
      </w:r>
      <w:r>
        <w:rPr>
          <w:noProof/>
        </w:rPr>
        <w:fldChar w:fldCharType="begin"/>
      </w:r>
      <w:r>
        <w:rPr>
          <w:noProof/>
        </w:rPr>
        <w:instrText xml:space="preserve"> PAGEREF _Toc351713137 \h </w:instrText>
      </w:r>
      <w:r>
        <w:rPr>
          <w:noProof/>
        </w:rPr>
      </w:r>
      <w:r>
        <w:rPr>
          <w:noProof/>
        </w:rPr>
        <w:fldChar w:fldCharType="separate"/>
      </w:r>
      <w:r w:rsidR="000F03FC">
        <w:rPr>
          <w:noProof/>
        </w:rPr>
        <w:t>15</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2.4.1.5</w:t>
      </w:r>
      <w:r>
        <w:rPr>
          <w:rFonts w:asciiTheme="minorHAnsi" w:eastAsiaTheme="minorEastAsia" w:hAnsiTheme="minorHAnsi" w:cstheme="minorBidi"/>
          <w:b w:val="0"/>
          <w:noProof/>
          <w:kern w:val="0"/>
          <w:sz w:val="22"/>
          <w:szCs w:val="22"/>
        </w:rPr>
        <w:tab/>
      </w:r>
      <w:r>
        <w:rPr>
          <w:noProof/>
        </w:rPr>
        <w:t>Screening and selection of toxicity data</w:t>
      </w:r>
      <w:r>
        <w:rPr>
          <w:noProof/>
        </w:rPr>
        <w:tab/>
      </w:r>
      <w:r>
        <w:rPr>
          <w:noProof/>
        </w:rPr>
        <w:fldChar w:fldCharType="begin"/>
      </w:r>
      <w:r>
        <w:rPr>
          <w:noProof/>
        </w:rPr>
        <w:instrText xml:space="preserve"> PAGEREF _Toc351713138 \h </w:instrText>
      </w:r>
      <w:r>
        <w:rPr>
          <w:noProof/>
        </w:rPr>
      </w:r>
      <w:r>
        <w:rPr>
          <w:noProof/>
        </w:rPr>
        <w:fldChar w:fldCharType="separate"/>
      </w:r>
      <w:r w:rsidR="000F03FC">
        <w:rPr>
          <w:noProof/>
        </w:rPr>
        <w:t>16</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2.4.2</w:t>
      </w:r>
      <w:r>
        <w:rPr>
          <w:rFonts w:asciiTheme="minorHAnsi" w:eastAsiaTheme="minorEastAsia" w:hAnsiTheme="minorHAnsi" w:cstheme="minorBidi"/>
          <w:b w:val="0"/>
          <w:noProof/>
          <w:kern w:val="0"/>
          <w:szCs w:val="22"/>
        </w:rPr>
        <w:tab/>
      </w:r>
      <w:r>
        <w:rPr>
          <w:noProof/>
        </w:rPr>
        <w:t>Standardisation of the toxicity data</w:t>
      </w:r>
      <w:r>
        <w:rPr>
          <w:noProof/>
        </w:rPr>
        <w:tab/>
      </w:r>
      <w:r>
        <w:rPr>
          <w:noProof/>
        </w:rPr>
        <w:fldChar w:fldCharType="begin"/>
      </w:r>
      <w:r>
        <w:rPr>
          <w:noProof/>
        </w:rPr>
        <w:instrText xml:space="preserve"> PAGEREF _Toc351713139 \h </w:instrText>
      </w:r>
      <w:r>
        <w:rPr>
          <w:noProof/>
        </w:rPr>
      </w:r>
      <w:r>
        <w:rPr>
          <w:noProof/>
        </w:rPr>
        <w:fldChar w:fldCharType="separate"/>
      </w:r>
      <w:r w:rsidR="000F03FC">
        <w:rPr>
          <w:noProof/>
        </w:rPr>
        <w:t>18</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2.4.2.1</w:t>
      </w:r>
      <w:r>
        <w:rPr>
          <w:rFonts w:asciiTheme="minorHAnsi" w:eastAsiaTheme="minorEastAsia" w:hAnsiTheme="minorHAnsi" w:cstheme="minorBidi"/>
          <w:b w:val="0"/>
          <w:noProof/>
          <w:kern w:val="0"/>
          <w:sz w:val="22"/>
          <w:szCs w:val="22"/>
        </w:rPr>
        <w:tab/>
      </w:r>
      <w:r>
        <w:rPr>
          <w:noProof/>
        </w:rPr>
        <w:t>Measures of toxicity</w:t>
      </w:r>
      <w:r>
        <w:rPr>
          <w:noProof/>
        </w:rPr>
        <w:tab/>
      </w:r>
      <w:r>
        <w:rPr>
          <w:noProof/>
        </w:rPr>
        <w:fldChar w:fldCharType="begin"/>
      </w:r>
      <w:r>
        <w:rPr>
          <w:noProof/>
        </w:rPr>
        <w:instrText xml:space="preserve"> PAGEREF _Toc351713140 \h </w:instrText>
      </w:r>
      <w:r>
        <w:rPr>
          <w:noProof/>
        </w:rPr>
      </w:r>
      <w:r>
        <w:rPr>
          <w:noProof/>
        </w:rPr>
        <w:fldChar w:fldCharType="separate"/>
      </w:r>
      <w:r w:rsidR="000F03FC">
        <w:rPr>
          <w:noProof/>
        </w:rPr>
        <w:t>18</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2.4.2.2</w:t>
      </w:r>
      <w:r>
        <w:rPr>
          <w:rFonts w:asciiTheme="minorHAnsi" w:eastAsiaTheme="minorEastAsia" w:hAnsiTheme="minorHAnsi" w:cstheme="minorBidi"/>
          <w:b w:val="0"/>
          <w:noProof/>
          <w:kern w:val="0"/>
          <w:sz w:val="22"/>
          <w:szCs w:val="22"/>
        </w:rPr>
        <w:tab/>
      </w:r>
      <w:r>
        <w:rPr>
          <w:noProof/>
        </w:rPr>
        <w:t>Conversion from total to added concentrations</w:t>
      </w:r>
      <w:r>
        <w:rPr>
          <w:noProof/>
        </w:rPr>
        <w:tab/>
      </w:r>
      <w:r>
        <w:rPr>
          <w:noProof/>
        </w:rPr>
        <w:fldChar w:fldCharType="begin"/>
      </w:r>
      <w:r>
        <w:rPr>
          <w:noProof/>
        </w:rPr>
        <w:instrText xml:space="preserve"> PAGEREF _Toc351713141 \h </w:instrText>
      </w:r>
      <w:r>
        <w:rPr>
          <w:noProof/>
        </w:rPr>
      </w:r>
      <w:r>
        <w:rPr>
          <w:noProof/>
        </w:rPr>
        <w:fldChar w:fldCharType="separate"/>
      </w:r>
      <w:r w:rsidR="000F03FC">
        <w:rPr>
          <w:noProof/>
        </w:rPr>
        <w:t>20</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2.4.2.3</w:t>
      </w:r>
      <w:r>
        <w:rPr>
          <w:rFonts w:asciiTheme="minorHAnsi" w:eastAsiaTheme="minorEastAsia" w:hAnsiTheme="minorHAnsi" w:cstheme="minorBidi"/>
          <w:b w:val="0"/>
          <w:noProof/>
          <w:kern w:val="0"/>
          <w:sz w:val="22"/>
          <w:szCs w:val="22"/>
        </w:rPr>
        <w:tab/>
      </w:r>
      <w:r>
        <w:rPr>
          <w:noProof/>
        </w:rPr>
        <w:t>Duration of exposure</w:t>
      </w:r>
      <w:r>
        <w:rPr>
          <w:noProof/>
        </w:rPr>
        <w:tab/>
      </w:r>
      <w:r>
        <w:rPr>
          <w:noProof/>
        </w:rPr>
        <w:fldChar w:fldCharType="begin"/>
      </w:r>
      <w:r>
        <w:rPr>
          <w:noProof/>
        </w:rPr>
        <w:instrText xml:space="preserve"> PAGEREF _Toc351713142 \h </w:instrText>
      </w:r>
      <w:r>
        <w:rPr>
          <w:noProof/>
        </w:rPr>
      </w:r>
      <w:r>
        <w:rPr>
          <w:noProof/>
        </w:rPr>
        <w:fldChar w:fldCharType="separate"/>
      </w:r>
      <w:r w:rsidR="000F03FC">
        <w:rPr>
          <w:noProof/>
        </w:rPr>
        <w:t>20</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2.4.2.4</w:t>
      </w:r>
      <w:r>
        <w:rPr>
          <w:rFonts w:asciiTheme="minorHAnsi" w:eastAsiaTheme="minorEastAsia" w:hAnsiTheme="minorHAnsi" w:cstheme="minorBidi"/>
          <w:b w:val="0"/>
          <w:noProof/>
          <w:kern w:val="0"/>
          <w:sz w:val="22"/>
          <w:szCs w:val="22"/>
        </w:rPr>
        <w:tab/>
      </w:r>
      <w:r>
        <w:rPr>
          <w:noProof/>
        </w:rPr>
        <w:t>The use of toxicity data for endemic or overseas species</w:t>
      </w:r>
      <w:r>
        <w:rPr>
          <w:noProof/>
        </w:rPr>
        <w:tab/>
      </w:r>
      <w:r>
        <w:rPr>
          <w:noProof/>
        </w:rPr>
        <w:fldChar w:fldCharType="begin"/>
      </w:r>
      <w:r>
        <w:rPr>
          <w:noProof/>
        </w:rPr>
        <w:instrText xml:space="preserve"> PAGEREF _Toc351713143 \h </w:instrText>
      </w:r>
      <w:r>
        <w:rPr>
          <w:noProof/>
        </w:rPr>
      </w:r>
      <w:r>
        <w:rPr>
          <w:noProof/>
        </w:rPr>
        <w:fldChar w:fldCharType="separate"/>
      </w:r>
      <w:r w:rsidR="000F03FC">
        <w:rPr>
          <w:noProof/>
        </w:rPr>
        <w:t>20</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2.4.3</w:t>
      </w:r>
      <w:r>
        <w:rPr>
          <w:rFonts w:asciiTheme="minorHAnsi" w:eastAsiaTheme="minorEastAsia" w:hAnsiTheme="minorHAnsi" w:cstheme="minorBidi"/>
          <w:b w:val="0"/>
          <w:noProof/>
          <w:kern w:val="0"/>
          <w:szCs w:val="22"/>
        </w:rPr>
        <w:tab/>
      </w:r>
      <w:r>
        <w:rPr>
          <w:noProof/>
        </w:rPr>
        <w:t>Incorporation of an ageing and leaching factor</w:t>
      </w:r>
      <w:r>
        <w:rPr>
          <w:noProof/>
        </w:rPr>
        <w:tab/>
      </w:r>
      <w:r>
        <w:rPr>
          <w:noProof/>
        </w:rPr>
        <w:fldChar w:fldCharType="begin"/>
      </w:r>
      <w:r>
        <w:rPr>
          <w:noProof/>
        </w:rPr>
        <w:instrText xml:space="preserve"> PAGEREF _Toc351713144 \h </w:instrText>
      </w:r>
      <w:r>
        <w:rPr>
          <w:noProof/>
        </w:rPr>
      </w:r>
      <w:r>
        <w:rPr>
          <w:noProof/>
        </w:rPr>
        <w:fldChar w:fldCharType="separate"/>
      </w:r>
      <w:r w:rsidR="000F03FC">
        <w:rPr>
          <w:noProof/>
        </w:rPr>
        <w:t>21</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2.4.4</w:t>
      </w:r>
      <w:r>
        <w:rPr>
          <w:rFonts w:asciiTheme="minorHAnsi" w:eastAsiaTheme="minorEastAsia" w:hAnsiTheme="minorHAnsi" w:cstheme="minorBidi"/>
          <w:b w:val="0"/>
          <w:noProof/>
          <w:kern w:val="0"/>
          <w:szCs w:val="22"/>
        </w:rPr>
        <w:tab/>
      </w:r>
      <w:r>
        <w:rPr>
          <w:noProof/>
        </w:rPr>
        <w:t>Comparison of available toxicity data to the minimum data requirements</w:t>
      </w:r>
      <w:r>
        <w:rPr>
          <w:noProof/>
        </w:rPr>
        <w:tab/>
      </w:r>
      <w:r>
        <w:rPr>
          <w:noProof/>
        </w:rPr>
        <w:fldChar w:fldCharType="begin"/>
      </w:r>
      <w:r>
        <w:rPr>
          <w:noProof/>
        </w:rPr>
        <w:instrText xml:space="preserve"> PAGEREF _Toc351713145 \h </w:instrText>
      </w:r>
      <w:r>
        <w:rPr>
          <w:noProof/>
        </w:rPr>
      </w:r>
      <w:r>
        <w:rPr>
          <w:noProof/>
        </w:rPr>
        <w:fldChar w:fldCharType="separate"/>
      </w:r>
      <w:r w:rsidR="000F03FC">
        <w:rPr>
          <w:noProof/>
        </w:rPr>
        <w:t>21</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2.4.5</w:t>
      </w:r>
      <w:r>
        <w:rPr>
          <w:rFonts w:asciiTheme="minorHAnsi" w:eastAsiaTheme="minorEastAsia" w:hAnsiTheme="minorHAnsi" w:cstheme="minorBidi"/>
          <w:b w:val="0"/>
          <w:noProof/>
          <w:kern w:val="0"/>
          <w:szCs w:val="22"/>
        </w:rPr>
        <w:tab/>
      </w:r>
      <w:r>
        <w:rPr>
          <w:noProof/>
        </w:rPr>
        <w:t>Calculation of the added contaminant limit using a species sensitivity distribution approach</w:t>
      </w:r>
      <w:r>
        <w:rPr>
          <w:noProof/>
        </w:rPr>
        <w:tab/>
      </w:r>
      <w:r>
        <w:rPr>
          <w:noProof/>
        </w:rPr>
        <w:fldChar w:fldCharType="begin"/>
      </w:r>
      <w:r>
        <w:rPr>
          <w:noProof/>
        </w:rPr>
        <w:instrText xml:space="preserve"> PAGEREF _Toc351713146 \h </w:instrText>
      </w:r>
      <w:r>
        <w:rPr>
          <w:noProof/>
        </w:rPr>
      </w:r>
      <w:r>
        <w:rPr>
          <w:noProof/>
        </w:rPr>
        <w:fldChar w:fldCharType="separate"/>
      </w:r>
      <w:r w:rsidR="000F03FC">
        <w:rPr>
          <w:noProof/>
        </w:rPr>
        <w:t>24</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lastRenderedPageBreak/>
        <w:t>2.4.6</w:t>
      </w:r>
      <w:r>
        <w:rPr>
          <w:rFonts w:asciiTheme="minorHAnsi" w:eastAsiaTheme="minorEastAsia" w:hAnsiTheme="minorHAnsi" w:cstheme="minorBidi"/>
          <w:b w:val="0"/>
          <w:noProof/>
          <w:kern w:val="0"/>
          <w:szCs w:val="22"/>
        </w:rPr>
        <w:tab/>
      </w:r>
      <w:r>
        <w:rPr>
          <w:noProof/>
        </w:rPr>
        <w:t>Normalisation of toxicity data to an Australian reference soil</w:t>
      </w:r>
      <w:r>
        <w:rPr>
          <w:noProof/>
        </w:rPr>
        <w:tab/>
      </w:r>
      <w:r>
        <w:rPr>
          <w:noProof/>
        </w:rPr>
        <w:fldChar w:fldCharType="begin"/>
      </w:r>
      <w:r>
        <w:rPr>
          <w:noProof/>
        </w:rPr>
        <w:instrText xml:space="preserve"> PAGEREF _Toc351713147 \h </w:instrText>
      </w:r>
      <w:r>
        <w:rPr>
          <w:noProof/>
        </w:rPr>
      </w:r>
      <w:r>
        <w:rPr>
          <w:noProof/>
        </w:rPr>
        <w:fldChar w:fldCharType="separate"/>
      </w:r>
      <w:r w:rsidR="000F03FC">
        <w:rPr>
          <w:noProof/>
        </w:rPr>
        <w:t>25</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2.4.7</w:t>
      </w:r>
      <w:r>
        <w:rPr>
          <w:rFonts w:asciiTheme="minorHAnsi" w:eastAsiaTheme="minorEastAsia" w:hAnsiTheme="minorHAnsi" w:cstheme="minorBidi"/>
          <w:b w:val="0"/>
          <w:noProof/>
          <w:kern w:val="0"/>
          <w:szCs w:val="22"/>
        </w:rPr>
        <w:tab/>
      </w:r>
      <w:r>
        <w:rPr>
          <w:noProof/>
        </w:rPr>
        <w:t>Calculation of the added contaminant level using an assessment factor approach</w:t>
      </w:r>
      <w:r>
        <w:rPr>
          <w:noProof/>
        </w:rPr>
        <w:tab/>
      </w:r>
      <w:r>
        <w:rPr>
          <w:noProof/>
        </w:rPr>
        <w:fldChar w:fldCharType="begin"/>
      </w:r>
      <w:r>
        <w:rPr>
          <w:noProof/>
        </w:rPr>
        <w:instrText xml:space="preserve"> PAGEREF _Toc351713148 \h </w:instrText>
      </w:r>
      <w:r>
        <w:rPr>
          <w:noProof/>
        </w:rPr>
      </w:r>
      <w:r>
        <w:rPr>
          <w:noProof/>
        </w:rPr>
        <w:fldChar w:fldCharType="separate"/>
      </w:r>
      <w:r w:rsidR="000F03FC">
        <w:rPr>
          <w:noProof/>
        </w:rPr>
        <w:t>27</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2.4.8</w:t>
      </w:r>
      <w:r>
        <w:rPr>
          <w:rFonts w:asciiTheme="minorHAnsi" w:eastAsiaTheme="minorEastAsia" w:hAnsiTheme="minorHAnsi" w:cstheme="minorBidi"/>
          <w:b w:val="0"/>
          <w:noProof/>
          <w:kern w:val="0"/>
          <w:szCs w:val="22"/>
        </w:rPr>
        <w:tab/>
      </w:r>
      <w:r>
        <w:rPr>
          <w:noProof/>
        </w:rPr>
        <w:t>Accounting for secondary poisoning and biomagnification</w:t>
      </w:r>
      <w:r>
        <w:rPr>
          <w:noProof/>
        </w:rPr>
        <w:tab/>
      </w:r>
      <w:r>
        <w:rPr>
          <w:noProof/>
        </w:rPr>
        <w:fldChar w:fldCharType="begin"/>
      </w:r>
      <w:r>
        <w:rPr>
          <w:noProof/>
        </w:rPr>
        <w:instrText xml:space="preserve"> PAGEREF _Toc351713149 \h </w:instrText>
      </w:r>
      <w:r>
        <w:rPr>
          <w:noProof/>
        </w:rPr>
      </w:r>
      <w:r>
        <w:rPr>
          <w:noProof/>
        </w:rPr>
        <w:fldChar w:fldCharType="separate"/>
      </w:r>
      <w:r w:rsidR="000F03FC">
        <w:rPr>
          <w:noProof/>
        </w:rPr>
        <w:t>29</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2.4.9</w:t>
      </w:r>
      <w:r>
        <w:rPr>
          <w:rFonts w:asciiTheme="minorHAnsi" w:eastAsiaTheme="minorEastAsia" w:hAnsiTheme="minorHAnsi" w:cstheme="minorBidi"/>
          <w:b w:val="0"/>
          <w:noProof/>
          <w:kern w:val="0"/>
          <w:szCs w:val="22"/>
        </w:rPr>
        <w:tab/>
      </w:r>
      <w:r>
        <w:rPr>
          <w:noProof/>
        </w:rPr>
        <w:t>Calculation of the ambient background concentrations</w:t>
      </w:r>
      <w:r>
        <w:rPr>
          <w:noProof/>
        </w:rPr>
        <w:tab/>
      </w:r>
      <w:r>
        <w:rPr>
          <w:noProof/>
        </w:rPr>
        <w:fldChar w:fldCharType="begin"/>
      </w:r>
      <w:r>
        <w:rPr>
          <w:noProof/>
        </w:rPr>
        <w:instrText xml:space="preserve"> PAGEREF _Toc351713150 \h </w:instrText>
      </w:r>
      <w:r>
        <w:rPr>
          <w:noProof/>
        </w:rPr>
      </w:r>
      <w:r>
        <w:rPr>
          <w:noProof/>
        </w:rPr>
        <w:fldChar w:fldCharType="separate"/>
      </w:r>
      <w:r w:rsidR="000F03FC">
        <w:rPr>
          <w:noProof/>
        </w:rPr>
        <w:t>30</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2.4.9.1</w:t>
      </w:r>
      <w:r>
        <w:rPr>
          <w:rFonts w:asciiTheme="minorHAnsi" w:eastAsiaTheme="minorEastAsia" w:hAnsiTheme="minorHAnsi" w:cstheme="minorBidi"/>
          <w:b w:val="0"/>
          <w:noProof/>
          <w:kern w:val="0"/>
          <w:sz w:val="22"/>
          <w:szCs w:val="22"/>
        </w:rPr>
        <w:tab/>
      </w:r>
      <w:r>
        <w:rPr>
          <w:noProof/>
        </w:rPr>
        <w:t>Inorganic contaminants</w:t>
      </w:r>
      <w:r>
        <w:rPr>
          <w:noProof/>
        </w:rPr>
        <w:tab/>
      </w:r>
      <w:r>
        <w:rPr>
          <w:noProof/>
        </w:rPr>
        <w:fldChar w:fldCharType="begin"/>
      </w:r>
      <w:r>
        <w:rPr>
          <w:noProof/>
        </w:rPr>
        <w:instrText xml:space="preserve"> PAGEREF _Toc351713151 \h </w:instrText>
      </w:r>
      <w:r>
        <w:rPr>
          <w:noProof/>
        </w:rPr>
      </w:r>
      <w:r>
        <w:rPr>
          <w:noProof/>
        </w:rPr>
        <w:fldChar w:fldCharType="separate"/>
      </w:r>
      <w:r w:rsidR="000F03FC">
        <w:rPr>
          <w:noProof/>
        </w:rPr>
        <w:t>30</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2.4.9.2</w:t>
      </w:r>
      <w:r>
        <w:rPr>
          <w:rFonts w:asciiTheme="minorHAnsi" w:eastAsiaTheme="minorEastAsia" w:hAnsiTheme="minorHAnsi" w:cstheme="minorBidi"/>
          <w:b w:val="0"/>
          <w:noProof/>
          <w:kern w:val="0"/>
          <w:sz w:val="22"/>
          <w:szCs w:val="22"/>
        </w:rPr>
        <w:tab/>
      </w:r>
      <w:r>
        <w:rPr>
          <w:noProof/>
        </w:rPr>
        <w:t>Organic contaminants</w:t>
      </w:r>
      <w:r>
        <w:rPr>
          <w:noProof/>
        </w:rPr>
        <w:tab/>
      </w:r>
      <w:r>
        <w:rPr>
          <w:noProof/>
        </w:rPr>
        <w:fldChar w:fldCharType="begin"/>
      </w:r>
      <w:r>
        <w:rPr>
          <w:noProof/>
        </w:rPr>
        <w:instrText xml:space="preserve"> PAGEREF _Toc351713152 \h </w:instrText>
      </w:r>
      <w:r>
        <w:rPr>
          <w:noProof/>
        </w:rPr>
      </w:r>
      <w:r>
        <w:rPr>
          <w:noProof/>
        </w:rPr>
        <w:fldChar w:fldCharType="separate"/>
      </w:r>
      <w:r w:rsidR="000F03FC">
        <w:rPr>
          <w:noProof/>
        </w:rPr>
        <w:t>32</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2.4.10</w:t>
      </w:r>
      <w:r>
        <w:rPr>
          <w:rFonts w:asciiTheme="minorHAnsi" w:eastAsiaTheme="minorEastAsia" w:hAnsiTheme="minorHAnsi" w:cstheme="minorBidi"/>
          <w:b w:val="0"/>
          <w:noProof/>
          <w:kern w:val="0"/>
          <w:szCs w:val="22"/>
        </w:rPr>
        <w:tab/>
      </w:r>
      <w:r>
        <w:rPr>
          <w:noProof/>
        </w:rPr>
        <w:t>Calculation of the EIL</w:t>
      </w:r>
      <w:r>
        <w:rPr>
          <w:noProof/>
        </w:rPr>
        <w:tab/>
      </w:r>
      <w:r>
        <w:rPr>
          <w:noProof/>
        </w:rPr>
        <w:fldChar w:fldCharType="begin"/>
      </w:r>
      <w:r>
        <w:rPr>
          <w:noProof/>
        </w:rPr>
        <w:instrText xml:space="preserve"> PAGEREF _Toc351713153 \h </w:instrText>
      </w:r>
      <w:r>
        <w:rPr>
          <w:noProof/>
        </w:rPr>
      </w:r>
      <w:r>
        <w:rPr>
          <w:noProof/>
        </w:rPr>
        <w:fldChar w:fldCharType="separate"/>
      </w:r>
      <w:r w:rsidR="000F03FC">
        <w:rPr>
          <w:noProof/>
        </w:rPr>
        <w:t>32</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2.4.11</w:t>
      </w:r>
      <w:r>
        <w:rPr>
          <w:rFonts w:asciiTheme="minorHAnsi" w:eastAsiaTheme="minorEastAsia" w:hAnsiTheme="minorHAnsi" w:cstheme="minorBidi"/>
          <w:b w:val="0"/>
          <w:noProof/>
          <w:kern w:val="0"/>
          <w:szCs w:val="22"/>
        </w:rPr>
        <w:tab/>
      </w:r>
      <w:r>
        <w:rPr>
          <w:noProof/>
        </w:rPr>
        <w:t>The reliability of the EIL</w:t>
      </w:r>
      <w:r>
        <w:rPr>
          <w:noProof/>
        </w:rPr>
        <w:tab/>
      </w:r>
      <w:r>
        <w:rPr>
          <w:noProof/>
        </w:rPr>
        <w:fldChar w:fldCharType="begin"/>
      </w:r>
      <w:r>
        <w:rPr>
          <w:noProof/>
        </w:rPr>
        <w:instrText xml:space="preserve"> PAGEREF _Toc351713154 \h </w:instrText>
      </w:r>
      <w:r>
        <w:rPr>
          <w:noProof/>
        </w:rPr>
      </w:r>
      <w:r>
        <w:rPr>
          <w:noProof/>
        </w:rPr>
        <w:fldChar w:fldCharType="separate"/>
      </w:r>
      <w:r w:rsidR="000F03FC">
        <w:rPr>
          <w:noProof/>
        </w:rPr>
        <w:t>33</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2.4.12</w:t>
      </w:r>
      <w:r>
        <w:rPr>
          <w:rFonts w:asciiTheme="minorHAnsi" w:eastAsiaTheme="minorEastAsia" w:hAnsiTheme="minorHAnsi" w:cstheme="minorBidi"/>
          <w:b w:val="0"/>
          <w:noProof/>
          <w:kern w:val="0"/>
          <w:szCs w:val="22"/>
        </w:rPr>
        <w:tab/>
      </w:r>
      <w:r>
        <w:rPr>
          <w:noProof/>
        </w:rPr>
        <w:t>Evaluation of the appropriateness of the derived EILs</w:t>
      </w:r>
      <w:r>
        <w:rPr>
          <w:noProof/>
        </w:rPr>
        <w:tab/>
      </w:r>
      <w:r>
        <w:rPr>
          <w:noProof/>
        </w:rPr>
        <w:fldChar w:fldCharType="begin"/>
      </w:r>
      <w:r>
        <w:rPr>
          <w:noProof/>
        </w:rPr>
        <w:instrText xml:space="preserve"> PAGEREF _Toc351713155 \h </w:instrText>
      </w:r>
      <w:r>
        <w:rPr>
          <w:noProof/>
        </w:rPr>
      </w:r>
      <w:r>
        <w:rPr>
          <w:noProof/>
        </w:rPr>
        <w:fldChar w:fldCharType="separate"/>
      </w:r>
      <w:r w:rsidR="000F03FC">
        <w:rPr>
          <w:noProof/>
        </w:rPr>
        <w:t>33</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2.4.13</w:t>
      </w:r>
      <w:r>
        <w:rPr>
          <w:rFonts w:asciiTheme="minorHAnsi" w:eastAsiaTheme="minorEastAsia" w:hAnsiTheme="minorHAnsi" w:cstheme="minorBidi"/>
          <w:b w:val="0"/>
          <w:noProof/>
          <w:kern w:val="0"/>
          <w:szCs w:val="22"/>
        </w:rPr>
        <w:tab/>
      </w:r>
      <w:r>
        <w:rPr>
          <w:noProof/>
        </w:rPr>
        <w:t>Strengths and limitations of EIL derivation methodology</w:t>
      </w:r>
      <w:r>
        <w:rPr>
          <w:noProof/>
        </w:rPr>
        <w:tab/>
      </w:r>
      <w:r>
        <w:rPr>
          <w:noProof/>
        </w:rPr>
        <w:fldChar w:fldCharType="begin"/>
      </w:r>
      <w:r>
        <w:rPr>
          <w:noProof/>
        </w:rPr>
        <w:instrText xml:space="preserve"> PAGEREF _Toc351713156 \h </w:instrText>
      </w:r>
      <w:r>
        <w:rPr>
          <w:noProof/>
        </w:rPr>
      </w:r>
      <w:r>
        <w:rPr>
          <w:noProof/>
        </w:rPr>
        <w:fldChar w:fldCharType="separate"/>
      </w:r>
      <w:r w:rsidR="000F03FC">
        <w:rPr>
          <w:noProof/>
        </w:rPr>
        <w:t>33</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2.4.13.1</w:t>
      </w:r>
      <w:r>
        <w:rPr>
          <w:rFonts w:asciiTheme="minorHAnsi" w:eastAsiaTheme="minorEastAsia" w:hAnsiTheme="minorHAnsi" w:cstheme="minorBidi"/>
          <w:b w:val="0"/>
          <w:noProof/>
          <w:kern w:val="0"/>
          <w:sz w:val="22"/>
          <w:szCs w:val="22"/>
        </w:rPr>
        <w:tab/>
      </w:r>
      <w:r>
        <w:rPr>
          <w:noProof/>
        </w:rPr>
        <w:t>Strengths</w:t>
      </w:r>
      <w:r>
        <w:rPr>
          <w:noProof/>
        </w:rPr>
        <w:tab/>
      </w:r>
      <w:r>
        <w:rPr>
          <w:noProof/>
        </w:rPr>
        <w:fldChar w:fldCharType="begin"/>
      </w:r>
      <w:r>
        <w:rPr>
          <w:noProof/>
        </w:rPr>
        <w:instrText xml:space="preserve"> PAGEREF _Toc351713157 \h </w:instrText>
      </w:r>
      <w:r>
        <w:rPr>
          <w:noProof/>
        </w:rPr>
      </w:r>
      <w:r>
        <w:rPr>
          <w:noProof/>
        </w:rPr>
        <w:fldChar w:fldCharType="separate"/>
      </w:r>
      <w:r w:rsidR="000F03FC">
        <w:rPr>
          <w:noProof/>
        </w:rPr>
        <w:t>34</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2.4.13.2</w:t>
      </w:r>
      <w:r>
        <w:rPr>
          <w:rFonts w:asciiTheme="minorHAnsi" w:eastAsiaTheme="minorEastAsia" w:hAnsiTheme="minorHAnsi" w:cstheme="minorBidi"/>
          <w:b w:val="0"/>
          <w:noProof/>
          <w:kern w:val="0"/>
          <w:sz w:val="22"/>
          <w:szCs w:val="22"/>
        </w:rPr>
        <w:tab/>
      </w:r>
      <w:r>
        <w:rPr>
          <w:noProof/>
        </w:rPr>
        <w:t>Limitations</w:t>
      </w:r>
      <w:r>
        <w:rPr>
          <w:noProof/>
        </w:rPr>
        <w:tab/>
      </w:r>
      <w:r>
        <w:rPr>
          <w:noProof/>
        </w:rPr>
        <w:fldChar w:fldCharType="begin"/>
      </w:r>
      <w:r>
        <w:rPr>
          <w:noProof/>
        </w:rPr>
        <w:instrText xml:space="preserve"> PAGEREF _Toc351713158 \h </w:instrText>
      </w:r>
      <w:r>
        <w:rPr>
          <w:noProof/>
        </w:rPr>
      </w:r>
      <w:r>
        <w:rPr>
          <w:noProof/>
        </w:rPr>
        <w:fldChar w:fldCharType="separate"/>
      </w:r>
      <w:r w:rsidR="000F03FC">
        <w:rPr>
          <w:noProof/>
        </w:rPr>
        <w:t>34</w:t>
      </w:r>
      <w:r>
        <w:rPr>
          <w:noProof/>
        </w:rPr>
        <w:fldChar w:fldCharType="end"/>
      </w:r>
    </w:p>
    <w:p w:rsidR="002762F0" w:rsidRDefault="002762F0" w:rsidP="001929E0">
      <w:pPr>
        <w:pStyle w:val="TOC1"/>
        <w:keepNext w:val="0"/>
        <w:rPr>
          <w:rFonts w:asciiTheme="minorHAnsi" w:eastAsiaTheme="minorEastAsia" w:hAnsiTheme="minorHAnsi" w:cstheme="minorBidi"/>
          <w:b w:val="0"/>
          <w:noProof/>
          <w:kern w:val="0"/>
          <w:sz w:val="22"/>
          <w:szCs w:val="22"/>
        </w:rPr>
      </w:pPr>
      <w:r>
        <w:rPr>
          <w:noProof/>
        </w:rPr>
        <w:t>3</w:t>
      </w:r>
      <w:r>
        <w:rPr>
          <w:rFonts w:asciiTheme="minorHAnsi" w:eastAsiaTheme="minorEastAsia" w:hAnsiTheme="minorHAnsi" w:cstheme="minorBidi"/>
          <w:b w:val="0"/>
          <w:noProof/>
          <w:kern w:val="0"/>
          <w:sz w:val="22"/>
          <w:szCs w:val="22"/>
        </w:rPr>
        <w:tab/>
      </w:r>
      <w:r>
        <w:rPr>
          <w:noProof/>
        </w:rPr>
        <w:t>Technical notes on methods used in the EIL derivation methodology</w:t>
      </w:r>
      <w:r>
        <w:rPr>
          <w:noProof/>
        </w:rPr>
        <w:tab/>
      </w:r>
      <w:r>
        <w:rPr>
          <w:noProof/>
        </w:rPr>
        <w:fldChar w:fldCharType="begin"/>
      </w:r>
      <w:r>
        <w:rPr>
          <w:noProof/>
        </w:rPr>
        <w:instrText xml:space="preserve"> PAGEREF _Toc351713159 \h </w:instrText>
      </w:r>
      <w:r>
        <w:rPr>
          <w:noProof/>
        </w:rPr>
      </w:r>
      <w:r>
        <w:rPr>
          <w:noProof/>
        </w:rPr>
        <w:fldChar w:fldCharType="separate"/>
      </w:r>
      <w:r w:rsidR="000F03FC">
        <w:rPr>
          <w:noProof/>
        </w:rPr>
        <w:t>35</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t>3.1</w:t>
      </w:r>
      <w:r>
        <w:rPr>
          <w:rFonts w:asciiTheme="minorHAnsi" w:eastAsiaTheme="minorEastAsia" w:hAnsiTheme="minorHAnsi" w:cstheme="minorBidi"/>
          <w:b w:val="0"/>
          <w:noProof/>
          <w:kern w:val="0"/>
          <w:sz w:val="22"/>
          <w:szCs w:val="22"/>
        </w:rPr>
        <w:tab/>
      </w:r>
      <w:r>
        <w:rPr>
          <w:noProof/>
        </w:rPr>
        <w:t>Methods to account for the effect of soil characteristics on toxicity and bioavailability</w:t>
      </w:r>
      <w:r>
        <w:rPr>
          <w:noProof/>
        </w:rPr>
        <w:tab/>
      </w:r>
      <w:r>
        <w:rPr>
          <w:noProof/>
        </w:rPr>
        <w:fldChar w:fldCharType="begin"/>
      </w:r>
      <w:r>
        <w:rPr>
          <w:noProof/>
        </w:rPr>
        <w:instrText xml:space="preserve"> PAGEREF _Toc351713160 \h </w:instrText>
      </w:r>
      <w:r>
        <w:rPr>
          <w:noProof/>
        </w:rPr>
      </w:r>
      <w:r>
        <w:rPr>
          <w:noProof/>
        </w:rPr>
        <w:fldChar w:fldCharType="separate"/>
      </w:r>
      <w:r w:rsidR="000F03FC">
        <w:rPr>
          <w:noProof/>
        </w:rPr>
        <w:t>35</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3.1.1</w:t>
      </w:r>
      <w:r>
        <w:rPr>
          <w:rFonts w:asciiTheme="minorHAnsi" w:eastAsiaTheme="minorEastAsia" w:hAnsiTheme="minorHAnsi" w:cstheme="minorBidi"/>
          <w:b w:val="0"/>
          <w:noProof/>
          <w:kern w:val="0"/>
          <w:szCs w:val="22"/>
        </w:rPr>
        <w:tab/>
      </w:r>
      <w:r>
        <w:rPr>
          <w:noProof/>
        </w:rPr>
        <w:t>Chemical estimates of bioavailability</w:t>
      </w:r>
      <w:r>
        <w:rPr>
          <w:noProof/>
        </w:rPr>
        <w:tab/>
      </w:r>
      <w:r>
        <w:rPr>
          <w:noProof/>
        </w:rPr>
        <w:fldChar w:fldCharType="begin"/>
      </w:r>
      <w:r>
        <w:rPr>
          <w:noProof/>
        </w:rPr>
        <w:instrText xml:space="preserve"> PAGEREF _Toc351713161 \h </w:instrText>
      </w:r>
      <w:r>
        <w:rPr>
          <w:noProof/>
        </w:rPr>
      </w:r>
      <w:r>
        <w:rPr>
          <w:noProof/>
        </w:rPr>
        <w:fldChar w:fldCharType="separate"/>
      </w:r>
      <w:r w:rsidR="000F03FC">
        <w:rPr>
          <w:noProof/>
        </w:rPr>
        <w:t>36</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3.1.2</w:t>
      </w:r>
      <w:r>
        <w:rPr>
          <w:rFonts w:asciiTheme="minorHAnsi" w:eastAsiaTheme="minorEastAsia" w:hAnsiTheme="minorHAnsi" w:cstheme="minorBidi"/>
          <w:b w:val="0"/>
          <w:noProof/>
          <w:kern w:val="0"/>
          <w:szCs w:val="22"/>
        </w:rPr>
        <w:tab/>
      </w:r>
      <w:r>
        <w:rPr>
          <w:noProof/>
        </w:rPr>
        <w:t>Normalisation relationships</w:t>
      </w:r>
      <w:r>
        <w:rPr>
          <w:noProof/>
        </w:rPr>
        <w:tab/>
      </w:r>
      <w:r>
        <w:rPr>
          <w:noProof/>
        </w:rPr>
        <w:fldChar w:fldCharType="begin"/>
      </w:r>
      <w:r>
        <w:rPr>
          <w:noProof/>
        </w:rPr>
        <w:instrText xml:space="preserve"> PAGEREF _Toc351713162 \h </w:instrText>
      </w:r>
      <w:r>
        <w:rPr>
          <w:noProof/>
        </w:rPr>
      </w:r>
      <w:r>
        <w:rPr>
          <w:noProof/>
        </w:rPr>
        <w:fldChar w:fldCharType="separate"/>
      </w:r>
      <w:r w:rsidR="000F03FC">
        <w:rPr>
          <w:noProof/>
        </w:rPr>
        <w:t>37</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3.1.3</w:t>
      </w:r>
      <w:r>
        <w:rPr>
          <w:rFonts w:asciiTheme="minorHAnsi" w:eastAsiaTheme="minorEastAsia" w:hAnsiTheme="minorHAnsi" w:cstheme="minorBidi"/>
          <w:b w:val="0"/>
          <w:noProof/>
          <w:kern w:val="0"/>
          <w:szCs w:val="22"/>
        </w:rPr>
        <w:tab/>
      </w:r>
      <w:r>
        <w:rPr>
          <w:noProof/>
        </w:rPr>
        <w:t>Normalisation of toxicity data to a reference soil</w:t>
      </w:r>
      <w:r>
        <w:rPr>
          <w:noProof/>
        </w:rPr>
        <w:tab/>
      </w:r>
      <w:r>
        <w:rPr>
          <w:noProof/>
        </w:rPr>
        <w:fldChar w:fldCharType="begin"/>
      </w:r>
      <w:r>
        <w:rPr>
          <w:noProof/>
        </w:rPr>
        <w:instrText xml:space="preserve"> PAGEREF _Toc351713163 \h </w:instrText>
      </w:r>
      <w:r>
        <w:rPr>
          <w:noProof/>
        </w:rPr>
      </w:r>
      <w:r>
        <w:rPr>
          <w:noProof/>
        </w:rPr>
        <w:fldChar w:fldCharType="separate"/>
      </w:r>
      <w:r w:rsidR="000F03FC">
        <w:rPr>
          <w:noProof/>
        </w:rPr>
        <w:t>39</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t>3.2</w:t>
      </w:r>
      <w:r>
        <w:rPr>
          <w:rFonts w:asciiTheme="minorHAnsi" w:eastAsiaTheme="minorEastAsia" w:hAnsiTheme="minorHAnsi" w:cstheme="minorBidi"/>
          <w:b w:val="0"/>
          <w:noProof/>
          <w:kern w:val="0"/>
          <w:sz w:val="22"/>
          <w:szCs w:val="22"/>
        </w:rPr>
        <w:tab/>
      </w:r>
      <w:r>
        <w:rPr>
          <w:noProof/>
        </w:rPr>
        <w:t>Methods to calculate soil quality guidelines</w:t>
      </w:r>
      <w:r>
        <w:rPr>
          <w:noProof/>
        </w:rPr>
        <w:tab/>
      </w:r>
      <w:r>
        <w:rPr>
          <w:noProof/>
        </w:rPr>
        <w:fldChar w:fldCharType="begin"/>
      </w:r>
      <w:r>
        <w:rPr>
          <w:noProof/>
        </w:rPr>
        <w:instrText xml:space="preserve"> PAGEREF _Toc351713164 \h </w:instrText>
      </w:r>
      <w:r>
        <w:rPr>
          <w:noProof/>
        </w:rPr>
      </w:r>
      <w:r>
        <w:rPr>
          <w:noProof/>
        </w:rPr>
        <w:fldChar w:fldCharType="separate"/>
      </w:r>
      <w:r w:rsidR="000F03FC">
        <w:rPr>
          <w:noProof/>
        </w:rPr>
        <w:t>40</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3.2.1</w:t>
      </w:r>
      <w:r>
        <w:rPr>
          <w:rFonts w:asciiTheme="minorHAnsi" w:eastAsiaTheme="minorEastAsia" w:hAnsiTheme="minorHAnsi" w:cstheme="minorBidi"/>
          <w:b w:val="0"/>
          <w:noProof/>
          <w:kern w:val="0"/>
          <w:szCs w:val="22"/>
        </w:rPr>
        <w:tab/>
      </w:r>
      <w:r>
        <w:rPr>
          <w:noProof/>
        </w:rPr>
        <w:t>Species sensitivity distribution methods</w:t>
      </w:r>
      <w:r>
        <w:rPr>
          <w:noProof/>
        </w:rPr>
        <w:tab/>
      </w:r>
      <w:r>
        <w:rPr>
          <w:noProof/>
        </w:rPr>
        <w:fldChar w:fldCharType="begin"/>
      </w:r>
      <w:r>
        <w:rPr>
          <w:noProof/>
        </w:rPr>
        <w:instrText xml:space="preserve"> PAGEREF _Toc351713165 \h </w:instrText>
      </w:r>
      <w:r>
        <w:rPr>
          <w:noProof/>
        </w:rPr>
      </w:r>
      <w:r>
        <w:rPr>
          <w:noProof/>
        </w:rPr>
        <w:fldChar w:fldCharType="separate"/>
      </w:r>
      <w:r w:rsidR="000F03FC">
        <w:rPr>
          <w:noProof/>
        </w:rPr>
        <w:t>40</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3.2.2</w:t>
      </w:r>
      <w:r>
        <w:rPr>
          <w:rFonts w:asciiTheme="minorHAnsi" w:eastAsiaTheme="minorEastAsia" w:hAnsiTheme="minorHAnsi" w:cstheme="minorBidi"/>
          <w:b w:val="0"/>
          <w:noProof/>
          <w:kern w:val="0"/>
          <w:szCs w:val="22"/>
        </w:rPr>
        <w:tab/>
      </w:r>
      <w:r>
        <w:rPr>
          <w:noProof/>
        </w:rPr>
        <w:t>How do SSD methods work?</w:t>
      </w:r>
      <w:r>
        <w:rPr>
          <w:noProof/>
        </w:rPr>
        <w:tab/>
      </w:r>
      <w:r>
        <w:rPr>
          <w:noProof/>
        </w:rPr>
        <w:fldChar w:fldCharType="begin"/>
      </w:r>
      <w:r>
        <w:rPr>
          <w:noProof/>
        </w:rPr>
        <w:instrText xml:space="preserve"> PAGEREF _Toc351713166 \h </w:instrText>
      </w:r>
      <w:r>
        <w:rPr>
          <w:noProof/>
        </w:rPr>
      </w:r>
      <w:r>
        <w:rPr>
          <w:noProof/>
        </w:rPr>
        <w:fldChar w:fldCharType="separate"/>
      </w:r>
      <w:r w:rsidR="000F03FC">
        <w:rPr>
          <w:noProof/>
        </w:rPr>
        <w:t>41</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3.2.2.1</w:t>
      </w:r>
      <w:r>
        <w:rPr>
          <w:rFonts w:asciiTheme="minorHAnsi" w:eastAsiaTheme="minorEastAsia" w:hAnsiTheme="minorHAnsi" w:cstheme="minorBidi"/>
          <w:b w:val="0"/>
          <w:noProof/>
          <w:kern w:val="0"/>
          <w:sz w:val="22"/>
          <w:szCs w:val="22"/>
        </w:rPr>
        <w:tab/>
      </w:r>
      <w:r>
        <w:rPr>
          <w:noProof/>
        </w:rPr>
        <w:t>Criticisms</w:t>
      </w:r>
      <w:r>
        <w:rPr>
          <w:noProof/>
        </w:rPr>
        <w:tab/>
      </w:r>
      <w:r>
        <w:rPr>
          <w:noProof/>
        </w:rPr>
        <w:fldChar w:fldCharType="begin"/>
      </w:r>
      <w:r>
        <w:rPr>
          <w:noProof/>
        </w:rPr>
        <w:instrText xml:space="preserve"> PAGEREF _Toc351713167 \h </w:instrText>
      </w:r>
      <w:r>
        <w:rPr>
          <w:noProof/>
        </w:rPr>
      </w:r>
      <w:r>
        <w:rPr>
          <w:noProof/>
        </w:rPr>
        <w:fldChar w:fldCharType="separate"/>
      </w:r>
      <w:r w:rsidR="000F03FC">
        <w:rPr>
          <w:noProof/>
        </w:rPr>
        <w:t>43</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3.2.2.2</w:t>
      </w:r>
      <w:r>
        <w:rPr>
          <w:rFonts w:asciiTheme="minorHAnsi" w:eastAsiaTheme="minorEastAsia" w:hAnsiTheme="minorHAnsi" w:cstheme="minorBidi"/>
          <w:b w:val="0"/>
          <w:noProof/>
          <w:kern w:val="0"/>
          <w:sz w:val="22"/>
          <w:szCs w:val="22"/>
        </w:rPr>
        <w:tab/>
      </w:r>
      <w:r>
        <w:rPr>
          <w:noProof/>
        </w:rPr>
        <w:t>Strengths and limitations</w:t>
      </w:r>
      <w:r>
        <w:rPr>
          <w:noProof/>
        </w:rPr>
        <w:tab/>
      </w:r>
      <w:r>
        <w:rPr>
          <w:noProof/>
        </w:rPr>
        <w:fldChar w:fldCharType="begin"/>
      </w:r>
      <w:r>
        <w:rPr>
          <w:noProof/>
        </w:rPr>
        <w:instrText xml:space="preserve"> PAGEREF _Toc351713168 \h </w:instrText>
      </w:r>
      <w:r>
        <w:rPr>
          <w:noProof/>
        </w:rPr>
      </w:r>
      <w:r>
        <w:rPr>
          <w:noProof/>
        </w:rPr>
        <w:fldChar w:fldCharType="separate"/>
      </w:r>
      <w:r w:rsidR="000F03FC">
        <w:rPr>
          <w:noProof/>
        </w:rPr>
        <w:t>44</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3.2.3</w:t>
      </w:r>
      <w:r>
        <w:rPr>
          <w:rFonts w:asciiTheme="minorHAnsi" w:eastAsiaTheme="minorEastAsia" w:hAnsiTheme="minorHAnsi" w:cstheme="minorBidi"/>
          <w:b w:val="0"/>
          <w:noProof/>
          <w:kern w:val="0"/>
          <w:szCs w:val="22"/>
        </w:rPr>
        <w:tab/>
      </w:r>
      <w:r>
        <w:rPr>
          <w:noProof/>
        </w:rPr>
        <w:t>Assessment factor methods</w:t>
      </w:r>
      <w:r>
        <w:rPr>
          <w:noProof/>
        </w:rPr>
        <w:tab/>
      </w:r>
      <w:r>
        <w:rPr>
          <w:noProof/>
        </w:rPr>
        <w:fldChar w:fldCharType="begin"/>
      </w:r>
      <w:r>
        <w:rPr>
          <w:noProof/>
        </w:rPr>
        <w:instrText xml:space="preserve"> PAGEREF _Toc351713169 \h </w:instrText>
      </w:r>
      <w:r>
        <w:rPr>
          <w:noProof/>
        </w:rPr>
      </w:r>
      <w:r>
        <w:rPr>
          <w:noProof/>
        </w:rPr>
        <w:fldChar w:fldCharType="separate"/>
      </w:r>
      <w:r w:rsidR="000F03FC">
        <w:rPr>
          <w:noProof/>
        </w:rPr>
        <w:t>44</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3.2.3.1</w:t>
      </w:r>
      <w:r>
        <w:rPr>
          <w:rFonts w:asciiTheme="minorHAnsi" w:eastAsiaTheme="minorEastAsia" w:hAnsiTheme="minorHAnsi" w:cstheme="minorBidi"/>
          <w:b w:val="0"/>
          <w:noProof/>
          <w:kern w:val="0"/>
          <w:sz w:val="22"/>
          <w:szCs w:val="22"/>
        </w:rPr>
        <w:tab/>
      </w:r>
      <w:r>
        <w:rPr>
          <w:noProof/>
        </w:rPr>
        <w:t>Criticisms</w:t>
      </w:r>
      <w:r>
        <w:rPr>
          <w:noProof/>
        </w:rPr>
        <w:tab/>
      </w:r>
      <w:r>
        <w:rPr>
          <w:noProof/>
        </w:rPr>
        <w:fldChar w:fldCharType="begin"/>
      </w:r>
      <w:r>
        <w:rPr>
          <w:noProof/>
        </w:rPr>
        <w:instrText xml:space="preserve"> PAGEREF _Toc351713170 \h </w:instrText>
      </w:r>
      <w:r>
        <w:rPr>
          <w:noProof/>
        </w:rPr>
      </w:r>
      <w:r>
        <w:rPr>
          <w:noProof/>
        </w:rPr>
        <w:fldChar w:fldCharType="separate"/>
      </w:r>
      <w:r w:rsidR="000F03FC">
        <w:rPr>
          <w:noProof/>
        </w:rPr>
        <w:t>46</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3.2.3.2</w:t>
      </w:r>
      <w:r>
        <w:rPr>
          <w:rFonts w:asciiTheme="minorHAnsi" w:eastAsiaTheme="minorEastAsia" w:hAnsiTheme="minorHAnsi" w:cstheme="minorBidi"/>
          <w:b w:val="0"/>
          <w:noProof/>
          <w:kern w:val="0"/>
          <w:sz w:val="22"/>
          <w:szCs w:val="22"/>
        </w:rPr>
        <w:tab/>
      </w:r>
      <w:r>
        <w:rPr>
          <w:noProof/>
        </w:rPr>
        <w:t>Strengths and weaknesses</w:t>
      </w:r>
      <w:r>
        <w:rPr>
          <w:noProof/>
        </w:rPr>
        <w:tab/>
      </w:r>
      <w:r>
        <w:rPr>
          <w:noProof/>
        </w:rPr>
        <w:fldChar w:fldCharType="begin"/>
      </w:r>
      <w:r>
        <w:rPr>
          <w:noProof/>
        </w:rPr>
        <w:instrText xml:space="preserve"> PAGEREF _Toc351713171 \h </w:instrText>
      </w:r>
      <w:r>
        <w:rPr>
          <w:noProof/>
        </w:rPr>
      </w:r>
      <w:r>
        <w:rPr>
          <w:noProof/>
        </w:rPr>
        <w:fldChar w:fldCharType="separate"/>
      </w:r>
      <w:r w:rsidR="000F03FC">
        <w:rPr>
          <w:noProof/>
        </w:rPr>
        <w:t>46</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3.2.4</w:t>
      </w:r>
      <w:r>
        <w:rPr>
          <w:rFonts w:asciiTheme="minorHAnsi" w:eastAsiaTheme="minorEastAsia" w:hAnsiTheme="minorHAnsi" w:cstheme="minorBidi"/>
          <w:b w:val="0"/>
          <w:noProof/>
          <w:kern w:val="0"/>
          <w:szCs w:val="22"/>
        </w:rPr>
        <w:tab/>
      </w:r>
      <w:r>
        <w:rPr>
          <w:noProof/>
        </w:rPr>
        <w:t>Geometric mean methodology of the US EPA</w:t>
      </w:r>
      <w:r>
        <w:rPr>
          <w:noProof/>
        </w:rPr>
        <w:tab/>
      </w:r>
      <w:r>
        <w:rPr>
          <w:noProof/>
        </w:rPr>
        <w:fldChar w:fldCharType="begin"/>
      </w:r>
      <w:r>
        <w:rPr>
          <w:noProof/>
        </w:rPr>
        <w:instrText xml:space="preserve"> PAGEREF _Toc351713172 \h </w:instrText>
      </w:r>
      <w:r>
        <w:rPr>
          <w:noProof/>
        </w:rPr>
      </w:r>
      <w:r>
        <w:rPr>
          <w:noProof/>
        </w:rPr>
        <w:fldChar w:fldCharType="separate"/>
      </w:r>
      <w:r w:rsidR="000F03FC">
        <w:rPr>
          <w:noProof/>
        </w:rPr>
        <w:t>47</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3.2.4.1</w:t>
      </w:r>
      <w:r>
        <w:rPr>
          <w:rFonts w:asciiTheme="minorHAnsi" w:eastAsiaTheme="minorEastAsia" w:hAnsiTheme="minorHAnsi" w:cstheme="minorBidi"/>
          <w:b w:val="0"/>
          <w:noProof/>
          <w:kern w:val="0"/>
          <w:sz w:val="22"/>
          <w:szCs w:val="22"/>
        </w:rPr>
        <w:tab/>
      </w:r>
      <w:r>
        <w:rPr>
          <w:noProof/>
        </w:rPr>
        <w:t>Strengths and limitations</w:t>
      </w:r>
      <w:r>
        <w:rPr>
          <w:noProof/>
        </w:rPr>
        <w:tab/>
      </w:r>
      <w:r>
        <w:rPr>
          <w:noProof/>
        </w:rPr>
        <w:fldChar w:fldCharType="begin"/>
      </w:r>
      <w:r>
        <w:rPr>
          <w:noProof/>
        </w:rPr>
        <w:instrText xml:space="preserve"> PAGEREF _Toc351713173 \h </w:instrText>
      </w:r>
      <w:r>
        <w:rPr>
          <w:noProof/>
        </w:rPr>
      </w:r>
      <w:r>
        <w:rPr>
          <w:noProof/>
        </w:rPr>
        <w:fldChar w:fldCharType="separate"/>
      </w:r>
      <w:r w:rsidR="000F03FC">
        <w:rPr>
          <w:noProof/>
        </w:rPr>
        <w:t>47</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3.2.5</w:t>
      </w:r>
      <w:r>
        <w:rPr>
          <w:rFonts w:asciiTheme="minorHAnsi" w:eastAsiaTheme="minorEastAsia" w:hAnsiTheme="minorHAnsi" w:cstheme="minorBidi"/>
          <w:b w:val="0"/>
          <w:noProof/>
          <w:kern w:val="0"/>
          <w:szCs w:val="22"/>
        </w:rPr>
        <w:tab/>
      </w:r>
      <w:r>
        <w:rPr>
          <w:noProof/>
        </w:rPr>
        <w:t>Methods for calculating EILs</w:t>
      </w:r>
      <w:r>
        <w:rPr>
          <w:noProof/>
        </w:rPr>
        <w:tab/>
      </w:r>
      <w:r>
        <w:rPr>
          <w:noProof/>
        </w:rPr>
        <w:fldChar w:fldCharType="begin"/>
      </w:r>
      <w:r>
        <w:rPr>
          <w:noProof/>
        </w:rPr>
        <w:instrText xml:space="preserve"> PAGEREF _Toc351713174 \h </w:instrText>
      </w:r>
      <w:r>
        <w:rPr>
          <w:noProof/>
        </w:rPr>
      </w:r>
      <w:r>
        <w:rPr>
          <w:noProof/>
        </w:rPr>
        <w:fldChar w:fldCharType="separate"/>
      </w:r>
      <w:r w:rsidR="000F03FC">
        <w:rPr>
          <w:noProof/>
        </w:rPr>
        <w:t>48</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3.2.6</w:t>
      </w:r>
      <w:r>
        <w:rPr>
          <w:rFonts w:asciiTheme="minorHAnsi" w:eastAsiaTheme="minorEastAsia" w:hAnsiTheme="minorHAnsi" w:cstheme="minorBidi"/>
          <w:b w:val="0"/>
          <w:noProof/>
          <w:kern w:val="0"/>
          <w:szCs w:val="22"/>
        </w:rPr>
        <w:tab/>
      </w:r>
      <w:r>
        <w:rPr>
          <w:noProof/>
        </w:rPr>
        <w:t>Secondary poisoning and biomagnification</w:t>
      </w:r>
      <w:r>
        <w:rPr>
          <w:noProof/>
        </w:rPr>
        <w:tab/>
      </w:r>
      <w:r>
        <w:rPr>
          <w:noProof/>
        </w:rPr>
        <w:fldChar w:fldCharType="begin"/>
      </w:r>
      <w:r>
        <w:rPr>
          <w:noProof/>
        </w:rPr>
        <w:instrText xml:space="preserve"> PAGEREF _Toc351713175 \h </w:instrText>
      </w:r>
      <w:r>
        <w:rPr>
          <w:noProof/>
        </w:rPr>
      </w:r>
      <w:r>
        <w:rPr>
          <w:noProof/>
        </w:rPr>
        <w:fldChar w:fldCharType="separate"/>
      </w:r>
      <w:r w:rsidR="000F03FC">
        <w:rPr>
          <w:noProof/>
        </w:rPr>
        <w:t>48</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3.2.7</w:t>
      </w:r>
      <w:r>
        <w:rPr>
          <w:rFonts w:asciiTheme="minorHAnsi" w:eastAsiaTheme="minorEastAsia" w:hAnsiTheme="minorHAnsi" w:cstheme="minorBidi"/>
          <w:b w:val="0"/>
          <w:noProof/>
          <w:kern w:val="0"/>
          <w:szCs w:val="22"/>
        </w:rPr>
        <w:tab/>
      </w:r>
      <w:r>
        <w:rPr>
          <w:noProof/>
        </w:rPr>
        <w:t>Methods for accounting for secondary poisoning</w:t>
      </w:r>
      <w:r>
        <w:rPr>
          <w:noProof/>
        </w:rPr>
        <w:tab/>
      </w:r>
      <w:r>
        <w:rPr>
          <w:noProof/>
        </w:rPr>
        <w:fldChar w:fldCharType="begin"/>
      </w:r>
      <w:r>
        <w:rPr>
          <w:noProof/>
        </w:rPr>
        <w:instrText xml:space="preserve"> PAGEREF _Toc351713176 \h </w:instrText>
      </w:r>
      <w:r>
        <w:rPr>
          <w:noProof/>
        </w:rPr>
      </w:r>
      <w:r>
        <w:rPr>
          <w:noProof/>
        </w:rPr>
        <w:fldChar w:fldCharType="separate"/>
      </w:r>
      <w:r w:rsidR="000F03FC">
        <w:rPr>
          <w:noProof/>
        </w:rPr>
        <w:t>48</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3.2.8</w:t>
      </w:r>
      <w:r>
        <w:rPr>
          <w:rFonts w:asciiTheme="minorHAnsi" w:eastAsiaTheme="minorEastAsia" w:hAnsiTheme="minorHAnsi" w:cstheme="minorBidi"/>
          <w:b w:val="0"/>
          <w:noProof/>
          <w:kern w:val="0"/>
          <w:szCs w:val="22"/>
        </w:rPr>
        <w:tab/>
      </w:r>
      <w:r>
        <w:rPr>
          <w:noProof/>
        </w:rPr>
        <w:t>Using biomagnification algorithms</w:t>
      </w:r>
      <w:r>
        <w:rPr>
          <w:noProof/>
        </w:rPr>
        <w:tab/>
      </w:r>
      <w:r>
        <w:rPr>
          <w:noProof/>
        </w:rPr>
        <w:fldChar w:fldCharType="begin"/>
      </w:r>
      <w:r>
        <w:rPr>
          <w:noProof/>
        </w:rPr>
        <w:instrText xml:space="preserve"> PAGEREF _Toc351713177 \h </w:instrText>
      </w:r>
      <w:r>
        <w:rPr>
          <w:noProof/>
        </w:rPr>
      </w:r>
      <w:r>
        <w:rPr>
          <w:noProof/>
        </w:rPr>
        <w:fldChar w:fldCharType="separate"/>
      </w:r>
      <w:r w:rsidR="000F03FC">
        <w:rPr>
          <w:noProof/>
        </w:rPr>
        <w:t>48</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3.2.9</w:t>
      </w:r>
      <w:r>
        <w:rPr>
          <w:rFonts w:asciiTheme="minorHAnsi" w:eastAsiaTheme="minorEastAsia" w:hAnsiTheme="minorHAnsi" w:cstheme="minorBidi"/>
          <w:b w:val="0"/>
          <w:noProof/>
          <w:kern w:val="0"/>
          <w:szCs w:val="22"/>
        </w:rPr>
        <w:tab/>
      </w:r>
      <w:r>
        <w:rPr>
          <w:noProof/>
        </w:rPr>
        <w:t>Using a default biomagnification factor</w:t>
      </w:r>
      <w:r>
        <w:rPr>
          <w:noProof/>
        </w:rPr>
        <w:tab/>
      </w:r>
      <w:r>
        <w:rPr>
          <w:noProof/>
        </w:rPr>
        <w:fldChar w:fldCharType="begin"/>
      </w:r>
      <w:r>
        <w:rPr>
          <w:noProof/>
        </w:rPr>
        <w:instrText xml:space="preserve"> PAGEREF _Toc351713178 \h </w:instrText>
      </w:r>
      <w:r>
        <w:rPr>
          <w:noProof/>
        </w:rPr>
      </w:r>
      <w:r>
        <w:rPr>
          <w:noProof/>
        </w:rPr>
        <w:fldChar w:fldCharType="separate"/>
      </w:r>
      <w:r w:rsidR="000F03FC">
        <w:rPr>
          <w:noProof/>
        </w:rPr>
        <w:t>49</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3.2.10</w:t>
      </w:r>
      <w:r>
        <w:rPr>
          <w:rFonts w:asciiTheme="minorHAnsi" w:eastAsiaTheme="minorEastAsia" w:hAnsiTheme="minorHAnsi" w:cstheme="minorBidi"/>
          <w:b w:val="0"/>
          <w:noProof/>
          <w:kern w:val="0"/>
          <w:szCs w:val="22"/>
        </w:rPr>
        <w:tab/>
      </w:r>
      <w:r>
        <w:rPr>
          <w:noProof/>
        </w:rPr>
        <w:t>Increasing the percentage of species to be protected</w:t>
      </w:r>
      <w:r>
        <w:rPr>
          <w:noProof/>
        </w:rPr>
        <w:tab/>
      </w:r>
      <w:r>
        <w:rPr>
          <w:noProof/>
        </w:rPr>
        <w:fldChar w:fldCharType="begin"/>
      </w:r>
      <w:r>
        <w:rPr>
          <w:noProof/>
        </w:rPr>
        <w:instrText xml:space="preserve"> PAGEREF _Toc351713179 \h </w:instrText>
      </w:r>
      <w:r>
        <w:rPr>
          <w:noProof/>
        </w:rPr>
      </w:r>
      <w:r>
        <w:rPr>
          <w:noProof/>
        </w:rPr>
        <w:fldChar w:fldCharType="separate"/>
      </w:r>
      <w:r w:rsidR="000F03FC">
        <w:rPr>
          <w:noProof/>
        </w:rPr>
        <w:t>50</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t>3.3</w:t>
      </w:r>
      <w:r>
        <w:rPr>
          <w:rFonts w:asciiTheme="minorHAnsi" w:eastAsiaTheme="minorEastAsia" w:hAnsiTheme="minorHAnsi" w:cstheme="minorBidi"/>
          <w:b w:val="0"/>
          <w:noProof/>
          <w:kern w:val="0"/>
          <w:sz w:val="22"/>
          <w:szCs w:val="22"/>
        </w:rPr>
        <w:tab/>
      </w:r>
      <w:r>
        <w:rPr>
          <w:noProof/>
        </w:rPr>
        <w:t>Determining ambient background concentrations</w:t>
      </w:r>
      <w:r>
        <w:rPr>
          <w:noProof/>
        </w:rPr>
        <w:tab/>
      </w:r>
      <w:r>
        <w:rPr>
          <w:noProof/>
        </w:rPr>
        <w:fldChar w:fldCharType="begin"/>
      </w:r>
      <w:r>
        <w:rPr>
          <w:noProof/>
        </w:rPr>
        <w:instrText xml:space="preserve"> PAGEREF _Toc351713180 \h </w:instrText>
      </w:r>
      <w:r>
        <w:rPr>
          <w:noProof/>
        </w:rPr>
      </w:r>
      <w:r>
        <w:rPr>
          <w:noProof/>
        </w:rPr>
        <w:fldChar w:fldCharType="separate"/>
      </w:r>
      <w:r w:rsidR="000F03FC">
        <w:rPr>
          <w:noProof/>
        </w:rPr>
        <w:t>50</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3.3.1</w:t>
      </w:r>
      <w:r>
        <w:rPr>
          <w:rFonts w:asciiTheme="minorHAnsi" w:eastAsiaTheme="minorEastAsia" w:hAnsiTheme="minorHAnsi" w:cstheme="minorBidi"/>
          <w:b w:val="0"/>
          <w:noProof/>
          <w:kern w:val="0"/>
          <w:szCs w:val="22"/>
        </w:rPr>
        <w:tab/>
      </w:r>
      <w:r>
        <w:rPr>
          <w:noProof/>
        </w:rPr>
        <w:t>Inorganics</w:t>
      </w:r>
      <w:r>
        <w:rPr>
          <w:noProof/>
        </w:rPr>
        <w:tab/>
      </w:r>
      <w:r>
        <w:rPr>
          <w:noProof/>
        </w:rPr>
        <w:fldChar w:fldCharType="begin"/>
      </w:r>
      <w:r>
        <w:rPr>
          <w:noProof/>
        </w:rPr>
        <w:instrText xml:space="preserve"> PAGEREF _Toc351713181 \h </w:instrText>
      </w:r>
      <w:r>
        <w:rPr>
          <w:noProof/>
        </w:rPr>
      </w:r>
      <w:r>
        <w:rPr>
          <w:noProof/>
        </w:rPr>
        <w:fldChar w:fldCharType="separate"/>
      </w:r>
      <w:r w:rsidR="000F03FC">
        <w:rPr>
          <w:noProof/>
        </w:rPr>
        <w:t>50</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3.3.2</w:t>
      </w:r>
      <w:r>
        <w:rPr>
          <w:rFonts w:asciiTheme="minorHAnsi" w:eastAsiaTheme="minorEastAsia" w:hAnsiTheme="minorHAnsi" w:cstheme="minorBidi"/>
          <w:b w:val="0"/>
          <w:noProof/>
          <w:kern w:val="0"/>
          <w:szCs w:val="22"/>
        </w:rPr>
        <w:tab/>
      </w:r>
      <w:r>
        <w:rPr>
          <w:noProof/>
        </w:rPr>
        <w:t>Background concentration models</w:t>
      </w:r>
      <w:r>
        <w:rPr>
          <w:noProof/>
        </w:rPr>
        <w:tab/>
      </w:r>
      <w:r>
        <w:rPr>
          <w:noProof/>
        </w:rPr>
        <w:fldChar w:fldCharType="begin"/>
      </w:r>
      <w:r>
        <w:rPr>
          <w:noProof/>
        </w:rPr>
        <w:instrText xml:space="preserve"> PAGEREF _Toc351713182 \h </w:instrText>
      </w:r>
      <w:r>
        <w:rPr>
          <w:noProof/>
        </w:rPr>
      </w:r>
      <w:r>
        <w:rPr>
          <w:noProof/>
        </w:rPr>
        <w:fldChar w:fldCharType="separate"/>
      </w:r>
      <w:r w:rsidR="000F03FC">
        <w:rPr>
          <w:noProof/>
        </w:rPr>
        <w:t>50</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3.3.3</w:t>
      </w:r>
      <w:r>
        <w:rPr>
          <w:rFonts w:asciiTheme="minorHAnsi" w:eastAsiaTheme="minorEastAsia" w:hAnsiTheme="minorHAnsi" w:cstheme="minorBidi"/>
          <w:b w:val="0"/>
          <w:noProof/>
          <w:kern w:val="0"/>
          <w:szCs w:val="22"/>
        </w:rPr>
        <w:tab/>
      </w:r>
      <w:r>
        <w:rPr>
          <w:noProof/>
        </w:rPr>
        <w:t>Organics</w:t>
      </w:r>
      <w:r>
        <w:rPr>
          <w:noProof/>
        </w:rPr>
        <w:tab/>
      </w:r>
      <w:r>
        <w:rPr>
          <w:noProof/>
        </w:rPr>
        <w:fldChar w:fldCharType="begin"/>
      </w:r>
      <w:r>
        <w:rPr>
          <w:noProof/>
        </w:rPr>
        <w:instrText xml:space="preserve"> PAGEREF _Toc351713183 \h </w:instrText>
      </w:r>
      <w:r>
        <w:rPr>
          <w:noProof/>
        </w:rPr>
      </w:r>
      <w:r>
        <w:rPr>
          <w:noProof/>
        </w:rPr>
        <w:fldChar w:fldCharType="separate"/>
      </w:r>
      <w:r w:rsidR="000F03FC">
        <w:rPr>
          <w:noProof/>
        </w:rPr>
        <w:t>51</w:t>
      </w:r>
      <w:r>
        <w:rPr>
          <w:noProof/>
        </w:rPr>
        <w:fldChar w:fldCharType="end"/>
      </w:r>
    </w:p>
    <w:p w:rsidR="002762F0" w:rsidRDefault="002762F0" w:rsidP="001929E0">
      <w:pPr>
        <w:pStyle w:val="TOC1"/>
        <w:keepNext w:val="0"/>
        <w:rPr>
          <w:rFonts w:asciiTheme="minorHAnsi" w:eastAsiaTheme="minorEastAsia" w:hAnsiTheme="minorHAnsi" w:cstheme="minorBidi"/>
          <w:b w:val="0"/>
          <w:noProof/>
          <w:kern w:val="0"/>
          <w:sz w:val="22"/>
          <w:szCs w:val="22"/>
        </w:rPr>
      </w:pPr>
      <w:r>
        <w:rPr>
          <w:noProof/>
        </w:rPr>
        <w:t>4</w:t>
      </w:r>
      <w:r>
        <w:rPr>
          <w:rFonts w:asciiTheme="minorHAnsi" w:eastAsiaTheme="minorEastAsia" w:hAnsiTheme="minorHAnsi" w:cstheme="minorBidi"/>
          <w:b w:val="0"/>
          <w:noProof/>
          <w:kern w:val="0"/>
          <w:sz w:val="22"/>
          <w:szCs w:val="22"/>
        </w:rPr>
        <w:tab/>
      </w:r>
      <w:r>
        <w:rPr>
          <w:noProof/>
        </w:rPr>
        <w:t>Bibliography</w:t>
      </w:r>
      <w:r>
        <w:rPr>
          <w:noProof/>
        </w:rPr>
        <w:tab/>
      </w:r>
      <w:r>
        <w:rPr>
          <w:noProof/>
        </w:rPr>
        <w:fldChar w:fldCharType="begin"/>
      </w:r>
      <w:r>
        <w:rPr>
          <w:noProof/>
        </w:rPr>
        <w:instrText xml:space="preserve"> PAGEREF _Toc351713184 \h </w:instrText>
      </w:r>
      <w:r>
        <w:rPr>
          <w:noProof/>
        </w:rPr>
      </w:r>
      <w:r>
        <w:rPr>
          <w:noProof/>
        </w:rPr>
        <w:fldChar w:fldCharType="separate"/>
      </w:r>
      <w:r w:rsidR="000F03FC">
        <w:rPr>
          <w:noProof/>
        </w:rPr>
        <w:t>53</w:t>
      </w:r>
      <w:r>
        <w:rPr>
          <w:noProof/>
        </w:rPr>
        <w:fldChar w:fldCharType="end"/>
      </w:r>
    </w:p>
    <w:p w:rsidR="002762F0" w:rsidRDefault="002762F0" w:rsidP="001929E0">
      <w:pPr>
        <w:pStyle w:val="TOC1"/>
        <w:keepNext w:val="0"/>
        <w:rPr>
          <w:rFonts w:asciiTheme="minorHAnsi" w:eastAsiaTheme="minorEastAsia" w:hAnsiTheme="minorHAnsi" w:cstheme="minorBidi"/>
          <w:b w:val="0"/>
          <w:noProof/>
          <w:kern w:val="0"/>
          <w:sz w:val="22"/>
          <w:szCs w:val="22"/>
        </w:rPr>
      </w:pPr>
      <w:r>
        <w:rPr>
          <w:noProof/>
        </w:rPr>
        <w:t>5</w:t>
      </w:r>
      <w:r>
        <w:rPr>
          <w:rFonts w:asciiTheme="minorHAnsi" w:eastAsiaTheme="minorEastAsia" w:hAnsiTheme="minorHAnsi" w:cstheme="minorBidi"/>
          <w:b w:val="0"/>
          <w:noProof/>
          <w:kern w:val="0"/>
          <w:sz w:val="22"/>
          <w:szCs w:val="22"/>
        </w:rPr>
        <w:tab/>
      </w:r>
      <w:r>
        <w:rPr>
          <w:noProof/>
        </w:rPr>
        <w:t>Appendices</w:t>
      </w:r>
      <w:r>
        <w:rPr>
          <w:noProof/>
        </w:rPr>
        <w:tab/>
      </w:r>
      <w:r>
        <w:rPr>
          <w:noProof/>
        </w:rPr>
        <w:fldChar w:fldCharType="begin"/>
      </w:r>
      <w:r>
        <w:rPr>
          <w:noProof/>
        </w:rPr>
        <w:instrText xml:space="preserve"> PAGEREF _Toc351713185 \h </w:instrText>
      </w:r>
      <w:r>
        <w:rPr>
          <w:noProof/>
        </w:rPr>
      </w:r>
      <w:r>
        <w:rPr>
          <w:noProof/>
        </w:rPr>
        <w:fldChar w:fldCharType="separate"/>
      </w:r>
      <w:r w:rsidR="000F03FC">
        <w:rPr>
          <w:noProof/>
        </w:rPr>
        <w:t>66</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lastRenderedPageBreak/>
        <w:t>5.1</w:t>
      </w:r>
      <w:r>
        <w:rPr>
          <w:rFonts w:asciiTheme="minorHAnsi" w:eastAsiaTheme="minorEastAsia" w:hAnsiTheme="minorHAnsi" w:cstheme="minorBidi"/>
          <w:b w:val="0"/>
          <w:noProof/>
          <w:kern w:val="0"/>
          <w:sz w:val="22"/>
          <w:szCs w:val="22"/>
        </w:rPr>
        <w:tab/>
      </w:r>
      <w:r>
        <w:rPr>
          <w:noProof/>
        </w:rPr>
        <w:t>Appendix A: Review and comparison of frameworks for deriving soil quality guidelines in other countries</w:t>
      </w:r>
      <w:r>
        <w:rPr>
          <w:noProof/>
        </w:rPr>
        <w:tab/>
      </w:r>
      <w:r>
        <w:rPr>
          <w:noProof/>
        </w:rPr>
        <w:fldChar w:fldCharType="begin"/>
      </w:r>
      <w:r>
        <w:rPr>
          <w:noProof/>
        </w:rPr>
        <w:instrText xml:space="preserve"> PAGEREF _Toc351713186 \h </w:instrText>
      </w:r>
      <w:r>
        <w:rPr>
          <w:noProof/>
        </w:rPr>
      </w:r>
      <w:r>
        <w:rPr>
          <w:noProof/>
        </w:rPr>
        <w:fldChar w:fldCharType="separate"/>
      </w:r>
      <w:r w:rsidR="000F03FC">
        <w:rPr>
          <w:noProof/>
        </w:rPr>
        <w:t>66</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5.1.1</w:t>
      </w:r>
      <w:r>
        <w:rPr>
          <w:rFonts w:asciiTheme="minorHAnsi" w:eastAsiaTheme="minorEastAsia" w:hAnsiTheme="minorHAnsi" w:cstheme="minorBidi"/>
          <w:b w:val="0"/>
          <w:noProof/>
          <w:kern w:val="0"/>
          <w:szCs w:val="22"/>
        </w:rPr>
        <w:tab/>
      </w:r>
      <w:r>
        <w:rPr>
          <w:noProof/>
        </w:rPr>
        <w:t>A1: USA</w:t>
      </w:r>
      <w:r>
        <w:rPr>
          <w:noProof/>
        </w:rPr>
        <w:tab/>
      </w:r>
      <w:r>
        <w:rPr>
          <w:noProof/>
        </w:rPr>
        <w:fldChar w:fldCharType="begin"/>
      </w:r>
      <w:r>
        <w:rPr>
          <w:noProof/>
        </w:rPr>
        <w:instrText xml:space="preserve"> PAGEREF _Toc351713187 \h </w:instrText>
      </w:r>
      <w:r>
        <w:rPr>
          <w:noProof/>
        </w:rPr>
      </w:r>
      <w:r>
        <w:rPr>
          <w:noProof/>
        </w:rPr>
        <w:fldChar w:fldCharType="separate"/>
      </w:r>
      <w:r w:rsidR="000F03FC">
        <w:rPr>
          <w:noProof/>
        </w:rPr>
        <w:t>66</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5.1.2</w:t>
      </w:r>
      <w:r>
        <w:rPr>
          <w:rFonts w:asciiTheme="minorHAnsi" w:eastAsiaTheme="minorEastAsia" w:hAnsiTheme="minorHAnsi" w:cstheme="minorBidi"/>
          <w:b w:val="0"/>
          <w:noProof/>
          <w:kern w:val="0"/>
          <w:szCs w:val="22"/>
        </w:rPr>
        <w:tab/>
      </w:r>
      <w:r>
        <w:rPr>
          <w:noProof/>
        </w:rPr>
        <w:t>A2: The Netherlands</w:t>
      </w:r>
      <w:r>
        <w:rPr>
          <w:noProof/>
        </w:rPr>
        <w:tab/>
      </w:r>
      <w:r>
        <w:rPr>
          <w:noProof/>
        </w:rPr>
        <w:fldChar w:fldCharType="begin"/>
      </w:r>
      <w:r>
        <w:rPr>
          <w:noProof/>
        </w:rPr>
        <w:instrText xml:space="preserve"> PAGEREF _Toc351713188 \h </w:instrText>
      </w:r>
      <w:r>
        <w:rPr>
          <w:noProof/>
        </w:rPr>
      </w:r>
      <w:r>
        <w:rPr>
          <w:noProof/>
        </w:rPr>
        <w:fldChar w:fldCharType="separate"/>
      </w:r>
      <w:r w:rsidR="000F03FC">
        <w:rPr>
          <w:noProof/>
        </w:rPr>
        <w:t>67</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5.1.3</w:t>
      </w:r>
      <w:r>
        <w:rPr>
          <w:rFonts w:asciiTheme="minorHAnsi" w:eastAsiaTheme="minorEastAsia" w:hAnsiTheme="minorHAnsi" w:cstheme="minorBidi"/>
          <w:b w:val="0"/>
          <w:noProof/>
          <w:kern w:val="0"/>
          <w:szCs w:val="22"/>
        </w:rPr>
        <w:tab/>
      </w:r>
      <w:r>
        <w:rPr>
          <w:noProof/>
        </w:rPr>
        <w:t>A3:  Canada</w:t>
      </w:r>
      <w:r>
        <w:rPr>
          <w:noProof/>
        </w:rPr>
        <w:tab/>
      </w:r>
      <w:r>
        <w:rPr>
          <w:noProof/>
        </w:rPr>
        <w:fldChar w:fldCharType="begin"/>
      </w:r>
      <w:r>
        <w:rPr>
          <w:noProof/>
        </w:rPr>
        <w:instrText xml:space="preserve"> PAGEREF _Toc351713189 \h </w:instrText>
      </w:r>
      <w:r>
        <w:rPr>
          <w:noProof/>
        </w:rPr>
      </w:r>
      <w:r>
        <w:rPr>
          <w:noProof/>
        </w:rPr>
        <w:fldChar w:fldCharType="separate"/>
      </w:r>
      <w:r w:rsidR="000F03FC">
        <w:rPr>
          <w:noProof/>
        </w:rPr>
        <w:t>67</w:t>
      </w:r>
      <w:r>
        <w:rPr>
          <w:noProof/>
        </w:rPr>
        <w:fldChar w:fldCharType="end"/>
      </w:r>
      <w:bookmarkStart w:id="0" w:name="_GoBack"/>
      <w:bookmarkEnd w:id="0"/>
    </w:p>
    <w:p w:rsidR="002762F0" w:rsidRDefault="002762F0" w:rsidP="001929E0">
      <w:pPr>
        <w:pStyle w:val="TOC3"/>
        <w:keepNext w:val="0"/>
        <w:rPr>
          <w:rFonts w:asciiTheme="minorHAnsi" w:eastAsiaTheme="minorEastAsia" w:hAnsiTheme="minorHAnsi" w:cstheme="minorBidi"/>
          <w:b w:val="0"/>
          <w:noProof/>
          <w:kern w:val="0"/>
          <w:szCs w:val="22"/>
        </w:rPr>
      </w:pPr>
      <w:r>
        <w:rPr>
          <w:noProof/>
        </w:rPr>
        <w:t>5.1.4</w:t>
      </w:r>
      <w:r>
        <w:rPr>
          <w:rFonts w:asciiTheme="minorHAnsi" w:eastAsiaTheme="minorEastAsia" w:hAnsiTheme="minorHAnsi" w:cstheme="minorBidi"/>
          <w:b w:val="0"/>
          <w:noProof/>
          <w:kern w:val="0"/>
          <w:szCs w:val="22"/>
        </w:rPr>
        <w:tab/>
      </w:r>
      <w:r>
        <w:rPr>
          <w:noProof/>
        </w:rPr>
        <w:t>A4:  EU and UK</w:t>
      </w:r>
      <w:r>
        <w:rPr>
          <w:noProof/>
        </w:rPr>
        <w:tab/>
      </w:r>
      <w:r>
        <w:rPr>
          <w:noProof/>
        </w:rPr>
        <w:fldChar w:fldCharType="begin"/>
      </w:r>
      <w:r>
        <w:rPr>
          <w:noProof/>
        </w:rPr>
        <w:instrText xml:space="preserve"> PAGEREF _Toc351713190 \h </w:instrText>
      </w:r>
      <w:r>
        <w:rPr>
          <w:noProof/>
        </w:rPr>
      </w:r>
      <w:r>
        <w:rPr>
          <w:noProof/>
        </w:rPr>
        <w:fldChar w:fldCharType="separate"/>
      </w:r>
      <w:r w:rsidR="000F03FC">
        <w:rPr>
          <w:noProof/>
        </w:rPr>
        <w:t>68</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5.1.5</w:t>
      </w:r>
      <w:r>
        <w:rPr>
          <w:rFonts w:asciiTheme="minorHAnsi" w:eastAsiaTheme="minorEastAsia" w:hAnsiTheme="minorHAnsi" w:cstheme="minorBidi"/>
          <w:b w:val="0"/>
          <w:noProof/>
          <w:kern w:val="0"/>
          <w:szCs w:val="22"/>
        </w:rPr>
        <w:tab/>
      </w:r>
      <w:r>
        <w:rPr>
          <w:noProof/>
        </w:rPr>
        <w:t>A5: Germany</w:t>
      </w:r>
      <w:r>
        <w:rPr>
          <w:noProof/>
        </w:rPr>
        <w:tab/>
      </w:r>
      <w:r>
        <w:rPr>
          <w:noProof/>
        </w:rPr>
        <w:fldChar w:fldCharType="begin"/>
      </w:r>
      <w:r>
        <w:rPr>
          <w:noProof/>
        </w:rPr>
        <w:instrText xml:space="preserve"> PAGEREF _Toc351713191 \h </w:instrText>
      </w:r>
      <w:r>
        <w:rPr>
          <w:noProof/>
        </w:rPr>
      </w:r>
      <w:r>
        <w:rPr>
          <w:noProof/>
        </w:rPr>
        <w:fldChar w:fldCharType="separate"/>
      </w:r>
      <w:r w:rsidR="000F03FC">
        <w:rPr>
          <w:noProof/>
        </w:rPr>
        <w:t>69</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5.1.6</w:t>
      </w:r>
      <w:r>
        <w:rPr>
          <w:rFonts w:asciiTheme="minorHAnsi" w:eastAsiaTheme="minorEastAsia" w:hAnsiTheme="minorHAnsi" w:cstheme="minorBidi"/>
          <w:b w:val="0"/>
          <w:noProof/>
          <w:kern w:val="0"/>
          <w:szCs w:val="22"/>
        </w:rPr>
        <w:tab/>
      </w:r>
      <w:r>
        <w:rPr>
          <w:noProof/>
        </w:rPr>
        <w:t>A6: New Zealand</w:t>
      </w:r>
      <w:r>
        <w:rPr>
          <w:noProof/>
        </w:rPr>
        <w:tab/>
      </w:r>
      <w:r>
        <w:rPr>
          <w:noProof/>
        </w:rPr>
        <w:fldChar w:fldCharType="begin"/>
      </w:r>
      <w:r>
        <w:rPr>
          <w:noProof/>
        </w:rPr>
        <w:instrText xml:space="preserve"> PAGEREF _Toc351713192 \h </w:instrText>
      </w:r>
      <w:r>
        <w:rPr>
          <w:noProof/>
        </w:rPr>
      </w:r>
      <w:r>
        <w:rPr>
          <w:noProof/>
        </w:rPr>
        <w:fldChar w:fldCharType="separate"/>
      </w:r>
      <w:r w:rsidR="000F03FC">
        <w:rPr>
          <w:noProof/>
        </w:rPr>
        <w:t>70</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t>5.2</w:t>
      </w:r>
      <w:r>
        <w:rPr>
          <w:rFonts w:asciiTheme="minorHAnsi" w:eastAsiaTheme="minorEastAsia" w:hAnsiTheme="minorHAnsi" w:cstheme="minorBidi"/>
          <w:b w:val="0"/>
          <w:noProof/>
          <w:kern w:val="0"/>
          <w:sz w:val="22"/>
          <w:szCs w:val="22"/>
        </w:rPr>
        <w:tab/>
      </w:r>
      <w:r>
        <w:rPr>
          <w:noProof/>
        </w:rPr>
        <w:t>Appendix B: method for deriving EILs that protect aquatic ecosystems</w:t>
      </w:r>
      <w:r>
        <w:rPr>
          <w:noProof/>
        </w:rPr>
        <w:tab/>
      </w:r>
      <w:r>
        <w:rPr>
          <w:noProof/>
        </w:rPr>
        <w:fldChar w:fldCharType="begin"/>
      </w:r>
      <w:r>
        <w:rPr>
          <w:noProof/>
        </w:rPr>
        <w:instrText xml:space="preserve"> PAGEREF _Toc351713193 \h </w:instrText>
      </w:r>
      <w:r>
        <w:rPr>
          <w:noProof/>
        </w:rPr>
      </w:r>
      <w:r>
        <w:rPr>
          <w:noProof/>
        </w:rPr>
        <w:fldChar w:fldCharType="separate"/>
      </w:r>
      <w:r w:rsidR="000F03FC">
        <w:rPr>
          <w:noProof/>
        </w:rPr>
        <w:t>70</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5.2.1</w:t>
      </w:r>
      <w:r>
        <w:rPr>
          <w:rFonts w:asciiTheme="minorHAnsi" w:eastAsiaTheme="minorEastAsia" w:hAnsiTheme="minorHAnsi" w:cstheme="minorBidi"/>
          <w:b w:val="0"/>
          <w:noProof/>
          <w:kern w:val="0"/>
          <w:szCs w:val="22"/>
        </w:rPr>
        <w:tab/>
      </w:r>
      <w:r>
        <w:rPr>
          <w:noProof/>
        </w:rPr>
        <w:t>Determining the leaching potential of inorganic contaminants</w:t>
      </w:r>
      <w:r>
        <w:rPr>
          <w:noProof/>
        </w:rPr>
        <w:tab/>
      </w:r>
      <w:r>
        <w:rPr>
          <w:noProof/>
        </w:rPr>
        <w:fldChar w:fldCharType="begin"/>
      </w:r>
      <w:r>
        <w:rPr>
          <w:noProof/>
        </w:rPr>
        <w:instrText xml:space="preserve"> PAGEREF _Toc351713194 \h </w:instrText>
      </w:r>
      <w:r>
        <w:rPr>
          <w:noProof/>
        </w:rPr>
      </w:r>
      <w:r>
        <w:rPr>
          <w:noProof/>
        </w:rPr>
        <w:fldChar w:fldCharType="separate"/>
      </w:r>
      <w:r w:rsidR="000F03FC">
        <w:rPr>
          <w:noProof/>
        </w:rPr>
        <w:t>70</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5.2.2</w:t>
      </w:r>
      <w:r>
        <w:rPr>
          <w:rFonts w:asciiTheme="minorHAnsi" w:eastAsiaTheme="minorEastAsia" w:hAnsiTheme="minorHAnsi" w:cstheme="minorBidi"/>
          <w:b w:val="0"/>
          <w:noProof/>
          <w:kern w:val="0"/>
          <w:szCs w:val="22"/>
        </w:rPr>
        <w:tab/>
      </w:r>
      <w:r>
        <w:rPr>
          <w:noProof/>
        </w:rPr>
        <w:t>Determining the leaching potential of organic contaminants</w:t>
      </w:r>
      <w:r>
        <w:rPr>
          <w:noProof/>
        </w:rPr>
        <w:tab/>
      </w:r>
      <w:r>
        <w:rPr>
          <w:noProof/>
        </w:rPr>
        <w:fldChar w:fldCharType="begin"/>
      </w:r>
      <w:r>
        <w:rPr>
          <w:noProof/>
        </w:rPr>
        <w:instrText xml:space="preserve"> PAGEREF _Toc351713195 \h </w:instrText>
      </w:r>
      <w:r>
        <w:rPr>
          <w:noProof/>
        </w:rPr>
      </w:r>
      <w:r>
        <w:rPr>
          <w:noProof/>
        </w:rPr>
        <w:fldChar w:fldCharType="separate"/>
      </w:r>
      <w:r w:rsidR="000F03FC">
        <w:rPr>
          <w:noProof/>
        </w:rPr>
        <w:t>71</w:t>
      </w:r>
      <w:r>
        <w:rPr>
          <w:noProof/>
        </w:rPr>
        <w:fldChar w:fldCharType="end"/>
      </w:r>
    </w:p>
    <w:p w:rsidR="002762F0" w:rsidRDefault="002762F0" w:rsidP="001929E0">
      <w:pPr>
        <w:pStyle w:val="TOC3"/>
        <w:keepNext w:val="0"/>
        <w:rPr>
          <w:rFonts w:asciiTheme="minorHAnsi" w:eastAsiaTheme="minorEastAsia" w:hAnsiTheme="minorHAnsi" w:cstheme="minorBidi"/>
          <w:b w:val="0"/>
          <w:noProof/>
          <w:kern w:val="0"/>
          <w:szCs w:val="22"/>
        </w:rPr>
      </w:pPr>
      <w:r>
        <w:rPr>
          <w:noProof/>
        </w:rPr>
        <w:t>5.2.3</w:t>
      </w:r>
      <w:r>
        <w:rPr>
          <w:rFonts w:asciiTheme="minorHAnsi" w:eastAsiaTheme="minorEastAsia" w:hAnsiTheme="minorHAnsi" w:cstheme="minorBidi"/>
          <w:b w:val="0"/>
          <w:noProof/>
          <w:kern w:val="0"/>
          <w:szCs w:val="22"/>
        </w:rPr>
        <w:tab/>
      </w:r>
      <w:r>
        <w:rPr>
          <w:noProof/>
        </w:rPr>
        <w:t>Calculation of EILs that protect aquatic ecosystems</w:t>
      </w:r>
      <w:r>
        <w:rPr>
          <w:noProof/>
        </w:rPr>
        <w:tab/>
      </w:r>
      <w:r>
        <w:rPr>
          <w:noProof/>
        </w:rPr>
        <w:fldChar w:fldCharType="begin"/>
      </w:r>
      <w:r>
        <w:rPr>
          <w:noProof/>
        </w:rPr>
        <w:instrText xml:space="preserve"> PAGEREF _Toc351713196 \h </w:instrText>
      </w:r>
      <w:r>
        <w:rPr>
          <w:noProof/>
        </w:rPr>
      </w:r>
      <w:r>
        <w:rPr>
          <w:noProof/>
        </w:rPr>
        <w:fldChar w:fldCharType="separate"/>
      </w:r>
      <w:r w:rsidR="000F03FC">
        <w:rPr>
          <w:noProof/>
        </w:rPr>
        <w:t>71</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5.2.3.1</w:t>
      </w:r>
      <w:r>
        <w:rPr>
          <w:rFonts w:asciiTheme="minorHAnsi" w:eastAsiaTheme="minorEastAsia" w:hAnsiTheme="minorHAnsi" w:cstheme="minorBidi"/>
          <w:b w:val="0"/>
          <w:noProof/>
          <w:kern w:val="0"/>
          <w:sz w:val="22"/>
          <w:szCs w:val="22"/>
        </w:rPr>
        <w:tab/>
      </w:r>
      <w:r>
        <w:rPr>
          <w:noProof/>
        </w:rPr>
        <w:t>Inorganic contaminants</w:t>
      </w:r>
      <w:r>
        <w:rPr>
          <w:noProof/>
        </w:rPr>
        <w:tab/>
      </w:r>
      <w:r>
        <w:rPr>
          <w:noProof/>
        </w:rPr>
        <w:fldChar w:fldCharType="begin"/>
      </w:r>
      <w:r>
        <w:rPr>
          <w:noProof/>
        </w:rPr>
        <w:instrText xml:space="preserve"> PAGEREF _Toc351713197 \h </w:instrText>
      </w:r>
      <w:r>
        <w:rPr>
          <w:noProof/>
        </w:rPr>
      </w:r>
      <w:r>
        <w:rPr>
          <w:noProof/>
        </w:rPr>
        <w:fldChar w:fldCharType="separate"/>
      </w:r>
      <w:r w:rsidR="000F03FC">
        <w:rPr>
          <w:noProof/>
        </w:rPr>
        <w:t>71</w:t>
      </w:r>
      <w:r>
        <w:rPr>
          <w:noProof/>
        </w:rPr>
        <w:fldChar w:fldCharType="end"/>
      </w:r>
    </w:p>
    <w:p w:rsidR="002762F0" w:rsidRDefault="002762F0" w:rsidP="001929E0">
      <w:pPr>
        <w:pStyle w:val="TOC4"/>
        <w:tabs>
          <w:tab w:val="left" w:pos="2183"/>
        </w:tabs>
        <w:rPr>
          <w:rFonts w:asciiTheme="minorHAnsi" w:eastAsiaTheme="minorEastAsia" w:hAnsiTheme="minorHAnsi" w:cstheme="minorBidi"/>
          <w:b w:val="0"/>
          <w:noProof/>
          <w:kern w:val="0"/>
          <w:sz w:val="22"/>
          <w:szCs w:val="22"/>
        </w:rPr>
      </w:pPr>
      <w:r>
        <w:rPr>
          <w:noProof/>
        </w:rPr>
        <w:t>5.2.3.2</w:t>
      </w:r>
      <w:r>
        <w:rPr>
          <w:rFonts w:asciiTheme="minorHAnsi" w:eastAsiaTheme="minorEastAsia" w:hAnsiTheme="minorHAnsi" w:cstheme="minorBidi"/>
          <w:b w:val="0"/>
          <w:noProof/>
          <w:kern w:val="0"/>
          <w:sz w:val="22"/>
          <w:szCs w:val="22"/>
        </w:rPr>
        <w:tab/>
      </w:r>
      <w:r>
        <w:rPr>
          <w:noProof/>
        </w:rPr>
        <w:t>Organic contaminants</w:t>
      </w:r>
      <w:r>
        <w:rPr>
          <w:noProof/>
        </w:rPr>
        <w:tab/>
      </w:r>
      <w:r>
        <w:rPr>
          <w:noProof/>
        </w:rPr>
        <w:fldChar w:fldCharType="begin"/>
      </w:r>
      <w:r>
        <w:rPr>
          <w:noProof/>
        </w:rPr>
        <w:instrText xml:space="preserve"> PAGEREF _Toc351713198 \h </w:instrText>
      </w:r>
      <w:r>
        <w:rPr>
          <w:noProof/>
        </w:rPr>
      </w:r>
      <w:r>
        <w:rPr>
          <w:noProof/>
        </w:rPr>
        <w:fldChar w:fldCharType="separate"/>
      </w:r>
      <w:r w:rsidR="000F03FC">
        <w:rPr>
          <w:noProof/>
        </w:rPr>
        <w:t>72</w:t>
      </w:r>
      <w:r>
        <w:rPr>
          <w:noProof/>
        </w:rPr>
        <w:fldChar w:fldCharType="end"/>
      </w:r>
    </w:p>
    <w:p w:rsidR="002762F0" w:rsidRDefault="002762F0" w:rsidP="001929E0">
      <w:pPr>
        <w:pStyle w:val="TOC2"/>
        <w:keepNext w:val="0"/>
        <w:rPr>
          <w:rFonts w:asciiTheme="minorHAnsi" w:eastAsiaTheme="minorEastAsia" w:hAnsiTheme="minorHAnsi" w:cstheme="minorBidi"/>
          <w:b w:val="0"/>
          <w:noProof/>
          <w:kern w:val="0"/>
          <w:sz w:val="22"/>
          <w:szCs w:val="22"/>
        </w:rPr>
      </w:pPr>
      <w:r>
        <w:rPr>
          <w:noProof/>
        </w:rPr>
        <w:t>5.3</w:t>
      </w:r>
      <w:r>
        <w:rPr>
          <w:rFonts w:asciiTheme="minorHAnsi" w:eastAsiaTheme="minorEastAsia" w:hAnsiTheme="minorHAnsi" w:cstheme="minorBidi"/>
          <w:b w:val="0"/>
          <w:noProof/>
          <w:kern w:val="0"/>
          <w:sz w:val="22"/>
          <w:szCs w:val="22"/>
        </w:rPr>
        <w:tab/>
      </w:r>
      <w:r>
        <w:rPr>
          <w:noProof/>
        </w:rPr>
        <w:t>Appendix C: Methods for determining the bioavailability of contaminants and how this could be incorporated into the ERA framework</w:t>
      </w:r>
      <w:r>
        <w:rPr>
          <w:noProof/>
        </w:rPr>
        <w:tab/>
      </w:r>
      <w:r>
        <w:rPr>
          <w:noProof/>
        </w:rPr>
        <w:fldChar w:fldCharType="begin"/>
      </w:r>
      <w:r>
        <w:rPr>
          <w:noProof/>
        </w:rPr>
        <w:instrText xml:space="preserve"> PAGEREF _Toc351713199 \h </w:instrText>
      </w:r>
      <w:r>
        <w:rPr>
          <w:noProof/>
        </w:rPr>
      </w:r>
      <w:r>
        <w:rPr>
          <w:noProof/>
        </w:rPr>
        <w:fldChar w:fldCharType="separate"/>
      </w:r>
      <w:r w:rsidR="000F03FC">
        <w:rPr>
          <w:noProof/>
        </w:rPr>
        <w:t>72</w:t>
      </w:r>
      <w:r>
        <w:rPr>
          <w:noProof/>
        </w:rPr>
        <w:fldChar w:fldCharType="end"/>
      </w:r>
    </w:p>
    <w:p w:rsidR="002762F0" w:rsidRDefault="002762F0" w:rsidP="001929E0">
      <w:pPr>
        <w:pStyle w:val="TOC1"/>
        <w:keepNext w:val="0"/>
        <w:rPr>
          <w:rFonts w:asciiTheme="minorHAnsi" w:eastAsiaTheme="minorEastAsia" w:hAnsiTheme="minorHAnsi" w:cstheme="minorBidi"/>
          <w:b w:val="0"/>
          <w:noProof/>
          <w:kern w:val="0"/>
          <w:sz w:val="22"/>
          <w:szCs w:val="22"/>
        </w:rPr>
      </w:pPr>
      <w:r>
        <w:rPr>
          <w:noProof/>
        </w:rPr>
        <w:t>6</w:t>
      </w:r>
      <w:r>
        <w:rPr>
          <w:rFonts w:asciiTheme="minorHAnsi" w:eastAsiaTheme="minorEastAsia" w:hAnsiTheme="minorHAnsi" w:cstheme="minorBidi"/>
          <w:b w:val="0"/>
          <w:noProof/>
          <w:kern w:val="0"/>
          <w:sz w:val="22"/>
          <w:szCs w:val="22"/>
        </w:rPr>
        <w:tab/>
      </w:r>
      <w:r>
        <w:rPr>
          <w:noProof/>
        </w:rPr>
        <w:t>Glossary</w:t>
      </w:r>
      <w:r>
        <w:rPr>
          <w:noProof/>
        </w:rPr>
        <w:tab/>
      </w:r>
      <w:r>
        <w:rPr>
          <w:noProof/>
        </w:rPr>
        <w:fldChar w:fldCharType="begin"/>
      </w:r>
      <w:r>
        <w:rPr>
          <w:noProof/>
        </w:rPr>
        <w:instrText xml:space="preserve"> PAGEREF _Toc351713200 \h </w:instrText>
      </w:r>
      <w:r>
        <w:rPr>
          <w:noProof/>
        </w:rPr>
      </w:r>
      <w:r>
        <w:rPr>
          <w:noProof/>
        </w:rPr>
        <w:fldChar w:fldCharType="separate"/>
      </w:r>
      <w:r w:rsidR="000F03FC">
        <w:rPr>
          <w:noProof/>
        </w:rPr>
        <w:t>74</w:t>
      </w:r>
      <w:r>
        <w:rPr>
          <w:noProof/>
        </w:rPr>
        <w:fldChar w:fldCharType="end"/>
      </w:r>
    </w:p>
    <w:p w:rsidR="002762F0" w:rsidRDefault="002762F0" w:rsidP="001929E0">
      <w:pPr>
        <w:pStyle w:val="TOC1"/>
        <w:keepNext w:val="0"/>
        <w:rPr>
          <w:rFonts w:asciiTheme="minorHAnsi" w:eastAsiaTheme="minorEastAsia" w:hAnsiTheme="minorHAnsi" w:cstheme="minorBidi"/>
          <w:b w:val="0"/>
          <w:noProof/>
          <w:kern w:val="0"/>
          <w:sz w:val="22"/>
          <w:szCs w:val="22"/>
        </w:rPr>
      </w:pPr>
      <w:r>
        <w:rPr>
          <w:noProof/>
        </w:rPr>
        <w:t>7</w:t>
      </w:r>
      <w:r>
        <w:rPr>
          <w:rFonts w:asciiTheme="minorHAnsi" w:eastAsiaTheme="minorEastAsia" w:hAnsiTheme="minorHAnsi" w:cstheme="minorBidi"/>
          <w:b w:val="0"/>
          <w:noProof/>
          <w:kern w:val="0"/>
          <w:sz w:val="22"/>
          <w:szCs w:val="22"/>
        </w:rPr>
        <w:tab/>
      </w:r>
      <w:r>
        <w:rPr>
          <w:noProof/>
        </w:rPr>
        <w:t>Shortened forms</w:t>
      </w:r>
      <w:r>
        <w:rPr>
          <w:noProof/>
        </w:rPr>
        <w:tab/>
      </w:r>
      <w:r>
        <w:rPr>
          <w:noProof/>
        </w:rPr>
        <w:fldChar w:fldCharType="begin"/>
      </w:r>
      <w:r>
        <w:rPr>
          <w:noProof/>
        </w:rPr>
        <w:instrText xml:space="preserve"> PAGEREF _Toc351713201 \h </w:instrText>
      </w:r>
      <w:r>
        <w:rPr>
          <w:noProof/>
        </w:rPr>
      </w:r>
      <w:r>
        <w:rPr>
          <w:noProof/>
        </w:rPr>
        <w:fldChar w:fldCharType="separate"/>
      </w:r>
      <w:r w:rsidR="000F03FC">
        <w:rPr>
          <w:noProof/>
        </w:rPr>
        <w:t>77</w:t>
      </w:r>
      <w:r>
        <w:rPr>
          <w:noProof/>
        </w:rPr>
        <w:fldChar w:fldCharType="end"/>
      </w:r>
    </w:p>
    <w:p w:rsidR="006C2E16" w:rsidRDefault="006C2E16" w:rsidP="001929E0">
      <w:r>
        <w:fldChar w:fldCharType="end"/>
      </w:r>
    </w:p>
    <w:p w:rsidR="006C2E16" w:rsidRDefault="006C2E16" w:rsidP="006C2E16">
      <w:r>
        <w:br w:type="page"/>
      </w:r>
    </w:p>
    <w:p w:rsidR="006C2E16" w:rsidRPr="00C45564" w:rsidRDefault="006C2E16" w:rsidP="006C2E16">
      <w:pPr>
        <w:sectPr w:rsidR="006C2E16" w:rsidRPr="00C45564" w:rsidSect="00A10D4B">
          <w:headerReference w:type="default" r:id="rId10"/>
          <w:footerReference w:type="default" r:id="rId11"/>
          <w:headerReference w:type="first" r:id="rId12"/>
          <w:footerReference w:type="first" r:id="rId13"/>
          <w:pgSz w:w="11906" w:h="16838" w:code="9"/>
          <w:pgMar w:top="1134" w:right="1134" w:bottom="1134" w:left="1418" w:header="720" w:footer="567" w:gutter="0"/>
          <w:paperSrc w:first="2" w:other="2"/>
          <w:pgNumType w:start="1"/>
          <w:cols w:space="720"/>
          <w:titlePg/>
        </w:sectPr>
      </w:pPr>
    </w:p>
    <w:p w:rsidR="006C2E16" w:rsidRDefault="006C2E16" w:rsidP="001C6BE7">
      <w:pPr>
        <w:pStyle w:val="Heading1"/>
      </w:pPr>
      <w:bookmarkStart w:id="1" w:name="_Toc269122437"/>
      <w:bookmarkStart w:id="2" w:name="_Toc351713113"/>
      <w:bookmarkStart w:id="3" w:name="_Toc247266086"/>
      <w:bookmarkStart w:id="4" w:name="_Toc381606534"/>
      <w:bookmarkStart w:id="5" w:name="_Toc437138049"/>
      <w:bookmarkStart w:id="6" w:name="_Toc437143172"/>
      <w:bookmarkStart w:id="7" w:name="_Toc437143310"/>
      <w:bookmarkStart w:id="8" w:name="_Toc437143769"/>
      <w:bookmarkStart w:id="9" w:name="_Toc437145402"/>
      <w:bookmarkStart w:id="10" w:name="_Toc437145486"/>
      <w:bookmarkStart w:id="11" w:name="_Toc437145553"/>
      <w:bookmarkStart w:id="12" w:name="_Toc437145669"/>
      <w:bookmarkStart w:id="13" w:name="_Toc462808621"/>
      <w:r>
        <w:lastRenderedPageBreak/>
        <w:t>Introduction</w:t>
      </w:r>
      <w:bookmarkEnd w:id="1"/>
      <w:bookmarkEnd w:id="2"/>
    </w:p>
    <w:p w:rsidR="006C2E16" w:rsidRDefault="006C2E16" w:rsidP="006C2E16">
      <w:r>
        <w:t>T</w:t>
      </w:r>
      <w:r w:rsidRPr="005802FA">
        <w:t>his</w:t>
      </w:r>
      <w:r>
        <w:t xml:space="preserve"> guideline</w:t>
      </w:r>
      <w:r w:rsidRPr="005802FA">
        <w:t xml:space="preserve"> </w:t>
      </w:r>
      <w:r>
        <w:t>presents the methodology</w:t>
      </w:r>
      <w:r w:rsidRPr="005802FA">
        <w:t xml:space="preserve"> for deriving </w:t>
      </w:r>
      <w:r>
        <w:t xml:space="preserve">terrestrial ecological investigation levels (EILs) for three groups of land uses: (1) areas of ecological significance (2) urban residential/public open space, and (3) commercial/industrial. </w:t>
      </w:r>
      <w:r w:rsidRPr="005802FA">
        <w:t xml:space="preserve">The </w:t>
      </w:r>
      <w:r>
        <w:t>methodology</w:t>
      </w:r>
      <w:r w:rsidRPr="005802FA">
        <w:t xml:space="preserve"> </w:t>
      </w:r>
      <w:r>
        <w:t>w</w:t>
      </w:r>
      <w:r w:rsidRPr="005802FA">
        <w:t>as developed to protect soil processes</w:t>
      </w:r>
      <w:r>
        <w:t>,</w:t>
      </w:r>
      <w:r w:rsidRPr="005802FA">
        <w:t xml:space="preserve"> soil biota </w:t>
      </w:r>
      <w:r>
        <w:t xml:space="preserve">(flora and fauna) </w:t>
      </w:r>
      <w:r w:rsidRPr="005802FA">
        <w:t>and terrestrial</w:t>
      </w:r>
      <w:r>
        <w:t xml:space="preserve"> invertebrates and vertebrates and is presented in this Schedule. Also addressed is the strength and limitations of the EIL derivation methodology. Technical notes on the methods used in the methodology are also provided. In developing the EIL derivation methodology, the approaches used by other countries were investigated and a summary of these is presented in Appendix A. </w:t>
      </w:r>
    </w:p>
    <w:p w:rsidR="00145F69" w:rsidRDefault="00145F69" w:rsidP="006C2E16"/>
    <w:p w:rsidR="006C2E16" w:rsidRDefault="006C2E16" w:rsidP="006C2E16">
      <w:r>
        <w:t xml:space="preserve">This methodology should be considered together with </w:t>
      </w:r>
      <w:r w:rsidRPr="00EE59B3">
        <w:rPr>
          <w:i/>
          <w:iCs/>
        </w:rPr>
        <w:t xml:space="preserve">National water quality management strategy – Australian and New Zealand guidelines for fresh and marine water </w:t>
      </w:r>
      <w:r>
        <w:t>(ANZECC&amp; ARMCANZ 2000) where there are risks of impact to the aquatic ecosystem.</w:t>
      </w:r>
    </w:p>
    <w:p w:rsidR="006C2E16" w:rsidRDefault="006C2E16" w:rsidP="001C6BE7">
      <w:pPr>
        <w:pStyle w:val="Heading1"/>
      </w:pPr>
      <w:bookmarkStart w:id="14" w:name="_Toc177977864"/>
      <w:bookmarkStart w:id="15" w:name="_Toc177978933"/>
      <w:bookmarkStart w:id="16" w:name="_Toc255359950"/>
      <w:bookmarkStart w:id="17" w:name="_Toc269122438"/>
      <w:bookmarkStart w:id="18" w:name="_Toc351713114"/>
      <w:r>
        <w:lastRenderedPageBreak/>
        <w:t>EIL derivation</w:t>
      </w:r>
      <w:r w:rsidRPr="00D50E0A">
        <w:t xml:space="preserve"> </w:t>
      </w:r>
      <w:bookmarkEnd w:id="14"/>
      <w:bookmarkEnd w:id="15"/>
      <w:bookmarkEnd w:id="16"/>
      <w:bookmarkEnd w:id="17"/>
      <w:r>
        <w:t>methodology</w:t>
      </w:r>
      <w:bookmarkEnd w:id="18"/>
    </w:p>
    <w:p w:rsidR="006C2E16" w:rsidRPr="004905D8" w:rsidRDefault="006C2E16" w:rsidP="001C6BE7">
      <w:pPr>
        <w:pStyle w:val="Heading2"/>
      </w:pPr>
      <w:bookmarkStart w:id="19" w:name="_Toc255359951"/>
      <w:bookmarkStart w:id="20" w:name="_Toc269122439"/>
      <w:bookmarkStart w:id="21" w:name="_Toc351713115"/>
      <w:r w:rsidRPr="004905D8">
        <w:t xml:space="preserve">Overview of the EIL </w:t>
      </w:r>
      <w:r>
        <w:t>d</w:t>
      </w:r>
      <w:r w:rsidRPr="004905D8">
        <w:t xml:space="preserve">erivation </w:t>
      </w:r>
      <w:bookmarkEnd w:id="19"/>
      <w:bookmarkEnd w:id="20"/>
      <w:r>
        <w:t>m</w:t>
      </w:r>
      <w:r w:rsidRPr="004905D8">
        <w:t>ethodology</w:t>
      </w:r>
      <w:bookmarkEnd w:id="21"/>
    </w:p>
    <w:p w:rsidR="006C2E16" w:rsidRDefault="006C2E16" w:rsidP="006C2E16">
      <w:r>
        <w:t xml:space="preserve">The methodology was developed being cognisant of both the methods used in other jurisdictions and of the existing methods used in </w:t>
      </w:r>
      <w:smartTag w:uri="urn:schemas-microsoft-com:office:smarttags" w:element="country-region">
        <w:smartTag w:uri="urn:schemas-microsoft-com:office:smarttags" w:element="place">
          <w:r>
            <w:t>Australia</w:t>
          </w:r>
        </w:smartTag>
      </w:smartTag>
      <w:r>
        <w:t xml:space="preserve"> to derive water and sediment quality guidelines (ANZECC &amp; ARMCANZ 2000; Simpson et al. 2005; Simpson &amp; Batley 2007). </w:t>
      </w:r>
      <w:r w:rsidRPr="005802FA">
        <w:t xml:space="preserve">The </w:t>
      </w:r>
      <w:r>
        <w:t>methodology</w:t>
      </w:r>
      <w:r w:rsidRPr="005802FA">
        <w:t xml:space="preserve"> </w:t>
      </w:r>
      <w:r>
        <w:t>i</w:t>
      </w:r>
      <w:r w:rsidRPr="005802FA">
        <w:t xml:space="preserve">s flexible </w:t>
      </w:r>
      <w:r>
        <w:t xml:space="preserve">and </w:t>
      </w:r>
      <w:r w:rsidRPr="005802FA">
        <w:t>can deal with a variety of different land uses, risk pathways and toxicity data</w:t>
      </w:r>
      <w:r>
        <w:t xml:space="preserve">. It could be used to derive not just EILs but also other soil quality guidelines (SQGs) that have different purposes and/or different land uses. Examples </w:t>
      </w:r>
      <w:r w:rsidRPr="00475723">
        <w:t>of other SQGs include negligible risk target values,</w:t>
      </w:r>
      <w:r>
        <w:t xml:space="preserve"> clean-up guidelines (goals that a site remediation must meet), intervention values (guidelines that, if exceeded, require immediate action in the form of remediation), and agricultural guidelines (guidelines to protect the long-term sustainability of agricultural land). The same basic methodology could also be used to derive guidelines for contaminants in products that are added to soil such as soil amendments, biosolids, fertilisers and re-use of wastes or by-products. In fact, guidelines for cadmium, copper and zinc for Australian biosolids applied to agricultural land have been developed using a very similar method (Warne et al. 2007, Heemsbergen et al. 2009). While the methodology can be used to derive other SQGs, this guideline will henceforth only focus on EILs.</w:t>
      </w:r>
    </w:p>
    <w:p w:rsidR="00145F69" w:rsidRDefault="00145F69" w:rsidP="006C2E16"/>
    <w:p w:rsidR="006C2E16" w:rsidRDefault="006C2E16" w:rsidP="001C6BE7">
      <w:r w:rsidRPr="005802FA">
        <w:t xml:space="preserve">An overview of the </w:t>
      </w:r>
      <w:r>
        <w:t>EIL derivation</w:t>
      </w:r>
      <w:r w:rsidRPr="005802FA">
        <w:t xml:space="preserve"> </w:t>
      </w:r>
      <w:r>
        <w:t xml:space="preserve">methodology is given in Figure 1. </w:t>
      </w:r>
      <w:r w:rsidRPr="005802FA">
        <w:t xml:space="preserve">It consists of </w:t>
      </w:r>
      <w:r>
        <w:t>three</w:t>
      </w:r>
      <w:r w:rsidRPr="005802FA">
        <w:t xml:space="preserve"> </w:t>
      </w:r>
      <w:r>
        <w:t xml:space="preserve">main </w:t>
      </w:r>
      <w:r w:rsidRPr="005802FA">
        <w:t xml:space="preserve">steps: </w:t>
      </w:r>
    </w:p>
    <w:p w:rsidR="006C2E16" w:rsidRDefault="006C2E16" w:rsidP="001C6BE7">
      <w:pPr>
        <w:pStyle w:val="text"/>
        <w:numPr>
          <w:ilvl w:val="0"/>
          <w:numId w:val="8"/>
        </w:numPr>
      </w:pPr>
      <w:r>
        <w:t>c</w:t>
      </w:r>
      <w:r w:rsidRPr="005802FA">
        <w:t>ho</w:t>
      </w:r>
      <w:r>
        <w:t xml:space="preserve">osing the </w:t>
      </w:r>
      <w:r w:rsidRPr="005802FA">
        <w:t xml:space="preserve">level of protection desired for </w:t>
      </w:r>
      <w:r>
        <w:t xml:space="preserve">the </w:t>
      </w:r>
      <w:r w:rsidRPr="005802FA">
        <w:t>site</w:t>
      </w:r>
    </w:p>
    <w:p w:rsidR="006C2E16" w:rsidRDefault="006C2E16" w:rsidP="001C6BE7">
      <w:pPr>
        <w:pStyle w:val="text"/>
        <w:numPr>
          <w:ilvl w:val="0"/>
          <w:numId w:val="8"/>
        </w:numPr>
      </w:pPr>
      <w:r>
        <w:t>assessing e</w:t>
      </w:r>
      <w:r w:rsidRPr="005802FA">
        <w:t>xposure pathways</w:t>
      </w:r>
    </w:p>
    <w:p w:rsidR="006C2E16" w:rsidRDefault="006C2E16" w:rsidP="001C6BE7">
      <w:pPr>
        <w:pStyle w:val="text"/>
        <w:numPr>
          <w:ilvl w:val="0"/>
          <w:numId w:val="8"/>
        </w:numPr>
      </w:pPr>
      <w:r>
        <w:t>c</w:t>
      </w:r>
      <w:r w:rsidRPr="005802FA">
        <w:t>ollati</w:t>
      </w:r>
      <w:r>
        <w:t>ng</w:t>
      </w:r>
      <w:r w:rsidRPr="005802FA">
        <w:t xml:space="preserve"> appropriate data for </w:t>
      </w:r>
      <w:r>
        <w:t xml:space="preserve">the selected exposure pathways and </w:t>
      </w:r>
      <w:r w:rsidRPr="005802FA">
        <w:t>deriv</w:t>
      </w:r>
      <w:r>
        <w:t>ing</w:t>
      </w:r>
      <w:r w:rsidRPr="005802FA">
        <w:t xml:space="preserve"> EILs</w:t>
      </w:r>
      <w:r>
        <w:t xml:space="preserve">. </w:t>
      </w:r>
    </w:p>
    <w:p w:rsidR="006C2E16" w:rsidRDefault="006C2E16" w:rsidP="001C6BE7">
      <w:pPr>
        <w:pStyle w:val="text"/>
        <w:rPr>
          <w:color w:val="000000"/>
        </w:rPr>
      </w:pPr>
      <w:r>
        <w:rPr>
          <w:noProof/>
        </w:rPr>
        <mc:AlternateContent>
          <mc:Choice Requires="wpc">
            <w:drawing>
              <wp:anchor distT="0" distB="0" distL="114300" distR="114300" simplePos="0" relativeHeight="251664384" behindDoc="0" locked="0" layoutInCell="1" allowOverlap="0" wp14:anchorId="16430086" wp14:editId="2377C4C9">
                <wp:simplePos x="0" y="0"/>
                <wp:positionH relativeFrom="character">
                  <wp:posOffset>914400</wp:posOffset>
                </wp:positionH>
                <wp:positionV relativeFrom="line">
                  <wp:posOffset>29845</wp:posOffset>
                </wp:positionV>
                <wp:extent cx="3543300" cy="2205355"/>
                <wp:effectExtent l="3810" t="0" r="0" b="4445"/>
                <wp:wrapNone/>
                <wp:docPr id="407" name="Canvas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2" name="Text Box 406"/>
                        <wps:cNvSpPr txBox="1">
                          <a:spLocks noChangeArrowheads="1"/>
                        </wps:cNvSpPr>
                        <wps:spPr bwMode="auto">
                          <a:xfrm>
                            <a:off x="444500" y="965200"/>
                            <a:ext cx="2886710" cy="381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Pr="00467DAA" w:rsidRDefault="001C6BE7" w:rsidP="006C2E16">
                              <w:pPr>
                                <w:autoSpaceDE w:val="0"/>
                                <w:autoSpaceDN w:val="0"/>
                                <w:adjustRightInd w:val="0"/>
                                <w:jc w:val="center"/>
                                <w:rPr>
                                  <w:color w:val="000000"/>
                                  <w:szCs w:val="22"/>
                                </w:rPr>
                              </w:pPr>
                              <w:r>
                                <w:rPr>
                                  <w:color w:val="000000"/>
                                  <w:szCs w:val="22"/>
                                </w:rPr>
                                <w:t>Assess e</w:t>
                              </w:r>
                              <w:r w:rsidRPr="00467DAA">
                                <w:rPr>
                                  <w:color w:val="000000"/>
                                  <w:szCs w:val="22"/>
                                </w:rPr>
                                <w:t xml:space="preserve">xposure pathway </w:t>
                              </w:r>
                            </w:p>
                            <w:p w:rsidR="001C6BE7" w:rsidRDefault="001C6BE7" w:rsidP="006C2E16"/>
                          </w:txbxContent>
                        </wps:txbx>
                        <wps:bodyPr rot="0" vert="horz" wrap="square" lIns="74981" tIns="37490" rIns="74981" bIns="37490" anchor="t" anchorCtr="0" upright="1">
                          <a:noAutofit/>
                        </wps:bodyPr>
                      </wps:wsp>
                      <wps:wsp>
                        <wps:cNvPr id="403" name="Text Box 407"/>
                        <wps:cNvSpPr txBox="1">
                          <a:spLocks noChangeArrowheads="1"/>
                        </wps:cNvSpPr>
                        <wps:spPr bwMode="auto">
                          <a:xfrm>
                            <a:off x="457200" y="1623060"/>
                            <a:ext cx="2886710" cy="393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Pr="00467DAA" w:rsidRDefault="001C6BE7" w:rsidP="006C2E16">
                              <w:pPr>
                                <w:autoSpaceDE w:val="0"/>
                                <w:autoSpaceDN w:val="0"/>
                                <w:adjustRightInd w:val="0"/>
                                <w:jc w:val="center"/>
                                <w:rPr>
                                  <w:color w:val="000000"/>
                                  <w:szCs w:val="22"/>
                                </w:rPr>
                              </w:pPr>
                              <w:r w:rsidRPr="00467DAA">
                                <w:rPr>
                                  <w:color w:val="000000"/>
                                  <w:szCs w:val="22"/>
                                </w:rPr>
                                <w:t xml:space="preserve">Collate data and derive EILs </w:t>
                              </w:r>
                            </w:p>
                            <w:p w:rsidR="001C6BE7" w:rsidRDefault="001C6BE7" w:rsidP="006C2E16"/>
                          </w:txbxContent>
                        </wps:txbx>
                        <wps:bodyPr rot="0" vert="horz" wrap="square" lIns="74981" tIns="37490" rIns="74981" bIns="37490" anchor="t" anchorCtr="0" upright="1">
                          <a:noAutofit/>
                        </wps:bodyPr>
                      </wps:wsp>
                      <wps:wsp>
                        <wps:cNvPr id="404" name="Line 408"/>
                        <wps:cNvCnPr/>
                        <wps:spPr bwMode="auto">
                          <a:xfrm>
                            <a:off x="1863725" y="1346200"/>
                            <a:ext cx="635" cy="28829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Text Box 409"/>
                        <wps:cNvSpPr txBox="1">
                          <a:spLocks noChangeArrowheads="1"/>
                        </wps:cNvSpPr>
                        <wps:spPr bwMode="auto">
                          <a:xfrm>
                            <a:off x="444500" y="247650"/>
                            <a:ext cx="2886710" cy="3886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jc w:val="center"/>
                                <w:rPr>
                                  <w:color w:val="000000"/>
                                </w:rPr>
                              </w:pPr>
                              <w:r w:rsidRPr="00467DAA">
                                <w:rPr>
                                  <w:color w:val="000000"/>
                                  <w:szCs w:val="22"/>
                                </w:rPr>
                                <w:t>Choose level of protection desired for</w:t>
                              </w:r>
                              <w:r>
                                <w:rPr>
                                  <w:color w:val="000000"/>
                                </w:rPr>
                                <w:t xml:space="preserve"> site</w:t>
                              </w:r>
                            </w:p>
                            <w:p w:rsidR="001C6BE7" w:rsidRDefault="001C6BE7" w:rsidP="006C2E16"/>
                          </w:txbxContent>
                        </wps:txbx>
                        <wps:bodyPr rot="0" vert="horz" wrap="square" lIns="74981" tIns="37490" rIns="74981" bIns="37490" anchor="t" anchorCtr="0" upright="1">
                          <a:noAutofit/>
                        </wps:bodyPr>
                      </wps:wsp>
                      <wps:wsp>
                        <wps:cNvPr id="406" name="Line 410"/>
                        <wps:cNvCnPr/>
                        <wps:spPr bwMode="auto">
                          <a:xfrm>
                            <a:off x="1858010" y="669925"/>
                            <a:ext cx="635" cy="28829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07" o:spid="_x0000_s1030" editas="canvas" style="position:absolute;margin-left:1in;margin-top:2.35pt;width:279pt;height:173.65pt;z-index:251664384;mso-position-horizontal-relative:char;mso-position-vertical-relative:line" coordsize="35433,2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35433;height:22053;visibility:visible;mso-wrap-style:square">
                  <v:fill o:detectmouseclick="t"/>
                  <v:path o:connecttype="none"/>
                </v:shape>
                <v:shape id="Text Box 406" o:spid="_x0000_s1032" type="#_x0000_t202" style="position:absolute;left:4445;top:9652;width:2886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WUMUA&#10;AADcAAAADwAAAGRycy9kb3ducmV2LnhtbESPQWvCQBSE70L/w/IKvenGWGyJrlJaRKF6MCp4fGRf&#10;s2mzb0N2a+K/7xYEj8PMfMPMl72txYVaXzlWMB4lIIgLpysuFRwPq+ErCB+QNdaOScGVPCwXD4M5&#10;Ztp1vKdLHkoRIewzVGBCaDIpfWHIoh+5hjh6X661GKJsS6lb7CLc1jJNkqm0WHFcMNjQu6HiJ/+1&#10;Cs6nlCZX2n98r6em+xxvdy8HqZV6euzfZiAC9eEevrU3WsFzk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dZQxQAAANwAAAAPAAAAAAAAAAAAAAAAAJgCAABkcnMv&#10;ZG93bnJldi54bWxQSwUGAAAAAAQABAD1AAAAigMAAAAA&#10;" filled="f" fillcolor="#bbe0e3" strokeweight="1.5pt">
                  <v:textbox inset="2.08281mm,1.0414mm,2.08281mm,1.0414mm">
                    <w:txbxContent>
                      <w:p w:rsidR="001C6BE7" w:rsidRPr="00467DAA" w:rsidRDefault="001C6BE7" w:rsidP="006C2E16">
                        <w:pPr>
                          <w:autoSpaceDE w:val="0"/>
                          <w:autoSpaceDN w:val="0"/>
                          <w:adjustRightInd w:val="0"/>
                          <w:jc w:val="center"/>
                          <w:rPr>
                            <w:color w:val="000000"/>
                            <w:szCs w:val="22"/>
                          </w:rPr>
                        </w:pPr>
                        <w:r>
                          <w:rPr>
                            <w:color w:val="000000"/>
                            <w:szCs w:val="22"/>
                          </w:rPr>
                          <w:t>Assess e</w:t>
                        </w:r>
                        <w:r w:rsidRPr="00467DAA">
                          <w:rPr>
                            <w:color w:val="000000"/>
                            <w:szCs w:val="22"/>
                          </w:rPr>
                          <w:t xml:space="preserve">xposure pathway </w:t>
                        </w:r>
                      </w:p>
                      <w:p w:rsidR="001C6BE7" w:rsidRDefault="001C6BE7" w:rsidP="006C2E16"/>
                    </w:txbxContent>
                  </v:textbox>
                </v:shape>
                <v:shape id="Text Box 407" o:spid="_x0000_s1033" type="#_x0000_t202" style="position:absolute;left:4572;top:16230;width:28867;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zy8YA&#10;AADcAAAADwAAAGRycy9kb3ducmV2LnhtbESPQWvCQBSE74L/YXlCb7pRi5boJoiltNB6UFvo8ZF9&#10;ZqPZtyG7NfHfdwsFj8PMfMOs897W4kqtrxwrmE4SEMSF0xWXCj6PL+MnED4ga6wdk4Ibeciz4WCN&#10;qXYd7+l6CKWIEPYpKjAhNKmUvjBk0U9cQxy9k2sthijbUuoWuwi3tZwlyUJarDguGGxoa6i4HH6s&#10;gu+vGc1vtH8+vy5M9z792C2PUiv1MOo3KxCB+nAP/7fftILHZA5/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Vzy8YAAADcAAAADwAAAAAAAAAAAAAAAACYAgAAZHJz&#10;L2Rvd25yZXYueG1sUEsFBgAAAAAEAAQA9QAAAIsDAAAAAA==&#10;" filled="f" fillcolor="#bbe0e3" strokeweight="1.5pt">
                  <v:textbox inset="2.08281mm,1.0414mm,2.08281mm,1.0414mm">
                    <w:txbxContent>
                      <w:p w:rsidR="001C6BE7" w:rsidRPr="00467DAA" w:rsidRDefault="001C6BE7" w:rsidP="006C2E16">
                        <w:pPr>
                          <w:autoSpaceDE w:val="0"/>
                          <w:autoSpaceDN w:val="0"/>
                          <w:adjustRightInd w:val="0"/>
                          <w:jc w:val="center"/>
                          <w:rPr>
                            <w:color w:val="000000"/>
                            <w:szCs w:val="22"/>
                          </w:rPr>
                        </w:pPr>
                        <w:r w:rsidRPr="00467DAA">
                          <w:rPr>
                            <w:color w:val="000000"/>
                            <w:szCs w:val="22"/>
                          </w:rPr>
                          <w:t xml:space="preserve">Collate data and derive EILs </w:t>
                        </w:r>
                      </w:p>
                      <w:p w:rsidR="001C6BE7" w:rsidRDefault="001C6BE7" w:rsidP="006C2E16"/>
                    </w:txbxContent>
                  </v:textbox>
                </v:shape>
                <v:line id="Line 408" o:spid="_x0000_s1034" style="position:absolute;visibility:visible;mso-wrap-style:square" from="18637,13462" to="18643,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DDsYAAADcAAAADwAAAGRycy9kb3ducmV2LnhtbESP3WrCQBSE74W+w3IKvRHdxAaR1FVE&#10;EdqCtv7g9SF7mgSzZ0N2q4lP3xUKXg4z8w0znbemEhdqXGlZQTyMQBBnVpecKzge1oMJCOeRNVaW&#10;SUFHDuazp94UU22vvKPL3uciQNilqKDwvk6ldFlBBt3Q1sTB+7GNQR9kk0vd4DXATSVHUTSWBksO&#10;CwXWtCwoO+9/jYJPuq3GH/2vDSY+/j51r/24K7dKvTy3izcQnlr/CP+337WCJErgf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Fgw7GAAAA3AAAAA8AAAAAAAAA&#10;AAAAAAAAoQIAAGRycy9kb3ducmV2LnhtbFBLBQYAAAAABAAEAPkAAACUAwAAAAA=&#10;" strokeweight="2.25pt">
                  <v:stroke endarrow="block"/>
                </v:line>
                <v:shape id="_x0000_s1035" type="#_x0000_t202" style="position:absolute;left:4445;top:2476;width:2886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JMYA&#10;AADcAAAADwAAAGRycy9kb3ducmV2LnhtbESPT2vCQBTE70K/w/IK3nTjn9qSuoooRUF7iLbQ4yP7&#10;mk3Nvg3ZrYnf3hUKPQ4z8xtmvuxsJS7U+NKxgtEwAUGcO11yoeDj9DZ4AeEDssbKMSm4kofl4qE3&#10;x1S7ljO6HEMhIoR9igpMCHUqpc8NWfRDVxNH79s1FkOUTSF1g22E20qOk2QmLZYcFwzWtDaUn4+/&#10;VsHX55gmV8o2P9uZafejw/vzSWql+o/d6hVEoC78h//aO61gmjzB/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BOJMYAAADcAAAADwAAAAAAAAAAAAAAAACYAgAAZHJz&#10;L2Rvd25yZXYueG1sUEsFBgAAAAAEAAQA9QAAAIsDAAAAAA==&#10;" filled="f" fillcolor="#bbe0e3" strokeweight="1.5pt">
                  <v:textbox inset="2.08281mm,1.0414mm,2.08281mm,1.0414mm">
                    <w:txbxContent>
                      <w:p w:rsidR="001C6BE7" w:rsidRDefault="001C6BE7" w:rsidP="006C2E16">
                        <w:pPr>
                          <w:autoSpaceDE w:val="0"/>
                          <w:autoSpaceDN w:val="0"/>
                          <w:adjustRightInd w:val="0"/>
                          <w:jc w:val="center"/>
                          <w:rPr>
                            <w:color w:val="000000"/>
                          </w:rPr>
                        </w:pPr>
                        <w:r w:rsidRPr="00467DAA">
                          <w:rPr>
                            <w:color w:val="000000"/>
                            <w:szCs w:val="22"/>
                          </w:rPr>
                          <w:t>Choose level of protection desired for</w:t>
                        </w:r>
                        <w:r>
                          <w:rPr>
                            <w:color w:val="000000"/>
                          </w:rPr>
                          <w:t xml:space="preserve"> site</w:t>
                        </w:r>
                      </w:p>
                      <w:p w:rsidR="001C6BE7" w:rsidRDefault="001C6BE7" w:rsidP="006C2E16"/>
                    </w:txbxContent>
                  </v:textbox>
                </v:shape>
                <v:line id="Line 410" o:spid="_x0000_s1036" style="position:absolute;visibility:visible;mso-wrap-style:square" from="18580,6699" to="18586,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44sYAAADcAAAADwAAAGRycy9kb3ducmV2LnhtbESP3WrCQBSE74W+w3IKvRHdxEqQ1FVE&#10;EdqCtv7g9SF7mgSzZ0N2q4lP3xUKXg4z8w0znbemEhdqXGlZQTyMQBBnVpecKzge1oMJCOeRNVaW&#10;SUFHDuazp94UU22vvKPL3uciQNilqKDwvk6ldFlBBt3Q1sTB+7GNQR9kk0vd4DXATSVHUZRIgyWH&#10;hQJrWhaUnfe/RsEn3VbJR/9rg2Mff5+6137clVulXp7bxRsIT61/hP/b71rBOErgf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uOLGAAAA3AAAAA8AAAAAAAAA&#10;AAAAAAAAoQIAAGRycy9kb3ducmV2LnhtbFBLBQYAAAAABAAEAPkAAACUAwAAAAA=&#10;" strokeweight="2.25pt">
                  <v:stroke endarrow="block"/>
                </v:line>
                <w10:wrap anchory="line"/>
              </v:group>
            </w:pict>
          </mc:Fallback>
        </mc:AlternateContent>
      </w:r>
    </w:p>
    <w:p w:rsidR="006C2E16" w:rsidRPr="008005DF" w:rsidRDefault="006C2E16" w:rsidP="006C2E16">
      <w:pPr>
        <w:pStyle w:val="BodyText"/>
      </w:pPr>
      <w:r w:rsidRPr="00FB35DC">
        <w:tab/>
      </w:r>
      <w:r w:rsidRPr="00FB35DC">
        <w:tab/>
      </w:r>
      <w:r>
        <w:rPr>
          <w:noProof/>
        </w:rPr>
        <w:drawing>
          <wp:inline distT="0" distB="0" distL="0" distR="0" wp14:anchorId="44C51E06" wp14:editId="591D9F33">
            <wp:extent cx="3543300" cy="186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99954" b="99954"/>
                    <a:stretch>
                      <a:fillRect/>
                    </a:stretch>
                  </pic:blipFill>
                  <pic:spPr bwMode="auto">
                    <a:xfrm>
                      <a:off x="0" y="0"/>
                      <a:ext cx="3543300" cy="1866900"/>
                    </a:xfrm>
                    <a:prstGeom prst="rect">
                      <a:avLst/>
                    </a:prstGeom>
                    <a:noFill/>
                    <a:ln w="9525">
                      <a:noFill/>
                      <a:miter lim="800000"/>
                      <a:headEnd/>
                      <a:tailEnd/>
                    </a:ln>
                  </pic:spPr>
                </pic:pic>
              </a:graphicData>
            </a:graphic>
          </wp:inline>
        </w:drawing>
      </w:r>
    </w:p>
    <w:p w:rsidR="006C2E16" w:rsidRPr="006620A3" w:rsidDel="005A0BB2" w:rsidRDefault="006C2E16" w:rsidP="006C2E16">
      <w:pPr>
        <w:pStyle w:val="Caption"/>
      </w:pPr>
      <w:r w:rsidRPr="006620A3" w:rsidDel="005A0BB2">
        <w:t xml:space="preserve">Figure 1. Overview of the methodology for the derivation of EILs. </w:t>
      </w:r>
    </w:p>
    <w:p w:rsidR="006C2E16" w:rsidRPr="005802FA" w:rsidRDefault="006C2E16" w:rsidP="001C6BE7">
      <w:pPr>
        <w:pStyle w:val="Heading2"/>
      </w:pPr>
      <w:bookmarkStart w:id="22" w:name="_Toc177977865"/>
      <w:bookmarkStart w:id="23" w:name="_Toc177978934"/>
      <w:bookmarkStart w:id="24" w:name="_Toc255359952"/>
      <w:bookmarkStart w:id="25" w:name="_Toc269122440"/>
      <w:bookmarkStart w:id="26" w:name="_Toc351713116"/>
      <w:r w:rsidRPr="005802FA">
        <w:t>Level</w:t>
      </w:r>
      <w:r>
        <w:t>s</w:t>
      </w:r>
      <w:r w:rsidRPr="005802FA">
        <w:t xml:space="preserve"> of </w:t>
      </w:r>
      <w:bookmarkEnd w:id="22"/>
      <w:bookmarkEnd w:id="23"/>
      <w:bookmarkEnd w:id="24"/>
      <w:bookmarkEnd w:id="25"/>
      <w:r>
        <w:t>p</w:t>
      </w:r>
      <w:r w:rsidRPr="005802FA">
        <w:t>rotection</w:t>
      </w:r>
      <w:bookmarkEnd w:id="26"/>
      <w:r w:rsidRPr="005802FA">
        <w:t xml:space="preserve"> </w:t>
      </w:r>
    </w:p>
    <w:p w:rsidR="006C2E16" w:rsidRDefault="006C2E16" w:rsidP="006C2E16">
      <w:bookmarkStart w:id="27" w:name="_Toc177977867"/>
      <w:bookmarkStart w:id="28" w:name="_Toc177978936"/>
      <w:r w:rsidRPr="00F179E4">
        <w:t>Selecting the level of protection to be provided to a site</w:t>
      </w:r>
      <w:r>
        <w:t xml:space="preserve"> or soil</w:t>
      </w:r>
      <w:r w:rsidRPr="00F179E4">
        <w:t xml:space="preserve"> is one of the most important steps in the </w:t>
      </w:r>
      <w:r>
        <w:t>EIL derivation</w:t>
      </w:r>
      <w:r w:rsidRPr="00F179E4">
        <w:t xml:space="preserve"> </w:t>
      </w:r>
      <w:r>
        <w:t>methodology</w:t>
      </w:r>
      <w:r w:rsidRPr="00F179E4">
        <w:t xml:space="preserve">. </w:t>
      </w:r>
    </w:p>
    <w:p w:rsidR="00145F69" w:rsidRDefault="00145F69" w:rsidP="006C2E16"/>
    <w:p w:rsidR="006C2E16" w:rsidRPr="00F179E4" w:rsidRDefault="006C2E16" w:rsidP="001C6BE7">
      <w:r w:rsidRPr="00F179E4">
        <w:t xml:space="preserve">The level of protection </w:t>
      </w:r>
      <w:r>
        <w:t>provided will depend on</w:t>
      </w:r>
      <w:r w:rsidRPr="00F179E4">
        <w:t>:</w:t>
      </w:r>
    </w:p>
    <w:p w:rsidR="006C2E16" w:rsidRDefault="006C2E16" w:rsidP="001C6BE7">
      <w:pPr>
        <w:pStyle w:val="text"/>
        <w:numPr>
          <w:ilvl w:val="0"/>
          <w:numId w:val="36"/>
        </w:numPr>
      </w:pPr>
      <w:r w:rsidRPr="00F179E4">
        <w:rPr>
          <w:b/>
          <w:bCs/>
        </w:rPr>
        <w:t>The species and ecological functions that should be protected</w:t>
      </w:r>
      <w:r>
        <w:rPr>
          <w:b/>
          <w:bCs/>
        </w:rPr>
        <w:t>—</w:t>
      </w:r>
      <w:r>
        <w:t>e</w:t>
      </w:r>
      <w:r w:rsidRPr="00F179E4">
        <w:t>very land use has specific functions and species that should be protected in order to ensure the land can continue to be used for that purpose</w:t>
      </w:r>
      <w:r>
        <w:t xml:space="preserve">. </w:t>
      </w:r>
      <w:r w:rsidRPr="00F179E4">
        <w:t>These functions and species include plants, soil microbial processes, soil and terrestrial invertebrates and vertebrates</w:t>
      </w:r>
      <w:r>
        <w:t xml:space="preserve">. </w:t>
      </w:r>
      <w:r w:rsidRPr="00F179E4">
        <w:t xml:space="preserve">For example, </w:t>
      </w:r>
      <w:r>
        <w:t>it</w:t>
      </w:r>
      <w:r w:rsidRPr="00F179E4">
        <w:t xml:space="preserve"> would not </w:t>
      </w:r>
      <w:r>
        <w:t xml:space="preserve">be </w:t>
      </w:r>
      <w:r w:rsidRPr="00F179E4">
        <w:t>expect</w:t>
      </w:r>
      <w:r>
        <w:t>ed</w:t>
      </w:r>
      <w:r w:rsidRPr="00F179E4">
        <w:t xml:space="preserve"> </w:t>
      </w:r>
      <w:r>
        <w:t>that</w:t>
      </w:r>
      <w:r w:rsidRPr="00F179E4">
        <w:t xml:space="preserve"> all terrestrial species </w:t>
      </w:r>
      <w:r>
        <w:t xml:space="preserve">would be protected </w:t>
      </w:r>
      <w:r w:rsidRPr="00F179E4">
        <w:t xml:space="preserve">in an urban residential setting but </w:t>
      </w:r>
      <w:r>
        <w:t>it</w:t>
      </w:r>
      <w:r w:rsidRPr="00F179E4">
        <w:t xml:space="preserve"> would </w:t>
      </w:r>
      <w:r>
        <w:t xml:space="preserve">be </w:t>
      </w:r>
      <w:r w:rsidRPr="00F179E4">
        <w:t>in national parks</w:t>
      </w:r>
      <w:r>
        <w:t xml:space="preserve"> and areas of high ecological value</w:t>
      </w:r>
      <w:r w:rsidRPr="00F179E4">
        <w:t xml:space="preserve">. </w:t>
      </w:r>
    </w:p>
    <w:p w:rsidR="006C2E16" w:rsidRDefault="006C2E16" w:rsidP="001C6BE7">
      <w:pPr>
        <w:pStyle w:val="text"/>
        <w:numPr>
          <w:ilvl w:val="0"/>
          <w:numId w:val="36"/>
        </w:numPr>
      </w:pPr>
      <w:r w:rsidRPr="00F179E4">
        <w:rPr>
          <w:b/>
          <w:bCs/>
        </w:rPr>
        <w:lastRenderedPageBreak/>
        <w:t>The exposure pathways that are relevant for the land use</w:t>
      </w:r>
      <w:r>
        <w:rPr>
          <w:b/>
          <w:bCs/>
        </w:rPr>
        <w:t>—</w:t>
      </w:r>
      <w:r>
        <w:t>f</w:t>
      </w:r>
      <w:r w:rsidRPr="00F179E4">
        <w:t>or terrestrial ecosystems in general</w:t>
      </w:r>
      <w:r>
        <w:t>,</w:t>
      </w:r>
      <w:r w:rsidRPr="00F179E4">
        <w:t xml:space="preserve"> there are multiple potential exposure pathways</w:t>
      </w:r>
      <w:r>
        <w:t xml:space="preserve">. </w:t>
      </w:r>
      <w:r w:rsidRPr="00F179E4">
        <w:t>However,</w:t>
      </w:r>
      <w:r w:rsidRPr="00F179E4">
        <w:rPr>
          <w:b/>
          <w:bCs/>
        </w:rPr>
        <w:t xml:space="preserve"> </w:t>
      </w:r>
      <w:r w:rsidRPr="00F179E4">
        <w:t>not all exposure pathways will be relevant for any particular land use</w:t>
      </w:r>
      <w:r>
        <w:t xml:space="preserve">. </w:t>
      </w:r>
      <w:r w:rsidRPr="00F179E4">
        <w:t>For example, exposure pathways that involve biomagnification are unlikely to be relevant to small industrial sites, as</w:t>
      </w:r>
      <w:r>
        <w:t xml:space="preserve"> their surface area is limited.</w:t>
      </w:r>
    </w:p>
    <w:p w:rsidR="006C2E16" w:rsidRDefault="006C2E16" w:rsidP="001C6BE7">
      <w:pPr>
        <w:pStyle w:val="text"/>
        <w:numPr>
          <w:ilvl w:val="0"/>
          <w:numId w:val="36"/>
        </w:numPr>
      </w:pPr>
      <w:r w:rsidRPr="00F179E4">
        <w:rPr>
          <w:b/>
          <w:bCs/>
        </w:rPr>
        <w:t>The extent to which the species and ecological functions will be protected</w:t>
      </w:r>
      <w:r>
        <w:rPr>
          <w:b/>
          <w:bCs/>
        </w:rPr>
        <w:t>—</w:t>
      </w:r>
      <w:r>
        <w:t>u</w:t>
      </w:r>
      <w:r w:rsidRPr="00F179E4">
        <w:t>sing the preferred method for deriving EILs (</w:t>
      </w:r>
      <w:r>
        <w:t>that is,</w:t>
      </w:r>
      <w:r w:rsidRPr="00F179E4">
        <w:t xml:space="preserve"> species sensitivity distribution (SSD) methods</w:t>
      </w:r>
      <w:r w:rsidRPr="007D762C">
        <w:t>)</w:t>
      </w:r>
      <w:r>
        <w:t>,</w:t>
      </w:r>
      <w:r w:rsidRPr="007D762C">
        <w:t xml:space="preserve"> it is</w:t>
      </w:r>
      <w:r w:rsidRPr="00F179E4">
        <w:t xml:space="preserve"> possible to </w:t>
      </w:r>
      <w:r>
        <w:t>protect a hypothetical</w:t>
      </w:r>
      <w:r w:rsidRPr="00F179E4">
        <w:t xml:space="preserve"> percentage of species/ecological functions (e.g. 99</w:t>
      </w:r>
      <w:r>
        <w:t>%</w:t>
      </w:r>
      <w:r w:rsidRPr="00F179E4">
        <w:t xml:space="preserve"> or 95%) by an EIL</w:t>
      </w:r>
      <w:r>
        <w:t xml:space="preserve">. </w:t>
      </w:r>
      <w:r w:rsidRPr="00F179E4">
        <w:t>The extent of protection</w:t>
      </w:r>
      <w:r>
        <w:t xml:space="preserve"> (that is, the percentage of species protected)</w:t>
      </w:r>
      <w:r w:rsidRPr="00F179E4">
        <w:t xml:space="preserve"> can be changed depending on land use</w:t>
      </w:r>
      <w:r>
        <w:t xml:space="preserve">. </w:t>
      </w:r>
      <w:r w:rsidRPr="00F179E4">
        <w:t xml:space="preserve">For example, relatively low protection could be provided for </w:t>
      </w:r>
      <w:r>
        <w:t>commercial/</w:t>
      </w:r>
      <w:r w:rsidRPr="00F179E4">
        <w:t>industrial areas</w:t>
      </w:r>
      <w:r>
        <w:t>,</w:t>
      </w:r>
      <w:r w:rsidRPr="00F179E4">
        <w:t xml:space="preserve"> and high protection for national parks and other high </w:t>
      </w:r>
      <w:r>
        <w:t xml:space="preserve">ecological </w:t>
      </w:r>
      <w:r w:rsidRPr="00F179E4">
        <w:t>value lands.</w:t>
      </w:r>
    </w:p>
    <w:p w:rsidR="006C2E16" w:rsidRDefault="006C2E16" w:rsidP="006C2E16">
      <w:r w:rsidRPr="00F179E4">
        <w:t>The land use</w:t>
      </w:r>
      <w:r>
        <w:t>-</w:t>
      </w:r>
      <w:r w:rsidRPr="00F179E4">
        <w:t>based approach has been adopted by several countries (</w:t>
      </w:r>
      <w:r>
        <w:t>for example,</w:t>
      </w:r>
      <w:r w:rsidRPr="00F179E4">
        <w:t xml:space="preserve"> </w:t>
      </w:r>
      <w:smartTag w:uri="urn:schemas-microsoft-com:office:smarttags" w:element="country-region">
        <w:r w:rsidRPr="00F179E4">
          <w:t>Germany</w:t>
        </w:r>
      </w:smartTag>
      <w:r>
        <w:t xml:space="preserve"> and</w:t>
      </w:r>
      <w:r w:rsidRPr="00F179E4">
        <w:t xml:space="preserve"> </w:t>
      </w:r>
      <w:smartTag w:uri="urn:schemas-microsoft-com:office:smarttags" w:element="country-region">
        <w:smartTag w:uri="urn:schemas-microsoft-com:office:smarttags" w:element="place">
          <w:r w:rsidRPr="00F179E4">
            <w:t>Canada</w:t>
          </w:r>
        </w:smartTag>
      </w:smartTag>
      <w:r w:rsidRPr="00F179E4">
        <w:t>)</w:t>
      </w:r>
      <w:r>
        <w:t xml:space="preserve">. </w:t>
      </w:r>
      <w:r w:rsidRPr="00F179E4">
        <w:t>The Canadian soil quality guidelines (</w:t>
      </w:r>
      <w:r>
        <w:t xml:space="preserve">CCME 2006, </w:t>
      </w:r>
      <w:r w:rsidRPr="007D762C">
        <w:t>Appendix A3)</w:t>
      </w:r>
      <w:r w:rsidRPr="00F179E4">
        <w:t xml:space="preserve"> include four land</w:t>
      </w:r>
      <w:r>
        <w:t>-</w:t>
      </w:r>
      <w:r w:rsidRPr="00F179E4">
        <w:t>use types</w:t>
      </w:r>
      <w:r>
        <w:t>—</w:t>
      </w:r>
      <w:r w:rsidRPr="00F179E4">
        <w:t>agricultural, residential/parkland, commercial and industrial</w:t>
      </w:r>
      <w:r>
        <w:t xml:space="preserve">. </w:t>
      </w:r>
      <w:r w:rsidRPr="00F179E4">
        <w:t xml:space="preserve">Each land use has a list of </w:t>
      </w:r>
      <w:r>
        <w:t xml:space="preserve">relevant </w:t>
      </w:r>
      <w:r w:rsidRPr="00F179E4">
        <w:t xml:space="preserve">ecological receptors of concern to be included in the derivation of the </w:t>
      </w:r>
      <w:r>
        <w:t>Canadian SQGs. Furthermore, at industrial and commercial sites, a low level of adverse effects would be expected to occur in less than half of the species in the terrestrial community, as the CCME set the species protection level at 50%. Therefore, each land use type has its own SQG (CCME 2006).</w:t>
      </w:r>
    </w:p>
    <w:p w:rsidR="00145F69" w:rsidRPr="00F179E4" w:rsidRDefault="00145F69" w:rsidP="006C2E16"/>
    <w:p w:rsidR="006C2E16" w:rsidRDefault="006C2E16" w:rsidP="006C2E16">
      <w:r>
        <w:t>T</w:t>
      </w:r>
      <w:r w:rsidRPr="00F179E4">
        <w:t xml:space="preserve">he Australian and New Zealand </w:t>
      </w:r>
      <w:r>
        <w:t>water quality guidelines (</w:t>
      </w:r>
      <w:r w:rsidRPr="00F179E4">
        <w:t>WQGs</w:t>
      </w:r>
      <w:r>
        <w:t>)</w:t>
      </w:r>
      <w:r w:rsidRPr="00F179E4">
        <w:t xml:space="preserve"> (</w:t>
      </w:r>
      <w:r>
        <w:t>ANZECC and ARMCANZ 2000</w:t>
      </w:r>
      <w:r w:rsidRPr="00F179E4">
        <w:t xml:space="preserve">) </w:t>
      </w:r>
      <w:r>
        <w:t xml:space="preserve">include a similar approach, </w:t>
      </w:r>
      <w:r w:rsidRPr="00F179E4">
        <w:t>which provide</w:t>
      </w:r>
      <w:r>
        <w:t>s</w:t>
      </w:r>
      <w:r w:rsidRPr="00F179E4">
        <w:t xml:space="preserve"> different levels of protection (</w:t>
      </w:r>
      <w:r>
        <w:t>that is,</w:t>
      </w:r>
      <w:r w:rsidRPr="00F179E4">
        <w:t xml:space="preserve"> percentage of species) to aquatic ecosystems depending on </w:t>
      </w:r>
      <w:r>
        <w:t xml:space="preserve">how pristine the ecosystem is (that is, their </w:t>
      </w:r>
      <w:r w:rsidRPr="00F179E4">
        <w:t>current conservation status</w:t>
      </w:r>
      <w:r>
        <w:t>).</w:t>
      </w:r>
    </w:p>
    <w:p w:rsidR="006C2E16" w:rsidRDefault="006C2E16" w:rsidP="006C2E16">
      <w:r w:rsidRPr="00F179E4">
        <w:t xml:space="preserve">For </w:t>
      </w:r>
      <w:r>
        <w:t xml:space="preserve">pristine and thereby </w:t>
      </w:r>
      <w:r w:rsidRPr="00F179E4">
        <w:t xml:space="preserve">high conservation value ecosystems, slightly to moderately </w:t>
      </w:r>
      <w:r>
        <w:t>disturbe</w:t>
      </w:r>
      <w:r w:rsidRPr="00F179E4">
        <w:t>d, and h</w:t>
      </w:r>
      <w:r>
        <w:t>ighly</w:t>
      </w:r>
      <w:r w:rsidRPr="00F179E4">
        <w:t xml:space="preserve"> </w:t>
      </w:r>
      <w:r>
        <w:t>disturbed</w:t>
      </w:r>
      <w:r w:rsidRPr="00F179E4">
        <w:t xml:space="preserve"> ecosystems</w:t>
      </w:r>
      <w:r>
        <w:t>,</w:t>
      </w:r>
      <w:r w:rsidRPr="00F179E4">
        <w:t xml:space="preserve"> the default level</w:t>
      </w:r>
      <w:r>
        <w:t>s</w:t>
      </w:r>
      <w:r w:rsidRPr="00F179E4">
        <w:t xml:space="preserve"> of protection </w:t>
      </w:r>
      <w:r>
        <w:t>in Australian aquatic ecosystems are</w:t>
      </w:r>
      <w:r w:rsidRPr="00F179E4">
        <w:t xml:space="preserve"> 99% (PC</w:t>
      </w:r>
      <w:r w:rsidRPr="00363524">
        <w:rPr>
          <w:vertAlign w:val="subscript"/>
        </w:rPr>
        <w:t>99</w:t>
      </w:r>
      <w:r w:rsidRPr="00F179E4">
        <w:t>), 95% (PC</w:t>
      </w:r>
      <w:r w:rsidRPr="00363524">
        <w:rPr>
          <w:vertAlign w:val="subscript"/>
        </w:rPr>
        <w:t>95</w:t>
      </w:r>
      <w:r w:rsidRPr="00F179E4">
        <w:t>) and 90% (PC</w:t>
      </w:r>
      <w:r w:rsidRPr="00363524">
        <w:rPr>
          <w:vertAlign w:val="subscript"/>
        </w:rPr>
        <w:t>90</w:t>
      </w:r>
      <w:r w:rsidRPr="00F179E4">
        <w:t>) or 80% (PC</w:t>
      </w:r>
      <w:r w:rsidRPr="00363524">
        <w:rPr>
          <w:vertAlign w:val="subscript"/>
        </w:rPr>
        <w:t>80</w:t>
      </w:r>
      <w:r w:rsidRPr="00F179E4">
        <w:t>) of species</w:t>
      </w:r>
      <w:r>
        <w:t>,</w:t>
      </w:r>
      <w:r w:rsidRPr="00F179E4">
        <w:t xml:space="preserve"> respectively (</w:t>
      </w:r>
      <w:r>
        <w:t>ANZECC &amp; ARMCANZ 2000</w:t>
      </w:r>
      <w:r w:rsidRPr="00F179E4">
        <w:t>).</w:t>
      </w:r>
    </w:p>
    <w:p w:rsidR="00145F69" w:rsidRDefault="00145F69" w:rsidP="006C2E16"/>
    <w:p w:rsidR="006C2E16" w:rsidRDefault="006C2E16" w:rsidP="006C2E16">
      <w:r>
        <w:t>The EIL derivation methodology was used to derive a series of SQGs for eight contaminants using three different sets of toxicity data and thus providing three different levels of protection (Schedule B5c). For practicable application, the National Environment Protection (Assessment of Site Contamination) Measure (the NEPM) has adopted</w:t>
      </w:r>
      <w:r w:rsidRPr="000F260C">
        <w:t xml:space="preserve"> </w:t>
      </w:r>
      <w:r>
        <w:t>a combination of lowest observed effect concentration (LOEC) and 30% effect concentration data (EC</w:t>
      </w:r>
      <w:r w:rsidRPr="00363524">
        <w:rPr>
          <w:vertAlign w:val="subscript"/>
        </w:rPr>
        <w:t>30</w:t>
      </w:r>
      <w:r>
        <w:t>) for derivation of the EILs</w:t>
      </w:r>
      <w:r>
        <w:rPr>
          <w:rStyle w:val="FootnoteReference"/>
        </w:rPr>
        <w:footnoteReference w:id="1"/>
      </w:r>
      <w:r>
        <w:t xml:space="preserve">. For further information about this toxicity data refer to the Glossary and relevant Section. </w:t>
      </w:r>
    </w:p>
    <w:p w:rsidR="006C2E16" w:rsidRPr="00CA715D" w:rsidRDefault="006C2E16" w:rsidP="001C6BE7">
      <w:pPr>
        <w:pStyle w:val="Heading3"/>
      </w:pPr>
      <w:bookmarkStart w:id="29" w:name="_Toc255359953"/>
      <w:bookmarkStart w:id="30" w:name="_Toc269122441"/>
      <w:bookmarkStart w:id="31" w:name="_Toc351713117"/>
      <w:r>
        <w:t>L</w:t>
      </w:r>
      <w:r w:rsidRPr="00CA715D">
        <w:t>evel</w:t>
      </w:r>
      <w:r>
        <w:t>s</w:t>
      </w:r>
      <w:r w:rsidRPr="00CA715D">
        <w:t xml:space="preserve"> of protection for specific land</w:t>
      </w:r>
      <w:r>
        <w:t xml:space="preserve"> </w:t>
      </w:r>
      <w:r w:rsidRPr="00CA715D">
        <w:t>uses</w:t>
      </w:r>
      <w:bookmarkEnd w:id="29"/>
      <w:bookmarkEnd w:id="30"/>
      <w:bookmarkEnd w:id="31"/>
    </w:p>
    <w:p w:rsidR="006C2E16" w:rsidRPr="00A44194" w:rsidRDefault="006C2E16" w:rsidP="001C6BE7">
      <w:r w:rsidRPr="00A44194">
        <w:t>For all land uses</w:t>
      </w:r>
      <w:r>
        <w:t xml:space="preserve"> (u</w:t>
      </w:r>
      <w:r w:rsidRPr="00A44194">
        <w:t xml:space="preserve">rban </w:t>
      </w:r>
      <w:r>
        <w:t>r</w:t>
      </w:r>
      <w:r w:rsidRPr="00A44194">
        <w:t xml:space="preserve">esidential, </w:t>
      </w:r>
      <w:r>
        <w:t>p</w:t>
      </w:r>
      <w:r w:rsidRPr="00A44194">
        <w:t xml:space="preserve">ublic </w:t>
      </w:r>
      <w:r>
        <w:t>o</w:t>
      </w:r>
      <w:r w:rsidRPr="00A44194">
        <w:t xml:space="preserve">pen </w:t>
      </w:r>
      <w:r>
        <w:t>s</w:t>
      </w:r>
      <w:r w:rsidRPr="00A44194">
        <w:t xml:space="preserve">pace, </w:t>
      </w:r>
      <w:r>
        <w:t>c</w:t>
      </w:r>
      <w:r w:rsidRPr="00A44194">
        <w:t xml:space="preserve">ommercial, </w:t>
      </w:r>
      <w:r>
        <w:t>i</w:t>
      </w:r>
      <w:r w:rsidRPr="00A44194">
        <w:t xml:space="preserve">ndustrial, </w:t>
      </w:r>
      <w:r>
        <w:t>a</w:t>
      </w:r>
      <w:r w:rsidRPr="00A44194">
        <w:t xml:space="preserve">gricultural, </w:t>
      </w:r>
      <w:r>
        <w:t>n</w:t>
      </w:r>
      <w:r w:rsidRPr="00A44194">
        <w:t xml:space="preserve">ational </w:t>
      </w:r>
      <w:r>
        <w:t>p</w:t>
      </w:r>
      <w:r w:rsidRPr="00A44194">
        <w:t>arks/</w:t>
      </w:r>
      <w:r>
        <w:t>a</w:t>
      </w:r>
      <w:r w:rsidRPr="00A44194">
        <w:t xml:space="preserve">reas with </w:t>
      </w:r>
      <w:r>
        <w:t>h</w:t>
      </w:r>
      <w:r w:rsidRPr="00A44194">
        <w:t xml:space="preserve">igh </w:t>
      </w:r>
      <w:r>
        <w:t>e</w:t>
      </w:r>
      <w:r w:rsidRPr="00A44194">
        <w:t xml:space="preserve">cological </w:t>
      </w:r>
      <w:r>
        <w:t>v</w:t>
      </w:r>
      <w:r w:rsidRPr="00A44194">
        <w:t>alue</w:t>
      </w:r>
      <w:r>
        <w:t>),</w:t>
      </w:r>
      <w:r w:rsidRPr="00A44194">
        <w:t xml:space="preserve"> with the exception of agriculture (see paragraph below on agricultural land), the following ecological receptors are relevant:</w:t>
      </w:r>
    </w:p>
    <w:p w:rsidR="006C2E16" w:rsidRDefault="006C2E16" w:rsidP="001C6BE7">
      <w:pPr>
        <w:pStyle w:val="Dot-points"/>
        <w:numPr>
          <w:ilvl w:val="0"/>
          <w:numId w:val="15"/>
        </w:numPr>
      </w:pPr>
      <w:r>
        <w:t>biota supporting ecological processes, including microorganisms and soil invertebrates</w:t>
      </w:r>
    </w:p>
    <w:p w:rsidR="006C2E16" w:rsidRDefault="006C2E16" w:rsidP="001C6BE7">
      <w:pPr>
        <w:pStyle w:val="Dot-points"/>
        <w:numPr>
          <w:ilvl w:val="0"/>
          <w:numId w:val="15"/>
        </w:numPr>
      </w:pPr>
      <w:r>
        <w:t>native flora and fauna</w:t>
      </w:r>
    </w:p>
    <w:p w:rsidR="006C2E16" w:rsidRDefault="006C2E16" w:rsidP="001C6BE7">
      <w:pPr>
        <w:pStyle w:val="Dot-points"/>
        <w:numPr>
          <w:ilvl w:val="0"/>
          <w:numId w:val="15"/>
        </w:numPr>
      </w:pPr>
      <w:r>
        <w:t>introduced flora and fauna</w:t>
      </w:r>
    </w:p>
    <w:p w:rsidR="00145F69" w:rsidRDefault="006C2E16" w:rsidP="001C6BE7">
      <w:pPr>
        <w:pStyle w:val="Dot-points"/>
        <w:numPr>
          <w:ilvl w:val="0"/>
          <w:numId w:val="15"/>
        </w:numPr>
      </w:pPr>
      <w:r>
        <w:t>wildlife, i.e. secondary poisoning in birds and small rodents.</w:t>
      </w:r>
    </w:p>
    <w:p w:rsidR="00875BD5" w:rsidRDefault="00875BD5" w:rsidP="006C2E16"/>
    <w:p w:rsidR="006C2E16" w:rsidRDefault="006C2E16" w:rsidP="006C2E16">
      <w:r>
        <w:lastRenderedPageBreak/>
        <w:t>Henceforth, the above list of protected organisms will be referred to as ‘species and soil microbial processes’.</w:t>
      </w:r>
    </w:p>
    <w:p w:rsidR="00145F69" w:rsidRDefault="00145F69" w:rsidP="006C2E16"/>
    <w:p w:rsidR="006C2E16" w:rsidRDefault="006C2E16" w:rsidP="006C2E16">
      <w:r>
        <w:t>The level of protection provided varies depending on the land use and whether the contaminant in question biomagnifies. Different levels of protection are aimed at protecting certain percentages of species and soil microbial processes</w:t>
      </w:r>
      <w:r>
        <w:rPr>
          <w:rStyle w:val="FootnoteReference"/>
        </w:rPr>
        <w:footnoteReference w:id="2"/>
      </w:r>
      <w:r>
        <w:t xml:space="preserve">. </w:t>
      </w:r>
      <w:r w:rsidRPr="00224F0E">
        <w:t>The percentage</w:t>
      </w:r>
      <w:r>
        <w:t>s</w:t>
      </w:r>
      <w:r w:rsidRPr="00224F0E">
        <w:t xml:space="preserve"> of species </w:t>
      </w:r>
      <w:r>
        <w:t xml:space="preserve">to be protected </w:t>
      </w:r>
      <w:r w:rsidRPr="00224F0E">
        <w:t xml:space="preserve">will apply to the land uses irrespective of the purpose of the </w:t>
      </w:r>
      <w:r>
        <w:t>SQG. I</w:t>
      </w:r>
      <w:r w:rsidRPr="00224F0E">
        <w:t xml:space="preserve">f a protection level is set at 80%, then </w:t>
      </w:r>
      <w:r>
        <w:t xml:space="preserve">theoretically </w:t>
      </w:r>
      <w:r w:rsidRPr="00224F0E">
        <w:t>20% of the species and soil processes are at risk of experiencing adverse effects.</w:t>
      </w:r>
    </w:p>
    <w:p w:rsidR="00145F69" w:rsidRDefault="00145F69" w:rsidP="006C2E16"/>
    <w:p w:rsidR="006C2E16" w:rsidRDefault="006C2E16" w:rsidP="006C2E16">
      <w:r w:rsidRPr="00224F0E">
        <w:t>The toxic effects that th</w:t>
      </w:r>
      <w:r>
        <w:t>is</w:t>
      </w:r>
      <w:r w:rsidRPr="00224F0E">
        <w:t xml:space="preserve"> 20% of species/soil processes may experience will vary depending on the type of toxicity data that was used to derive the </w:t>
      </w:r>
      <w:r>
        <w:t xml:space="preserve">SQG. </w:t>
      </w:r>
      <w:r w:rsidRPr="00224F0E">
        <w:t xml:space="preserve">For example, </w:t>
      </w:r>
      <w:r>
        <w:t>for SQG</w:t>
      </w:r>
      <w:r w:rsidRPr="00224F0E">
        <w:t>s derived using NOEC</w:t>
      </w:r>
      <w:r>
        <w:t xml:space="preserve"> (no observed effect concentration)</w:t>
      </w:r>
      <w:r w:rsidRPr="00224F0E">
        <w:t xml:space="preserve"> or EC</w:t>
      </w:r>
      <w:r w:rsidRPr="00363524">
        <w:rPr>
          <w:vertAlign w:val="subscript"/>
        </w:rPr>
        <w:t>10</w:t>
      </w:r>
      <w:r w:rsidRPr="00224F0E">
        <w:t xml:space="preserve"> data</w:t>
      </w:r>
      <w:r>
        <w:t xml:space="preserve">, </w:t>
      </w:r>
      <w:r w:rsidRPr="00224F0E">
        <w:t>the potentially affected 20% of species/soil processes would experience toxic effects that were not significantly different to the controls or up to a 10% effect respectively</w:t>
      </w:r>
      <w:r>
        <w:t xml:space="preserve">. </w:t>
      </w:r>
      <w:r w:rsidRPr="00224F0E">
        <w:t xml:space="preserve">For </w:t>
      </w:r>
      <w:r>
        <w:t>SQG</w:t>
      </w:r>
      <w:r w:rsidRPr="00224F0E">
        <w:t>s based on EC</w:t>
      </w:r>
      <w:r w:rsidRPr="00363524">
        <w:rPr>
          <w:vertAlign w:val="subscript"/>
        </w:rPr>
        <w:t>50</w:t>
      </w:r>
      <w:r w:rsidRPr="00224F0E">
        <w:t xml:space="preserve"> data</w:t>
      </w:r>
      <w:r>
        <w:t xml:space="preserve">, </w:t>
      </w:r>
      <w:r w:rsidRPr="00224F0E">
        <w:t>the potentially affected 20% of species/processes could experience a 50% effect.</w:t>
      </w:r>
    </w:p>
    <w:p w:rsidR="00145F69" w:rsidRDefault="00145F69" w:rsidP="006C2E16"/>
    <w:p w:rsidR="006C2E16" w:rsidRDefault="006C2E16" w:rsidP="006C2E16">
      <w:r>
        <w:t xml:space="preserve">Biomagnification and the corresponding levels of protection should be </w:t>
      </w:r>
      <w:r w:rsidRPr="00C243C9">
        <w:t>enacted only when</w:t>
      </w:r>
      <w:r>
        <w:t>:</w:t>
      </w:r>
    </w:p>
    <w:p w:rsidR="006C2E16" w:rsidRDefault="006C2E16" w:rsidP="001C6BE7">
      <w:pPr>
        <w:pStyle w:val="Dot-points"/>
        <w:numPr>
          <w:ilvl w:val="0"/>
          <w:numId w:val="16"/>
        </w:numPr>
      </w:pPr>
      <w:r w:rsidRPr="00C243C9">
        <w:t>the contaminant meets the criteria for biomagnification</w:t>
      </w:r>
    </w:p>
    <w:p w:rsidR="006C2E16" w:rsidRDefault="006C2E16" w:rsidP="001C6BE7">
      <w:pPr>
        <w:pStyle w:val="Dot-points"/>
        <w:numPr>
          <w:ilvl w:val="0"/>
          <w:numId w:val="16"/>
        </w:numPr>
      </w:pPr>
      <w:r w:rsidRPr="00C243C9">
        <w:t>the surface</w:t>
      </w:r>
      <w:r>
        <w:t xml:space="preserve"> area of the contaminated land exceeds a certain minimum surface area. The minimum surface area for urban residential/public open space is 250 m</w:t>
      </w:r>
      <w:r>
        <w:rPr>
          <w:vertAlign w:val="superscript"/>
        </w:rPr>
        <w:t>2</w:t>
      </w:r>
      <w:r>
        <w:t xml:space="preserve"> and the minimum surface area for commercial, industrial and agricultural land is 1,000 m</w:t>
      </w:r>
      <w:r>
        <w:rPr>
          <w:vertAlign w:val="superscript"/>
        </w:rPr>
        <w:t>2</w:t>
      </w:r>
      <w:r>
        <w:t xml:space="preserve">. </w:t>
      </w:r>
    </w:p>
    <w:p w:rsidR="00145F69" w:rsidRDefault="00145F69" w:rsidP="001C6BE7"/>
    <w:p w:rsidR="006C2E16" w:rsidRDefault="006C2E16" w:rsidP="006C2E16">
      <w:r>
        <w:t>A summary of the percentages of species and soil microbial processes to be protected in soil with different land uses is given in Table 1 below.</w:t>
      </w:r>
    </w:p>
    <w:p w:rsidR="006C2E16" w:rsidRPr="00394BE0" w:rsidRDefault="006C2E16" w:rsidP="006C2E16">
      <w:pPr>
        <w:pStyle w:val="Caption"/>
      </w:pPr>
      <w:r>
        <w:t>T</w:t>
      </w:r>
      <w:r w:rsidRPr="00394BE0">
        <w:t xml:space="preserve">able 1. Percentage of species and soil processes to be protected for different land uses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2617"/>
        <w:gridCol w:w="2841"/>
      </w:tblGrid>
      <w:tr w:rsidR="006C2E16" w:rsidRPr="00BA6352" w:rsidTr="00A10D4B">
        <w:trPr>
          <w:jc w:val="center"/>
        </w:trPr>
        <w:tc>
          <w:tcPr>
            <w:tcW w:w="3475" w:type="dxa"/>
            <w:shd w:val="clear" w:color="auto" w:fill="C6D9F1" w:themeFill="text2" w:themeFillTint="33"/>
          </w:tcPr>
          <w:p w:rsidR="006C2E16" w:rsidRPr="00BA6352" w:rsidRDefault="006C2E16" w:rsidP="00A10D4B">
            <w:pPr>
              <w:jc w:val="center"/>
              <w:rPr>
                <w:b/>
                <w:bCs/>
                <w:szCs w:val="22"/>
              </w:rPr>
            </w:pPr>
            <w:r w:rsidRPr="00BA6352">
              <w:rPr>
                <w:b/>
                <w:bCs/>
                <w:szCs w:val="22"/>
              </w:rPr>
              <w:t>Land use</w:t>
            </w:r>
          </w:p>
        </w:tc>
        <w:tc>
          <w:tcPr>
            <w:tcW w:w="2617" w:type="dxa"/>
            <w:shd w:val="clear" w:color="auto" w:fill="C6D9F1" w:themeFill="text2" w:themeFillTint="33"/>
          </w:tcPr>
          <w:p w:rsidR="006C2E16" w:rsidRPr="00BA6352" w:rsidRDefault="006C2E16" w:rsidP="00A10D4B">
            <w:pPr>
              <w:jc w:val="center"/>
              <w:rPr>
                <w:b/>
                <w:bCs/>
                <w:szCs w:val="22"/>
              </w:rPr>
            </w:pPr>
            <w:r w:rsidRPr="00BA6352">
              <w:rPr>
                <w:b/>
                <w:bCs/>
                <w:szCs w:val="22"/>
              </w:rPr>
              <w:t>Standard % protection</w:t>
            </w:r>
          </w:p>
        </w:tc>
        <w:tc>
          <w:tcPr>
            <w:tcW w:w="2841" w:type="dxa"/>
            <w:shd w:val="clear" w:color="auto" w:fill="C6D9F1" w:themeFill="text2" w:themeFillTint="33"/>
          </w:tcPr>
          <w:p w:rsidR="006C2E16" w:rsidRPr="00BA6352" w:rsidRDefault="006C2E16" w:rsidP="00A10D4B">
            <w:pPr>
              <w:jc w:val="center"/>
              <w:rPr>
                <w:b/>
                <w:bCs/>
                <w:szCs w:val="22"/>
              </w:rPr>
            </w:pPr>
            <w:r w:rsidRPr="00BA6352">
              <w:rPr>
                <w:b/>
                <w:bCs/>
                <w:szCs w:val="22"/>
              </w:rPr>
              <w:t>Biomagnification</w:t>
            </w:r>
            <w:r w:rsidRPr="00BA6352">
              <w:rPr>
                <w:b/>
                <w:bCs/>
                <w:szCs w:val="22"/>
                <w:vertAlign w:val="superscript"/>
              </w:rPr>
              <w:t>a</w:t>
            </w:r>
            <w:r w:rsidRPr="00BA6352">
              <w:rPr>
                <w:b/>
                <w:bCs/>
                <w:szCs w:val="22"/>
              </w:rPr>
              <w:t xml:space="preserve"> % protection</w:t>
            </w:r>
          </w:p>
        </w:tc>
      </w:tr>
      <w:tr w:rsidR="006C2E16" w:rsidRPr="00BA6352" w:rsidTr="00A10D4B">
        <w:trPr>
          <w:trHeight w:hRule="exact" w:val="397"/>
          <w:jc w:val="center"/>
        </w:trPr>
        <w:tc>
          <w:tcPr>
            <w:tcW w:w="3475" w:type="dxa"/>
          </w:tcPr>
          <w:p w:rsidR="006C2E16" w:rsidRPr="00BA6352" w:rsidRDefault="006C2E16" w:rsidP="00A10D4B">
            <w:pPr>
              <w:rPr>
                <w:szCs w:val="22"/>
              </w:rPr>
            </w:pPr>
            <w:r w:rsidRPr="00BA6352">
              <w:rPr>
                <w:szCs w:val="22"/>
              </w:rPr>
              <w:t>Urban residential</w:t>
            </w:r>
          </w:p>
        </w:tc>
        <w:tc>
          <w:tcPr>
            <w:tcW w:w="2617" w:type="dxa"/>
          </w:tcPr>
          <w:p w:rsidR="006C2E16" w:rsidRPr="00BA6352" w:rsidRDefault="006C2E16" w:rsidP="00A10D4B">
            <w:pPr>
              <w:tabs>
                <w:tab w:val="decimal" w:pos="198"/>
              </w:tabs>
              <w:jc w:val="center"/>
              <w:rPr>
                <w:szCs w:val="22"/>
              </w:rPr>
            </w:pPr>
            <w:r w:rsidRPr="00BA6352">
              <w:rPr>
                <w:szCs w:val="22"/>
              </w:rPr>
              <w:t>80</w:t>
            </w:r>
          </w:p>
        </w:tc>
        <w:tc>
          <w:tcPr>
            <w:tcW w:w="2841" w:type="dxa"/>
          </w:tcPr>
          <w:p w:rsidR="006C2E16" w:rsidRPr="00BA6352" w:rsidRDefault="006C2E16" w:rsidP="00A10D4B">
            <w:pPr>
              <w:tabs>
                <w:tab w:val="decimal" w:pos="237"/>
              </w:tabs>
              <w:jc w:val="center"/>
              <w:rPr>
                <w:szCs w:val="22"/>
              </w:rPr>
            </w:pPr>
            <w:r w:rsidRPr="00BA6352">
              <w:rPr>
                <w:szCs w:val="22"/>
              </w:rPr>
              <w:t>85</w:t>
            </w:r>
            <w:r w:rsidRPr="00BA6352">
              <w:rPr>
                <w:szCs w:val="22"/>
                <w:vertAlign w:val="superscript"/>
              </w:rPr>
              <w:t>b</w:t>
            </w:r>
          </w:p>
        </w:tc>
      </w:tr>
      <w:tr w:rsidR="006C2E16" w:rsidRPr="00BA6352" w:rsidTr="00A10D4B">
        <w:trPr>
          <w:trHeight w:hRule="exact" w:val="397"/>
          <w:jc w:val="center"/>
        </w:trPr>
        <w:tc>
          <w:tcPr>
            <w:tcW w:w="3475" w:type="dxa"/>
          </w:tcPr>
          <w:p w:rsidR="006C2E16" w:rsidRPr="00BA6352" w:rsidRDefault="006C2E16" w:rsidP="00A10D4B">
            <w:pPr>
              <w:rPr>
                <w:szCs w:val="22"/>
              </w:rPr>
            </w:pPr>
            <w:r w:rsidRPr="00BA6352">
              <w:rPr>
                <w:szCs w:val="22"/>
              </w:rPr>
              <w:t>Public open space</w:t>
            </w:r>
          </w:p>
        </w:tc>
        <w:tc>
          <w:tcPr>
            <w:tcW w:w="2617" w:type="dxa"/>
          </w:tcPr>
          <w:p w:rsidR="006C2E16" w:rsidRPr="00BA6352" w:rsidRDefault="006C2E16" w:rsidP="00A10D4B">
            <w:pPr>
              <w:tabs>
                <w:tab w:val="decimal" w:pos="198"/>
              </w:tabs>
              <w:jc w:val="center"/>
              <w:rPr>
                <w:szCs w:val="22"/>
              </w:rPr>
            </w:pPr>
            <w:r w:rsidRPr="00BA6352">
              <w:rPr>
                <w:szCs w:val="22"/>
              </w:rPr>
              <w:t>80</w:t>
            </w:r>
          </w:p>
        </w:tc>
        <w:tc>
          <w:tcPr>
            <w:tcW w:w="2841" w:type="dxa"/>
          </w:tcPr>
          <w:p w:rsidR="006C2E16" w:rsidRPr="00BA6352" w:rsidRDefault="006C2E16" w:rsidP="00A10D4B">
            <w:pPr>
              <w:tabs>
                <w:tab w:val="decimal" w:pos="237"/>
              </w:tabs>
              <w:jc w:val="center"/>
              <w:rPr>
                <w:szCs w:val="22"/>
              </w:rPr>
            </w:pPr>
            <w:r w:rsidRPr="00BA6352">
              <w:rPr>
                <w:szCs w:val="22"/>
              </w:rPr>
              <w:t>85</w:t>
            </w:r>
            <w:r w:rsidRPr="00BA6352">
              <w:rPr>
                <w:szCs w:val="22"/>
                <w:vertAlign w:val="superscript"/>
              </w:rPr>
              <w:t>b</w:t>
            </w:r>
          </w:p>
        </w:tc>
      </w:tr>
      <w:tr w:rsidR="006C2E16" w:rsidRPr="00BA6352" w:rsidTr="00A10D4B">
        <w:trPr>
          <w:trHeight w:hRule="exact" w:val="397"/>
          <w:jc w:val="center"/>
        </w:trPr>
        <w:tc>
          <w:tcPr>
            <w:tcW w:w="3475" w:type="dxa"/>
          </w:tcPr>
          <w:p w:rsidR="006C2E16" w:rsidRPr="00BA6352" w:rsidRDefault="006C2E16" w:rsidP="00A10D4B">
            <w:pPr>
              <w:rPr>
                <w:szCs w:val="22"/>
              </w:rPr>
            </w:pPr>
            <w:r w:rsidRPr="00BA6352">
              <w:rPr>
                <w:szCs w:val="22"/>
              </w:rPr>
              <w:t>Commercial</w:t>
            </w:r>
          </w:p>
        </w:tc>
        <w:tc>
          <w:tcPr>
            <w:tcW w:w="2617" w:type="dxa"/>
          </w:tcPr>
          <w:p w:rsidR="006C2E16" w:rsidRPr="00BA6352" w:rsidRDefault="006C2E16" w:rsidP="00A10D4B">
            <w:pPr>
              <w:tabs>
                <w:tab w:val="decimal" w:pos="198"/>
              </w:tabs>
              <w:jc w:val="center"/>
              <w:rPr>
                <w:szCs w:val="22"/>
              </w:rPr>
            </w:pPr>
            <w:r w:rsidRPr="00BA6352">
              <w:rPr>
                <w:szCs w:val="22"/>
              </w:rPr>
              <w:t>60</w:t>
            </w:r>
          </w:p>
        </w:tc>
        <w:tc>
          <w:tcPr>
            <w:tcW w:w="2841" w:type="dxa"/>
          </w:tcPr>
          <w:p w:rsidR="006C2E16" w:rsidRPr="00BA6352" w:rsidRDefault="006C2E16" w:rsidP="00A10D4B">
            <w:pPr>
              <w:tabs>
                <w:tab w:val="decimal" w:pos="237"/>
              </w:tabs>
              <w:jc w:val="center"/>
              <w:rPr>
                <w:szCs w:val="22"/>
              </w:rPr>
            </w:pPr>
            <w:r w:rsidRPr="00BA6352">
              <w:rPr>
                <w:szCs w:val="22"/>
              </w:rPr>
              <w:t>65</w:t>
            </w:r>
            <w:r w:rsidRPr="00BA6352">
              <w:rPr>
                <w:szCs w:val="22"/>
                <w:vertAlign w:val="superscript"/>
              </w:rPr>
              <w:t>c</w:t>
            </w:r>
          </w:p>
        </w:tc>
      </w:tr>
      <w:tr w:rsidR="006C2E16" w:rsidRPr="00BA6352" w:rsidTr="00A10D4B">
        <w:trPr>
          <w:trHeight w:hRule="exact" w:val="397"/>
          <w:jc w:val="center"/>
        </w:trPr>
        <w:tc>
          <w:tcPr>
            <w:tcW w:w="3475" w:type="dxa"/>
          </w:tcPr>
          <w:p w:rsidR="006C2E16" w:rsidRPr="00BA6352" w:rsidRDefault="006C2E16" w:rsidP="00A10D4B">
            <w:pPr>
              <w:rPr>
                <w:szCs w:val="22"/>
              </w:rPr>
            </w:pPr>
            <w:r w:rsidRPr="00BA6352">
              <w:rPr>
                <w:szCs w:val="22"/>
              </w:rPr>
              <w:t>Industrial</w:t>
            </w:r>
          </w:p>
        </w:tc>
        <w:tc>
          <w:tcPr>
            <w:tcW w:w="2617" w:type="dxa"/>
          </w:tcPr>
          <w:p w:rsidR="006C2E16" w:rsidRPr="00BA6352" w:rsidRDefault="006C2E16" w:rsidP="00A10D4B">
            <w:pPr>
              <w:tabs>
                <w:tab w:val="decimal" w:pos="198"/>
              </w:tabs>
              <w:jc w:val="center"/>
              <w:rPr>
                <w:szCs w:val="22"/>
              </w:rPr>
            </w:pPr>
            <w:r w:rsidRPr="00BA6352">
              <w:rPr>
                <w:szCs w:val="22"/>
              </w:rPr>
              <w:t>60</w:t>
            </w:r>
          </w:p>
        </w:tc>
        <w:tc>
          <w:tcPr>
            <w:tcW w:w="2841" w:type="dxa"/>
          </w:tcPr>
          <w:p w:rsidR="006C2E16" w:rsidRPr="00BA6352" w:rsidRDefault="006C2E16" w:rsidP="00A10D4B">
            <w:pPr>
              <w:tabs>
                <w:tab w:val="decimal" w:pos="237"/>
              </w:tabs>
              <w:jc w:val="center"/>
              <w:rPr>
                <w:szCs w:val="22"/>
              </w:rPr>
            </w:pPr>
            <w:r w:rsidRPr="00BA6352">
              <w:rPr>
                <w:szCs w:val="22"/>
              </w:rPr>
              <w:t>65</w:t>
            </w:r>
            <w:r w:rsidRPr="00BA6352">
              <w:rPr>
                <w:szCs w:val="22"/>
                <w:vertAlign w:val="superscript"/>
              </w:rPr>
              <w:t>c</w:t>
            </w:r>
          </w:p>
        </w:tc>
      </w:tr>
      <w:tr w:rsidR="006C2E16" w:rsidRPr="00BA6352" w:rsidTr="00A10D4B">
        <w:trPr>
          <w:trHeight w:hRule="exact" w:val="397"/>
          <w:jc w:val="center"/>
        </w:trPr>
        <w:tc>
          <w:tcPr>
            <w:tcW w:w="3475" w:type="dxa"/>
          </w:tcPr>
          <w:p w:rsidR="006C2E16" w:rsidRPr="00BA6352" w:rsidRDefault="006C2E16" w:rsidP="00A10D4B">
            <w:pPr>
              <w:rPr>
                <w:szCs w:val="22"/>
              </w:rPr>
            </w:pPr>
            <w:r w:rsidRPr="00BA6352">
              <w:rPr>
                <w:szCs w:val="22"/>
              </w:rPr>
              <w:t>Agricultural</w:t>
            </w:r>
          </w:p>
        </w:tc>
        <w:tc>
          <w:tcPr>
            <w:tcW w:w="2617" w:type="dxa"/>
          </w:tcPr>
          <w:p w:rsidR="006C2E16" w:rsidRPr="00BA6352" w:rsidRDefault="006C2E16" w:rsidP="00A10D4B">
            <w:pPr>
              <w:tabs>
                <w:tab w:val="decimal" w:pos="198"/>
              </w:tabs>
              <w:jc w:val="center"/>
              <w:rPr>
                <w:szCs w:val="22"/>
                <w:vertAlign w:val="superscript"/>
              </w:rPr>
            </w:pPr>
            <w:r w:rsidRPr="00BA6352">
              <w:rPr>
                <w:szCs w:val="22"/>
              </w:rPr>
              <w:t>95</w:t>
            </w:r>
            <w:r w:rsidRPr="00BA6352">
              <w:rPr>
                <w:szCs w:val="22"/>
                <w:vertAlign w:val="superscript"/>
              </w:rPr>
              <w:t>d</w:t>
            </w:r>
            <w:r w:rsidRPr="00BA6352">
              <w:rPr>
                <w:szCs w:val="22"/>
              </w:rPr>
              <w:t xml:space="preserve"> and 80</w:t>
            </w:r>
            <w:r w:rsidRPr="00BA6352">
              <w:rPr>
                <w:szCs w:val="22"/>
                <w:vertAlign w:val="superscript"/>
              </w:rPr>
              <w:t>e</w:t>
            </w:r>
          </w:p>
        </w:tc>
        <w:tc>
          <w:tcPr>
            <w:tcW w:w="2841" w:type="dxa"/>
          </w:tcPr>
          <w:p w:rsidR="006C2E16" w:rsidRPr="00BA6352" w:rsidRDefault="006C2E16" w:rsidP="00A10D4B">
            <w:pPr>
              <w:tabs>
                <w:tab w:val="decimal" w:pos="237"/>
              </w:tabs>
              <w:jc w:val="center"/>
              <w:rPr>
                <w:szCs w:val="22"/>
                <w:vertAlign w:val="superscript"/>
              </w:rPr>
            </w:pPr>
            <w:r w:rsidRPr="00BA6352">
              <w:rPr>
                <w:szCs w:val="22"/>
              </w:rPr>
              <w:t>98</w:t>
            </w:r>
            <w:r w:rsidRPr="00BA6352">
              <w:rPr>
                <w:szCs w:val="22"/>
                <w:vertAlign w:val="superscript"/>
              </w:rPr>
              <w:t>c,d</w:t>
            </w:r>
            <w:r w:rsidRPr="00BA6352">
              <w:rPr>
                <w:szCs w:val="22"/>
              </w:rPr>
              <w:t xml:space="preserve"> and 85</w:t>
            </w:r>
            <w:r w:rsidRPr="00BA6352">
              <w:rPr>
                <w:szCs w:val="22"/>
                <w:vertAlign w:val="superscript"/>
              </w:rPr>
              <w:t>c,e</w:t>
            </w:r>
          </w:p>
        </w:tc>
      </w:tr>
      <w:tr w:rsidR="006C2E16" w:rsidRPr="00BA6352" w:rsidTr="00A10D4B">
        <w:trPr>
          <w:trHeight w:hRule="exact" w:val="397"/>
          <w:jc w:val="center"/>
        </w:trPr>
        <w:tc>
          <w:tcPr>
            <w:tcW w:w="3475" w:type="dxa"/>
          </w:tcPr>
          <w:p w:rsidR="006C2E16" w:rsidRPr="00BA6352" w:rsidRDefault="006C2E16" w:rsidP="00A10D4B">
            <w:pPr>
              <w:rPr>
                <w:szCs w:val="22"/>
              </w:rPr>
            </w:pPr>
            <w:r w:rsidRPr="00BA6352">
              <w:rPr>
                <w:szCs w:val="22"/>
              </w:rPr>
              <w:t>Areas of ecological significance</w:t>
            </w:r>
          </w:p>
        </w:tc>
        <w:tc>
          <w:tcPr>
            <w:tcW w:w="2617" w:type="dxa"/>
          </w:tcPr>
          <w:p w:rsidR="006C2E16" w:rsidRPr="00BA6352" w:rsidRDefault="006C2E16" w:rsidP="00A10D4B">
            <w:pPr>
              <w:tabs>
                <w:tab w:val="decimal" w:pos="198"/>
              </w:tabs>
              <w:jc w:val="center"/>
              <w:rPr>
                <w:szCs w:val="22"/>
              </w:rPr>
            </w:pPr>
            <w:r w:rsidRPr="00BA6352">
              <w:rPr>
                <w:szCs w:val="22"/>
              </w:rPr>
              <w:t>99</w:t>
            </w:r>
          </w:p>
        </w:tc>
        <w:tc>
          <w:tcPr>
            <w:tcW w:w="2841" w:type="dxa"/>
          </w:tcPr>
          <w:p w:rsidR="006C2E16" w:rsidRPr="00BA6352" w:rsidRDefault="006C2E16" w:rsidP="00A10D4B">
            <w:pPr>
              <w:tabs>
                <w:tab w:val="decimal" w:pos="237"/>
              </w:tabs>
              <w:jc w:val="center"/>
              <w:rPr>
                <w:szCs w:val="22"/>
              </w:rPr>
            </w:pPr>
            <w:r w:rsidRPr="00BA6352">
              <w:rPr>
                <w:szCs w:val="22"/>
              </w:rPr>
              <w:t>99</w:t>
            </w:r>
          </w:p>
        </w:tc>
      </w:tr>
    </w:tbl>
    <w:p w:rsidR="006C2E16" w:rsidRDefault="006C2E16" w:rsidP="006C2E16">
      <w:pPr>
        <w:rPr>
          <w:sz w:val="18"/>
          <w:szCs w:val="18"/>
        </w:rPr>
      </w:pPr>
      <w:r>
        <w:rPr>
          <w:sz w:val="18"/>
          <w:szCs w:val="18"/>
          <w:vertAlign w:val="superscript"/>
        </w:rPr>
        <w:t>a</w:t>
      </w:r>
      <w:r>
        <w:rPr>
          <w:sz w:val="18"/>
          <w:szCs w:val="18"/>
        </w:rPr>
        <w:t xml:space="preserve"> </w:t>
      </w:r>
      <w:r w:rsidRPr="005F52FB">
        <w:rPr>
          <w:sz w:val="18"/>
          <w:szCs w:val="18"/>
        </w:rPr>
        <w:t>if a contaminant meets the criteria for biomagnification,</w:t>
      </w:r>
      <w:r>
        <w:rPr>
          <w:sz w:val="20"/>
        </w:rPr>
        <w:t xml:space="preserve"> </w:t>
      </w:r>
      <w:r w:rsidRPr="00605F92">
        <w:rPr>
          <w:sz w:val="18"/>
          <w:szCs w:val="18"/>
          <w:vertAlign w:val="superscript"/>
        </w:rPr>
        <w:t>b</w:t>
      </w:r>
      <w:r w:rsidRPr="00650DF9">
        <w:rPr>
          <w:sz w:val="18"/>
          <w:szCs w:val="18"/>
        </w:rPr>
        <w:t xml:space="preserve"> if surface are</w:t>
      </w:r>
      <w:r>
        <w:rPr>
          <w:sz w:val="18"/>
          <w:szCs w:val="18"/>
        </w:rPr>
        <w:t>a</w:t>
      </w:r>
      <w:r w:rsidRPr="00650DF9">
        <w:rPr>
          <w:sz w:val="18"/>
          <w:szCs w:val="18"/>
        </w:rPr>
        <w:t xml:space="preserve"> </w:t>
      </w:r>
      <w:r>
        <w:rPr>
          <w:sz w:val="18"/>
          <w:szCs w:val="18"/>
        </w:rPr>
        <w:t>exceeds</w:t>
      </w:r>
      <w:r w:rsidRPr="00650DF9">
        <w:rPr>
          <w:sz w:val="18"/>
          <w:szCs w:val="18"/>
        </w:rPr>
        <w:t xml:space="preserve"> 250 m</w:t>
      </w:r>
      <w:r w:rsidRPr="00650DF9">
        <w:rPr>
          <w:sz w:val="18"/>
          <w:szCs w:val="18"/>
          <w:vertAlign w:val="superscript"/>
        </w:rPr>
        <w:t>2</w:t>
      </w:r>
      <w:r>
        <w:rPr>
          <w:sz w:val="18"/>
          <w:szCs w:val="18"/>
        </w:rPr>
        <w:t>,</w:t>
      </w:r>
      <w:r w:rsidRPr="00650DF9">
        <w:rPr>
          <w:sz w:val="18"/>
          <w:szCs w:val="18"/>
        </w:rPr>
        <w:t xml:space="preserve"> </w:t>
      </w:r>
      <w:r>
        <w:rPr>
          <w:sz w:val="18"/>
          <w:szCs w:val="18"/>
          <w:vertAlign w:val="superscript"/>
        </w:rPr>
        <w:t>c</w:t>
      </w:r>
      <w:r w:rsidRPr="00650DF9">
        <w:rPr>
          <w:sz w:val="18"/>
          <w:szCs w:val="18"/>
          <w:vertAlign w:val="superscript"/>
        </w:rPr>
        <w:t xml:space="preserve"> </w:t>
      </w:r>
      <w:r w:rsidRPr="00650DF9">
        <w:rPr>
          <w:sz w:val="18"/>
          <w:szCs w:val="18"/>
        </w:rPr>
        <w:t>if surface area exceeds 1</w:t>
      </w:r>
      <w:r>
        <w:rPr>
          <w:sz w:val="18"/>
          <w:szCs w:val="18"/>
        </w:rPr>
        <w:t>,</w:t>
      </w:r>
      <w:r w:rsidRPr="00650DF9">
        <w:rPr>
          <w:sz w:val="18"/>
          <w:szCs w:val="18"/>
        </w:rPr>
        <w:t>000 m</w:t>
      </w:r>
      <w:r w:rsidRPr="00650DF9">
        <w:rPr>
          <w:sz w:val="18"/>
          <w:szCs w:val="18"/>
          <w:vertAlign w:val="superscript"/>
        </w:rPr>
        <w:t>2</w:t>
      </w:r>
      <w:r w:rsidRPr="00650DF9">
        <w:rPr>
          <w:sz w:val="18"/>
          <w:szCs w:val="18"/>
        </w:rPr>
        <w:t xml:space="preserve">, </w:t>
      </w:r>
      <w:r>
        <w:rPr>
          <w:sz w:val="18"/>
          <w:szCs w:val="18"/>
          <w:vertAlign w:val="superscript"/>
        </w:rPr>
        <w:t>d</w:t>
      </w:r>
      <w:r w:rsidRPr="00650DF9">
        <w:rPr>
          <w:sz w:val="18"/>
          <w:szCs w:val="18"/>
        </w:rPr>
        <w:t xml:space="preserve"> agricultural crops</w:t>
      </w:r>
      <w:r>
        <w:rPr>
          <w:sz w:val="18"/>
          <w:szCs w:val="18"/>
        </w:rPr>
        <w:t>,</w:t>
      </w:r>
      <w:r w:rsidRPr="00650DF9">
        <w:rPr>
          <w:sz w:val="18"/>
          <w:szCs w:val="18"/>
        </w:rPr>
        <w:t xml:space="preserve"> </w:t>
      </w:r>
      <w:r>
        <w:rPr>
          <w:sz w:val="18"/>
          <w:szCs w:val="18"/>
          <w:vertAlign w:val="superscript"/>
        </w:rPr>
        <w:t>e</w:t>
      </w:r>
      <w:r w:rsidRPr="00650DF9">
        <w:rPr>
          <w:sz w:val="18"/>
          <w:szCs w:val="18"/>
        </w:rPr>
        <w:t xml:space="preserve"> for soil processes and terrestrial fauna</w:t>
      </w:r>
      <w:r>
        <w:rPr>
          <w:sz w:val="18"/>
          <w:szCs w:val="18"/>
        </w:rPr>
        <w:t>.</w:t>
      </w:r>
    </w:p>
    <w:p w:rsidR="006C2E16" w:rsidRPr="00901803" w:rsidRDefault="006C2E16" w:rsidP="006C2E16">
      <w:r w:rsidRPr="00901803">
        <w:t>The level of protection for some of the land uses are the same</w:t>
      </w:r>
      <w:r>
        <w:t xml:space="preserve">. </w:t>
      </w:r>
      <w:r w:rsidRPr="00901803">
        <w:t>Therefore, some of the land uses have been combined</w:t>
      </w:r>
      <w:r>
        <w:t>. Thus, in essence, there are only four different land uses: 1) national park/area with high ecological value, 2) urban residential/public open space, 3) commercial/industrial, and 4) agricultural. The NEPM focuses on the first three groups.</w:t>
      </w:r>
    </w:p>
    <w:p w:rsidR="006C2E16" w:rsidRPr="006D001F" w:rsidRDefault="006C2E16" w:rsidP="006C2E16">
      <w:pPr>
        <w:pStyle w:val="Heading4"/>
      </w:pPr>
      <w:bookmarkStart w:id="32" w:name="_Toc255359954"/>
      <w:bookmarkStart w:id="33" w:name="_Toc351713118"/>
      <w:r w:rsidRPr="006D001F">
        <w:t>Na</w:t>
      </w:r>
      <w:r>
        <w:t>tional parks and areas with high ecological value</w:t>
      </w:r>
      <w:bookmarkEnd w:id="32"/>
      <w:bookmarkEnd w:id="33"/>
      <w:r>
        <w:t xml:space="preserve"> </w:t>
      </w:r>
    </w:p>
    <w:p w:rsidR="006C2E16" w:rsidRPr="00A27A41" w:rsidRDefault="006C2E16" w:rsidP="006C2E16">
      <w:r w:rsidRPr="00A27A41">
        <w:t>Nat</w:t>
      </w:r>
      <w:r>
        <w:t>ional parks</w:t>
      </w:r>
      <w:r w:rsidRPr="00A27A41">
        <w:t xml:space="preserve"> </w:t>
      </w:r>
      <w:r>
        <w:t xml:space="preserve">and areas with high ecological value </w:t>
      </w:r>
      <w:r w:rsidRPr="00A27A41">
        <w:t>are near</w:t>
      </w:r>
      <w:r>
        <w:t>-</w:t>
      </w:r>
      <w:r w:rsidRPr="00A27A41">
        <w:t>pristine ecosystems and should remain in that condition</w:t>
      </w:r>
      <w:r>
        <w:t>. A</w:t>
      </w:r>
      <w:r w:rsidRPr="00A27A41">
        <w:t xml:space="preserve">s </w:t>
      </w:r>
      <w:r>
        <w:t xml:space="preserve">far </w:t>
      </w:r>
      <w:r w:rsidRPr="00A27A41">
        <w:t>as possible</w:t>
      </w:r>
      <w:r>
        <w:t>,</w:t>
      </w:r>
      <w:r w:rsidRPr="00A27A41">
        <w:t xml:space="preserve"> </w:t>
      </w:r>
      <w:r>
        <w:t>i</w:t>
      </w:r>
      <w:r w:rsidRPr="00A27A41">
        <w:t xml:space="preserve">t should be ensured that </w:t>
      </w:r>
      <w:r>
        <w:t xml:space="preserve">these </w:t>
      </w:r>
      <w:r w:rsidRPr="00A27A41">
        <w:t>ecosystems are not affected by soil contamination</w:t>
      </w:r>
      <w:r>
        <w:t xml:space="preserve">. </w:t>
      </w:r>
      <w:r w:rsidRPr="00A27A41">
        <w:t>Therefore</w:t>
      </w:r>
      <w:r>
        <w:t>,</w:t>
      </w:r>
      <w:r w:rsidRPr="00A27A41">
        <w:t xml:space="preserve"> </w:t>
      </w:r>
      <w:r>
        <w:t xml:space="preserve">the appropriate level of protection is 99% of species. </w:t>
      </w:r>
      <w:r w:rsidRPr="00A27A41">
        <w:t xml:space="preserve">As this is the </w:t>
      </w:r>
      <w:r w:rsidRPr="00A27A41">
        <w:lastRenderedPageBreak/>
        <w:t>maximum percentage of protection possible (d</w:t>
      </w:r>
      <w:r>
        <w:t xml:space="preserve">ue to the statistical method </w:t>
      </w:r>
      <w:r w:rsidRPr="00A27A41">
        <w:t>use</w:t>
      </w:r>
      <w:r>
        <w:t>d</w:t>
      </w:r>
      <w:r w:rsidRPr="00A27A41">
        <w:t xml:space="preserve"> to calculate </w:t>
      </w:r>
      <w:r>
        <w:t>SQG</w:t>
      </w:r>
      <w:r w:rsidRPr="00A27A41">
        <w:t xml:space="preserve">), 99% is also the species protection setting for </w:t>
      </w:r>
      <w:r>
        <w:t xml:space="preserve">contaminants that </w:t>
      </w:r>
      <w:r w:rsidRPr="00A27A41">
        <w:t>biomagnif</w:t>
      </w:r>
      <w:r>
        <w:t>y</w:t>
      </w:r>
      <w:r w:rsidRPr="00A27A41">
        <w:t xml:space="preserve">. </w:t>
      </w:r>
    </w:p>
    <w:p w:rsidR="006C2E16" w:rsidRPr="00CA715D" w:rsidRDefault="006C2E16" w:rsidP="006C2E16">
      <w:pPr>
        <w:pStyle w:val="Heading4"/>
      </w:pPr>
      <w:bookmarkStart w:id="34" w:name="_Toc255359955"/>
      <w:bookmarkStart w:id="35" w:name="_Toc351713119"/>
      <w:r>
        <w:t>Urban r</w:t>
      </w:r>
      <w:r w:rsidRPr="00CA715D">
        <w:t>esidentia</w:t>
      </w:r>
      <w:r>
        <w:t>l and</w:t>
      </w:r>
      <w:r w:rsidRPr="00CA715D">
        <w:t xml:space="preserve"> </w:t>
      </w:r>
      <w:r>
        <w:t>public open space</w:t>
      </w:r>
      <w:bookmarkEnd w:id="34"/>
      <w:bookmarkEnd w:id="35"/>
    </w:p>
    <w:p w:rsidR="006C2E16" w:rsidRDefault="006C2E16" w:rsidP="006C2E16">
      <w:r w:rsidRPr="00394BE0">
        <w:t>Henceforth</w:t>
      </w:r>
      <w:r>
        <w:t>,</w:t>
      </w:r>
      <w:r w:rsidRPr="00394BE0">
        <w:t xml:space="preserve"> this grouping of land uses will be referred to as ‘urban residential’</w:t>
      </w:r>
      <w:r>
        <w:t xml:space="preserve">. </w:t>
      </w:r>
      <w:r w:rsidRPr="00394BE0">
        <w:t>Urban residential lands are not pristine, rather</w:t>
      </w:r>
      <w:r>
        <w:t>,</w:t>
      </w:r>
      <w:r w:rsidRPr="00394BE0">
        <w:t xml:space="preserve"> they are extensively modified, but they still retain many important functions and species</w:t>
      </w:r>
      <w:r>
        <w:t xml:space="preserve">. </w:t>
      </w:r>
      <w:r w:rsidRPr="00394BE0">
        <w:t>Stakeholders would expect these to be maintained. For example, it would be reasonable to expect that such land uses should sustain plant growth of both introduced (ornamental) and native species</w:t>
      </w:r>
      <w:r>
        <w:t xml:space="preserve">. </w:t>
      </w:r>
      <w:r w:rsidRPr="00394BE0">
        <w:t>To ensure viable growth of plant species, not only should plant toxicity data be</w:t>
      </w:r>
      <w:r w:rsidRPr="00CA715D">
        <w:t xml:space="preserve"> considered but also soil health (</w:t>
      </w:r>
      <w:r>
        <w:t>for example,</w:t>
      </w:r>
      <w:r w:rsidRPr="00CA715D">
        <w:t xml:space="preserve"> nutrient cycling and microbial functions)</w:t>
      </w:r>
      <w:r>
        <w:t xml:space="preserve">. </w:t>
      </w:r>
      <w:r w:rsidRPr="00CA715D">
        <w:t xml:space="preserve">Nutrient cycling in soil ecosystems is essential for plant growth and therefore both </w:t>
      </w:r>
      <w:r>
        <w:t>microorganism</w:t>
      </w:r>
      <w:r w:rsidRPr="00CA715D">
        <w:t>s and soil invertebrates should be protected</w:t>
      </w:r>
      <w:r>
        <w:t>. Microorganism</w:t>
      </w:r>
      <w:r w:rsidRPr="00CA715D">
        <w:t>s are responsible for many processes regarding nutrient cycling</w:t>
      </w:r>
      <w:r>
        <w:t>—</w:t>
      </w:r>
      <w:r w:rsidRPr="00CA715D">
        <w:t xml:space="preserve">decomposition of organic matter, </w:t>
      </w:r>
      <w:r>
        <w:t xml:space="preserve">and </w:t>
      </w:r>
      <w:r w:rsidRPr="00CA715D">
        <w:t xml:space="preserve">N and P cycling processes (Marschner </w:t>
      </w:r>
      <w:r>
        <w:t>&amp;</w:t>
      </w:r>
      <w:r w:rsidRPr="00CA715D">
        <w:t xml:space="preserve"> Rengel 2007)</w:t>
      </w:r>
      <w:r>
        <w:t xml:space="preserve">. </w:t>
      </w:r>
      <w:r w:rsidRPr="00CA715D">
        <w:t>Soil invertebrates have a number of important functions</w:t>
      </w:r>
      <w:r>
        <w:t>,</w:t>
      </w:r>
      <w:r w:rsidRPr="00CA715D">
        <w:t xml:space="preserve"> including interacting with </w:t>
      </w:r>
      <w:r>
        <w:t>microorganism</w:t>
      </w:r>
      <w:r w:rsidRPr="00CA715D">
        <w:t xml:space="preserve">s regarding nutrient cycling, </w:t>
      </w:r>
      <w:r>
        <w:t xml:space="preserve">and </w:t>
      </w:r>
      <w:r w:rsidRPr="00CA715D">
        <w:t>modifying soil structure</w:t>
      </w:r>
      <w:r>
        <w:t>. In addition, m</w:t>
      </w:r>
      <w:r w:rsidRPr="00CA715D">
        <w:t>any birds and small terrestrial animals feed on plants and soil invertebrates in urban areas</w:t>
      </w:r>
      <w:r>
        <w:t xml:space="preserve">. </w:t>
      </w:r>
      <w:r w:rsidRPr="00EB656E">
        <w:t>Therefore, secondary poisoning for some contaminants should be assessed to ensure adequate protection is provided to organisms high in urban food chains.</w:t>
      </w:r>
      <w:r w:rsidRPr="00CA715D">
        <w:t xml:space="preserve"> </w:t>
      </w:r>
    </w:p>
    <w:p w:rsidR="00145F69" w:rsidRPr="00CA715D" w:rsidRDefault="00145F69" w:rsidP="006C2E16"/>
    <w:p w:rsidR="006C2E16" w:rsidRPr="00CA715D" w:rsidRDefault="006C2E16" w:rsidP="006C2E16">
      <w:r w:rsidRPr="00CA715D">
        <w:t>As urban residential</w:t>
      </w:r>
      <w:r>
        <w:t xml:space="preserve"> </w:t>
      </w:r>
      <w:r w:rsidRPr="00CA715D">
        <w:t>land</w:t>
      </w:r>
      <w:r>
        <w:t>s</w:t>
      </w:r>
      <w:r w:rsidRPr="00CA715D">
        <w:t xml:space="preserve"> </w:t>
      </w:r>
      <w:r>
        <w:t>are</w:t>
      </w:r>
      <w:r w:rsidRPr="00CA715D">
        <w:t xml:space="preserve"> modified </w:t>
      </w:r>
      <w:r>
        <w:t xml:space="preserve">ecosystems, </w:t>
      </w:r>
      <w:r w:rsidRPr="00CA715D">
        <w:t xml:space="preserve">it would not be </w:t>
      </w:r>
      <w:r>
        <w:t xml:space="preserve">warranted or </w:t>
      </w:r>
      <w:r w:rsidRPr="00CA715D">
        <w:t>realistic to protect 95% of species and functions</w:t>
      </w:r>
      <w:r>
        <w:t>. Y</w:t>
      </w:r>
      <w:r w:rsidRPr="00CA715D">
        <w:t>et a reasonably high degree of protection is required</w:t>
      </w:r>
      <w:r w:rsidRPr="00AF4463">
        <w:t xml:space="preserve"> </w:t>
      </w:r>
      <w:r w:rsidRPr="00CA715D">
        <w:t>in order to maintain the desired receptors and ecological functions</w:t>
      </w:r>
      <w:r>
        <w:t xml:space="preserve">. It has therefore been decided to protect </w:t>
      </w:r>
      <w:r w:rsidRPr="00CA715D">
        <w:t xml:space="preserve">80% of species </w:t>
      </w:r>
      <w:r>
        <w:t xml:space="preserve">and soil microbial processes </w:t>
      </w:r>
      <w:r w:rsidRPr="00CA715D">
        <w:t xml:space="preserve">appropriate </w:t>
      </w:r>
      <w:r>
        <w:t>to</w:t>
      </w:r>
      <w:r w:rsidRPr="00CA715D">
        <w:t xml:space="preserve"> </w:t>
      </w:r>
      <w:r>
        <w:t>this land use</w:t>
      </w:r>
      <w:r w:rsidRPr="00CA715D">
        <w:t xml:space="preserve">. </w:t>
      </w:r>
      <w:r>
        <w:t xml:space="preserve">For contaminants with a potential for biomagnification, the percentage of </w:t>
      </w:r>
      <w:r w:rsidRPr="000D1F05">
        <w:t>species protected should be raised by 5% to 85%.</w:t>
      </w:r>
    </w:p>
    <w:p w:rsidR="006C2E16" w:rsidRPr="006D001F" w:rsidRDefault="006C2E16" w:rsidP="006C2E16">
      <w:pPr>
        <w:pStyle w:val="Heading4"/>
      </w:pPr>
      <w:bookmarkStart w:id="36" w:name="_Toc255359956"/>
      <w:bookmarkStart w:id="37" w:name="_Toc351713120"/>
      <w:r w:rsidRPr="006D001F">
        <w:t>Commercial and industrial land</w:t>
      </w:r>
      <w:bookmarkEnd w:id="36"/>
      <w:bookmarkEnd w:id="37"/>
    </w:p>
    <w:p w:rsidR="006C2E16" w:rsidRPr="00CA715D" w:rsidRDefault="006C2E16" w:rsidP="006C2E16">
      <w:r>
        <w:t xml:space="preserve">Henceforth, these two land uses will be referred to as commercial/industrial land use. </w:t>
      </w:r>
      <w:r w:rsidRPr="00A27A41">
        <w:t>Ecosystems in commercial</w:t>
      </w:r>
      <w:r>
        <w:t>/</w:t>
      </w:r>
      <w:r w:rsidRPr="00A27A41">
        <w:t xml:space="preserve">industrial lands </w:t>
      </w:r>
      <w:r>
        <w:t>can be</w:t>
      </w:r>
      <w:r w:rsidRPr="00A27A41">
        <w:t xml:space="preserve"> highly artificial</w:t>
      </w:r>
      <w:r>
        <w:t xml:space="preserve">. </w:t>
      </w:r>
      <w:r w:rsidRPr="00A27A41">
        <w:t xml:space="preserve">However, soils should still support the basic soil processes and should be able to recover if land use changes. Therefore, 60% of species </w:t>
      </w:r>
      <w:r>
        <w:t xml:space="preserve">will be protected </w:t>
      </w:r>
      <w:r w:rsidRPr="00A27A41">
        <w:t xml:space="preserve">for non-biomagnifying contaminants present in </w:t>
      </w:r>
      <w:r>
        <w:t>commercial/</w:t>
      </w:r>
      <w:r w:rsidRPr="00A27A41">
        <w:t xml:space="preserve">industrial </w:t>
      </w:r>
      <w:r>
        <w:t>l</w:t>
      </w:r>
      <w:r w:rsidRPr="00A27A41">
        <w:t>and and 65% for contaminants that show biomagnification potential.</w:t>
      </w:r>
    </w:p>
    <w:p w:rsidR="006C2E16" w:rsidRPr="006D001F" w:rsidRDefault="006C2E16" w:rsidP="006C2E16">
      <w:pPr>
        <w:pStyle w:val="Heading4"/>
      </w:pPr>
      <w:bookmarkStart w:id="38" w:name="_Toc255359957"/>
      <w:bookmarkStart w:id="39" w:name="_Toc351713121"/>
      <w:r w:rsidRPr="006D001F">
        <w:t>Agricultural land</w:t>
      </w:r>
      <w:bookmarkEnd w:id="38"/>
      <w:bookmarkEnd w:id="39"/>
    </w:p>
    <w:p w:rsidR="006C2E16" w:rsidRPr="00A27A41" w:rsidRDefault="006C2E16" w:rsidP="006C2E16">
      <w:r>
        <w:t>T</w:t>
      </w:r>
      <w:r w:rsidRPr="00A27A41">
        <w:t xml:space="preserve">he protection of crop species is </w:t>
      </w:r>
      <w:r>
        <w:t>vital to maintaining the sustainability of</w:t>
      </w:r>
      <w:r w:rsidRPr="00A27A41">
        <w:t xml:space="preserve"> ag</w:t>
      </w:r>
      <w:r>
        <w:t xml:space="preserve">ricultural land and therefore </w:t>
      </w:r>
      <w:r w:rsidRPr="00A27A41">
        <w:t>95% of the crop and grass species</w:t>
      </w:r>
      <w:r>
        <w:t xml:space="preserve"> will be protected for this land use. </w:t>
      </w:r>
      <w:r w:rsidRPr="00A27A41">
        <w:t xml:space="preserve">Other plant species will not be used in the derivation of agricultural </w:t>
      </w:r>
      <w:r>
        <w:t>SQG</w:t>
      </w:r>
      <w:r w:rsidRPr="00A27A41">
        <w:t xml:space="preserve">s and therefore it will not be known what level of protection is provided by the </w:t>
      </w:r>
      <w:r>
        <w:t>SQG</w:t>
      </w:r>
      <w:r w:rsidRPr="00A27A41">
        <w:t xml:space="preserve"> to native flora</w:t>
      </w:r>
      <w:r>
        <w:t xml:space="preserve">. </w:t>
      </w:r>
      <w:r w:rsidRPr="00A27A41">
        <w:t xml:space="preserve">Soil processes and soil invertebrates are highly important to ensure nutrient cycling to sustain crop species. However, tillage and the use of pesticides/herbicides make it unrealistic to protect 95% of soil processes and soil invertebrates and therefore </w:t>
      </w:r>
      <w:r>
        <w:t>only</w:t>
      </w:r>
      <w:r w:rsidRPr="00A27A41">
        <w:t xml:space="preserve"> 80% of these </w:t>
      </w:r>
      <w:r>
        <w:t xml:space="preserve">will </w:t>
      </w:r>
      <w:r w:rsidRPr="00A27A41">
        <w:t>be protected</w:t>
      </w:r>
      <w:r>
        <w:t xml:space="preserve">. </w:t>
      </w:r>
      <w:r w:rsidRPr="00A27A41">
        <w:t>If a contaminant shows biomagnification potential, the percentage of species protected should be raised to 98% for crop species and 85% for soil processes and soil invertebrates</w:t>
      </w:r>
      <w:r>
        <w:t xml:space="preserve">. </w:t>
      </w:r>
      <w:r w:rsidRPr="00A27A41">
        <w:t xml:space="preserve">The lower of these two derived </w:t>
      </w:r>
      <w:r>
        <w:t>SQG</w:t>
      </w:r>
      <w:r w:rsidRPr="00A27A41">
        <w:t xml:space="preserve"> values</w:t>
      </w:r>
      <w:r>
        <w:t xml:space="preserve"> has been ad</w:t>
      </w:r>
      <w:r w:rsidRPr="00A27A41">
        <w:t xml:space="preserve">opted as the agricultural </w:t>
      </w:r>
      <w:r>
        <w:t>SQG, and is included for information purposes only.</w:t>
      </w:r>
    </w:p>
    <w:p w:rsidR="006C2E16" w:rsidRPr="005802FA" w:rsidRDefault="006C2E16" w:rsidP="001C6BE7">
      <w:pPr>
        <w:pStyle w:val="Heading2"/>
      </w:pPr>
      <w:bookmarkStart w:id="40" w:name="_Toc255359958"/>
      <w:bookmarkStart w:id="41" w:name="_Toc269122442"/>
      <w:bookmarkStart w:id="42" w:name="_Toc351713122"/>
      <w:r w:rsidRPr="005802FA">
        <w:t xml:space="preserve">Determining the </w:t>
      </w:r>
      <w:r>
        <w:t>m</w:t>
      </w:r>
      <w:r w:rsidRPr="005802FA">
        <w:t xml:space="preserve">ost </w:t>
      </w:r>
      <w:r>
        <w:t>i</w:t>
      </w:r>
      <w:r w:rsidRPr="005802FA">
        <w:t xml:space="preserve">mportant </w:t>
      </w:r>
      <w:r>
        <w:t>e</w:t>
      </w:r>
      <w:r w:rsidRPr="005802FA">
        <w:t xml:space="preserve">xposure </w:t>
      </w:r>
      <w:bookmarkEnd w:id="40"/>
      <w:bookmarkEnd w:id="41"/>
      <w:r>
        <w:t>p</w:t>
      </w:r>
      <w:r w:rsidRPr="005802FA">
        <w:t>athways</w:t>
      </w:r>
      <w:bookmarkEnd w:id="42"/>
    </w:p>
    <w:p w:rsidR="006C2E16" w:rsidRDefault="006C2E16" w:rsidP="006C2E16">
      <w:r>
        <w:t>It is important to determine the relevant exposure pathways for the combination of specific contaminants at a specific land use. For the sake of simplicity, many of the exposure pathways have been grouped into three pathways:</w:t>
      </w:r>
    </w:p>
    <w:p w:rsidR="006C2E16" w:rsidRDefault="006C2E16" w:rsidP="001C6BE7">
      <w:pPr>
        <w:pStyle w:val="text"/>
        <w:numPr>
          <w:ilvl w:val="0"/>
          <w:numId w:val="37"/>
        </w:numPr>
      </w:pPr>
      <w:r>
        <w:t>Direct toxicity — this is where the exposure to the organism occurs directly from either soil, soil pore water or air in soil pores. This includes pathways 1, 2 and 4 in Box 1 below.</w:t>
      </w:r>
    </w:p>
    <w:p w:rsidR="006C2E16" w:rsidRDefault="006C2E16" w:rsidP="001C6BE7">
      <w:pPr>
        <w:pStyle w:val="text"/>
        <w:numPr>
          <w:ilvl w:val="0"/>
          <w:numId w:val="37"/>
        </w:numPr>
      </w:pPr>
      <w:r>
        <w:lastRenderedPageBreak/>
        <w:t>Biomagnification — this includes all exposure pathways where the source of the contaminant is food (organisms lower in the food chain). This includes pathways 3, 10, 11 and 12 in Box 1.</w:t>
      </w:r>
    </w:p>
    <w:p w:rsidR="006C2E16" w:rsidRDefault="006C2E16" w:rsidP="001C6BE7">
      <w:pPr>
        <w:pStyle w:val="text"/>
        <w:numPr>
          <w:ilvl w:val="0"/>
          <w:numId w:val="37"/>
        </w:numPr>
      </w:pPr>
      <w:r>
        <w:t xml:space="preserve">Metabolites — Metabolites are the breakdown products of the parent contaminant and require their own exposure pathway assessment. </w:t>
      </w:r>
    </w:p>
    <w:p w:rsidR="006C2E16" w:rsidRDefault="006C2E16" w:rsidP="006C2E16">
      <w:r>
        <w:t>T</w:t>
      </w:r>
      <w:r w:rsidRPr="005802FA">
        <w:t xml:space="preserve">he importance of the various exposure pathways </w:t>
      </w:r>
      <w:r>
        <w:t xml:space="preserve">can be determined by </w:t>
      </w:r>
      <w:r w:rsidRPr="005802FA">
        <w:t>categoris</w:t>
      </w:r>
      <w:r>
        <w:t>ing</w:t>
      </w:r>
      <w:r w:rsidRPr="005802FA">
        <w:t xml:space="preserve"> the physicochemical properties </w:t>
      </w:r>
      <w:r>
        <w:t xml:space="preserve">of the </w:t>
      </w:r>
      <w:r w:rsidRPr="005802FA">
        <w:t xml:space="preserve">toxicant </w:t>
      </w:r>
      <w:r>
        <w:t xml:space="preserve">and those of the receiving soil </w:t>
      </w:r>
      <w:r w:rsidRPr="005802FA">
        <w:t xml:space="preserve">that control </w:t>
      </w:r>
      <w:r>
        <w:t xml:space="preserve">the </w:t>
      </w:r>
      <w:r w:rsidRPr="005802FA">
        <w:t>environmental fate</w:t>
      </w:r>
      <w:r>
        <w:t xml:space="preserve"> of chemicals. </w:t>
      </w:r>
      <w:r w:rsidRPr="005802FA">
        <w:t>An overview of compartment</w:t>
      </w:r>
      <w:r>
        <w:t>s</w:t>
      </w:r>
      <w:r w:rsidRPr="005802FA">
        <w:t xml:space="preserve"> </w:t>
      </w:r>
      <w:r>
        <w:t>within soil and</w:t>
      </w:r>
      <w:r w:rsidRPr="005802FA">
        <w:t xml:space="preserve"> the physicochemical properties </w:t>
      </w:r>
      <w:r>
        <w:t xml:space="preserve">that </w:t>
      </w:r>
      <w:r w:rsidRPr="005802FA">
        <w:t>determin</w:t>
      </w:r>
      <w:r>
        <w:t>e</w:t>
      </w:r>
      <w:r w:rsidRPr="005802FA">
        <w:t xml:space="preserve"> the fate of </w:t>
      </w:r>
      <w:r>
        <w:t>contaminant</w:t>
      </w:r>
      <w:r w:rsidRPr="005802FA">
        <w:t xml:space="preserve">s is given in </w:t>
      </w:r>
      <w:smartTag w:uri="urn:schemas-microsoft-com:office:smarttags" w:element="address">
        <w:smartTag w:uri="urn:schemas-microsoft-com:office:smarttags" w:element="Street">
          <w:r w:rsidRPr="005802FA">
            <w:t>Box</w:t>
          </w:r>
        </w:smartTag>
        <w:r>
          <w:t xml:space="preserve"> 2</w:t>
        </w:r>
      </w:smartTag>
      <w:r>
        <w:t xml:space="preserve"> below</w:t>
      </w:r>
      <w:r w:rsidRPr="005802FA">
        <w:t>. Several of the physicochemical properties shown are soil</w:t>
      </w:r>
      <w:r>
        <w:t>-</w:t>
      </w:r>
      <w:r w:rsidRPr="005802FA">
        <w:t>depend</w:t>
      </w:r>
      <w:r>
        <w:t>e</w:t>
      </w:r>
      <w:r w:rsidRPr="005802FA">
        <w:t>nt</w:t>
      </w:r>
      <w:r>
        <w:t>, for example,</w:t>
      </w:r>
      <w:r w:rsidRPr="005802FA">
        <w:t xml:space="preserve"> </w:t>
      </w:r>
      <w:r>
        <w:t xml:space="preserve">soil </w:t>
      </w:r>
      <w:r w:rsidRPr="005802FA">
        <w:t xml:space="preserve">pH, </w:t>
      </w:r>
      <w:r>
        <w:t>cation exchange capacity</w:t>
      </w:r>
      <w:r w:rsidRPr="005802FA">
        <w:t xml:space="preserve">, </w:t>
      </w:r>
      <w:r>
        <w:t>organic matter</w:t>
      </w:r>
      <w:r w:rsidRPr="005802FA">
        <w:t xml:space="preserve">, clay </w:t>
      </w:r>
      <w:r>
        <w:t xml:space="preserve">content </w:t>
      </w:r>
      <w:r w:rsidRPr="005802FA">
        <w:t xml:space="preserve">and </w:t>
      </w:r>
      <w:r>
        <w:t>dissolved organic carbon</w:t>
      </w:r>
      <w:r w:rsidRPr="005802FA">
        <w:t xml:space="preserve">. </w:t>
      </w:r>
    </w:p>
    <w:p w:rsidR="00145F69" w:rsidRDefault="00145F69" w:rsidP="006C2E16"/>
    <w:p w:rsidR="006C2E16" w:rsidRDefault="006C2E16" w:rsidP="006C2E16">
      <w:r w:rsidRPr="005802FA">
        <w:t>However</w:t>
      </w:r>
      <w:r>
        <w:t>,</w:t>
      </w:r>
      <w:r w:rsidRPr="005802FA">
        <w:t xml:space="preserve"> others are physicochemical properties of the </w:t>
      </w:r>
      <w:r>
        <w:t>contaminant</w:t>
      </w:r>
      <w:r w:rsidRPr="005802FA">
        <w:t xml:space="preserve"> itself</w:t>
      </w:r>
      <w:r>
        <w:t xml:space="preserve">, for example, partitioning between </w:t>
      </w:r>
      <w:r w:rsidRPr="001E414A">
        <w:t>octanol and water (</w:t>
      </w:r>
      <w:r w:rsidRPr="005802FA">
        <w:t>K</w:t>
      </w:r>
      <w:r w:rsidRPr="001A13BC">
        <w:rPr>
          <w:vertAlign w:val="subscript"/>
        </w:rPr>
        <w:t>ow</w:t>
      </w:r>
      <w:r>
        <w:t>)</w:t>
      </w:r>
      <w:r w:rsidRPr="005802FA">
        <w:t>,</w:t>
      </w:r>
      <w:r w:rsidRPr="001E414A">
        <w:t xml:space="preserve"> its soil to water partition coefficient (</w:t>
      </w:r>
      <w:r w:rsidRPr="005802FA">
        <w:t>K</w:t>
      </w:r>
      <w:r w:rsidRPr="00475723">
        <w:rPr>
          <w:vertAlign w:val="subscript"/>
        </w:rPr>
        <w:t>d</w:t>
      </w:r>
      <w:r>
        <w:t>)</w:t>
      </w:r>
      <w:r w:rsidRPr="005802FA">
        <w:t xml:space="preserve">, </w:t>
      </w:r>
      <w:r>
        <w:t xml:space="preserve">Henry’s law constant (H). </w:t>
      </w:r>
      <w:r w:rsidRPr="005802FA">
        <w:t xml:space="preserve">These physicochemical properties can be used to </w:t>
      </w:r>
      <w:r>
        <w:t>determine the most important exposure</w:t>
      </w:r>
      <w:r w:rsidRPr="005802FA">
        <w:t xml:space="preserve"> pathways</w:t>
      </w:r>
      <w:r>
        <w:t xml:space="preserve"> for contaminants. </w:t>
      </w:r>
      <w:r w:rsidRPr="005802FA">
        <w:t xml:space="preserve">Organic and inorganic </w:t>
      </w:r>
      <w:r>
        <w:t>contaminant</w:t>
      </w:r>
      <w:r w:rsidRPr="005802FA">
        <w:t xml:space="preserve">s have different physicochemical properties that control their </w:t>
      </w:r>
      <w:r>
        <w:t xml:space="preserve">environmental </w:t>
      </w:r>
      <w:r w:rsidRPr="005802FA">
        <w:t xml:space="preserve">fate and therefore </w:t>
      </w:r>
      <w:r>
        <w:t>different schemes for assessing exposure routes have been developed</w:t>
      </w:r>
      <w:r w:rsidRPr="005802FA">
        <w:t>.</w:t>
      </w:r>
    </w:p>
    <w:p w:rsidR="00145F69" w:rsidRDefault="00145F69" w:rsidP="006C2E16"/>
    <w:p w:rsidR="006C2E16" w:rsidRDefault="006C2E16" w:rsidP="006C2E16">
      <w:r>
        <w:t>The EIL derivation methodology aims to protect soil and terrestrial species and soil processes. Potential off-site migration and its potential impacts are not included in the methodology. A recommended method for deriving EILs and/or other SQGs that also protects aquatic ecosystems is presented as an Appendix. Another issue that was considered for incorporation into the EIL derivation methodology was the bioavailability of the contaminants before addition to soil; for example, soluble contaminants versus those bound in insoluble forms. While this is a central issue in the management of contamination, it is not currently possible to incorporate this into the derivation of EILs and/or SQGs and the derivation assumes contaminants are 100% bioavailable. Some information on potential methods for assessing bioavailability and how it could be incorporated into a more detailed site-specific risk assessment is provided as an Appendix.</w:t>
      </w:r>
    </w:p>
    <w:p w:rsidR="006C2E16" w:rsidRDefault="006C2E16" w:rsidP="006C2E1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2"/>
      </w:tblGrid>
      <w:tr w:rsidR="006C2E16" w:rsidTr="00875BD5">
        <w:tc>
          <w:tcPr>
            <w:tcW w:w="8635" w:type="dxa"/>
          </w:tcPr>
          <w:p w:rsidR="006C2E16" w:rsidRPr="00B64A3E" w:rsidRDefault="006C2E16" w:rsidP="00A10D4B">
            <w:pPr>
              <w:pStyle w:val="Caption"/>
              <w:rPr>
                <w:rStyle w:val="CaptionChar"/>
                <w:b/>
                <w:bCs/>
              </w:rPr>
            </w:pPr>
            <w:r>
              <w:br w:type="page"/>
            </w:r>
            <w:r>
              <w:br w:type="page"/>
            </w:r>
            <w:r>
              <w:br w:type="page"/>
            </w:r>
            <w:smartTag w:uri="urn:schemas-microsoft-com:office:smarttags" w:element="address">
              <w:smartTag w:uri="urn:schemas-microsoft-com:office:smarttags" w:element="Street">
                <w:r w:rsidRPr="00B64A3E">
                  <w:rPr>
                    <w:rStyle w:val="CaptionChar"/>
                  </w:rPr>
                  <w:t>Box</w:t>
                </w:r>
              </w:smartTag>
              <w:r w:rsidRPr="00B64A3E">
                <w:rPr>
                  <w:rStyle w:val="CaptionChar"/>
                </w:rPr>
                <w:t xml:space="preserve"> 1</w:t>
              </w:r>
            </w:smartTag>
            <w:r w:rsidRPr="00B64A3E">
              <w:rPr>
                <w:rStyle w:val="CaptionChar"/>
              </w:rPr>
              <w:t xml:space="preserve">. </w:t>
            </w:r>
            <w:r w:rsidRPr="00BA6352">
              <w:rPr>
                <w:rStyle w:val="CaptionChar"/>
              </w:rPr>
              <w:t>Overview</w:t>
            </w:r>
            <w:r w:rsidRPr="00B64A3E">
              <w:rPr>
                <w:rStyle w:val="CaptionChar"/>
              </w:rPr>
              <w:t xml:space="preserve"> of potential exposure pathways in terrestrial ecosystems</w:t>
            </w:r>
          </w:p>
          <w:p w:rsidR="006C2E16" w:rsidRPr="00B64A3E" w:rsidRDefault="006C2E16" w:rsidP="001C6BE7">
            <w:pPr>
              <w:pStyle w:val="text"/>
            </w:pPr>
            <w:r>
              <w:rPr>
                <w:noProof/>
              </w:rPr>
              <w:drawing>
                <wp:inline distT="0" distB="0" distL="0" distR="0" wp14:anchorId="60714B41" wp14:editId="7560F3BF">
                  <wp:extent cx="4448175" cy="33051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448175" cy="3305175"/>
                          </a:xfrm>
                          <a:prstGeom prst="rect">
                            <a:avLst/>
                          </a:prstGeom>
                          <a:noFill/>
                          <a:ln w="9525">
                            <a:noFill/>
                            <a:miter lim="800000"/>
                            <a:headEnd/>
                            <a:tailEnd/>
                          </a:ln>
                        </pic:spPr>
                      </pic:pic>
                    </a:graphicData>
                  </a:graphic>
                </wp:inline>
              </w:drawing>
            </w:r>
          </w:p>
        </w:tc>
      </w:tr>
      <w:tr w:rsidR="006C2E16" w:rsidRPr="000A006B" w:rsidTr="00875BD5">
        <w:tc>
          <w:tcPr>
            <w:tcW w:w="8635" w:type="dxa"/>
          </w:tcPr>
          <w:p w:rsidR="006C2E16" w:rsidRPr="00BA6352" w:rsidRDefault="006C2E16" w:rsidP="00A10D4B">
            <w:pPr>
              <w:rPr>
                <w:b/>
                <w:bCs/>
                <w:szCs w:val="22"/>
              </w:rPr>
            </w:pPr>
            <w:r w:rsidRPr="00BA6352">
              <w:rPr>
                <w:b/>
                <w:bCs/>
                <w:szCs w:val="22"/>
              </w:rPr>
              <w:lastRenderedPageBreak/>
              <w:t>Exposure pathways</w:t>
            </w:r>
          </w:p>
          <w:p w:rsidR="006C2E16" w:rsidRPr="00BA6352" w:rsidRDefault="006C2E16" w:rsidP="006C2E16">
            <w:pPr>
              <w:numPr>
                <w:ilvl w:val="0"/>
                <w:numId w:val="9"/>
              </w:numPr>
              <w:spacing w:before="120" w:after="120" w:line="240" w:lineRule="auto"/>
              <w:rPr>
                <w:szCs w:val="22"/>
              </w:rPr>
            </w:pPr>
            <w:r w:rsidRPr="00BA6352">
              <w:rPr>
                <w:szCs w:val="22"/>
              </w:rPr>
              <w:t>Soil – organism (via ingestion, organisms include herbivores and soil dwellers)</w:t>
            </w:r>
          </w:p>
          <w:p w:rsidR="006C2E16" w:rsidRPr="00BA6352" w:rsidRDefault="006C2E16" w:rsidP="006C2E16">
            <w:pPr>
              <w:numPr>
                <w:ilvl w:val="0"/>
                <w:numId w:val="9"/>
              </w:numPr>
              <w:spacing w:before="120" w:after="120" w:line="240" w:lineRule="auto"/>
              <w:rPr>
                <w:szCs w:val="22"/>
              </w:rPr>
            </w:pPr>
            <w:r w:rsidRPr="00BA6352">
              <w:rPr>
                <w:szCs w:val="22"/>
              </w:rPr>
              <w:t>Soil – soil organism (passive absorption)</w:t>
            </w:r>
          </w:p>
          <w:p w:rsidR="006C2E16" w:rsidRPr="00BA6352" w:rsidRDefault="006C2E16" w:rsidP="006C2E16">
            <w:pPr>
              <w:numPr>
                <w:ilvl w:val="0"/>
                <w:numId w:val="9"/>
              </w:numPr>
              <w:spacing w:before="120" w:after="120" w:line="240" w:lineRule="auto"/>
              <w:rPr>
                <w:szCs w:val="22"/>
              </w:rPr>
            </w:pPr>
            <w:r w:rsidRPr="00BA6352">
              <w:rPr>
                <w:szCs w:val="22"/>
              </w:rPr>
              <w:t>Soil – soil organisms – soil predators</w:t>
            </w:r>
          </w:p>
          <w:p w:rsidR="006C2E16" w:rsidRPr="00BA6352" w:rsidRDefault="006C2E16" w:rsidP="006C2E16">
            <w:pPr>
              <w:numPr>
                <w:ilvl w:val="0"/>
                <w:numId w:val="9"/>
              </w:numPr>
              <w:spacing w:before="120" w:after="120" w:line="240" w:lineRule="auto"/>
              <w:rPr>
                <w:szCs w:val="22"/>
              </w:rPr>
            </w:pPr>
            <w:r w:rsidRPr="00BA6352">
              <w:rPr>
                <w:szCs w:val="22"/>
              </w:rPr>
              <w:t>Soil – plants</w:t>
            </w:r>
          </w:p>
          <w:p w:rsidR="006C2E16" w:rsidRPr="00BA6352" w:rsidRDefault="006C2E16" w:rsidP="006C2E16">
            <w:pPr>
              <w:numPr>
                <w:ilvl w:val="0"/>
                <w:numId w:val="9"/>
              </w:numPr>
              <w:spacing w:before="120" w:after="120" w:line="240" w:lineRule="auto"/>
              <w:rPr>
                <w:szCs w:val="22"/>
              </w:rPr>
            </w:pPr>
            <w:r w:rsidRPr="00BA6352">
              <w:rPr>
                <w:szCs w:val="22"/>
              </w:rPr>
              <w:t>Soil – surface water – aquatic organisms</w:t>
            </w:r>
          </w:p>
          <w:p w:rsidR="006C2E16" w:rsidRPr="00BA6352" w:rsidRDefault="006C2E16" w:rsidP="006C2E16">
            <w:pPr>
              <w:numPr>
                <w:ilvl w:val="0"/>
                <w:numId w:val="9"/>
              </w:numPr>
              <w:spacing w:before="120" w:after="120" w:line="240" w:lineRule="auto"/>
              <w:rPr>
                <w:szCs w:val="22"/>
              </w:rPr>
            </w:pPr>
            <w:r w:rsidRPr="00BA6352">
              <w:rPr>
                <w:szCs w:val="22"/>
              </w:rPr>
              <w:t>Soil – groundwater – stygofauna</w:t>
            </w:r>
          </w:p>
          <w:p w:rsidR="006C2E16" w:rsidRPr="00BA6352" w:rsidRDefault="006C2E16" w:rsidP="006C2E16">
            <w:pPr>
              <w:numPr>
                <w:ilvl w:val="0"/>
                <w:numId w:val="9"/>
              </w:numPr>
              <w:spacing w:before="120" w:after="120" w:line="240" w:lineRule="auto"/>
              <w:rPr>
                <w:szCs w:val="22"/>
              </w:rPr>
            </w:pPr>
            <w:r w:rsidRPr="00BA6352">
              <w:rPr>
                <w:szCs w:val="22"/>
              </w:rPr>
              <w:t xml:space="preserve">Soil – groundwater – surface water – aquatic organisms </w:t>
            </w:r>
          </w:p>
          <w:p w:rsidR="006C2E16" w:rsidRPr="00BA6352" w:rsidRDefault="006C2E16" w:rsidP="006C2E16">
            <w:pPr>
              <w:numPr>
                <w:ilvl w:val="0"/>
                <w:numId w:val="9"/>
              </w:numPr>
              <w:spacing w:before="120" w:after="120" w:line="240" w:lineRule="auto"/>
              <w:rPr>
                <w:szCs w:val="22"/>
              </w:rPr>
            </w:pPr>
            <w:r w:rsidRPr="00BA6352">
              <w:rPr>
                <w:szCs w:val="22"/>
              </w:rPr>
              <w:t>Soil – groundwater – sediment – mieofauna</w:t>
            </w:r>
          </w:p>
          <w:p w:rsidR="006C2E16" w:rsidRPr="00BA6352" w:rsidRDefault="006C2E16" w:rsidP="006C2E16">
            <w:pPr>
              <w:numPr>
                <w:ilvl w:val="0"/>
                <w:numId w:val="9"/>
              </w:numPr>
              <w:spacing w:before="120" w:after="120" w:line="240" w:lineRule="auto"/>
              <w:rPr>
                <w:szCs w:val="22"/>
              </w:rPr>
            </w:pPr>
            <w:r w:rsidRPr="00BA6352">
              <w:rPr>
                <w:szCs w:val="22"/>
              </w:rPr>
              <w:t>Soil – air – terrestrial species</w:t>
            </w:r>
          </w:p>
          <w:p w:rsidR="006C2E16" w:rsidRPr="00BA6352" w:rsidRDefault="006C2E16" w:rsidP="006C2E16">
            <w:pPr>
              <w:numPr>
                <w:ilvl w:val="0"/>
                <w:numId w:val="9"/>
              </w:numPr>
              <w:spacing w:before="120" w:after="120" w:line="240" w:lineRule="auto"/>
              <w:rPr>
                <w:szCs w:val="22"/>
              </w:rPr>
            </w:pPr>
            <w:r w:rsidRPr="00BA6352">
              <w:rPr>
                <w:szCs w:val="22"/>
              </w:rPr>
              <w:t>Soil – plant – herbivores – carnivores</w:t>
            </w:r>
          </w:p>
          <w:p w:rsidR="006C2E16" w:rsidRPr="00BA6352" w:rsidRDefault="006C2E16" w:rsidP="006C2E16">
            <w:pPr>
              <w:numPr>
                <w:ilvl w:val="0"/>
                <w:numId w:val="9"/>
              </w:numPr>
              <w:spacing w:before="120" w:after="120" w:line="240" w:lineRule="auto"/>
              <w:rPr>
                <w:szCs w:val="22"/>
              </w:rPr>
            </w:pPr>
            <w:r w:rsidRPr="00BA6352">
              <w:rPr>
                <w:szCs w:val="22"/>
              </w:rPr>
              <w:t>Soil – soil organisms  and/or soil predators – terrestrial predators</w:t>
            </w:r>
          </w:p>
          <w:p w:rsidR="006C2E16" w:rsidRPr="00BA6352" w:rsidRDefault="006C2E16" w:rsidP="006C2E16">
            <w:pPr>
              <w:numPr>
                <w:ilvl w:val="0"/>
                <w:numId w:val="9"/>
              </w:numPr>
              <w:spacing w:before="120" w:after="120" w:line="240" w:lineRule="auto"/>
              <w:rPr>
                <w:szCs w:val="22"/>
              </w:rPr>
            </w:pPr>
            <w:r w:rsidRPr="00BA6352">
              <w:rPr>
                <w:szCs w:val="22"/>
              </w:rPr>
              <w:t>Soil – groundwater – surface water – aquatic organisms – aquatic predators</w:t>
            </w:r>
          </w:p>
          <w:p w:rsidR="006C2E16" w:rsidRPr="00BA6352" w:rsidRDefault="006C2E16" w:rsidP="00A10D4B">
            <w:pPr>
              <w:rPr>
                <w:sz w:val="18"/>
                <w:szCs w:val="18"/>
              </w:rPr>
            </w:pPr>
            <w:r w:rsidRPr="00BA6352">
              <w:rPr>
                <w:sz w:val="18"/>
                <w:szCs w:val="18"/>
              </w:rPr>
              <w:t>The exposure pathways can be grouped together:</w:t>
            </w:r>
          </w:p>
          <w:p w:rsidR="006C2E16" w:rsidRPr="00BA6352" w:rsidRDefault="006C2E16" w:rsidP="001C6BE7">
            <w:pPr>
              <w:pStyle w:val="Dot-points"/>
              <w:numPr>
                <w:ilvl w:val="0"/>
                <w:numId w:val="38"/>
              </w:numPr>
            </w:pPr>
            <w:r w:rsidRPr="00BA6352">
              <w:t xml:space="preserve">The direct toxicity pathways are 1, 2 and 4 and should be addressed for all contaminants. </w:t>
            </w:r>
          </w:p>
          <w:p w:rsidR="006C2E16" w:rsidRPr="00BA6352" w:rsidRDefault="006C2E16" w:rsidP="001C6BE7">
            <w:pPr>
              <w:pStyle w:val="Dot-points"/>
              <w:numPr>
                <w:ilvl w:val="0"/>
                <w:numId w:val="38"/>
              </w:numPr>
            </w:pPr>
            <w:r w:rsidRPr="00BA6352">
              <w:t>Leaching pathways include pathways 6, 7 and 8 and are relevant for site-specific ecological risk assessment. It will not be considered for general EIL derivation.</w:t>
            </w:r>
          </w:p>
          <w:p w:rsidR="006C2E16" w:rsidRPr="00BA6352" w:rsidRDefault="006C2E16" w:rsidP="001C6BE7">
            <w:pPr>
              <w:pStyle w:val="Dot-points"/>
              <w:numPr>
                <w:ilvl w:val="0"/>
                <w:numId w:val="38"/>
              </w:numPr>
            </w:pPr>
            <w:r w:rsidRPr="00BA6352">
              <w:t xml:space="preserve">Secondary poisoning includes pathways 3, 10, 11 and 12 and should be addressed for contaminants having biomagnification potential in the food web. </w:t>
            </w:r>
          </w:p>
          <w:p w:rsidR="006C2E16" w:rsidRPr="00BA6352" w:rsidRDefault="006C2E16" w:rsidP="001C6BE7">
            <w:pPr>
              <w:pStyle w:val="Dot-points"/>
              <w:numPr>
                <w:ilvl w:val="0"/>
                <w:numId w:val="38"/>
              </w:numPr>
            </w:pPr>
            <w:r w:rsidRPr="00BA6352">
              <w:t xml:space="preserve">A site-specific pathway for sloping land is pathway 5 and this should be assessed for contamination situated on slopes where down-slope migration of the contamination is possible. It will not be considered for general EIL derivation. </w:t>
            </w:r>
          </w:p>
          <w:p w:rsidR="006C2E16" w:rsidRPr="00B64A3E" w:rsidRDefault="006C2E16" w:rsidP="001C6BE7">
            <w:pPr>
              <w:pStyle w:val="Dot-points"/>
              <w:numPr>
                <w:ilvl w:val="0"/>
                <w:numId w:val="38"/>
              </w:numPr>
              <w:rPr>
                <w:sz w:val="20"/>
                <w:szCs w:val="20"/>
              </w:rPr>
            </w:pPr>
            <w:r w:rsidRPr="00BA6352">
              <w:t xml:space="preserve">Pathway 9 requires harmonisation of air quality guidelines with the soil quality guidelines but will not be used in the current process. Inhalation is more a human health issue and therefore the health investigation levels (HILs) using human toxicology assessment of inhalation is a much more accurate measurement of potential risk. </w:t>
            </w:r>
          </w:p>
        </w:tc>
      </w:tr>
      <w:tr w:rsidR="006C2E16" w:rsidTr="00875BD5">
        <w:trPr>
          <w:trHeight w:val="7381"/>
        </w:trPr>
        <w:tc>
          <w:tcPr>
            <w:tcW w:w="8635" w:type="dxa"/>
          </w:tcPr>
          <w:p w:rsidR="006C2E16" w:rsidRDefault="006C2E16" w:rsidP="00A10D4B">
            <w:pPr>
              <w:pStyle w:val="Caption"/>
            </w:pPr>
            <w:r>
              <w:lastRenderedPageBreak/>
              <w:t>Box 2. Soil compartments, routes of environmental exposure and the key physicochemical properties that govern the distribution of a contaminant</w:t>
            </w:r>
          </w:p>
          <w:p w:rsidR="006C2E16" w:rsidRDefault="006C2E16" w:rsidP="00A10D4B">
            <w:pPr>
              <w:jc w:val="center"/>
            </w:pPr>
            <w:r>
              <w:rPr>
                <w:color w:val="000000"/>
                <w:sz w:val="18"/>
                <w:szCs w:val="18"/>
              </w:rPr>
              <w:t>`</w:t>
            </w:r>
            <w:r>
              <w:rPr>
                <w:noProof/>
                <w:color w:val="000000"/>
                <w:sz w:val="18"/>
                <w:szCs w:val="18"/>
                <w:lang w:eastAsia="en-AU"/>
              </w:rPr>
              <mc:AlternateContent>
                <mc:Choice Requires="wpc">
                  <w:drawing>
                    <wp:inline distT="0" distB="0" distL="0" distR="0" wp14:anchorId="2373DF40" wp14:editId="2F484D47">
                      <wp:extent cx="5716270" cy="4177030"/>
                      <wp:effectExtent l="0" t="1270" r="2540" b="3175"/>
                      <wp:docPr id="401" name="Canvas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38" name="Group 336"/>
                              <wpg:cNvGrpSpPr>
                                <a:grpSpLocks/>
                              </wpg:cNvGrpSpPr>
                              <wpg:grpSpPr bwMode="auto">
                                <a:xfrm>
                                  <a:off x="219075" y="211455"/>
                                  <a:ext cx="4800600" cy="3771900"/>
                                  <a:chOff x="910" y="4236"/>
                                  <a:chExt cx="7560" cy="5940"/>
                                </a:xfrm>
                              </wpg:grpSpPr>
                              <wps:wsp>
                                <wps:cNvPr id="339" name="Rectangle 337"/>
                                <wps:cNvSpPr>
                                  <a:spLocks noChangeArrowheads="1"/>
                                </wps:cNvSpPr>
                                <wps:spPr bwMode="auto">
                                  <a:xfrm>
                                    <a:off x="3869" y="7178"/>
                                    <a:ext cx="1173" cy="5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Soil</w:t>
                                      </w:r>
                                    </w:p>
                                  </w:txbxContent>
                                </wps:txbx>
                                <wps:bodyPr rot="0" vert="horz" wrap="square" lIns="58522" tIns="29261" rIns="58522" bIns="29261" anchor="t" anchorCtr="0" upright="1">
                                  <a:noAutofit/>
                                </wps:bodyPr>
                              </wps:wsp>
                              <wps:wsp>
                                <wps:cNvPr id="340" name="Rectangle 338"/>
                                <wps:cNvSpPr>
                                  <a:spLocks noChangeArrowheads="1"/>
                                </wps:cNvSpPr>
                                <wps:spPr bwMode="auto">
                                  <a:xfrm>
                                    <a:off x="5447" y="5629"/>
                                    <a:ext cx="918" cy="5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Air</w:t>
                                      </w:r>
                                    </w:p>
                                  </w:txbxContent>
                                </wps:txbx>
                                <wps:bodyPr rot="0" vert="horz" wrap="square" lIns="58522" tIns="29261" rIns="58522" bIns="29261" anchor="t" anchorCtr="0" upright="1">
                                  <a:noAutofit/>
                                </wps:bodyPr>
                              </wps:wsp>
                              <wps:wsp>
                                <wps:cNvPr id="341" name="Rectangle 339"/>
                                <wps:cNvSpPr>
                                  <a:spLocks noChangeArrowheads="1"/>
                                </wps:cNvSpPr>
                                <wps:spPr bwMode="auto">
                                  <a:xfrm>
                                    <a:off x="975" y="5657"/>
                                    <a:ext cx="1974" cy="5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Pore water</w:t>
                                      </w:r>
                                    </w:p>
                                  </w:txbxContent>
                                </wps:txbx>
                                <wps:bodyPr rot="0" vert="horz" wrap="square" lIns="58522" tIns="29261" rIns="58522" bIns="29261" anchor="t" anchorCtr="0" upright="1">
                                  <a:noAutofit/>
                                </wps:bodyPr>
                              </wps:wsp>
                              <wps:wsp>
                                <wps:cNvPr id="342" name="Line 340"/>
                                <wps:cNvCnPr/>
                                <wps:spPr bwMode="auto">
                                  <a:xfrm flipV="1">
                                    <a:off x="4790" y="6398"/>
                                    <a:ext cx="612" cy="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Line 341"/>
                                <wps:cNvCnPr/>
                                <wps:spPr bwMode="auto">
                                  <a:xfrm>
                                    <a:off x="2881" y="6302"/>
                                    <a:ext cx="922"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Line 342"/>
                                <wps:cNvCnPr/>
                                <wps:spPr bwMode="auto">
                                  <a:xfrm flipH="1">
                                    <a:off x="4920" y="6511"/>
                                    <a:ext cx="551" cy="4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Line 343"/>
                                <wps:cNvCnPr/>
                                <wps:spPr bwMode="auto">
                                  <a:xfrm flipH="1" flipV="1">
                                    <a:off x="2949" y="6237"/>
                                    <a:ext cx="985" cy="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Rectangle 344"/>
                                <wps:cNvSpPr>
                                  <a:spLocks noChangeArrowheads="1"/>
                                </wps:cNvSpPr>
                                <wps:spPr bwMode="auto">
                                  <a:xfrm>
                                    <a:off x="1041" y="7173"/>
                                    <a:ext cx="1102" cy="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Plant</w:t>
                                      </w:r>
                                    </w:p>
                                  </w:txbxContent>
                                </wps:txbx>
                                <wps:bodyPr rot="0" vert="horz" wrap="square" lIns="58522" tIns="29261" rIns="58522" bIns="29261" anchor="t" anchorCtr="0" upright="1">
                                  <a:noAutofit/>
                                </wps:bodyPr>
                              </wps:wsp>
                              <wps:wsp>
                                <wps:cNvPr id="347" name="Line 345"/>
                                <wps:cNvCnPr/>
                                <wps:spPr bwMode="auto">
                                  <a:xfrm>
                                    <a:off x="1567" y="6302"/>
                                    <a:ext cx="2" cy="7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346"/>
                                <wps:cNvCnPr/>
                                <wps:spPr bwMode="auto">
                                  <a:xfrm flipV="1">
                                    <a:off x="1699" y="6302"/>
                                    <a:ext cx="1" cy="646"/>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9" name="Line 347"/>
                                <wps:cNvCnPr/>
                                <wps:spPr bwMode="auto">
                                  <a:xfrm flipH="1">
                                    <a:off x="2290" y="7335"/>
                                    <a:ext cx="14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Line 348"/>
                                <wps:cNvCnPr/>
                                <wps:spPr bwMode="auto">
                                  <a:xfrm flipV="1">
                                    <a:off x="2356" y="7464"/>
                                    <a:ext cx="1379"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1" name="Line 349"/>
                                <wps:cNvCnPr/>
                                <wps:spPr bwMode="auto">
                                  <a:xfrm flipH="1">
                                    <a:off x="1896" y="5204"/>
                                    <a:ext cx="0" cy="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350"/>
                                <wps:cNvCnPr/>
                                <wps:spPr bwMode="auto">
                                  <a:xfrm flipV="1">
                                    <a:off x="1764" y="5204"/>
                                    <a:ext cx="2" cy="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Rectangle 351"/>
                                <wps:cNvSpPr>
                                  <a:spLocks noChangeArrowheads="1"/>
                                </wps:cNvSpPr>
                                <wps:spPr bwMode="auto">
                                  <a:xfrm>
                                    <a:off x="910" y="4366"/>
                                    <a:ext cx="2498" cy="7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rPr>
                                          <w:color w:val="000000"/>
                                          <w:sz w:val="18"/>
                                          <w:szCs w:val="18"/>
                                        </w:rPr>
                                      </w:pPr>
                                    </w:p>
                                    <w:p w:rsidR="001C6BE7" w:rsidRDefault="001C6BE7" w:rsidP="006C2E16">
                                      <w:pPr>
                                        <w:autoSpaceDE w:val="0"/>
                                        <w:autoSpaceDN w:val="0"/>
                                        <w:adjustRightInd w:val="0"/>
                                        <w:rPr>
                                          <w:color w:val="000000"/>
                                          <w:sz w:val="18"/>
                                          <w:szCs w:val="18"/>
                                        </w:rPr>
                                      </w:pPr>
                                      <w:r>
                                        <w:rPr>
                                          <w:color w:val="000000"/>
                                          <w:sz w:val="18"/>
                                          <w:szCs w:val="18"/>
                                        </w:rPr>
                                        <w:t>Groundwater/surface water</w:t>
                                      </w:r>
                                    </w:p>
                                  </w:txbxContent>
                                </wps:txbx>
                                <wps:bodyPr rot="0" vert="horz" wrap="square" lIns="58522" tIns="29261" rIns="58522" bIns="29261" anchor="t" anchorCtr="0" upright="1">
                                  <a:noAutofit/>
                                </wps:bodyPr>
                              </wps:wsp>
                              <wps:wsp>
                                <wps:cNvPr id="354" name="Line 352"/>
                                <wps:cNvCnPr/>
                                <wps:spPr bwMode="auto">
                                  <a:xfrm>
                                    <a:off x="5118" y="7335"/>
                                    <a:ext cx="12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353"/>
                                <wps:cNvCnPr/>
                                <wps:spPr bwMode="auto">
                                  <a:xfrm flipH="1">
                                    <a:off x="5118" y="7464"/>
                                    <a:ext cx="12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Rectangle 354"/>
                                <wps:cNvSpPr>
                                  <a:spLocks noChangeArrowheads="1"/>
                                </wps:cNvSpPr>
                                <wps:spPr bwMode="auto">
                                  <a:xfrm>
                                    <a:off x="6762" y="7141"/>
                                    <a:ext cx="918" cy="5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 xml:space="preserve"> Dust</w:t>
                                      </w:r>
                                    </w:p>
                                  </w:txbxContent>
                                </wps:txbx>
                                <wps:bodyPr rot="0" vert="horz" wrap="square" lIns="58522" tIns="29261" rIns="58522" bIns="29261" anchor="t" anchorCtr="0" upright="1">
                                  <a:noAutofit/>
                                </wps:bodyPr>
                              </wps:wsp>
                              <wps:wsp>
                                <wps:cNvPr id="357" name="Line 355"/>
                                <wps:cNvCnPr/>
                                <wps:spPr bwMode="auto">
                                  <a:xfrm>
                                    <a:off x="4460" y="7852"/>
                                    <a:ext cx="0" cy="8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356"/>
                                <wps:cNvCnPr/>
                                <wps:spPr bwMode="auto">
                                  <a:xfrm flipV="1">
                                    <a:off x="4593" y="7852"/>
                                    <a:ext cx="0" cy="839"/>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9" name="Rectangle 357"/>
                                <wps:cNvSpPr>
                                  <a:spLocks noChangeArrowheads="1"/>
                                </wps:cNvSpPr>
                                <wps:spPr bwMode="auto">
                                  <a:xfrm>
                                    <a:off x="6482" y="8963"/>
                                    <a:ext cx="1644" cy="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Predator</w:t>
                                      </w:r>
                                    </w:p>
                                  </w:txbxContent>
                                </wps:txbx>
                                <wps:bodyPr rot="0" vert="horz" wrap="square" lIns="58522" tIns="29261" rIns="58522" bIns="29261" anchor="t" anchorCtr="0" upright="1">
                                  <a:noAutofit/>
                                </wps:bodyPr>
                              </wps:wsp>
                              <wps:wsp>
                                <wps:cNvPr id="360" name="Rectangle 358"/>
                                <wps:cNvSpPr>
                                  <a:spLocks noChangeArrowheads="1"/>
                                </wps:cNvSpPr>
                                <wps:spPr bwMode="auto">
                                  <a:xfrm>
                                    <a:off x="3422" y="9143"/>
                                    <a:ext cx="1436" cy="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ind w:hanging="540"/>
                                        <w:jc w:val="right"/>
                                        <w:rPr>
                                          <w:color w:val="000000"/>
                                          <w:sz w:val="18"/>
                                          <w:szCs w:val="18"/>
                                        </w:rPr>
                                      </w:pPr>
                                      <w:r>
                                        <w:rPr>
                                          <w:color w:val="000000"/>
                                          <w:sz w:val="18"/>
                                          <w:szCs w:val="18"/>
                                        </w:rPr>
                                        <w:t>Soil invertebrate</w:t>
                                      </w:r>
                                    </w:p>
                                  </w:txbxContent>
                                </wps:txbx>
                                <wps:bodyPr rot="0" vert="horz" wrap="square" lIns="58522" tIns="29261" rIns="58522" bIns="29261" anchor="t" anchorCtr="0" upright="1">
                                  <a:noAutofit/>
                                </wps:bodyPr>
                              </wps:wsp>
                              <wps:wsp>
                                <wps:cNvPr id="361" name="Line 359"/>
                                <wps:cNvCnPr/>
                                <wps:spPr bwMode="auto">
                                  <a:xfrm>
                                    <a:off x="4862" y="9323"/>
                                    <a:ext cx="150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Rectangle 360"/>
                                <wps:cNvSpPr>
                                  <a:spLocks noChangeArrowheads="1"/>
                                </wps:cNvSpPr>
                                <wps:spPr bwMode="auto">
                                  <a:xfrm>
                                    <a:off x="1340" y="5263"/>
                                    <a:ext cx="414" cy="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(1)</w:t>
                                      </w:r>
                                    </w:p>
                                  </w:txbxContent>
                                </wps:txbx>
                                <wps:bodyPr rot="0" vert="horz" wrap="square" lIns="58522" tIns="29261" rIns="58522" bIns="29261" upright="1">
                                  <a:noAutofit/>
                                </wps:bodyPr>
                              </wps:wsp>
                              <wps:wsp>
                                <wps:cNvPr id="363" name="Rectangle 361"/>
                                <wps:cNvSpPr>
                                  <a:spLocks noChangeArrowheads="1"/>
                                </wps:cNvSpPr>
                                <wps:spPr bwMode="auto">
                                  <a:xfrm>
                                    <a:off x="1173" y="6560"/>
                                    <a:ext cx="413" cy="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(2)</w:t>
                                      </w:r>
                                    </w:p>
                                  </w:txbxContent>
                                </wps:txbx>
                                <wps:bodyPr rot="0" vert="horz" wrap="square" lIns="58522" tIns="29261" rIns="58522" bIns="29261" upright="1">
                                  <a:noAutofit/>
                                </wps:bodyPr>
                              </wps:wsp>
                              <wps:wsp>
                                <wps:cNvPr id="364" name="Rectangle 362"/>
                                <wps:cNvSpPr>
                                  <a:spLocks noChangeArrowheads="1"/>
                                </wps:cNvSpPr>
                                <wps:spPr bwMode="auto">
                                  <a:xfrm>
                                    <a:off x="3277" y="6232"/>
                                    <a:ext cx="412" cy="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(3)</w:t>
                                      </w:r>
                                    </w:p>
                                  </w:txbxContent>
                                </wps:txbx>
                                <wps:bodyPr rot="0" vert="horz" wrap="square" lIns="58522" tIns="29261" rIns="58522" bIns="29261" upright="1">
                                  <a:noAutofit/>
                                </wps:bodyPr>
                              </wps:wsp>
                              <wps:wsp>
                                <wps:cNvPr id="365" name="Rectangle 363"/>
                                <wps:cNvSpPr>
                                  <a:spLocks noChangeArrowheads="1"/>
                                </wps:cNvSpPr>
                                <wps:spPr bwMode="auto">
                                  <a:xfrm>
                                    <a:off x="2817" y="8174"/>
                                    <a:ext cx="413" cy="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(4)</w:t>
                                      </w:r>
                                    </w:p>
                                  </w:txbxContent>
                                </wps:txbx>
                                <wps:bodyPr rot="0" vert="horz" wrap="square" lIns="58522" tIns="29261" rIns="58522" bIns="29261" upright="1">
                                  <a:noAutofit/>
                                </wps:bodyPr>
                              </wps:wsp>
                              <wps:wsp>
                                <wps:cNvPr id="366" name="Rectangle 364"/>
                                <wps:cNvSpPr>
                                  <a:spLocks noChangeArrowheads="1"/>
                                </wps:cNvSpPr>
                                <wps:spPr bwMode="auto">
                                  <a:xfrm>
                                    <a:off x="2059" y="6431"/>
                                    <a:ext cx="589" cy="3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(2)</w:t>
                                      </w:r>
                                    </w:p>
                                    <w:p w:rsidR="001C6BE7" w:rsidRDefault="001C6BE7" w:rsidP="006C2E16"/>
                                  </w:txbxContent>
                                </wps:txbx>
                                <wps:bodyPr rot="0" vert="horz" wrap="square" lIns="58522" tIns="29261" rIns="58522" bIns="29261" anchor="t" anchorCtr="0" upright="1">
                                  <a:noAutofit/>
                                </wps:bodyPr>
                              </wps:wsp>
                              <wps:wsp>
                                <wps:cNvPr id="367" name="Rectangle 365"/>
                                <wps:cNvSpPr>
                                  <a:spLocks noChangeArrowheads="1"/>
                                </wps:cNvSpPr>
                                <wps:spPr bwMode="auto">
                                  <a:xfrm>
                                    <a:off x="3962" y="8063"/>
                                    <a:ext cx="412" cy="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(5)</w:t>
                                      </w:r>
                                    </w:p>
                                  </w:txbxContent>
                                </wps:txbx>
                                <wps:bodyPr rot="0" vert="horz" wrap="square" lIns="58522" tIns="29261" rIns="58522" bIns="29261" upright="1">
                                  <a:noAutofit/>
                                </wps:bodyPr>
                              </wps:wsp>
                              <wps:wsp>
                                <wps:cNvPr id="368" name="Line 366"/>
                                <wps:cNvCnPr/>
                                <wps:spPr bwMode="auto">
                                  <a:xfrm>
                                    <a:off x="3343" y="5850"/>
                                    <a:ext cx="19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Line 367"/>
                                <wps:cNvCnPr/>
                                <wps:spPr bwMode="auto">
                                  <a:xfrm flipH="1">
                                    <a:off x="3277" y="5980"/>
                                    <a:ext cx="19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Rectangle 368"/>
                                <wps:cNvSpPr>
                                  <a:spLocks noChangeArrowheads="1"/>
                                </wps:cNvSpPr>
                                <wps:spPr bwMode="auto">
                                  <a:xfrm>
                                    <a:off x="5710" y="8963"/>
                                    <a:ext cx="525" cy="2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(4)</w:t>
                                      </w:r>
                                    </w:p>
                                    <w:p w:rsidR="001C6BE7" w:rsidRDefault="001C6BE7" w:rsidP="006C2E16">
                                      <w:pPr>
                                        <w:autoSpaceDE w:val="0"/>
                                        <w:autoSpaceDN w:val="0"/>
                                        <w:adjustRightInd w:val="0"/>
                                        <w:jc w:val="center"/>
                                        <w:rPr>
                                          <w:color w:val="FF0000"/>
                                          <w:sz w:val="18"/>
                                          <w:szCs w:val="18"/>
                                        </w:rPr>
                                      </w:pPr>
                                    </w:p>
                                  </w:txbxContent>
                                </wps:txbx>
                                <wps:bodyPr rot="0" vert="horz" wrap="square" lIns="58522" tIns="29261" rIns="58522" bIns="29261" upright="1">
                                  <a:noAutofit/>
                                </wps:bodyPr>
                              </wps:wsp>
                              <wps:wsp>
                                <wps:cNvPr id="371" name="Line 369"/>
                                <wps:cNvCnPr/>
                                <wps:spPr bwMode="auto">
                                  <a:xfrm>
                                    <a:off x="2158" y="7852"/>
                                    <a:ext cx="1624" cy="1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Rectangle 370"/>
                                <wps:cNvSpPr>
                                  <a:spLocks noChangeArrowheads="1"/>
                                </wps:cNvSpPr>
                                <wps:spPr bwMode="auto">
                                  <a:xfrm>
                                    <a:off x="6498" y="8109"/>
                                    <a:ext cx="526" cy="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(12)</w:t>
                                      </w:r>
                                    </w:p>
                                  </w:txbxContent>
                                </wps:txbx>
                                <wps:bodyPr rot="0" vert="horz" wrap="square" lIns="58522" tIns="29261" rIns="58522" bIns="29261" upright="1">
                                  <a:noAutofit/>
                                </wps:bodyPr>
                              </wps:wsp>
                              <wps:wsp>
                                <wps:cNvPr id="373" name="Rectangle 371"/>
                                <wps:cNvSpPr>
                                  <a:spLocks noChangeArrowheads="1"/>
                                </wps:cNvSpPr>
                                <wps:spPr bwMode="auto">
                                  <a:xfrm>
                                    <a:off x="4526" y="6302"/>
                                    <a:ext cx="525" cy="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(6)</w:t>
                                      </w:r>
                                    </w:p>
                                  </w:txbxContent>
                                </wps:txbx>
                                <wps:bodyPr rot="0" vert="horz" wrap="square" lIns="58522" tIns="29261" rIns="58522" bIns="29261" upright="1">
                                  <a:noAutofit/>
                                </wps:bodyPr>
                              </wps:wsp>
                              <wps:wsp>
                                <wps:cNvPr id="374" name="Rectangle 372"/>
                                <wps:cNvSpPr>
                                  <a:spLocks noChangeArrowheads="1"/>
                                </wps:cNvSpPr>
                                <wps:spPr bwMode="auto">
                                  <a:xfrm>
                                    <a:off x="2553" y="7529"/>
                                    <a:ext cx="414" cy="53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(3)</w:t>
                                      </w:r>
                                    </w:p>
                                    <w:p w:rsidR="001C6BE7" w:rsidRDefault="001C6BE7" w:rsidP="006C2E16"/>
                                  </w:txbxContent>
                                </wps:txbx>
                                <wps:bodyPr rot="0" vert="horz" wrap="square" lIns="58522" tIns="29261" rIns="58522" bIns="29261" upright="1">
                                  <a:noAutofit/>
                                </wps:bodyPr>
                              </wps:wsp>
                              <wps:wsp>
                                <wps:cNvPr id="375" name="Rectangle 373"/>
                                <wps:cNvSpPr>
                                  <a:spLocks noChangeArrowheads="1"/>
                                </wps:cNvSpPr>
                                <wps:spPr bwMode="auto">
                                  <a:xfrm>
                                    <a:off x="4131" y="5464"/>
                                    <a:ext cx="525" cy="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(8)</w:t>
                                      </w:r>
                                    </w:p>
                                  </w:txbxContent>
                                </wps:txbx>
                                <wps:bodyPr rot="0" vert="horz" wrap="square" lIns="58522" tIns="29261" rIns="58522" bIns="29261" upright="1">
                                  <a:noAutofit/>
                                </wps:bodyPr>
                              </wps:wsp>
                              <wps:wsp>
                                <wps:cNvPr id="376" name="Line 374"/>
                                <wps:cNvCnPr/>
                                <wps:spPr bwMode="auto">
                                  <a:xfrm>
                                    <a:off x="7090" y="7788"/>
                                    <a:ext cx="0" cy="9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Line 375"/>
                                <wps:cNvCnPr/>
                                <wps:spPr bwMode="auto">
                                  <a:xfrm flipV="1">
                                    <a:off x="7222" y="7788"/>
                                    <a:ext cx="0" cy="9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Rectangle 376"/>
                                <wps:cNvSpPr>
                                  <a:spLocks noChangeArrowheads="1"/>
                                </wps:cNvSpPr>
                                <wps:spPr bwMode="auto">
                                  <a:xfrm>
                                    <a:off x="4657" y="4817"/>
                                    <a:ext cx="525" cy="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(9)</w:t>
                                      </w:r>
                                    </w:p>
                                  </w:txbxContent>
                                </wps:txbx>
                                <wps:bodyPr rot="0" vert="horz" wrap="square" lIns="58522" tIns="29261" rIns="58522" bIns="29261" upright="1">
                                  <a:noAutofit/>
                                </wps:bodyPr>
                              </wps:wsp>
                              <wps:wsp>
                                <wps:cNvPr id="379" name="Line 377"/>
                                <wps:cNvCnPr/>
                                <wps:spPr bwMode="auto">
                                  <a:xfrm>
                                    <a:off x="3540" y="4946"/>
                                    <a:ext cx="217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Line 378"/>
                                <wps:cNvCnPr/>
                                <wps:spPr bwMode="auto">
                                  <a:xfrm rot="60000" flipH="1" flipV="1">
                                    <a:off x="3475" y="4817"/>
                                    <a:ext cx="2497"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Rectangle 379"/>
                                <wps:cNvSpPr>
                                  <a:spLocks noChangeArrowheads="1"/>
                                </wps:cNvSpPr>
                                <wps:spPr bwMode="auto">
                                  <a:xfrm>
                                    <a:off x="5447" y="7011"/>
                                    <a:ext cx="525" cy="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(10)</w:t>
                                      </w:r>
                                    </w:p>
                                  </w:txbxContent>
                                </wps:txbx>
                                <wps:bodyPr rot="0" vert="horz" wrap="square" lIns="58522" tIns="29261" rIns="58522" bIns="29261" upright="1">
                                  <a:noAutofit/>
                                </wps:bodyPr>
                              </wps:wsp>
                              <wps:wsp>
                                <wps:cNvPr id="382" name="Line 380"/>
                                <wps:cNvCnPr/>
                                <wps:spPr bwMode="auto">
                                  <a:xfrm rot="4996458" flipV="1">
                                    <a:off x="6248" y="6355"/>
                                    <a:ext cx="601"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Line 381"/>
                                <wps:cNvCnPr/>
                                <wps:spPr bwMode="auto">
                                  <a:xfrm rot="15725298" flipV="1">
                                    <a:off x="6380" y="6290"/>
                                    <a:ext cx="601"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Line 382"/>
                                <wps:cNvCnPr/>
                                <wps:spPr bwMode="auto">
                                  <a:xfrm>
                                    <a:off x="6499" y="5914"/>
                                    <a:ext cx="1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83"/>
                                <wps:cNvCnPr/>
                                <wps:spPr bwMode="auto">
                                  <a:xfrm flipH="1">
                                    <a:off x="7945" y="5914"/>
                                    <a:ext cx="0" cy="27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384"/>
                                <wps:cNvCnPr/>
                                <wps:spPr bwMode="auto">
                                  <a:xfrm>
                                    <a:off x="1982" y="6263"/>
                                    <a:ext cx="180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385"/>
                                <wps:cNvCnPr/>
                                <wps:spPr bwMode="auto">
                                  <a:xfrm>
                                    <a:off x="5042" y="7703"/>
                                    <a:ext cx="1512" cy="9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386"/>
                                <wps:cNvCnPr/>
                                <wps:spPr bwMode="auto">
                                  <a:xfrm>
                                    <a:off x="3540" y="4559"/>
                                    <a:ext cx="3550" cy="0"/>
                                  </a:xfrm>
                                  <a:prstGeom prst="line">
                                    <a:avLst/>
                                  </a:prstGeom>
                                  <a:noFill/>
                                  <a:ln w="9525">
                                    <a:solidFill>
                                      <a:srgbClr val="000000"/>
                                    </a:solidFill>
                                    <a:round/>
                                    <a:headEnd type="triangle" w="lg" len="lg"/>
                                    <a:tailEnd/>
                                  </a:ln>
                                  <a:extLst>
                                    <a:ext uri="{909E8E84-426E-40DD-AFC4-6F175D3DCCD1}">
                                      <a14:hiddenFill xmlns:a14="http://schemas.microsoft.com/office/drawing/2010/main">
                                        <a:noFill/>
                                      </a14:hiddenFill>
                                    </a:ext>
                                  </a:extLst>
                                </wps:spPr>
                                <wps:bodyPr/>
                              </wps:wsp>
                              <wps:wsp>
                                <wps:cNvPr id="389" name="Line 387"/>
                                <wps:cNvCnPr/>
                                <wps:spPr bwMode="auto">
                                  <a:xfrm>
                                    <a:off x="7090" y="4559"/>
                                    <a:ext cx="0" cy="2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388"/>
                                <wps:cNvSpPr>
                                  <a:spLocks noChangeArrowheads="1"/>
                                </wps:cNvSpPr>
                                <wps:spPr bwMode="auto">
                                  <a:xfrm>
                                    <a:off x="4657" y="4236"/>
                                    <a:ext cx="525" cy="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Pr="00BE0DB9" w:rsidRDefault="001C6BE7" w:rsidP="006C2E16">
                                      <w:pPr>
                                        <w:rPr>
                                          <w:color w:val="FF0000"/>
                                          <w:sz w:val="18"/>
                                          <w:szCs w:val="18"/>
                                        </w:rPr>
                                      </w:pPr>
                                      <w:r w:rsidRPr="00BE0DB9">
                                        <w:rPr>
                                          <w:color w:val="FF0000"/>
                                          <w:sz w:val="18"/>
                                          <w:szCs w:val="18"/>
                                        </w:rPr>
                                        <w:t>(13)</w:t>
                                      </w:r>
                                    </w:p>
                                  </w:txbxContent>
                                </wps:txbx>
                                <wps:bodyPr rot="0" vert="horz" wrap="square" lIns="58522" tIns="29261" rIns="58522" bIns="29261" upright="1">
                                  <a:noAutofit/>
                                </wps:bodyPr>
                              </wps:wsp>
                              <wps:wsp>
                                <wps:cNvPr id="391" name="Rectangle 389"/>
                                <wps:cNvSpPr>
                                  <a:spLocks noChangeArrowheads="1"/>
                                </wps:cNvSpPr>
                                <wps:spPr bwMode="auto">
                                  <a:xfrm>
                                    <a:off x="7945" y="6948"/>
                                    <a:ext cx="525" cy="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(12)</w:t>
                                      </w:r>
                                    </w:p>
                                    <w:p w:rsidR="001C6BE7" w:rsidRDefault="001C6BE7" w:rsidP="006C2E16"/>
                                    <w:p w:rsidR="001C6BE7" w:rsidRDefault="001C6BE7" w:rsidP="006C2E16"/>
                                  </w:txbxContent>
                                </wps:txbx>
                                <wps:bodyPr rot="0" vert="horz" wrap="square" lIns="58522" tIns="29261" rIns="58522" bIns="29261" upright="1">
                                  <a:noAutofit/>
                                </wps:bodyPr>
                              </wps:wsp>
                              <wps:wsp>
                                <wps:cNvPr id="392" name="Rectangle 390"/>
                                <wps:cNvSpPr>
                                  <a:spLocks noChangeArrowheads="1"/>
                                </wps:cNvSpPr>
                                <wps:spPr bwMode="auto">
                                  <a:xfrm>
                                    <a:off x="5972" y="6560"/>
                                    <a:ext cx="525" cy="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(11)</w:t>
                                      </w:r>
                                    </w:p>
                                    <w:p w:rsidR="001C6BE7" w:rsidRDefault="001C6BE7" w:rsidP="006C2E16"/>
                                  </w:txbxContent>
                                </wps:txbx>
                                <wps:bodyPr rot="0" vert="horz" wrap="square" lIns="58522" tIns="29261" rIns="58522" bIns="29261" upright="1">
                                  <a:noAutofit/>
                                </wps:bodyPr>
                              </wps:wsp>
                              <wps:wsp>
                                <wps:cNvPr id="393" name="Rectangle 391"/>
                                <wps:cNvSpPr>
                                  <a:spLocks noChangeArrowheads="1"/>
                                </wps:cNvSpPr>
                                <wps:spPr bwMode="auto">
                                  <a:xfrm>
                                    <a:off x="3540" y="9789"/>
                                    <a:ext cx="1973" cy="3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Herbivore</w:t>
                                      </w:r>
                                    </w:p>
                                    <w:p w:rsidR="001C6BE7" w:rsidRDefault="001C6BE7" w:rsidP="006C2E16"/>
                                  </w:txbxContent>
                                </wps:txbx>
                                <wps:bodyPr rot="0" vert="horz" wrap="square" lIns="58522" tIns="29261" rIns="58522" bIns="29261" anchor="t" anchorCtr="0" upright="1">
                                  <a:noAutofit/>
                                </wps:bodyPr>
                              </wps:wsp>
                              <wps:wsp>
                                <wps:cNvPr id="394" name="AutoShape 392"/>
                                <wps:cNvCnPr>
                                  <a:cxnSpLocks noChangeShapeType="1"/>
                                  <a:endCxn id="359" idx="2"/>
                                </wps:cNvCnPr>
                                <wps:spPr bwMode="auto">
                                  <a:xfrm flipV="1">
                                    <a:off x="5582" y="9543"/>
                                    <a:ext cx="1722" cy="47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5" name="AutoShape 393"/>
                                <wps:cNvCnPr>
                                  <a:cxnSpLocks noChangeShapeType="1"/>
                                </wps:cNvCnPr>
                                <wps:spPr bwMode="auto">
                                  <a:xfrm rot="16200000" flipH="1">
                                    <a:off x="1403" y="7847"/>
                                    <a:ext cx="2325" cy="194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6" name="Rectangle 394"/>
                                <wps:cNvSpPr>
                                  <a:spLocks noChangeArrowheads="1"/>
                                </wps:cNvSpPr>
                                <wps:spPr bwMode="auto">
                                  <a:xfrm>
                                    <a:off x="2422" y="9596"/>
                                    <a:ext cx="413" cy="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(4)</w:t>
                                      </w:r>
                                    </w:p>
                                    <w:p w:rsidR="001C6BE7" w:rsidRDefault="001C6BE7" w:rsidP="006C2E16"/>
                                    <w:p w:rsidR="001C6BE7" w:rsidRDefault="001C6BE7" w:rsidP="006C2E16"/>
                                  </w:txbxContent>
                                </wps:txbx>
                                <wps:bodyPr rot="0" vert="horz" wrap="square" lIns="58522" tIns="29261" rIns="58522" bIns="29261" upright="1">
                                  <a:noAutofit/>
                                </wps:bodyPr>
                              </wps:wsp>
                              <wps:wsp>
                                <wps:cNvPr id="397" name="Rectangle 395"/>
                                <wps:cNvSpPr>
                                  <a:spLocks noChangeArrowheads="1"/>
                                </wps:cNvSpPr>
                                <wps:spPr bwMode="auto">
                                  <a:xfrm>
                                    <a:off x="6169" y="9596"/>
                                    <a:ext cx="413" cy="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(4)</w:t>
                                      </w:r>
                                    </w:p>
                                    <w:p w:rsidR="001C6BE7" w:rsidRDefault="001C6BE7" w:rsidP="006C2E16"/>
                                  </w:txbxContent>
                                </wps:txbx>
                                <wps:bodyPr rot="0" vert="horz" wrap="square" lIns="58522" tIns="29261" rIns="58522" bIns="29261" upright="1">
                                  <a:noAutofit/>
                                </wps:bodyPr>
                              </wps:wsp>
                              <wps:wsp>
                                <wps:cNvPr id="398" name="Rectangle 396"/>
                                <wps:cNvSpPr>
                                  <a:spLocks noChangeArrowheads="1"/>
                                </wps:cNvSpPr>
                                <wps:spPr bwMode="auto">
                                  <a:xfrm>
                                    <a:off x="5402" y="7703"/>
                                    <a:ext cx="526" cy="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pPr>
                                        <w:autoSpaceDE w:val="0"/>
                                        <w:autoSpaceDN w:val="0"/>
                                        <w:adjustRightInd w:val="0"/>
                                        <w:jc w:val="center"/>
                                        <w:rPr>
                                          <w:color w:val="FF0000"/>
                                          <w:sz w:val="18"/>
                                          <w:szCs w:val="18"/>
                                        </w:rPr>
                                      </w:pPr>
                                      <w:r>
                                        <w:rPr>
                                          <w:color w:val="FF0000"/>
                                          <w:sz w:val="18"/>
                                          <w:szCs w:val="18"/>
                                        </w:rPr>
                                        <w:t>(7)</w:t>
                                      </w:r>
                                    </w:p>
                                    <w:p w:rsidR="001C6BE7" w:rsidRDefault="001C6BE7" w:rsidP="006C2E16"/>
                                  </w:txbxContent>
                                </wps:txbx>
                                <wps:bodyPr rot="0" vert="horz" wrap="square" lIns="58522" tIns="29261" rIns="58522" bIns="29261" upright="1">
                                  <a:noAutofit/>
                                </wps:bodyPr>
                              </wps:wsp>
                            </wpg:wgp>
                            <wps:wsp>
                              <wps:cNvPr id="399" name="Line 397"/>
                              <wps:cNvCnPr/>
                              <wps:spPr bwMode="auto">
                                <a:xfrm>
                                  <a:off x="2743200" y="2420620"/>
                                  <a:ext cx="1143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Text Box 398"/>
                              <wps:cNvSpPr txBox="1">
                                <a:spLocks noChangeArrowheads="1"/>
                              </wps:cNvSpPr>
                              <wps:spPr bwMode="auto">
                                <a:xfrm>
                                  <a:off x="2743200" y="2992120"/>
                                  <a:ext cx="3587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color w:val="FF0000"/>
                                        <w:sz w:val="18"/>
                                        <w:szCs w:val="18"/>
                                      </w:rPr>
                                      <w:t>(7)</w:t>
                                    </w:r>
                                  </w:p>
                                </w:txbxContent>
                              </wps:txbx>
                              <wps:bodyPr rot="0" vert="horz" wrap="square" lIns="91440" tIns="45720" rIns="91440" bIns="45720" anchor="t" anchorCtr="0" upright="1">
                                <a:noAutofit/>
                              </wps:bodyPr>
                            </wps:wsp>
                          </wpc:wpc>
                        </a:graphicData>
                      </a:graphic>
                    </wp:inline>
                  </w:drawing>
                </mc:Choice>
                <mc:Fallback>
                  <w:pict>
                    <v:group id="Canvas 401" o:spid="_x0000_s1037" editas="canvas" style="width:450.1pt;height:328.9pt;mso-position-horizontal-relative:char;mso-position-vertical-relative:line" coordsize="57162,4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">
                      <v:shape id="_x0000_s1038" type="#_x0000_t75" style="position:absolute;width:57162;height:41770;visibility:visible;mso-wrap-style:square">
                        <v:fill o:detectmouseclick="t"/>
                        <v:path o:connecttype="none"/>
                      </v:shape>
                      <v:group id="Group 336" o:spid="_x0000_s1039" style="position:absolute;left:2190;top:2114;width:48006;height:37719" coordorigin="910,4236" coordsize="7560,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337" o:spid="_x0000_s1040" style="position:absolute;left:3869;top:7178;width:1173;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AK8YA&#10;AADcAAAADwAAAGRycy9kb3ducmV2LnhtbESPQWvCQBSE74X+h+UVehGzSYViY1YpBUFUSpvm4u2R&#10;fSbR7NuQXWP677uC0OMwM98w2Wo0rRiod41lBUkUgyAurW64UlD8rKdzEM4ja2wtk4JfcrBaPj5k&#10;mGp75W8acl+JAGGXooLa+y6V0pU1GXSR7YiDd7S9QR9kX0nd4zXATStf4vhVGmw4LNTY0UdN5Tm/&#10;GAXD/LDb4+cp2Q6lTk6HSfG1ywulnp/G9wUIT6P/D9/bG61gNnuD2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AAK8YAAADcAAAADwAAAAAAAAAAAAAAAACYAgAAZHJz&#10;L2Rvd25yZXYueG1sUEsFBgAAAAAEAAQA9QAAAIsDAAAAAA==&#10;" filled="f" fillcolor="#bbe0e3">
                          <v:textbox inset="1.62561mm,.81281mm,1.62561mm,.81281mm">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Soil</w:t>
                                </w:r>
                              </w:p>
                            </w:txbxContent>
                          </v:textbox>
                        </v:rect>
                        <v:rect id="Rectangle 338" o:spid="_x0000_s1041" style="position:absolute;left:5447;top:5629;width:91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ay8MA&#10;AADcAAAADwAAAGRycy9kb3ducmV2LnhtbERPTWvCQBC9C/0PyxR6Ed2kikh0lVIQpIq0MRdvQ3ZM&#10;otnZkN3G+O/dg+Dx8b6X697UoqPWVZYVxOMIBHFudcWFguy4Gc1BOI+ssbZMCu7kYL16Gywx0fbG&#10;f9SlvhAhhF2CCkrvm0RKl5dk0I1tQxy4s20N+gDbQuoWbyHc1PIzimbSYMWhocSGvkvKr+m/UdDN&#10;T7s9Hi7xT5fr+HIaZr+7NFPq473/WoDw1PuX+OneagWTaZgfzo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zay8MAAADcAAAADwAAAAAAAAAAAAAAAACYAgAAZHJzL2Rv&#10;d25yZXYueG1sUEsFBgAAAAAEAAQA9QAAAIgDAAAAAA==&#10;" filled="f" fillcolor="#bbe0e3">
                          <v:textbox inset="1.62561mm,.81281mm,1.62561mm,.81281mm">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Air</w:t>
                                </w:r>
                              </w:p>
                            </w:txbxContent>
                          </v:textbox>
                        </v:rect>
                        <v:rect id="Rectangle 339" o:spid="_x0000_s1042" style="position:absolute;left:975;top:5657;width:1974;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UMYA&#10;AADcAAAADwAAAGRycy9kb3ducmV2LnhtbESPQWvCQBSE7wX/w/IKvRTdRItI6ioiCKJSNObi7ZF9&#10;TWKzb0N2G+O/d4VCj8PMfMPMl72pRUetqywriEcRCOLc6ooLBdl5M5yBcB5ZY22ZFNzJwXIxeJlj&#10;ou2NT9SlvhABwi5BBaX3TSKly0sy6Ea2IQ7et20N+iDbQuoWbwFuajmOoqk0WHFYKLGhdUn5T/pr&#10;FHSzy/6AX9d41+U6vl7es+M+zZR6e+1XnyA89f4//NfeagWTjx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UMYAAADcAAAADwAAAAAAAAAAAAAAAACYAgAAZHJz&#10;L2Rvd25yZXYueG1sUEsFBgAAAAAEAAQA9QAAAIsDAAAAAA==&#10;" filled="f" fillcolor="#bbe0e3">
                          <v:textbox inset="1.62561mm,.81281mm,1.62561mm,.81281mm">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Pore water</w:t>
                                </w:r>
                              </w:p>
                            </w:txbxContent>
                          </v:textbox>
                        </v:rect>
                        <v:line id="Line 340" o:spid="_x0000_s1043" style="position:absolute;flip:y;visibility:visible;mso-wrap-style:square" from="4790,6398" to="5402,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7FMUAAADcAAAADwAAAGRycy9kb3ducmV2LnhtbESPT2vCQBDF74V+h2UKXoJuNKW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57FMUAAADcAAAADwAAAAAAAAAA&#10;AAAAAAChAgAAZHJzL2Rvd25yZXYueG1sUEsFBgAAAAAEAAQA+QAAAJMDAAAAAA==&#10;">
                          <v:stroke endarrow="block"/>
                        </v:line>
                        <v:line id="Line 341" o:spid="_x0000_s1044" style="position:absolute;visibility:visible;mso-wrap-style:square" from="2881,6302" to="3803,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line id="Line 342" o:spid="_x0000_s1045" style="position:absolute;flip:x;visibility:visible;mso-wrap-style:square" from="4920,6511" to="547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G+8UAAADcAAAADwAAAGRycy9kb3ducmV2LnhtbESPQWvCQBCF7wX/wzKCl6CbGil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tG+8UAAADcAAAADwAAAAAAAAAA&#10;AAAAAAChAgAAZHJzL2Rvd25yZXYueG1sUEsFBgAAAAAEAAQA+QAAAJMDAAAAAA==&#10;">
                          <v:stroke endarrow="block"/>
                        </v:line>
                        <v:line id="Line 343" o:spid="_x0000_s1046" style="position:absolute;flip:x y;visibility:visible;mso-wrap-style:square" from="2949,6237" to="3934,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zcMYAAADcAAAADwAAAGRycy9kb3ducmV2LnhtbESPT2vCQBTE7wW/w/IEb3VjbcVGVxGh&#10;0IMX/2CvL9lnNpp9m2TXmH77bqHQ4zAzv2GW695WoqPWl44VTMYJCOLc6ZILBafjx/MchA/IGivH&#10;pOCbPKxXg6clpto9eE/dIRQiQtinqMCEUKdS+tyQRT92NXH0Lq61GKJsC6lbfES4reRLksykxZLj&#10;gsGatoby2+FuFXTZfXI97/Y3n30179ncNNtdM1NqNOw3CxCB+vAf/mt/agXT1z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uc3DGAAAA3AAAAA8AAAAAAAAA&#10;AAAAAAAAoQIAAGRycy9kb3ducmV2LnhtbFBLBQYAAAAABAAEAPkAAACUAwAAAAA=&#10;">
                          <v:stroke endarrow="block"/>
                        </v:line>
                        <v:rect id="Rectangle 344" o:spid="_x0000_s1047" style="position:absolute;left:1041;top:7173;width:110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nJMYA&#10;AADcAAAADwAAAGRycy9kb3ducmV2LnhtbESPQWvCQBSE7wX/w/IKXopuokUkzUakUBCV0sZcvD2y&#10;r0ls9m3IrjH9912h0OMwM98w6WY0rRiod41lBfE8AkFcWt1wpaA4vc3WIJxH1thaJgU/5GCTTR5S&#10;TLS98ScNua9EgLBLUEHtfZdI6cqaDLq57YiD92V7gz7IvpK6x1uAm1YuomglDTYcFmrs6LWm8ju/&#10;GgXD+nw44vsl3g+lji/np+LjkBdKTR/H7QsIT6P/D/+1d1rB8nkF9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nnJMYAAADcAAAADwAAAAAAAAAAAAAAAACYAgAAZHJz&#10;L2Rvd25yZXYueG1sUEsFBgAAAAAEAAQA9QAAAIsDAAAAAA==&#10;" filled="f" fillcolor="#bbe0e3">
                          <v:textbox inset="1.62561mm,.81281mm,1.62561mm,.81281mm">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Plant</w:t>
                                </w:r>
                              </w:p>
                            </w:txbxContent>
                          </v:textbox>
                        </v:rect>
                        <v:line id="Line 345" o:spid="_x0000_s1048" style="position:absolute;visibility:visible;mso-wrap-style:square" from="1567,6302" to="1569,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fH8UAAADcAAAADwAAAGRycy9kb3ducmV2LnhtbESPQWsCMRSE74X+h/AK3mrWVrq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afH8UAAADcAAAADwAAAAAAAAAA&#10;AAAAAAChAgAAZHJzL2Rvd25yZXYueG1sUEsFBgAAAAAEAAQA+QAAAJMDAAAAAA==&#10;">
                          <v:stroke endarrow="block"/>
                        </v:line>
                        <v:line id="Line 346" o:spid="_x0000_s1049" style="position:absolute;flip:y;visibility:visible;mso-wrap-style:square" from="1699,6302" to="1700,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AcsIAAADcAAAADwAAAGRycy9kb3ducmV2LnhtbERP3WrCMBS+F/YO4Qx2Z1O3ItIZRQbC&#10;xhCm6wMcmmMbTE66Jtp2T79cDLz8+P7X29FZcaM+GM8KFlkOgrj22nCjoPrez1cgQkTWaD2TgokC&#10;bDcPszWW2g98pNspNiKFcChRQRtjV0oZ6pYchsx3xIk7+95hTLBvpO5xSOHOyuc8X0qHhlNDix29&#10;tVRfTlenwK6mZlgerj9fvx95dSis+dyPRqmnx3H3CiLSGO/if/e7VvBSpLXpTDo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JAcsIAAADcAAAADwAAAAAAAAAAAAAA&#10;AAChAgAAZHJzL2Rvd25yZXYueG1sUEsFBgAAAAAEAAQA+QAAAJADAAAAAA==&#10;">
                          <v:stroke dashstyle="1 1" endarrow="block"/>
                        </v:line>
                        <v:line id="Line 347" o:spid="_x0000_s1050" style="position:absolute;flip:x;visibility:visible;mso-wrap-style:square" from="2290,7335" to="3737,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line id="Line 348" o:spid="_x0000_s1051" style="position:absolute;flip:y;visibility:visible;mso-wrap-style:square" from="2356,7464" to="3735,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aqcIAAADcAAAADwAAAGRycy9kb3ducmV2LnhtbERP3WrCMBS+H/gO4QjezXS6iXRNRQRB&#10;GcLmfIBDc9aGJSe1ibbu6ZcLwcuP779YDc6KK3XBeFbwMs1AEFdeG64VnL63z0sQISJrtJ5JwY0C&#10;rMrRU4G59j1/0fUYa5FCOOSooImxzaUMVUMOw9S3xIn78Z3DmGBXS91hn8KdlbMsW0iHhlNDgy1t&#10;Gqp+jxenwC5vdb84XM6ff/vsdHi15mM7GKUm42H9DiLSEB/iu3unFczf0vx0Jh0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3aqcIAAADcAAAADwAAAAAAAAAAAAAA&#10;AAChAgAAZHJzL2Rvd25yZXYueG1sUEsFBgAAAAAEAAQA+QAAAJADAAAAAA==&#10;">
                          <v:stroke dashstyle="1 1" endarrow="block"/>
                        </v:line>
                        <v:line id="Line 349" o:spid="_x0000_s1052" style="position:absolute;flip:x;visibility:visible;mso-wrap-style:square" from="1896,5204" to="1896,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zvsUAAADcAAAADwAAAGRycy9kb3ducmV2LnhtbESPQWvCQBCF70L/wzIFL0E3Nlja6Cpt&#10;VShID9UePA7ZMQlmZ0N21PTfdwuCx8eb971582XvGnWhLtSeDUzGKSjiwtuaSwM/+83oBVQQZIuN&#10;ZzLwSwGWi4fBHHPrr/xNl52UKkI45GigEmlzrUNRkcMw9i1x9I6+cyhRdqW2HV4j3DX6KU2ftcOa&#10;Y0OFLX1UVJx2Zxff2HzxKsuSd6eT5JXWB9mmWowZPvZvM1BCvdyPb+l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VzvsUAAADcAAAADwAAAAAAAAAA&#10;AAAAAAChAgAAZHJzL2Rvd25yZXYueG1sUEsFBgAAAAAEAAQA+QAAAJMDAAAAAA==&#10;">
                          <v:stroke endarrow="block"/>
                        </v:line>
                        <v:line id="Line 350" o:spid="_x0000_s1053" style="position:absolute;flip:y;visibility:visible;mso-wrap-style:square" from="1764,5204" to="1766,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tycUAAADcAAAADwAAAGRycy9kb3ducmV2LnhtbESPT2vCQBDF74V+h2UKXoJuNLS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ftycUAAADcAAAADwAAAAAAAAAA&#10;AAAAAAChAgAAZHJzL2Rvd25yZXYueG1sUEsFBgAAAAAEAAQA+QAAAJMDAAAAAA==&#10;">
                          <v:stroke endarrow="block"/>
                        </v:line>
                        <v:rect id="Rectangle 351" o:spid="_x0000_s1054" style="position:absolute;left:910;top:4366;width:249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SYcYA&#10;AADcAAAADwAAAGRycy9kb3ducmV2LnhtbESPQWvCQBSE74L/YXmCl1I3URRJXUWEQqlFNObi7ZF9&#10;TWKzb0N2G+O/dwsFj8PMfMOsNr2pRUetqywriCcRCOLc6ooLBdn5/XUJwnlkjbVlUnAnB5v1cLDC&#10;RNsbn6hLfSEChF2CCkrvm0RKl5dk0E1sQxy8b9sa9EG2hdQt3gLc1HIaRQtpsOKwUGJDu5Lyn/TX&#10;KOiWl/0XHq7xZ5fr+Hp5yY77NFNqPOq3byA89f4Z/m9/aAWz+Qz+zoQj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fSYcYAAADcAAAADwAAAAAAAAAAAAAAAACYAgAAZHJz&#10;L2Rvd25yZXYueG1sUEsFBgAAAAAEAAQA9QAAAIsDAAAAAA==&#10;" filled="f" fillcolor="#bbe0e3">
                          <v:textbox inset="1.62561mm,.81281mm,1.62561mm,.81281mm">
                            <w:txbxContent>
                              <w:p w:rsidR="001C6BE7" w:rsidRDefault="001C6BE7" w:rsidP="006C2E16">
                                <w:pPr>
                                  <w:autoSpaceDE w:val="0"/>
                                  <w:autoSpaceDN w:val="0"/>
                                  <w:adjustRightInd w:val="0"/>
                                  <w:rPr>
                                    <w:color w:val="000000"/>
                                    <w:sz w:val="18"/>
                                    <w:szCs w:val="18"/>
                                  </w:rPr>
                                </w:pPr>
                              </w:p>
                              <w:p w:rsidR="001C6BE7" w:rsidRDefault="001C6BE7" w:rsidP="006C2E16">
                                <w:pPr>
                                  <w:autoSpaceDE w:val="0"/>
                                  <w:autoSpaceDN w:val="0"/>
                                  <w:adjustRightInd w:val="0"/>
                                  <w:rPr>
                                    <w:color w:val="000000"/>
                                    <w:sz w:val="18"/>
                                    <w:szCs w:val="18"/>
                                  </w:rPr>
                                </w:pPr>
                                <w:r>
                                  <w:rPr>
                                    <w:color w:val="000000"/>
                                    <w:sz w:val="18"/>
                                    <w:szCs w:val="18"/>
                                  </w:rPr>
                                  <w:t>Groundwater/surface water</w:t>
                                </w:r>
                              </w:p>
                            </w:txbxContent>
                          </v:textbox>
                        </v:rect>
                        <v:line id="Line 352" o:spid="_x0000_s1055" style="position:absolute;visibility:visible;mso-wrap-style:square" from="5118,7335" to="6367,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2XtcUAAADcAAAADwAAAGRycy9kb3ducmV2LnhtbESPQWsCMRSE74L/ITyhN81qa61bo5Qu&#10;goe2oJaeXzevm8XNy7KJa/rvTUHocZiZb5jVJtpG9NT52rGC6SQDQVw6XXOl4PO4HT+B8AFZY+OY&#10;FPySh816OFhhrt2F99QfQiUShH2OCkwIbS6lLw1Z9BPXEifvx3UWQ5JdJXWHlwS3jZxl2aO0WHNa&#10;MNjSq6HydDhbBQtT7OVCFm/Hj6Kvp8v4Hr++l0rdjeLLM4hAMfyHb+2dVnA/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2XtcUAAADcAAAADwAAAAAAAAAA&#10;AAAAAAChAgAAZHJzL2Rvd25yZXYueG1sUEsFBgAAAAAEAAQA+QAAAJMDAAAAAA==&#10;">
                          <v:stroke endarrow="block"/>
                        </v:line>
                        <v:line id="Line 353" o:spid="_x0000_s1056" style="position:absolute;flip:x;visibility:visible;mso-wrap-style:square" from="5118,7464" to="6367,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1vcUAAADcAAAADwAAAGRycy9kb3ducmV2LnhtbESPQWvCQBCF7wX/wzKCl6CbGix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51vcUAAADcAAAADwAAAAAAAAAA&#10;AAAAAAChAgAAZHJzL2Rvd25yZXYueG1sUEsFBgAAAAAEAAQA+QAAAJMDAAAAAA==&#10;">
                          <v:stroke endarrow="block"/>
                        </v:line>
                        <v:rect id="Rectangle 354" o:spid="_x0000_s1057" style="position:absolute;left:6762;top:7141;width:91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x+cYA&#10;AADcAAAADwAAAGRycy9kb3ducmV2LnhtbESPQWvCQBSE7wX/w/IKXopuolQkzUakUBCV0sZcvD2y&#10;r0ls9m3IrjH9912h0OMwM98w6WY0rRiod41lBfE8AkFcWt1wpaA4vc3WIJxH1thaJgU/5GCTTR5S&#10;TLS98ScNua9EgLBLUEHtfZdI6cqaDLq57YiD92V7gz7IvpK6x1uAm1YuomglDTYcFmrs6LWm8ju/&#10;GgXD+nw44vsl3g+lji/np+LjkBdKTR/H7QsIT6P/D/+1d1rB8nkF9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Bx+cYAAADcAAAADwAAAAAAAAAAAAAAAACYAgAAZHJz&#10;L2Rvd25yZXYueG1sUEsFBgAAAAAEAAQA9QAAAIsDAAAAAA==&#10;" filled="f" fillcolor="#bbe0e3">
                          <v:textbox inset="1.62561mm,.81281mm,1.62561mm,.81281mm">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 xml:space="preserve"> Dust</w:t>
                                </w:r>
                              </w:p>
                            </w:txbxContent>
                          </v:textbox>
                        </v:rect>
                        <v:line id="Line 355" o:spid="_x0000_s1058" style="position:absolute;visibility:visible;mso-wrap-style:square" from="4460,7852" to="4460,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line id="Line 356" o:spid="_x0000_s1059" style="position:absolute;flip:y;visibility:visible;mso-wrap-style:square" from="4593,7852" to="4593,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Wr8IAAADcAAAADwAAAGRycy9kb3ducmV2LnhtbERP3WrCMBS+H/gO4QjezXS6iXRNRQRB&#10;GcLmfIBDc9aGJSe1ibbu6ZcLwcuP779YDc6KK3XBeFbwMs1AEFdeG64VnL63z0sQISJrtJ5JwY0C&#10;rMrRU4G59j1/0fUYa5FCOOSooImxzaUMVUMOw9S3xIn78Z3DmGBXS91hn8KdlbMsW0iHhlNDgy1t&#10;Gqp+jxenwC5vdb84XM6ff/vsdHi15mM7GKUm42H9DiLSEB/iu3unFczf0tp0Jh0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vWr8IAAADcAAAADwAAAAAAAAAAAAAA&#10;AAChAgAAZHJzL2Rvd25yZXYueG1sUEsFBgAAAAAEAAQA+QAAAJADAAAAAA==&#10;">
                          <v:stroke dashstyle="1 1" endarrow="block"/>
                        </v:line>
                        <v:rect id="Rectangle 357" o:spid="_x0000_s1060" style="position:absolute;left:6482;top:8963;width:1644;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i8cA&#10;AADcAAAADwAAAGRycy9kb3ducmV2LnhtbESPQWvCQBSE74X+h+UVvJS6ScWSpq4iQkFUxKa5eHtk&#10;X5PY7NuQXWP8965Q6HGYmW+Y2WIwjeipc7VlBfE4AkFcWF1zqSD//nxJQDiPrLGxTAqu5GAxf3yY&#10;Yarthb+oz3wpAoRdigoq79tUSldUZNCNbUscvB/bGfRBdqXUHV4C3DTyNYrepMGaw0KFLa0qKn6z&#10;s1HQJ8ftDveneNMXOj4dn/PDNsuVGj0Nyw8Qngb/H/5rr7WCyfQd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5YvHAAAA3AAAAA8AAAAAAAAAAAAAAAAAmAIAAGRy&#10;cy9kb3ducmV2LnhtbFBLBQYAAAAABAAEAPUAAACMAwAAAAA=&#10;" filled="f" fillcolor="#bbe0e3">
                          <v:textbox inset="1.62561mm,.81281mm,1.62561mm,.81281mm">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Predator</w:t>
                                </w:r>
                              </w:p>
                            </w:txbxContent>
                          </v:textbox>
                        </v:rect>
                        <v:rect id="Rectangle 358" o:spid="_x0000_s1061" style="position:absolute;left:3422;top:9143;width:143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Gq8MA&#10;AADcAAAADwAAAGRycy9kb3ducmV2LnhtbERPTWuDQBC9B/oflinkEprVFCTYbKQUCqWG0hgvuQ3u&#10;RE3cWXG3av5991Do8fG+d9lsOjHS4FrLCuJ1BIK4srrlWkF5en/agnAeWWNnmRTcyUG2f1jsMNV2&#10;4iONha9FCGGXooLG+z6V0lUNGXRr2xMH7mIHgz7AoZZ6wCmEm05uoiiRBlsODQ329NZQdSt+jIJx&#10;e84P+HWNP8dKx9fzqvzOi1Kp5eP8+gLC0+z/xX/uD63gOQnzw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mGq8MAAADcAAAADwAAAAAAAAAAAAAAAACYAgAAZHJzL2Rv&#10;d25yZXYueG1sUEsFBgAAAAAEAAQA9QAAAIgDAAAAAA==&#10;" filled="f" fillcolor="#bbe0e3">
                          <v:textbox inset="1.62561mm,.81281mm,1.62561mm,.81281mm">
                            <w:txbxContent>
                              <w:p w:rsidR="001C6BE7" w:rsidRDefault="001C6BE7" w:rsidP="006C2E16">
                                <w:pPr>
                                  <w:autoSpaceDE w:val="0"/>
                                  <w:autoSpaceDN w:val="0"/>
                                  <w:adjustRightInd w:val="0"/>
                                  <w:ind w:hanging="540"/>
                                  <w:jc w:val="right"/>
                                  <w:rPr>
                                    <w:color w:val="000000"/>
                                    <w:sz w:val="18"/>
                                    <w:szCs w:val="18"/>
                                  </w:rPr>
                                </w:pPr>
                                <w:r>
                                  <w:rPr>
                                    <w:color w:val="000000"/>
                                    <w:sz w:val="18"/>
                                    <w:szCs w:val="18"/>
                                  </w:rPr>
                                  <w:t>Soil invertebrate</w:t>
                                </w:r>
                              </w:p>
                            </w:txbxContent>
                          </v:textbox>
                        </v:rect>
                        <v:line id="Line 359" o:spid="_x0000_s1062" style="position:absolute;visibility:visible;mso-wrap-style:square" from="4862,9323" to="6367,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kMUAAADcAAAADwAAAGRycy9kb3ducmV2LnhtbESPQWsCMRSE74X+h/AK3mp2K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kMUAAADcAAAADwAAAAAAAAAA&#10;AAAAAAChAgAAZHJzL2Rvd25yZXYueG1sUEsFBgAAAAAEAAQA+QAAAJMDAAAAAA==&#10;">
                          <v:stroke endarrow="block"/>
                        </v:line>
                        <v:rect id="Rectangle 360" o:spid="_x0000_s1063" style="position:absolute;left:1340;top:5263;width:414;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5c+cQA&#10;AADcAAAADwAAAGRycy9kb3ducmV2LnhtbESPQYvCMBSE78L+h/AW9iKaqihSjbIrLLjeWgU9Pppn&#10;W21eShNr998bQfA4zMw3zHLdmUq01LjSsoLRMAJBnFldcq7gsP8dzEE4j6yxskwK/snBevXRW2Ks&#10;7Z0TalOfiwBhF6OCwvs6ltJlBRl0Q1sTB+9sG4M+yCaXusF7gJtKjqNoJg2WHBYKrGlTUHZNb0ZB&#10;UqeXc37q77bJNPo7/IzmLR+dUl+f3fcChKfOv8Ov9lYrmMzG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XPnEAAAA3AAAAA8AAAAAAAAAAAAAAAAAmAIAAGRycy9k&#10;b3ducmV2LnhtbFBLBQYAAAAABAAEAPUAAACJAw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(1)</w:t>
                                </w:r>
                              </w:p>
                            </w:txbxContent>
                          </v:textbox>
                        </v:rect>
                        <v:rect id="Rectangle 361" o:spid="_x0000_s1064" style="position:absolute;left:1173;top:6560;width:41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5YsYA&#10;AADcAAAADwAAAGRycy9kb3ducmV2LnhtbESPQWvCQBSE7wX/w/KEXkrdqDRIdBNUEGxvSQP1+Mg+&#10;k7TZtyG7xvTfdwuFHoeZ+YbZZZPpxEiDay0rWC4iEMSV1S3XCsr30/MGhPPIGjvLpOCbHGTp7GGH&#10;ibZ3zmksfC0ChF2CChrv+0RKVzVk0C1sTxy8qx0M+iCHWuoB7wFuOrmKolgabDksNNjTsaHqq7gZ&#10;BXlffF7ry9PbOX+JXsvDcjPyh1PqcT7ttyA8Tf4//Nc+awXreA2/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L5YsYAAADcAAAADwAAAAAAAAAAAAAAAACYAgAAZHJz&#10;L2Rvd25yZXYueG1sUEsFBgAAAAAEAAQA9QAAAIsDA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(2)</w:t>
                                </w:r>
                              </w:p>
                            </w:txbxContent>
                          </v:textbox>
                        </v:rect>
                        <v:rect id="Rectangle 362" o:spid="_x0000_s1065" style="position:absolute;left:3277;top:6232;width:41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FsUA&#10;AADcAAAADwAAAGRycy9kb3ducmV2LnhtbESPQWvCQBSE7wX/w/IEL0U3WisSXcUWBO0tUdDjI/tM&#10;otm3IbvG9N+7BaHHYWa+YZbrzlSipcaVlhWMRxEI4szqknMFx8N2OAfhPLLGyjIp+CUH61XvbYmx&#10;tg9OqE19LgKEXYwKCu/rWEqXFWTQjWxNHLyLbQz6IJtc6gYfAW4qOYmimTRYclgosKbvgrJbejcK&#10;kjq9XvLz+88u+Yz2x6/xvOWTU2rQ7zYLEJ46/x9+tXdawcdsC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EWxQAAANwAAAAPAAAAAAAAAAAAAAAAAJgCAABkcnMv&#10;ZG93bnJldi54bWxQSwUGAAAAAAQABAD1AAAAigM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(3)</w:t>
                                </w:r>
                              </w:p>
                            </w:txbxContent>
                          </v:textbox>
                        </v:rect>
                        <v:rect id="Rectangle 363" o:spid="_x0000_s1066" style="position:absolute;left:2817;top:8174;width:41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EjcYA&#10;AADcAAAADwAAAGRycy9kb3ducmV2LnhtbESPQWvCQBSE7wX/w/KEXkrdxBKR6CoqCGlvSYV6fGSf&#10;Sdrs25Bdk/TfdwuFHoeZ+YbZ7ifTioF611hWEC8iEMSl1Q1XCi7v5+c1COeRNbaWScE3OdjvZg9b&#10;TLUdOaeh8JUIEHYpKqi971IpXVmTQbewHXHwbrY36IPsK6l7HAPctHIZRStpsOGwUGNHp5rKr+Ju&#10;FORd8Xmrrk9vWZ5Er5djvB74wyn1OJ8OGxCeJv8f/mtnWsHLKoH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EjcYAAADcAAAADwAAAAAAAAAAAAAAAACYAgAAZHJz&#10;L2Rvd25yZXYueG1sUEsFBgAAAAAEAAQA9QAAAIsDA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(4)</w:t>
                                </w:r>
                              </w:p>
                            </w:txbxContent>
                          </v:textbox>
                        </v:rect>
                        <v:rect id="Rectangle 364" o:spid="_x0000_s1067" style="position:absolute;left:2059;top:6431;width:58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a+sUA&#10;AADcAAAADwAAAGRycy9kb3ducmV2LnhtbESPQWvCQBSE7wX/w/KEXkrdWDFI6iq2IFhviQF7fGSf&#10;SWr2bciuMf33riB4HGbmG2a5HkwjeupcbVnBdBKBIC6srrlUkB+27wsQziNrbCyTgn9ysF6NXpaY&#10;aHvllPrMlyJA2CWooPK+TaR0RUUG3cS2xME72c6gD7Irpe7wGuCmkR9RFEuDNYeFClv6rqg4Zxej&#10;IG2zv1P5+7bfpfPoJ/+aLno+OqVex8PmE4SnwT/Dj/ZOK5jFM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Vr6xQAAANwAAAAPAAAAAAAAAAAAAAAAAJgCAABkcnMv&#10;ZG93bnJldi54bWxQSwUGAAAAAAQABAD1AAAAigM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(2)</w:t>
                                </w:r>
                              </w:p>
                              <w:p w:rsidR="001C6BE7" w:rsidRDefault="001C6BE7" w:rsidP="006C2E16"/>
                            </w:txbxContent>
                          </v:textbox>
                        </v:rect>
                        <v:rect id="Rectangle 365" o:spid="_x0000_s1068" style="position:absolute;left:3962;top:8063;width:41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cYA&#10;AADcAAAADwAAAGRycy9kb3ducmV2LnhtbESPT2vCQBTE70K/w/IKXkQ3VrSSZpW2IFhvSQP2+Mi+&#10;/Gmzb0N2jem37xYEj8PM/IZJ9qNpxUC9aywrWC4iEMSF1Q1XCvLPw3wLwnlkja1lUvBLDva7h0mC&#10;sbZXTmnIfCUChF2MCmrvu1hKV9Rk0C1sRxy80vYGfZB9JXWP1wA3rXyKoo002HBYqLGj95qKn+xi&#10;FKRd9l1WX7PTMV1HH/nbcjvw2Sk1fRxfX0B4Gv09fGsftYLV5hn+z4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n/YcYAAADcAAAADwAAAAAAAAAAAAAAAACYAgAAZHJz&#10;L2Rvd25yZXYueG1sUEsFBgAAAAAEAAQA9QAAAIsDA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(5)</w:t>
                                </w:r>
                              </w:p>
                            </w:txbxContent>
                          </v:textbox>
                        </v:rect>
                        <v:line id="Line 366" o:spid="_x0000_s1069" style="position:absolute;visibility:visible;mso-wrap-style:square" from="3343,5850" to="5316,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XDcIAAADcAAAADwAAAGRycy9kb3ducmV2LnhtbERPy2oCMRTdC/5DuEJ3mrEF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xXDcIAAADcAAAADwAAAAAAAAAAAAAA&#10;AAChAgAAZHJzL2Rvd25yZXYueG1sUEsFBgAAAAAEAAQA+QAAAJADAAAAAA==&#10;">
                          <v:stroke endarrow="block"/>
                        </v:line>
                        <v:line id="Line 367" o:spid="_x0000_s1070" style="position:absolute;flip:x;visibility:visible;mso-wrap-style:square" from="3277,5980" to="524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rect id="Rectangle 368" o:spid="_x0000_s1071" style="position:absolute;left:5710;top:8963;width:52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xyMMA&#10;AADcAAAADwAAAGRycy9kb3ducmV2LnhtbERPz2vCMBS+D/wfwhN2GTZ1QyfVKDoYOG/tCnp8NM+2&#10;W/NSkqx2//1yGHj8+H5vdqPpxEDOt5YVzJMUBHFldcu1gvLzfbYC4QOyxs4yKfglD7vt5GGDmbY3&#10;zmkoQi1iCPsMFTQh9JmUvmrIoE9sTxy5q3UGQ4SultrhLYabTj6n6VIabDk2NNjTW0PVd/FjFOR9&#10;8XWtL0+nY75IP8rDfDXw2Sv1OB33axCBxnAX/7uPWsHLa5wf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nxyMMAAADcAAAADwAAAAAAAAAAAAAAAACYAgAAZHJzL2Rv&#10;d25yZXYueG1sUEsFBgAAAAAEAAQA9QAAAIgDA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(4)</w:t>
                                </w:r>
                              </w:p>
                              <w:p w:rsidR="001C6BE7" w:rsidRDefault="001C6BE7" w:rsidP="006C2E16">
                                <w:pPr>
                                  <w:autoSpaceDE w:val="0"/>
                                  <w:autoSpaceDN w:val="0"/>
                                  <w:adjustRightInd w:val="0"/>
                                  <w:jc w:val="center"/>
                                  <w:rPr>
                                    <w:color w:val="FF0000"/>
                                    <w:sz w:val="18"/>
                                    <w:szCs w:val="18"/>
                                  </w:rPr>
                                </w:pPr>
                              </w:p>
                            </w:txbxContent>
                          </v:textbox>
                        </v:rect>
                        <v:line id="Line 369" o:spid="_x0000_s1072" style="position:absolute;visibility:visible;mso-wrap-style:square" from="2158,7852" to="378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rect id="Rectangle 370" o:spid="_x0000_s1073" style="position:absolute;left:6498;top:8109;width:52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KJMUA&#10;AADcAAAADwAAAGRycy9kb3ducmV2LnhtbESPT2vCQBTE7wW/w/IEL0U3WvxD6ioqCLa3xIA9PrLP&#10;JG32bciuMf323YLgcZiZ3zDrbW9q0VHrKssKppMIBHFudcWFgux8HK9AOI+ssbZMCn7JwXYzeFlj&#10;rO2dE+pSX4gAYRejgtL7JpbS5SUZdBPbEAfvaluDPsi2kLrFe4CbWs6iaCENVhwWSmzoUFL+k96M&#10;gqRJv6/F1+vnKZlHH9l+uur44pQaDfvdOwhPvX+GH+2TVvC2nMH/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okxQAAANwAAAAPAAAAAAAAAAAAAAAAAJgCAABkcnMv&#10;ZG93bnJldi54bWxQSwUGAAAAAAQABAD1AAAAigM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(12)</w:t>
                                </w:r>
                              </w:p>
                            </w:txbxContent>
                          </v:textbox>
                        </v:rect>
                        <v:rect id="Rectangle 371" o:spid="_x0000_s1074" style="position:absolute;left:4526;top:6302;width:52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vv8UA&#10;AADcAAAADwAAAGRycy9kb3ducmV2LnhtbESPQWvCQBSE7wX/w/IEL0U3Kq0SXUWFgvaWKOjxkX0m&#10;0ezbkF1j+u/dQqHHYWa+YZbrzlSipcaVlhWMRxEI4szqknMFp+PXcA7CeWSNlWVS8EMO1qve2xJj&#10;bZ+cUJv6XAQIuxgVFN7XsZQuK8igG9maOHhX2xj0QTa51A0+A9xUchJFn9JgyWGhwJp2BWX39GEU&#10;JHV6u+aX9+998hEdTtvxvOWzU2rQ7zYLEJ46/x/+a++1gulsCr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2+/xQAAANwAAAAPAAAAAAAAAAAAAAAAAJgCAABkcnMv&#10;ZG93bnJldi54bWxQSwUGAAAAAAQABAD1AAAAigM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(6)</w:t>
                                </w:r>
                              </w:p>
                            </w:txbxContent>
                          </v:textbox>
                        </v:rect>
                        <v:rect id="Rectangle 372" o:spid="_x0000_s1075" style="position:absolute;left:2553;top:7529;width:41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3y8UA&#10;AADcAAAADwAAAGRycy9kb3ducmV2LnhtbESPQWvCQBSE74L/YXmCF6kbtVZJXaUVBOstUbDHR/aZ&#10;RLNvQ3aN6b/vFgoeh5n5hlltOlOJlhpXWlYwGUcgiDOrS84VnI67lyUI55E1VpZJwQ852Kz7vRXG&#10;2j44oTb1uQgQdjEqKLyvYyldVpBBN7Y1cfAutjHog2xyqRt8BLip5DSK3qTBksNCgTVtC8pu6d0o&#10;SOr0esm/R4d9Mo++Tp+TZctnp9Rw0H28g/DU+Wf4v73XCmaL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vfLxQAAANwAAAAPAAAAAAAAAAAAAAAAAJgCAABkcnMv&#10;ZG93bnJldi54bWxQSwUGAAAAAAQABAD1AAAAigM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(3)</w:t>
                                </w:r>
                              </w:p>
                              <w:p w:rsidR="001C6BE7" w:rsidRDefault="001C6BE7" w:rsidP="006C2E16"/>
                            </w:txbxContent>
                          </v:textbox>
                        </v:rect>
                        <v:rect id="Rectangle 373" o:spid="_x0000_s1076" style="position:absolute;left:4131;top:5464;width:52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SUMUA&#10;AADcAAAADwAAAGRycy9kb3ducmV2LnhtbESPQWvCQBSE7wX/w/IEL0U3KlaJrqKCYHtLFPT4yD6T&#10;aPZtyK4x/ffdQqHHYWa+YVabzlSipcaVlhWMRxEI4szqknMF59NhuADhPLLGyjIp+CYHm3XvbYWx&#10;ti9OqE19LgKEXYwKCu/rWEqXFWTQjWxNHLybbQz6IJtc6gZfAW4qOYmiD2mw5LBQYE37grJH+jQK&#10;kjq93/Lr+9cxmUWf59140fLFKTXod9slCE+d/w//tY9awXQ+g9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lJQxQAAANwAAAAPAAAAAAAAAAAAAAAAAJgCAABkcnMv&#10;ZG93bnJldi54bWxQSwUGAAAAAAQABAD1AAAAigM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(8)</w:t>
                                </w:r>
                              </w:p>
                            </w:txbxContent>
                          </v:textbox>
                        </v:rect>
                        <v:line id="Line 374" o:spid="_x0000_s1077" style="position:absolute;visibility:visible;mso-wrap-style:square" from="7090,7788" to="7090,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wOcUAAADcAAAADwAAAGRycy9kb3ducmV2LnhtbESPQWsCMRSE70L/Q3gFb5pVwa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bwOcUAAADcAAAADwAAAAAAAAAA&#10;AAAAAAChAgAAZHJzL2Rvd25yZXYueG1sUEsFBgAAAAAEAAQA+QAAAJMDAAAAAA==&#10;">
                          <v:stroke endarrow="block"/>
                        </v:line>
                        <v:line id="Line 375" o:spid="_x0000_s1078" style="position:absolute;flip:y;visibility:visible;mso-wrap-style:square" from="7222,7788" to="7222,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SMcUAAADcAAAADwAAAGRycy9kb3ducmV2LnhtbESPQWvCQBCF74L/YZmCl1A3bUDb6Cq2&#10;KhSkh6qHHofsmIRmZ0N21PTfdwuCx8eb971582XvGnWhLtSeDTyNU1DEhbc1lwaOh+3jC6ggyBYb&#10;z2TglwIsF8PBHHPrr/xFl72UKkI45GigEmlzrUNRkcMw9i1x9E6+cyhRdqW2HV4j3DX6OU0n2mHN&#10;saHClt4rKn72Zxff2H7yOsuSN6eT5JU237JLtRgzeuhXM1BCvdyPb+kPayCbT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USMcUAAADcAAAADwAAAAAAAAAA&#10;AAAAAAChAgAAZHJzL2Rvd25yZXYueG1sUEsFBgAAAAAEAAQA+QAAAJMDAAAAAA==&#10;">
                          <v:stroke endarrow="block"/>
                        </v:line>
                        <v:rect id="Rectangle 376" o:spid="_x0000_s1079" style="position:absolute;left:4657;top:4817;width:52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9zsMA&#10;AADcAAAADwAAAGRycy9kb3ducmV2LnhtbERPz2vCMBS+D/wfwhN2GTZ1QyfVKDoYOG/tCnp8NM+2&#10;W/NSkqx2//1yGHj8+H5vdqPpxEDOt5YVzJMUBHFldcu1gvLzfbYC4QOyxs4yKfglD7vt5GGDmbY3&#10;zmkoQi1iCPsMFTQh9JmUvmrIoE9sTxy5q3UGQ4SultrhLYabTj6n6VIabDk2NNjTW0PVd/FjFOR9&#10;8XWtL0+nY75IP8rDfDXw2Sv1OB33axCBxnAX/7uPWsHLa1wb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9zsMAAADcAAAADwAAAAAAAAAAAAAAAACYAgAAZHJzL2Rv&#10;d25yZXYueG1sUEsFBgAAAAAEAAQA9QAAAIgDA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(9)</w:t>
                                </w:r>
                              </w:p>
                            </w:txbxContent>
                          </v:textbox>
                        </v:rect>
                        <v:line id="Line 377" o:spid="_x0000_s1080" style="position:absolute;visibility:visible;mso-wrap-style:square" from="3540,4946" to="5710,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kS8UAAADcAAAADwAAAGRycy9kb3ducmV2LnhtbESPQWvCQBSE74X+h+UVeqsbK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lkS8UAAADcAAAADwAAAAAAAAAA&#10;AAAAAAChAgAAZHJzL2Rvd25yZXYueG1sUEsFBgAAAAAEAAQA+QAAAJMDAAAAAA==&#10;">
                          <v:stroke endarrow="block"/>
                        </v:line>
                        <v:line id="Line 378" o:spid="_x0000_s1081" style="position:absolute;rotation:1;flip:x y;visibility:visible;mso-wrap-style:square" from="3475,4817" to="597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Q8AAAADcAAAADwAAAGRycy9kb3ducmV2LnhtbERPy4rCMBTdC/MP4Q6407QOinSMMqMj&#10;KC7Ex+wvzbUpNjelibb+vVkILg/nPVt0thJ3anzpWEE6TEAQ506XXCg4n9aDKQgfkDVWjknBgzws&#10;5h+9GWbatXyg+zEUIoawz1CBCaHOpPS5IYt+6GriyF1cYzFE2BRSN9jGcFvJUZJMpMWSY4PBmpaG&#10;8uvxZhX8ncvTeLe/jel/5LZtan9TuzJK9T+7n28QgbrwFr/cG63gaxrnxzPx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5O0PAAAAA3AAAAA8AAAAAAAAAAAAAAAAA&#10;oQIAAGRycy9kb3ducmV2LnhtbFBLBQYAAAAABAAEAPkAAACOAwAAAAA=&#10;">
                          <v:stroke endarrow="block"/>
                        </v:line>
                        <v:rect id="Rectangle 379" o:spid="_x0000_s1082" style="position:absolute;left:5447;top:7011;width:52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dMUA&#10;AADcAAAADwAAAGRycy9kb3ducmV2LnhtbESPT2vCQBTE74LfYXlCL1I3aamENKuoINjekgr2+Mi+&#10;/KnZtyG7xvTbdwuFHoeZ+Q2TbSfTiZEG11pWEK8iEMSl1S3XCs4fx8cEhPPIGjvLpOCbHGw381mG&#10;qbZ3zmksfC0ChF2KChrv+1RKVzZk0K1sTxy8yg4GfZBDLfWA9wA3nXyKorU02HJYaLCnQ0PltbgZ&#10;BXlffFX15/L9lL9Eb+d9nIx8cUo9LKbdKwhPk/8P/7VPWsFzEsP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CR0xQAAANwAAAAPAAAAAAAAAAAAAAAAAJgCAABkcnMv&#10;ZG93bnJldi54bWxQSwUGAAAAAAQABAD1AAAAigM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(10)</w:t>
                                </w:r>
                              </w:p>
                            </w:txbxContent>
                          </v:textbox>
                        </v:rect>
                        <v:line id="Line 380" o:spid="_x0000_s1083" style="position:absolute;rotation:-5457465fd;flip:y;visibility:visible;mso-wrap-style:square" from="6248,6355" to="6849,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aO8QAAADcAAAADwAAAGRycy9kb3ducmV2LnhtbESP3WrCQBSE7wu+w3IE7+rGCFajq6hF&#10;CPSi/uQBDtmTH8yeDdltjG/vFgq9HGbmG2azG0wjeupcbVnBbBqBIM6trrlUkN1O70sQziNrbCyT&#10;gic52G1HbxtMtH3whfqrL0WAsEtQQeV9m0jp8ooMuqltiYNX2M6gD7Irpe7wEeCmkXEULaTBmsNC&#10;hS0dK8rv1x+jYH/+KlJL8yyNv0/D6vDZZ/qjUGoyHvZrEJ4G/x/+a6dawXwZw++ZcAT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to7xAAAANwAAAAPAAAAAAAAAAAA&#10;AAAAAKECAABkcnMvZG93bnJldi54bWxQSwUGAAAAAAQABAD5AAAAkgMAAAAA&#10;">
                          <v:stroke endarrow="block"/>
                        </v:line>
                        <v:line id="Line 381" o:spid="_x0000_s1084" style="position:absolute;rotation:6416741fd;flip:y;visibility:visible;mso-wrap-style:square" from="6380,6290" to="6981,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ocUAAADcAAAADwAAAGRycy9kb3ducmV2LnhtbESPS4vCQBCE78L+h6EXvCzrxAeLZB1F&#10;BF94MoYFb02mTaKZnpAZNf57R1jwWFTVV9Rk1ppK3KhxpWUF/V4EgjizuuRcQXpYfo9BOI+ssbJM&#10;Ch7kYDb96Eww1vbOe7olPhcBwi5GBYX3dSylywoy6Hq2Jg7eyTYGfZBNLnWD9wA3lRxE0Y80WHJY&#10;KLCmRUHZJbkaBYfqjxbzdboafa3SXXnabul4PirV/WznvyA8tf4d/m9vtILheAiv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RocUAAADcAAAADwAAAAAAAAAA&#10;AAAAAAChAgAAZHJzL2Rvd25yZXYueG1sUEsFBgAAAAAEAAQA+QAAAJMDAAAAAA==&#10;">
                          <v:stroke endarrow="block"/>
                        </v:line>
                        <v:line id="Line 382" o:spid="_x0000_s1085" style="position:absolute;visibility:visible;mso-wrap-style:square" from="6499,5914" to="7945,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383" o:spid="_x0000_s1086" style="position:absolute;flip:x;visibility:visible;mso-wrap-style:square" from="7945,5914" to="7945,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Z+sUAAADcAAAADwAAAGRycy9kb3ducmV2LnhtbESPQWvCQBCF70L/wzIFL6Fu2qD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5Z+sUAAADcAAAADwAAAAAAAAAA&#10;AAAAAAChAgAAZHJzL2Rvd25yZXYueG1sUEsFBgAAAAAEAAQA+QAAAJMDAAAAAA==&#10;">
                          <v:stroke endarrow="block"/>
                        </v:line>
                        <v:line id="Line 384" o:spid="_x0000_s1087" style="position:absolute;visibility:visible;mso-wrap-style:square" from="1982,6263" to="3782,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v:line id="Line 385" o:spid="_x0000_s1088" style="position:absolute;visibility:visible;mso-wrap-style:square" from="5042,7703" to="6554,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line id="Line 386" o:spid="_x0000_s1089" style="position:absolute;visibility:visible;mso-wrap-style:square" from="3540,4559" to="7090,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8NMb8AAADcAAAADwAAAGRycy9kb3ducmV2LnhtbERPy4rCMBTdC/5DuII7TVUQqUYZxjco&#10;YkdmfWmubbG5KU3U+vdmIbg8nPds0ZhSPKh2hWUFg34Egji1uuBMweVv3ZuAcB5ZY2mZFLzIwWLe&#10;bs0w1vbJZ3okPhMhhF2MCnLvq1hKl+Zk0PVtRRy4q60N+gDrTOoanyHclHIYRWNpsODQkGNFvzml&#10;t+RuFOxOS+P+r8el3d+2pUk2q+ZgL0p1O83PFISnxn/FH/dOKxhNwtpwJhwB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28NMb8AAADcAAAADwAAAAAAAAAAAAAAAACh&#10;AgAAZHJzL2Rvd25yZXYueG1sUEsFBgAAAAAEAAQA+QAAAI0DAAAAAA==&#10;">
                          <v:stroke startarrow="block" startarrowwidth="wide" startarrowlength="long"/>
                        </v:line>
                        <v:line id="Line 387" o:spid="_x0000_s1090" style="position:absolute;visibility:visible;mso-wrap-style:square" from="7090,4559" to="7090,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rect id="Rectangle 388" o:spid="_x0000_s1091" style="position:absolute;left:4657;top:4236;width:52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XMsMA&#10;AADcAAAADwAAAGRycy9kb3ducmV2LnhtbERPTWvCQBC9F/wPywi9lLpJi6LRNWihkHpLKuhxyI5J&#10;2uxsyG6T9N93DwWPj/e9SyfTioF611hWEC8iEMSl1Q1XCs6f789rEM4ja2wtk4JfcpDuZw87TLQd&#10;Oaeh8JUIIewSVFB73yVSurImg25hO+LA3Wxv0AfYV1L3OIZw08qXKFpJgw2Hhho7equp/C5+jIK8&#10;K75u1fXplOXL6ON8jNcDX5xSj/PpsAXhafJ38b870wpeN2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XMsMAAADcAAAADwAAAAAAAAAAAAAAAACYAgAAZHJzL2Rv&#10;d25yZXYueG1sUEsFBgAAAAAEAAQA9QAAAIgDAAAAAA==&#10;" filled="f" fillcolor="#bbe0e3" stroked="f">
                          <v:textbox inset="1.62561mm,.81281mm,1.62561mm,.81281mm">
                            <w:txbxContent>
                              <w:p w:rsidR="001C6BE7" w:rsidRPr="00BE0DB9" w:rsidRDefault="001C6BE7" w:rsidP="006C2E16">
                                <w:pPr>
                                  <w:rPr>
                                    <w:color w:val="FF0000"/>
                                    <w:sz w:val="18"/>
                                    <w:szCs w:val="18"/>
                                  </w:rPr>
                                </w:pPr>
                                <w:r w:rsidRPr="00BE0DB9">
                                  <w:rPr>
                                    <w:color w:val="FF0000"/>
                                    <w:sz w:val="18"/>
                                    <w:szCs w:val="18"/>
                                  </w:rPr>
                                  <w:t>(13)</w:t>
                                </w:r>
                              </w:p>
                            </w:txbxContent>
                          </v:textbox>
                        </v:rect>
                        <v:rect id="Rectangle 389" o:spid="_x0000_s1092" style="position:absolute;left:7945;top:6948;width:52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yqcYA&#10;AADcAAAADwAAAGRycy9kb3ducmV2LnhtbESPQWvCQBSE70L/w/IKvUjdpGKxaTZShYJ6Syq0x0f2&#10;maTNvg3ZbYz/3hUEj8PMfMOkq9G0YqDeNZYVxLMIBHFpdcOVgsPX5/MShPPIGlvLpOBMDlbZwyTF&#10;RNsT5zQUvhIBwi5BBbX3XSKlK2sy6Ga2Iw7e0fYGfZB9JXWPpwA3rXyJoldpsOGwUGNHm5rKv+Lf&#10;KMi74vdY/Uz323wR7Q7reDnwt1Pq6XH8eAfhafT38K291QrmbzF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myqcYAAADcAAAADwAAAAAAAAAAAAAAAACYAgAAZHJz&#10;L2Rvd25yZXYueG1sUEsFBgAAAAAEAAQA9QAAAIsDA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(12)</w:t>
                                </w:r>
                              </w:p>
                              <w:p w:rsidR="001C6BE7" w:rsidRDefault="001C6BE7" w:rsidP="006C2E16"/>
                              <w:p w:rsidR="001C6BE7" w:rsidRDefault="001C6BE7" w:rsidP="006C2E16"/>
                            </w:txbxContent>
                          </v:textbox>
                        </v:rect>
                        <v:rect id="Rectangle 390" o:spid="_x0000_s1093" style="position:absolute;left:5972;top:6560;width:52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s3sUA&#10;AADcAAAADwAAAGRycy9kb3ducmV2LnhtbESPT2vCQBTE70K/w/IKvUjdqLRozCptoaDekgp6fGRf&#10;/mj2bchuY/z2rlDocZiZ3zDJZjCN6KlztWUF00kEgji3uuZSweHn+3UBwnlkjY1lUnAjB5v10yjB&#10;WNsrp9RnvhQBwi5GBZX3bSylyysy6Ca2JQ5eYTuDPsiulLrDa4CbRs6i6F0arDksVNjSV0X5Jfs1&#10;CtI2Oxflabzfpm/R7vA5XfR8dEq9PA8fKxCeBv8f/mtvtYL5cga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yzexQAAANwAAAAPAAAAAAAAAAAAAAAAAJgCAABkcnMv&#10;ZG93bnJldi54bWxQSwUGAAAAAAQABAD1AAAAigM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(11)</w:t>
                                </w:r>
                              </w:p>
                              <w:p w:rsidR="001C6BE7" w:rsidRDefault="001C6BE7" w:rsidP="006C2E16"/>
                            </w:txbxContent>
                          </v:textbox>
                        </v:rect>
                        <v:rect id="Rectangle 391" o:spid="_x0000_s1094" style="position:absolute;left:3540;top:9789;width:197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o+8YA&#10;AADcAAAADwAAAGRycy9kb3ducmV2LnhtbESPQWvCQBSE74X+h+UVehGzSYViY1YpBUFUSpvm4u2R&#10;fSbR7NuQXWP677uC0OMwM98w2Wo0rRiod41lBUkUgyAurW64UlD8rKdzEM4ja2wtk4JfcrBaPj5k&#10;mGp75W8acl+JAGGXooLa+y6V0pU1GXSR7YiDd7S9QR9kX0nd4zXATStf4vhVGmw4LNTY0UdN5Tm/&#10;GAXD/LDb4+cp2Q6lTk6HSfG1ywulnp/G9wUIT6P/D9/bG61g9jaD2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5o+8YAAADcAAAADwAAAAAAAAAAAAAAAACYAgAAZHJz&#10;L2Rvd25yZXYueG1sUEsFBgAAAAAEAAQA9QAAAIsDAAAAAA==&#10;" filled="f" fillcolor="#bbe0e3">
                          <v:textbox inset="1.62561mm,.81281mm,1.62561mm,.81281mm">
                            <w:txbxContent>
                              <w:p w:rsidR="001C6BE7" w:rsidRDefault="001C6BE7" w:rsidP="006C2E16">
                                <w:pPr>
                                  <w:autoSpaceDE w:val="0"/>
                                  <w:autoSpaceDN w:val="0"/>
                                  <w:adjustRightInd w:val="0"/>
                                  <w:ind w:hanging="540"/>
                                  <w:jc w:val="center"/>
                                  <w:rPr>
                                    <w:color w:val="000000"/>
                                    <w:sz w:val="18"/>
                                    <w:szCs w:val="18"/>
                                  </w:rPr>
                                </w:pPr>
                                <w:r>
                                  <w:rPr>
                                    <w:color w:val="000000"/>
                                    <w:sz w:val="18"/>
                                    <w:szCs w:val="18"/>
                                  </w:rPr>
                                  <w:t>Herbivore</w:t>
                                </w:r>
                              </w:p>
                              <w:p w:rsidR="001C6BE7" w:rsidRDefault="001C6BE7" w:rsidP="006C2E16"/>
                            </w:txbxContent>
                          </v:textbox>
                        </v:rect>
                        <v:shapetype id="_x0000_t33" coordsize="21600,21600" o:spt="33" o:oned="t" path="m,l21600,r,21600e" filled="f">
                          <v:stroke joinstyle="miter"/>
                          <v:path arrowok="t" fillok="f" o:connecttype="none"/>
                          <o:lock v:ext="edit" shapetype="t"/>
                        </v:shapetype>
                        <v:shape id="AutoShape 392" o:spid="_x0000_s1095" type="#_x0000_t33" style="position:absolute;left:5582;top:9543;width:1722;height:47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KqMMAAADcAAAADwAAAGRycy9kb3ducmV2LnhtbESP3WoCMRSE7wu+QziCdzXbXfFnaxQR&#10;pb2sPw9w2Bw3i5uTJYm6vn0jFHo5zMw3zHLd21bcyYfGsYKPcQaCuHK64VrB+bR/n4MIEVlj65gU&#10;PCnAejV4W2Kp3YMPdD/GWiQIhxIVmBi7UspQGbIYxq4jTt7FeYsxSV9L7fGR4LaVeZZNpcWG04LB&#10;jraGquvxZhVsitn+UPmvIpjtzzTv82t3aXZKjYb95hNEpD7+h//a31pBsZjA60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yCqjDAAAA3AAAAA8AAAAAAAAAAAAA&#10;AAAAoQIAAGRycy9kb3ducmV2LnhtbFBLBQYAAAAABAAEAPkAAACRAwAAAAA=&#10;">
                          <v:stroke endarrow="block"/>
                        </v:shape>
                        <v:shape id="AutoShape 393" o:spid="_x0000_s1096" type="#_x0000_t33" style="position:absolute;left:1403;top:7847;width:2325;height:19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ZicMAAADcAAAADwAAAGRycy9kb3ducmV2LnhtbESPQYvCMBSE78L+h/AEb5rqoux2jbLo&#10;CoJ40BX0+Ghem2LzUpqo9d8bQfA4zMw3zHTe2kpcqfGlYwXDQQKCOHO65ELB4X/V/wLhA7LGyjEp&#10;uJOH+eyjM8VUuxvv6LoPhYgQ9ikqMCHUqZQ+M2TRD1xNHL3cNRZDlE0hdYO3CLeVHCXJRFosOS4Y&#10;rGlhKDvvL1bBxp1k7k5mkS/N0Z/95U8ftwelet329wdEoDa8w6/2Wiv4/B7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a2YnDAAAA3AAAAA8AAAAAAAAAAAAA&#10;AAAAoQIAAGRycy9kb3ducmV2LnhtbFBLBQYAAAAABAAEAPkAAACRAwAAAAA=&#10;">
                          <v:stroke endarrow="block"/>
                        </v:shape>
                        <v:rect id="Rectangle 394" o:spid="_x0000_s1097" style="position:absolute;left:2422;top:9596;width:4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q3cYA&#10;AADcAAAADwAAAGRycy9kb3ducmV2LnhtbESPQWvCQBSE70L/w/IKXqRurBjS1FXagpB6Syro8ZF9&#10;Jmmzb0N2jem/7xYEj8PMfMOst6NpxUC9aywrWMwjEMSl1Q1XCg5fu6cEhPPIGlvLpOCXHGw3D5M1&#10;ptpeOaeh8JUIEHYpKqi971IpXVmTQTe3HXHwzrY36IPsK6l7vAa4aeVzFMXSYMNhocaOPmoqf4qL&#10;UZB3xfe5Os32Wb6KPg/vi2Tgo1Nq+ji+vYLwNPp7+NbOtILlSw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Aq3cYAAADcAAAADwAAAAAAAAAAAAAAAACYAgAAZHJz&#10;L2Rvd25yZXYueG1sUEsFBgAAAAAEAAQA9QAAAIsDA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(4)</w:t>
                                </w:r>
                              </w:p>
                              <w:p w:rsidR="001C6BE7" w:rsidRDefault="001C6BE7" w:rsidP="006C2E16"/>
                              <w:p w:rsidR="001C6BE7" w:rsidRDefault="001C6BE7" w:rsidP="006C2E16"/>
                            </w:txbxContent>
                          </v:textbox>
                        </v:rect>
                        <v:rect id="Rectangle 395" o:spid="_x0000_s1098" style="position:absolute;left:6169;top:9596;width:4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PRsYA&#10;AADcAAAADwAAAGRycy9kb3ducmV2LnhtbESPT2vCQBTE7wW/w/IEL0U3Wuqf6CptoaC9JQp6fGSf&#10;STT7NmS3MX57Vyj0OMzMb5jVpjOVaKlxpWUF41EEgjizuuRcwWH/PZyDcB5ZY2WZFNzJwWbde1lh&#10;rO2NE2pTn4sAYRejgsL7OpbSZQUZdCNbEwfvbBuDPsgml7rBW4CbSk6iaCoNlhwWCqzpq6Dsmv4a&#10;BUmdXs756fVnm7xHu8PneN7y0Sk16HcfSxCeOv8f/mtvtYK3xQye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yPRsYAAADcAAAADwAAAAAAAAAAAAAAAACYAgAAZHJz&#10;L2Rvd25yZXYueG1sUEsFBgAAAAAEAAQA9QAAAIsDA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(4)</w:t>
                                </w:r>
                              </w:p>
                              <w:p w:rsidR="001C6BE7" w:rsidRDefault="001C6BE7" w:rsidP="006C2E16"/>
                            </w:txbxContent>
                          </v:textbox>
                        </v:rect>
                        <v:rect id="Rectangle 396" o:spid="_x0000_s1099" style="position:absolute;left:5402;top:7703;width:52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bNMMA&#10;AADcAAAADwAAAGRycy9kb3ducmV2LnhtbERPTWvCQBC9F/wPywi9lLpJi6LRNWihkHpLKuhxyI5J&#10;2uxsyG6T9N93DwWPj/e9SyfTioF611hWEC8iEMSl1Q1XCs6f789rEM4ja2wtk4JfcpDuZw87TLQd&#10;Oaeh8JUIIewSVFB73yVSurImg25hO+LA3Wxv0AfYV1L3OIZw08qXKFpJgw2Hhho7equp/C5+jIK8&#10;K75u1fXplOXL6ON8jNcDX5xSj/PpsAXhafJ38b870wpeN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MbNMMAAADcAAAADwAAAAAAAAAAAAAAAACYAgAAZHJzL2Rv&#10;d25yZXYueG1sUEsFBgAAAAAEAAQA9QAAAIgDAAAAAA==&#10;" filled="f" fillcolor="#bbe0e3" stroked="f">
                          <v:textbox inset="1.62561mm,.81281mm,1.62561mm,.81281mm">
                            <w:txbxContent>
                              <w:p w:rsidR="001C6BE7" w:rsidRDefault="001C6BE7" w:rsidP="006C2E16">
                                <w:pPr>
                                  <w:autoSpaceDE w:val="0"/>
                                  <w:autoSpaceDN w:val="0"/>
                                  <w:adjustRightInd w:val="0"/>
                                  <w:jc w:val="center"/>
                                  <w:rPr>
                                    <w:color w:val="FF0000"/>
                                    <w:sz w:val="18"/>
                                    <w:szCs w:val="18"/>
                                  </w:rPr>
                                </w:pPr>
                                <w:r>
                                  <w:rPr>
                                    <w:color w:val="FF0000"/>
                                    <w:sz w:val="18"/>
                                    <w:szCs w:val="18"/>
                                  </w:rPr>
                                  <w:t>(7)</w:t>
                                </w:r>
                              </w:p>
                              <w:p w:rsidR="001C6BE7" w:rsidRDefault="001C6BE7" w:rsidP="006C2E16"/>
                            </w:txbxContent>
                          </v:textbox>
                        </v:rect>
                      </v:group>
                      <v:line id="Line 397" o:spid="_x0000_s1100" style="position:absolute;visibility:visible;mso-wrap-style:square" from="27432,24206" to="28575,3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CscUAAADcAAAADwAAAGRycy9kb3ducmV2LnhtbESPzWrDMBCE74W8g9hAb42cB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WCscUAAADcAAAADwAAAAAAAAAA&#10;AAAAAAChAgAAZHJzL2Rvd25yZXYueG1sUEsFBgAAAAAEAAQA+QAAAJMDAAAAAA==&#10;">
                        <v:stroke endarrow="block"/>
                      </v:line>
                      <v:shape id="Text Box 398" o:spid="_x0000_s1101" type="#_x0000_t202" style="position:absolute;left:27432;top:29921;width:3587;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1C6BE7" w:rsidRDefault="001C6BE7" w:rsidP="006C2E16">
                              <w:r>
                                <w:rPr>
                                  <w:color w:val="FF0000"/>
                                  <w:sz w:val="18"/>
                                  <w:szCs w:val="18"/>
                                </w:rPr>
                                <w:t>(7)</w:t>
                              </w:r>
                            </w:p>
                          </w:txbxContent>
                        </v:textbox>
                      </v:shape>
                      <w10:anchorlock/>
                    </v:group>
                  </w:pict>
                </mc:Fallback>
              </mc:AlternateContent>
            </w:r>
          </w:p>
          <w:p w:rsidR="006C2E16" w:rsidRPr="000A006B" w:rsidRDefault="006C2E16" w:rsidP="00A10D4B"/>
        </w:tc>
      </w:tr>
      <w:tr w:rsidR="006C2E16" w:rsidTr="00875BD5">
        <w:tc>
          <w:tcPr>
            <w:tcW w:w="8635" w:type="dxa"/>
          </w:tcPr>
          <w:p w:rsidR="006C2E16" w:rsidRDefault="006C2E16" w:rsidP="001C6BE7">
            <w:pPr>
              <w:pStyle w:val="text"/>
            </w:pPr>
          </w:p>
          <w:p w:rsidR="006C2E16" w:rsidRPr="00BA6352" w:rsidRDefault="006C2E16" w:rsidP="001C6BE7">
            <w:pPr>
              <w:pStyle w:val="text"/>
            </w:pPr>
            <w:r w:rsidRPr="00BA6352">
              <w:t>Properties controlling the environmental fate and exposure routes of chemicals:</w:t>
            </w:r>
          </w:p>
          <w:p w:rsidR="006C2E16" w:rsidRPr="00BA6352" w:rsidRDefault="006C2E16" w:rsidP="001C6BE7">
            <w:pPr>
              <w:pStyle w:val="Dot-points"/>
              <w:numPr>
                <w:ilvl w:val="0"/>
                <w:numId w:val="4"/>
              </w:numPr>
            </w:pPr>
            <w:r w:rsidRPr="00BA6352">
              <w:t>soil porosity, water holding capacity (WHC), soil</w:t>
            </w:r>
            <w:r w:rsidRPr="00BA6352">
              <w:sym w:font="Symbol" w:char="F02D"/>
            </w:r>
            <w:r w:rsidRPr="00BA6352">
              <w:t>water partition coefficient (K</w:t>
            </w:r>
            <w:r w:rsidRPr="00BA6352">
              <w:rPr>
                <w:vertAlign w:val="subscript"/>
              </w:rPr>
              <w:t>d</w:t>
            </w:r>
            <w:r w:rsidRPr="00BA6352">
              <w:t>), precipitation</w:t>
            </w:r>
          </w:p>
          <w:p w:rsidR="006C2E16" w:rsidRPr="00BA6352" w:rsidRDefault="006C2E16" w:rsidP="001C6BE7">
            <w:pPr>
              <w:pStyle w:val="Dot-points"/>
              <w:numPr>
                <w:ilvl w:val="0"/>
                <w:numId w:val="4"/>
              </w:numPr>
            </w:pPr>
            <w:r w:rsidRPr="00BA6352">
              <w:t>octanol</w:t>
            </w:r>
            <w:r w:rsidRPr="00BA6352">
              <w:sym w:font="Symbol" w:char="F02D"/>
            </w:r>
            <w:r w:rsidRPr="00BA6352">
              <w:t>water partition coefficient (K</w:t>
            </w:r>
            <w:r w:rsidRPr="00BA6352">
              <w:rPr>
                <w:vertAlign w:val="subscript"/>
              </w:rPr>
              <w:t>ow</w:t>
            </w:r>
            <w:r w:rsidRPr="00BA6352">
              <w:t>), soil pH, pM</w:t>
            </w:r>
            <w:r w:rsidRPr="00BA6352">
              <w:rPr>
                <w:vertAlign w:val="superscript"/>
              </w:rPr>
              <w:t>n+</w:t>
            </w:r>
            <w:r w:rsidRPr="00BA6352">
              <w:t xml:space="preserve"> (free ion), ionic activity, electrical conductivity, and dissolved organic carbon (DOC)</w:t>
            </w:r>
          </w:p>
          <w:p w:rsidR="006C2E16" w:rsidRPr="00BA6352" w:rsidRDefault="006C2E16" w:rsidP="001C6BE7">
            <w:pPr>
              <w:pStyle w:val="Dot-points"/>
              <w:numPr>
                <w:ilvl w:val="0"/>
                <w:numId w:val="4"/>
              </w:numPr>
            </w:pPr>
            <w:r w:rsidRPr="00BA6352">
              <w:t>soil pH, cation exchange capacity (CEC), K</w:t>
            </w:r>
            <w:r w:rsidRPr="00BA6352">
              <w:rPr>
                <w:vertAlign w:val="subscript"/>
              </w:rPr>
              <w:t>d</w:t>
            </w:r>
            <w:r w:rsidRPr="00BA6352">
              <w:t>, organic matter (OM), clay, DOC</w:t>
            </w:r>
          </w:p>
          <w:p w:rsidR="006C2E16" w:rsidRPr="00BA6352" w:rsidRDefault="006C2E16" w:rsidP="001C6BE7">
            <w:pPr>
              <w:pStyle w:val="Dot-points"/>
              <w:numPr>
                <w:ilvl w:val="0"/>
                <w:numId w:val="4"/>
              </w:numPr>
            </w:pPr>
            <w:r w:rsidRPr="00BA6352">
              <w:t>diet, metabolism, octanol</w:t>
            </w:r>
            <w:r w:rsidRPr="00BA6352">
              <w:sym w:font="Symbol" w:char="F02D"/>
            </w:r>
            <w:r w:rsidRPr="00BA6352">
              <w:t>water partition coefficient (K</w:t>
            </w:r>
            <w:r w:rsidRPr="00BA6352">
              <w:rPr>
                <w:vertAlign w:val="subscript"/>
              </w:rPr>
              <w:t>ow</w:t>
            </w:r>
            <w:r w:rsidRPr="00BA6352">
              <w:t>)</w:t>
            </w:r>
          </w:p>
          <w:p w:rsidR="006C2E16" w:rsidRPr="00BA6352" w:rsidRDefault="006C2E16" w:rsidP="001C6BE7">
            <w:pPr>
              <w:pStyle w:val="Dot-points"/>
              <w:numPr>
                <w:ilvl w:val="0"/>
                <w:numId w:val="4"/>
              </w:numPr>
            </w:pPr>
            <w:r w:rsidRPr="00BA6352">
              <w:t>ingestion rate (diet), metabolism, absorption through skin, soil pH, CEC, K</w:t>
            </w:r>
            <w:r w:rsidRPr="00BA6352">
              <w:rPr>
                <w:vertAlign w:val="subscript"/>
              </w:rPr>
              <w:t>d</w:t>
            </w:r>
            <w:r w:rsidRPr="00BA6352">
              <w:t>, OM, clay, DOC, K</w:t>
            </w:r>
            <w:r w:rsidRPr="00BA6352">
              <w:rPr>
                <w:vertAlign w:val="subscript"/>
              </w:rPr>
              <w:t>ow</w:t>
            </w:r>
          </w:p>
          <w:p w:rsidR="006C2E16" w:rsidRPr="00BA6352" w:rsidRDefault="006C2E16" w:rsidP="001C6BE7">
            <w:pPr>
              <w:pStyle w:val="Dot-points"/>
              <w:numPr>
                <w:ilvl w:val="0"/>
                <w:numId w:val="4"/>
              </w:numPr>
            </w:pPr>
            <w:r w:rsidRPr="00BA6352">
              <w:t>sublimation constant (K</w:t>
            </w:r>
            <w:r w:rsidRPr="00BA6352">
              <w:rPr>
                <w:vertAlign w:val="subscript"/>
              </w:rPr>
              <w:t>s</w:t>
            </w:r>
            <w:r w:rsidRPr="00BA6352">
              <w:t>)</w:t>
            </w:r>
          </w:p>
          <w:p w:rsidR="006C2E16" w:rsidRPr="00BA6352" w:rsidRDefault="006C2E16" w:rsidP="001C6BE7">
            <w:pPr>
              <w:pStyle w:val="Dot-points"/>
              <w:numPr>
                <w:ilvl w:val="0"/>
                <w:numId w:val="4"/>
              </w:numPr>
            </w:pPr>
            <w:r w:rsidRPr="00BA6352">
              <w:t>amount soil ingested, K</w:t>
            </w:r>
            <w:r w:rsidRPr="00BA6352">
              <w:rPr>
                <w:vertAlign w:val="subscript"/>
              </w:rPr>
              <w:t>d</w:t>
            </w:r>
            <w:r w:rsidRPr="00BA6352">
              <w:t>, metabolism</w:t>
            </w:r>
          </w:p>
          <w:p w:rsidR="006C2E16" w:rsidRPr="00BA6352" w:rsidRDefault="006C2E16" w:rsidP="001C6BE7">
            <w:pPr>
              <w:pStyle w:val="Dot-points"/>
              <w:numPr>
                <w:ilvl w:val="0"/>
                <w:numId w:val="4"/>
              </w:numPr>
            </w:pPr>
            <w:r w:rsidRPr="00BA6352">
              <w:t>boiling point, K</w:t>
            </w:r>
            <w:r w:rsidRPr="00BA6352">
              <w:rPr>
                <w:vertAlign w:val="subscript"/>
              </w:rPr>
              <w:t>ow</w:t>
            </w:r>
            <w:r w:rsidRPr="00BA6352">
              <w:t>, Henry’s gas law constant (K</w:t>
            </w:r>
            <w:r w:rsidRPr="00BA6352">
              <w:rPr>
                <w:vertAlign w:val="subscript"/>
              </w:rPr>
              <w:t>H)</w:t>
            </w:r>
          </w:p>
          <w:p w:rsidR="006C2E16" w:rsidRPr="00BA6352" w:rsidRDefault="006C2E16" w:rsidP="001C6BE7">
            <w:pPr>
              <w:pStyle w:val="Dot-points"/>
              <w:numPr>
                <w:ilvl w:val="0"/>
                <w:numId w:val="4"/>
              </w:numPr>
            </w:pPr>
            <w:r w:rsidRPr="00BA6352">
              <w:t>boiling point, K</w:t>
            </w:r>
            <w:r w:rsidRPr="00BA6352">
              <w:rPr>
                <w:vertAlign w:val="subscript"/>
              </w:rPr>
              <w:t>ow</w:t>
            </w:r>
            <w:r w:rsidRPr="00BA6352">
              <w:t>, surface area, turbulence, wind speed</w:t>
            </w:r>
          </w:p>
          <w:p w:rsidR="006C2E16" w:rsidRPr="00BA6352" w:rsidRDefault="006C2E16" w:rsidP="001C6BE7">
            <w:pPr>
              <w:pStyle w:val="Dot-points"/>
              <w:numPr>
                <w:ilvl w:val="0"/>
                <w:numId w:val="4"/>
              </w:numPr>
            </w:pPr>
            <w:r w:rsidRPr="00BA6352">
              <w:t>erosion, plant coverage, WHC, % moisture</w:t>
            </w:r>
          </w:p>
          <w:p w:rsidR="006C2E16" w:rsidRPr="00BA6352" w:rsidRDefault="006C2E16" w:rsidP="001C6BE7">
            <w:pPr>
              <w:pStyle w:val="Dot-points"/>
              <w:numPr>
                <w:ilvl w:val="0"/>
                <w:numId w:val="4"/>
              </w:numPr>
            </w:pPr>
            <w:r w:rsidRPr="00BA6352">
              <w:t>sublimation constant (dust to air), K</w:t>
            </w:r>
            <w:r w:rsidRPr="00BA6352">
              <w:rPr>
                <w:vertAlign w:val="subscript"/>
              </w:rPr>
              <w:t>d</w:t>
            </w:r>
            <w:r w:rsidRPr="00BA6352">
              <w:t xml:space="preserve"> (air to dust), density of dust </w:t>
            </w:r>
          </w:p>
          <w:p w:rsidR="006C2E16" w:rsidRPr="00BA6352" w:rsidRDefault="006C2E16" w:rsidP="001C6BE7">
            <w:pPr>
              <w:pStyle w:val="Dot-points"/>
              <w:numPr>
                <w:ilvl w:val="0"/>
                <w:numId w:val="4"/>
              </w:numPr>
            </w:pPr>
            <w:r w:rsidRPr="00BA6352">
              <w:lastRenderedPageBreak/>
              <w:t>lung type, K</w:t>
            </w:r>
            <w:r w:rsidRPr="00BA6352">
              <w:rPr>
                <w:vertAlign w:val="subscript"/>
              </w:rPr>
              <w:t>d</w:t>
            </w:r>
            <w:r w:rsidRPr="00BA6352">
              <w:t>, K</w:t>
            </w:r>
            <w:r w:rsidRPr="00BA6352">
              <w:rPr>
                <w:vertAlign w:val="subscript"/>
              </w:rPr>
              <w:t>ow</w:t>
            </w:r>
            <w:r w:rsidRPr="00BA6352">
              <w:t>, breathing rate x volume</w:t>
            </w:r>
          </w:p>
          <w:p w:rsidR="006C2E16" w:rsidRPr="00B64A3E" w:rsidRDefault="006C2E16" w:rsidP="001C6BE7">
            <w:pPr>
              <w:pStyle w:val="Dot-points"/>
              <w:numPr>
                <w:ilvl w:val="0"/>
                <w:numId w:val="4"/>
              </w:numPr>
              <w:rPr>
                <w:sz w:val="18"/>
                <w:szCs w:val="18"/>
              </w:rPr>
            </w:pPr>
            <w:r w:rsidRPr="00BA6352">
              <w:t>wind speed, vicinity of water body.</w:t>
            </w:r>
          </w:p>
        </w:tc>
      </w:tr>
    </w:tbl>
    <w:p w:rsidR="006C2E16" w:rsidRDefault="006C2E16" w:rsidP="001C6BE7">
      <w:pPr>
        <w:pStyle w:val="text"/>
      </w:pPr>
    </w:p>
    <w:p w:rsidR="006C2E16" w:rsidRPr="005802FA" w:rsidRDefault="006C2E16" w:rsidP="001C6BE7">
      <w:pPr>
        <w:pStyle w:val="Heading3"/>
      </w:pPr>
      <w:bookmarkStart w:id="43" w:name="_Toc255359959"/>
      <w:bookmarkStart w:id="44" w:name="_Toc269122443"/>
      <w:bookmarkStart w:id="45" w:name="_Toc351713123"/>
      <w:r w:rsidRPr="005802FA">
        <w:t xml:space="preserve">Exposure pathway assessment </w:t>
      </w:r>
      <w:r>
        <w:t>for</w:t>
      </w:r>
      <w:r w:rsidRPr="005802FA">
        <w:t xml:space="preserve"> organic</w:t>
      </w:r>
      <w:r>
        <w:t xml:space="preserve"> contaminant</w:t>
      </w:r>
      <w:r w:rsidRPr="005802FA">
        <w:t>s</w:t>
      </w:r>
      <w:bookmarkEnd w:id="43"/>
      <w:bookmarkEnd w:id="44"/>
      <w:bookmarkEnd w:id="45"/>
    </w:p>
    <w:p w:rsidR="006C2E16" w:rsidRPr="005802FA" w:rsidRDefault="006C2E16" w:rsidP="006C2E16">
      <w:r w:rsidRPr="005802FA">
        <w:t xml:space="preserve">The environmental fate of organic </w:t>
      </w:r>
      <w:r>
        <w:t>contaminant</w:t>
      </w:r>
      <w:r w:rsidRPr="005802FA">
        <w:t xml:space="preserve">s is largely controlled </w:t>
      </w:r>
      <w:r>
        <w:t>by three</w:t>
      </w:r>
      <w:r w:rsidRPr="005802FA">
        <w:t xml:space="preserve"> physicochemical properties: </w:t>
      </w:r>
    </w:p>
    <w:p w:rsidR="006C2E16" w:rsidRPr="005802FA" w:rsidRDefault="006C2E16" w:rsidP="001C6BE7">
      <w:pPr>
        <w:pStyle w:val="text"/>
        <w:numPr>
          <w:ilvl w:val="0"/>
          <w:numId w:val="10"/>
        </w:numPr>
      </w:pPr>
      <w:r>
        <w:t>h</w:t>
      </w:r>
      <w:r w:rsidRPr="005802FA">
        <w:t>alf-life (</w:t>
      </w:r>
      <w:r>
        <w:t>t</w:t>
      </w:r>
      <w:r w:rsidRPr="005802FA">
        <w:rPr>
          <w:vertAlign w:val="subscript"/>
        </w:rPr>
        <w:t>1/2</w:t>
      </w:r>
      <w:r w:rsidRPr="005802FA">
        <w:t>)</w:t>
      </w:r>
    </w:p>
    <w:p w:rsidR="006C2E16" w:rsidRPr="005802FA" w:rsidRDefault="006C2E16" w:rsidP="001C6BE7">
      <w:pPr>
        <w:pStyle w:val="text"/>
        <w:numPr>
          <w:ilvl w:val="0"/>
          <w:numId w:val="10"/>
        </w:numPr>
      </w:pPr>
      <w:r>
        <w:t>H</w:t>
      </w:r>
      <w:r w:rsidRPr="005802FA">
        <w:t xml:space="preserve">enry’s </w:t>
      </w:r>
      <w:r>
        <w:t>l</w:t>
      </w:r>
      <w:r w:rsidRPr="005802FA">
        <w:t>a</w:t>
      </w:r>
      <w:r>
        <w:t>w constant (H)</w:t>
      </w:r>
    </w:p>
    <w:p w:rsidR="006C2E16" w:rsidRPr="005802FA" w:rsidRDefault="006C2E16" w:rsidP="001C6BE7">
      <w:pPr>
        <w:pStyle w:val="text"/>
        <w:numPr>
          <w:ilvl w:val="0"/>
          <w:numId w:val="10"/>
        </w:numPr>
        <w:rPr>
          <w:color w:val="000000"/>
        </w:rPr>
      </w:pPr>
      <w:r>
        <w:t>octanol</w:t>
      </w:r>
      <w:r>
        <w:sym w:font="Symbol" w:char="F02D"/>
      </w:r>
      <w:r>
        <w:t>water p</w:t>
      </w:r>
      <w:r w:rsidRPr="005802FA">
        <w:t>artition coefficient (K</w:t>
      </w:r>
      <w:r w:rsidRPr="001A13BC">
        <w:rPr>
          <w:vertAlign w:val="subscript"/>
        </w:rPr>
        <w:t>ow</w:t>
      </w:r>
      <w:r w:rsidRPr="005802FA">
        <w:t>)</w:t>
      </w:r>
      <w:r>
        <w:t xml:space="preserve"> which, in general, determines a contaminant’s potential to cause secondary poisoning.</w:t>
      </w:r>
    </w:p>
    <w:p w:rsidR="006C2E16" w:rsidRPr="005802FA" w:rsidRDefault="006C2E16" w:rsidP="006C2E16">
      <w:pPr>
        <w:pStyle w:val="Heading4"/>
      </w:pPr>
      <w:bookmarkStart w:id="46" w:name="_Toc255359960"/>
      <w:bookmarkStart w:id="47" w:name="_Toc351713124"/>
      <w:r w:rsidRPr="00BA6352">
        <w:t>Half</w:t>
      </w:r>
      <w:r>
        <w:t>-</w:t>
      </w:r>
      <w:r w:rsidRPr="005802FA">
        <w:t>life</w:t>
      </w:r>
      <w:bookmarkEnd w:id="46"/>
      <w:bookmarkEnd w:id="47"/>
      <w:r w:rsidRPr="005802FA">
        <w:t xml:space="preserve"> </w:t>
      </w:r>
    </w:p>
    <w:p w:rsidR="006C2E16" w:rsidRDefault="006C2E16" w:rsidP="006C2E16">
      <w:r>
        <w:t>The h</w:t>
      </w:r>
      <w:r w:rsidRPr="005802FA">
        <w:t>alf-life (</w:t>
      </w:r>
      <w:r>
        <w:t>t</w:t>
      </w:r>
      <w:r w:rsidRPr="005802FA">
        <w:rPr>
          <w:b/>
          <w:bCs/>
          <w:vertAlign w:val="subscript"/>
        </w:rPr>
        <w:t>½</w:t>
      </w:r>
      <w:r w:rsidRPr="005802FA">
        <w:t xml:space="preserve">) </w:t>
      </w:r>
      <w:r>
        <w:t xml:space="preserve">of a contaminant </w:t>
      </w:r>
      <w:r w:rsidRPr="005802FA">
        <w:t>is a measure of</w:t>
      </w:r>
      <w:r>
        <w:t xml:space="preserve"> persistence of the contaminant in the environment. It represents the time taken for</w:t>
      </w:r>
      <w:r w:rsidRPr="005802FA">
        <w:t xml:space="preserve"> </w:t>
      </w:r>
      <w:r>
        <w:t>50% of the contaminant to be lost from the environment. The loss may occur through</w:t>
      </w:r>
      <w:r w:rsidRPr="005802FA">
        <w:t xml:space="preserve"> </w:t>
      </w:r>
      <w:r>
        <w:t>biodegradation (</w:t>
      </w:r>
      <w:r w:rsidRPr="005802FA">
        <w:t>micro</w:t>
      </w:r>
      <w:r>
        <w:t>bially mediated degradation)</w:t>
      </w:r>
      <w:r w:rsidRPr="005802FA">
        <w:t xml:space="preserve"> </w:t>
      </w:r>
      <w:r>
        <w:t xml:space="preserve">or abiotic pathways (hydrolysis, oxidation, reduction, etc.). </w:t>
      </w:r>
      <w:r w:rsidRPr="005802FA">
        <w:t xml:space="preserve">The more persistent a </w:t>
      </w:r>
      <w:r>
        <w:t>contaminant</w:t>
      </w:r>
      <w:r w:rsidRPr="005802FA">
        <w:t xml:space="preserve"> in the environment</w:t>
      </w:r>
      <w:r>
        <w:t xml:space="preserve"> (that is, larger </w:t>
      </w:r>
      <w:r w:rsidRPr="005802FA">
        <w:rPr>
          <w:color w:val="000000"/>
        </w:rPr>
        <w:t>t</w:t>
      </w:r>
      <w:r w:rsidRPr="00475EB3">
        <w:rPr>
          <w:color w:val="000000"/>
          <w:vertAlign w:val="subscript"/>
        </w:rPr>
        <w:t>½</w:t>
      </w:r>
      <w:r>
        <w:t>)</w:t>
      </w:r>
      <w:r w:rsidRPr="005802FA">
        <w:t xml:space="preserve">, the longer </w:t>
      </w:r>
      <w:r>
        <w:t xml:space="preserve">is </w:t>
      </w:r>
      <w:r w:rsidRPr="005802FA">
        <w:t xml:space="preserve">the </w:t>
      </w:r>
      <w:r>
        <w:t xml:space="preserve">potential </w:t>
      </w:r>
      <w:r w:rsidRPr="005802FA">
        <w:t xml:space="preserve">exposure time of species to the </w:t>
      </w:r>
      <w:r>
        <w:t>contaminant</w:t>
      </w:r>
      <w:r w:rsidRPr="005802FA">
        <w:t xml:space="preserve"> and </w:t>
      </w:r>
      <w:r>
        <w:t xml:space="preserve">the </w:t>
      </w:r>
      <w:r w:rsidRPr="005802FA">
        <w:t xml:space="preserve">more deleterious </w:t>
      </w:r>
      <w:r>
        <w:t xml:space="preserve">the </w:t>
      </w:r>
      <w:r w:rsidRPr="005802FA">
        <w:t xml:space="preserve">effects </w:t>
      </w:r>
      <w:r>
        <w:t xml:space="preserve">that </w:t>
      </w:r>
      <w:r w:rsidRPr="005802FA">
        <w:t>could occur</w:t>
      </w:r>
      <w:r>
        <w:rPr>
          <w:rStyle w:val="FootnoteReference"/>
        </w:rPr>
        <w:footnoteReference w:id="3"/>
      </w:r>
      <w:r w:rsidRPr="005802FA">
        <w:t xml:space="preserve">. </w:t>
      </w:r>
    </w:p>
    <w:p w:rsidR="00145F69" w:rsidRPr="005802FA" w:rsidRDefault="00145F69" w:rsidP="006C2E16"/>
    <w:p w:rsidR="006C2E16" w:rsidRDefault="006C2E16" w:rsidP="006C2E16">
      <w:r>
        <w:t>In order to classify contaminants in terms of their h</w:t>
      </w:r>
      <w:r w:rsidRPr="005802FA">
        <w:t>alf</w:t>
      </w:r>
      <w:r>
        <w:t>-lives,</w:t>
      </w:r>
      <w:r w:rsidRPr="005802FA">
        <w:t xml:space="preserve"> </w:t>
      </w:r>
      <w:r>
        <w:t xml:space="preserve">the most relevant comparison is their persistence (based on half-life) to the </w:t>
      </w:r>
      <w:r w:rsidRPr="005802FA">
        <w:t>generation time of soil organisms</w:t>
      </w:r>
      <w:r>
        <w:t xml:space="preserve">. </w:t>
      </w:r>
      <w:r w:rsidRPr="005802FA">
        <w:t xml:space="preserve">Soil organisms do vary greatly, with </w:t>
      </w:r>
      <w:r>
        <w:t xml:space="preserve">some </w:t>
      </w:r>
      <w:r w:rsidRPr="005802FA">
        <w:t>microbes having generation times of hours</w:t>
      </w:r>
      <w:r>
        <w:t>,</w:t>
      </w:r>
      <w:r w:rsidRPr="005802FA">
        <w:t xml:space="preserve"> while earthworms have a generation time of a</w:t>
      </w:r>
      <w:r>
        <w:t>pproximately one</w:t>
      </w:r>
      <w:r w:rsidRPr="005802FA">
        <w:t xml:space="preserve"> year</w:t>
      </w:r>
      <w:r>
        <w:t>. A</w:t>
      </w:r>
      <w:r w:rsidRPr="005802FA">
        <w:t xml:space="preserve"> </w:t>
      </w:r>
      <w:r>
        <w:t xml:space="preserve">generic </w:t>
      </w:r>
      <w:r w:rsidRPr="005802FA">
        <w:t xml:space="preserve">generation time </w:t>
      </w:r>
      <w:r>
        <w:t>of</w:t>
      </w:r>
      <w:r w:rsidRPr="005802FA">
        <w:t xml:space="preserve"> </w:t>
      </w:r>
      <w:r>
        <w:t>three</w:t>
      </w:r>
      <w:r w:rsidRPr="005802FA">
        <w:t xml:space="preserve"> months </w:t>
      </w:r>
      <w:r>
        <w:t xml:space="preserve">for soil organisms </w:t>
      </w:r>
      <w:r w:rsidRPr="005802FA">
        <w:t>(</w:t>
      </w:r>
      <w:r>
        <w:t>microorganism</w:t>
      </w:r>
      <w:r w:rsidRPr="005802FA">
        <w:t xml:space="preserve">s </w:t>
      </w:r>
      <w:r>
        <w:t>we</w:t>
      </w:r>
      <w:r w:rsidRPr="005802FA">
        <w:t xml:space="preserve">re not considered) </w:t>
      </w:r>
      <w:r>
        <w:t xml:space="preserve">was selected </w:t>
      </w:r>
      <w:r w:rsidRPr="005802FA">
        <w:t xml:space="preserve">and </w:t>
      </w:r>
      <w:r>
        <w:t>the resulting categories of biodegradation rates can be found in Table 2 below.</w:t>
      </w:r>
      <w:r w:rsidRPr="005802FA">
        <w:t xml:space="preserve"> </w:t>
      </w:r>
    </w:p>
    <w:p w:rsidR="00145F69" w:rsidRPr="005802FA" w:rsidRDefault="00145F69" w:rsidP="006C2E16"/>
    <w:p w:rsidR="006C2E16" w:rsidRPr="005802FA" w:rsidRDefault="006C2E16" w:rsidP="006C2E16">
      <w:r>
        <w:t xml:space="preserve">Half-lives of contaminants depend on the soil physicochemical properties and therefore preference should be given on half-life values based on Australian soils. However, if this information is not available for Australian soils, then appropriate overseas studies can be used. </w:t>
      </w:r>
    </w:p>
    <w:p w:rsidR="006C2E16" w:rsidRDefault="006C2E16" w:rsidP="006C2E16">
      <w:pPr>
        <w:pStyle w:val="Caption"/>
      </w:pPr>
      <w:r w:rsidRPr="003D5262">
        <w:t>Table 2. Biodegradation rates, half-lives and the classification to be used in assessing the importance of the various exposure pathways for organic contaminants.</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126"/>
        <w:gridCol w:w="2774"/>
      </w:tblGrid>
      <w:tr w:rsidR="006C2E16" w:rsidRPr="00BA6352" w:rsidTr="00A10D4B">
        <w:tc>
          <w:tcPr>
            <w:tcW w:w="2660" w:type="dxa"/>
            <w:shd w:val="clear" w:color="auto" w:fill="C6D9F1" w:themeFill="text2" w:themeFillTint="33"/>
          </w:tcPr>
          <w:p w:rsidR="006C2E16" w:rsidRPr="00BA6352" w:rsidRDefault="006C2E16" w:rsidP="00A10D4B">
            <w:pPr>
              <w:jc w:val="center"/>
              <w:rPr>
                <w:b/>
                <w:bCs/>
                <w:color w:val="000000"/>
                <w:szCs w:val="22"/>
              </w:rPr>
            </w:pPr>
            <w:r w:rsidRPr="00BA6352">
              <w:rPr>
                <w:b/>
                <w:bCs/>
                <w:color w:val="000000"/>
                <w:szCs w:val="22"/>
              </w:rPr>
              <w:t>94% of contaminant degraded in (months)</w:t>
            </w:r>
          </w:p>
        </w:tc>
        <w:tc>
          <w:tcPr>
            <w:tcW w:w="2126" w:type="dxa"/>
            <w:shd w:val="clear" w:color="auto" w:fill="C6D9F1" w:themeFill="text2" w:themeFillTint="33"/>
          </w:tcPr>
          <w:p w:rsidR="006C2E16" w:rsidRPr="00BA6352" w:rsidRDefault="006C2E16" w:rsidP="00A10D4B">
            <w:pPr>
              <w:jc w:val="center"/>
              <w:rPr>
                <w:b/>
                <w:bCs/>
                <w:color w:val="000000"/>
                <w:szCs w:val="22"/>
              </w:rPr>
            </w:pPr>
            <w:r w:rsidRPr="00BA6352">
              <w:rPr>
                <w:b/>
                <w:bCs/>
                <w:color w:val="000000"/>
                <w:szCs w:val="22"/>
              </w:rPr>
              <w:t>t</w:t>
            </w:r>
            <w:r w:rsidRPr="00BA6352">
              <w:rPr>
                <w:b/>
                <w:bCs/>
                <w:color w:val="000000"/>
                <w:szCs w:val="22"/>
                <w:vertAlign w:val="subscript"/>
              </w:rPr>
              <w:t>1/2</w:t>
            </w:r>
            <w:r w:rsidRPr="00BA6352">
              <w:rPr>
                <w:b/>
                <w:bCs/>
                <w:color w:val="000000"/>
                <w:szCs w:val="22"/>
              </w:rPr>
              <w:t xml:space="preserve"> (days)</w:t>
            </w:r>
          </w:p>
        </w:tc>
        <w:tc>
          <w:tcPr>
            <w:tcW w:w="2774" w:type="dxa"/>
            <w:shd w:val="clear" w:color="auto" w:fill="C6D9F1" w:themeFill="text2" w:themeFillTint="33"/>
          </w:tcPr>
          <w:p w:rsidR="006C2E16" w:rsidRPr="00BA6352" w:rsidRDefault="006C2E16" w:rsidP="00A10D4B">
            <w:pPr>
              <w:jc w:val="center"/>
              <w:rPr>
                <w:b/>
                <w:bCs/>
                <w:color w:val="000000"/>
                <w:szCs w:val="22"/>
              </w:rPr>
            </w:pPr>
            <w:r w:rsidRPr="00BA6352">
              <w:rPr>
                <w:b/>
                <w:bCs/>
                <w:color w:val="000000"/>
                <w:szCs w:val="22"/>
              </w:rPr>
              <w:t>t</w:t>
            </w:r>
            <w:r w:rsidRPr="00BA6352">
              <w:rPr>
                <w:b/>
                <w:bCs/>
                <w:color w:val="000000"/>
                <w:szCs w:val="22"/>
                <w:vertAlign w:val="subscript"/>
              </w:rPr>
              <w:t>1/2</w:t>
            </w:r>
            <w:r>
              <w:rPr>
                <w:b/>
                <w:bCs/>
                <w:color w:val="000000"/>
                <w:szCs w:val="22"/>
              </w:rPr>
              <w:t xml:space="preserve"> C</w:t>
            </w:r>
            <w:r w:rsidRPr="00BA6352">
              <w:rPr>
                <w:b/>
                <w:bCs/>
                <w:color w:val="000000"/>
                <w:szCs w:val="22"/>
              </w:rPr>
              <w:t>lassification</w:t>
            </w:r>
          </w:p>
        </w:tc>
      </w:tr>
      <w:tr w:rsidR="006C2E16" w:rsidRPr="00BA6352" w:rsidTr="00A10D4B">
        <w:tc>
          <w:tcPr>
            <w:tcW w:w="2660" w:type="dxa"/>
            <w:tcMar>
              <w:right w:w="737" w:type="dxa"/>
            </w:tcMar>
          </w:tcPr>
          <w:p w:rsidR="006C2E16" w:rsidRPr="00BA6352" w:rsidRDefault="006C2E16" w:rsidP="00A10D4B">
            <w:pPr>
              <w:jc w:val="right"/>
              <w:rPr>
                <w:color w:val="000000"/>
                <w:szCs w:val="22"/>
              </w:rPr>
            </w:pPr>
            <w:r w:rsidRPr="00BA6352">
              <w:rPr>
                <w:color w:val="000000"/>
                <w:szCs w:val="22"/>
              </w:rPr>
              <w:t>&lt;3</w:t>
            </w:r>
          </w:p>
        </w:tc>
        <w:tc>
          <w:tcPr>
            <w:tcW w:w="2126" w:type="dxa"/>
            <w:tcMar>
              <w:right w:w="737" w:type="dxa"/>
            </w:tcMar>
          </w:tcPr>
          <w:p w:rsidR="006C2E16" w:rsidRPr="00BA6352" w:rsidRDefault="006C2E16" w:rsidP="00A10D4B">
            <w:pPr>
              <w:jc w:val="right"/>
              <w:rPr>
                <w:color w:val="000000"/>
                <w:szCs w:val="22"/>
              </w:rPr>
            </w:pPr>
            <w:r>
              <w:rPr>
                <w:color w:val="000000"/>
                <w:szCs w:val="22"/>
              </w:rPr>
              <w:t>&lt;</w:t>
            </w:r>
            <w:r w:rsidRPr="00BA6352">
              <w:rPr>
                <w:color w:val="000000"/>
                <w:szCs w:val="22"/>
              </w:rPr>
              <w:t xml:space="preserve">22.5 </w:t>
            </w:r>
          </w:p>
        </w:tc>
        <w:tc>
          <w:tcPr>
            <w:tcW w:w="2774" w:type="dxa"/>
          </w:tcPr>
          <w:p w:rsidR="006C2E16" w:rsidRPr="00BA6352" w:rsidRDefault="006C2E16" w:rsidP="00A10D4B">
            <w:pPr>
              <w:jc w:val="center"/>
              <w:rPr>
                <w:color w:val="000000"/>
                <w:szCs w:val="22"/>
              </w:rPr>
            </w:pPr>
            <w:r w:rsidRPr="00BA6352">
              <w:rPr>
                <w:color w:val="000000"/>
                <w:szCs w:val="22"/>
              </w:rPr>
              <w:t>Fast (F)</w:t>
            </w:r>
          </w:p>
        </w:tc>
      </w:tr>
      <w:tr w:rsidR="006C2E16" w:rsidRPr="00BA6352" w:rsidTr="00A10D4B">
        <w:tc>
          <w:tcPr>
            <w:tcW w:w="2660" w:type="dxa"/>
            <w:tcMar>
              <w:right w:w="737" w:type="dxa"/>
            </w:tcMar>
          </w:tcPr>
          <w:p w:rsidR="006C2E16" w:rsidRPr="00BA6352" w:rsidRDefault="006C2E16" w:rsidP="00A10D4B">
            <w:pPr>
              <w:jc w:val="right"/>
              <w:rPr>
                <w:color w:val="000000"/>
                <w:szCs w:val="22"/>
              </w:rPr>
            </w:pPr>
            <w:r w:rsidRPr="00BA6352">
              <w:rPr>
                <w:color w:val="000000"/>
                <w:szCs w:val="22"/>
              </w:rPr>
              <w:t>3</w:t>
            </w:r>
            <w:r w:rsidRPr="00BA6352">
              <w:rPr>
                <w:color w:val="000000"/>
                <w:szCs w:val="22"/>
              </w:rPr>
              <w:sym w:font="Symbol" w:char="F02D"/>
            </w:r>
            <w:r w:rsidRPr="00BA6352">
              <w:rPr>
                <w:color w:val="000000"/>
                <w:szCs w:val="22"/>
              </w:rPr>
              <w:t xml:space="preserve">6 </w:t>
            </w:r>
          </w:p>
        </w:tc>
        <w:tc>
          <w:tcPr>
            <w:tcW w:w="2126" w:type="dxa"/>
            <w:tcMar>
              <w:right w:w="737" w:type="dxa"/>
            </w:tcMar>
          </w:tcPr>
          <w:p w:rsidR="006C2E16" w:rsidRPr="00BA6352" w:rsidRDefault="006C2E16" w:rsidP="00A10D4B">
            <w:pPr>
              <w:jc w:val="right"/>
              <w:rPr>
                <w:color w:val="000000"/>
                <w:szCs w:val="22"/>
              </w:rPr>
            </w:pPr>
            <w:r w:rsidRPr="00BA6352">
              <w:rPr>
                <w:color w:val="000000"/>
                <w:szCs w:val="22"/>
              </w:rPr>
              <w:t>22.5</w:t>
            </w:r>
            <w:r w:rsidRPr="00BA6352">
              <w:rPr>
                <w:color w:val="000000"/>
                <w:szCs w:val="22"/>
              </w:rPr>
              <w:sym w:font="Symbol" w:char="F02D"/>
            </w:r>
            <w:r w:rsidRPr="00BA6352">
              <w:rPr>
                <w:color w:val="000000"/>
                <w:szCs w:val="22"/>
              </w:rPr>
              <w:t>45</w:t>
            </w:r>
          </w:p>
        </w:tc>
        <w:tc>
          <w:tcPr>
            <w:tcW w:w="2774" w:type="dxa"/>
          </w:tcPr>
          <w:p w:rsidR="006C2E16" w:rsidRPr="00BA6352" w:rsidRDefault="006C2E16" w:rsidP="00A10D4B">
            <w:pPr>
              <w:jc w:val="center"/>
              <w:rPr>
                <w:color w:val="000000"/>
                <w:szCs w:val="22"/>
              </w:rPr>
            </w:pPr>
            <w:r w:rsidRPr="00BA6352">
              <w:rPr>
                <w:color w:val="000000"/>
                <w:szCs w:val="22"/>
              </w:rPr>
              <w:t>Moderately fast (M)</w:t>
            </w:r>
          </w:p>
        </w:tc>
      </w:tr>
      <w:tr w:rsidR="006C2E16" w:rsidRPr="00BA6352" w:rsidTr="00A10D4B">
        <w:tc>
          <w:tcPr>
            <w:tcW w:w="2660" w:type="dxa"/>
            <w:tcMar>
              <w:right w:w="737" w:type="dxa"/>
            </w:tcMar>
          </w:tcPr>
          <w:p w:rsidR="006C2E16" w:rsidRPr="00BA6352" w:rsidRDefault="006C2E16" w:rsidP="00A10D4B">
            <w:pPr>
              <w:jc w:val="right"/>
              <w:rPr>
                <w:color w:val="000000"/>
                <w:szCs w:val="22"/>
              </w:rPr>
            </w:pPr>
            <w:r>
              <w:rPr>
                <w:color w:val="000000"/>
                <w:szCs w:val="22"/>
              </w:rPr>
              <w:t>&gt;</w:t>
            </w:r>
            <w:r w:rsidRPr="00BA6352">
              <w:rPr>
                <w:color w:val="000000"/>
                <w:szCs w:val="22"/>
              </w:rPr>
              <w:t xml:space="preserve">6 </w:t>
            </w:r>
          </w:p>
        </w:tc>
        <w:tc>
          <w:tcPr>
            <w:tcW w:w="2126" w:type="dxa"/>
            <w:tcMar>
              <w:right w:w="737" w:type="dxa"/>
            </w:tcMar>
          </w:tcPr>
          <w:p w:rsidR="006C2E16" w:rsidRPr="00BA6352" w:rsidRDefault="006C2E16" w:rsidP="00A10D4B">
            <w:pPr>
              <w:jc w:val="right"/>
              <w:rPr>
                <w:color w:val="000000"/>
                <w:szCs w:val="22"/>
              </w:rPr>
            </w:pPr>
            <w:r>
              <w:rPr>
                <w:color w:val="000000"/>
                <w:szCs w:val="22"/>
              </w:rPr>
              <w:t>&gt;</w:t>
            </w:r>
            <w:r w:rsidRPr="00BA6352">
              <w:rPr>
                <w:color w:val="000000"/>
                <w:szCs w:val="22"/>
              </w:rPr>
              <w:t>45</w:t>
            </w:r>
          </w:p>
        </w:tc>
        <w:tc>
          <w:tcPr>
            <w:tcW w:w="2774" w:type="dxa"/>
          </w:tcPr>
          <w:p w:rsidR="006C2E16" w:rsidRPr="00BA6352" w:rsidRDefault="006C2E16" w:rsidP="00A10D4B">
            <w:pPr>
              <w:jc w:val="center"/>
              <w:rPr>
                <w:color w:val="000000"/>
                <w:szCs w:val="22"/>
              </w:rPr>
            </w:pPr>
            <w:r w:rsidRPr="00BA6352">
              <w:rPr>
                <w:color w:val="000000"/>
                <w:szCs w:val="22"/>
              </w:rPr>
              <w:t>Slow (S)</w:t>
            </w:r>
          </w:p>
        </w:tc>
      </w:tr>
    </w:tbl>
    <w:p w:rsidR="006C2E16" w:rsidRDefault="006C2E16" w:rsidP="006C2E16"/>
    <w:p w:rsidR="006C2E16" w:rsidRPr="006D001F" w:rsidRDefault="006C2E16" w:rsidP="006C2E16">
      <w:pPr>
        <w:pStyle w:val="Heading4"/>
      </w:pPr>
      <w:bookmarkStart w:id="48" w:name="_Toc255359961"/>
      <w:bookmarkStart w:id="49" w:name="_Toc351713125"/>
      <w:r w:rsidRPr="006D001F">
        <w:t xml:space="preserve">Henry’s </w:t>
      </w:r>
      <w:r>
        <w:t>l</w:t>
      </w:r>
      <w:r w:rsidRPr="006D001F">
        <w:t>aw constant</w:t>
      </w:r>
      <w:bookmarkEnd w:id="48"/>
      <w:bookmarkEnd w:id="49"/>
    </w:p>
    <w:p w:rsidR="006C2E16" w:rsidRDefault="006C2E16" w:rsidP="006C2E16">
      <w:r w:rsidRPr="00A27A41">
        <w:t xml:space="preserve">Henry’s </w:t>
      </w:r>
      <w:r>
        <w:t>l</w:t>
      </w:r>
      <w:r w:rsidRPr="00A27A41">
        <w:t>aw constant (</w:t>
      </w:r>
      <w:r>
        <w:t>H</w:t>
      </w:r>
      <w:r w:rsidRPr="00A27A41">
        <w:t>) is a measure of the volatility of the contaminant</w:t>
      </w:r>
      <w:r>
        <w:t xml:space="preserve">. </w:t>
      </w:r>
      <w:r w:rsidRPr="00A27A41">
        <w:t xml:space="preserve">The higher the volatility (or value of </w:t>
      </w:r>
      <w:r>
        <w:t>H</w:t>
      </w:r>
      <w:r w:rsidRPr="00A27A41">
        <w:t>) the more of the contaminant will volatilise and be found in the soil air and in the atmosphere</w:t>
      </w:r>
      <w:r>
        <w:t>. H</w:t>
      </w:r>
      <w:r w:rsidRPr="00A27A41">
        <w:t xml:space="preserve"> is a temperature-depend</w:t>
      </w:r>
      <w:r>
        <w:t>e</w:t>
      </w:r>
      <w:r w:rsidRPr="00A27A41">
        <w:t xml:space="preserve">nt constant. </w:t>
      </w:r>
    </w:p>
    <w:p w:rsidR="00145F69" w:rsidRPr="00A27A41" w:rsidRDefault="00145F69" w:rsidP="006C2E16"/>
    <w:p w:rsidR="006C2E16" w:rsidRDefault="006C2E16" w:rsidP="006C2E16">
      <w:r w:rsidRPr="003F719F">
        <w:lastRenderedPageBreak/>
        <w:t xml:space="preserve">Together with the </w:t>
      </w:r>
      <w:r w:rsidRPr="003F719F">
        <w:rPr>
          <w:color w:val="000000"/>
        </w:rPr>
        <w:t>t</w:t>
      </w:r>
      <w:r w:rsidRPr="003F719F">
        <w:rPr>
          <w:color w:val="000000"/>
          <w:vertAlign w:val="subscript"/>
        </w:rPr>
        <w:t>1/2</w:t>
      </w:r>
      <w:r w:rsidRPr="003F719F">
        <w:rPr>
          <w:color w:val="000000"/>
        </w:rPr>
        <w:t xml:space="preserve"> </w:t>
      </w:r>
      <w:r w:rsidRPr="003F719F">
        <w:t>of the contaminant</w:t>
      </w:r>
      <w:r>
        <w:t>,</w:t>
      </w:r>
      <w:r w:rsidRPr="003F719F">
        <w:t xml:space="preserve"> </w:t>
      </w:r>
      <w:r>
        <w:t>H</w:t>
      </w:r>
      <w:r w:rsidRPr="003F719F">
        <w:t xml:space="preserve"> is used to assess the transfer and persistence of the contaminant in the soil, as vapour transport for many </w:t>
      </w:r>
      <w:r>
        <w:t>contaminant</w:t>
      </w:r>
      <w:r w:rsidRPr="003F719F">
        <w:t xml:space="preserve">s may constitute </w:t>
      </w:r>
      <w:r>
        <w:t xml:space="preserve">an </w:t>
      </w:r>
      <w:r w:rsidRPr="003F719F">
        <w:t xml:space="preserve">important pathway of loss and exposure to organisms. </w:t>
      </w:r>
    </w:p>
    <w:p w:rsidR="00145F69" w:rsidRPr="003F719F" w:rsidRDefault="00145F69" w:rsidP="006C2E16"/>
    <w:p w:rsidR="006C2E16" w:rsidRDefault="006C2E16" w:rsidP="006C2E16">
      <w:r w:rsidRPr="003F719F">
        <w:t>Several researchers have used different cut</w:t>
      </w:r>
      <w:r>
        <w:t>-</w:t>
      </w:r>
      <w:r w:rsidRPr="003F719F">
        <w:t xml:space="preserve">off values of </w:t>
      </w:r>
      <w:r>
        <w:t>H</w:t>
      </w:r>
      <w:r w:rsidRPr="003F719F">
        <w:t xml:space="preserve"> to class </w:t>
      </w:r>
      <w:r>
        <w:t>contaminant</w:t>
      </w:r>
      <w:r w:rsidRPr="003F719F">
        <w:t>s into volatile and non-volatile categories but</w:t>
      </w:r>
      <w:r>
        <w:t>,</w:t>
      </w:r>
      <w:r w:rsidRPr="003F719F">
        <w:t xml:space="preserve"> in most cases</w:t>
      </w:r>
      <w:r>
        <w:t>,</w:t>
      </w:r>
      <w:r w:rsidRPr="003F719F">
        <w:t xml:space="preserve"> for aquatic environments</w:t>
      </w:r>
      <w:r>
        <w:t xml:space="preserve">. </w:t>
      </w:r>
      <w:r w:rsidRPr="003F719F">
        <w:t>Jury et al. (1983</w:t>
      </w:r>
      <w:r>
        <w:t xml:space="preserve">, </w:t>
      </w:r>
      <w:r w:rsidRPr="003F719F">
        <w:t xml:space="preserve">1984) categorised the behaviour of trace organic contaminants in soils using </w:t>
      </w:r>
      <w:r>
        <w:t>H</w:t>
      </w:r>
      <w:r w:rsidRPr="00170725">
        <w:rPr>
          <w:vertAlign w:val="subscript"/>
        </w:rPr>
        <w:t xml:space="preserve"> </w:t>
      </w:r>
      <w:r w:rsidRPr="003F719F">
        <w:t xml:space="preserve">(among other properties) and this </w:t>
      </w:r>
      <w:r>
        <w:t xml:space="preserve">is </w:t>
      </w:r>
      <w:r w:rsidRPr="003F719F">
        <w:t>useful to assess the importance of the various exposure pathways for organic contaminants (</w:t>
      </w:r>
      <w:r>
        <w:t xml:space="preserve">see </w:t>
      </w:r>
      <w:r w:rsidRPr="003F719F">
        <w:t xml:space="preserve">Table </w:t>
      </w:r>
      <w:r>
        <w:t>3 below</w:t>
      </w:r>
      <w:r w:rsidRPr="003F719F">
        <w:t>)</w:t>
      </w:r>
      <w:r>
        <w:t xml:space="preserve">. </w:t>
      </w:r>
      <w:r w:rsidRPr="003F719F">
        <w:t xml:space="preserve">Jury et al. </w:t>
      </w:r>
      <w:r>
        <w:t>(</w:t>
      </w:r>
      <w:r w:rsidRPr="003F719F">
        <w:t>1983</w:t>
      </w:r>
      <w:r>
        <w:t>)</w:t>
      </w:r>
      <w:r w:rsidRPr="003F719F">
        <w:t xml:space="preserve"> used the Henry’s law constant in dimensionless form as the ratio of concentration in the gas phase to concentration in the liquid phase, both in units of molar concentration, </w:t>
      </w:r>
      <w:r>
        <w:t>that is,</w:t>
      </w:r>
      <w:r w:rsidRPr="003F719F">
        <w:t xml:space="preserve"> </w:t>
      </w:r>
      <w:r w:rsidRPr="000F19CC">
        <w:t>H</w:t>
      </w:r>
      <w:r w:rsidRPr="003F719F">
        <w:t xml:space="preserve"> = (molar concentration in air)/(molar concentration in water)</w:t>
      </w:r>
      <w:r>
        <w:rPr>
          <w:rStyle w:val="FootnoteReference"/>
        </w:rPr>
        <w:footnoteReference w:id="4"/>
      </w:r>
      <w:r w:rsidRPr="003F719F">
        <w:t xml:space="preserve">. This is </w:t>
      </w:r>
      <w:r>
        <w:t xml:space="preserve">the </w:t>
      </w:r>
      <w:r w:rsidRPr="003F719F">
        <w:t xml:space="preserve">most relevant form for estimation of </w:t>
      </w:r>
      <w:r>
        <w:t xml:space="preserve">the </w:t>
      </w:r>
      <w:r w:rsidRPr="003F719F">
        <w:t xml:space="preserve">mass distribution of </w:t>
      </w:r>
      <w:r>
        <w:t xml:space="preserve">a </w:t>
      </w:r>
      <w:r w:rsidRPr="003F719F">
        <w:t xml:space="preserve">chemical. </w:t>
      </w:r>
    </w:p>
    <w:p w:rsidR="00145F69" w:rsidRPr="003F719F" w:rsidRDefault="00145F69" w:rsidP="006C2E16"/>
    <w:p w:rsidR="006C2E16" w:rsidRDefault="006C2E16" w:rsidP="006C2E16">
      <w:r>
        <w:t>The dimensionless form of H</w:t>
      </w:r>
      <w:r w:rsidRPr="00170725">
        <w:rPr>
          <w:vertAlign w:val="subscript"/>
        </w:rPr>
        <w:t xml:space="preserve"> </w:t>
      </w:r>
      <w:r>
        <w:t>based on concentrations (on a molar concentration basis) is the most commonly used of the dimensionless values (Staudinger &amp; Roberts, 1996). The US EPA has published a calculator where Henry’s law constant, H</w:t>
      </w:r>
      <w:r>
        <w:rPr>
          <w:sz w:val="16"/>
          <w:szCs w:val="16"/>
        </w:rPr>
        <w:t>,</w:t>
      </w:r>
      <w:r>
        <w:rPr>
          <w:vertAlign w:val="subscript"/>
        </w:rPr>
        <w:t xml:space="preserve"> </w:t>
      </w:r>
      <w:r w:rsidRPr="00E9110C">
        <w:t>can be</w:t>
      </w:r>
      <w:r>
        <w:rPr>
          <w:vertAlign w:val="subscript"/>
        </w:rPr>
        <w:t xml:space="preserve"> </w:t>
      </w:r>
      <w:r>
        <w:t xml:space="preserve">estimated in different unit forms and at different temperatures. This can be accessed at </w:t>
      </w:r>
      <w:r w:rsidRPr="00475EB3">
        <w:t>www.epa.gov/athens/learn2model/part-two/onsite/esthenry.htm</w:t>
      </w:r>
      <w:r>
        <w:t>.</w:t>
      </w:r>
    </w:p>
    <w:p w:rsidR="006C2E16" w:rsidRDefault="006C2E16" w:rsidP="006C2E16">
      <w:pPr>
        <w:pStyle w:val="Caption"/>
      </w:pPr>
      <w:r w:rsidRPr="003D5262">
        <w:t xml:space="preserve">Table 3. Henry’s </w:t>
      </w:r>
      <w:r>
        <w:t>l</w:t>
      </w:r>
      <w:r w:rsidRPr="003D5262">
        <w:t>aw constant (</w:t>
      </w:r>
      <w:r>
        <w:t>H</w:t>
      </w:r>
      <w:r w:rsidRPr="003D5262">
        <w:t xml:space="preserve"> dimensionless) values to be used in assessing the importance of the various exposure pathways for organic contaminants</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3060"/>
      </w:tblGrid>
      <w:tr w:rsidR="006C2E16" w:rsidRPr="0041080D" w:rsidTr="00A10D4B">
        <w:tc>
          <w:tcPr>
            <w:tcW w:w="3160" w:type="dxa"/>
            <w:shd w:val="clear" w:color="auto" w:fill="C6D9F1" w:themeFill="text2" w:themeFillTint="33"/>
          </w:tcPr>
          <w:p w:rsidR="006C2E16" w:rsidRPr="0041080D" w:rsidRDefault="006C2E16" w:rsidP="00A10D4B">
            <w:pPr>
              <w:jc w:val="center"/>
              <w:rPr>
                <w:b/>
                <w:bCs/>
                <w:color w:val="000000"/>
                <w:szCs w:val="22"/>
              </w:rPr>
            </w:pPr>
            <w:r w:rsidRPr="0041080D">
              <w:rPr>
                <w:b/>
                <w:bCs/>
                <w:color w:val="000000"/>
                <w:szCs w:val="22"/>
              </w:rPr>
              <w:t>Henry’s constant value</w:t>
            </w:r>
          </w:p>
          <w:p w:rsidR="006C2E16" w:rsidRPr="0041080D" w:rsidRDefault="006C2E16" w:rsidP="00A10D4B">
            <w:pPr>
              <w:jc w:val="center"/>
              <w:rPr>
                <w:b/>
                <w:bCs/>
                <w:color w:val="000000"/>
                <w:szCs w:val="22"/>
              </w:rPr>
            </w:pPr>
            <w:r w:rsidRPr="0041080D">
              <w:rPr>
                <w:b/>
                <w:bCs/>
                <w:color w:val="000000"/>
                <w:szCs w:val="22"/>
              </w:rPr>
              <w:t>(cm</w:t>
            </w:r>
            <w:r w:rsidRPr="0041080D">
              <w:rPr>
                <w:b/>
                <w:bCs/>
                <w:color w:val="000000"/>
                <w:szCs w:val="22"/>
                <w:vertAlign w:val="superscript"/>
              </w:rPr>
              <w:t>3</w:t>
            </w:r>
            <w:r w:rsidRPr="0041080D">
              <w:rPr>
                <w:b/>
                <w:bCs/>
                <w:color w:val="000000"/>
                <w:szCs w:val="22"/>
              </w:rPr>
              <w:t xml:space="preserve"> air/cm</w:t>
            </w:r>
            <w:r w:rsidRPr="0041080D">
              <w:rPr>
                <w:b/>
                <w:bCs/>
                <w:color w:val="000000"/>
                <w:szCs w:val="22"/>
                <w:vertAlign w:val="superscript"/>
              </w:rPr>
              <w:t>3</w:t>
            </w:r>
            <w:r w:rsidRPr="0041080D">
              <w:rPr>
                <w:b/>
                <w:bCs/>
                <w:color w:val="000000"/>
                <w:szCs w:val="22"/>
              </w:rPr>
              <w:t xml:space="preserve"> solution)</w:t>
            </w:r>
          </w:p>
        </w:tc>
        <w:tc>
          <w:tcPr>
            <w:tcW w:w="3060" w:type="dxa"/>
            <w:shd w:val="clear" w:color="auto" w:fill="C6D9F1" w:themeFill="text2" w:themeFillTint="33"/>
          </w:tcPr>
          <w:p w:rsidR="006C2E16" w:rsidRPr="0041080D" w:rsidRDefault="006C2E16" w:rsidP="00A10D4B">
            <w:pPr>
              <w:jc w:val="center"/>
              <w:rPr>
                <w:b/>
                <w:bCs/>
                <w:color w:val="000000"/>
                <w:szCs w:val="22"/>
              </w:rPr>
            </w:pPr>
            <w:r w:rsidRPr="0041080D">
              <w:rPr>
                <w:b/>
                <w:bCs/>
                <w:color w:val="000000"/>
                <w:szCs w:val="22"/>
              </w:rPr>
              <w:t>Classification</w:t>
            </w:r>
          </w:p>
        </w:tc>
      </w:tr>
      <w:tr w:rsidR="006C2E16" w:rsidRPr="0041080D" w:rsidTr="00A10D4B">
        <w:tc>
          <w:tcPr>
            <w:tcW w:w="3160" w:type="dxa"/>
            <w:tcMar>
              <w:left w:w="454" w:type="dxa"/>
            </w:tcMar>
          </w:tcPr>
          <w:p w:rsidR="006C2E16" w:rsidRPr="0041080D" w:rsidRDefault="006C2E16" w:rsidP="00A10D4B">
            <w:pPr>
              <w:rPr>
                <w:color w:val="000000"/>
                <w:szCs w:val="22"/>
              </w:rPr>
            </w:pPr>
            <w:r w:rsidRPr="0041080D">
              <w:rPr>
                <w:szCs w:val="22"/>
              </w:rPr>
              <w:t xml:space="preserve"> </w:t>
            </w:r>
            <w:r>
              <w:rPr>
                <w:szCs w:val="22"/>
              </w:rPr>
              <w:t>&gt;</w:t>
            </w:r>
            <w:r w:rsidRPr="0041080D">
              <w:rPr>
                <w:szCs w:val="22"/>
              </w:rPr>
              <w:t xml:space="preserve">2.5 x 10 </w:t>
            </w:r>
            <w:r w:rsidRPr="0041080D">
              <w:rPr>
                <w:szCs w:val="22"/>
                <w:vertAlign w:val="superscript"/>
              </w:rPr>
              <w:t>-3</w:t>
            </w:r>
          </w:p>
        </w:tc>
        <w:tc>
          <w:tcPr>
            <w:tcW w:w="3060" w:type="dxa"/>
          </w:tcPr>
          <w:p w:rsidR="006C2E16" w:rsidRPr="0041080D" w:rsidRDefault="006C2E16" w:rsidP="00A10D4B">
            <w:pPr>
              <w:jc w:val="center"/>
              <w:rPr>
                <w:color w:val="000000"/>
                <w:szCs w:val="22"/>
              </w:rPr>
            </w:pPr>
            <w:r w:rsidRPr="0041080D">
              <w:rPr>
                <w:szCs w:val="22"/>
              </w:rPr>
              <w:t>Highly volatile (H)</w:t>
            </w:r>
          </w:p>
        </w:tc>
      </w:tr>
      <w:tr w:rsidR="006C2E16" w:rsidRPr="0041080D" w:rsidTr="00A10D4B">
        <w:tc>
          <w:tcPr>
            <w:tcW w:w="3160" w:type="dxa"/>
            <w:tcMar>
              <w:left w:w="454" w:type="dxa"/>
            </w:tcMar>
          </w:tcPr>
          <w:p w:rsidR="006C2E16" w:rsidRPr="0041080D" w:rsidRDefault="006C2E16" w:rsidP="00A10D4B">
            <w:pPr>
              <w:rPr>
                <w:color w:val="000000"/>
                <w:szCs w:val="22"/>
              </w:rPr>
            </w:pPr>
            <w:r w:rsidRPr="0041080D">
              <w:rPr>
                <w:szCs w:val="22"/>
              </w:rPr>
              <w:t>2.5 x 10</w:t>
            </w:r>
            <w:r w:rsidRPr="0041080D">
              <w:rPr>
                <w:szCs w:val="22"/>
                <w:vertAlign w:val="superscript"/>
              </w:rPr>
              <w:t>-7</w:t>
            </w:r>
            <w:r w:rsidRPr="0041080D">
              <w:rPr>
                <w:szCs w:val="22"/>
              </w:rPr>
              <w:sym w:font="Symbol" w:char="F02D"/>
            </w:r>
            <w:r w:rsidRPr="0041080D">
              <w:rPr>
                <w:szCs w:val="22"/>
              </w:rPr>
              <w:t xml:space="preserve">2.5 x 10 </w:t>
            </w:r>
            <w:r w:rsidRPr="0041080D">
              <w:rPr>
                <w:szCs w:val="22"/>
                <w:vertAlign w:val="superscript"/>
              </w:rPr>
              <w:t>-5</w:t>
            </w:r>
          </w:p>
        </w:tc>
        <w:tc>
          <w:tcPr>
            <w:tcW w:w="3060" w:type="dxa"/>
          </w:tcPr>
          <w:p w:rsidR="006C2E16" w:rsidRPr="0041080D" w:rsidRDefault="006C2E16" w:rsidP="00A10D4B">
            <w:pPr>
              <w:jc w:val="center"/>
              <w:rPr>
                <w:color w:val="000000"/>
                <w:szCs w:val="22"/>
              </w:rPr>
            </w:pPr>
            <w:r w:rsidRPr="0041080D">
              <w:rPr>
                <w:color w:val="000000"/>
                <w:szCs w:val="22"/>
              </w:rPr>
              <w:t>Moderately volatile (M)</w:t>
            </w:r>
          </w:p>
        </w:tc>
      </w:tr>
      <w:tr w:rsidR="006C2E16" w:rsidRPr="0041080D" w:rsidTr="00A10D4B">
        <w:tc>
          <w:tcPr>
            <w:tcW w:w="3160" w:type="dxa"/>
            <w:tcMar>
              <w:left w:w="454" w:type="dxa"/>
            </w:tcMar>
          </w:tcPr>
          <w:p w:rsidR="006C2E16" w:rsidRPr="0041080D" w:rsidRDefault="006C2E16" w:rsidP="00A10D4B">
            <w:pPr>
              <w:rPr>
                <w:szCs w:val="22"/>
                <w:vertAlign w:val="superscript"/>
              </w:rPr>
            </w:pPr>
            <w:r>
              <w:rPr>
                <w:szCs w:val="22"/>
              </w:rPr>
              <w:t>&lt;</w:t>
            </w:r>
            <w:r w:rsidRPr="0041080D">
              <w:rPr>
                <w:szCs w:val="22"/>
              </w:rPr>
              <w:t xml:space="preserve">2.5 x 10 </w:t>
            </w:r>
            <w:r w:rsidRPr="0041080D">
              <w:rPr>
                <w:szCs w:val="22"/>
                <w:vertAlign w:val="superscript"/>
              </w:rPr>
              <w:t>-7</w:t>
            </w:r>
          </w:p>
        </w:tc>
        <w:tc>
          <w:tcPr>
            <w:tcW w:w="3060" w:type="dxa"/>
          </w:tcPr>
          <w:p w:rsidR="006C2E16" w:rsidRPr="0041080D" w:rsidRDefault="006C2E16" w:rsidP="00A10D4B">
            <w:pPr>
              <w:jc w:val="center"/>
              <w:rPr>
                <w:color w:val="000000"/>
                <w:szCs w:val="22"/>
              </w:rPr>
            </w:pPr>
            <w:r w:rsidRPr="0041080D">
              <w:rPr>
                <w:color w:val="000000"/>
                <w:szCs w:val="22"/>
              </w:rPr>
              <w:t>Not volatile (L)</w:t>
            </w:r>
          </w:p>
        </w:tc>
      </w:tr>
    </w:tbl>
    <w:p w:rsidR="006C2E16" w:rsidRDefault="006C2E16" w:rsidP="006C2E16">
      <w:bookmarkStart w:id="50" w:name="_Toc255359962"/>
    </w:p>
    <w:p w:rsidR="006C2E16" w:rsidRPr="006D001F" w:rsidRDefault="006C2E16" w:rsidP="006C2E16">
      <w:pPr>
        <w:pStyle w:val="Heading4"/>
      </w:pPr>
      <w:bookmarkStart w:id="51" w:name="_Toc351713126"/>
      <w:r w:rsidRPr="006D001F">
        <w:t xml:space="preserve">Octanol-water </w:t>
      </w:r>
      <w:r w:rsidRPr="0041080D">
        <w:t>partition</w:t>
      </w:r>
      <w:bookmarkEnd w:id="51"/>
      <w:r w:rsidRPr="006D001F">
        <w:t xml:space="preserve"> </w:t>
      </w:r>
      <w:bookmarkEnd w:id="50"/>
    </w:p>
    <w:p w:rsidR="006C2E16" w:rsidRDefault="006C2E16" w:rsidP="006C2E16">
      <w:r w:rsidRPr="00A27A41">
        <w:t xml:space="preserve">The </w:t>
      </w:r>
      <w:r>
        <w:t>o</w:t>
      </w:r>
      <w:r w:rsidRPr="006D001F">
        <w:t>ctanol</w:t>
      </w:r>
      <w:r>
        <w:sym w:font="Symbol" w:char="F02D"/>
      </w:r>
      <w:r w:rsidRPr="006D001F">
        <w:t xml:space="preserve">water partition </w:t>
      </w:r>
      <w:r>
        <w:t>(</w:t>
      </w:r>
      <w:r w:rsidRPr="00A27A41">
        <w:t>K</w:t>
      </w:r>
      <w:r w:rsidRPr="00771F10">
        <w:rPr>
          <w:vertAlign w:val="subscript"/>
        </w:rPr>
        <w:t>ow</w:t>
      </w:r>
      <w:r w:rsidRPr="00A27A41">
        <w:t xml:space="preserve">) </w:t>
      </w:r>
      <w:r>
        <w:t xml:space="preserve">is the ratio of the concentration of a contaminant that is </w:t>
      </w:r>
      <w:r w:rsidRPr="00A27A41">
        <w:t>dissolved in n-octanol to that dissolved in water at equilibrium and at a specified temperature</w:t>
      </w:r>
      <w:r>
        <w:t xml:space="preserve">. </w:t>
      </w:r>
      <w:r w:rsidRPr="00A27A41">
        <w:t>It is used as a surrogate to estimate the potential for contaminants to accumulate in tissue</w:t>
      </w:r>
      <w:r>
        <w:t>,</w:t>
      </w:r>
      <w:r w:rsidRPr="00A27A41">
        <w:t xml:space="preserve"> both plant and animal (Connell 1989</w:t>
      </w:r>
      <w:r>
        <w:t>,</w:t>
      </w:r>
      <w:r w:rsidRPr="00A27A41">
        <w:t xml:space="preserve"> Posthumus </w:t>
      </w:r>
      <w:r>
        <w:t>&amp;</w:t>
      </w:r>
      <w:r w:rsidRPr="00A27A41">
        <w:t xml:space="preserve"> Slooff 2001). The K</w:t>
      </w:r>
      <w:r w:rsidRPr="00BD1CA4">
        <w:rPr>
          <w:vertAlign w:val="subscript"/>
        </w:rPr>
        <w:t>ow</w:t>
      </w:r>
      <w:r w:rsidRPr="00A27A41">
        <w:t xml:space="preserve"> values can often be so large that the values are usually expressed as the logarithm to base 10 (</w:t>
      </w:r>
      <w:r>
        <w:t>that is,</w:t>
      </w:r>
      <w:r w:rsidRPr="00A27A41">
        <w:t xml:space="preserve"> log K</w:t>
      </w:r>
      <w:r w:rsidRPr="00771F10">
        <w:rPr>
          <w:vertAlign w:val="subscript"/>
        </w:rPr>
        <w:t>ow</w:t>
      </w:r>
      <w:r w:rsidRPr="00A27A41">
        <w:t>)</w:t>
      </w:r>
      <w:r>
        <w:t xml:space="preserve">. </w:t>
      </w:r>
      <w:r w:rsidRPr="00A27A41">
        <w:t>Contaminants with high log K</w:t>
      </w:r>
      <w:r w:rsidRPr="00771F10">
        <w:rPr>
          <w:vertAlign w:val="subscript"/>
        </w:rPr>
        <w:t>ow</w:t>
      </w:r>
      <w:r w:rsidRPr="00A27A41">
        <w:t xml:space="preserve"> values are more likely to accumulate in plants and soil invertebrates than contaminants with low K</w:t>
      </w:r>
      <w:r w:rsidRPr="00771F10">
        <w:rPr>
          <w:vertAlign w:val="subscript"/>
        </w:rPr>
        <w:t xml:space="preserve">ow </w:t>
      </w:r>
      <w:r w:rsidRPr="00A27A41">
        <w:t>values (Connell 1989</w:t>
      </w:r>
      <w:r>
        <w:t>,</w:t>
      </w:r>
      <w:r w:rsidRPr="00A27A41">
        <w:t xml:space="preserve"> Posthumus </w:t>
      </w:r>
      <w:r>
        <w:t>&amp;</w:t>
      </w:r>
      <w:r w:rsidRPr="00A27A41">
        <w:t xml:space="preserve"> Slooff 2001)</w:t>
      </w:r>
      <w:r>
        <w:t xml:space="preserve">. </w:t>
      </w:r>
      <w:r w:rsidRPr="00A27A41">
        <w:t>If further magnification of these contaminants occurs in the food chain, the predators might experience toxicity while its prey does not</w:t>
      </w:r>
      <w:r>
        <w:t xml:space="preserve">. </w:t>
      </w:r>
      <w:r w:rsidRPr="00A27A41">
        <w:t>This effect is known as secondary poisoning</w:t>
      </w:r>
      <w:r>
        <w:t xml:space="preserve">. </w:t>
      </w:r>
    </w:p>
    <w:p w:rsidR="00145F69" w:rsidRDefault="00145F69" w:rsidP="006C2E16"/>
    <w:p w:rsidR="006C2E16" w:rsidRDefault="006C2E16" w:rsidP="006C2E16">
      <w:r>
        <w:t>Contaminants with log K</w:t>
      </w:r>
      <w:r w:rsidRPr="00771F10">
        <w:rPr>
          <w:vertAlign w:val="subscript"/>
        </w:rPr>
        <w:t>ow</w:t>
      </w:r>
      <w:r>
        <w:t xml:space="preserve"> values below 4 are not considered to biomagnify, while highly fat soluble, lipophilic contaminants with log K</w:t>
      </w:r>
      <w:r w:rsidRPr="00BF2FF7">
        <w:rPr>
          <w:vertAlign w:val="subscript"/>
        </w:rPr>
        <w:t>ow</w:t>
      </w:r>
      <w:r>
        <w:t xml:space="preserve"> values equal to or greater than 4 are most likely to biomagnify. For most contaminants, it is expected that metabolism, excretion and degradation rates exceed the bioaccumulation rates at concentrations equivalent to the trigger values for protecting aquatic ecosystems (ANZECC &amp; ARMCANZ 2000). Hence, only for contaminants with log K</w:t>
      </w:r>
      <w:r w:rsidRPr="00771F10">
        <w:rPr>
          <w:vertAlign w:val="subscript"/>
        </w:rPr>
        <w:t>ow</w:t>
      </w:r>
      <w:r>
        <w:t xml:space="preserve"> values equal to or greater than 4 should secondary poisoning be considered. This approach is also consistent with the starting point to consider biomagnification used in the Australian and </w:t>
      </w:r>
      <w:smartTag w:uri="urn:schemas-microsoft-com:office:smarttags" w:element="country-region">
        <w:smartTag w:uri="urn:schemas-microsoft-com:office:smarttags" w:element="place">
          <w:r>
            <w:t>New Zealand</w:t>
          </w:r>
        </w:smartTag>
      </w:smartTag>
      <w:r>
        <w:t xml:space="preserve"> WQGs (ANZECC &amp; ARMCANZ 2000).</w:t>
      </w:r>
    </w:p>
    <w:p w:rsidR="00145F69" w:rsidRDefault="00145F69" w:rsidP="006C2E16"/>
    <w:p w:rsidR="006C2E16" w:rsidRDefault="006C2E16" w:rsidP="006C2E16">
      <w:r>
        <w:t>For the purpose of this methodology, the log K</w:t>
      </w:r>
      <w:r w:rsidRPr="00771F10">
        <w:rPr>
          <w:vertAlign w:val="subscript"/>
        </w:rPr>
        <w:t>ow</w:t>
      </w:r>
      <w:r>
        <w:t xml:space="preserve"> values of contaminants are divided into two classes. These are:</w:t>
      </w:r>
    </w:p>
    <w:p w:rsidR="006C2E16" w:rsidRDefault="006C2E16" w:rsidP="001C6BE7">
      <w:pPr>
        <w:pStyle w:val="Dot-points"/>
        <w:numPr>
          <w:ilvl w:val="0"/>
          <w:numId w:val="17"/>
        </w:numPr>
      </w:pPr>
      <w:r>
        <w:t>low, log K</w:t>
      </w:r>
      <w:r w:rsidRPr="00771F10">
        <w:rPr>
          <w:vertAlign w:val="subscript"/>
        </w:rPr>
        <w:t>ow</w:t>
      </w:r>
      <w:r>
        <w:t xml:space="preserve"> &lt;4: the contaminant has a low potential to biomagnify</w:t>
      </w:r>
    </w:p>
    <w:p w:rsidR="006C2E16" w:rsidRDefault="006C2E16" w:rsidP="001C6BE7">
      <w:pPr>
        <w:pStyle w:val="Dot-points"/>
        <w:numPr>
          <w:ilvl w:val="0"/>
          <w:numId w:val="17"/>
        </w:numPr>
      </w:pPr>
      <w:r>
        <w:lastRenderedPageBreak/>
        <w:t>high, log K</w:t>
      </w:r>
      <w:r w:rsidRPr="00771F10">
        <w:rPr>
          <w:vertAlign w:val="subscript"/>
        </w:rPr>
        <w:t>ow</w:t>
      </w:r>
      <w:r>
        <w:t xml:space="preserve"> ≥ 4: the contaminant has a high potential to biomagnify.</w:t>
      </w:r>
    </w:p>
    <w:p w:rsidR="006C2E16" w:rsidRPr="006D001F" w:rsidRDefault="006C2E16" w:rsidP="006C2E16">
      <w:pPr>
        <w:pStyle w:val="Heading4"/>
      </w:pPr>
      <w:bookmarkStart w:id="52" w:name="_Toc255359963"/>
      <w:bookmarkStart w:id="53" w:name="_Toc351713127"/>
      <w:r w:rsidRPr="006D001F">
        <w:t xml:space="preserve">Overview of the main exposure pathways </w:t>
      </w:r>
      <w:r>
        <w:t>for</w:t>
      </w:r>
      <w:r w:rsidRPr="006D001F">
        <w:t xml:space="preserve"> organic contaminants</w:t>
      </w:r>
      <w:bookmarkEnd w:id="52"/>
      <w:bookmarkEnd w:id="53"/>
    </w:p>
    <w:p w:rsidR="006C2E16" w:rsidRDefault="006C2E16" w:rsidP="006C2E16">
      <w:r>
        <w:t xml:space="preserve">Table 4 below presents the various combinations of the three physicochemical properties of organic contaminants described above and the resulting two exposure routes that are considered the most important for deriving EILs and/or SQGs. </w:t>
      </w:r>
    </w:p>
    <w:p w:rsidR="00145F69" w:rsidRDefault="00145F69" w:rsidP="006C2E16"/>
    <w:p w:rsidR="006C2E16" w:rsidRDefault="006C2E16" w:rsidP="006C2E16">
      <w:r>
        <w:t>Slowly degrading contaminants (that is, t</w:t>
      </w:r>
      <w:r>
        <w:rPr>
          <w:vertAlign w:val="subscript"/>
        </w:rPr>
        <w:t>1/2</w:t>
      </w:r>
      <w:r>
        <w:t xml:space="preserve"> = slow, Table 2) with high log K</w:t>
      </w:r>
      <w:r w:rsidRPr="00771F10">
        <w:rPr>
          <w:vertAlign w:val="subscript"/>
        </w:rPr>
        <w:t>ow</w:t>
      </w:r>
      <w:r>
        <w:t xml:space="preserve"> values and low H will have biomagnification as the most important exposure pathway followed by direct toxicity. If, however, these slowly degrading, high log K</w:t>
      </w:r>
      <w:r w:rsidRPr="00771F10">
        <w:rPr>
          <w:vertAlign w:val="subscript"/>
        </w:rPr>
        <w:t>ow</w:t>
      </w:r>
      <w:r>
        <w:t xml:space="preserve"> contaminants have a high H</w:t>
      </w:r>
      <w:r>
        <w:rPr>
          <w:sz w:val="18"/>
          <w:szCs w:val="18"/>
        </w:rPr>
        <w:t>,</w:t>
      </w:r>
      <w:r>
        <w:t xml:space="preserve"> then direct toxicity will be the most important exposure pathway, followed by biomagnification. </w:t>
      </w:r>
    </w:p>
    <w:p w:rsidR="00145F69" w:rsidRDefault="00145F69" w:rsidP="006C2E16"/>
    <w:p w:rsidR="006C2E16" w:rsidRDefault="006C2E16" w:rsidP="006C2E16">
      <w:r>
        <w:t>For rapidly degrading contaminants (that is, t</w:t>
      </w:r>
      <w:r>
        <w:rPr>
          <w:vertAlign w:val="subscript"/>
        </w:rPr>
        <w:t>1/2</w:t>
      </w:r>
      <w:r>
        <w:t xml:space="preserve"> = fast), the metabolites of the contaminant might have a larger impact on the environment than the parent contaminant. Therefore, it is necessary to assess the toxicity of the parent contaminant and to separately assess the toxicity and exposure pathways of the metabolites, as these can be markedly different from the parent contaminant. It would be preferable for metabolites to have their own EIL and/or SQG values. However, in practice, the number of EILs and/or SQGs for metabolites will be very limited due to a lack of knowledge of their toxicity and environmental fate.</w:t>
      </w:r>
    </w:p>
    <w:p w:rsidR="006C2E16" w:rsidRDefault="006C2E16" w:rsidP="006C2E16">
      <w:pPr>
        <w:pStyle w:val="Caption"/>
      </w:pPr>
      <w:r w:rsidRPr="003D5262">
        <w:t>Table 4. The properties (half-life t</w:t>
      </w:r>
      <w:r w:rsidRPr="003D5262">
        <w:rPr>
          <w:vertAlign w:val="subscript"/>
        </w:rPr>
        <w:t>½</w:t>
      </w:r>
      <w:r w:rsidRPr="003D5262">
        <w:t>; logarithm of the octanol</w:t>
      </w:r>
      <w:r>
        <w:sym w:font="Symbol" w:char="F02D"/>
      </w:r>
      <w:r w:rsidRPr="003D5262">
        <w:t>water partition coefficient log K</w:t>
      </w:r>
      <w:r w:rsidRPr="00771F10">
        <w:rPr>
          <w:vertAlign w:val="subscript"/>
        </w:rPr>
        <w:t>OW</w:t>
      </w:r>
      <w:r w:rsidRPr="003D5262">
        <w:t xml:space="preserve">; Henry’s gas law constant </w:t>
      </w:r>
      <w:r>
        <w:t>H</w:t>
      </w:r>
      <w:r w:rsidRPr="003D5262">
        <w:t>)</w:t>
      </w:r>
      <w:r w:rsidRPr="003D5262">
        <w:rPr>
          <w:vertAlign w:val="subscript"/>
        </w:rPr>
        <w:t xml:space="preserve"> </w:t>
      </w:r>
      <w:r w:rsidRPr="003D5262">
        <w:t xml:space="preserve">used to assess the importance of the various exposure pathways for organic contaminants and the corresponding two most important routes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260"/>
        <w:gridCol w:w="1620"/>
        <w:gridCol w:w="2415"/>
        <w:gridCol w:w="2265"/>
      </w:tblGrid>
      <w:tr w:rsidR="006C2E16" w:rsidRPr="0041080D" w:rsidTr="00A10D4B">
        <w:trPr>
          <w:cantSplit/>
          <w:trHeight w:val="180"/>
        </w:trPr>
        <w:tc>
          <w:tcPr>
            <w:tcW w:w="1360" w:type="dxa"/>
            <w:vMerge w:val="restart"/>
            <w:shd w:val="clear" w:color="auto" w:fill="C6D9F1" w:themeFill="text2" w:themeFillTint="33"/>
          </w:tcPr>
          <w:p w:rsidR="006C2E16" w:rsidRPr="0041080D" w:rsidRDefault="006C2E16" w:rsidP="00A10D4B">
            <w:pPr>
              <w:jc w:val="center"/>
              <w:rPr>
                <w:b/>
                <w:bCs/>
                <w:szCs w:val="22"/>
              </w:rPr>
            </w:pPr>
            <w:r w:rsidRPr="0041080D">
              <w:rPr>
                <w:b/>
                <w:bCs/>
                <w:szCs w:val="22"/>
              </w:rPr>
              <w:t>t</w:t>
            </w:r>
            <w:r w:rsidRPr="0041080D">
              <w:rPr>
                <w:b/>
                <w:bCs/>
                <w:szCs w:val="22"/>
                <w:vertAlign w:val="subscript"/>
              </w:rPr>
              <w:t>½</w:t>
            </w:r>
            <w:r w:rsidRPr="0041080D">
              <w:rPr>
                <w:b/>
                <w:bCs/>
                <w:szCs w:val="22"/>
                <w:vertAlign w:val="superscript"/>
              </w:rPr>
              <w:t>a</w:t>
            </w:r>
          </w:p>
          <w:p w:rsidR="006C2E16" w:rsidRPr="0041080D" w:rsidRDefault="006C2E16" w:rsidP="00A10D4B">
            <w:pPr>
              <w:jc w:val="center"/>
              <w:rPr>
                <w:b/>
                <w:bCs/>
                <w:szCs w:val="22"/>
              </w:rPr>
            </w:pPr>
          </w:p>
        </w:tc>
        <w:tc>
          <w:tcPr>
            <w:tcW w:w="1260" w:type="dxa"/>
            <w:vMerge w:val="restart"/>
            <w:shd w:val="clear" w:color="auto" w:fill="C6D9F1" w:themeFill="text2" w:themeFillTint="33"/>
          </w:tcPr>
          <w:p w:rsidR="006C2E16" w:rsidRPr="0041080D" w:rsidRDefault="006C2E16" w:rsidP="00A10D4B">
            <w:pPr>
              <w:jc w:val="center"/>
              <w:rPr>
                <w:b/>
                <w:bCs/>
                <w:szCs w:val="22"/>
              </w:rPr>
            </w:pPr>
            <w:r w:rsidRPr="0041080D">
              <w:rPr>
                <w:b/>
                <w:bCs/>
                <w:szCs w:val="22"/>
              </w:rPr>
              <w:t>Log K</w:t>
            </w:r>
            <w:r w:rsidRPr="0041080D">
              <w:rPr>
                <w:b/>
                <w:bCs/>
                <w:szCs w:val="22"/>
                <w:vertAlign w:val="subscript"/>
              </w:rPr>
              <w:t>ow</w:t>
            </w:r>
            <w:r w:rsidRPr="0041080D">
              <w:rPr>
                <w:b/>
                <w:bCs/>
                <w:szCs w:val="22"/>
                <w:vertAlign w:val="superscript"/>
              </w:rPr>
              <w:t>b</w:t>
            </w:r>
          </w:p>
          <w:p w:rsidR="006C2E16" w:rsidRPr="0041080D" w:rsidRDefault="006C2E16" w:rsidP="00A10D4B">
            <w:pPr>
              <w:jc w:val="center"/>
              <w:rPr>
                <w:b/>
                <w:bCs/>
                <w:szCs w:val="22"/>
              </w:rPr>
            </w:pPr>
          </w:p>
        </w:tc>
        <w:tc>
          <w:tcPr>
            <w:tcW w:w="1620" w:type="dxa"/>
            <w:vMerge w:val="restart"/>
            <w:shd w:val="clear" w:color="auto" w:fill="C6D9F1" w:themeFill="text2" w:themeFillTint="33"/>
          </w:tcPr>
          <w:p w:rsidR="006C2E16" w:rsidRPr="0041080D" w:rsidRDefault="006C2E16" w:rsidP="00A10D4B">
            <w:pPr>
              <w:jc w:val="center"/>
              <w:rPr>
                <w:b/>
                <w:bCs/>
                <w:szCs w:val="22"/>
              </w:rPr>
            </w:pPr>
            <w:r w:rsidRPr="0041080D">
              <w:rPr>
                <w:b/>
                <w:bCs/>
                <w:szCs w:val="22"/>
              </w:rPr>
              <w:t>H</w:t>
            </w:r>
            <w:r w:rsidRPr="0041080D">
              <w:rPr>
                <w:b/>
                <w:bCs/>
                <w:szCs w:val="22"/>
                <w:vertAlign w:val="superscript"/>
              </w:rPr>
              <w:t xml:space="preserve"> b</w:t>
            </w:r>
          </w:p>
          <w:p w:rsidR="006C2E16" w:rsidRPr="0041080D" w:rsidRDefault="006C2E16" w:rsidP="00A10D4B">
            <w:pPr>
              <w:jc w:val="center"/>
              <w:rPr>
                <w:b/>
                <w:bCs/>
                <w:szCs w:val="22"/>
              </w:rPr>
            </w:pPr>
          </w:p>
        </w:tc>
        <w:tc>
          <w:tcPr>
            <w:tcW w:w="4680" w:type="dxa"/>
            <w:gridSpan w:val="2"/>
            <w:shd w:val="clear" w:color="auto" w:fill="C6D9F1" w:themeFill="text2" w:themeFillTint="33"/>
          </w:tcPr>
          <w:p w:rsidR="006C2E16" w:rsidRPr="0041080D" w:rsidRDefault="006C2E16" w:rsidP="00A10D4B">
            <w:pPr>
              <w:jc w:val="center"/>
              <w:rPr>
                <w:b/>
                <w:bCs/>
                <w:szCs w:val="22"/>
              </w:rPr>
            </w:pPr>
            <w:r w:rsidRPr="0041080D">
              <w:rPr>
                <w:b/>
                <w:bCs/>
                <w:szCs w:val="22"/>
              </w:rPr>
              <w:t>Exposure routes to be considered</w:t>
            </w:r>
          </w:p>
        </w:tc>
      </w:tr>
      <w:tr w:rsidR="006C2E16" w:rsidRPr="0041080D" w:rsidTr="00A10D4B">
        <w:trPr>
          <w:cantSplit/>
          <w:trHeight w:hRule="exact" w:val="554"/>
        </w:trPr>
        <w:tc>
          <w:tcPr>
            <w:tcW w:w="1360" w:type="dxa"/>
            <w:vMerge/>
            <w:shd w:val="clear" w:color="auto" w:fill="C6D9F1" w:themeFill="text2" w:themeFillTint="33"/>
          </w:tcPr>
          <w:p w:rsidR="006C2E16" w:rsidRPr="0041080D" w:rsidRDefault="006C2E16" w:rsidP="00A10D4B">
            <w:pPr>
              <w:jc w:val="center"/>
              <w:rPr>
                <w:b/>
                <w:bCs/>
                <w:szCs w:val="22"/>
              </w:rPr>
            </w:pPr>
          </w:p>
        </w:tc>
        <w:tc>
          <w:tcPr>
            <w:tcW w:w="1260" w:type="dxa"/>
            <w:vMerge/>
            <w:shd w:val="clear" w:color="auto" w:fill="C6D9F1" w:themeFill="text2" w:themeFillTint="33"/>
          </w:tcPr>
          <w:p w:rsidR="006C2E16" w:rsidRPr="0041080D" w:rsidRDefault="006C2E16" w:rsidP="00A10D4B">
            <w:pPr>
              <w:jc w:val="center"/>
              <w:rPr>
                <w:b/>
                <w:bCs/>
                <w:szCs w:val="22"/>
              </w:rPr>
            </w:pPr>
          </w:p>
        </w:tc>
        <w:tc>
          <w:tcPr>
            <w:tcW w:w="1620" w:type="dxa"/>
            <w:vMerge/>
            <w:shd w:val="clear" w:color="auto" w:fill="C6D9F1" w:themeFill="text2" w:themeFillTint="33"/>
          </w:tcPr>
          <w:p w:rsidR="006C2E16" w:rsidRPr="0041080D" w:rsidRDefault="006C2E16" w:rsidP="00A10D4B">
            <w:pPr>
              <w:jc w:val="center"/>
              <w:rPr>
                <w:b/>
                <w:bCs/>
                <w:szCs w:val="22"/>
              </w:rPr>
            </w:pPr>
          </w:p>
        </w:tc>
        <w:tc>
          <w:tcPr>
            <w:tcW w:w="2415" w:type="dxa"/>
            <w:shd w:val="clear" w:color="auto" w:fill="C6D9F1" w:themeFill="text2" w:themeFillTint="33"/>
          </w:tcPr>
          <w:p w:rsidR="006C2E16" w:rsidRPr="0041080D" w:rsidRDefault="006C2E16" w:rsidP="00A10D4B">
            <w:pPr>
              <w:jc w:val="center"/>
              <w:rPr>
                <w:b/>
                <w:bCs/>
                <w:szCs w:val="22"/>
              </w:rPr>
            </w:pPr>
            <w:r w:rsidRPr="0041080D">
              <w:rPr>
                <w:b/>
                <w:bCs/>
                <w:szCs w:val="22"/>
              </w:rPr>
              <w:t>Primary</w:t>
            </w:r>
          </w:p>
        </w:tc>
        <w:tc>
          <w:tcPr>
            <w:tcW w:w="2265" w:type="dxa"/>
            <w:shd w:val="clear" w:color="auto" w:fill="C6D9F1" w:themeFill="text2" w:themeFillTint="33"/>
          </w:tcPr>
          <w:p w:rsidR="006C2E16" w:rsidRPr="0041080D" w:rsidRDefault="006C2E16" w:rsidP="00A10D4B">
            <w:pPr>
              <w:jc w:val="center"/>
              <w:rPr>
                <w:b/>
                <w:bCs/>
                <w:szCs w:val="22"/>
              </w:rPr>
            </w:pPr>
            <w:r w:rsidRPr="0041080D">
              <w:rPr>
                <w:b/>
                <w:bCs/>
                <w:szCs w:val="22"/>
              </w:rPr>
              <w:t>Secondary</w:t>
            </w:r>
          </w:p>
        </w:tc>
      </w:tr>
      <w:tr w:rsidR="006C2E16" w:rsidRPr="0041080D" w:rsidTr="00A10D4B">
        <w:tc>
          <w:tcPr>
            <w:tcW w:w="1360" w:type="dxa"/>
          </w:tcPr>
          <w:p w:rsidR="006C2E16" w:rsidRPr="0041080D" w:rsidRDefault="006C2E16" w:rsidP="00A10D4B">
            <w:pPr>
              <w:rPr>
                <w:szCs w:val="22"/>
              </w:rPr>
            </w:pPr>
            <w:r w:rsidRPr="0041080D">
              <w:rPr>
                <w:szCs w:val="22"/>
              </w:rPr>
              <w:t>S</w:t>
            </w:r>
          </w:p>
        </w:tc>
        <w:tc>
          <w:tcPr>
            <w:tcW w:w="1260" w:type="dxa"/>
          </w:tcPr>
          <w:p w:rsidR="006C2E16" w:rsidRPr="0041080D" w:rsidRDefault="006C2E16" w:rsidP="00A10D4B">
            <w:pPr>
              <w:jc w:val="center"/>
              <w:rPr>
                <w:szCs w:val="22"/>
              </w:rPr>
            </w:pPr>
            <w:r w:rsidRPr="0041080D">
              <w:rPr>
                <w:szCs w:val="22"/>
              </w:rPr>
              <w:t>H</w:t>
            </w:r>
          </w:p>
        </w:tc>
        <w:tc>
          <w:tcPr>
            <w:tcW w:w="1620" w:type="dxa"/>
          </w:tcPr>
          <w:p w:rsidR="006C2E16" w:rsidRPr="0041080D" w:rsidRDefault="006C2E16" w:rsidP="00A10D4B">
            <w:pPr>
              <w:jc w:val="center"/>
              <w:rPr>
                <w:szCs w:val="22"/>
              </w:rPr>
            </w:pPr>
            <w:r w:rsidRPr="0041080D">
              <w:rPr>
                <w:szCs w:val="22"/>
              </w:rPr>
              <w:t>L</w:t>
            </w:r>
            <w:r w:rsidRPr="0041080D">
              <w:rPr>
                <w:szCs w:val="22"/>
              </w:rPr>
              <w:sym w:font="Symbol" w:char="F02D"/>
            </w:r>
            <w:r w:rsidRPr="0041080D">
              <w:rPr>
                <w:szCs w:val="22"/>
              </w:rPr>
              <w:t>M</w:t>
            </w:r>
          </w:p>
        </w:tc>
        <w:tc>
          <w:tcPr>
            <w:tcW w:w="2415" w:type="dxa"/>
          </w:tcPr>
          <w:p w:rsidR="006C2E16" w:rsidRPr="0041080D" w:rsidRDefault="006C2E16" w:rsidP="00A10D4B">
            <w:pPr>
              <w:jc w:val="center"/>
              <w:rPr>
                <w:szCs w:val="22"/>
              </w:rPr>
            </w:pPr>
            <w:r w:rsidRPr="0041080D">
              <w:rPr>
                <w:szCs w:val="22"/>
              </w:rPr>
              <w:t>Biomagnification</w:t>
            </w:r>
          </w:p>
        </w:tc>
        <w:tc>
          <w:tcPr>
            <w:tcW w:w="2265" w:type="dxa"/>
          </w:tcPr>
          <w:p w:rsidR="006C2E16" w:rsidRPr="0041080D" w:rsidRDefault="006C2E16" w:rsidP="00A10D4B">
            <w:pPr>
              <w:jc w:val="center"/>
              <w:rPr>
                <w:szCs w:val="22"/>
              </w:rPr>
            </w:pPr>
            <w:r w:rsidRPr="0041080D">
              <w:rPr>
                <w:szCs w:val="22"/>
              </w:rPr>
              <w:t>Direct toxicity</w:t>
            </w:r>
          </w:p>
        </w:tc>
      </w:tr>
      <w:tr w:rsidR="006C2E16" w:rsidRPr="0041080D" w:rsidTr="00A10D4B">
        <w:tc>
          <w:tcPr>
            <w:tcW w:w="1360" w:type="dxa"/>
          </w:tcPr>
          <w:p w:rsidR="006C2E16" w:rsidRPr="0041080D" w:rsidRDefault="006C2E16" w:rsidP="00A10D4B">
            <w:pPr>
              <w:rPr>
                <w:szCs w:val="22"/>
              </w:rPr>
            </w:pPr>
            <w:r w:rsidRPr="0041080D">
              <w:rPr>
                <w:szCs w:val="22"/>
              </w:rPr>
              <w:t>S</w:t>
            </w:r>
          </w:p>
        </w:tc>
        <w:tc>
          <w:tcPr>
            <w:tcW w:w="1260" w:type="dxa"/>
          </w:tcPr>
          <w:p w:rsidR="006C2E16" w:rsidRPr="0041080D" w:rsidRDefault="006C2E16" w:rsidP="00A10D4B">
            <w:pPr>
              <w:jc w:val="center"/>
              <w:rPr>
                <w:szCs w:val="22"/>
              </w:rPr>
            </w:pPr>
            <w:r w:rsidRPr="0041080D">
              <w:rPr>
                <w:szCs w:val="22"/>
              </w:rPr>
              <w:t>H</w:t>
            </w:r>
          </w:p>
        </w:tc>
        <w:tc>
          <w:tcPr>
            <w:tcW w:w="1620" w:type="dxa"/>
          </w:tcPr>
          <w:p w:rsidR="006C2E16" w:rsidRPr="0041080D" w:rsidRDefault="006C2E16" w:rsidP="00A10D4B">
            <w:pPr>
              <w:jc w:val="center"/>
              <w:rPr>
                <w:szCs w:val="22"/>
              </w:rPr>
            </w:pPr>
            <w:r w:rsidRPr="0041080D">
              <w:rPr>
                <w:szCs w:val="22"/>
              </w:rPr>
              <w:t>H</w:t>
            </w:r>
          </w:p>
        </w:tc>
        <w:tc>
          <w:tcPr>
            <w:tcW w:w="2415" w:type="dxa"/>
          </w:tcPr>
          <w:p w:rsidR="006C2E16" w:rsidRPr="0041080D" w:rsidRDefault="006C2E16" w:rsidP="00A10D4B">
            <w:pPr>
              <w:jc w:val="center"/>
              <w:rPr>
                <w:szCs w:val="22"/>
              </w:rPr>
            </w:pPr>
            <w:r w:rsidRPr="0041080D">
              <w:rPr>
                <w:szCs w:val="22"/>
              </w:rPr>
              <w:t>Direct toxicity</w:t>
            </w:r>
          </w:p>
        </w:tc>
        <w:tc>
          <w:tcPr>
            <w:tcW w:w="2265" w:type="dxa"/>
          </w:tcPr>
          <w:p w:rsidR="006C2E16" w:rsidRPr="0041080D" w:rsidRDefault="006C2E16" w:rsidP="00A10D4B">
            <w:pPr>
              <w:jc w:val="center"/>
              <w:rPr>
                <w:szCs w:val="22"/>
              </w:rPr>
            </w:pPr>
            <w:r w:rsidRPr="0041080D">
              <w:rPr>
                <w:szCs w:val="22"/>
              </w:rPr>
              <w:t>Biomagnification</w:t>
            </w:r>
          </w:p>
        </w:tc>
      </w:tr>
      <w:tr w:rsidR="006C2E16" w:rsidRPr="0041080D" w:rsidTr="00A10D4B">
        <w:tc>
          <w:tcPr>
            <w:tcW w:w="1360" w:type="dxa"/>
          </w:tcPr>
          <w:p w:rsidR="006C2E16" w:rsidRPr="0041080D" w:rsidRDefault="006C2E16" w:rsidP="00A10D4B">
            <w:pPr>
              <w:rPr>
                <w:szCs w:val="22"/>
              </w:rPr>
            </w:pPr>
            <w:r w:rsidRPr="0041080D">
              <w:rPr>
                <w:szCs w:val="22"/>
              </w:rPr>
              <w:t>S</w:t>
            </w:r>
          </w:p>
        </w:tc>
        <w:tc>
          <w:tcPr>
            <w:tcW w:w="1260" w:type="dxa"/>
          </w:tcPr>
          <w:p w:rsidR="006C2E16" w:rsidRPr="0041080D" w:rsidRDefault="006C2E16" w:rsidP="00A10D4B">
            <w:pPr>
              <w:jc w:val="center"/>
              <w:rPr>
                <w:szCs w:val="22"/>
              </w:rPr>
            </w:pPr>
            <w:r w:rsidRPr="0041080D">
              <w:rPr>
                <w:szCs w:val="22"/>
              </w:rPr>
              <w:t>L</w:t>
            </w:r>
          </w:p>
        </w:tc>
        <w:tc>
          <w:tcPr>
            <w:tcW w:w="1620" w:type="dxa"/>
          </w:tcPr>
          <w:p w:rsidR="006C2E16" w:rsidRPr="0041080D" w:rsidRDefault="006C2E16" w:rsidP="00A10D4B">
            <w:pPr>
              <w:jc w:val="center"/>
              <w:rPr>
                <w:szCs w:val="22"/>
              </w:rPr>
            </w:pPr>
            <w:r w:rsidRPr="0041080D">
              <w:rPr>
                <w:szCs w:val="22"/>
              </w:rPr>
              <w:t>L</w:t>
            </w:r>
            <w:r w:rsidRPr="0041080D">
              <w:rPr>
                <w:szCs w:val="22"/>
              </w:rPr>
              <w:sym w:font="Symbol" w:char="F02D"/>
            </w:r>
            <w:r w:rsidRPr="0041080D">
              <w:rPr>
                <w:szCs w:val="22"/>
              </w:rPr>
              <w:t>M</w:t>
            </w:r>
          </w:p>
        </w:tc>
        <w:tc>
          <w:tcPr>
            <w:tcW w:w="2415" w:type="dxa"/>
          </w:tcPr>
          <w:p w:rsidR="006C2E16" w:rsidRPr="0041080D" w:rsidRDefault="006C2E16" w:rsidP="00A10D4B">
            <w:pPr>
              <w:jc w:val="center"/>
              <w:rPr>
                <w:szCs w:val="22"/>
              </w:rPr>
            </w:pPr>
            <w:r w:rsidRPr="0041080D">
              <w:rPr>
                <w:szCs w:val="22"/>
              </w:rPr>
              <w:t>Direct toxicity</w:t>
            </w:r>
          </w:p>
        </w:tc>
        <w:tc>
          <w:tcPr>
            <w:tcW w:w="2265" w:type="dxa"/>
          </w:tcPr>
          <w:p w:rsidR="006C2E16" w:rsidRPr="0041080D" w:rsidRDefault="006C2E16" w:rsidP="00A10D4B">
            <w:pPr>
              <w:jc w:val="center"/>
              <w:rPr>
                <w:szCs w:val="22"/>
              </w:rPr>
            </w:pPr>
            <w:r w:rsidRPr="0041080D">
              <w:rPr>
                <w:szCs w:val="22"/>
              </w:rPr>
              <w:t>Metabolites</w:t>
            </w:r>
          </w:p>
        </w:tc>
      </w:tr>
      <w:tr w:rsidR="006C2E16" w:rsidRPr="0041080D" w:rsidTr="00A10D4B">
        <w:tc>
          <w:tcPr>
            <w:tcW w:w="1360" w:type="dxa"/>
          </w:tcPr>
          <w:p w:rsidR="006C2E16" w:rsidRPr="0041080D" w:rsidRDefault="006C2E16" w:rsidP="00A10D4B">
            <w:pPr>
              <w:rPr>
                <w:szCs w:val="22"/>
              </w:rPr>
            </w:pPr>
            <w:r w:rsidRPr="0041080D">
              <w:rPr>
                <w:szCs w:val="22"/>
              </w:rPr>
              <w:t>S</w:t>
            </w:r>
          </w:p>
        </w:tc>
        <w:tc>
          <w:tcPr>
            <w:tcW w:w="1260" w:type="dxa"/>
          </w:tcPr>
          <w:p w:rsidR="006C2E16" w:rsidRPr="0041080D" w:rsidRDefault="006C2E16" w:rsidP="00A10D4B">
            <w:pPr>
              <w:jc w:val="center"/>
              <w:rPr>
                <w:szCs w:val="22"/>
              </w:rPr>
            </w:pPr>
            <w:r w:rsidRPr="0041080D">
              <w:rPr>
                <w:szCs w:val="22"/>
              </w:rPr>
              <w:t>L</w:t>
            </w:r>
          </w:p>
        </w:tc>
        <w:tc>
          <w:tcPr>
            <w:tcW w:w="1620" w:type="dxa"/>
          </w:tcPr>
          <w:p w:rsidR="006C2E16" w:rsidRPr="0041080D" w:rsidRDefault="006C2E16" w:rsidP="00A10D4B">
            <w:pPr>
              <w:jc w:val="center"/>
              <w:rPr>
                <w:szCs w:val="22"/>
              </w:rPr>
            </w:pPr>
            <w:r w:rsidRPr="0041080D">
              <w:rPr>
                <w:szCs w:val="22"/>
              </w:rPr>
              <w:t>H</w:t>
            </w:r>
          </w:p>
        </w:tc>
        <w:tc>
          <w:tcPr>
            <w:tcW w:w="2415" w:type="dxa"/>
          </w:tcPr>
          <w:p w:rsidR="006C2E16" w:rsidRPr="0041080D" w:rsidRDefault="006C2E16" w:rsidP="00A10D4B">
            <w:pPr>
              <w:jc w:val="center"/>
              <w:rPr>
                <w:szCs w:val="22"/>
              </w:rPr>
            </w:pPr>
            <w:r w:rsidRPr="0041080D">
              <w:rPr>
                <w:szCs w:val="22"/>
              </w:rPr>
              <w:t>Direct toxicity</w:t>
            </w:r>
          </w:p>
        </w:tc>
        <w:tc>
          <w:tcPr>
            <w:tcW w:w="2265" w:type="dxa"/>
          </w:tcPr>
          <w:p w:rsidR="006C2E16" w:rsidRPr="0041080D" w:rsidRDefault="006C2E16" w:rsidP="00A10D4B">
            <w:pPr>
              <w:jc w:val="center"/>
              <w:rPr>
                <w:szCs w:val="22"/>
              </w:rPr>
            </w:pPr>
            <w:r w:rsidRPr="0041080D">
              <w:rPr>
                <w:szCs w:val="22"/>
              </w:rPr>
              <w:t>Metabolites</w:t>
            </w:r>
          </w:p>
        </w:tc>
      </w:tr>
      <w:tr w:rsidR="006C2E16" w:rsidRPr="0041080D" w:rsidTr="00A10D4B">
        <w:tc>
          <w:tcPr>
            <w:tcW w:w="1360" w:type="dxa"/>
          </w:tcPr>
          <w:p w:rsidR="006C2E16" w:rsidRPr="0041080D" w:rsidRDefault="006C2E16" w:rsidP="00A10D4B">
            <w:pPr>
              <w:rPr>
                <w:szCs w:val="22"/>
              </w:rPr>
            </w:pPr>
            <w:r w:rsidRPr="0041080D">
              <w:rPr>
                <w:szCs w:val="22"/>
              </w:rPr>
              <w:t>M or F</w:t>
            </w:r>
          </w:p>
        </w:tc>
        <w:tc>
          <w:tcPr>
            <w:tcW w:w="1260" w:type="dxa"/>
          </w:tcPr>
          <w:p w:rsidR="006C2E16" w:rsidRPr="0041080D" w:rsidRDefault="006C2E16" w:rsidP="00A10D4B">
            <w:pPr>
              <w:jc w:val="center"/>
              <w:rPr>
                <w:szCs w:val="22"/>
              </w:rPr>
            </w:pPr>
            <w:r w:rsidRPr="0041080D">
              <w:rPr>
                <w:szCs w:val="22"/>
              </w:rPr>
              <w:t>H</w:t>
            </w:r>
          </w:p>
        </w:tc>
        <w:tc>
          <w:tcPr>
            <w:tcW w:w="1620" w:type="dxa"/>
          </w:tcPr>
          <w:p w:rsidR="006C2E16" w:rsidRPr="0041080D" w:rsidRDefault="006C2E16" w:rsidP="00A10D4B">
            <w:pPr>
              <w:jc w:val="center"/>
              <w:rPr>
                <w:szCs w:val="22"/>
              </w:rPr>
            </w:pPr>
            <w:r w:rsidRPr="0041080D">
              <w:rPr>
                <w:szCs w:val="22"/>
              </w:rPr>
              <w:t>L</w:t>
            </w:r>
            <w:r w:rsidRPr="0041080D">
              <w:rPr>
                <w:szCs w:val="22"/>
              </w:rPr>
              <w:sym w:font="Symbol" w:char="F02D"/>
            </w:r>
            <w:r w:rsidRPr="0041080D">
              <w:rPr>
                <w:szCs w:val="22"/>
              </w:rPr>
              <w:t>M</w:t>
            </w:r>
          </w:p>
        </w:tc>
        <w:tc>
          <w:tcPr>
            <w:tcW w:w="2415" w:type="dxa"/>
          </w:tcPr>
          <w:p w:rsidR="006C2E16" w:rsidRPr="0041080D" w:rsidRDefault="006C2E16" w:rsidP="00A10D4B">
            <w:pPr>
              <w:jc w:val="center"/>
              <w:rPr>
                <w:szCs w:val="22"/>
              </w:rPr>
            </w:pPr>
            <w:r w:rsidRPr="0041080D">
              <w:rPr>
                <w:szCs w:val="22"/>
              </w:rPr>
              <w:t>Direct toxicity</w:t>
            </w:r>
          </w:p>
        </w:tc>
        <w:tc>
          <w:tcPr>
            <w:tcW w:w="2265" w:type="dxa"/>
          </w:tcPr>
          <w:p w:rsidR="006C2E16" w:rsidRPr="0041080D" w:rsidRDefault="006C2E16" w:rsidP="00A10D4B">
            <w:pPr>
              <w:jc w:val="center"/>
              <w:rPr>
                <w:szCs w:val="22"/>
              </w:rPr>
            </w:pPr>
            <w:r w:rsidRPr="0041080D">
              <w:rPr>
                <w:szCs w:val="22"/>
              </w:rPr>
              <w:t>Metabolites</w:t>
            </w:r>
          </w:p>
        </w:tc>
      </w:tr>
      <w:tr w:rsidR="006C2E16" w:rsidRPr="0041080D" w:rsidTr="00A10D4B">
        <w:tc>
          <w:tcPr>
            <w:tcW w:w="1360" w:type="dxa"/>
          </w:tcPr>
          <w:p w:rsidR="006C2E16" w:rsidRPr="0041080D" w:rsidRDefault="006C2E16" w:rsidP="00A10D4B">
            <w:pPr>
              <w:rPr>
                <w:szCs w:val="22"/>
              </w:rPr>
            </w:pPr>
            <w:r w:rsidRPr="0041080D">
              <w:rPr>
                <w:szCs w:val="22"/>
              </w:rPr>
              <w:t>M or F</w:t>
            </w:r>
          </w:p>
        </w:tc>
        <w:tc>
          <w:tcPr>
            <w:tcW w:w="1260" w:type="dxa"/>
          </w:tcPr>
          <w:p w:rsidR="006C2E16" w:rsidRPr="0041080D" w:rsidRDefault="006C2E16" w:rsidP="00A10D4B">
            <w:pPr>
              <w:jc w:val="center"/>
              <w:rPr>
                <w:szCs w:val="22"/>
              </w:rPr>
            </w:pPr>
            <w:r w:rsidRPr="0041080D">
              <w:rPr>
                <w:szCs w:val="22"/>
              </w:rPr>
              <w:t>H</w:t>
            </w:r>
          </w:p>
        </w:tc>
        <w:tc>
          <w:tcPr>
            <w:tcW w:w="1620" w:type="dxa"/>
          </w:tcPr>
          <w:p w:rsidR="006C2E16" w:rsidRPr="0041080D" w:rsidRDefault="006C2E16" w:rsidP="00A10D4B">
            <w:pPr>
              <w:jc w:val="center"/>
              <w:rPr>
                <w:szCs w:val="22"/>
              </w:rPr>
            </w:pPr>
            <w:r w:rsidRPr="0041080D">
              <w:rPr>
                <w:szCs w:val="22"/>
              </w:rPr>
              <w:t>H</w:t>
            </w:r>
          </w:p>
        </w:tc>
        <w:tc>
          <w:tcPr>
            <w:tcW w:w="2415" w:type="dxa"/>
          </w:tcPr>
          <w:p w:rsidR="006C2E16" w:rsidRPr="0041080D" w:rsidRDefault="006C2E16" w:rsidP="00A10D4B">
            <w:pPr>
              <w:jc w:val="center"/>
              <w:rPr>
                <w:szCs w:val="22"/>
              </w:rPr>
            </w:pPr>
            <w:r w:rsidRPr="0041080D">
              <w:rPr>
                <w:szCs w:val="22"/>
              </w:rPr>
              <w:t>Direct toxicity</w:t>
            </w:r>
          </w:p>
        </w:tc>
        <w:tc>
          <w:tcPr>
            <w:tcW w:w="2265" w:type="dxa"/>
          </w:tcPr>
          <w:p w:rsidR="006C2E16" w:rsidRPr="0041080D" w:rsidRDefault="006C2E16" w:rsidP="00A10D4B">
            <w:pPr>
              <w:jc w:val="center"/>
              <w:rPr>
                <w:szCs w:val="22"/>
              </w:rPr>
            </w:pPr>
            <w:r w:rsidRPr="0041080D">
              <w:rPr>
                <w:szCs w:val="22"/>
              </w:rPr>
              <w:t>Metabolites</w:t>
            </w:r>
          </w:p>
        </w:tc>
      </w:tr>
      <w:tr w:rsidR="006C2E16" w:rsidRPr="0041080D" w:rsidTr="00A10D4B">
        <w:tc>
          <w:tcPr>
            <w:tcW w:w="1360" w:type="dxa"/>
          </w:tcPr>
          <w:p w:rsidR="006C2E16" w:rsidRPr="0041080D" w:rsidRDefault="006C2E16" w:rsidP="00A10D4B">
            <w:pPr>
              <w:rPr>
                <w:szCs w:val="22"/>
              </w:rPr>
            </w:pPr>
            <w:r w:rsidRPr="0041080D">
              <w:rPr>
                <w:szCs w:val="22"/>
              </w:rPr>
              <w:t>M or F</w:t>
            </w:r>
          </w:p>
        </w:tc>
        <w:tc>
          <w:tcPr>
            <w:tcW w:w="1260" w:type="dxa"/>
          </w:tcPr>
          <w:p w:rsidR="006C2E16" w:rsidRPr="0041080D" w:rsidRDefault="006C2E16" w:rsidP="00A10D4B">
            <w:pPr>
              <w:jc w:val="center"/>
              <w:rPr>
                <w:szCs w:val="22"/>
              </w:rPr>
            </w:pPr>
            <w:r w:rsidRPr="0041080D">
              <w:rPr>
                <w:szCs w:val="22"/>
              </w:rPr>
              <w:t>L</w:t>
            </w:r>
          </w:p>
        </w:tc>
        <w:tc>
          <w:tcPr>
            <w:tcW w:w="1620" w:type="dxa"/>
          </w:tcPr>
          <w:p w:rsidR="006C2E16" w:rsidRPr="0041080D" w:rsidRDefault="006C2E16" w:rsidP="00A10D4B">
            <w:pPr>
              <w:jc w:val="center"/>
              <w:rPr>
                <w:szCs w:val="22"/>
              </w:rPr>
            </w:pPr>
            <w:r w:rsidRPr="0041080D">
              <w:rPr>
                <w:szCs w:val="22"/>
              </w:rPr>
              <w:t>L</w:t>
            </w:r>
            <w:r w:rsidRPr="0041080D">
              <w:rPr>
                <w:szCs w:val="22"/>
              </w:rPr>
              <w:sym w:font="Symbol" w:char="F02D"/>
            </w:r>
            <w:r w:rsidRPr="0041080D">
              <w:rPr>
                <w:szCs w:val="22"/>
              </w:rPr>
              <w:t>M</w:t>
            </w:r>
          </w:p>
        </w:tc>
        <w:tc>
          <w:tcPr>
            <w:tcW w:w="2415" w:type="dxa"/>
          </w:tcPr>
          <w:p w:rsidR="006C2E16" w:rsidRPr="0041080D" w:rsidRDefault="006C2E16" w:rsidP="00A10D4B">
            <w:pPr>
              <w:jc w:val="center"/>
              <w:rPr>
                <w:szCs w:val="22"/>
              </w:rPr>
            </w:pPr>
            <w:r w:rsidRPr="0041080D">
              <w:rPr>
                <w:szCs w:val="22"/>
              </w:rPr>
              <w:t>Direct toxicity</w:t>
            </w:r>
          </w:p>
        </w:tc>
        <w:tc>
          <w:tcPr>
            <w:tcW w:w="2265" w:type="dxa"/>
          </w:tcPr>
          <w:p w:rsidR="006C2E16" w:rsidRPr="0041080D" w:rsidRDefault="006C2E16" w:rsidP="00A10D4B">
            <w:pPr>
              <w:jc w:val="center"/>
              <w:rPr>
                <w:szCs w:val="22"/>
              </w:rPr>
            </w:pPr>
            <w:r w:rsidRPr="0041080D">
              <w:rPr>
                <w:szCs w:val="22"/>
              </w:rPr>
              <w:t>Metabolites</w:t>
            </w:r>
          </w:p>
        </w:tc>
      </w:tr>
      <w:tr w:rsidR="006C2E16" w:rsidRPr="0041080D" w:rsidTr="00A10D4B">
        <w:tc>
          <w:tcPr>
            <w:tcW w:w="1360" w:type="dxa"/>
          </w:tcPr>
          <w:p w:rsidR="006C2E16" w:rsidRPr="0041080D" w:rsidRDefault="006C2E16" w:rsidP="00A10D4B">
            <w:pPr>
              <w:rPr>
                <w:szCs w:val="22"/>
              </w:rPr>
            </w:pPr>
            <w:r w:rsidRPr="0041080D">
              <w:rPr>
                <w:szCs w:val="22"/>
              </w:rPr>
              <w:t>M or F</w:t>
            </w:r>
          </w:p>
        </w:tc>
        <w:tc>
          <w:tcPr>
            <w:tcW w:w="1260" w:type="dxa"/>
          </w:tcPr>
          <w:p w:rsidR="006C2E16" w:rsidRPr="0041080D" w:rsidRDefault="006C2E16" w:rsidP="00A10D4B">
            <w:pPr>
              <w:jc w:val="center"/>
              <w:rPr>
                <w:szCs w:val="22"/>
              </w:rPr>
            </w:pPr>
            <w:r w:rsidRPr="0041080D">
              <w:rPr>
                <w:szCs w:val="22"/>
              </w:rPr>
              <w:t>L</w:t>
            </w:r>
          </w:p>
        </w:tc>
        <w:tc>
          <w:tcPr>
            <w:tcW w:w="1620" w:type="dxa"/>
          </w:tcPr>
          <w:p w:rsidR="006C2E16" w:rsidRPr="0041080D" w:rsidRDefault="006C2E16" w:rsidP="00A10D4B">
            <w:pPr>
              <w:jc w:val="center"/>
              <w:rPr>
                <w:szCs w:val="22"/>
              </w:rPr>
            </w:pPr>
            <w:r w:rsidRPr="0041080D">
              <w:rPr>
                <w:szCs w:val="22"/>
              </w:rPr>
              <w:t>H</w:t>
            </w:r>
          </w:p>
        </w:tc>
        <w:tc>
          <w:tcPr>
            <w:tcW w:w="2415" w:type="dxa"/>
          </w:tcPr>
          <w:p w:rsidR="006C2E16" w:rsidRPr="0041080D" w:rsidRDefault="006C2E16" w:rsidP="00A10D4B">
            <w:pPr>
              <w:jc w:val="center"/>
              <w:rPr>
                <w:szCs w:val="22"/>
              </w:rPr>
            </w:pPr>
            <w:r w:rsidRPr="0041080D">
              <w:rPr>
                <w:szCs w:val="22"/>
              </w:rPr>
              <w:t>Direct toxicity</w:t>
            </w:r>
          </w:p>
        </w:tc>
        <w:tc>
          <w:tcPr>
            <w:tcW w:w="2265" w:type="dxa"/>
          </w:tcPr>
          <w:p w:rsidR="006C2E16" w:rsidRPr="0041080D" w:rsidRDefault="006C2E16" w:rsidP="00A10D4B">
            <w:pPr>
              <w:jc w:val="center"/>
              <w:rPr>
                <w:szCs w:val="22"/>
              </w:rPr>
            </w:pPr>
            <w:r w:rsidRPr="0041080D">
              <w:rPr>
                <w:szCs w:val="22"/>
              </w:rPr>
              <w:t>Metabolites</w:t>
            </w:r>
          </w:p>
        </w:tc>
      </w:tr>
    </w:tbl>
    <w:p w:rsidR="006C2E16" w:rsidRDefault="006C2E16" w:rsidP="006C2E16">
      <w:pPr>
        <w:rPr>
          <w:kern w:val="28"/>
          <w:sz w:val="18"/>
          <w:szCs w:val="18"/>
        </w:rPr>
      </w:pPr>
      <w:r>
        <w:rPr>
          <w:sz w:val="18"/>
          <w:szCs w:val="18"/>
          <w:vertAlign w:val="superscript"/>
        </w:rPr>
        <w:t>a.</w:t>
      </w:r>
      <w:r>
        <w:rPr>
          <w:sz w:val="18"/>
          <w:szCs w:val="18"/>
        </w:rPr>
        <w:t xml:space="preserve"> S = slow, M = moderately fast, F = fast. </w:t>
      </w:r>
      <w:r>
        <w:rPr>
          <w:sz w:val="18"/>
          <w:szCs w:val="18"/>
          <w:vertAlign w:val="superscript"/>
        </w:rPr>
        <w:t>b.</w:t>
      </w:r>
      <w:r>
        <w:rPr>
          <w:sz w:val="18"/>
          <w:szCs w:val="18"/>
        </w:rPr>
        <w:t xml:space="preserve"> H = high, M = medium, L = low</w:t>
      </w:r>
    </w:p>
    <w:p w:rsidR="006C2E16" w:rsidRPr="005802FA" w:rsidRDefault="006C2E16" w:rsidP="001C6BE7">
      <w:pPr>
        <w:pStyle w:val="Heading3"/>
      </w:pPr>
      <w:bookmarkStart w:id="54" w:name="_Toc177977869"/>
      <w:bookmarkStart w:id="55" w:name="_Toc177978938"/>
      <w:bookmarkStart w:id="56" w:name="_Toc255359964"/>
      <w:bookmarkStart w:id="57" w:name="_Toc269122444"/>
      <w:bookmarkStart w:id="58" w:name="_Toc351713128"/>
      <w:r>
        <w:t>E</w:t>
      </w:r>
      <w:r w:rsidRPr="005802FA">
        <w:t xml:space="preserve">xposure pathway assessment </w:t>
      </w:r>
      <w:r>
        <w:t>for</w:t>
      </w:r>
      <w:r w:rsidRPr="005802FA">
        <w:t xml:space="preserve"> inorganic</w:t>
      </w:r>
      <w:r>
        <w:t xml:space="preserve"> contaminants</w:t>
      </w:r>
      <w:bookmarkEnd w:id="54"/>
      <w:bookmarkEnd w:id="55"/>
      <w:bookmarkEnd w:id="56"/>
      <w:bookmarkEnd w:id="57"/>
      <w:bookmarkEnd w:id="58"/>
    </w:p>
    <w:p w:rsidR="006C2E16" w:rsidRDefault="006C2E16" w:rsidP="006C2E16">
      <w:pPr>
        <w:pStyle w:val="Heading4"/>
      </w:pPr>
      <w:bookmarkStart w:id="59" w:name="_Toc255359965"/>
      <w:bookmarkStart w:id="60" w:name="_Toc351713129"/>
      <w:bookmarkStart w:id="61" w:name="_Toc177977870"/>
      <w:bookmarkStart w:id="62" w:name="_Toc177978939"/>
      <w:r>
        <w:t>Biomagnification</w:t>
      </w:r>
      <w:bookmarkEnd w:id="59"/>
      <w:bookmarkEnd w:id="60"/>
    </w:p>
    <w:p w:rsidR="006C2E16" w:rsidRDefault="006C2E16" w:rsidP="006C2E16">
      <w:r>
        <w:t xml:space="preserve">There is no straightforward physicochemical property of inorganics that will predict their biomagnification potential, unlike organic contaminants. In the past, the bioconcentration, bioaccumulation and biomagnification factors (BCF, BAF and BMF respectively) have been used for this purpose, but this is not appropriate (Luoma &amp; Rainbow 2008). Unless there is clear evidence that an inorganic element does not biomagnify, it should be considered to biomagnify and therefore secondary poisoning should be considered when deriving the EIL and/or SQG for that contaminant. A preliminary list of inorganic elements that do and do not biomagnify is given in Table 5 below. </w:t>
      </w:r>
    </w:p>
    <w:p w:rsidR="006C2E16" w:rsidRDefault="006C2E16" w:rsidP="006C2E16">
      <w:pPr>
        <w:pStyle w:val="Caption"/>
      </w:pPr>
      <w:r w:rsidRPr="003D5262">
        <w:t>Table 5. A preliminary list of inorganics known to biomagnify or known to not biomagnify based on information in the literature.</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663"/>
      </w:tblGrid>
      <w:tr w:rsidR="006C2E16" w:rsidRPr="0041080D" w:rsidTr="00A10D4B">
        <w:tc>
          <w:tcPr>
            <w:tcW w:w="3780" w:type="dxa"/>
            <w:shd w:val="clear" w:color="auto" w:fill="C6D9F1" w:themeFill="text2" w:themeFillTint="33"/>
          </w:tcPr>
          <w:p w:rsidR="006C2E16" w:rsidRPr="0041080D" w:rsidRDefault="006C2E16" w:rsidP="00A10D4B">
            <w:pPr>
              <w:jc w:val="center"/>
              <w:rPr>
                <w:b/>
                <w:bCs/>
                <w:szCs w:val="22"/>
              </w:rPr>
            </w:pPr>
            <w:r w:rsidRPr="0041080D">
              <w:rPr>
                <w:b/>
                <w:bCs/>
                <w:szCs w:val="22"/>
              </w:rPr>
              <w:t>Biomagnification status</w:t>
            </w:r>
          </w:p>
        </w:tc>
        <w:tc>
          <w:tcPr>
            <w:tcW w:w="4663" w:type="dxa"/>
            <w:shd w:val="clear" w:color="auto" w:fill="C6D9F1" w:themeFill="text2" w:themeFillTint="33"/>
          </w:tcPr>
          <w:p w:rsidR="006C2E16" w:rsidRPr="0041080D" w:rsidRDefault="006C2E16" w:rsidP="00A10D4B">
            <w:pPr>
              <w:jc w:val="center"/>
              <w:rPr>
                <w:b/>
                <w:bCs/>
                <w:szCs w:val="22"/>
              </w:rPr>
            </w:pPr>
            <w:r w:rsidRPr="0041080D">
              <w:rPr>
                <w:b/>
                <w:bCs/>
                <w:szCs w:val="22"/>
              </w:rPr>
              <w:t>Inorganic contaminants</w:t>
            </w:r>
          </w:p>
        </w:tc>
      </w:tr>
      <w:tr w:rsidR="006C2E16" w:rsidRPr="0041080D" w:rsidTr="00A10D4B">
        <w:tc>
          <w:tcPr>
            <w:tcW w:w="3780" w:type="dxa"/>
          </w:tcPr>
          <w:p w:rsidR="006C2E16" w:rsidRPr="0041080D" w:rsidRDefault="006C2E16" w:rsidP="00A10D4B">
            <w:pPr>
              <w:rPr>
                <w:szCs w:val="22"/>
              </w:rPr>
            </w:pPr>
            <w:r w:rsidRPr="0041080D">
              <w:rPr>
                <w:szCs w:val="22"/>
              </w:rPr>
              <w:t>Known to biomagnify</w:t>
            </w:r>
          </w:p>
        </w:tc>
        <w:tc>
          <w:tcPr>
            <w:tcW w:w="4663" w:type="dxa"/>
          </w:tcPr>
          <w:p w:rsidR="006C2E16" w:rsidRPr="0041080D" w:rsidRDefault="006C2E16" w:rsidP="00A10D4B">
            <w:pPr>
              <w:rPr>
                <w:szCs w:val="22"/>
              </w:rPr>
            </w:pPr>
            <w:r w:rsidRPr="0041080D">
              <w:rPr>
                <w:szCs w:val="22"/>
              </w:rPr>
              <w:t>Cd, Hg (especially methyl forms), Se</w:t>
            </w:r>
          </w:p>
        </w:tc>
      </w:tr>
      <w:tr w:rsidR="006C2E16" w:rsidRPr="0041080D" w:rsidTr="00A10D4B">
        <w:tc>
          <w:tcPr>
            <w:tcW w:w="3780" w:type="dxa"/>
          </w:tcPr>
          <w:p w:rsidR="006C2E16" w:rsidRPr="0041080D" w:rsidRDefault="006C2E16" w:rsidP="00A10D4B">
            <w:pPr>
              <w:rPr>
                <w:szCs w:val="22"/>
              </w:rPr>
            </w:pPr>
            <w:r w:rsidRPr="0041080D">
              <w:rPr>
                <w:szCs w:val="22"/>
              </w:rPr>
              <w:t>Known to not biomagnify</w:t>
            </w:r>
          </w:p>
        </w:tc>
        <w:tc>
          <w:tcPr>
            <w:tcW w:w="4663" w:type="dxa"/>
          </w:tcPr>
          <w:p w:rsidR="006C2E16" w:rsidRPr="0041080D" w:rsidRDefault="006C2E16" w:rsidP="00A10D4B">
            <w:pPr>
              <w:rPr>
                <w:szCs w:val="22"/>
              </w:rPr>
            </w:pPr>
            <w:r w:rsidRPr="0041080D">
              <w:rPr>
                <w:szCs w:val="22"/>
              </w:rPr>
              <w:t xml:space="preserve">As, Cu, Fe, Mg,  Pb, Zn </w:t>
            </w:r>
          </w:p>
        </w:tc>
      </w:tr>
    </w:tbl>
    <w:p w:rsidR="006C2E16" w:rsidRDefault="006C2E16" w:rsidP="006C2E16">
      <w:pPr>
        <w:rPr>
          <w:color w:val="000000"/>
        </w:rPr>
      </w:pPr>
    </w:p>
    <w:p w:rsidR="006C2E16" w:rsidRDefault="006C2E16" w:rsidP="006C2E16">
      <w:r>
        <w:t>Only three biomagnification classes for inorganics should be used: known biomagnifiers, known non-biomagnifiers, and unknown biomagnifiers (which are then treated as biomagnifiers pending further investigation).</w:t>
      </w:r>
    </w:p>
    <w:p w:rsidR="006C2E16" w:rsidRPr="006D001F" w:rsidRDefault="006C2E16" w:rsidP="001C6BE7">
      <w:pPr>
        <w:pStyle w:val="Heading4"/>
        <w:tabs>
          <w:tab w:val="clear" w:pos="864"/>
          <w:tab w:val="num" w:pos="1290"/>
        </w:tabs>
        <w:ind w:left="862" w:hanging="862"/>
      </w:pPr>
      <w:bookmarkStart w:id="63" w:name="_Toc255359966"/>
      <w:bookmarkStart w:id="64" w:name="_Toc351713130"/>
      <w:r w:rsidRPr="006D001F">
        <w:t xml:space="preserve">Henry’s </w:t>
      </w:r>
      <w:r>
        <w:t>l</w:t>
      </w:r>
      <w:r w:rsidRPr="006D001F">
        <w:t>aw constant</w:t>
      </w:r>
      <w:bookmarkEnd w:id="63"/>
      <w:bookmarkEnd w:id="64"/>
      <w:r w:rsidRPr="006D001F">
        <w:t xml:space="preserve"> </w:t>
      </w:r>
    </w:p>
    <w:p w:rsidR="006C2E16" w:rsidRPr="001C6BE7" w:rsidRDefault="006C2E16" w:rsidP="001C6BE7">
      <w:r w:rsidRPr="001C6BE7">
        <w:t>Henry’s law constant (H) is a measure of the volatility of the element, as described previously. Inorganic elements and contaminants in general have very low volatility. Therefore, exposure pathways involving volatility should only be considered for mercury. These have not been included in the method used to determine the important exposure routes for inorganics.</w:t>
      </w:r>
    </w:p>
    <w:p w:rsidR="006C2E16" w:rsidRPr="006D001F" w:rsidRDefault="006C2E16" w:rsidP="006C2E16">
      <w:pPr>
        <w:pStyle w:val="Heading4"/>
      </w:pPr>
      <w:bookmarkStart w:id="65" w:name="_Toc255359967"/>
      <w:bookmarkStart w:id="66" w:name="_Toc351713131"/>
      <w:r w:rsidRPr="006D001F">
        <w:t>Overview of main exposure pathways</w:t>
      </w:r>
      <w:r>
        <w:t xml:space="preserve"> for inorganic contaminants</w:t>
      </w:r>
      <w:bookmarkEnd w:id="65"/>
      <w:bookmarkEnd w:id="66"/>
    </w:p>
    <w:p w:rsidR="006C2E16" w:rsidRDefault="006C2E16" w:rsidP="006C2E16">
      <w:r>
        <w:t xml:space="preserve">Table 6 below presents the two exposure routes for inorganic contaminants that are considered the most important for deriving EILs and/or SQGs, depending on whether the contaminant biomagnifies or not. </w:t>
      </w:r>
    </w:p>
    <w:p w:rsidR="00145F69" w:rsidRDefault="00145F69" w:rsidP="006C2E16"/>
    <w:p w:rsidR="006C2E16" w:rsidRDefault="006C2E16" w:rsidP="006C2E16">
      <w:r>
        <w:t xml:space="preserve">For unknown and known biomagnifying inorganics, secondary poisoning should be addressed. For all inorganic contaminants, direct toxicity to relevant species and soil processes should be addressed. </w:t>
      </w:r>
    </w:p>
    <w:p w:rsidR="006C2E16" w:rsidRDefault="006C2E16" w:rsidP="006C2E16">
      <w:pPr>
        <w:rPr>
          <w:b/>
          <w:bCs/>
          <w:szCs w:val="22"/>
        </w:rPr>
      </w:pPr>
    </w:p>
    <w:p w:rsidR="006C2E16" w:rsidRDefault="006C2E16" w:rsidP="006C2E16">
      <w:pPr>
        <w:pStyle w:val="Caption"/>
      </w:pPr>
      <w:r w:rsidRPr="003D5262">
        <w:t xml:space="preserve">Table 6. The property used to conduct the inorganic contaminant exposure pathway assessment with the corresponding two most important exposure routes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520"/>
        <w:gridCol w:w="3700"/>
      </w:tblGrid>
      <w:tr w:rsidR="006C2E16" w:rsidRPr="00555AB5" w:rsidTr="00A10D4B">
        <w:trPr>
          <w:trHeight w:hRule="exact" w:val="374"/>
          <w:jc w:val="center"/>
        </w:trPr>
        <w:tc>
          <w:tcPr>
            <w:tcW w:w="1980" w:type="dxa"/>
            <w:vMerge w:val="restart"/>
            <w:shd w:val="clear" w:color="auto" w:fill="C6D9F1" w:themeFill="text2" w:themeFillTint="33"/>
          </w:tcPr>
          <w:p w:rsidR="006C2E16" w:rsidRPr="00555AB5" w:rsidRDefault="006C2E16" w:rsidP="00A10D4B">
            <w:pPr>
              <w:jc w:val="center"/>
              <w:rPr>
                <w:b/>
                <w:bCs/>
                <w:szCs w:val="22"/>
              </w:rPr>
            </w:pPr>
            <w:r w:rsidRPr="00555AB5">
              <w:rPr>
                <w:b/>
                <w:bCs/>
                <w:szCs w:val="22"/>
              </w:rPr>
              <w:t>Biomagnifies</w:t>
            </w:r>
          </w:p>
          <w:p w:rsidR="006C2E16" w:rsidRPr="00555AB5" w:rsidRDefault="006C2E16" w:rsidP="00A10D4B">
            <w:pPr>
              <w:jc w:val="center"/>
              <w:rPr>
                <w:b/>
                <w:bCs/>
                <w:szCs w:val="22"/>
              </w:rPr>
            </w:pPr>
          </w:p>
        </w:tc>
        <w:tc>
          <w:tcPr>
            <w:tcW w:w="6220" w:type="dxa"/>
            <w:gridSpan w:val="2"/>
            <w:shd w:val="clear" w:color="auto" w:fill="C6D9F1" w:themeFill="text2" w:themeFillTint="33"/>
          </w:tcPr>
          <w:p w:rsidR="006C2E16" w:rsidRPr="00555AB5" w:rsidRDefault="006C2E16" w:rsidP="00A10D4B">
            <w:pPr>
              <w:jc w:val="center"/>
              <w:rPr>
                <w:b/>
                <w:bCs/>
                <w:szCs w:val="22"/>
              </w:rPr>
            </w:pPr>
            <w:r w:rsidRPr="00555AB5">
              <w:rPr>
                <w:b/>
                <w:bCs/>
                <w:szCs w:val="22"/>
              </w:rPr>
              <w:t>Exposure routes to be considered</w:t>
            </w:r>
          </w:p>
        </w:tc>
      </w:tr>
      <w:tr w:rsidR="006C2E16" w:rsidRPr="00555AB5" w:rsidTr="00A10D4B">
        <w:trPr>
          <w:jc w:val="center"/>
        </w:trPr>
        <w:tc>
          <w:tcPr>
            <w:tcW w:w="1980" w:type="dxa"/>
            <w:vMerge/>
            <w:shd w:val="clear" w:color="auto" w:fill="C6D9F1" w:themeFill="text2" w:themeFillTint="33"/>
          </w:tcPr>
          <w:p w:rsidR="006C2E16" w:rsidRPr="00555AB5" w:rsidRDefault="006C2E16" w:rsidP="00A10D4B">
            <w:pPr>
              <w:jc w:val="center"/>
              <w:rPr>
                <w:szCs w:val="22"/>
              </w:rPr>
            </w:pPr>
          </w:p>
        </w:tc>
        <w:tc>
          <w:tcPr>
            <w:tcW w:w="2520" w:type="dxa"/>
            <w:shd w:val="clear" w:color="auto" w:fill="C6D9F1" w:themeFill="text2" w:themeFillTint="33"/>
          </w:tcPr>
          <w:p w:rsidR="006C2E16" w:rsidRPr="00555AB5" w:rsidRDefault="006C2E16" w:rsidP="00A10D4B">
            <w:pPr>
              <w:jc w:val="center"/>
              <w:rPr>
                <w:b/>
                <w:bCs/>
                <w:szCs w:val="22"/>
              </w:rPr>
            </w:pPr>
            <w:r w:rsidRPr="00555AB5">
              <w:rPr>
                <w:b/>
                <w:bCs/>
                <w:szCs w:val="22"/>
              </w:rPr>
              <w:t>Primary</w:t>
            </w:r>
          </w:p>
        </w:tc>
        <w:tc>
          <w:tcPr>
            <w:tcW w:w="3700" w:type="dxa"/>
            <w:shd w:val="clear" w:color="auto" w:fill="C6D9F1" w:themeFill="text2" w:themeFillTint="33"/>
          </w:tcPr>
          <w:p w:rsidR="006C2E16" w:rsidRPr="00555AB5" w:rsidRDefault="006C2E16" w:rsidP="00A10D4B">
            <w:pPr>
              <w:jc w:val="center"/>
              <w:rPr>
                <w:b/>
                <w:bCs/>
                <w:szCs w:val="22"/>
              </w:rPr>
            </w:pPr>
            <w:r w:rsidRPr="00555AB5">
              <w:rPr>
                <w:b/>
                <w:bCs/>
                <w:szCs w:val="22"/>
              </w:rPr>
              <w:t>Secondary</w:t>
            </w:r>
          </w:p>
        </w:tc>
      </w:tr>
      <w:tr w:rsidR="006C2E16" w:rsidRPr="00555AB5" w:rsidTr="00A10D4B">
        <w:trPr>
          <w:jc w:val="center"/>
        </w:trPr>
        <w:tc>
          <w:tcPr>
            <w:tcW w:w="1980" w:type="dxa"/>
          </w:tcPr>
          <w:p w:rsidR="006C2E16" w:rsidRPr="00555AB5" w:rsidRDefault="006C2E16" w:rsidP="00A10D4B">
            <w:pPr>
              <w:rPr>
                <w:szCs w:val="22"/>
              </w:rPr>
            </w:pPr>
            <w:r w:rsidRPr="00555AB5">
              <w:rPr>
                <w:szCs w:val="22"/>
              </w:rPr>
              <w:t>Yes</w:t>
            </w:r>
          </w:p>
        </w:tc>
        <w:tc>
          <w:tcPr>
            <w:tcW w:w="2520" w:type="dxa"/>
          </w:tcPr>
          <w:p w:rsidR="006C2E16" w:rsidRPr="00555AB5" w:rsidRDefault="006C2E16" w:rsidP="00A10D4B">
            <w:pPr>
              <w:jc w:val="center"/>
              <w:rPr>
                <w:szCs w:val="22"/>
              </w:rPr>
            </w:pPr>
            <w:r w:rsidRPr="00555AB5">
              <w:rPr>
                <w:szCs w:val="22"/>
              </w:rPr>
              <w:t>Biomagnification</w:t>
            </w:r>
          </w:p>
        </w:tc>
        <w:tc>
          <w:tcPr>
            <w:tcW w:w="3700" w:type="dxa"/>
          </w:tcPr>
          <w:p w:rsidR="006C2E16" w:rsidRPr="00555AB5" w:rsidRDefault="006C2E16" w:rsidP="00A10D4B">
            <w:pPr>
              <w:jc w:val="center"/>
              <w:rPr>
                <w:szCs w:val="22"/>
              </w:rPr>
            </w:pPr>
            <w:r w:rsidRPr="00555AB5">
              <w:rPr>
                <w:szCs w:val="22"/>
              </w:rPr>
              <w:t>Direct toxicity</w:t>
            </w:r>
          </w:p>
        </w:tc>
      </w:tr>
      <w:tr w:rsidR="006C2E16" w:rsidRPr="00555AB5" w:rsidTr="00A10D4B">
        <w:trPr>
          <w:jc w:val="center"/>
        </w:trPr>
        <w:tc>
          <w:tcPr>
            <w:tcW w:w="1980" w:type="dxa"/>
          </w:tcPr>
          <w:p w:rsidR="006C2E16" w:rsidRPr="00555AB5" w:rsidRDefault="006C2E16" w:rsidP="00A10D4B">
            <w:pPr>
              <w:rPr>
                <w:szCs w:val="22"/>
              </w:rPr>
            </w:pPr>
            <w:r w:rsidRPr="00555AB5">
              <w:rPr>
                <w:szCs w:val="22"/>
              </w:rPr>
              <w:t>No</w:t>
            </w:r>
          </w:p>
        </w:tc>
        <w:tc>
          <w:tcPr>
            <w:tcW w:w="2520" w:type="dxa"/>
          </w:tcPr>
          <w:p w:rsidR="006C2E16" w:rsidRPr="00555AB5" w:rsidRDefault="006C2E16" w:rsidP="00A10D4B">
            <w:pPr>
              <w:jc w:val="center"/>
              <w:rPr>
                <w:szCs w:val="22"/>
              </w:rPr>
            </w:pPr>
            <w:r w:rsidRPr="00555AB5">
              <w:rPr>
                <w:szCs w:val="22"/>
              </w:rPr>
              <w:t>Direct toxicity</w:t>
            </w:r>
          </w:p>
        </w:tc>
        <w:tc>
          <w:tcPr>
            <w:tcW w:w="3700" w:type="dxa"/>
          </w:tcPr>
          <w:p w:rsidR="006C2E16" w:rsidRPr="00555AB5" w:rsidRDefault="006C2E16" w:rsidP="00A10D4B">
            <w:pPr>
              <w:jc w:val="center"/>
              <w:rPr>
                <w:szCs w:val="22"/>
              </w:rPr>
            </w:pPr>
            <w:r w:rsidRPr="00555AB5">
              <w:rPr>
                <w:szCs w:val="22"/>
              </w:rPr>
              <w:sym w:font="Symbol" w:char="F02D"/>
            </w:r>
          </w:p>
        </w:tc>
      </w:tr>
      <w:tr w:rsidR="006C2E16" w:rsidRPr="00555AB5" w:rsidTr="00A10D4B">
        <w:trPr>
          <w:jc w:val="center"/>
        </w:trPr>
        <w:tc>
          <w:tcPr>
            <w:tcW w:w="1980" w:type="dxa"/>
          </w:tcPr>
          <w:p w:rsidR="006C2E16" w:rsidRPr="00555AB5" w:rsidRDefault="006C2E16" w:rsidP="00A10D4B">
            <w:pPr>
              <w:rPr>
                <w:szCs w:val="22"/>
              </w:rPr>
            </w:pPr>
            <w:r w:rsidRPr="00555AB5">
              <w:rPr>
                <w:szCs w:val="22"/>
              </w:rPr>
              <w:t>Unknown</w:t>
            </w:r>
          </w:p>
        </w:tc>
        <w:tc>
          <w:tcPr>
            <w:tcW w:w="2520" w:type="dxa"/>
          </w:tcPr>
          <w:p w:rsidR="006C2E16" w:rsidRPr="00555AB5" w:rsidRDefault="006C2E16" w:rsidP="00A10D4B">
            <w:pPr>
              <w:jc w:val="center"/>
              <w:rPr>
                <w:szCs w:val="22"/>
              </w:rPr>
            </w:pPr>
            <w:r w:rsidRPr="00555AB5">
              <w:rPr>
                <w:szCs w:val="22"/>
              </w:rPr>
              <w:t>Biomagnification</w:t>
            </w:r>
          </w:p>
        </w:tc>
        <w:tc>
          <w:tcPr>
            <w:tcW w:w="3700" w:type="dxa"/>
          </w:tcPr>
          <w:p w:rsidR="006C2E16" w:rsidRPr="00555AB5" w:rsidRDefault="006C2E16" w:rsidP="00A10D4B">
            <w:pPr>
              <w:jc w:val="center"/>
              <w:rPr>
                <w:szCs w:val="22"/>
              </w:rPr>
            </w:pPr>
            <w:r w:rsidRPr="00555AB5">
              <w:rPr>
                <w:szCs w:val="22"/>
              </w:rPr>
              <w:t>Direct toxicity</w:t>
            </w:r>
          </w:p>
        </w:tc>
      </w:tr>
    </w:tbl>
    <w:p w:rsidR="006C2E16" w:rsidRDefault="006C2E16" w:rsidP="001C6BE7">
      <w:pPr>
        <w:pStyle w:val="Heading2"/>
      </w:pPr>
      <w:bookmarkStart w:id="67" w:name="_Toc255359968"/>
      <w:bookmarkStart w:id="68" w:name="_Toc269122445"/>
      <w:bookmarkStart w:id="69" w:name="_Toc351713132"/>
      <w:r w:rsidRPr="005802FA">
        <w:t>Deriv</w:t>
      </w:r>
      <w:r>
        <w:t>ation of</w:t>
      </w:r>
      <w:r w:rsidRPr="005802FA">
        <w:t xml:space="preserve"> </w:t>
      </w:r>
      <w:r>
        <w:t>EIL</w:t>
      </w:r>
      <w:bookmarkEnd w:id="61"/>
      <w:bookmarkEnd w:id="62"/>
      <w:r>
        <w:t xml:space="preserve"> </w:t>
      </w:r>
      <w:bookmarkEnd w:id="67"/>
      <w:bookmarkEnd w:id="68"/>
      <w:r>
        <w:t>values</w:t>
      </w:r>
      <w:bookmarkEnd w:id="69"/>
    </w:p>
    <w:p w:rsidR="006C2E16" w:rsidRDefault="006C2E16" w:rsidP="006C2E16">
      <w:r>
        <w:t>A schematic of the methodology</w:t>
      </w:r>
      <w:r w:rsidRPr="00CC7B0C">
        <w:t xml:space="preserve"> to derive EILs</w:t>
      </w:r>
      <w:r>
        <w:t xml:space="preserve"> for contaminants</w:t>
      </w:r>
      <w:r w:rsidRPr="00CC7B0C">
        <w:t xml:space="preserve"> is given in Figure 2</w:t>
      </w:r>
      <w:r>
        <w:t xml:space="preserve"> below</w:t>
      </w:r>
      <w:r w:rsidRPr="00CC7B0C">
        <w:t>.</w:t>
      </w:r>
      <w:r>
        <w:t xml:space="preserve"> </w:t>
      </w:r>
      <w:r w:rsidRPr="002302B9">
        <w:t xml:space="preserve">The main steps in the </w:t>
      </w:r>
      <w:r>
        <w:t>methodology</w:t>
      </w:r>
      <w:r w:rsidRPr="002302B9">
        <w:t xml:space="preserve"> are</w:t>
      </w:r>
      <w:r>
        <w:t>:</w:t>
      </w:r>
    </w:p>
    <w:p w:rsidR="006C2E16" w:rsidRDefault="006C2E16" w:rsidP="001C6BE7">
      <w:pPr>
        <w:pStyle w:val="text"/>
        <w:numPr>
          <w:ilvl w:val="0"/>
          <w:numId w:val="39"/>
        </w:numPr>
      </w:pPr>
      <w:r>
        <w:t>c</w:t>
      </w:r>
      <w:r w:rsidRPr="002302B9">
        <w:t>ollat</w:t>
      </w:r>
      <w:r>
        <w:t>ion</w:t>
      </w:r>
      <w:r w:rsidRPr="002302B9">
        <w:t xml:space="preserve"> and screen</w:t>
      </w:r>
      <w:r>
        <w:t>ing</w:t>
      </w:r>
      <w:r w:rsidRPr="002302B9">
        <w:t xml:space="preserve"> </w:t>
      </w:r>
      <w:r>
        <w:t xml:space="preserve">of </w:t>
      </w:r>
      <w:r w:rsidRPr="002302B9">
        <w:t>the data</w:t>
      </w:r>
    </w:p>
    <w:p w:rsidR="006C2E16" w:rsidRDefault="006C2E16" w:rsidP="001C6BE7">
      <w:pPr>
        <w:pStyle w:val="text"/>
        <w:numPr>
          <w:ilvl w:val="0"/>
          <w:numId w:val="39"/>
        </w:numPr>
      </w:pPr>
      <w:r>
        <w:t>standardisation of the toxicity data</w:t>
      </w:r>
    </w:p>
    <w:p w:rsidR="006C2E16" w:rsidRDefault="006C2E16" w:rsidP="001C6BE7">
      <w:pPr>
        <w:pStyle w:val="text"/>
        <w:numPr>
          <w:ilvl w:val="0"/>
          <w:numId w:val="39"/>
        </w:numPr>
      </w:pPr>
      <w:r>
        <w:t>incorporation of an ageing/leaching factor for aged contaminants</w:t>
      </w:r>
    </w:p>
    <w:p w:rsidR="006C2E16" w:rsidRDefault="006C2E16" w:rsidP="001C6BE7">
      <w:pPr>
        <w:pStyle w:val="text"/>
        <w:numPr>
          <w:ilvl w:val="0"/>
          <w:numId w:val="39"/>
        </w:numPr>
      </w:pPr>
      <w:r>
        <w:t>calculation of</w:t>
      </w:r>
      <w:r w:rsidRPr="002302B9">
        <w:t xml:space="preserve"> the added contaminant limit </w:t>
      </w:r>
      <w:r>
        <w:t xml:space="preserve">(ACL) </w:t>
      </w:r>
      <w:r w:rsidRPr="002302B9">
        <w:t xml:space="preserve">by either the </w:t>
      </w:r>
      <w:r>
        <w:t xml:space="preserve">SSD </w:t>
      </w:r>
      <w:r w:rsidRPr="002302B9">
        <w:t xml:space="preserve">or assessment factor </w:t>
      </w:r>
      <w:r>
        <w:t xml:space="preserve">(AF) </w:t>
      </w:r>
      <w:r w:rsidRPr="002302B9">
        <w:t>approach, depending on the toxicity data</w:t>
      </w:r>
    </w:p>
    <w:p w:rsidR="006C2E16" w:rsidRDefault="006C2E16" w:rsidP="001C6BE7">
      <w:pPr>
        <w:pStyle w:val="text"/>
        <w:numPr>
          <w:ilvl w:val="0"/>
          <w:numId w:val="39"/>
        </w:numPr>
      </w:pPr>
      <w:r>
        <w:t>normalisation of the toxicity data to an Australian reference soil. This is only done if the SSD approach is used to calculate the ACL</w:t>
      </w:r>
    </w:p>
    <w:p w:rsidR="006C2E16" w:rsidRDefault="006C2E16" w:rsidP="001C6BE7">
      <w:pPr>
        <w:pStyle w:val="text"/>
        <w:numPr>
          <w:ilvl w:val="0"/>
          <w:numId w:val="39"/>
        </w:numPr>
      </w:pPr>
      <w:r>
        <w:t>accounting for secondary poisoning for those contaminants that are considered to biomagnify in the food web</w:t>
      </w:r>
    </w:p>
    <w:p w:rsidR="006C2E16" w:rsidRDefault="006C2E16" w:rsidP="001C6BE7">
      <w:pPr>
        <w:pStyle w:val="text"/>
        <w:numPr>
          <w:ilvl w:val="0"/>
          <w:numId w:val="39"/>
        </w:numPr>
      </w:pPr>
      <w:r>
        <w:t xml:space="preserve">calculation of the ambient background concentration (ABC) of the contaminant in the soil (if appropriate) </w:t>
      </w:r>
    </w:p>
    <w:p w:rsidR="006C2E16" w:rsidRDefault="006C2E16" w:rsidP="001C6BE7">
      <w:pPr>
        <w:pStyle w:val="text"/>
        <w:numPr>
          <w:ilvl w:val="0"/>
          <w:numId w:val="39"/>
        </w:numPr>
      </w:pPr>
      <w:r>
        <w:t>calculation of the EIL or SQG by summing the ACL and ABC values</w:t>
      </w:r>
    </w:p>
    <w:p w:rsidR="006C2E16" w:rsidRDefault="006C2E16" w:rsidP="006C2E16">
      <w:pPr>
        <w:rPr>
          <w:i/>
          <w:iCs/>
        </w:rPr>
      </w:pPr>
      <w:r w:rsidRPr="00555AB5">
        <w:rPr>
          <w:b/>
        </w:rPr>
        <w:t xml:space="preserve">EIL = ABC + ACL </w:t>
      </w:r>
      <w:r w:rsidRPr="00555AB5">
        <w:rPr>
          <w:b/>
        </w:rPr>
        <w:tab/>
      </w:r>
      <w:r w:rsidRPr="002302B9">
        <w:tab/>
      </w:r>
      <w:r w:rsidRPr="002302B9">
        <w:tab/>
      </w:r>
      <w:r w:rsidRPr="002302B9">
        <w:tab/>
      </w:r>
      <w:r w:rsidR="00145F69">
        <w:tab/>
      </w:r>
      <w:r w:rsidR="00145F69">
        <w:tab/>
      </w:r>
      <w:r>
        <w:tab/>
      </w:r>
      <w:r w:rsidRPr="002302B9">
        <w:rPr>
          <w:i/>
          <w:iCs/>
        </w:rPr>
        <w:t>(eq</w:t>
      </w:r>
      <w:r>
        <w:rPr>
          <w:i/>
          <w:iCs/>
        </w:rPr>
        <w:t>uation</w:t>
      </w:r>
      <w:r w:rsidRPr="002302B9">
        <w:rPr>
          <w:i/>
          <w:iCs/>
        </w:rPr>
        <w:t xml:space="preserve"> </w:t>
      </w:r>
      <w:r>
        <w:rPr>
          <w:i/>
          <w:iCs/>
        </w:rPr>
        <w:t>1</w:t>
      </w:r>
      <w:r w:rsidRPr="002302B9">
        <w:rPr>
          <w:i/>
          <w:iCs/>
        </w:rPr>
        <w:t>)</w:t>
      </w:r>
    </w:p>
    <w:p w:rsidR="00145F69" w:rsidRDefault="00145F69" w:rsidP="006C2E16"/>
    <w:p w:rsidR="006C2E16" w:rsidRDefault="006C2E16" w:rsidP="006C2E16">
      <w:r>
        <w:t xml:space="preserve">The separation of naturally occurring concentrations of a contaminant and the added contaminant in deriving EILs and/or SQG is based on the ‘added risk approach’ (Struijs et al. 1997; Crommentuijn et al. 1997). This approach assumes that the availability of the ABC of a contaminant is zero or </w:t>
      </w:r>
      <w:r>
        <w:lastRenderedPageBreak/>
        <w:t xml:space="preserve">sufficiently close that it makes no practical difference. But, more importantly, it assumes that the background ‘has resulted in the biodiversity of ecosystems or serves to fulfil the needs for micronutrients for the organisms in the environment’ (Traas 2001). Therefore, the approach views only the effect of added contaminants to the environment as adverse. This approach is mostly relevant for ecological risk assessment (ERA) but less relevant for human risk assessment. </w:t>
      </w:r>
    </w:p>
    <w:p w:rsidR="00733107" w:rsidRDefault="00733107" w:rsidP="006C2E16"/>
    <w:p w:rsidR="006C2E16" w:rsidRPr="00733107" w:rsidRDefault="006C2E16" w:rsidP="00733107">
      <w:r w:rsidRPr="00733107">
        <w:t>Evidence supporting the assumptions of the added risk approach has been provided by Posthuma (1997) and Crommentuijn et al. (2000b) and by work showing that the availability of metal salts decreases over time through aging processes (Posthuma 1997; Song et al. 2006). However, for microbial communities the background might be important regarding the development of tolerance to the metals (Díaz-Raviña &amp; Bååth 1996; Bååth et al. 1998; Rutgers et al. 1998; McLaughlin &amp; Smolders 2001; Rusk et al. 2004; Fait et al. 2006; Broos et al. 2007). Some of these studies found positive relationships between metal background concentration and effect concentrations, which could indicate that microbial communities in soils with relatively high background metals have evolved to be more tolerant to additional metal. Although these studies have shown that background concentration might not be completely inactive, adaptation of microbial communities does not lead to an underestimation of the ACL; rather, it is more likely to cause overprotection for microorganisms.</w:t>
      </w:r>
    </w:p>
    <w:p w:rsidR="006C2E16" w:rsidRDefault="006C2E16" w:rsidP="001C6BE7">
      <w:pPr>
        <w:pStyle w:val="Heading3"/>
      </w:pPr>
      <w:bookmarkStart w:id="70" w:name="_Toc255359969"/>
      <w:bookmarkStart w:id="71" w:name="_Toc269122446"/>
      <w:bookmarkStart w:id="72" w:name="_Toc351713133"/>
      <w:r>
        <w:t>Collation and screening of data</w:t>
      </w:r>
      <w:bookmarkEnd w:id="70"/>
      <w:bookmarkEnd w:id="71"/>
      <w:bookmarkEnd w:id="72"/>
    </w:p>
    <w:p w:rsidR="006C2E16" w:rsidRPr="00887BBE" w:rsidRDefault="006C2E16" w:rsidP="006C2E16">
      <w:pPr>
        <w:pStyle w:val="Heading4"/>
      </w:pPr>
      <w:bookmarkStart w:id="73" w:name="_Toc255359970"/>
      <w:bookmarkStart w:id="74" w:name="_Toc351713134"/>
      <w:r w:rsidRPr="00887BBE">
        <w:t>Toxicity data collation</w:t>
      </w:r>
      <w:bookmarkEnd w:id="73"/>
      <w:bookmarkEnd w:id="74"/>
    </w:p>
    <w:p w:rsidR="006C2E16" w:rsidRDefault="006C2E16" w:rsidP="006C2E16">
      <w:r w:rsidRPr="005802FA">
        <w:t xml:space="preserve">The first step in the </w:t>
      </w:r>
      <w:r>
        <w:t xml:space="preserve">methodology of deriving an </w:t>
      </w:r>
      <w:r w:rsidRPr="005802FA">
        <w:t xml:space="preserve">EIL </w:t>
      </w:r>
      <w:r>
        <w:t>and/or SQG</w:t>
      </w:r>
      <w:r w:rsidRPr="005802FA">
        <w:t xml:space="preserve"> is </w:t>
      </w:r>
      <w:r>
        <w:t xml:space="preserve">to conduct </w:t>
      </w:r>
      <w:r w:rsidRPr="005802FA">
        <w:t>a literature re</w:t>
      </w:r>
      <w:r>
        <w:t>view</w:t>
      </w:r>
      <w:r w:rsidRPr="005802FA">
        <w:t xml:space="preserve"> </w:t>
      </w:r>
      <w:r>
        <w:t>and/or to search databases, such as the US EPA ECOTOX database (US EPA 2004), Australasian ecotoxicology database</w:t>
      </w:r>
      <w:r>
        <w:rPr>
          <w:rStyle w:val="FootnoteReference"/>
        </w:rPr>
        <w:footnoteReference w:id="5"/>
      </w:r>
      <w:r>
        <w:t xml:space="preserve"> (Warne </w:t>
      </w:r>
      <w:r w:rsidRPr="00254DF8">
        <w:t>et al.</w:t>
      </w:r>
      <w:r>
        <w:t xml:space="preserve"> 1998; Warne &amp; Westbury, 1999; Markich </w:t>
      </w:r>
      <w:r w:rsidRPr="00254DF8">
        <w:t>et al. 2002</w:t>
      </w:r>
      <w:r>
        <w:t>; Langdon et al. 2009) or the ECETOC database (ECETOC 1993), for</w:t>
      </w:r>
      <w:r w:rsidRPr="005802FA">
        <w:t xml:space="preserve"> available toxicity data for the </w:t>
      </w:r>
      <w:r>
        <w:t xml:space="preserve">contaminant in question. Unlike the situation in the derivation of HILs, it is not appropriate to have a hierarchy of data sources to be used in deriving EILs and/or SQGs. </w:t>
      </w:r>
      <w:r w:rsidRPr="005802FA">
        <w:t>For most metals and well</w:t>
      </w:r>
      <w:r>
        <w:t>-</w:t>
      </w:r>
      <w:r w:rsidRPr="005802FA">
        <w:t xml:space="preserve">known organic contaminants, toxicity data </w:t>
      </w:r>
      <w:r>
        <w:t xml:space="preserve">in addition to that found in the above databases </w:t>
      </w:r>
      <w:r w:rsidRPr="005802FA">
        <w:t>will be available in the literature</w:t>
      </w:r>
      <w:r>
        <w:t xml:space="preserve">. Therefore, one should not rely solely on these databases. </w:t>
      </w:r>
    </w:p>
    <w:p w:rsidR="00145F69" w:rsidRDefault="00145F69" w:rsidP="006C2E16"/>
    <w:p w:rsidR="006C2E16" w:rsidRDefault="006C2E16" w:rsidP="006C2E16">
      <w:r>
        <w:t>F</w:t>
      </w:r>
      <w:r w:rsidRPr="005802FA">
        <w:t>or many organic contaminants there will be no toxicity data available</w:t>
      </w:r>
      <w:r>
        <w:t xml:space="preserve">. </w:t>
      </w:r>
      <w:r w:rsidRPr="005802FA">
        <w:t xml:space="preserve">If there </w:t>
      </w:r>
      <w:r>
        <w:t>is</w:t>
      </w:r>
      <w:r w:rsidRPr="005802FA">
        <w:t xml:space="preserve"> no toxicity data available, models can be used to predict toxicity</w:t>
      </w:r>
      <w:r>
        <w:t xml:space="preserve">. </w:t>
      </w:r>
      <w:r w:rsidRPr="005802FA">
        <w:t>These models include quantitative structure</w:t>
      </w:r>
      <w:r>
        <w:sym w:font="Symbol" w:char="F02D"/>
      </w:r>
      <w:r w:rsidRPr="005802FA">
        <w:t xml:space="preserve">activity relationships (QSARs) </w:t>
      </w:r>
      <w:r>
        <w:t>and</w:t>
      </w:r>
      <w:r w:rsidRPr="005802FA">
        <w:t xml:space="preserve"> quantitative </w:t>
      </w:r>
      <w:r>
        <w:t>activity</w:t>
      </w:r>
      <w:r>
        <w:sym w:font="Symbol" w:char="F02D"/>
      </w:r>
      <w:r>
        <w:t>activity</w:t>
      </w:r>
      <w:r w:rsidRPr="005802FA">
        <w:t xml:space="preserve"> relationships (Q</w:t>
      </w:r>
      <w:r>
        <w:t>AA</w:t>
      </w:r>
      <w:r w:rsidRPr="005802FA">
        <w:t>Rs)</w:t>
      </w:r>
      <w:r>
        <w:t xml:space="preserve">. The </w:t>
      </w:r>
      <w:r w:rsidRPr="005802FA">
        <w:t xml:space="preserve">Australian </w:t>
      </w:r>
      <w:r>
        <w:t>and</w:t>
      </w:r>
      <w:r w:rsidRPr="005802FA">
        <w:t xml:space="preserve"> N</w:t>
      </w:r>
      <w:r>
        <w:t xml:space="preserve">ew </w:t>
      </w:r>
      <w:r w:rsidRPr="005802FA">
        <w:t>Z</w:t>
      </w:r>
      <w:r>
        <w:t>ealand</w:t>
      </w:r>
      <w:r w:rsidRPr="005802FA">
        <w:t xml:space="preserve"> WQGs (ANZECC </w:t>
      </w:r>
      <w:r>
        <w:t>and</w:t>
      </w:r>
      <w:r w:rsidRPr="005802FA">
        <w:t xml:space="preserve"> ARMCANZ 2000) </w:t>
      </w:r>
      <w:r>
        <w:t>used</w:t>
      </w:r>
      <w:r w:rsidRPr="005802FA">
        <w:t xml:space="preserve"> QSARs to derive trigger values </w:t>
      </w:r>
      <w:r>
        <w:t xml:space="preserve">(TVs) </w:t>
      </w:r>
      <w:r w:rsidRPr="005802FA">
        <w:t xml:space="preserve">for narcotic organic </w:t>
      </w:r>
      <w:r>
        <w:t>contaminant</w:t>
      </w:r>
      <w:r w:rsidRPr="005802FA">
        <w:t>s (</w:t>
      </w:r>
      <w:r>
        <w:t>for example,</w:t>
      </w:r>
      <w:r w:rsidRPr="005802FA">
        <w:t xml:space="preserve"> ethanol for marine waters)</w:t>
      </w:r>
      <w:r>
        <w:t xml:space="preserve"> when there was insufficient data. </w:t>
      </w:r>
      <w:r w:rsidRPr="005802FA">
        <w:t xml:space="preserve">If QSARs </w:t>
      </w:r>
      <w:r>
        <w:t xml:space="preserve">or QAARs </w:t>
      </w:r>
      <w:r w:rsidRPr="005802FA">
        <w:t>are not available, the equilibrium partitioning method (Van Gestel 1992</w:t>
      </w:r>
      <w:r>
        <w:t>; ECB 2003</w:t>
      </w:r>
      <w:r w:rsidRPr="005802FA">
        <w:t>)</w:t>
      </w:r>
      <w:r>
        <w:t xml:space="preserve"> </w:t>
      </w:r>
      <w:r w:rsidRPr="005802FA">
        <w:t xml:space="preserve">can be used if toxicity data </w:t>
      </w:r>
      <w:r>
        <w:t xml:space="preserve">is </w:t>
      </w:r>
      <w:r w:rsidRPr="005802FA">
        <w:t>available for aquatic species.</w:t>
      </w:r>
      <w:bookmarkEnd w:id="3"/>
      <w:bookmarkEnd w:id="4"/>
      <w:bookmarkEnd w:id="5"/>
      <w:bookmarkEnd w:id="6"/>
      <w:bookmarkEnd w:id="7"/>
      <w:bookmarkEnd w:id="8"/>
      <w:bookmarkEnd w:id="9"/>
      <w:bookmarkEnd w:id="10"/>
      <w:bookmarkEnd w:id="11"/>
      <w:bookmarkEnd w:id="12"/>
      <w:bookmarkEnd w:id="13"/>
      <w:bookmarkEnd w:id="27"/>
      <w:bookmarkEnd w:id="28"/>
    </w:p>
    <w:p w:rsidR="006C2E16" w:rsidRDefault="006C2E16" w:rsidP="001C6BE7">
      <w:pPr>
        <w:pStyle w:val="text"/>
      </w:pPr>
      <w:r>
        <w:rPr>
          <w:noProof/>
        </w:rPr>
        <w:lastRenderedPageBreak/>
        <mc:AlternateContent>
          <mc:Choice Requires="wpc">
            <w:drawing>
              <wp:inline distT="0" distB="0" distL="0" distR="0" wp14:anchorId="3F02330D" wp14:editId="526D44E0">
                <wp:extent cx="4219575" cy="7252588"/>
                <wp:effectExtent l="0" t="0" r="9525" b="0"/>
                <wp:docPr id="337" name="Canvas 3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 name="Rectangle 10"/>
                        <wps:cNvSpPr>
                          <a:spLocks noChangeArrowheads="1"/>
                        </wps:cNvSpPr>
                        <wps:spPr bwMode="auto">
                          <a:xfrm>
                            <a:off x="965005" y="6926834"/>
                            <a:ext cx="17297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1"/>
                        <wps:cNvSpPr>
                          <a:spLocks noChangeArrowheads="1"/>
                        </wps:cNvSpPr>
                        <wps:spPr bwMode="auto">
                          <a:xfrm>
                            <a:off x="1619690" y="2603119"/>
                            <a:ext cx="2251075" cy="37084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2"/>
                        <wps:cNvSpPr>
                          <a:spLocks noChangeArrowheads="1"/>
                        </wps:cNvSpPr>
                        <wps:spPr bwMode="auto">
                          <a:xfrm>
                            <a:off x="1775900" y="2652649"/>
                            <a:ext cx="19215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Is there a relationship between toxicity and soil </w:t>
                              </w:r>
                            </w:p>
                          </w:txbxContent>
                        </wps:txbx>
                        <wps:bodyPr rot="0" vert="horz" wrap="none" lIns="0" tIns="0" rIns="0" bIns="0" anchor="t" anchorCtr="0" upright="1">
                          <a:spAutoFit/>
                        </wps:bodyPr>
                      </wps:wsp>
                      <wps:wsp>
                        <wps:cNvPr id="16" name="Rectangle 13"/>
                        <wps:cNvSpPr>
                          <a:spLocks noChangeArrowheads="1"/>
                        </wps:cNvSpPr>
                        <wps:spPr bwMode="auto">
                          <a:xfrm>
                            <a:off x="2160710" y="2776474"/>
                            <a:ext cx="11595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physicochemical properties?</w:t>
                              </w:r>
                            </w:p>
                          </w:txbxContent>
                        </wps:txbx>
                        <wps:bodyPr rot="0" vert="horz" wrap="none" lIns="0" tIns="0" rIns="0" bIns="0" anchor="t" anchorCtr="0" upright="1">
                          <a:spAutoFit/>
                        </wps:bodyPr>
                      </wps:wsp>
                      <wpg:wgp>
                        <wpg:cNvPr id="17" name="Group 14"/>
                        <wpg:cNvGrpSpPr>
                          <a:grpSpLocks/>
                        </wpg:cNvGrpSpPr>
                        <wpg:grpSpPr bwMode="auto">
                          <a:xfrm>
                            <a:off x="3033200" y="3012059"/>
                            <a:ext cx="64770" cy="209550"/>
                            <a:chOff x="4857" y="4820"/>
                            <a:chExt cx="102" cy="330"/>
                          </a:xfrm>
                        </wpg:grpSpPr>
                        <wps:wsp>
                          <wps:cNvPr id="18" name="Freeform 15"/>
                          <wps:cNvSpPr>
                            <a:spLocks noEditPoints="1"/>
                          </wps:cNvSpPr>
                          <wps:spPr bwMode="auto">
                            <a:xfrm>
                              <a:off x="4857" y="4820"/>
                              <a:ext cx="102" cy="330"/>
                            </a:xfrm>
                            <a:custGeom>
                              <a:avLst/>
                              <a:gdLst>
                                <a:gd name="T0" fmla="*/ 70 w 102"/>
                                <a:gd name="T1" fmla="*/ 0 h 330"/>
                                <a:gd name="T2" fmla="*/ 67 w 102"/>
                                <a:gd name="T3" fmla="*/ 243 h 330"/>
                                <a:gd name="T4" fmla="*/ 32 w 102"/>
                                <a:gd name="T5" fmla="*/ 243 h 330"/>
                                <a:gd name="T6" fmla="*/ 35 w 102"/>
                                <a:gd name="T7" fmla="*/ 0 h 330"/>
                                <a:gd name="T8" fmla="*/ 70 w 102"/>
                                <a:gd name="T9" fmla="*/ 0 h 330"/>
                                <a:gd name="T10" fmla="*/ 102 w 102"/>
                                <a:gd name="T11" fmla="*/ 227 h 330"/>
                                <a:gd name="T12" fmla="*/ 50 w 102"/>
                                <a:gd name="T13" fmla="*/ 330 h 330"/>
                                <a:gd name="T14" fmla="*/ 0 w 102"/>
                                <a:gd name="T15" fmla="*/ 225 h 330"/>
                                <a:gd name="T16" fmla="*/ 102 w 102"/>
                                <a:gd name="T17" fmla="*/ 227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330">
                                  <a:moveTo>
                                    <a:pt x="70" y="0"/>
                                  </a:moveTo>
                                  <a:lnTo>
                                    <a:pt x="67" y="243"/>
                                  </a:lnTo>
                                  <a:lnTo>
                                    <a:pt x="32" y="243"/>
                                  </a:lnTo>
                                  <a:lnTo>
                                    <a:pt x="35" y="0"/>
                                  </a:lnTo>
                                  <a:lnTo>
                                    <a:pt x="70" y="0"/>
                                  </a:lnTo>
                                  <a:close/>
                                  <a:moveTo>
                                    <a:pt x="102" y="227"/>
                                  </a:moveTo>
                                  <a:lnTo>
                                    <a:pt x="50" y="330"/>
                                  </a:lnTo>
                                  <a:lnTo>
                                    <a:pt x="0" y="225"/>
                                  </a:lnTo>
                                  <a:lnTo>
                                    <a:pt x="102" y="22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4889" y="4820"/>
                              <a:ext cx="38" cy="243"/>
                            </a:xfrm>
                            <a:custGeom>
                              <a:avLst/>
                              <a:gdLst>
                                <a:gd name="T0" fmla="*/ 38 w 38"/>
                                <a:gd name="T1" fmla="*/ 0 h 243"/>
                                <a:gd name="T2" fmla="*/ 35 w 38"/>
                                <a:gd name="T3" fmla="*/ 243 h 243"/>
                                <a:gd name="T4" fmla="*/ 0 w 38"/>
                                <a:gd name="T5" fmla="*/ 243 h 243"/>
                                <a:gd name="T6" fmla="*/ 3 w 38"/>
                                <a:gd name="T7" fmla="*/ 0 h 243"/>
                                <a:gd name="T8" fmla="*/ 38 w 38"/>
                                <a:gd name="T9" fmla="*/ 0 h 243"/>
                              </a:gdLst>
                              <a:ahLst/>
                              <a:cxnLst>
                                <a:cxn ang="0">
                                  <a:pos x="T0" y="T1"/>
                                </a:cxn>
                                <a:cxn ang="0">
                                  <a:pos x="T2" y="T3"/>
                                </a:cxn>
                                <a:cxn ang="0">
                                  <a:pos x="T4" y="T5"/>
                                </a:cxn>
                                <a:cxn ang="0">
                                  <a:pos x="T6" y="T7"/>
                                </a:cxn>
                                <a:cxn ang="0">
                                  <a:pos x="T8" y="T9"/>
                                </a:cxn>
                              </a:cxnLst>
                              <a:rect l="0" t="0" r="r" b="b"/>
                              <a:pathLst>
                                <a:path w="38" h="243">
                                  <a:moveTo>
                                    <a:pt x="38" y="0"/>
                                  </a:moveTo>
                                  <a:lnTo>
                                    <a:pt x="35" y="243"/>
                                  </a:lnTo>
                                  <a:lnTo>
                                    <a:pt x="0" y="243"/>
                                  </a:lnTo>
                                  <a:lnTo>
                                    <a:pt x="3" y="0"/>
                                  </a:lnTo>
                                  <a:lnTo>
                                    <a:pt x="38" y="0"/>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7"/>
                          <wps:cNvSpPr>
                            <a:spLocks/>
                          </wps:cNvSpPr>
                          <wps:spPr bwMode="auto">
                            <a:xfrm>
                              <a:off x="4857" y="5045"/>
                              <a:ext cx="102" cy="105"/>
                            </a:xfrm>
                            <a:custGeom>
                              <a:avLst/>
                              <a:gdLst>
                                <a:gd name="T0" fmla="*/ 102 w 102"/>
                                <a:gd name="T1" fmla="*/ 2 h 105"/>
                                <a:gd name="T2" fmla="*/ 50 w 102"/>
                                <a:gd name="T3" fmla="*/ 105 h 105"/>
                                <a:gd name="T4" fmla="*/ 0 w 102"/>
                                <a:gd name="T5" fmla="*/ 0 h 105"/>
                                <a:gd name="T6" fmla="*/ 102 w 102"/>
                                <a:gd name="T7" fmla="*/ 2 h 105"/>
                              </a:gdLst>
                              <a:ahLst/>
                              <a:cxnLst>
                                <a:cxn ang="0">
                                  <a:pos x="T0" y="T1"/>
                                </a:cxn>
                                <a:cxn ang="0">
                                  <a:pos x="T2" y="T3"/>
                                </a:cxn>
                                <a:cxn ang="0">
                                  <a:pos x="T4" y="T5"/>
                                </a:cxn>
                                <a:cxn ang="0">
                                  <a:pos x="T6" y="T7"/>
                                </a:cxn>
                              </a:cxnLst>
                              <a:rect l="0" t="0" r="r" b="b"/>
                              <a:pathLst>
                                <a:path w="102" h="105">
                                  <a:moveTo>
                                    <a:pt x="102" y="2"/>
                                  </a:moveTo>
                                  <a:lnTo>
                                    <a:pt x="50" y="105"/>
                                  </a:lnTo>
                                  <a:lnTo>
                                    <a:pt x="0" y="0"/>
                                  </a:lnTo>
                                  <a:lnTo>
                                    <a:pt x="102" y="2"/>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 name="Rectangle 18"/>
                        <wps:cNvSpPr>
                          <a:spLocks noChangeArrowheads="1"/>
                        </wps:cNvSpPr>
                        <wps:spPr bwMode="auto">
                          <a:xfrm>
                            <a:off x="527490" y="2504694"/>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22" name="Rectangle 19"/>
                        <wps:cNvSpPr>
                          <a:spLocks noChangeArrowheads="1"/>
                        </wps:cNvSpPr>
                        <wps:spPr bwMode="auto">
                          <a:xfrm>
                            <a:off x="2292155" y="2370709"/>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s:wsp>
                        <wps:cNvPr id="23" name="Rectangle 20"/>
                        <wps:cNvSpPr>
                          <a:spLocks noChangeArrowheads="1"/>
                        </wps:cNvSpPr>
                        <wps:spPr bwMode="auto">
                          <a:xfrm>
                            <a:off x="2283900" y="3262884"/>
                            <a:ext cx="1558290" cy="20383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1"/>
                        <wps:cNvSpPr>
                          <a:spLocks noChangeArrowheads="1"/>
                        </wps:cNvSpPr>
                        <wps:spPr bwMode="auto">
                          <a:xfrm>
                            <a:off x="2581715" y="3247009"/>
                            <a:ext cx="9537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Normalise toxicity data</w:t>
                              </w:r>
                            </w:p>
                          </w:txbxContent>
                        </wps:txbx>
                        <wps:bodyPr rot="0" vert="horz" wrap="none" lIns="0" tIns="0" rIns="0" bIns="0" anchor="t" anchorCtr="0" upright="1">
                          <a:spAutoFit/>
                        </wps:bodyPr>
                      </wps:wsp>
                      <wpg:wgp>
                        <wpg:cNvPr id="25" name="Group 22"/>
                        <wpg:cNvGrpSpPr>
                          <a:grpSpLocks/>
                        </wpg:cNvGrpSpPr>
                        <wpg:grpSpPr bwMode="auto">
                          <a:xfrm>
                            <a:off x="761170" y="2431034"/>
                            <a:ext cx="65405" cy="1285240"/>
                            <a:chOff x="1279" y="3905"/>
                            <a:chExt cx="103" cy="2024"/>
                          </a:xfrm>
                        </wpg:grpSpPr>
                        <wps:wsp>
                          <wps:cNvPr id="26" name="Freeform 23"/>
                          <wps:cNvSpPr>
                            <a:spLocks noEditPoints="1"/>
                          </wps:cNvSpPr>
                          <wps:spPr bwMode="auto">
                            <a:xfrm>
                              <a:off x="1279" y="3905"/>
                              <a:ext cx="103" cy="2024"/>
                            </a:xfrm>
                            <a:custGeom>
                              <a:avLst/>
                              <a:gdLst>
                                <a:gd name="T0" fmla="*/ 80 w 103"/>
                                <a:gd name="T1" fmla="*/ 0 h 2024"/>
                                <a:gd name="T2" fmla="*/ 70 w 103"/>
                                <a:gd name="T3" fmla="*/ 1937 h 2024"/>
                                <a:gd name="T4" fmla="*/ 35 w 103"/>
                                <a:gd name="T5" fmla="*/ 1937 h 2024"/>
                                <a:gd name="T6" fmla="*/ 45 w 103"/>
                                <a:gd name="T7" fmla="*/ 0 h 2024"/>
                                <a:gd name="T8" fmla="*/ 80 w 103"/>
                                <a:gd name="T9" fmla="*/ 0 h 2024"/>
                                <a:gd name="T10" fmla="*/ 103 w 103"/>
                                <a:gd name="T11" fmla="*/ 1919 h 2024"/>
                                <a:gd name="T12" fmla="*/ 50 w 103"/>
                                <a:gd name="T13" fmla="*/ 2024 h 2024"/>
                                <a:gd name="T14" fmla="*/ 0 w 103"/>
                                <a:gd name="T15" fmla="*/ 1919 h 2024"/>
                                <a:gd name="T16" fmla="*/ 103 w 103"/>
                                <a:gd name="T17" fmla="*/ 191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2024">
                                  <a:moveTo>
                                    <a:pt x="80" y="0"/>
                                  </a:moveTo>
                                  <a:lnTo>
                                    <a:pt x="70" y="1937"/>
                                  </a:lnTo>
                                  <a:lnTo>
                                    <a:pt x="35" y="1937"/>
                                  </a:lnTo>
                                  <a:lnTo>
                                    <a:pt x="45" y="0"/>
                                  </a:lnTo>
                                  <a:lnTo>
                                    <a:pt x="80" y="0"/>
                                  </a:lnTo>
                                  <a:close/>
                                  <a:moveTo>
                                    <a:pt x="103" y="1919"/>
                                  </a:moveTo>
                                  <a:lnTo>
                                    <a:pt x="50" y="2024"/>
                                  </a:lnTo>
                                  <a:lnTo>
                                    <a:pt x="0" y="1919"/>
                                  </a:lnTo>
                                  <a:lnTo>
                                    <a:pt x="103" y="19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1314" y="3905"/>
                              <a:ext cx="45" cy="1937"/>
                            </a:xfrm>
                            <a:custGeom>
                              <a:avLst/>
                              <a:gdLst>
                                <a:gd name="T0" fmla="*/ 45 w 45"/>
                                <a:gd name="T1" fmla="*/ 0 h 1937"/>
                                <a:gd name="T2" fmla="*/ 35 w 45"/>
                                <a:gd name="T3" fmla="*/ 1937 h 1937"/>
                                <a:gd name="T4" fmla="*/ 0 w 45"/>
                                <a:gd name="T5" fmla="*/ 1937 h 1937"/>
                                <a:gd name="T6" fmla="*/ 10 w 45"/>
                                <a:gd name="T7" fmla="*/ 0 h 1937"/>
                                <a:gd name="T8" fmla="*/ 45 w 45"/>
                                <a:gd name="T9" fmla="*/ 0 h 1937"/>
                              </a:gdLst>
                              <a:ahLst/>
                              <a:cxnLst>
                                <a:cxn ang="0">
                                  <a:pos x="T0" y="T1"/>
                                </a:cxn>
                                <a:cxn ang="0">
                                  <a:pos x="T2" y="T3"/>
                                </a:cxn>
                                <a:cxn ang="0">
                                  <a:pos x="T4" y="T5"/>
                                </a:cxn>
                                <a:cxn ang="0">
                                  <a:pos x="T6" y="T7"/>
                                </a:cxn>
                                <a:cxn ang="0">
                                  <a:pos x="T8" y="T9"/>
                                </a:cxn>
                              </a:cxnLst>
                              <a:rect l="0" t="0" r="r" b="b"/>
                              <a:pathLst>
                                <a:path w="45" h="1937">
                                  <a:moveTo>
                                    <a:pt x="45" y="0"/>
                                  </a:moveTo>
                                  <a:lnTo>
                                    <a:pt x="35" y="1937"/>
                                  </a:lnTo>
                                  <a:lnTo>
                                    <a:pt x="0" y="1937"/>
                                  </a:lnTo>
                                  <a:lnTo>
                                    <a:pt x="10" y="0"/>
                                  </a:lnTo>
                                  <a:lnTo>
                                    <a:pt x="45" y="0"/>
                                  </a:lnTo>
                                  <a:close/>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5"/>
                          <wps:cNvSpPr>
                            <a:spLocks/>
                          </wps:cNvSpPr>
                          <wps:spPr bwMode="auto">
                            <a:xfrm>
                              <a:off x="1279" y="5824"/>
                              <a:ext cx="103" cy="105"/>
                            </a:xfrm>
                            <a:custGeom>
                              <a:avLst/>
                              <a:gdLst>
                                <a:gd name="T0" fmla="*/ 103 w 103"/>
                                <a:gd name="T1" fmla="*/ 0 h 105"/>
                                <a:gd name="T2" fmla="*/ 50 w 103"/>
                                <a:gd name="T3" fmla="*/ 105 h 105"/>
                                <a:gd name="T4" fmla="*/ 0 w 103"/>
                                <a:gd name="T5" fmla="*/ 0 h 105"/>
                                <a:gd name="T6" fmla="*/ 103 w 103"/>
                                <a:gd name="T7" fmla="*/ 0 h 105"/>
                              </a:gdLst>
                              <a:ahLst/>
                              <a:cxnLst>
                                <a:cxn ang="0">
                                  <a:pos x="T0" y="T1"/>
                                </a:cxn>
                                <a:cxn ang="0">
                                  <a:pos x="T2" y="T3"/>
                                </a:cxn>
                                <a:cxn ang="0">
                                  <a:pos x="T4" y="T5"/>
                                </a:cxn>
                                <a:cxn ang="0">
                                  <a:pos x="T6" y="T7"/>
                                </a:cxn>
                              </a:cxnLst>
                              <a:rect l="0" t="0" r="r" b="b"/>
                              <a:pathLst>
                                <a:path w="103" h="105">
                                  <a:moveTo>
                                    <a:pt x="103" y="0"/>
                                  </a:moveTo>
                                  <a:lnTo>
                                    <a:pt x="50" y="105"/>
                                  </a:lnTo>
                                  <a:lnTo>
                                    <a:pt x="0" y="0"/>
                                  </a:lnTo>
                                  <a:lnTo>
                                    <a:pt x="103"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 name="Group 26"/>
                        <wpg:cNvGrpSpPr>
                          <a:grpSpLocks/>
                        </wpg:cNvGrpSpPr>
                        <wpg:grpSpPr bwMode="auto">
                          <a:xfrm>
                            <a:off x="3030025" y="3511169"/>
                            <a:ext cx="66675" cy="211455"/>
                            <a:chOff x="4852" y="5606"/>
                            <a:chExt cx="105" cy="333"/>
                          </a:xfrm>
                        </wpg:grpSpPr>
                        <wps:wsp>
                          <wps:cNvPr id="30" name="Freeform 27"/>
                          <wps:cNvSpPr>
                            <a:spLocks noEditPoints="1"/>
                          </wps:cNvSpPr>
                          <wps:spPr bwMode="auto">
                            <a:xfrm>
                              <a:off x="4852" y="5606"/>
                              <a:ext cx="105" cy="333"/>
                            </a:xfrm>
                            <a:custGeom>
                              <a:avLst/>
                              <a:gdLst>
                                <a:gd name="T0" fmla="*/ 67 w 105"/>
                                <a:gd name="T1" fmla="*/ 0 h 333"/>
                                <a:gd name="T2" fmla="*/ 70 w 105"/>
                                <a:gd name="T3" fmla="*/ 248 h 333"/>
                                <a:gd name="T4" fmla="*/ 35 w 105"/>
                                <a:gd name="T5" fmla="*/ 248 h 333"/>
                                <a:gd name="T6" fmla="*/ 35 w 105"/>
                                <a:gd name="T7" fmla="*/ 0 h 333"/>
                                <a:gd name="T8" fmla="*/ 67 w 105"/>
                                <a:gd name="T9" fmla="*/ 0 h 333"/>
                                <a:gd name="T10" fmla="*/ 105 w 105"/>
                                <a:gd name="T11" fmla="*/ 231 h 333"/>
                                <a:gd name="T12" fmla="*/ 52 w 105"/>
                                <a:gd name="T13" fmla="*/ 333 h 333"/>
                                <a:gd name="T14" fmla="*/ 0 w 105"/>
                                <a:gd name="T15" fmla="*/ 231 h 333"/>
                                <a:gd name="T16" fmla="*/ 105 w 105"/>
                                <a:gd name="T17" fmla="*/ 231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33">
                                  <a:moveTo>
                                    <a:pt x="67" y="0"/>
                                  </a:moveTo>
                                  <a:lnTo>
                                    <a:pt x="70" y="248"/>
                                  </a:lnTo>
                                  <a:lnTo>
                                    <a:pt x="35" y="248"/>
                                  </a:lnTo>
                                  <a:lnTo>
                                    <a:pt x="35" y="0"/>
                                  </a:lnTo>
                                  <a:lnTo>
                                    <a:pt x="67" y="0"/>
                                  </a:lnTo>
                                  <a:close/>
                                  <a:moveTo>
                                    <a:pt x="105" y="231"/>
                                  </a:moveTo>
                                  <a:lnTo>
                                    <a:pt x="52" y="333"/>
                                  </a:lnTo>
                                  <a:lnTo>
                                    <a:pt x="0" y="231"/>
                                  </a:lnTo>
                                  <a:lnTo>
                                    <a:pt x="105" y="23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4887" y="5606"/>
                              <a:ext cx="35" cy="248"/>
                            </a:xfrm>
                            <a:custGeom>
                              <a:avLst/>
                              <a:gdLst>
                                <a:gd name="T0" fmla="*/ 32 w 35"/>
                                <a:gd name="T1" fmla="*/ 0 h 248"/>
                                <a:gd name="T2" fmla="*/ 35 w 35"/>
                                <a:gd name="T3" fmla="*/ 248 h 248"/>
                                <a:gd name="T4" fmla="*/ 0 w 35"/>
                                <a:gd name="T5" fmla="*/ 248 h 248"/>
                                <a:gd name="T6" fmla="*/ 0 w 35"/>
                                <a:gd name="T7" fmla="*/ 0 h 248"/>
                                <a:gd name="T8" fmla="*/ 32 w 35"/>
                                <a:gd name="T9" fmla="*/ 0 h 248"/>
                              </a:gdLst>
                              <a:ahLst/>
                              <a:cxnLst>
                                <a:cxn ang="0">
                                  <a:pos x="T0" y="T1"/>
                                </a:cxn>
                                <a:cxn ang="0">
                                  <a:pos x="T2" y="T3"/>
                                </a:cxn>
                                <a:cxn ang="0">
                                  <a:pos x="T4" y="T5"/>
                                </a:cxn>
                                <a:cxn ang="0">
                                  <a:pos x="T6" y="T7"/>
                                </a:cxn>
                                <a:cxn ang="0">
                                  <a:pos x="T8" y="T9"/>
                                </a:cxn>
                              </a:cxnLst>
                              <a:rect l="0" t="0" r="r" b="b"/>
                              <a:pathLst>
                                <a:path w="35" h="248">
                                  <a:moveTo>
                                    <a:pt x="32" y="0"/>
                                  </a:moveTo>
                                  <a:lnTo>
                                    <a:pt x="35" y="248"/>
                                  </a:lnTo>
                                  <a:lnTo>
                                    <a:pt x="0" y="248"/>
                                  </a:lnTo>
                                  <a:lnTo>
                                    <a:pt x="0" y="0"/>
                                  </a:lnTo>
                                  <a:lnTo>
                                    <a:pt x="32"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9"/>
                          <wps:cNvSpPr>
                            <a:spLocks/>
                          </wps:cNvSpPr>
                          <wps:spPr bwMode="auto">
                            <a:xfrm>
                              <a:off x="4852" y="5837"/>
                              <a:ext cx="105" cy="102"/>
                            </a:xfrm>
                            <a:custGeom>
                              <a:avLst/>
                              <a:gdLst>
                                <a:gd name="T0" fmla="*/ 105 w 105"/>
                                <a:gd name="T1" fmla="*/ 0 h 102"/>
                                <a:gd name="T2" fmla="*/ 52 w 105"/>
                                <a:gd name="T3" fmla="*/ 102 h 102"/>
                                <a:gd name="T4" fmla="*/ 0 w 105"/>
                                <a:gd name="T5" fmla="*/ 0 h 102"/>
                                <a:gd name="T6" fmla="*/ 105 w 105"/>
                                <a:gd name="T7" fmla="*/ 0 h 102"/>
                              </a:gdLst>
                              <a:ahLst/>
                              <a:cxnLst>
                                <a:cxn ang="0">
                                  <a:pos x="T0" y="T1"/>
                                </a:cxn>
                                <a:cxn ang="0">
                                  <a:pos x="T2" y="T3"/>
                                </a:cxn>
                                <a:cxn ang="0">
                                  <a:pos x="T4" y="T5"/>
                                </a:cxn>
                                <a:cxn ang="0">
                                  <a:pos x="T6" y="T7"/>
                                </a:cxn>
                              </a:cxnLst>
                              <a:rect l="0" t="0" r="r" b="b"/>
                              <a:pathLst>
                                <a:path w="105" h="102">
                                  <a:moveTo>
                                    <a:pt x="105" y="0"/>
                                  </a:moveTo>
                                  <a:lnTo>
                                    <a:pt x="52" y="102"/>
                                  </a:lnTo>
                                  <a:lnTo>
                                    <a:pt x="0" y="0"/>
                                  </a:lnTo>
                                  <a:lnTo>
                                    <a:pt x="105"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 name="Rectangle 30"/>
                        <wps:cNvSpPr>
                          <a:spLocks noChangeArrowheads="1"/>
                        </wps:cNvSpPr>
                        <wps:spPr bwMode="auto">
                          <a:xfrm>
                            <a:off x="120455" y="2144649"/>
                            <a:ext cx="3750310" cy="20510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1"/>
                        <wps:cNvSpPr>
                          <a:spLocks noChangeArrowheads="1"/>
                        </wps:cNvSpPr>
                        <wps:spPr bwMode="auto">
                          <a:xfrm>
                            <a:off x="442400" y="2140839"/>
                            <a:ext cx="3042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Is there toxicity data for ≥5 species that belong to ≥3 taxonomic groups</w:t>
                              </w:r>
                            </w:p>
                          </w:txbxContent>
                        </wps:txbx>
                        <wps:bodyPr rot="0" vert="horz" wrap="square" lIns="0" tIns="0" rIns="0" bIns="0" anchor="t" anchorCtr="0" upright="1">
                          <a:spAutoFit/>
                        </wps:bodyPr>
                      </wps:wsp>
                      <wps:wsp>
                        <wps:cNvPr id="35" name="Rectangle 32"/>
                        <wps:cNvSpPr>
                          <a:spLocks noChangeArrowheads="1"/>
                        </wps:cNvSpPr>
                        <wps:spPr bwMode="auto">
                          <a:xfrm>
                            <a:off x="1956875" y="3746754"/>
                            <a:ext cx="1677035" cy="24638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3"/>
                        <wps:cNvSpPr>
                          <a:spLocks noChangeArrowheads="1"/>
                        </wps:cNvSpPr>
                        <wps:spPr bwMode="auto">
                          <a:xfrm>
                            <a:off x="2238815" y="3802634"/>
                            <a:ext cx="11036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Use BurrliOZ SSD method </w:t>
                              </w:r>
                            </w:p>
                          </w:txbxContent>
                        </wps:txbx>
                        <wps:bodyPr rot="0" vert="horz" wrap="none" lIns="0" tIns="0" rIns="0" bIns="0" anchor="t" anchorCtr="0" upright="1">
                          <a:spAutoFit/>
                        </wps:bodyPr>
                      </wps:wsp>
                      <wps:wsp>
                        <wps:cNvPr id="37" name="Rectangle 34"/>
                        <wps:cNvSpPr>
                          <a:spLocks noChangeArrowheads="1"/>
                        </wps:cNvSpPr>
                        <wps:spPr bwMode="auto">
                          <a:xfrm>
                            <a:off x="363660" y="3744849"/>
                            <a:ext cx="1416685" cy="24828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5"/>
                        <wps:cNvSpPr>
                          <a:spLocks noChangeArrowheads="1"/>
                        </wps:cNvSpPr>
                        <wps:spPr bwMode="auto">
                          <a:xfrm>
                            <a:off x="749105" y="3802634"/>
                            <a:ext cx="643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Use AF method </w:t>
                              </w:r>
                            </w:p>
                          </w:txbxContent>
                        </wps:txbx>
                        <wps:bodyPr rot="0" vert="horz" wrap="none" lIns="0" tIns="0" rIns="0" bIns="0" anchor="t" anchorCtr="0" upright="1">
                          <a:spAutoFit/>
                        </wps:bodyPr>
                      </wps:wsp>
                      <wpg:wgp>
                        <wpg:cNvPr id="39" name="Group 36"/>
                        <wpg:cNvGrpSpPr>
                          <a:grpSpLocks/>
                        </wpg:cNvGrpSpPr>
                        <wpg:grpSpPr bwMode="auto">
                          <a:xfrm>
                            <a:off x="2595685" y="4028059"/>
                            <a:ext cx="65405" cy="235585"/>
                            <a:chOff x="4168" y="6420"/>
                            <a:chExt cx="103" cy="371"/>
                          </a:xfrm>
                        </wpg:grpSpPr>
                        <wps:wsp>
                          <wps:cNvPr id="40" name="Freeform 37"/>
                          <wps:cNvSpPr>
                            <a:spLocks noEditPoints="1"/>
                          </wps:cNvSpPr>
                          <wps:spPr bwMode="auto">
                            <a:xfrm>
                              <a:off x="4168" y="6420"/>
                              <a:ext cx="103" cy="371"/>
                            </a:xfrm>
                            <a:custGeom>
                              <a:avLst/>
                              <a:gdLst>
                                <a:gd name="T0" fmla="*/ 70 w 103"/>
                                <a:gd name="T1" fmla="*/ 0 h 371"/>
                                <a:gd name="T2" fmla="*/ 68 w 103"/>
                                <a:gd name="T3" fmla="*/ 283 h 371"/>
                                <a:gd name="T4" fmla="*/ 35 w 103"/>
                                <a:gd name="T5" fmla="*/ 283 h 371"/>
                                <a:gd name="T6" fmla="*/ 35 w 103"/>
                                <a:gd name="T7" fmla="*/ 0 h 371"/>
                                <a:gd name="T8" fmla="*/ 70 w 103"/>
                                <a:gd name="T9" fmla="*/ 0 h 371"/>
                                <a:gd name="T10" fmla="*/ 103 w 103"/>
                                <a:gd name="T11" fmla="*/ 268 h 371"/>
                                <a:gd name="T12" fmla="*/ 50 w 103"/>
                                <a:gd name="T13" fmla="*/ 371 h 371"/>
                                <a:gd name="T14" fmla="*/ 0 w 103"/>
                                <a:gd name="T15" fmla="*/ 266 h 371"/>
                                <a:gd name="T16" fmla="*/ 103 w 103"/>
                                <a:gd name="T17" fmla="*/ 268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371">
                                  <a:moveTo>
                                    <a:pt x="70" y="0"/>
                                  </a:moveTo>
                                  <a:lnTo>
                                    <a:pt x="68" y="283"/>
                                  </a:lnTo>
                                  <a:lnTo>
                                    <a:pt x="35" y="283"/>
                                  </a:lnTo>
                                  <a:lnTo>
                                    <a:pt x="35" y="0"/>
                                  </a:lnTo>
                                  <a:lnTo>
                                    <a:pt x="70" y="0"/>
                                  </a:lnTo>
                                  <a:close/>
                                  <a:moveTo>
                                    <a:pt x="103" y="268"/>
                                  </a:moveTo>
                                  <a:lnTo>
                                    <a:pt x="50" y="371"/>
                                  </a:lnTo>
                                  <a:lnTo>
                                    <a:pt x="0" y="266"/>
                                  </a:lnTo>
                                  <a:lnTo>
                                    <a:pt x="103" y="26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8"/>
                          <wps:cNvSpPr>
                            <a:spLocks/>
                          </wps:cNvSpPr>
                          <wps:spPr bwMode="auto">
                            <a:xfrm>
                              <a:off x="4203" y="6420"/>
                              <a:ext cx="35" cy="283"/>
                            </a:xfrm>
                            <a:custGeom>
                              <a:avLst/>
                              <a:gdLst>
                                <a:gd name="T0" fmla="*/ 35 w 35"/>
                                <a:gd name="T1" fmla="*/ 0 h 283"/>
                                <a:gd name="T2" fmla="*/ 33 w 35"/>
                                <a:gd name="T3" fmla="*/ 283 h 283"/>
                                <a:gd name="T4" fmla="*/ 0 w 35"/>
                                <a:gd name="T5" fmla="*/ 283 h 283"/>
                                <a:gd name="T6" fmla="*/ 0 w 35"/>
                                <a:gd name="T7" fmla="*/ 0 h 283"/>
                                <a:gd name="T8" fmla="*/ 35 w 35"/>
                                <a:gd name="T9" fmla="*/ 0 h 283"/>
                              </a:gdLst>
                              <a:ahLst/>
                              <a:cxnLst>
                                <a:cxn ang="0">
                                  <a:pos x="T0" y="T1"/>
                                </a:cxn>
                                <a:cxn ang="0">
                                  <a:pos x="T2" y="T3"/>
                                </a:cxn>
                                <a:cxn ang="0">
                                  <a:pos x="T4" y="T5"/>
                                </a:cxn>
                                <a:cxn ang="0">
                                  <a:pos x="T6" y="T7"/>
                                </a:cxn>
                                <a:cxn ang="0">
                                  <a:pos x="T8" y="T9"/>
                                </a:cxn>
                              </a:cxnLst>
                              <a:rect l="0" t="0" r="r" b="b"/>
                              <a:pathLst>
                                <a:path w="35" h="283">
                                  <a:moveTo>
                                    <a:pt x="35" y="0"/>
                                  </a:moveTo>
                                  <a:lnTo>
                                    <a:pt x="33" y="283"/>
                                  </a:lnTo>
                                  <a:lnTo>
                                    <a:pt x="0" y="283"/>
                                  </a:lnTo>
                                  <a:lnTo>
                                    <a:pt x="0" y="0"/>
                                  </a:lnTo>
                                  <a:lnTo>
                                    <a:pt x="35"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9"/>
                          <wps:cNvSpPr>
                            <a:spLocks/>
                          </wps:cNvSpPr>
                          <wps:spPr bwMode="auto">
                            <a:xfrm>
                              <a:off x="4168" y="6686"/>
                              <a:ext cx="103" cy="105"/>
                            </a:xfrm>
                            <a:custGeom>
                              <a:avLst/>
                              <a:gdLst>
                                <a:gd name="T0" fmla="*/ 103 w 103"/>
                                <a:gd name="T1" fmla="*/ 2 h 105"/>
                                <a:gd name="T2" fmla="*/ 50 w 103"/>
                                <a:gd name="T3" fmla="*/ 105 h 105"/>
                                <a:gd name="T4" fmla="*/ 0 w 103"/>
                                <a:gd name="T5" fmla="*/ 0 h 105"/>
                                <a:gd name="T6" fmla="*/ 103 w 103"/>
                                <a:gd name="T7" fmla="*/ 2 h 105"/>
                              </a:gdLst>
                              <a:ahLst/>
                              <a:cxnLst>
                                <a:cxn ang="0">
                                  <a:pos x="T0" y="T1"/>
                                </a:cxn>
                                <a:cxn ang="0">
                                  <a:pos x="T2" y="T3"/>
                                </a:cxn>
                                <a:cxn ang="0">
                                  <a:pos x="T4" y="T5"/>
                                </a:cxn>
                                <a:cxn ang="0">
                                  <a:pos x="T6" y="T7"/>
                                </a:cxn>
                              </a:cxnLst>
                              <a:rect l="0" t="0" r="r" b="b"/>
                              <a:pathLst>
                                <a:path w="103" h="105">
                                  <a:moveTo>
                                    <a:pt x="103" y="2"/>
                                  </a:moveTo>
                                  <a:lnTo>
                                    <a:pt x="50" y="105"/>
                                  </a:lnTo>
                                  <a:lnTo>
                                    <a:pt x="0" y="0"/>
                                  </a:lnTo>
                                  <a:lnTo>
                                    <a:pt x="103" y="2"/>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3" name="Rectangle 40"/>
                        <wps:cNvSpPr>
                          <a:spLocks noChangeArrowheads="1"/>
                        </wps:cNvSpPr>
                        <wps:spPr bwMode="auto">
                          <a:xfrm>
                            <a:off x="363660" y="4300474"/>
                            <a:ext cx="2801620" cy="20320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1"/>
                        <wps:cNvSpPr>
                          <a:spLocks noChangeArrowheads="1"/>
                        </wps:cNvSpPr>
                        <wps:spPr bwMode="auto">
                          <a:xfrm>
                            <a:off x="1075495" y="4277614"/>
                            <a:ext cx="262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Does t</w:t>
                              </w:r>
                            </w:p>
                          </w:txbxContent>
                        </wps:txbx>
                        <wps:bodyPr rot="0" vert="horz" wrap="none" lIns="0" tIns="0" rIns="0" bIns="0" anchor="t" anchorCtr="0" upright="1">
                          <a:spAutoFit/>
                        </wps:bodyPr>
                      </wps:wsp>
                      <wps:wsp>
                        <wps:cNvPr id="45" name="Rectangle 42"/>
                        <wps:cNvSpPr>
                          <a:spLocks noChangeArrowheads="1"/>
                        </wps:cNvSpPr>
                        <wps:spPr bwMode="auto">
                          <a:xfrm>
                            <a:off x="1379025" y="4277614"/>
                            <a:ext cx="1140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the chemical biomagnify?</w:t>
                              </w:r>
                            </w:p>
                          </w:txbxContent>
                        </wps:txbx>
                        <wps:bodyPr rot="0" vert="horz" wrap="square" lIns="0" tIns="0" rIns="0" bIns="0" anchor="t" anchorCtr="0" upright="1">
                          <a:spAutoFit/>
                        </wps:bodyPr>
                      </wps:wsp>
                      <wps:wsp>
                        <wps:cNvPr id="46" name="Rectangle 43"/>
                        <wps:cNvSpPr>
                          <a:spLocks noChangeArrowheads="1"/>
                        </wps:cNvSpPr>
                        <wps:spPr bwMode="auto">
                          <a:xfrm>
                            <a:off x="2758880" y="4647184"/>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g:wgp>
                        <wpg:cNvPr id="47" name="Group 44"/>
                        <wpg:cNvGrpSpPr>
                          <a:grpSpLocks/>
                        </wpg:cNvGrpSpPr>
                        <wpg:grpSpPr bwMode="auto">
                          <a:xfrm>
                            <a:off x="1170110" y="4543679"/>
                            <a:ext cx="66675" cy="305435"/>
                            <a:chOff x="1923" y="7232"/>
                            <a:chExt cx="105" cy="481"/>
                          </a:xfrm>
                        </wpg:grpSpPr>
                        <wps:wsp>
                          <wps:cNvPr id="48" name="Freeform 45"/>
                          <wps:cNvSpPr>
                            <a:spLocks noEditPoints="1"/>
                          </wps:cNvSpPr>
                          <wps:spPr bwMode="auto">
                            <a:xfrm>
                              <a:off x="1923" y="7232"/>
                              <a:ext cx="105" cy="481"/>
                            </a:xfrm>
                            <a:custGeom>
                              <a:avLst/>
                              <a:gdLst>
                                <a:gd name="T0" fmla="*/ 70 w 105"/>
                                <a:gd name="T1" fmla="*/ 0 h 481"/>
                                <a:gd name="T2" fmla="*/ 70 w 105"/>
                                <a:gd name="T3" fmla="*/ 393 h 481"/>
                                <a:gd name="T4" fmla="*/ 34 w 105"/>
                                <a:gd name="T5" fmla="*/ 393 h 481"/>
                                <a:gd name="T6" fmla="*/ 34 w 105"/>
                                <a:gd name="T7" fmla="*/ 0 h 481"/>
                                <a:gd name="T8" fmla="*/ 70 w 105"/>
                                <a:gd name="T9" fmla="*/ 0 h 481"/>
                                <a:gd name="T10" fmla="*/ 105 w 105"/>
                                <a:gd name="T11" fmla="*/ 376 h 481"/>
                                <a:gd name="T12" fmla="*/ 52 w 105"/>
                                <a:gd name="T13" fmla="*/ 481 h 481"/>
                                <a:gd name="T14" fmla="*/ 0 w 105"/>
                                <a:gd name="T15" fmla="*/ 376 h 481"/>
                                <a:gd name="T16" fmla="*/ 105 w 105"/>
                                <a:gd name="T17" fmla="*/ 376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481">
                                  <a:moveTo>
                                    <a:pt x="70" y="0"/>
                                  </a:moveTo>
                                  <a:lnTo>
                                    <a:pt x="70" y="393"/>
                                  </a:lnTo>
                                  <a:lnTo>
                                    <a:pt x="34" y="393"/>
                                  </a:lnTo>
                                  <a:lnTo>
                                    <a:pt x="34" y="0"/>
                                  </a:lnTo>
                                  <a:lnTo>
                                    <a:pt x="70" y="0"/>
                                  </a:lnTo>
                                  <a:close/>
                                  <a:moveTo>
                                    <a:pt x="105" y="376"/>
                                  </a:moveTo>
                                  <a:lnTo>
                                    <a:pt x="52" y="481"/>
                                  </a:lnTo>
                                  <a:lnTo>
                                    <a:pt x="0" y="376"/>
                                  </a:lnTo>
                                  <a:lnTo>
                                    <a:pt x="105" y="3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46"/>
                          <wps:cNvSpPr>
                            <a:spLocks noChangeArrowheads="1"/>
                          </wps:cNvSpPr>
                          <wps:spPr bwMode="auto">
                            <a:xfrm>
                              <a:off x="1957" y="7232"/>
                              <a:ext cx="36" cy="393"/>
                            </a:xfrm>
                            <a:prstGeom prst="rect">
                              <a:avLst/>
                            </a:pr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7"/>
                          <wps:cNvSpPr>
                            <a:spLocks/>
                          </wps:cNvSpPr>
                          <wps:spPr bwMode="auto">
                            <a:xfrm>
                              <a:off x="1923" y="7608"/>
                              <a:ext cx="105" cy="105"/>
                            </a:xfrm>
                            <a:custGeom>
                              <a:avLst/>
                              <a:gdLst>
                                <a:gd name="T0" fmla="*/ 105 w 105"/>
                                <a:gd name="T1" fmla="*/ 0 h 105"/>
                                <a:gd name="T2" fmla="*/ 52 w 105"/>
                                <a:gd name="T3" fmla="*/ 105 h 105"/>
                                <a:gd name="T4" fmla="*/ 0 w 105"/>
                                <a:gd name="T5" fmla="*/ 0 h 105"/>
                                <a:gd name="T6" fmla="*/ 105 w 105"/>
                                <a:gd name="T7" fmla="*/ 0 h 105"/>
                              </a:gdLst>
                              <a:ahLst/>
                              <a:cxnLst>
                                <a:cxn ang="0">
                                  <a:pos x="T0" y="T1"/>
                                </a:cxn>
                                <a:cxn ang="0">
                                  <a:pos x="T2" y="T3"/>
                                </a:cxn>
                                <a:cxn ang="0">
                                  <a:pos x="T4" y="T5"/>
                                </a:cxn>
                                <a:cxn ang="0">
                                  <a:pos x="T6" y="T7"/>
                                </a:cxn>
                              </a:cxnLst>
                              <a:rect l="0" t="0" r="r" b="b"/>
                              <a:pathLst>
                                <a:path w="105" h="105">
                                  <a:moveTo>
                                    <a:pt x="105" y="0"/>
                                  </a:moveTo>
                                  <a:lnTo>
                                    <a:pt x="52" y="105"/>
                                  </a:lnTo>
                                  <a:lnTo>
                                    <a:pt x="0" y="0"/>
                                  </a:lnTo>
                                  <a:lnTo>
                                    <a:pt x="105"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1" name="Rectangle 48"/>
                        <wps:cNvSpPr>
                          <a:spLocks noChangeArrowheads="1"/>
                        </wps:cNvSpPr>
                        <wps:spPr bwMode="auto">
                          <a:xfrm>
                            <a:off x="973260" y="4651629"/>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52" name="Rectangle 49"/>
                        <wps:cNvSpPr>
                          <a:spLocks noChangeArrowheads="1"/>
                        </wps:cNvSpPr>
                        <wps:spPr bwMode="auto">
                          <a:xfrm>
                            <a:off x="827845" y="5612384"/>
                            <a:ext cx="880745" cy="43942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50"/>
                        <wps:cNvSpPr>
                          <a:spLocks noChangeArrowheads="1"/>
                        </wps:cNvSpPr>
                        <wps:spPr bwMode="auto">
                          <a:xfrm>
                            <a:off x="1132010" y="5625719"/>
                            <a:ext cx="2711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Added </w:t>
                              </w:r>
                            </w:p>
                          </w:txbxContent>
                        </wps:txbx>
                        <wps:bodyPr rot="0" vert="horz" wrap="none" lIns="0" tIns="0" rIns="0" bIns="0" anchor="t" anchorCtr="0" upright="1">
                          <a:spAutoFit/>
                        </wps:bodyPr>
                      </wps:wsp>
                      <wps:wsp>
                        <wps:cNvPr id="54" name="Rectangle 51"/>
                        <wps:cNvSpPr>
                          <a:spLocks noChangeArrowheads="1"/>
                        </wps:cNvSpPr>
                        <wps:spPr bwMode="auto">
                          <a:xfrm>
                            <a:off x="1015805" y="5743829"/>
                            <a:ext cx="5022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contaminant </w:t>
                              </w:r>
                            </w:p>
                          </w:txbxContent>
                        </wps:txbx>
                        <wps:bodyPr rot="0" vert="horz" wrap="none" lIns="0" tIns="0" rIns="0" bIns="0" anchor="t" anchorCtr="0" upright="1">
                          <a:spAutoFit/>
                        </wps:bodyPr>
                      </wps:wsp>
                      <wps:wsp>
                        <wps:cNvPr id="55" name="Rectangle 52"/>
                        <wps:cNvSpPr>
                          <a:spLocks noChangeArrowheads="1"/>
                        </wps:cNvSpPr>
                        <wps:spPr bwMode="auto">
                          <a:xfrm>
                            <a:off x="1023425" y="5861304"/>
                            <a:ext cx="4883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limit (ACL)</w:t>
                              </w:r>
                            </w:p>
                          </w:txbxContent>
                        </wps:txbx>
                        <wps:bodyPr rot="0" vert="horz" wrap="none" lIns="0" tIns="0" rIns="0" bIns="0" anchor="t" anchorCtr="0" upright="1">
                          <a:spAutoFit/>
                        </wps:bodyPr>
                      </wps:wsp>
                      <wpg:wgp>
                        <wpg:cNvPr id="56" name="Group 53"/>
                        <wpg:cNvGrpSpPr>
                          <a:grpSpLocks/>
                        </wpg:cNvGrpSpPr>
                        <wpg:grpSpPr bwMode="auto">
                          <a:xfrm>
                            <a:off x="2556315" y="6640449"/>
                            <a:ext cx="64770" cy="234950"/>
                            <a:chOff x="4106" y="10534"/>
                            <a:chExt cx="102" cy="370"/>
                          </a:xfrm>
                        </wpg:grpSpPr>
                        <wps:wsp>
                          <wps:cNvPr id="57" name="Freeform 54"/>
                          <wps:cNvSpPr>
                            <a:spLocks noEditPoints="1"/>
                          </wps:cNvSpPr>
                          <wps:spPr bwMode="auto">
                            <a:xfrm>
                              <a:off x="4106" y="10534"/>
                              <a:ext cx="102" cy="370"/>
                            </a:xfrm>
                            <a:custGeom>
                              <a:avLst/>
                              <a:gdLst>
                                <a:gd name="T0" fmla="*/ 70 w 102"/>
                                <a:gd name="T1" fmla="*/ 0 h 370"/>
                                <a:gd name="T2" fmla="*/ 67 w 102"/>
                                <a:gd name="T3" fmla="*/ 283 h 370"/>
                                <a:gd name="T4" fmla="*/ 35 w 102"/>
                                <a:gd name="T5" fmla="*/ 283 h 370"/>
                                <a:gd name="T6" fmla="*/ 35 w 102"/>
                                <a:gd name="T7" fmla="*/ 0 h 370"/>
                                <a:gd name="T8" fmla="*/ 70 w 102"/>
                                <a:gd name="T9" fmla="*/ 0 h 370"/>
                                <a:gd name="T10" fmla="*/ 102 w 102"/>
                                <a:gd name="T11" fmla="*/ 268 h 370"/>
                                <a:gd name="T12" fmla="*/ 50 w 102"/>
                                <a:gd name="T13" fmla="*/ 370 h 370"/>
                                <a:gd name="T14" fmla="*/ 0 w 102"/>
                                <a:gd name="T15" fmla="*/ 268 h 370"/>
                                <a:gd name="T16" fmla="*/ 102 w 102"/>
                                <a:gd name="T17" fmla="*/ 26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370">
                                  <a:moveTo>
                                    <a:pt x="70" y="0"/>
                                  </a:moveTo>
                                  <a:lnTo>
                                    <a:pt x="67" y="283"/>
                                  </a:lnTo>
                                  <a:lnTo>
                                    <a:pt x="35" y="283"/>
                                  </a:lnTo>
                                  <a:lnTo>
                                    <a:pt x="35" y="0"/>
                                  </a:lnTo>
                                  <a:lnTo>
                                    <a:pt x="70" y="0"/>
                                  </a:lnTo>
                                  <a:close/>
                                  <a:moveTo>
                                    <a:pt x="102" y="268"/>
                                  </a:moveTo>
                                  <a:lnTo>
                                    <a:pt x="50" y="370"/>
                                  </a:lnTo>
                                  <a:lnTo>
                                    <a:pt x="0" y="268"/>
                                  </a:lnTo>
                                  <a:lnTo>
                                    <a:pt x="102" y="26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5"/>
                          <wps:cNvSpPr>
                            <a:spLocks/>
                          </wps:cNvSpPr>
                          <wps:spPr bwMode="auto">
                            <a:xfrm>
                              <a:off x="4141" y="10534"/>
                              <a:ext cx="35" cy="283"/>
                            </a:xfrm>
                            <a:custGeom>
                              <a:avLst/>
                              <a:gdLst>
                                <a:gd name="T0" fmla="*/ 35 w 35"/>
                                <a:gd name="T1" fmla="*/ 0 h 283"/>
                                <a:gd name="T2" fmla="*/ 32 w 35"/>
                                <a:gd name="T3" fmla="*/ 283 h 283"/>
                                <a:gd name="T4" fmla="*/ 0 w 35"/>
                                <a:gd name="T5" fmla="*/ 283 h 283"/>
                                <a:gd name="T6" fmla="*/ 0 w 35"/>
                                <a:gd name="T7" fmla="*/ 0 h 283"/>
                                <a:gd name="T8" fmla="*/ 35 w 35"/>
                                <a:gd name="T9" fmla="*/ 0 h 283"/>
                              </a:gdLst>
                              <a:ahLst/>
                              <a:cxnLst>
                                <a:cxn ang="0">
                                  <a:pos x="T0" y="T1"/>
                                </a:cxn>
                                <a:cxn ang="0">
                                  <a:pos x="T2" y="T3"/>
                                </a:cxn>
                                <a:cxn ang="0">
                                  <a:pos x="T4" y="T5"/>
                                </a:cxn>
                                <a:cxn ang="0">
                                  <a:pos x="T6" y="T7"/>
                                </a:cxn>
                                <a:cxn ang="0">
                                  <a:pos x="T8" y="T9"/>
                                </a:cxn>
                              </a:cxnLst>
                              <a:rect l="0" t="0" r="r" b="b"/>
                              <a:pathLst>
                                <a:path w="35" h="283">
                                  <a:moveTo>
                                    <a:pt x="35" y="0"/>
                                  </a:moveTo>
                                  <a:lnTo>
                                    <a:pt x="32" y="283"/>
                                  </a:lnTo>
                                  <a:lnTo>
                                    <a:pt x="0" y="283"/>
                                  </a:lnTo>
                                  <a:lnTo>
                                    <a:pt x="0" y="0"/>
                                  </a:lnTo>
                                  <a:lnTo>
                                    <a:pt x="35"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6"/>
                          <wps:cNvSpPr>
                            <a:spLocks/>
                          </wps:cNvSpPr>
                          <wps:spPr bwMode="auto">
                            <a:xfrm>
                              <a:off x="4106" y="10802"/>
                              <a:ext cx="102" cy="102"/>
                            </a:xfrm>
                            <a:custGeom>
                              <a:avLst/>
                              <a:gdLst>
                                <a:gd name="T0" fmla="*/ 102 w 102"/>
                                <a:gd name="T1" fmla="*/ 0 h 102"/>
                                <a:gd name="T2" fmla="*/ 50 w 102"/>
                                <a:gd name="T3" fmla="*/ 102 h 102"/>
                                <a:gd name="T4" fmla="*/ 0 w 102"/>
                                <a:gd name="T5" fmla="*/ 0 h 102"/>
                                <a:gd name="T6" fmla="*/ 102 w 102"/>
                                <a:gd name="T7" fmla="*/ 0 h 102"/>
                              </a:gdLst>
                              <a:ahLst/>
                              <a:cxnLst>
                                <a:cxn ang="0">
                                  <a:pos x="T0" y="T1"/>
                                </a:cxn>
                                <a:cxn ang="0">
                                  <a:pos x="T2" y="T3"/>
                                </a:cxn>
                                <a:cxn ang="0">
                                  <a:pos x="T4" y="T5"/>
                                </a:cxn>
                                <a:cxn ang="0">
                                  <a:pos x="T6" y="T7"/>
                                </a:cxn>
                              </a:cxnLst>
                              <a:rect l="0" t="0" r="r" b="b"/>
                              <a:pathLst>
                                <a:path w="102" h="102">
                                  <a:moveTo>
                                    <a:pt x="102" y="0"/>
                                  </a:moveTo>
                                  <a:lnTo>
                                    <a:pt x="50" y="102"/>
                                  </a:lnTo>
                                  <a:lnTo>
                                    <a:pt x="0" y="0"/>
                                  </a:lnTo>
                                  <a:lnTo>
                                    <a:pt x="102"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0" name="Rectangle 57"/>
                        <wps:cNvSpPr>
                          <a:spLocks noChangeArrowheads="1"/>
                        </wps:cNvSpPr>
                        <wps:spPr bwMode="auto">
                          <a:xfrm>
                            <a:off x="1972750" y="5571109"/>
                            <a:ext cx="1055370" cy="61595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58"/>
                        <wps:cNvSpPr>
                          <a:spLocks noChangeArrowheads="1"/>
                        </wps:cNvSpPr>
                        <wps:spPr bwMode="auto">
                          <a:xfrm>
                            <a:off x="2099750" y="5625719"/>
                            <a:ext cx="7988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Added contaminant </w:t>
                              </w:r>
                            </w:p>
                          </w:txbxContent>
                        </wps:txbx>
                        <wps:bodyPr rot="0" vert="horz" wrap="none" lIns="0" tIns="0" rIns="0" bIns="0" anchor="t" anchorCtr="0" upright="1">
                          <a:spAutoFit/>
                        </wps:bodyPr>
                      </wps:wsp>
                      <wps:wsp>
                        <wps:cNvPr id="62" name="Rectangle 59"/>
                        <wps:cNvSpPr>
                          <a:spLocks noChangeArrowheads="1"/>
                        </wps:cNvSpPr>
                        <wps:spPr bwMode="auto">
                          <a:xfrm>
                            <a:off x="2333430" y="5743829"/>
                            <a:ext cx="3359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limit for </w:t>
                              </w:r>
                            </w:p>
                          </w:txbxContent>
                        </wps:txbx>
                        <wps:bodyPr rot="0" vert="horz" wrap="none" lIns="0" tIns="0" rIns="0" bIns="0" anchor="t" anchorCtr="0" upright="1">
                          <a:spAutoFit/>
                        </wps:bodyPr>
                      </wps:wsp>
                      <wps:wsp>
                        <wps:cNvPr id="63" name="Rectangle 60"/>
                        <wps:cNvSpPr>
                          <a:spLocks noChangeArrowheads="1"/>
                        </wps:cNvSpPr>
                        <wps:spPr bwMode="auto">
                          <a:xfrm>
                            <a:off x="2153090" y="5861304"/>
                            <a:ext cx="6946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biomagnification </w:t>
                              </w:r>
                            </w:p>
                          </w:txbxContent>
                        </wps:txbx>
                        <wps:bodyPr rot="0" vert="horz" wrap="none" lIns="0" tIns="0" rIns="0" bIns="0" anchor="t" anchorCtr="0" upright="1">
                          <a:spAutoFit/>
                        </wps:bodyPr>
                      </wps:wsp>
                      <wps:wsp>
                        <wps:cNvPr id="64" name="Rectangle 61"/>
                        <wps:cNvSpPr>
                          <a:spLocks noChangeArrowheads="1"/>
                        </wps:cNvSpPr>
                        <wps:spPr bwMode="auto">
                          <a:xfrm>
                            <a:off x="2313110" y="5983224"/>
                            <a:ext cx="237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(ACL</w:t>
                              </w:r>
                            </w:p>
                          </w:txbxContent>
                        </wps:txbx>
                        <wps:bodyPr rot="0" vert="horz" wrap="none" lIns="0" tIns="0" rIns="0" bIns="0" anchor="t" anchorCtr="0" upright="1">
                          <a:spAutoFit/>
                        </wps:bodyPr>
                      </wps:wsp>
                      <wps:wsp>
                        <wps:cNvPr id="65" name="Rectangle 62"/>
                        <wps:cNvSpPr>
                          <a:spLocks noChangeArrowheads="1"/>
                        </wps:cNvSpPr>
                        <wps:spPr bwMode="auto">
                          <a:xfrm>
                            <a:off x="2551235" y="6026404"/>
                            <a:ext cx="99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0"/>
                                  <w:szCs w:val="10"/>
                                  <w:lang w:val="en-US"/>
                                </w:rPr>
                                <w:t>BM</w:t>
                              </w:r>
                            </w:p>
                          </w:txbxContent>
                        </wps:txbx>
                        <wps:bodyPr rot="0" vert="horz" wrap="none" lIns="0" tIns="0" rIns="0" bIns="0" anchor="t" anchorCtr="0" upright="1">
                          <a:spAutoFit/>
                        </wps:bodyPr>
                      </wps:wsp>
                      <wps:wsp>
                        <wps:cNvPr id="66" name="Rectangle 63"/>
                        <wps:cNvSpPr>
                          <a:spLocks noChangeArrowheads="1"/>
                        </wps:cNvSpPr>
                        <wps:spPr bwMode="auto">
                          <a:xfrm>
                            <a:off x="2658550" y="5983224"/>
                            <a:ext cx="342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w:t>
                              </w:r>
                            </w:p>
                          </w:txbxContent>
                        </wps:txbx>
                        <wps:bodyPr rot="0" vert="horz" wrap="none" lIns="0" tIns="0" rIns="0" bIns="0" anchor="t" anchorCtr="0" upright="1">
                          <a:spAutoFit/>
                        </wps:bodyPr>
                      </wps:wsp>
                      <wps:wsp>
                        <wps:cNvPr id="67" name="Rectangle 64"/>
                        <wps:cNvSpPr>
                          <a:spLocks noChangeArrowheads="1"/>
                        </wps:cNvSpPr>
                        <wps:spPr bwMode="auto">
                          <a:xfrm>
                            <a:off x="917380" y="6899529"/>
                            <a:ext cx="1847215" cy="2527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68" name="Group 65"/>
                        <wpg:cNvGrpSpPr>
                          <a:grpSpLocks/>
                        </wpg:cNvGrpSpPr>
                        <wpg:grpSpPr bwMode="auto">
                          <a:xfrm>
                            <a:off x="1243135" y="6648069"/>
                            <a:ext cx="66675" cy="235585"/>
                            <a:chOff x="2038" y="10546"/>
                            <a:chExt cx="105" cy="371"/>
                          </a:xfrm>
                        </wpg:grpSpPr>
                        <wps:wsp>
                          <wps:cNvPr id="69" name="Freeform 66"/>
                          <wps:cNvSpPr>
                            <a:spLocks noEditPoints="1"/>
                          </wps:cNvSpPr>
                          <wps:spPr bwMode="auto">
                            <a:xfrm>
                              <a:off x="2038" y="10546"/>
                              <a:ext cx="105" cy="371"/>
                            </a:xfrm>
                            <a:custGeom>
                              <a:avLst/>
                              <a:gdLst>
                                <a:gd name="T0" fmla="*/ 70 w 105"/>
                                <a:gd name="T1" fmla="*/ 0 h 371"/>
                                <a:gd name="T2" fmla="*/ 70 w 105"/>
                                <a:gd name="T3" fmla="*/ 283 h 371"/>
                                <a:gd name="T4" fmla="*/ 35 w 105"/>
                                <a:gd name="T5" fmla="*/ 283 h 371"/>
                                <a:gd name="T6" fmla="*/ 35 w 105"/>
                                <a:gd name="T7" fmla="*/ 0 h 371"/>
                                <a:gd name="T8" fmla="*/ 70 w 105"/>
                                <a:gd name="T9" fmla="*/ 0 h 371"/>
                                <a:gd name="T10" fmla="*/ 105 w 105"/>
                                <a:gd name="T11" fmla="*/ 266 h 371"/>
                                <a:gd name="T12" fmla="*/ 52 w 105"/>
                                <a:gd name="T13" fmla="*/ 371 h 371"/>
                                <a:gd name="T14" fmla="*/ 0 w 105"/>
                                <a:gd name="T15" fmla="*/ 266 h 371"/>
                                <a:gd name="T16" fmla="*/ 105 w 105"/>
                                <a:gd name="T17" fmla="*/ 266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71">
                                  <a:moveTo>
                                    <a:pt x="70" y="0"/>
                                  </a:moveTo>
                                  <a:lnTo>
                                    <a:pt x="70" y="283"/>
                                  </a:lnTo>
                                  <a:lnTo>
                                    <a:pt x="35" y="283"/>
                                  </a:lnTo>
                                  <a:lnTo>
                                    <a:pt x="35" y="0"/>
                                  </a:lnTo>
                                  <a:lnTo>
                                    <a:pt x="70" y="0"/>
                                  </a:lnTo>
                                  <a:close/>
                                  <a:moveTo>
                                    <a:pt x="105" y="266"/>
                                  </a:moveTo>
                                  <a:lnTo>
                                    <a:pt x="52" y="371"/>
                                  </a:lnTo>
                                  <a:lnTo>
                                    <a:pt x="0" y="266"/>
                                  </a:lnTo>
                                  <a:lnTo>
                                    <a:pt x="105" y="26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67"/>
                          <wps:cNvSpPr>
                            <a:spLocks noChangeArrowheads="1"/>
                          </wps:cNvSpPr>
                          <wps:spPr bwMode="auto">
                            <a:xfrm>
                              <a:off x="2073" y="10546"/>
                              <a:ext cx="35" cy="283"/>
                            </a:xfrm>
                            <a:prstGeom prst="rect">
                              <a:avLst/>
                            </a:pr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8"/>
                          <wps:cNvSpPr>
                            <a:spLocks/>
                          </wps:cNvSpPr>
                          <wps:spPr bwMode="auto">
                            <a:xfrm>
                              <a:off x="2038" y="10812"/>
                              <a:ext cx="105" cy="105"/>
                            </a:xfrm>
                            <a:custGeom>
                              <a:avLst/>
                              <a:gdLst>
                                <a:gd name="T0" fmla="*/ 105 w 105"/>
                                <a:gd name="T1" fmla="*/ 0 h 105"/>
                                <a:gd name="T2" fmla="*/ 52 w 105"/>
                                <a:gd name="T3" fmla="*/ 105 h 105"/>
                                <a:gd name="T4" fmla="*/ 0 w 105"/>
                                <a:gd name="T5" fmla="*/ 0 h 105"/>
                                <a:gd name="T6" fmla="*/ 105 w 105"/>
                                <a:gd name="T7" fmla="*/ 0 h 105"/>
                              </a:gdLst>
                              <a:ahLst/>
                              <a:cxnLst>
                                <a:cxn ang="0">
                                  <a:pos x="T0" y="T1"/>
                                </a:cxn>
                                <a:cxn ang="0">
                                  <a:pos x="T2" y="T3"/>
                                </a:cxn>
                                <a:cxn ang="0">
                                  <a:pos x="T4" y="T5"/>
                                </a:cxn>
                                <a:cxn ang="0">
                                  <a:pos x="T6" y="T7"/>
                                </a:cxn>
                              </a:cxnLst>
                              <a:rect l="0" t="0" r="r" b="b"/>
                              <a:pathLst>
                                <a:path w="105" h="105">
                                  <a:moveTo>
                                    <a:pt x="105" y="0"/>
                                  </a:moveTo>
                                  <a:lnTo>
                                    <a:pt x="52" y="105"/>
                                  </a:lnTo>
                                  <a:lnTo>
                                    <a:pt x="0" y="0"/>
                                  </a:lnTo>
                                  <a:lnTo>
                                    <a:pt x="105"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2" name="Rectangle 69"/>
                        <wps:cNvSpPr>
                          <a:spLocks noChangeArrowheads="1"/>
                        </wps:cNvSpPr>
                        <wps:spPr bwMode="auto">
                          <a:xfrm>
                            <a:off x="284285" y="51689"/>
                            <a:ext cx="3438525" cy="24955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70"/>
                        <wps:cNvSpPr>
                          <a:spLocks noChangeArrowheads="1"/>
                        </wps:cNvSpPr>
                        <wps:spPr bwMode="auto">
                          <a:xfrm>
                            <a:off x="1174555" y="108839"/>
                            <a:ext cx="15633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Is there toxicity data for the chemical?</w:t>
                              </w:r>
                            </w:p>
                          </w:txbxContent>
                        </wps:txbx>
                        <wps:bodyPr rot="0" vert="horz" wrap="none" lIns="0" tIns="0" rIns="0" bIns="0" anchor="t" anchorCtr="0" upright="1">
                          <a:spAutoFit/>
                        </wps:bodyPr>
                      </wps:wsp>
                      <wpg:wgp>
                        <wpg:cNvPr id="74" name="Group 71"/>
                        <wpg:cNvGrpSpPr>
                          <a:grpSpLocks/>
                        </wpg:cNvGrpSpPr>
                        <wpg:grpSpPr bwMode="auto">
                          <a:xfrm>
                            <a:off x="1099625" y="332994"/>
                            <a:ext cx="66675" cy="226060"/>
                            <a:chOff x="1812" y="601"/>
                            <a:chExt cx="105" cy="356"/>
                          </a:xfrm>
                        </wpg:grpSpPr>
                        <wps:wsp>
                          <wps:cNvPr id="75" name="Freeform 72"/>
                          <wps:cNvSpPr>
                            <a:spLocks noEditPoints="1"/>
                          </wps:cNvSpPr>
                          <wps:spPr bwMode="auto">
                            <a:xfrm>
                              <a:off x="1812" y="601"/>
                              <a:ext cx="105" cy="356"/>
                            </a:xfrm>
                            <a:custGeom>
                              <a:avLst/>
                              <a:gdLst>
                                <a:gd name="T0" fmla="*/ 70 w 105"/>
                                <a:gd name="T1" fmla="*/ 3 h 356"/>
                                <a:gd name="T2" fmla="*/ 70 w 105"/>
                                <a:gd name="T3" fmla="*/ 271 h 356"/>
                                <a:gd name="T4" fmla="*/ 35 w 105"/>
                                <a:gd name="T5" fmla="*/ 271 h 356"/>
                                <a:gd name="T6" fmla="*/ 38 w 105"/>
                                <a:gd name="T7" fmla="*/ 0 h 356"/>
                                <a:gd name="T8" fmla="*/ 70 w 105"/>
                                <a:gd name="T9" fmla="*/ 3 h 356"/>
                                <a:gd name="T10" fmla="*/ 105 w 105"/>
                                <a:gd name="T11" fmla="*/ 253 h 356"/>
                                <a:gd name="T12" fmla="*/ 53 w 105"/>
                                <a:gd name="T13" fmla="*/ 356 h 356"/>
                                <a:gd name="T14" fmla="*/ 0 w 105"/>
                                <a:gd name="T15" fmla="*/ 253 h 356"/>
                                <a:gd name="T16" fmla="*/ 105 w 105"/>
                                <a:gd name="T17" fmla="*/ 253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56">
                                  <a:moveTo>
                                    <a:pt x="70" y="3"/>
                                  </a:moveTo>
                                  <a:lnTo>
                                    <a:pt x="70" y="271"/>
                                  </a:lnTo>
                                  <a:lnTo>
                                    <a:pt x="35" y="271"/>
                                  </a:lnTo>
                                  <a:lnTo>
                                    <a:pt x="38" y="0"/>
                                  </a:lnTo>
                                  <a:lnTo>
                                    <a:pt x="70" y="3"/>
                                  </a:lnTo>
                                  <a:close/>
                                  <a:moveTo>
                                    <a:pt x="105" y="253"/>
                                  </a:moveTo>
                                  <a:lnTo>
                                    <a:pt x="53" y="356"/>
                                  </a:lnTo>
                                  <a:lnTo>
                                    <a:pt x="0" y="253"/>
                                  </a:lnTo>
                                  <a:lnTo>
                                    <a:pt x="105" y="2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3"/>
                          <wps:cNvSpPr>
                            <a:spLocks/>
                          </wps:cNvSpPr>
                          <wps:spPr bwMode="auto">
                            <a:xfrm>
                              <a:off x="1847" y="601"/>
                              <a:ext cx="35" cy="271"/>
                            </a:xfrm>
                            <a:custGeom>
                              <a:avLst/>
                              <a:gdLst>
                                <a:gd name="T0" fmla="*/ 35 w 35"/>
                                <a:gd name="T1" fmla="*/ 3 h 271"/>
                                <a:gd name="T2" fmla="*/ 35 w 35"/>
                                <a:gd name="T3" fmla="*/ 271 h 271"/>
                                <a:gd name="T4" fmla="*/ 0 w 35"/>
                                <a:gd name="T5" fmla="*/ 271 h 271"/>
                                <a:gd name="T6" fmla="*/ 3 w 35"/>
                                <a:gd name="T7" fmla="*/ 0 h 271"/>
                                <a:gd name="T8" fmla="*/ 35 w 35"/>
                                <a:gd name="T9" fmla="*/ 3 h 271"/>
                              </a:gdLst>
                              <a:ahLst/>
                              <a:cxnLst>
                                <a:cxn ang="0">
                                  <a:pos x="T0" y="T1"/>
                                </a:cxn>
                                <a:cxn ang="0">
                                  <a:pos x="T2" y="T3"/>
                                </a:cxn>
                                <a:cxn ang="0">
                                  <a:pos x="T4" y="T5"/>
                                </a:cxn>
                                <a:cxn ang="0">
                                  <a:pos x="T6" y="T7"/>
                                </a:cxn>
                                <a:cxn ang="0">
                                  <a:pos x="T8" y="T9"/>
                                </a:cxn>
                              </a:cxnLst>
                              <a:rect l="0" t="0" r="r" b="b"/>
                              <a:pathLst>
                                <a:path w="35" h="271">
                                  <a:moveTo>
                                    <a:pt x="35" y="3"/>
                                  </a:moveTo>
                                  <a:lnTo>
                                    <a:pt x="35" y="271"/>
                                  </a:lnTo>
                                  <a:lnTo>
                                    <a:pt x="0" y="271"/>
                                  </a:lnTo>
                                  <a:lnTo>
                                    <a:pt x="3" y="0"/>
                                  </a:lnTo>
                                  <a:lnTo>
                                    <a:pt x="35" y="3"/>
                                  </a:lnTo>
                                  <a:close/>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4"/>
                          <wps:cNvSpPr>
                            <a:spLocks/>
                          </wps:cNvSpPr>
                          <wps:spPr bwMode="auto">
                            <a:xfrm>
                              <a:off x="1812" y="854"/>
                              <a:ext cx="105" cy="103"/>
                            </a:xfrm>
                            <a:custGeom>
                              <a:avLst/>
                              <a:gdLst>
                                <a:gd name="T0" fmla="*/ 105 w 105"/>
                                <a:gd name="T1" fmla="*/ 0 h 103"/>
                                <a:gd name="T2" fmla="*/ 53 w 105"/>
                                <a:gd name="T3" fmla="*/ 103 h 103"/>
                                <a:gd name="T4" fmla="*/ 0 w 105"/>
                                <a:gd name="T5" fmla="*/ 0 h 103"/>
                                <a:gd name="T6" fmla="*/ 105 w 105"/>
                                <a:gd name="T7" fmla="*/ 0 h 103"/>
                              </a:gdLst>
                              <a:ahLst/>
                              <a:cxnLst>
                                <a:cxn ang="0">
                                  <a:pos x="T0" y="T1"/>
                                </a:cxn>
                                <a:cxn ang="0">
                                  <a:pos x="T2" y="T3"/>
                                </a:cxn>
                                <a:cxn ang="0">
                                  <a:pos x="T4" y="T5"/>
                                </a:cxn>
                                <a:cxn ang="0">
                                  <a:pos x="T6" y="T7"/>
                                </a:cxn>
                              </a:cxnLst>
                              <a:rect l="0" t="0" r="r" b="b"/>
                              <a:pathLst>
                                <a:path w="105" h="103">
                                  <a:moveTo>
                                    <a:pt x="105" y="0"/>
                                  </a:moveTo>
                                  <a:lnTo>
                                    <a:pt x="53" y="103"/>
                                  </a:lnTo>
                                  <a:lnTo>
                                    <a:pt x="0" y="0"/>
                                  </a:lnTo>
                                  <a:lnTo>
                                    <a:pt x="105"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 name="Group 75"/>
                        <wpg:cNvGrpSpPr>
                          <a:grpSpLocks/>
                        </wpg:cNvGrpSpPr>
                        <wpg:grpSpPr bwMode="auto">
                          <a:xfrm>
                            <a:off x="3276405" y="334899"/>
                            <a:ext cx="66675" cy="825500"/>
                            <a:chOff x="5240" y="604"/>
                            <a:chExt cx="105" cy="1300"/>
                          </a:xfrm>
                        </wpg:grpSpPr>
                        <wps:wsp>
                          <wps:cNvPr id="79" name="Freeform 76"/>
                          <wps:cNvSpPr>
                            <a:spLocks noEditPoints="1"/>
                          </wps:cNvSpPr>
                          <wps:spPr bwMode="auto">
                            <a:xfrm>
                              <a:off x="5240" y="604"/>
                              <a:ext cx="105" cy="1300"/>
                            </a:xfrm>
                            <a:custGeom>
                              <a:avLst/>
                              <a:gdLst>
                                <a:gd name="T0" fmla="*/ 75 w 105"/>
                                <a:gd name="T1" fmla="*/ 0 h 1300"/>
                                <a:gd name="T2" fmla="*/ 70 w 105"/>
                                <a:gd name="T3" fmla="*/ 1212 h 1300"/>
                                <a:gd name="T4" fmla="*/ 35 w 105"/>
                                <a:gd name="T5" fmla="*/ 1212 h 1300"/>
                                <a:gd name="T6" fmla="*/ 40 w 105"/>
                                <a:gd name="T7" fmla="*/ 0 h 1300"/>
                                <a:gd name="T8" fmla="*/ 75 w 105"/>
                                <a:gd name="T9" fmla="*/ 0 h 1300"/>
                                <a:gd name="T10" fmla="*/ 105 w 105"/>
                                <a:gd name="T11" fmla="*/ 1195 h 1300"/>
                                <a:gd name="T12" fmla="*/ 52 w 105"/>
                                <a:gd name="T13" fmla="*/ 1300 h 1300"/>
                                <a:gd name="T14" fmla="*/ 0 w 105"/>
                                <a:gd name="T15" fmla="*/ 1195 h 1300"/>
                                <a:gd name="T16" fmla="*/ 105 w 105"/>
                                <a:gd name="T17" fmla="*/ 1195 h 1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300">
                                  <a:moveTo>
                                    <a:pt x="75" y="0"/>
                                  </a:moveTo>
                                  <a:lnTo>
                                    <a:pt x="70" y="1212"/>
                                  </a:lnTo>
                                  <a:lnTo>
                                    <a:pt x="35" y="1212"/>
                                  </a:lnTo>
                                  <a:lnTo>
                                    <a:pt x="40" y="0"/>
                                  </a:lnTo>
                                  <a:lnTo>
                                    <a:pt x="75" y="0"/>
                                  </a:lnTo>
                                  <a:close/>
                                  <a:moveTo>
                                    <a:pt x="105" y="1195"/>
                                  </a:moveTo>
                                  <a:lnTo>
                                    <a:pt x="52" y="1300"/>
                                  </a:lnTo>
                                  <a:lnTo>
                                    <a:pt x="0" y="1195"/>
                                  </a:lnTo>
                                  <a:lnTo>
                                    <a:pt x="105" y="119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7"/>
                          <wps:cNvSpPr>
                            <a:spLocks/>
                          </wps:cNvSpPr>
                          <wps:spPr bwMode="auto">
                            <a:xfrm>
                              <a:off x="5275" y="604"/>
                              <a:ext cx="40" cy="1212"/>
                            </a:xfrm>
                            <a:custGeom>
                              <a:avLst/>
                              <a:gdLst>
                                <a:gd name="T0" fmla="*/ 40 w 40"/>
                                <a:gd name="T1" fmla="*/ 0 h 1212"/>
                                <a:gd name="T2" fmla="*/ 35 w 40"/>
                                <a:gd name="T3" fmla="*/ 1212 h 1212"/>
                                <a:gd name="T4" fmla="*/ 0 w 40"/>
                                <a:gd name="T5" fmla="*/ 1212 h 1212"/>
                                <a:gd name="T6" fmla="*/ 5 w 40"/>
                                <a:gd name="T7" fmla="*/ 0 h 1212"/>
                                <a:gd name="T8" fmla="*/ 40 w 40"/>
                                <a:gd name="T9" fmla="*/ 0 h 1212"/>
                              </a:gdLst>
                              <a:ahLst/>
                              <a:cxnLst>
                                <a:cxn ang="0">
                                  <a:pos x="T0" y="T1"/>
                                </a:cxn>
                                <a:cxn ang="0">
                                  <a:pos x="T2" y="T3"/>
                                </a:cxn>
                                <a:cxn ang="0">
                                  <a:pos x="T4" y="T5"/>
                                </a:cxn>
                                <a:cxn ang="0">
                                  <a:pos x="T6" y="T7"/>
                                </a:cxn>
                                <a:cxn ang="0">
                                  <a:pos x="T8" y="T9"/>
                                </a:cxn>
                              </a:cxnLst>
                              <a:rect l="0" t="0" r="r" b="b"/>
                              <a:pathLst>
                                <a:path w="40" h="1212">
                                  <a:moveTo>
                                    <a:pt x="40" y="0"/>
                                  </a:moveTo>
                                  <a:lnTo>
                                    <a:pt x="35" y="1212"/>
                                  </a:lnTo>
                                  <a:lnTo>
                                    <a:pt x="0" y="1212"/>
                                  </a:lnTo>
                                  <a:lnTo>
                                    <a:pt x="5" y="0"/>
                                  </a:lnTo>
                                  <a:lnTo>
                                    <a:pt x="40" y="0"/>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8"/>
                          <wps:cNvSpPr>
                            <a:spLocks/>
                          </wps:cNvSpPr>
                          <wps:spPr bwMode="auto">
                            <a:xfrm>
                              <a:off x="5240" y="1799"/>
                              <a:ext cx="105" cy="105"/>
                            </a:xfrm>
                            <a:custGeom>
                              <a:avLst/>
                              <a:gdLst>
                                <a:gd name="T0" fmla="*/ 105 w 105"/>
                                <a:gd name="T1" fmla="*/ 0 h 105"/>
                                <a:gd name="T2" fmla="*/ 52 w 105"/>
                                <a:gd name="T3" fmla="*/ 105 h 105"/>
                                <a:gd name="T4" fmla="*/ 0 w 105"/>
                                <a:gd name="T5" fmla="*/ 0 h 105"/>
                                <a:gd name="T6" fmla="*/ 105 w 105"/>
                                <a:gd name="T7" fmla="*/ 0 h 105"/>
                              </a:gdLst>
                              <a:ahLst/>
                              <a:cxnLst>
                                <a:cxn ang="0">
                                  <a:pos x="T0" y="T1"/>
                                </a:cxn>
                                <a:cxn ang="0">
                                  <a:pos x="T2" y="T3"/>
                                </a:cxn>
                                <a:cxn ang="0">
                                  <a:pos x="T4" y="T5"/>
                                </a:cxn>
                                <a:cxn ang="0">
                                  <a:pos x="T6" y="T7"/>
                                </a:cxn>
                              </a:cxnLst>
                              <a:rect l="0" t="0" r="r" b="b"/>
                              <a:pathLst>
                                <a:path w="105" h="105">
                                  <a:moveTo>
                                    <a:pt x="105" y="0"/>
                                  </a:moveTo>
                                  <a:lnTo>
                                    <a:pt x="52" y="105"/>
                                  </a:lnTo>
                                  <a:lnTo>
                                    <a:pt x="0" y="0"/>
                                  </a:lnTo>
                                  <a:lnTo>
                                    <a:pt x="105"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79"/>
                        <wps:cNvSpPr>
                          <a:spLocks noChangeArrowheads="1"/>
                        </wps:cNvSpPr>
                        <wps:spPr bwMode="auto">
                          <a:xfrm>
                            <a:off x="116010" y="600329"/>
                            <a:ext cx="2748280" cy="32575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0"/>
                        <wps:cNvSpPr>
                          <a:spLocks noChangeArrowheads="1"/>
                        </wps:cNvSpPr>
                        <wps:spPr bwMode="auto">
                          <a:xfrm>
                            <a:off x="234755" y="653669"/>
                            <a:ext cx="3810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Are there </w:t>
                              </w:r>
                            </w:p>
                          </w:txbxContent>
                        </wps:txbx>
                        <wps:bodyPr rot="0" vert="horz" wrap="none" lIns="0" tIns="0" rIns="0" bIns="0" anchor="t" anchorCtr="0" upright="1">
                          <a:spAutoFit/>
                        </wps:bodyPr>
                      </wps:wsp>
                      <wps:wsp>
                        <wps:cNvPr id="84" name="Rectangle 81"/>
                        <wps:cNvSpPr>
                          <a:spLocks noChangeArrowheads="1"/>
                        </wps:cNvSpPr>
                        <wps:spPr bwMode="auto">
                          <a:xfrm>
                            <a:off x="644965" y="653669"/>
                            <a:ext cx="20821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models able to predict the toxicity of the chemical? </w:t>
                              </w:r>
                            </w:p>
                          </w:txbxContent>
                        </wps:txbx>
                        <wps:bodyPr rot="0" vert="horz" wrap="none" lIns="0" tIns="0" rIns="0" bIns="0" anchor="t" anchorCtr="0" upright="1">
                          <a:spAutoFit/>
                        </wps:bodyPr>
                      </wps:wsp>
                      <wps:wsp>
                        <wps:cNvPr id="85" name="Rectangle 82"/>
                        <wps:cNvSpPr>
                          <a:spLocks noChangeArrowheads="1"/>
                        </wps:cNvSpPr>
                        <wps:spPr bwMode="auto">
                          <a:xfrm>
                            <a:off x="1185350" y="773049"/>
                            <a:ext cx="607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(e.g. narcotics)</w:t>
                              </w:r>
                            </w:p>
                          </w:txbxContent>
                        </wps:txbx>
                        <wps:bodyPr rot="0" vert="horz" wrap="none" lIns="0" tIns="0" rIns="0" bIns="0" anchor="t" anchorCtr="0" upright="1">
                          <a:spAutoFit/>
                        </wps:bodyPr>
                      </wps:wsp>
                      <wps:wsp>
                        <wps:cNvPr id="86" name="Rectangle 83"/>
                        <wps:cNvSpPr>
                          <a:spLocks noChangeArrowheads="1"/>
                        </wps:cNvSpPr>
                        <wps:spPr bwMode="auto">
                          <a:xfrm>
                            <a:off x="36000" y="1193419"/>
                            <a:ext cx="1408430" cy="321310"/>
                          </a:xfrm>
                          <a:prstGeom prst="rect">
                            <a:avLst/>
                          </a:prstGeom>
                          <a:noFill/>
                          <a:ln w="30" cap="rnd">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84"/>
                        <wps:cNvSpPr>
                          <a:spLocks noChangeArrowheads="1"/>
                        </wps:cNvSpPr>
                        <wps:spPr bwMode="auto">
                          <a:xfrm>
                            <a:off x="178240" y="1198499"/>
                            <a:ext cx="11601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Cannot derive SQG; address </w:t>
                              </w:r>
                            </w:p>
                          </w:txbxContent>
                        </wps:txbx>
                        <wps:bodyPr rot="0" vert="horz" wrap="none" lIns="0" tIns="0" rIns="0" bIns="0" anchor="t" anchorCtr="0" upright="1">
                          <a:spAutoFit/>
                        </wps:bodyPr>
                      </wps:wsp>
                      <wps:wsp>
                        <wps:cNvPr id="88" name="Rectangle 85"/>
                        <wps:cNvSpPr>
                          <a:spLocks noChangeArrowheads="1"/>
                        </wps:cNvSpPr>
                        <wps:spPr bwMode="auto">
                          <a:xfrm>
                            <a:off x="255710" y="1308354"/>
                            <a:ext cx="9594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crucial knowledge gaps</w:t>
                              </w:r>
                            </w:p>
                          </w:txbxContent>
                        </wps:txbx>
                        <wps:bodyPr rot="0" vert="horz" wrap="none" lIns="0" tIns="0" rIns="0" bIns="0" anchor="t" anchorCtr="0" upright="1">
                          <a:spAutoFit/>
                        </wps:bodyPr>
                      </wps:wsp>
                      <wps:wsp>
                        <wps:cNvPr id="89" name="Rectangle 86"/>
                        <wps:cNvSpPr>
                          <a:spLocks noChangeArrowheads="1"/>
                        </wps:cNvSpPr>
                        <wps:spPr bwMode="auto">
                          <a:xfrm>
                            <a:off x="1737165" y="1212469"/>
                            <a:ext cx="2435860" cy="25146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7"/>
                        <wps:cNvSpPr>
                          <a:spLocks noChangeArrowheads="1"/>
                        </wps:cNvSpPr>
                        <wps:spPr bwMode="auto">
                          <a:xfrm>
                            <a:off x="2032440" y="1270889"/>
                            <a:ext cx="1831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Screen toxicity data and determine reliability</w:t>
                              </w:r>
                            </w:p>
                          </w:txbxContent>
                        </wps:txbx>
                        <wps:bodyPr rot="0" vert="horz" wrap="none" lIns="0" tIns="0" rIns="0" bIns="0" anchor="t" anchorCtr="0" upright="1">
                          <a:spAutoFit/>
                        </wps:bodyPr>
                      </wps:wsp>
                      <wpg:wgp>
                        <wpg:cNvPr id="91" name="Group 88"/>
                        <wpg:cNvGrpSpPr>
                          <a:grpSpLocks/>
                        </wpg:cNvGrpSpPr>
                        <wpg:grpSpPr bwMode="auto">
                          <a:xfrm>
                            <a:off x="765615" y="956564"/>
                            <a:ext cx="65405" cy="211455"/>
                            <a:chOff x="1286" y="1583"/>
                            <a:chExt cx="103" cy="333"/>
                          </a:xfrm>
                        </wpg:grpSpPr>
                        <wps:wsp>
                          <wps:cNvPr id="92" name="Freeform 89"/>
                          <wps:cNvSpPr>
                            <a:spLocks noEditPoints="1"/>
                          </wps:cNvSpPr>
                          <wps:spPr bwMode="auto">
                            <a:xfrm>
                              <a:off x="1286" y="1583"/>
                              <a:ext cx="103" cy="333"/>
                            </a:xfrm>
                            <a:custGeom>
                              <a:avLst/>
                              <a:gdLst>
                                <a:gd name="T0" fmla="*/ 68 w 103"/>
                                <a:gd name="T1" fmla="*/ 0 h 333"/>
                                <a:gd name="T2" fmla="*/ 68 w 103"/>
                                <a:gd name="T3" fmla="*/ 248 h 333"/>
                                <a:gd name="T4" fmla="*/ 35 w 103"/>
                                <a:gd name="T5" fmla="*/ 248 h 333"/>
                                <a:gd name="T6" fmla="*/ 33 w 103"/>
                                <a:gd name="T7" fmla="*/ 0 h 333"/>
                                <a:gd name="T8" fmla="*/ 68 w 103"/>
                                <a:gd name="T9" fmla="*/ 0 h 333"/>
                                <a:gd name="T10" fmla="*/ 103 w 103"/>
                                <a:gd name="T11" fmla="*/ 230 h 333"/>
                                <a:gd name="T12" fmla="*/ 53 w 103"/>
                                <a:gd name="T13" fmla="*/ 333 h 333"/>
                                <a:gd name="T14" fmla="*/ 0 w 103"/>
                                <a:gd name="T15" fmla="*/ 230 h 333"/>
                                <a:gd name="T16" fmla="*/ 103 w 103"/>
                                <a:gd name="T17" fmla="*/ 23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333">
                                  <a:moveTo>
                                    <a:pt x="68" y="0"/>
                                  </a:moveTo>
                                  <a:lnTo>
                                    <a:pt x="68" y="248"/>
                                  </a:lnTo>
                                  <a:lnTo>
                                    <a:pt x="35" y="248"/>
                                  </a:lnTo>
                                  <a:lnTo>
                                    <a:pt x="33" y="0"/>
                                  </a:lnTo>
                                  <a:lnTo>
                                    <a:pt x="68" y="0"/>
                                  </a:lnTo>
                                  <a:close/>
                                  <a:moveTo>
                                    <a:pt x="103" y="230"/>
                                  </a:moveTo>
                                  <a:lnTo>
                                    <a:pt x="53" y="333"/>
                                  </a:lnTo>
                                  <a:lnTo>
                                    <a:pt x="0" y="230"/>
                                  </a:lnTo>
                                  <a:lnTo>
                                    <a:pt x="103" y="2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
                          <wps:cNvSpPr>
                            <a:spLocks/>
                          </wps:cNvSpPr>
                          <wps:spPr bwMode="auto">
                            <a:xfrm>
                              <a:off x="1319" y="1583"/>
                              <a:ext cx="35" cy="248"/>
                            </a:xfrm>
                            <a:custGeom>
                              <a:avLst/>
                              <a:gdLst>
                                <a:gd name="T0" fmla="*/ 35 w 35"/>
                                <a:gd name="T1" fmla="*/ 0 h 248"/>
                                <a:gd name="T2" fmla="*/ 35 w 35"/>
                                <a:gd name="T3" fmla="*/ 248 h 248"/>
                                <a:gd name="T4" fmla="*/ 2 w 35"/>
                                <a:gd name="T5" fmla="*/ 248 h 248"/>
                                <a:gd name="T6" fmla="*/ 0 w 35"/>
                                <a:gd name="T7" fmla="*/ 0 h 248"/>
                                <a:gd name="T8" fmla="*/ 35 w 35"/>
                                <a:gd name="T9" fmla="*/ 0 h 248"/>
                              </a:gdLst>
                              <a:ahLst/>
                              <a:cxnLst>
                                <a:cxn ang="0">
                                  <a:pos x="T0" y="T1"/>
                                </a:cxn>
                                <a:cxn ang="0">
                                  <a:pos x="T2" y="T3"/>
                                </a:cxn>
                                <a:cxn ang="0">
                                  <a:pos x="T4" y="T5"/>
                                </a:cxn>
                                <a:cxn ang="0">
                                  <a:pos x="T6" y="T7"/>
                                </a:cxn>
                                <a:cxn ang="0">
                                  <a:pos x="T8" y="T9"/>
                                </a:cxn>
                              </a:cxnLst>
                              <a:rect l="0" t="0" r="r" b="b"/>
                              <a:pathLst>
                                <a:path w="35" h="248">
                                  <a:moveTo>
                                    <a:pt x="35" y="0"/>
                                  </a:moveTo>
                                  <a:lnTo>
                                    <a:pt x="35" y="248"/>
                                  </a:lnTo>
                                  <a:lnTo>
                                    <a:pt x="2" y="248"/>
                                  </a:lnTo>
                                  <a:lnTo>
                                    <a:pt x="0" y="0"/>
                                  </a:lnTo>
                                  <a:lnTo>
                                    <a:pt x="35" y="0"/>
                                  </a:lnTo>
                                  <a:close/>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1"/>
                          <wps:cNvSpPr>
                            <a:spLocks/>
                          </wps:cNvSpPr>
                          <wps:spPr bwMode="auto">
                            <a:xfrm>
                              <a:off x="1286" y="1813"/>
                              <a:ext cx="103" cy="103"/>
                            </a:xfrm>
                            <a:custGeom>
                              <a:avLst/>
                              <a:gdLst>
                                <a:gd name="T0" fmla="*/ 103 w 103"/>
                                <a:gd name="T1" fmla="*/ 0 h 103"/>
                                <a:gd name="T2" fmla="*/ 53 w 103"/>
                                <a:gd name="T3" fmla="*/ 103 h 103"/>
                                <a:gd name="T4" fmla="*/ 0 w 103"/>
                                <a:gd name="T5" fmla="*/ 0 h 103"/>
                                <a:gd name="T6" fmla="*/ 103 w 103"/>
                                <a:gd name="T7" fmla="*/ 0 h 103"/>
                              </a:gdLst>
                              <a:ahLst/>
                              <a:cxnLst>
                                <a:cxn ang="0">
                                  <a:pos x="T0" y="T1"/>
                                </a:cxn>
                                <a:cxn ang="0">
                                  <a:pos x="T2" y="T3"/>
                                </a:cxn>
                                <a:cxn ang="0">
                                  <a:pos x="T4" y="T5"/>
                                </a:cxn>
                                <a:cxn ang="0">
                                  <a:pos x="T6" y="T7"/>
                                </a:cxn>
                              </a:cxnLst>
                              <a:rect l="0" t="0" r="r" b="b"/>
                              <a:pathLst>
                                <a:path w="103" h="103">
                                  <a:moveTo>
                                    <a:pt x="103" y="0"/>
                                  </a:moveTo>
                                  <a:lnTo>
                                    <a:pt x="53" y="103"/>
                                  </a:lnTo>
                                  <a:lnTo>
                                    <a:pt x="0" y="0"/>
                                  </a:lnTo>
                                  <a:lnTo>
                                    <a:pt x="103"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 name="Group 92"/>
                        <wpg:cNvGrpSpPr>
                          <a:grpSpLocks/>
                        </wpg:cNvGrpSpPr>
                        <wpg:grpSpPr bwMode="auto">
                          <a:xfrm>
                            <a:off x="2348035" y="957834"/>
                            <a:ext cx="66675" cy="212090"/>
                            <a:chOff x="3778" y="1585"/>
                            <a:chExt cx="105" cy="334"/>
                          </a:xfrm>
                        </wpg:grpSpPr>
                        <wps:wsp>
                          <wps:cNvPr id="96" name="Freeform 93"/>
                          <wps:cNvSpPr>
                            <a:spLocks noEditPoints="1"/>
                          </wps:cNvSpPr>
                          <wps:spPr bwMode="auto">
                            <a:xfrm>
                              <a:off x="3778" y="1585"/>
                              <a:ext cx="105" cy="334"/>
                            </a:xfrm>
                            <a:custGeom>
                              <a:avLst/>
                              <a:gdLst>
                                <a:gd name="T0" fmla="*/ 70 w 105"/>
                                <a:gd name="T1" fmla="*/ 0 h 334"/>
                                <a:gd name="T2" fmla="*/ 70 w 105"/>
                                <a:gd name="T3" fmla="*/ 246 h 334"/>
                                <a:gd name="T4" fmla="*/ 35 w 105"/>
                                <a:gd name="T5" fmla="*/ 246 h 334"/>
                                <a:gd name="T6" fmla="*/ 35 w 105"/>
                                <a:gd name="T7" fmla="*/ 0 h 334"/>
                                <a:gd name="T8" fmla="*/ 70 w 105"/>
                                <a:gd name="T9" fmla="*/ 0 h 334"/>
                                <a:gd name="T10" fmla="*/ 105 w 105"/>
                                <a:gd name="T11" fmla="*/ 229 h 334"/>
                                <a:gd name="T12" fmla="*/ 52 w 105"/>
                                <a:gd name="T13" fmla="*/ 334 h 334"/>
                                <a:gd name="T14" fmla="*/ 0 w 105"/>
                                <a:gd name="T15" fmla="*/ 229 h 334"/>
                                <a:gd name="T16" fmla="*/ 105 w 105"/>
                                <a:gd name="T17" fmla="*/ 229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34">
                                  <a:moveTo>
                                    <a:pt x="70" y="0"/>
                                  </a:moveTo>
                                  <a:lnTo>
                                    <a:pt x="70" y="246"/>
                                  </a:lnTo>
                                  <a:lnTo>
                                    <a:pt x="35" y="246"/>
                                  </a:lnTo>
                                  <a:lnTo>
                                    <a:pt x="35" y="0"/>
                                  </a:lnTo>
                                  <a:lnTo>
                                    <a:pt x="70" y="0"/>
                                  </a:lnTo>
                                  <a:close/>
                                  <a:moveTo>
                                    <a:pt x="105" y="229"/>
                                  </a:moveTo>
                                  <a:lnTo>
                                    <a:pt x="52" y="334"/>
                                  </a:lnTo>
                                  <a:lnTo>
                                    <a:pt x="0" y="229"/>
                                  </a:lnTo>
                                  <a:lnTo>
                                    <a:pt x="105" y="22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94"/>
                          <wps:cNvSpPr>
                            <a:spLocks noChangeArrowheads="1"/>
                          </wps:cNvSpPr>
                          <wps:spPr bwMode="auto">
                            <a:xfrm>
                              <a:off x="3813" y="1585"/>
                              <a:ext cx="35" cy="246"/>
                            </a:xfrm>
                            <a:prstGeom prst="rect">
                              <a:avLst/>
                            </a:pr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5"/>
                          <wps:cNvSpPr>
                            <a:spLocks/>
                          </wps:cNvSpPr>
                          <wps:spPr bwMode="auto">
                            <a:xfrm>
                              <a:off x="3778" y="1814"/>
                              <a:ext cx="105" cy="105"/>
                            </a:xfrm>
                            <a:custGeom>
                              <a:avLst/>
                              <a:gdLst>
                                <a:gd name="T0" fmla="*/ 105 w 105"/>
                                <a:gd name="T1" fmla="*/ 0 h 105"/>
                                <a:gd name="T2" fmla="*/ 52 w 105"/>
                                <a:gd name="T3" fmla="*/ 105 h 105"/>
                                <a:gd name="T4" fmla="*/ 0 w 105"/>
                                <a:gd name="T5" fmla="*/ 0 h 105"/>
                                <a:gd name="T6" fmla="*/ 105 w 105"/>
                                <a:gd name="T7" fmla="*/ 0 h 105"/>
                              </a:gdLst>
                              <a:ahLst/>
                              <a:cxnLst>
                                <a:cxn ang="0">
                                  <a:pos x="T0" y="T1"/>
                                </a:cxn>
                                <a:cxn ang="0">
                                  <a:pos x="T2" y="T3"/>
                                </a:cxn>
                                <a:cxn ang="0">
                                  <a:pos x="T4" y="T5"/>
                                </a:cxn>
                                <a:cxn ang="0">
                                  <a:pos x="T6" y="T7"/>
                                </a:cxn>
                              </a:cxnLst>
                              <a:rect l="0" t="0" r="r" b="b"/>
                              <a:pathLst>
                                <a:path w="105" h="105">
                                  <a:moveTo>
                                    <a:pt x="105" y="0"/>
                                  </a:moveTo>
                                  <a:lnTo>
                                    <a:pt x="52" y="105"/>
                                  </a:lnTo>
                                  <a:lnTo>
                                    <a:pt x="0" y="0"/>
                                  </a:lnTo>
                                  <a:lnTo>
                                    <a:pt x="105"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9" name="Group 96"/>
                        <wpg:cNvGrpSpPr>
                          <a:grpSpLocks/>
                        </wpg:cNvGrpSpPr>
                        <wpg:grpSpPr bwMode="auto">
                          <a:xfrm>
                            <a:off x="2595685" y="2384679"/>
                            <a:ext cx="65405" cy="193040"/>
                            <a:chOff x="4168" y="3832"/>
                            <a:chExt cx="103" cy="304"/>
                          </a:xfrm>
                        </wpg:grpSpPr>
                        <wps:wsp>
                          <wps:cNvPr id="100" name="Freeform 97"/>
                          <wps:cNvSpPr>
                            <a:spLocks noEditPoints="1"/>
                          </wps:cNvSpPr>
                          <wps:spPr bwMode="auto">
                            <a:xfrm>
                              <a:off x="4168" y="3832"/>
                              <a:ext cx="103" cy="304"/>
                            </a:xfrm>
                            <a:custGeom>
                              <a:avLst/>
                              <a:gdLst>
                                <a:gd name="T0" fmla="*/ 68 w 103"/>
                                <a:gd name="T1" fmla="*/ 0 h 304"/>
                                <a:gd name="T2" fmla="*/ 70 w 103"/>
                                <a:gd name="T3" fmla="*/ 218 h 304"/>
                                <a:gd name="T4" fmla="*/ 35 w 103"/>
                                <a:gd name="T5" fmla="*/ 218 h 304"/>
                                <a:gd name="T6" fmla="*/ 33 w 103"/>
                                <a:gd name="T7" fmla="*/ 0 h 304"/>
                                <a:gd name="T8" fmla="*/ 68 w 103"/>
                                <a:gd name="T9" fmla="*/ 0 h 304"/>
                                <a:gd name="T10" fmla="*/ 103 w 103"/>
                                <a:gd name="T11" fmla="*/ 201 h 304"/>
                                <a:gd name="T12" fmla="*/ 53 w 103"/>
                                <a:gd name="T13" fmla="*/ 304 h 304"/>
                                <a:gd name="T14" fmla="*/ 0 w 103"/>
                                <a:gd name="T15" fmla="*/ 201 h 304"/>
                                <a:gd name="T16" fmla="*/ 103 w 103"/>
                                <a:gd name="T17" fmla="*/ 20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304">
                                  <a:moveTo>
                                    <a:pt x="68" y="0"/>
                                  </a:moveTo>
                                  <a:lnTo>
                                    <a:pt x="70" y="218"/>
                                  </a:lnTo>
                                  <a:lnTo>
                                    <a:pt x="35" y="218"/>
                                  </a:lnTo>
                                  <a:lnTo>
                                    <a:pt x="33" y="0"/>
                                  </a:lnTo>
                                  <a:lnTo>
                                    <a:pt x="68" y="0"/>
                                  </a:lnTo>
                                  <a:close/>
                                  <a:moveTo>
                                    <a:pt x="103" y="201"/>
                                  </a:moveTo>
                                  <a:lnTo>
                                    <a:pt x="53" y="304"/>
                                  </a:lnTo>
                                  <a:lnTo>
                                    <a:pt x="0" y="201"/>
                                  </a:lnTo>
                                  <a:lnTo>
                                    <a:pt x="103" y="201"/>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8"/>
                          <wps:cNvSpPr>
                            <a:spLocks/>
                          </wps:cNvSpPr>
                          <wps:spPr bwMode="auto">
                            <a:xfrm>
                              <a:off x="4201" y="3832"/>
                              <a:ext cx="37" cy="218"/>
                            </a:xfrm>
                            <a:custGeom>
                              <a:avLst/>
                              <a:gdLst>
                                <a:gd name="T0" fmla="*/ 35 w 37"/>
                                <a:gd name="T1" fmla="*/ 0 h 218"/>
                                <a:gd name="T2" fmla="*/ 37 w 37"/>
                                <a:gd name="T3" fmla="*/ 218 h 218"/>
                                <a:gd name="T4" fmla="*/ 2 w 37"/>
                                <a:gd name="T5" fmla="*/ 218 h 218"/>
                                <a:gd name="T6" fmla="*/ 0 w 37"/>
                                <a:gd name="T7" fmla="*/ 0 h 218"/>
                                <a:gd name="T8" fmla="*/ 35 w 37"/>
                                <a:gd name="T9" fmla="*/ 0 h 218"/>
                              </a:gdLst>
                              <a:ahLst/>
                              <a:cxnLst>
                                <a:cxn ang="0">
                                  <a:pos x="T0" y="T1"/>
                                </a:cxn>
                                <a:cxn ang="0">
                                  <a:pos x="T2" y="T3"/>
                                </a:cxn>
                                <a:cxn ang="0">
                                  <a:pos x="T4" y="T5"/>
                                </a:cxn>
                                <a:cxn ang="0">
                                  <a:pos x="T6" y="T7"/>
                                </a:cxn>
                                <a:cxn ang="0">
                                  <a:pos x="T8" y="T9"/>
                                </a:cxn>
                              </a:cxnLst>
                              <a:rect l="0" t="0" r="r" b="b"/>
                              <a:pathLst>
                                <a:path w="37" h="218">
                                  <a:moveTo>
                                    <a:pt x="35" y="0"/>
                                  </a:moveTo>
                                  <a:lnTo>
                                    <a:pt x="37" y="218"/>
                                  </a:lnTo>
                                  <a:lnTo>
                                    <a:pt x="2" y="218"/>
                                  </a:lnTo>
                                  <a:lnTo>
                                    <a:pt x="0" y="0"/>
                                  </a:lnTo>
                                  <a:lnTo>
                                    <a:pt x="35" y="0"/>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99"/>
                          <wps:cNvSpPr>
                            <a:spLocks/>
                          </wps:cNvSpPr>
                          <wps:spPr bwMode="auto">
                            <a:xfrm>
                              <a:off x="4168" y="4033"/>
                              <a:ext cx="103" cy="103"/>
                            </a:xfrm>
                            <a:custGeom>
                              <a:avLst/>
                              <a:gdLst>
                                <a:gd name="T0" fmla="*/ 103 w 103"/>
                                <a:gd name="T1" fmla="*/ 0 h 103"/>
                                <a:gd name="T2" fmla="*/ 53 w 103"/>
                                <a:gd name="T3" fmla="*/ 103 h 103"/>
                                <a:gd name="T4" fmla="*/ 0 w 103"/>
                                <a:gd name="T5" fmla="*/ 0 h 103"/>
                                <a:gd name="T6" fmla="*/ 103 w 103"/>
                                <a:gd name="T7" fmla="*/ 0 h 103"/>
                              </a:gdLst>
                              <a:ahLst/>
                              <a:cxnLst>
                                <a:cxn ang="0">
                                  <a:pos x="T0" y="T1"/>
                                </a:cxn>
                                <a:cxn ang="0">
                                  <a:pos x="T2" y="T3"/>
                                </a:cxn>
                                <a:cxn ang="0">
                                  <a:pos x="T4" y="T5"/>
                                </a:cxn>
                                <a:cxn ang="0">
                                  <a:pos x="T6" y="T7"/>
                                </a:cxn>
                              </a:cxnLst>
                              <a:rect l="0" t="0" r="r" b="b"/>
                              <a:pathLst>
                                <a:path w="103" h="103">
                                  <a:moveTo>
                                    <a:pt x="103" y="0"/>
                                  </a:moveTo>
                                  <a:lnTo>
                                    <a:pt x="53" y="103"/>
                                  </a:lnTo>
                                  <a:lnTo>
                                    <a:pt x="0" y="0"/>
                                  </a:lnTo>
                                  <a:lnTo>
                                    <a:pt x="103"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3" name="Group 100"/>
                        <wpg:cNvGrpSpPr>
                          <a:grpSpLocks/>
                        </wpg:cNvGrpSpPr>
                        <wpg:grpSpPr bwMode="auto">
                          <a:xfrm>
                            <a:off x="2678235" y="4543679"/>
                            <a:ext cx="67310" cy="305435"/>
                            <a:chOff x="4298" y="7232"/>
                            <a:chExt cx="106" cy="481"/>
                          </a:xfrm>
                        </wpg:grpSpPr>
                        <wps:wsp>
                          <wps:cNvPr id="104" name="Freeform 101"/>
                          <wps:cNvSpPr>
                            <a:spLocks noEditPoints="1"/>
                          </wps:cNvSpPr>
                          <wps:spPr bwMode="auto">
                            <a:xfrm>
                              <a:off x="4298" y="7232"/>
                              <a:ext cx="106" cy="481"/>
                            </a:xfrm>
                            <a:custGeom>
                              <a:avLst/>
                              <a:gdLst>
                                <a:gd name="T0" fmla="*/ 70 w 106"/>
                                <a:gd name="T1" fmla="*/ 0 h 481"/>
                                <a:gd name="T2" fmla="*/ 70 w 106"/>
                                <a:gd name="T3" fmla="*/ 393 h 481"/>
                                <a:gd name="T4" fmla="*/ 36 w 106"/>
                                <a:gd name="T5" fmla="*/ 393 h 481"/>
                                <a:gd name="T6" fmla="*/ 38 w 106"/>
                                <a:gd name="T7" fmla="*/ 0 h 481"/>
                                <a:gd name="T8" fmla="*/ 70 w 106"/>
                                <a:gd name="T9" fmla="*/ 0 h 481"/>
                                <a:gd name="T10" fmla="*/ 106 w 106"/>
                                <a:gd name="T11" fmla="*/ 376 h 481"/>
                                <a:gd name="T12" fmla="*/ 53 w 106"/>
                                <a:gd name="T13" fmla="*/ 481 h 481"/>
                                <a:gd name="T14" fmla="*/ 0 w 106"/>
                                <a:gd name="T15" fmla="*/ 376 h 481"/>
                                <a:gd name="T16" fmla="*/ 106 w 106"/>
                                <a:gd name="T17" fmla="*/ 376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481">
                                  <a:moveTo>
                                    <a:pt x="70" y="0"/>
                                  </a:moveTo>
                                  <a:lnTo>
                                    <a:pt x="70" y="393"/>
                                  </a:lnTo>
                                  <a:lnTo>
                                    <a:pt x="36" y="393"/>
                                  </a:lnTo>
                                  <a:lnTo>
                                    <a:pt x="38" y="0"/>
                                  </a:lnTo>
                                  <a:lnTo>
                                    <a:pt x="70" y="0"/>
                                  </a:lnTo>
                                  <a:close/>
                                  <a:moveTo>
                                    <a:pt x="106" y="376"/>
                                  </a:moveTo>
                                  <a:lnTo>
                                    <a:pt x="53" y="481"/>
                                  </a:lnTo>
                                  <a:lnTo>
                                    <a:pt x="0" y="376"/>
                                  </a:lnTo>
                                  <a:lnTo>
                                    <a:pt x="106" y="37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2"/>
                          <wps:cNvSpPr>
                            <a:spLocks/>
                          </wps:cNvSpPr>
                          <wps:spPr bwMode="auto">
                            <a:xfrm>
                              <a:off x="4334" y="7232"/>
                              <a:ext cx="34" cy="393"/>
                            </a:xfrm>
                            <a:custGeom>
                              <a:avLst/>
                              <a:gdLst>
                                <a:gd name="T0" fmla="*/ 34 w 34"/>
                                <a:gd name="T1" fmla="*/ 0 h 393"/>
                                <a:gd name="T2" fmla="*/ 34 w 34"/>
                                <a:gd name="T3" fmla="*/ 393 h 393"/>
                                <a:gd name="T4" fmla="*/ 0 w 34"/>
                                <a:gd name="T5" fmla="*/ 393 h 393"/>
                                <a:gd name="T6" fmla="*/ 2 w 34"/>
                                <a:gd name="T7" fmla="*/ 0 h 393"/>
                                <a:gd name="T8" fmla="*/ 34 w 34"/>
                                <a:gd name="T9" fmla="*/ 0 h 393"/>
                              </a:gdLst>
                              <a:ahLst/>
                              <a:cxnLst>
                                <a:cxn ang="0">
                                  <a:pos x="T0" y="T1"/>
                                </a:cxn>
                                <a:cxn ang="0">
                                  <a:pos x="T2" y="T3"/>
                                </a:cxn>
                                <a:cxn ang="0">
                                  <a:pos x="T4" y="T5"/>
                                </a:cxn>
                                <a:cxn ang="0">
                                  <a:pos x="T6" y="T7"/>
                                </a:cxn>
                                <a:cxn ang="0">
                                  <a:pos x="T8" y="T9"/>
                                </a:cxn>
                              </a:cxnLst>
                              <a:rect l="0" t="0" r="r" b="b"/>
                              <a:pathLst>
                                <a:path w="34" h="393">
                                  <a:moveTo>
                                    <a:pt x="34" y="0"/>
                                  </a:moveTo>
                                  <a:lnTo>
                                    <a:pt x="34" y="393"/>
                                  </a:lnTo>
                                  <a:lnTo>
                                    <a:pt x="0" y="393"/>
                                  </a:lnTo>
                                  <a:lnTo>
                                    <a:pt x="2" y="0"/>
                                  </a:lnTo>
                                  <a:lnTo>
                                    <a:pt x="34" y="0"/>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03"/>
                          <wps:cNvSpPr>
                            <a:spLocks/>
                          </wps:cNvSpPr>
                          <wps:spPr bwMode="auto">
                            <a:xfrm>
                              <a:off x="4298" y="7608"/>
                              <a:ext cx="106" cy="105"/>
                            </a:xfrm>
                            <a:custGeom>
                              <a:avLst/>
                              <a:gdLst>
                                <a:gd name="T0" fmla="*/ 106 w 106"/>
                                <a:gd name="T1" fmla="*/ 0 h 105"/>
                                <a:gd name="T2" fmla="*/ 53 w 106"/>
                                <a:gd name="T3" fmla="*/ 105 h 105"/>
                                <a:gd name="T4" fmla="*/ 0 w 106"/>
                                <a:gd name="T5" fmla="*/ 0 h 105"/>
                                <a:gd name="T6" fmla="*/ 106 w 106"/>
                                <a:gd name="T7" fmla="*/ 0 h 105"/>
                              </a:gdLst>
                              <a:ahLst/>
                              <a:cxnLst>
                                <a:cxn ang="0">
                                  <a:pos x="T0" y="T1"/>
                                </a:cxn>
                                <a:cxn ang="0">
                                  <a:pos x="T2" y="T3"/>
                                </a:cxn>
                                <a:cxn ang="0">
                                  <a:pos x="T4" y="T5"/>
                                </a:cxn>
                                <a:cxn ang="0">
                                  <a:pos x="T6" y="T7"/>
                                </a:cxn>
                              </a:cxnLst>
                              <a:rect l="0" t="0" r="r" b="b"/>
                              <a:pathLst>
                                <a:path w="106" h="105">
                                  <a:moveTo>
                                    <a:pt x="106" y="0"/>
                                  </a:moveTo>
                                  <a:lnTo>
                                    <a:pt x="53" y="105"/>
                                  </a:lnTo>
                                  <a:lnTo>
                                    <a:pt x="0" y="0"/>
                                  </a:lnTo>
                                  <a:lnTo>
                                    <a:pt x="106"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104"/>
                        <wps:cNvSpPr>
                          <a:spLocks noChangeArrowheads="1"/>
                        </wps:cNvSpPr>
                        <wps:spPr bwMode="auto">
                          <a:xfrm>
                            <a:off x="3435155" y="505714"/>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s:wsp>
                        <wps:cNvPr id="108" name="Rectangle 105"/>
                        <wps:cNvSpPr>
                          <a:spLocks noChangeArrowheads="1"/>
                        </wps:cNvSpPr>
                        <wps:spPr bwMode="auto">
                          <a:xfrm>
                            <a:off x="933890" y="369824"/>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109" name="Rectangle 106"/>
                        <wps:cNvSpPr>
                          <a:spLocks noChangeArrowheads="1"/>
                        </wps:cNvSpPr>
                        <wps:spPr bwMode="auto">
                          <a:xfrm>
                            <a:off x="597975" y="1003554"/>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110" name="Rectangle 107"/>
                        <wps:cNvSpPr>
                          <a:spLocks noChangeArrowheads="1"/>
                        </wps:cNvSpPr>
                        <wps:spPr bwMode="auto">
                          <a:xfrm>
                            <a:off x="2509960" y="1006729"/>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s:wsp>
                        <wps:cNvPr id="111" name="Rectangle 108"/>
                        <wps:cNvSpPr>
                          <a:spLocks noChangeArrowheads="1"/>
                        </wps:cNvSpPr>
                        <wps:spPr bwMode="auto">
                          <a:xfrm>
                            <a:off x="2789360" y="3057144"/>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g:wgp>
                        <wpg:cNvPr id="112" name="Group 109"/>
                        <wpg:cNvGrpSpPr>
                          <a:grpSpLocks/>
                        </wpg:cNvGrpSpPr>
                        <wpg:grpSpPr bwMode="auto">
                          <a:xfrm>
                            <a:off x="2077525" y="3035554"/>
                            <a:ext cx="66675" cy="679450"/>
                            <a:chOff x="3352" y="4857"/>
                            <a:chExt cx="105" cy="1070"/>
                          </a:xfrm>
                        </wpg:grpSpPr>
                        <wps:wsp>
                          <wps:cNvPr id="113" name="Freeform 110"/>
                          <wps:cNvSpPr>
                            <a:spLocks noEditPoints="1"/>
                          </wps:cNvSpPr>
                          <wps:spPr bwMode="auto">
                            <a:xfrm>
                              <a:off x="3352" y="4857"/>
                              <a:ext cx="105" cy="1070"/>
                            </a:xfrm>
                            <a:custGeom>
                              <a:avLst/>
                              <a:gdLst>
                                <a:gd name="T0" fmla="*/ 70 w 105"/>
                                <a:gd name="T1" fmla="*/ 0 h 1070"/>
                                <a:gd name="T2" fmla="*/ 70 w 105"/>
                                <a:gd name="T3" fmla="*/ 982 h 1070"/>
                                <a:gd name="T4" fmla="*/ 35 w 105"/>
                                <a:gd name="T5" fmla="*/ 982 h 1070"/>
                                <a:gd name="T6" fmla="*/ 35 w 105"/>
                                <a:gd name="T7" fmla="*/ 0 h 1070"/>
                                <a:gd name="T8" fmla="*/ 70 w 105"/>
                                <a:gd name="T9" fmla="*/ 0 h 1070"/>
                                <a:gd name="T10" fmla="*/ 105 w 105"/>
                                <a:gd name="T11" fmla="*/ 967 h 1070"/>
                                <a:gd name="T12" fmla="*/ 53 w 105"/>
                                <a:gd name="T13" fmla="*/ 1070 h 1070"/>
                                <a:gd name="T14" fmla="*/ 0 w 105"/>
                                <a:gd name="T15" fmla="*/ 967 h 1070"/>
                                <a:gd name="T16" fmla="*/ 105 w 105"/>
                                <a:gd name="T17" fmla="*/ 967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070">
                                  <a:moveTo>
                                    <a:pt x="70" y="0"/>
                                  </a:moveTo>
                                  <a:lnTo>
                                    <a:pt x="70" y="982"/>
                                  </a:lnTo>
                                  <a:lnTo>
                                    <a:pt x="35" y="982"/>
                                  </a:lnTo>
                                  <a:lnTo>
                                    <a:pt x="35" y="0"/>
                                  </a:lnTo>
                                  <a:lnTo>
                                    <a:pt x="70" y="0"/>
                                  </a:lnTo>
                                  <a:close/>
                                  <a:moveTo>
                                    <a:pt x="105" y="967"/>
                                  </a:moveTo>
                                  <a:lnTo>
                                    <a:pt x="53" y="1070"/>
                                  </a:lnTo>
                                  <a:lnTo>
                                    <a:pt x="0" y="967"/>
                                  </a:lnTo>
                                  <a:lnTo>
                                    <a:pt x="105" y="9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11"/>
                          <wps:cNvSpPr>
                            <a:spLocks noChangeArrowheads="1"/>
                          </wps:cNvSpPr>
                          <wps:spPr bwMode="auto">
                            <a:xfrm>
                              <a:off x="3387" y="4857"/>
                              <a:ext cx="35" cy="982"/>
                            </a:xfrm>
                            <a:prstGeom prst="rect">
                              <a:avLst/>
                            </a:pr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2"/>
                          <wps:cNvSpPr>
                            <a:spLocks/>
                          </wps:cNvSpPr>
                          <wps:spPr bwMode="auto">
                            <a:xfrm>
                              <a:off x="3352" y="5824"/>
                              <a:ext cx="105" cy="103"/>
                            </a:xfrm>
                            <a:custGeom>
                              <a:avLst/>
                              <a:gdLst>
                                <a:gd name="T0" fmla="*/ 105 w 105"/>
                                <a:gd name="T1" fmla="*/ 0 h 103"/>
                                <a:gd name="T2" fmla="*/ 53 w 105"/>
                                <a:gd name="T3" fmla="*/ 103 h 103"/>
                                <a:gd name="T4" fmla="*/ 0 w 105"/>
                                <a:gd name="T5" fmla="*/ 0 h 103"/>
                                <a:gd name="T6" fmla="*/ 105 w 105"/>
                                <a:gd name="T7" fmla="*/ 0 h 103"/>
                              </a:gdLst>
                              <a:ahLst/>
                              <a:cxnLst>
                                <a:cxn ang="0">
                                  <a:pos x="T0" y="T1"/>
                                </a:cxn>
                                <a:cxn ang="0">
                                  <a:pos x="T2" y="T3"/>
                                </a:cxn>
                                <a:cxn ang="0">
                                  <a:pos x="T4" y="T5"/>
                                </a:cxn>
                                <a:cxn ang="0">
                                  <a:pos x="T6" y="T7"/>
                                </a:cxn>
                              </a:cxnLst>
                              <a:rect l="0" t="0" r="r" b="b"/>
                              <a:pathLst>
                                <a:path w="105" h="103">
                                  <a:moveTo>
                                    <a:pt x="105" y="0"/>
                                  </a:moveTo>
                                  <a:lnTo>
                                    <a:pt x="53" y="103"/>
                                  </a:lnTo>
                                  <a:lnTo>
                                    <a:pt x="0" y="0"/>
                                  </a:lnTo>
                                  <a:lnTo>
                                    <a:pt x="105"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6" name="Rectangle 113"/>
                        <wps:cNvSpPr>
                          <a:spLocks noChangeArrowheads="1"/>
                        </wps:cNvSpPr>
                        <wps:spPr bwMode="auto">
                          <a:xfrm>
                            <a:off x="1911790" y="3217799"/>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117" name="Rectangle 114"/>
                        <wps:cNvSpPr>
                          <a:spLocks noChangeArrowheads="1"/>
                        </wps:cNvSpPr>
                        <wps:spPr bwMode="auto">
                          <a:xfrm>
                            <a:off x="3028120" y="7013829"/>
                            <a:ext cx="1144905" cy="175260"/>
                          </a:xfrm>
                          <a:prstGeom prst="rect">
                            <a:avLst/>
                          </a:prstGeom>
                          <a:noFill/>
                          <a:ln w="35" cap="rnd">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18" name="Group 115"/>
                        <wpg:cNvGrpSpPr>
                          <a:grpSpLocks/>
                        </wpg:cNvGrpSpPr>
                        <wpg:grpSpPr bwMode="auto">
                          <a:xfrm>
                            <a:off x="2764595" y="7036054"/>
                            <a:ext cx="263525" cy="59055"/>
                            <a:chOff x="4434" y="11157"/>
                            <a:chExt cx="415" cy="93"/>
                          </a:xfrm>
                        </wpg:grpSpPr>
                        <wps:wsp>
                          <wps:cNvPr id="119" name="Freeform 116"/>
                          <wps:cNvSpPr>
                            <a:spLocks noEditPoints="1"/>
                          </wps:cNvSpPr>
                          <wps:spPr bwMode="auto">
                            <a:xfrm>
                              <a:off x="4434" y="11157"/>
                              <a:ext cx="415" cy="93"/>
                            </a:xfrm>
                            <a:custGeom>
                              <a:avLst/>
                              <a:gdLst>
                                <a:gd name="T0" fmla="*/ 340 w 415"/>
                                <a:gd name="T1" fmla="*/ 58 h 93"/>
                                <a:gd name="T2" fmla="*/ 77 w 415"/>
                                <a:gd name="T3" fmla="*/ 58 h 93"/>
                                <a:gd name="T4" fmla="*/ 77 w 415"/>
                                <a:gd name="T5" fmla="*/ 36 h 93"/>
                                <a:gd name="T6" fmla="*/ 340 w 415"/>
                                <a:gd name="T7" fmla="*/ 36 h 93"/>
                                <a:gd name="T8" fmla="*/ 340 w 415"/>
                                <a:gd name="T9" fmla="*/ 58 h 93"/>
                                <a:gd name="T10" fmla="*/ 323 w 415"/>
                                <a:gd name="T11" fmla="*/ 0 h 93"/>
                                <a:gd name="T12" fmla="*/ 415 w 415"/>
                                <a:gd name="T13" fmla="*/ 45 h 93"/>
                                <a:gd name="T14" fmla="*/ 325 w 415"/>
                                <a:gd name="T15" fmla="*/ 93 h 93"/>
                                <a:gd name="T16" fmla="*/ 323 w 415"/>
                                <a:gd name="T17" fmla="*/ 0 h 93"/>
                                <a:gd name="T18" fmla="*/ 92 w 415"/>
                                <a:gd name="T19" fmla="*/ 93 h 93"/>
                                <a:gd name="T20" fmla="*/ 0 w 415"/>
                                <a:gd name="T21" fmla="*/ 45 h 93"/>
                                <a:gd name="T22" fmla="*/ 92 w 415"/>
                                <a:gd name="T23" fmla="*/ 0 h 93"/>
                                <a:gd name="T24" fmla="*/ 92 w 415"/>
                                <a:gd name="T2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5" h="93">
                                  <a:moveTo>
                                    <a:pt x="340" y="58"/>
                                  </a:moveTo>
                                  <a:lnTo>
                                    <a:pt x="77" y="58"/>
                                  </a:lnTo>
                                  <a:lnTo>
                                    <a:pt x="77" y="36"/>
                                  </a:lnTo>
                                  <a:lnTo>
                                    <a:pt x="340" y="36"/>
                                  </a:lnTo>
                                  <a:lnTo>
                                    <a:pt x="340" y="58"/>
                                  </a:lnTo>
                                  <a:close/>
                                  <a:moveTo>
                                    <a:pt x="323" y="0"/>
                                  </a:moveTo>
                                  <a:lnTo>
                                    <a:pt x="415" y="45"/>
                                  </a:lnTo>
                                  <a:lnTo>
                                    <a:pt x="325" y="93"/>
                                  </a:lnTo>
                                  <a:lnTo>
                                    <a:pt x="323" y="0"/>
                                  </a:lnTo>
                                  <a:close/>
                                  <a:moveTo>
                                    <a:pt x="92" y="93"/>
                                  </a:moveTo>
                                  <a:lnTo>
                                    <a:pt x="0" y="45"/>
                                  </a:lnTo>
                                  <a:lnTo>
                                    <a:pt x="92" y="0"/>
                                  </a:lnTo>
                                  <a:lnTo>
                                    <a:pt x="92" y="9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117"/>
                          <wps:cNvSpPr>
                            <a:spLocks noChangeArrowheads="1"/>
                          </wps:cNvSpPr>
                          <wps:spPr bwMode="auto">
                            <a:xfrm>
                              <a:off x="4511" y="11193"/>
                              <a:ext cx="263" cy="22"/>
                            </a:xfrm>
                            <a:prstGeom prst="rect">
                              <a:avLst/>
                            </a:pr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8"/>
                          <wps:cNvSpPr>
                            <a:spLocks/>
                          </wps:cNvSpPr>
                          <wps:spPr bwMode="auto">
                            <a:xfrm>
                              <a:off x="4757" y="11157"/>
                              <a:ext cx="92" cy="93"/>
                            </a:xfrm>
                            <a:custGeom>
                              <a:avLst/>
                              <a:gdLst>
                                <a:gd name="T0" fmla="*/ 0 w 92"/>
                                <a:gd name="T1" fmla="*/ 0 h 93"/>
                                <a:gd name="T2" fmla="*/ 92 w 92"/>
                                <a:gd name="T3" fmla="*/ 45 h 93"/>
                                <a:gd name="T4" fmla="*/ 2 w 92"/>
                                <a:gd name="T5" fmla="*/ 93 h 93"/>
                                <a:gd name="T6" fmla="*/ 0 w 92"/>
                                <a:gd name="T7" fmla="*/ 0 h 93"/>
                              </a:gdLst>
                              <a:ahLst/>
                              <a:cxnLst>
                                <a:cxn ang="0">
                                  <a:pos x="T0" y="T1"/>
                                </a:cxn>
                                <a:cxn ang="0">
                                  <a:pos x="T2" y="T3"/>
                                </a:cxn>
                                <a:cxn ang="0">
                                  <a:pos x="T4" y="T5"/>
                                </a:cxn>
                                <a:cxn ang="0">
                                  <a:pos x="T6" y="T7"/>
                                </a:cxn>
                              </a:cxnLst>
                              <a:rect l="0" t="0" r="r" b="b"/>
                              <a:pathLst>
                                <a:path w="92" h="93">
                                  <a:moveTo>
                                    <a:pt x="0" y="0"/>
                                  </a:moveTo>
                                  <a:lnTo>
                                    <a:pt x="92" y="45"/>
                                  </a:lnTo>
                                  <a:lnTo>
                                    <a:pt x="2" y="93"/>
                                  </a:lnTo>
                                  <a:lnTo>
                                    <a:pt x="0"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19"/>
                          <wps:cNvSpPr>
                            <a:spLocks/>
                          </wps:cNvSpPr>
                          <wps:spPr bwMode="auto">
                            <a:xfrm>
                              <a:off x="4434" y="11157"/>
                              <a:ext cx="92" cy="93"/>
                            </a:xfrm>
                            <a:custGeom>
                              <a:avLst/>
                              <a:gdLst>
                                <a:gd name="T0" fmla="*/ 92 w 92"/>
                                <a:gd name="T1" fmla="*/ 93 h 93"/>
                                <a:gd name="T2" fmla="*/ 0 w 92"/>
                                <a:gd name="T3" fmla="*/ 45 h 93"/>
                                <a:gd name="T4" fmla="*/ 92 w 92"/>
                                <a:gd name="T5" fmla="*/ 0 h 93"/>
                                <a:gd name="T6" fmla="*/ 92 w 92"/>
                                <a:gd name="T7" fmla="*/ 93 h 93"/>
                              </a:gdLst>
                              <a:ahLst/>
                              <a:cxnLst>
                                <a:cxn ang="0">
                                  <a:pos x="T0" y="T1"/>
                                </a:cxn>
                                <a:cxn ang="0">
                                  <a:pos x="T2" y="T3"/>
                                </a:cxn>
                                <a:cxn ang="0">
                                  <a:pos x="T4" y="T5"/>
                                </a:cxn>
                                <a:cxn ang="0">
                                  <a:pos x="T6" y="T7"/>
                                </a:cxn>
                              </a:cxnLst>
                              <a:rect l="0" t="0" r="r" b="b"/>
                              <a:pathLst>
                                <a:path w="92" h="93">
                                  <a:moveTo>
                                    <a:pt x="92" y="93"/>
                                  </a:moveTo>
                                  <a:lnTo>
                                    <a:pt x="0" y="45"/>
                                  </a:lnTo>
                                  <a:lnTo>
                                    <a:pt x="92" y="0"/>
                                  </a:lnTo>
                                  <a:lnTo>
                                    <a:pt x="92" y="93"/>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3" name="Group 120"/>
                        <wpg:cNvGrpSpPr>
                          <a:grpSpLocks/>
                        </wpg:cNvGrpSpPr>
                        <wpg:grpSpPr bwMode="auto">
                          <a:xfrm>
                            <a:off x="4098095" y="1491234"/>
                            <a:ext cx="67310" cy="5509895"/>
                            <a:chOff x="6534" y="2425"/>
                            <a:chExt cx="106" cy="8677"/>
                          </a:xfrm>
                        </wpg:grpSpPr>
                        <wps:wsp>
                          <wps:cNvPr id="124" name="Freeform 121"/>
                          <wps:cNvSpPr>
                            <a:spLocks noEditPoints="1"/>
                          </wps:cNvSpPr>
                          <wps:spPr bwMode="auto">
                            <a:xfrm>
                              <a:off x="6534" y="2425"/>
                              <a:ext cx="106" cy="8677"/>
                            </a:xfrm>
                            <a:custGeom>
                              <a:avLst/>
                              <a:gdLst>
                                <a:gd name="T0" fmla="*/ 70 w 106"/>
                                <a:gd name="T1" fmla="*/ 85 h 8677"/>
                                <a:gd name="T2" fmla="*/ 70 w 106"/>
                                <a:gd name="T3" fmla="*/ 8590 h 8677"/>
                                <a:gd name="T4" fmla="*/ 35 w 106"/>
                                <a:gd name="T5" fmla="*/ 8590 h 8677"/>
                                <a:gd name="T6" fmla="*/ 35 w 106"/>
                                <a:gd name="T7" fmla="*/ 85 h 8677"/>
                                <a:gd name="T8" fmla="*/ 70 w 106"/>
                                <a:gd name="T9" fmla="*/ 85 h 8677"/>
                                <a:gd name="T10" fmla="*/ 0 w 106"/>
                                <a:gd name="T11" fmla="*/ 103 h 8677"/>
                                <a:gd name="T12" fmla="*/ 53 w 106"/>
                                <a:gd name="T13" fmla="*/ 0 h 8677"/>
                                <a:gd name="T14" fmla="*/ 106 w 106"/>
                                <a:gd name="T15" fmla="*/ 103 h 8677"/>
                                <a:gd name="T16" fmla="*/ 0 w 106"/>
                                <a:gd name="T17" fmla="*/ 103 h 8677"/>
                                <a:gd name="T18" fmla="*/ 106 w 106"/>
                                <a:gd name="T19" fmla="*/ 8572 h 8677"/>
                                <a:gd name="T20" fmla="*/ 53 w 106"/>
                                <a:gd name="T21" fmla="*/ 8677 h 8677"/>
                                <a:gd name="T22" fmla="*/ 0 w 106"/>
                                <a:gd name="T23" fmla="*/ 8572 h 8677"/>
                                <a:gd name="T24" fmla="*/ 106 w 106"/>
                                <a:gd name="T25" fmla="*/ 8572 h 8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8677">
                                  <a:moveTo>
                                    <a:pt x="70" y="85"/>
                                  </a:moveTo>
                                  <a:lnTo>
                                    <a:pt x="70" y="8590"/>
                                  </a:lnTo>
                                  <a:lnTo>
                                    <a:pt x="35" y="8590"/>
                                  </a:lnTo>
                                  <a:lnTo>
                                    <a:pt x="35" y="85"/>
                                  </a:lnTo>
                                  <a:lnTo>
                                    <a:pt x="70" y="85"/>
                                  </a:lnTo>
                                  <a:close/>
                                  <a:moveTo>
                                    <a:pt x="0" y="103"/>
                                  </a:moveTo>
                                  <a:lnTo>
                                    <a:pt x="53" y="0"/>
                                  </a:lnTo>
                                  <a:lnTo>
                                    <a:pt x="106" y="103"/>
                                  </a:lnTo>
                                  <a:lnTo>
                                    <a:pt x="0" y="103"/>
                                  </a:lnTo>
                                  <a:close/>
                                  <a:moveTo>
                                    <a:pt x="106" y="8572"/>
                                  </a:moveTo>
                                  <a:lnTo>
                                    <a:pt x="53" y="8677"/>
                                  </a:lnTo>
                                  <a:lnTo>
                                    <a:pt x="0" y="8572"/>
                                  </a:lnTo>
                                  <a:lnTo>
                                    <a:pt x="106" y="857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Rectangle 122"/>
                          <wps:cNvSpPr>
                            <a:spLocks noChangeArrowheads="1"/>
                          </wps:cNvSpPr>
                          <wps:spPr bwMode="auto">
                            <a:xfrm>
                              <a:off x="6569" y="2510"/>
                              <a:ext cx="35" cy="8505"/>
                            </a:xfrm>
                            <a:prstGeom prst="rect">
                              <a:avLst/>
                            </a:pr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3"/>
                          <wps:cNvSpPr>
                            <a:spLocks/>
                          </wps:cNvSpPr>
                          <wps:spPr bwMode="auto">
                            <a:xfrm>
                              <a:off x="6534" y="2425"/>
                              <a:ext cx="106" cy="103"/>
                            </a:xfrm>
                            <a:custGeom>
                              <a:avLst/>
                              <a:gdLst>
                                <a:gd name="T0" fmla="*/ 0 w 106"/>
                                <a:gd name="T1" fmla="*/ 103 h 103"/>
                                <a:gd name="T2" fmla="*/ 53 w 106"/>
                                <a:gd name="T3" fmla="*/ 0 h 103"/>
                                <a:gd name="T4" fmla="*/ 106 w 106"/>
                                <a:gd name="T5" fmla="*/ 103 h 103"/>
                                <a:gd name="T6" fmla="*/ 0 w 106"/>
                                <a:gd name="T7" fmla="*/ 103 h 103"/>
                              </a:gdLst>
                              <a:ahLst/>
                              <a:cxnLst>
                                <a:cxn ang="0">
                                  <a:pos x="T0" y="T1"/>
                                </a:cxn>
                                <a:cxn ang="0">
                                  <a:pos x="T2" y="T3"/>
                                </a:cxn>
                                <a:cxn ang="0">
                                  <a:pos x="T4" y="T5"/>
                                </a:cxn>
                                <a:cxn ang="0">
                                  <a:pos x="T6" y="T7"/>
                                </a:cxn>
                              </a:cxnLst>
                              <a:rect l="0" t="0" r="r" b="b"/>
                              <a:pathLst>
                                <a:path w="106" h="103">
                                  <a:moveTo>
                                    <a:pt x="0" y="103"/>
                                  </a:moveTo>
                                  <a:lnTo>
                                    <a:pt x="53" y="0"/>
                                  </a:lnTo>
                                  <a:lnTo>
                                    <a:pt x="106" y="103"/>
                                  </a:lnTo>
                                  <a:lnTo>
                                    <a:pt x="0" y="103"/>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4"/>
                          <wps:cNvSpPr>
                            <a:spLocks/>
                          </wps:cNvSpPr>
                          <wps:spPr bwMode="auto">
                            <a:xfrm>
                              <a:off x="6534" y="10997"/>
                              <a:ext cx="106" cy="105"/>
                            </a:xfrm>
                            <a:custGeom>
                              <a:avLst/>
                              <a:gdLst>
                                <a:gd name="T0" fmla="*/ 106 w 106"/>
                                <a:gd name="T1" fmla="*/ 0 h 105"/>
                                <a:gd name="T2" fmla="*/ 53 w 106"/>
                                <a:gd name="T3" fmla="*/ 105 h 105"/>
                                <a:gd name="T4" fmla="*/ 0 w 106"/>
                                <a:gd name="T5" fmla="*/ 0 h 105"/>
                                <a:gd name="T6" fmla="*/ 106 w 106"/>
                                <a:gd name="T7" fmla="*/ 0 h 105"/>
                              </a:gdLst>
                              <a:ahLst/>
                              <a:cxnLst>
                                <a:cxn ang="0">
                                  <a:pos x="T0" y="T1"/>
                                </a:cxn>
                                <a:cxn ang="0">
                                  <a:pos x="T2" y="T3"/>
                                </a:cxn>
                                <a:cxn ang="0">
                                  <a:pos x="T4" y="T5"/>
                                </a:cxn>
                                <a:cxn ang="0">
                                  <a:pos x="T6" y="T7"/>
                                </a:cxn>
                              </a:cxnLst>
                              <a:rect l="0" t="0" r="r" b="b"/>
                              <a:pathLst>
                                <a:path w="106" h="105">
                                  <a:moveTo>
                                    <a:pt x="106" y="0"/>
                                  </a:moveTo>
                                  <a:lnTo>
                                    <a:pt x="53" y="105"/>
                                  </a:lnTo>
                                  <a:lnTo>
                                    <a:pt x="0" y="0"/>
                                  </a:lnTo>
                                  <a:lnTo>
                                    <a:pt x="106"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8" name="Group 125"/>
                        <wpg:cNvGrpSpPr>
                          <a:grpSpLocks/>
                        </wpg:cNvGrpSpPr>
                        <wpg:grpSpPr bwMode="auto">
                          <a:xfrm>
                            <a:off x="1147250" y="4024884"/>
                            <a:ext cx="67310" cy="235585"/>
                            <a:chOff x="1887" y="6415"/>
                            <a:chExt cx="106" cy="371"/>
                          </a:xfrm>
                        </wpg:grpSpPr>
                        <wps:wsp>
                          <wps:cNvPr id="129" name="Freeform 126"/>
                          <wps:cNvSpPr>
                            <a:spLocks noEditPoints="1"/>
                          </wps:cNvSpPr>
                          <wps:spPr bwMode="auto">
                            <a:xfrm>
                              <a:off x="1887" y="6415"/>
                              <a:ext cx="106" cy="371"/>
                            </a:xfrm>
                            <a:custGeom>
                              <a:avLst/>
                              <a:gdLst>
                                <a:gd name="T0" fmla="*/ 70 w 106"/>
                                <a:gd name="T1" fmla="*/ 0 h 371"/>
                                <a:gd name="T2" fmla="*/ 70 w 106"/>
                                <a:gd name="T3" fmla="*/ 283 h 371"/>
                                <a:gd name="T4" fmla="*/ 36 w 106"/>
                                <a:gd name="T5" fmla="*/ 283 h 371"/>
                                <a:gd name="T6" fmla="*/ 36 w 106"/>
                                <a:gd name="T7" fmla="*/ 0 h 371"/>
                                <a:gd name="T8" fmla="*/ 70 w 106"/>
                                <a:gd name="T9" fmla="*/ 0 h 371"/>
                                <a:gd name="T10" fmla="*/ 106 w 106"/>
                                <a:gd name="T11" fmla="*/ 266 h 371"/>
                                <a:gd name="T12" fmla="*/ 53 w 106"/>
                                <a:gd name="T13" fmla="*/ 371 h 371"/>
                                <a:gd name="T14" fmla="*/ 0 w 106"/>
                                <a:gd name="T15" fmla="*/ 266 h 371"/>
                                <a:gd name="T16" fmla="*/ 106 w 106"/>
                                <a:gd name="T17" fmla="*/ 266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371">
                                  <a:moveTo>
                                    <a:pt x="70" y="0"/>
                                  </a:moveTo>
                                  <a:lnTo>
                                    <a:pt x="70" y="283"/>
                                  </a:lnTo>
                                  <a:lnTo>
                                    <a:pt x="36" y="283"/>
                                  </a:lnTo>
                                  <a:lnTo>
                                    <a:pt x="36" y="0"/>
                                  </a:lnTo>
                                  <a:lnTo>
                                    <a:pt x="70" y="0"/>
                                  </a:lnTo>
                                  <a:close/>
                                  <a:moveTo>
                                    <a:pt x="106" y="266"/>
                                  </a:moveTo>
                                  <a:lnTo>
                                    <a:pt x="53" y="371"/>
                                  </a:lnTo>
                                  <a:lnTo>
                                    <a:pt x="0" y="266"/>
                                  </a:lnTo>
                                  <a:lnTo>
                                    <a:pt x="106" y="26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127"/>
                          <wps:cNvSpPr>
                            <a:spLocks noChangeArrowheads="1"/>
                          </wps:cNvSpPr>
                          <wps:spPr bwMode="auto">
                            <a:xfrm>
                              <a:off x="1923" y="6415"/>
                              <a:ext cx="34" cy="283"/>
                            </a:xfrm>
                            <a:prstGeom prst="rect">
                              <a:avLst/>
                            </a:pr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28"/>
                          <wps:cNvSpPr>
                            <a:spLocks/>
                          </wps:cNvSpPr>
                          <wps:spPr bwMode="auto">
                            <a:xfrm>
                              <a:off x="1887" y="6681"/>
                              <a:ext cx="106" cy="105"/>
                            </a:xfrm>
                            <a:custGeom>
                              <a:avLst/>
                              <a:gdLst>
                                <a:gd name="T0" fmla="*/ 106 w 106"/>
                                <a:gd name="T1" fmla="*/ 0 h 105"/>
                                <a:gd name="T2" fmla="*/ 53 w 106"/>
                                <a:gd name="T3" fmla="*/ 105 h 105"/>
                                <a:gd name="T4" fmla="*/ 0 w 106"/>
                                <a:gd name="T5" fmla="*/ 0 h 105"/>
                                <a:gd name="T6" fmla="*/ 106 w 106"/>
                                <a:gd name="T7" fmla="*/ 0 h 105"/>
                              </a:gdLst>
                              <a:ahLst/>
                              <a:cxnLst>
                                <a:cxn ang="0">
                                  <a:pos x="T0" y="T1"/>
                                </a:cxn>
                                <a:cxn ang="0">
                                  <a:pos x="T2" y="T3"/>
                                </a:cxn>
                                <a:cxn ang="0">
                                  <a:pos x="T4" y="T5"/>
                                </a:cxn>
                                <a:cxn ang="0">
                                  <a:pos x="T6" y="T7"/>
                                </a:cxn>
                              </a:cxnLst>
                              <a:rect l="0" t="0" r="r" b="b"/>
                              <a:pathLst>
                                <a:path w="106" h="105">
                                  <a:moveTo>
                                    <a:pt x="106" y="0"/>
                                  </a:moveTo>
                                  <a:lnTo>
                                    <a:pt x="53" y="105"/>
                                  </a:lnTo>
                                  <a:lnTo>
                                    <a:pt x="0" y="0"/>
                                  </a:lnTo>
                                  <a:lnTo>
                                    <a:pt x="106"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2" name="Group 129"/>
                        <wpg:cNvGrpSpPr>
                          <a:grpSpLocks/>
                        </wpg:cNvGrpSpPr>
                        <wpg:grpSpPr bwMode="auto">
                          <a:xfrm>
                            <a:off x="2819840" y="1491234"/>
                            <a:ext cx="67310" cy="211455"/>
                            <a:chOff x="4521" y="2425"/>
                            <a:chExt cx="106" cy="333"/>
                          </a:xfrm>
                        </wpg:grpSpPr>
                        <wps:wsp>
                          <wps:cNvPr id="133" name="Freeform 130"/>
                          <wps:cNvSpPr>
                            <a:spLocks noEditPoints="1"/>
                          </wps:cNvSpPr>
                          <wps:spPr bwMode="auto">
                            <a:xfrm>
                              <a:off x="4521" y="2425"/>
                              <a:ext cx="106" cy="333"/>
                            </a:xfrm>
                            <a:custGeom>
                              <a:avLst/>
                              <a:gdLst>
                                <a:gd name="T0" fmla="*/ 68 w 106"/>
                                <a:gd name="T1" fmla="*/ 0 h 333"/>
                                <a:gd name="T2" fmla="*/ 70 w 106"/>
                                <a:gd name="T3" fmla="*/ 245 h 333"/>
                                <a:gd name="T4" fmla="*/ 35 w 106"/>
                                <a:gd name="T5" fmla="*/ 245 h 333"/>
                                <a:gd name="T6" fmla="*/ 35 w 106"/>
                                <a:gd name="T7" fmla="*/ 0 h 333"/>
                                <a:gd name="T8" fmla="*/ 68 w 106"/>
                                <a:gd name="T9" fmla="*/ 0 h 333"/>
                                <a:gd name="T10" fmla="*/ 106 w 106"/>
                                <a:gd name="T11" fmla="*/ 228 h 333"/>
                                <a:gd name="T12" fmla="*/ 53 w 106"/>
                                <a:gd name="T13" fmla="*/ 333 h 333"/>
                                <a:gd name="T14" fmla="*/ 0 w 106"/>
                                <a:gd name="T15" fmla="*/ 230 h 333"/>
                                <a:gd name="T16" fmla="*/ 106 w 106"/>
                                <a:gd name="T17" fmla="*/ 228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333">
                                  <a:moveTo>
                                    <a:pt x="68" y="0"/>
                                  </a:moveTo>
                                  <a:lnTo>
                                    <a:pt x="70" y="245"/>
                                  </a:lnTo>
                                  <a:lnTo>
                                    <a:pt x="35" y="245"/>
                                  </a:lnTo>
                                  <a:lnTo>
                                    <a:pt x="35" y="0"/>
                                  </a:lnTo>
                                  <a:lnTo>
                                    <a:pt x="68" y="0"/>
                                  </a:lnTo>
                                  <a:close/>
                                  <a:moveTo>
                                    <a:pt x="106" y="228"/>
                                  </a:moveTo>
                                  <a:lnTo>
                                    <a:pt x="53" y="333"/>
                                  </a:lnTo>
                                  <a:lnTo>
                                    <a:pt x="0" y="230"/>
                                  </a:lnTo>
                                  <a:lnTo>
                                    <a:pt x="106" y="22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1"/>
                          <wps:cNvSpPr>
                            <a:spLocks/>
                          </wps:cNvSpPr>
                          <wps:spPr bwMode="auto">
                            <a:xfrm>
                              <a:off x="4556" y="2425"/>
                              <a:ext cx="35" cy="245"/>
                            </a:xfrm>
                            <a:custGeom>
                              <a:avLst/>
                              <a:gdLst>
                                <a:gd name="T0" fmla="*/ 33 w 35"/>
                                <a:gd name="T1" fmla="*/ 0 h 245"/>
                                <a:gd name="T2" fmla="*/ 35 w 35"/>
                                <a:gd name="T3" fmla="*/ 245 h 245"/>
                                <a:gd name="T4" fmla="*/ 0 w 35"/>
                                <a:gd name="T5" fmla="*/ 245 h 245"/>
                                <a:gd name="T6" fmla="*/ 0 w 35"/>
                                <a:gd name="T7" fmla="*/ 0 h 245"/>
                                <a:gd name="T8" fmla="*/ 33 w 35"/>
                                <a:gd name="T9" fmla="*/ 0 h 245"/>
                              </a:gdLst>
                              <a:ahLst/>
                              <a:cxnLst>
                                <a:cxn ang="0">
                                  <a:pos x="T0" y="T1"/>
                                </a:cxn>
                                <a:cxn ang="0">
                                  <a:pos x="T2" y="T3"/>
                                </a:cxn>
                                <a:cxn ang="0">
                                  <a:pos x="T4" y="T5"/>
                                </a:cxn>
                                <a:cxn ang="0">
                                  <a:pos x="T6" y="T7"/>
                                </a:cxn>
                                <a:cxn ang="0">
                                  <a:pos x="T8" y="T9"/>
                                </a:cxn>
                              </a:cxnLst>
                              <a:rect l="0" t="0" r="r" b="b"/>
                              <a:pathLst>
                                <a:path w="35" h="245">
                                  <a:moveTo>
                                    <a:pt x="33" y="0"/>
                                  </a:moveTo>
                                  <a:lnTo>
                                    <a:pt x="35" y="245"/>
                                  </a:lnTo>
                                  <a:lnTo>
                                    <a:pt x="0" y="245"/>
                                  </a:lnTo>
                                  <a:lnTo>
                                    <a:pt x="0" y="0"/>
                                  </a:lnTo>
                                  <a:lnTo>
                                    <a:pt x="33"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2"/>
                          <wps:cNvSpPr>
                            <a:spLocks/>
                          </wps:cNvSpPr>
                          <wps:spPr bwMode="auto">
                            <a:xfrm>
                              <a:off x="4521" y="2653"/>
                              <a:ext cx="106" cy="105"/>
                            </a:xfrm>
                            <a:custGeom>
                              <a:avLst/>
                              <a:gdLst>
                                <a:gd name="T0" fmla="*/ 106 w 106"/>
                                <a:gd name="T1" fmla="*/ 0 h 105"/>
                                <a:gd name="T2" fmla="*/ 53 w 106"/>
                                <a:gd name="T3" fmla="*/ 105 h 105"/>
                                <a:gd name="T4" fmla="*/ 0 w 106"/>
                                <a:gd name="T5" fmla="*/ 2 h 105"/>
                                <a:gd name="T6" fmla="*/ 106 w 106"/>
                                <a:gd name="T7" fmla="*/ 0 h 105"/>
                              </a:gdLst>
                              <a:ahLst/>
                              <a:cxnLst>
                                <a:cxn ang="0">
                                  <a:pos x="T0" y="T1"/>
                                </a:cxn>
                                <a:cxn ang="0">
                                  <a:pos x="T2" y="T3"/>
                                </a:cxn>
                                <a:cxn ang="0">
                                  <a:pos x="T4" y="T5"/>
                                </a:cxn>
                                <a:cxn ang="0">
                                  <a:pos x="T6" y="T7"/>
                                </a:cxn>
                              </a:cxnLst>
                              <a:rect l="0" t="0" r="r" b="b"/>
                              <a:pathLst>
                                <a:path w="106" h="105">
                                  <a:moveTo>
                                    <a:pt x="106" y="0"/>
                                  </a:moveTo>
                                  <a:lnTo>
                                    <a:pt x="53" y="105"/>
                                  </a:lnTo>
                                  <a:lnTo>
                                    <a:pt x="0" y="2"/>
                                  </a:lnTo>
                                  <a:lnTo>
                                    <a:pt x="106"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 name="Rectangle 133"/>
                        <wps:cNvSpPr>
                          <a:spLocks noChangeArrowheads="1"/>
                        </wps:cNvSpPr>
                        <wps:spPr bwMode="auto">
                          <a:xfrm>
                            <a:off x="476690" y="1707134"/>
                            <a:ext cx="3578860" cy="26416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34"/>
                        <wps:cNvSpPr>
                          <a:spLocks noChangeArrowheads="1"/>
                        </wps:cNvSpPr>
                        <wps:spPr bwMode="auto">
                          <a:xfrm>
                            <a:off x="768790" y="1726184"/>
                            <a:ext cx="30988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Is contaminant &gt;2 years old? Apply ageing/leaching factor if available</w:t>
                              </w:r>
                            </w:p>
                          </w:txbxContent>
                        </wps:txbx>
                        <wps:bodyPr rot="0" vert="horz" wrap="square" lIns="0" tIns="0" rIns="0" bIns="0" anchor="t" anchorCtr="0" upright="1">
                          <a:spAutoFit/>
                        </wps:bodyPr>
                      </wps:wsp>
                      <wpg:wgp>
                        <wpg:cNvPr id="138" name="Group 135"/>
                        <wpg:cNvGrpSpPr>
                          <a:grpSpLocks/>
                        </wpg:cNvGrpSpPr>
                        <wpg:grpSpPr bwMode="auto">
                          <a:xfrm>
                            <a:off x="2028630" y="1977644"/>
                            <a:ext cx="64770" cy="157480"/>
                            <a:chOff x="3275" y="3191"/>
                            <a:chExt cx="102" cy="248"/>
                          </a:xfrm>
                        </wpg:grpSpPr>
                        <wps:wsp>
                          <wps:cNvPr id="139" name="Freeform 136"/>
                          <wps:cNvSpPr>
                            <a:spLocks noEditPoints="1"/>
                          </wps:cNvSpPr>
                          <wps:spPr bwMode="auto">
                            <a:xfrm>
                              <a:off x="3275" y="3191"/>
                              <a:ext cx="102" cy="248"/>
                            </a:xfrm>
                            <a:custGeom>
                              <a:avLst/>
                              <a:gdLst>
                                <a:gd name="T0" fmla="*/ 67 w 102"/>
                                <a:gd name="T1" fmla="*/ 0 h 248"/>
                                <a:gd name="T2" fmla="*/ 67 w 102"/>
                                <a:gd name="T3" fmla="*/ 160 h 248"/>
                                <a:gd name="T4" fmla="*/ 34 w 102"/>
                                <a:gd name="T5" fmla="*/ 160 h 248"/>
                                <a:gd name="T6" fmla="*/ 32 w 102"/>
                                <a:gd name="T7" fmla="*/ 0 h 248"/>
                                <a:gd name="T8" fmla="*/ 67 w 102"/>
                                <a:gd name="T9" fmla="*/ 0 h 248"/>
                                <a:gd name="T10" fmla="*/ 102 w 102"/>
                                <a:gd name="T11" fmla="*/ 143 h 248"/>
                                <a:gd name="T12" fmla="*/ 52 w 102"/>
                                <a:gd name="T13" fmla="*/ 248 h 248"/>
                                <a:gd name="T14" fmla="*/ 0 w 102"/>
                                <a:gd name="T15" fmla="*/ 145 h 248"/>
                                <a:gd name="T16" fmla="*/ 102 w 102"/>
                                <a:gd name="T17" fmla="*/ 143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248">
                                  <a:moveTo>
                                    <a:pt x="67" y="0"/>
                                  </a:moveTo>
                                  <a:lnTo>
                                    <a:pt x="67" y="160"/>
                                  </a:lnTo>
                                  <a:lnTo>
                                    <a:pt x="34" y="160"/>
                                  </a:lnTo>
                                  <a:lnTo>
                                    <a:pt x="32" y="0"/>
                                  </a:lnTo>
                                  <a:lnTo>
                                    <a:pt x="67" y="0"/>
                                  </a:lnTo>
                                  <a:close/>
                                  <a:moveTo>
                                    <a:pt x="102" y="143"/>
                                  </a:moveTo>
                                  <a:lnTo>
                                    <a:pt x="52" y="248"/>
                                  </a:lnTo>
                                  <a:lnTo>
                                    <a:pt x="0" y="145"/>
                                  </a:lnTo>
                                  <a:lnTo>
                                    <a:pt x="102" y="14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3307" y="3191"/>
                              <a:ext cx="35" cy="160"/>
                            </a:xfrm>
                            <a:custGeom>
                              <a:avLst/>
                              <a:gdLst>
                                <a:gd name="T0" fmla="*/ 35 w 35"/>
                                <a:gd name="T1" fmla="*/ 0 h 160"/>
                                <a:gd name="T2" fmla="*/ 35 w 35"/>
                                <a:gd name="T3" fmla="*/ 160 h 160"/>
                                <a:gd name="T4" fmla="*/ 2 w 35"/>
                                <a:gd name="T5" fmla="*/ 160 h 160"/>
                                <a:gd name="T6" fmla="*/ 0 w 35"/>
                                <a:gd name="T7" fmla="*/ 0 h 160"/>
                                <a:gd name="T8" fmla="*/ 35 w 35"/>
                                <a:gd name="T9" fmla="*/ 0 h 160"/>
                              </a:gdLst>
                              <a:ahLst/>
                              <a:cxnLst>
                                <a:cxn ang="0">
                                  <a:pos x="T0" y="T1"/>
                                </a:cxn>
                                <a:cxn ang="0">
                                  <a:pos x="T2" y="T3"/>
                                </a:cxn>
                                <a:cxn ang="0">
                                  <a:pos x="T4" y="T5"/>
                                </a:cxn>
                                <a:cxn ang="0">
                                  <a:pos x="T6" y="T7"/>
                                </a:cxn>
                                <a:cxn ang="0">
                                  <a:pos x="T8" y="T9"/>
                                </a:cxn>
                              </a:cxnLst>
                              <a:rect l="0" t="0" r="r" b="b"/>
                              <a:pathLst>
                                <a:path w="35" h="160">
                                  <a:moveTo>
                                    <a:pt x="35" y="0"/>
                                  </a:moveTo>
                                  <a:lnTo>
                                    <a:pt x="35" y="160"/>
                                  </a:lnTo>
                                  <a:lnTo>
                                    <a:pt x="2" y="160"/>
                                  </a:lnTo>
                                  <a:lnTo>
                                    <a:pt x="0" y="0"/>
                                  </a:lnTo>
                                  <a:lnTo>
                                    <a:pt x="35"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8"/>
                          <wps:cNvSpPr>
                            <a:spLocks/>
                          </wps:cNvSpPr>
                          <wps:spPr bwMode="auto">
                            <a:xfrm>
                              <a:off x="3275" y="3334"/>
                              <a:ext cx="102" cy="105"/>
                            </a:xfrm>
                            <a:custGeom>
                              <a:avLst/>
                              <a:gdLst>
                                <a:gd name="T0" fmla="*/ 102 w 102"/>
                                <a:gd name="T1" fmla="*/ 0 h 105"/>
                                <a:gd name="T2" fmla="*/ 52 w 102"/>
                                <a:gd name="T3" fmla="*/ 105 h 105"/>
                                <a:gd name="T4" fmla="*/ 0 w 102"/>
                                <a:gd name="T5" fmla="*/ 2 h 105"/>
                                <a:gd name="T6" fmla="*/ 102 w 102"/>
                                <a:gd name="T7" fmla="*/ 0 h 105"/>
                              </a:gdLst>
                              <a:ahLst/>
                              <a:cxnLst>
                                <a:cxn ang="0">
                                  <a:pos x="T0" y="T1"/>
                                </a:cxn>
                                <a:cxn ang="0">
                                  <a:pos x="T2" y="T3"/>
                                </a:cxn>
                                <a:cxn ang="0">
                                  <a:pos x="T4" y="T5"/>
                                </a:cxn>
                                <a:cxn ang="0">
                                  <a:pos x="T6" y="T7"/>
                                </a:cxn>
                              </a:cxnLst>
                              <a:rect l="0" t="0" r="r" b="b"/>
                              <a:pathLst>
                                <a:path w="102" h="105">
                                  <a:moveTo>
                                    <a:pt x="102" y="0"/>
                                  </a:moveTo>
                                  <a:lnTo>
                                    <a:pt x="52" y="105"/>
                                  </a:lnTo>
                                  <a:lnTo>
                                    <a:pt x="0" y="2"/>
                                  </a:lnTo>
                                  <a:lnTo>
                                    <a:pt x="102"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2" name="Rectangle 139"/>
                        <wps:cNvSpPr>
                          <a:spLocks noChangeArrowheads="1"/>
                        </wps:cNvSpPr>
                        <wps:spPr bwMode="auto">
                          <a:xfrm>
                            <a:off x="530665" y="4875784"/>
                            <a:ext cx="1321435" cy="32448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40"/>
                        <wps:cNvSpPr>
                          <a:spLocks noChangeArrowheads="1"/>
                        </wps:cNvSpPr>
                        <wps:spPr bwMode="auto">
                          <a:xfrm>
                            <a:off x="745295" y="4923409"/>
                            <a:ext cx="8743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Is data expressed as </w:t>
                              </w:r>
                            </w:p>
                          </w:txbxContent>
                        </wps:txbx>
                        <wps:bodyPr rot="0" vert="horz" wrap="square" lIns="0" tIns="0" rIns="0" bIns="0" anchor="t" anchorCtr="0" upright="1">
                          <a:spAutoFit/>
                        </wps:bodyPr>
                      </wps:wsp>
                      <wps:wsp>
                        <wps:cNvPr id="144" name="Rectangle 141"/>
                        <wps:cNvSpPr>
                          <a:spLocks noChangeArrowheads="1"/>
                        </wps:cNvSpPr>
                        <wps:spPr bwMode="auto">
                          <a:xfrm>
                            <a:off x="733865" y="5014214"/>
                            <a:ext cx="9061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added concentrations?</w:t>
                              </w:r>
                            </w:p>
                          </w:txbxContent>
                        </wps:txbx>
                        <wps:bodyPr rot="0" vert="horz" wrap="none" lIns="0" tIns="0" rIns="0" bIns="0" anchor="t" anchorCtr="0" upright="1">
                          <a:spAutoFit/>
                        </wps:bodyPr>
                      </wps:wsp>
                      <wps:wsp>
                        <wps:cNvPr id="145" name="Rectangle 142"/>
                        <wps:cNvSpPr>
                          <a:spLocks noChangeArrowheads="1"/>
                        </wps:cNvSpPr>
                        <wps:spPr bwMode="auto">
                          <a:xfrm>
                            <a:off x="1972750" y="4869434"/>
                            <a:ext cx="1320800" cy="32639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43"/>
                        <wps:cNvSpPr>
                          <a:spLocks noChangeArrowheads="1"/>
                        </wps:cNvSpPr>
                        <wps:spPr bwMode="auto">
                          <a:xfrm>
                            <a:off x="2227385" y="4923409"/>
                            <a:ext cx="804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Is data expressed as </w:t>
                              </w:r>
                            </w:p>
                          </w:txbxContent>
                        </wps:txbx>
                        <wps:bodyPr rot="0" vert="horz" wrap="none" lIns="0" tIns="0" rIns="0" bIns="0" anchor="t" anchorCtr="0" upright="1">
                          <a:spAutoFit/>
                        </wps:bodyPr>
                      </wps:wsp>
                      <wps:wsp>
                        <wps:cNvPr id="147" name="Rectangle 144"/>
                        <wps:cNvSpPr>
                          <a:spLocks noChangeArrowheads="1"/>
                        </wps:cNvSpPr>
                        <wps:spPr bwMode="auto">
                          <a:xfrm>
                            <a:off x="2175950" y="5016119"/>
                            <a:ext cx="9061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added concentrations?</w:t>
                              </w:r>
                            </w:p>
                          </w:txbxContent>
                        </wps:txbx>
                        <wps:bodyPr rot="0" vert="horz" wrap="none" lIns="0" tIns="0" rIns="0" bIns="0" anchor="t" anchorCtr="0" upright="1">
                          <a:spAutoFit/>
                        </wps:bodyPr>
                      </wps:wsp>
                      <wps:wsp>
                        <wps:cNvPr id="148" name="Line 145"/>
                        <wps:cNvCnPr/>
                        <wps:spPr bwMode="auto">
                          <a:xfrm>
                            <a:off x="632265" y="5221224"/>
                            <a:ext cx="635" cy="1743710"/>
                          </a:xfrm>
                          <a:prstGeom prst="line">
                            <a:avLst/>
                          </a:prstGeom>
                          <a:noFill/>
                          <a:ln w="35">
                            <a:solidFill>
                              <a:srgbClr val="FF0000"/>
                            </a:solidFill>
                            <a:round/>
                            <a:headEnd/>
                            <a:tailEnd/>
                          </a:ln>
                          <a:extLst>
                            <a:ext uri="{909E8E84-426E-40DD-AFC4-6F175D3DCCD1}">
                              <a14:hiddenFill xmlns:a14="http://schemas.microsoft.com/office/drawing/2010/main">
                                <a:noFill/>
                              </a14:hiddenFill>
                            </a:ext>
                          </a:extLst>
                        </wps:spPr>
                        <wps:bodyPr/>
                      </wps:wsp>
                      <wps:wsp>
                        <wps:cNvPr id="149" name="Rectangle 146"/>
                        <wps:cNvSpPr>
                          <a:spLocks noChangeArrowheads="1"/>
                        </wps:cNvSpPr>
                        <wps:spPr bwMode="auto">
                          <a:xfrm>
                            <a:off x="401125" y="5351399"/>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g:wgp>
                        <wpg:cNvPr id="150" name="Group 147"/>
                        <wpg:cNvGrpSpPr>
                          <a:grpSpLocks/>
                        </wpg:cNvGrpSpPr>
                        <wpg:grpSpPr bwMode="auto">
                          <a:xfrm>
                            <a:off x="827845" y="6325489"/>
                            <a:ext cx="2200275" cy="351155"/>
                            <a:chOff x="1384" y="10038"/>
                            <a:chExt cx="3465" cy="553"/>
                          </a:xfrm>
                        </wpg:grpSpPr>
                        <wps:wsp>
                          <wps:cNvPr id="151" name="Rectangle 148"/>
                          <wps:cNvSpPr>
                            <a:spLocks noChangeArrowheads="1"/>
                          </wps:cNvSpPr>
                          <wps:spPr bwMode="auto">
                            <a:xfrm>
                              <a:off x="1384" y="10038"/>
                              <a:ext cx="3465"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9"/>
                          <wps:cNvSpPr>
                            <a:spLocks noChangeArrowheads="1"/>
                          </wps:cNvSpPr>
                          <wps:spPr bwMode="auto">
                            <a:xfrm>
                              <a:off x="1384" y="10038"/>
                              <a:ext cx="3465" cy="553"/>
                            </a:xfrm>
                            <a:prstGeom prst="rect">
                              <a:avLst/>
                            </a:prstGeom>
                            <a:noFill/>
                            <a:ln w="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3" name="Rectangle 150"/>
                        <wps:cNvSpPr>
                          <a:spLocks noChangeArrowheads="1"/>
                        </wps:cNvSpPr>
                        <wps:spPr bwMode="auto">
                          <a:xfrm>
                            <a:off x="933890" y="6378829"/>
                            <a:ext cx="19697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Calculate the ambient background concentration </w:t>
                              </w:r>
                            </w:p>
                          </w:txbxContent>
                        </wps:txbx>
                        <wps:bodyPr rot="0" vert="horz" wrap="none" lIns="0" tIns="0" rIns="0" bIns="0" anchor="t" anchorCtr="0" upright="1">
                          <a:spAutoFit/>
                        </wps:bodyPr>
                      </wps:wsp>
                      <wps:wsp>
                        <wps:cNvPr id="154" name="Rectangle 151"/>
                        <wps:cNvSpPr>
                          <a:spLocks noChangeArrowheads="1"/>
                        </wps:cNvSpPr>
                        <wps:spPr bwMode="auto">
                          <a:xfrm>
                            <a:off x="1446335" y="6499479"/>
                            <a:ext cx="954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(ABC) and add to ACL</w:t>
                              </w:r>
                            </w:p>
                          </w:txbxContent>
                        </wps:txbx>
                        <wps:bodyPr rot="0" vert="horz" wrap="none" lIns="0" tIns="0" rIns="0" bIns="0" anchor="t" anchorCtr="0" upright="1">
                          <a:spAutoFit/>
                        </wps:bodyPr>
                      </wps:wsp>
                      <wps:wsp>
                        <wps:cNvPr id="155" name="Rectangle 152"/>
                        <wps:cNvSpPr>
                          <a:spLocks noChangeArrowheads="1"/>
                        </wps:cNvSpPr>
                        <wps:spPr bwMode="auto">
                          <a:xfrm>
                            <a:off x="1338385" y="5351399"/>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s:wsp>
                        <wps:cNvPr id="156" name="Rectangle 153"/>
                        <wps:cNvSpPr>
                          <a:spLocks noChangeArrowheads="1"/>
                        </wps:cNvSpPr>
                        <wps:spPr bwMode="auto">
                          <a:xfrm>
                            <a:off x="2541075" y="5351399"/>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g:wgp>
                        <wpg:cNvPr id="157" name="Group 154"/>
                        <wpg:cNvGrpSpPr>
                          <a:grpSpLocks/>
                        </wpg:cNvGrpSpPr>
                        <wpg:grpSpPr bwMode="auto">
                          <a:xfrm>
                            <a:off x="1234880" y="5219319"/>
                            <a:ext cx="66675" cy="305435"/>
                            <a:chOff x="2025" y="8296"/>
                            <a:chExt cx="105" cy="481"/>
                          </a:xfrm>
                        </wpg:grpSpPr>
                        <wps:wsp>
                          <wps:cNvPr id="158" name="Freeform 155"/>
                          <wps:cNvSpPr>
                            <a:spLocks noEditPoints="1"/>
                          </wps:cNvSpPr>
                          <wps:spPr bwMode="auto">
                            <a:xfrm>
                              <a:off x="2025" y="8296"/>
                              <a:ext cx="105" cy="481"/>
                            </a:xfrm>
                            <a:custGeom>
                              <a:avLst/>
                              <a:gdLst>
                                <a:gd name="T0" fmla="*/ 70 w 105"/>
                                <a:gd name="T1" fmla="*/ 3 h 481"/>
                                <a:gd name="T2" fmla="*/ 70 w 105"/>
                                <a:gd name="T3" fmla="*/ 394 h 481"/>
                                <a:gd name="T4" fmla="*/ 35 w 105"/>
                                <a:gd name="T5" fmla="*/ 394 h 481"/>
                                <a:gd name="T6" fmla="*/ 38 w 105"/>
                                <a:gd name="T7" fmla="*/ 0 h 481"/>
                                <a:gd name="T8" fmla="*/ 70 w 105"/>
                                <a:gd name="T9" fmla="*/ 3 h 481"/>
                                <a:gd name="T10" fmla="*/ 105 w 105"/>
                                <a:gd name="T11" fmla="*/ 379 h 481"/>
                                <a:gd name="T12" fmla="*/ 53 w 105"/>
                                <a:gd name="T13" fmla="*/ 481 h 481"/>
                                <a:gd name="T14" fmla="*/ 0 w 105"/>
                                <a:gd name="T15" fmla="*/ 376 h 481"/>
                                <a:gd name="T16" fmla="*/ 105 w 105"/>
                                <a:gd name="T17" fmla="*/ 379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481">
                                  <a:moveTo>
                                    <a:pt x="70" y="3"/>
                                  </a:moveTo>
                                  <a:lnTo>
                                    <a:pt x="70" y="394"/>
                                  </a:lnTo>
                                  <a:lnTo>
                                    <a:pt x="35" y="394"/>
                                  </a:lnTo>
                                  <a:lnTo>
                                    <a:pt x="38" y="0"/>
                                  </a:lnTo>
                                  <a:lnTo>
                                    <a:pt x="70" y="3"/>
                                  </a:lnTo>
                                  <a:close/>
                                  <a:moveTo>
                                    <a:pt x="105" y="379"/>
                                  </a:moveTo>
                                  <a:lnTo>
                                    <a:pt x="53" y="481"/>
                                  </a:lnTo>
                                  <a:lnTo>
                                    <a:pt x="0" y="376"/>
                                  </a:lnTo>
                                  <a:lnTo>
                                    <a:pt x="105" y="37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060" y="8296"/>
                              <a:ext cx="35" cy="394"/>
                            </a:xfrm>
                            <a:custGeom>
                              <a:avLst/>
                              <a:gdLst>
                                <a:gd name="T0" fmla="*/ 35 w 35"/>
                                <a:gd name="T1" fmla="*/ 3 h 394"/>
                                <a:gd name="T2" fmla="*/ 35 w 35"/>
                                <a:gd name="T3" fmla="*/ 394 h 394"/>
                                <a:gd name="T4" fmla="*/ 0 w 35"/>
                                <a:gd name="T5" fmla="*/ 394 h 394"/>
                                <a:gd name="T6" fmla="*/ 3 w 35"/>
                                <a:gd name="T7" fmla="*/ 0 h 394"/>
                                <a:gd name="T8" fmla="*/ 35 w 35"/>
                                <a:gd name="T9" fmla="*/ 3 h 394"/>
                              </a:gdLst>
                              <a:ahLst/>
                              <a:cxnLst>
                                <a:cxn ang="0">
                                  <a:pos x="T0" y="T1"/>
                                </a:cxn>
                                <a:cxn ang="0">
                                  <a:pos x="T2" y="T3"/>
                                </a:cxn>
                                <a:cxn ang="0">
                                  <a:pos x="T4" y="T5"/>
                                </a:cxn>
                                <a:cxn ang="0">
                                  <a:pos x="T6" y="T7"/>
                                </a:cxn>
                                <a:cxn ang="0">
                                  <a:pos x="T8" y="T9"/>
                                </a:cxn>
                              </a:cxnLst>
                              <a:rect l="0" t="0" r="r" b="b"/>
                              <a:pathLst>
                                <a:path w="35" h="394">
                                  <a:moveTo>
                                    <a:pt x="35" y="3"/>
                                  </a:moveTo>
                                  <a:lnTo>
                                    <a:pt x="35" y="394"/>
                                  </a:lnTo>
                                  <a:lnTo>
                                    <a:pt x="0" y="394"/>
                                  </a:lnTo>
                                  <a:lnTo>
                                    <a:pt x="3" y="0"/>
                                  </a:lnTo>
                                  <a:lnTo>
                                    <a:pt x="35" y="3"/>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7"/>
                          <wps:cNvSpPr>
                            <a:spLocks/>
                          </wps:cNvSpPr>
                          <wps:spPr bwMode="auto">
                            <a:xfrm>
                              <a:off x="2025" y="8672"/>
                              <a:ext cx="105" cy="105"/>
                            </a:xfrm>
                            <a:custGeom>
                              <a:avLst/>
                              <a:gdLst>
                                <a:gd name="T0" fmla="*/ 105 w 105"/>
                                <a:gd name="T1" fmla="*/ 3 h 105"/>
                                <a:gd name="T2" fmla="*/ 53 w 105"/>
                                <a:gd name="T3" fmla="*/ 105 h 105"/>
                                <a:gd name="T4" fmla="*/ 0 w 105"/>
                                <a:gd name="T5" fmla="*/ 0 h 105"/>
                                <a:gd name="T6" fmla="*/ 105 w 105"/>
                                <a:gd name="T7" fmla="*/ 3 h 105"/>
                              </a:gdLst>
                              <a:ahLst/>
                              <a:cxnLst>
                                <a:cxn ang="0">
                                  <a:pos x="T0" y="T1"/>
                                </a:cxn>
                                <a:cxn ang="0">
                                  <a:pos x="T2" y="T3"/>
                                </a:cxn>
                                <a:cxn ang="0">
                                  <a:pos x="T4" y="T5"/>
                                </a:cxn>
                                <a:cxn ang="0">
                                  <a:pos x="T6" y="T7"/>
                                </a:cxn>
                              </a:cxnLst>
                              <a:rect l="0" t="0" r="r" b="b"/>
                              <a:pathLst>
                                <a:path w="105" h="105">
                                  <a:moveTo>
                                    <a:pt x="105" y="3"/>
                                  </a:moveTo>
                                  <a:lnTo>
                                    <a:pt x="53" y="105"/>
                                  </a:lnTo>
                                  <a:lnTo>
                                    <a:pt x="0" y="0"/>
                                  </a:lnTo>
                                  <a:lnTo>
                                    <a:pt x="105" y="3"/>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1" name="Group 158"/>
                        <wpg:cNvGrpSpPr>
                          <a:grpSpLocks/>
                        </wpg:cNvGrpSpPr>
                        <wpg:grpSpPr bwMode="auto">
                          <a:xfrm>
                            <a:off x="2379785" y="5227574"/>
                            <a:ext cx="66675" cy="304165"/>
                            <a:chOff x="3828" y="8309"/>
                            <a:chExt cx="105" cy="479"/>
                          </a:xfrm>
                        </wpg:grpSpPr>
                        <wps:wsp>
                          <wps:cNvPr id="162" name="Freeform 159"/>
                          <wps:cNvSpPr>
                            <a:spLocks noEditPoints="1"/>
                          </wps:cNvSpPr>
                          <wps:spPr bwMode="auto">
                            <a:xfrm>
                              <a:off x="3828" y="8309"/>
                              <a:ext cx="105" cy="479"/>
                            </a:xfrm>
                            <a:custGeom>
                              <a:avLst/>
                              <a:gdLst>
                                <a:gd name="T0" fmla="*/ 70 w 105"/>
                                <a:gd name="T1" fmla="*/ 0 h 479"/>
                                <a:gd name="T2" fmla="*/ 70 w 105"/>
                                <a:gd name="T3" fmla="*/ 393 h 479"/>
                                <a:gd name="T4" fmla="*/ 35 w 105"/>
                                <a:gd name="T5" fmla="*/ 393 h 479"/>
                                <a:gd name="T6" fmla="*/ 35 w 105"/>
                                <a:gd name="T7" fmla="*/ 0 h 479"/>
                                <a:gd name="T8" fmla="*/ 70 w 105"/>
                                <a:gd name="T9" fmla="*/ 0 h 479"/>
                                <a:gd name="T10" fmla="*/ 105 w 105"/>
                                <a:gd name="T11" fmla="*/ 376 h 479"/>
                                <a:gd name="T12" fmla="*/ 52 w 105"/>
                                <a:gd name="T13" fmla="*/ 479 h 479"/>
                                <a:gd name="T14" fmla="*/ 0 w 105"/>
                                <a:gd name="T15" fmla="*/ 376 h 479"/>
                                <a:gd name="T16" fmla="*/ 105 w 105"/>
                                <a:gd name="T17" fmla="*/ 376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479">
                                  <a:moveTo>
                                    <a:pt x="70" y="0"/>
                                  </a:moveTo>
                                  <a:lnTo>
                                    <a:pt x="70" y="393"/>
                                  </a:lnTo>
                                  <a:lnTo>
                                    <a:pt x="35" y="393"/>
                                  </a:lnTo>
                                  <a:lnTo>
                                    <a:pt x="35" y="0"/>
                                  </a:lnTo>
                                  <a:lnTo>
                                    <a:pt x="70" y="0"/>
                                  </a:lnTo>
                                  <a:close/>
                                  <a:moveTo>
                                    <a:pt x="105" y="376"/>
                                  </a:moveTo>
                                  <a:lnTo>
                                    <a:pt x="52" y="479"/>
                                  </a:lnTo>
                                  <a:lnTo>
                                    <a:pt x="0" y="376"/>
                                  </a:lnTo>
                                  <a:lnTo>
                                    <a:pt x="105" y="37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60"/>
                          <wps:cNvSpPr>
                            <a:spLocks noChangeArrowheads="1"/>
                          </wps:cNvSpPr>
                          <wps:spPr bwMode="auto">
                            <a:xfrm>
                              <a:off x="3863" y="8309"/>
                              <a:ext cx="35" cy="393"/>
                            </a:xfrm>
                            <a:prstGeom prst="rect">
                              <a:avLst/>
                            </a:pr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1"/>
                          <wps:cNvSpPr>
                            <a:spLocks/>
                          </wps:cNvSpPr>
                          <wps:spPr bwMode="auto">
                            <a:xfrm>
                              <a:off x="3828" y="8685"/>
                              <a:ext cx="105" cy="103"/>
                            </a:xfrm>
                            <a:custGeom>
                              <a:avLst/>
                              <a:gdLst>
                                <a:gd name="T0" fmla="*/ 105 w 105"/>
                                <a:gd name="T1" fmla="*/ 0 h 103"/>
                                <a:gd name="T2" fmla="*/ 52 w 105"/>
                                <a:gd name="T3" fmla="*/ 103 h 103"/>
                                <a:gd name="T4" fmla="*/ 0 w 105"/>
                                <a:gd name="T5" fmla="*/ 0 h 103"/>
                                <a:gd name="T6" fmla="*/ 105 w 105"/>
                                <a:gd name="T7" fmla="*/ 0 h 103"/>
                              </a:gdLst>
                              <a:ahLst/>
                              <a:cxnLst>
                                <a:cxn ang="0">
                                  <a:pos x="T0" y="T1"/>
                                </a:cxn>
                                <a:cxn ang="0">
                                  <a:pos x="T2" y="T3"/>
                                </a:cxn>
                                <a:cxn ang="0">
                                  <a:pos x="T4" y="T5"/>
                                </a:cxn>
                                <a:cxn ang="0">
                                  <a:pos x="T6" y="T7"/>
                                </a:cxn>
                              </a:cxnLst>
                              <a:rect l="0" t="0" r="r" b="b"/>
                              <a:pathLst>
                                <a:path w="105" h="103">
                                  <a:moveTo>
                                    <a:pt x="105" y="0"/>
                                  </a:moveTo>
                                  <a:lnTo>
                                    <a:pt x="52" y="103"/>
                                  </a:lnTo>
                                  <a:lnTo>
                                    <a:pt x="0" y="0"/>
                                  </a:lnTo>
                                  <a:lnTo>
                                    <a:pt x="105"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Line 162"/>
                        <wps:cNvCnPr/>
                        <wps:spPr bwMode="auto">
                          <a:xfrm>
                            <a:off x="3184330" y="5205349"/>
                            <a:ext cx="635" cy="1743710"/>
                          </a:xfrm>
                          <a:prstGeom prst="line">
                            <a:avLst/>
                          </a:prstGeom>
                          <a:noFill/>
                          <a:ln w="35">
                            <a:solidFill>
                              <a:srgbClr val="FF0000"/>
                            </a:solidFill>
                            <a:round/>
                            <a:headEnd/>
                            <a:tailEnd/>
                          </a:ln>
                          <a:extLst>
                            <a:ext uri="{909E8E84-426E-40DD-AFC4-6F175D3DCCD1}">
                              <a14:hiddenFill xmlns:a14="http://schemas.microsoft.com/office/drawing/2010/main">
                                <a:noFill/>
                              </a14:hiddenFill>
                            </a:ext>
                          </a:extLst>
                        </wps:spPr>
                        <wps:bodyPr/>
                      </wps:wsp>
                      <wps:wsp>
                        <wps:cNvPr id="166" name="Rectangle 163"/>
                        <wps:cNvSpPr>
                          <a:spLocks noChangeArrowheads="1"/>
                        </wps:cNvSpPr>
                        <wps:spPr bwMode="auto">
                          <a:xfrm>
                            <a:off x="3276405" y="5343779"/>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g:wgp>
                        <wpg:cNvPr id="167" name="Group 164"/>
                        <wpg:cNvGrpSpPr>
                          <a:grpSpLocks/>
                        </wpg:cNvGrpSpPr>
                        <wpg:grpSpPr bwMode="auto">
                          <a:xfrm>
                            <a:off x="1234880" y="6054979"/>
                            <a:ext cx="66675" cy="235585"/>
                            <a:chOff x="2025" y="9612"/>
                            <a:chExt cx="105" cy="371"/>
                          </a:xfrm>
                        </wpg:grpSpPr>
                        <wps:wsp>
                          <wps:cNvPr id="168" name="Freeform 165"/>
                          <wps:cNvSpPr>
                            <a:spLocks noEditPoints="1"/>
                          </wps:cNvSpPr>
                          <wps:spPr bwMode="auto">
                            <a:xfrm>
                              <a:off x="2025" y="9612"/>
                              <a:ext cx="105" cy="371"/>
                            </a:xfrm>
                            <a:custGeom>
                              <a:avLst/>
                              <a:gdLst>
                                <a:gd name="T0" fmla="*/ 70 w 105"/>
                                <a:gd name="T1" fmla="*/ 0 h 371"/>
                                <a:gd name="T2" fmla="*/ 70 w 105"/>
                                <a:gd name="T3" fmla="*/ 283 h 371"/>
                                <a:gd name="T4" fmla="*/ 35 w 105"/>
                                <a:gd name="T5" fmla="*/ 283 h 371"/>
                                <a:gd name="T6" fmla="*/ 38 w 105"/>
                                <a:gd name="T7" fmla="*/ 0 h 371"/>
                                <a:gd name="T8" fmla="*/ 70 w 105"/>
                                <a:gd name="T9" fmla="*/ 0 h 371"/>
                                <a:gd name="T10" fmla="*/ 105 w 105"/>
                                <a:gd name="T11" fmla="*/ 268 h 371"/>
                                <a:gd name="T12" fmla="*/ 53 w 105"/>
                                <a:gd name="T13" fmla="*/ 371 h 371"/>
                                <a:gd name="T14" fmla="*/ 0 w 105"/>
                                <a:gd name="T15" fmla="*/ 268 h 371"/>
                                <a:gd name="T16" fmla="*/ 105 w 105"/>
                                <a:gd name="T17" fmla="*/ 268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71">
                                  <a:moveTo>
                                    <a:pt x="70" y="0"/>
                                  </a:moveTo>
                                  <a:lnTo>
                                    <a:pt x="70" y="283"/>
                                  </a:lnTo>
                                  <a:lnTo>
                                    <a:pt x="35" y="283"/>
                                  </a:lnTo>
                                  <a:lnTo>
                                    <a:pt x="38" y="0"/>
                                  </a:lnTo>
                                  <a:lnTo>
                                    <a:pt x="70" y="0"/>
                                  </a:lnTo>
                                  <a:close/>
                                  <a:moveTo>
                                    <a:pt x="105" y="268"/>
                                  </a:moveTo>
                                  <a:lnTo>
                                    <a:pt x="53" y="371"/>
                                  </a:lnTo>
                                  <a:lnTo>
                                    <a:pt x="0" y="268"/>
                                  </a:lnTo>
                                  <a:lnTo>
                                    <a:pt x="105" y="26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6"/>
                          <wps:cNvSpPr>
                            <a:spLocks/>
                          </wps:cNvSpPr>
                          <wps:spPr bwMode="auto">
                            <a:xfrm>
                              <a:off x="2060" y="9612"/>
                              <a:ext cx="35" cy="283"/>
                            </a:xfrm>
                            <a:custGeom>
                              <a:avLst/>
                              <a:gdLst>
                                <a:gd name="T0" fmla="*/ 35 w 35"/>
                                <a:gd name="T1" fmla="*/ 0 h 283"/>
                                <a:gd name="T2" fmla="*/ 35 w 35"/>
                                <a:gd name="T3" fmla="*/ 283 h 283"/>
                                <a:gd name="T4" fmla="*/ 0 w 35"/>
                                <a:gd name="T5" fmla="*/ 283 h 283"/>
                                <a:gd name="T6" fmla="*/ 3 w 35"/>
                                <a:gd name="T7" fmla="*/ 0 h 283"/>
                                <a:gd name="T8" fmla="*/ 35 w 35"/>
                                <a:gd name="T9" fmla="*/ 0 h 283"/>
                              </a:gdLst>
                              <a:ahLst/>
                              <a:cxnLst>
                                <a:cxn ang="0">
                                  <a:pos x="T0" y="T1"/>
                                </a:cxn>
                                <a:cxn ang="0">
                                  <a:pos x="T2" y="T3"/>
                                </a:cxn>
                                <a:cxn ang="0">
                                  <a:pos x="T4" y="T5"/>
                                </a:cxn>
                                <a:cxn ang="0">
                                  <a:pos x="T6" y="T7"/>
                                </a:cxn>
                                <a:cxn ang="0">
                                  <a:pos x="T8" y="T9"/>
                                </a:cxn>
                              </a:cxnLst>
                              <a:rect l="0" t="0" r="r" b="b"/>
                              <a:pathLst>
                                <a:path w="35" h="283">
                                  <a:moveTo>
                                    <a:pt x="35" y="0"/>
                                  </a:moveTo>
                                  <a:lnTo>
                                    <a:pt x="35" y="283"/>
                                  </a:lnTo>
                                  <a:lnTo>
                                    <a:pt x="0" y="283"/>
                                  </a:lnTo>
                                  <a:lnTo>
                                    <a:pt x="3" y="0"/>
                                  </a:lnTo>
                                  <a:lnTo>
                                    <a:pt x="35"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7"/>
                          <wps:cNvSpPr>
                            <a:spLocks/>
                          </wps:cNvSpPr>
                          <wps:spPr bwMode="auto">
                            <a:xfrm>
                              <a:off x="2025" y="9880"/>
                              <a:ext cx="105" cy="103"/>
                            </a:xfrm>
                            <a:custGeom>
                              <a:avLst/>
                              <a:gdLst>
                                <a:gd name="T0" fmla="*/ 105 w 105"/>
                                <a:gd name="T1" fmla="*/ 0 h 103"/>
                                <a:gd name="T2" fmla="*/ 53 w 105"/>
                                <a:gd name="T3" fmla="*/ 103 h 103"/>
                                <a:gd name="T4" fmla="*/ 0 w 105"/>
                                <a:gd name="T5" fmla="*/ 0 h 103"/>
                                <a:gd name="T6" fmla="*/ 105 w 105"/>
                                <a:gd name="T7" fmla="*/ 0 h 103"/>
                              </a:gdLst>
                              <a:ahLst/>
                              <a:cxnLst>
                                <a:cxn ang="0">
                                  <a:pos x="T0" y="T1"/>
                                </a:cxn>
                                <a:cxn ang="0">
                                  <a:pos x="T2" y="T3"/>
                                </a:cxn>
                                <a:cxn ang="0">
                                  <a:pos x="T4" y="T5"/>
                                </a:cxn>
                                <a:cxn ang="0">
                                  <a:pos x="T6" y="T7"/>
                                </a:cxn>
                              </a:cxnLst>
                              <a:rect l="0" t="0" r="r" b="b"/>
                              <a:pathLst>
                                <a:path w="105" h="103">
                                  <a:moveTo>
                                    <a:pt x="105" y="0"/>
                                  </a:moveTo>
                                  <a:lnTo>
                                    <a:pt x="53" y="103"/>
                                  </a:lnTo>
                                  <a:lnTo>
                                    <a:pt x="0" y="0"/>
                                  </a:lnTo>
                                  <a:lnTo>
                                    <a:pt x="105"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1" name="Group 168"/>
                        <wpg:cNvGrpSpPr>
                          <a:grpSpLocks/>
                        </wpg:cNvGrpSpPr>
                        <wpg:grpSpPr bwMode="auto">
                          <a:xfrm>
                            <a:off x="2475035" y="6193409"/>
                            <a:ext cx="66675" cy="125730"/>
                            <a:chOff x="3978" y="9830"/>
                            <a:chExt cx="105" cy="198"/>
                          </a:xfrm>
                        </wpg:grpSpPr>
                        <wps:wsp>
                          <wps:cNvPr id="172" name="Freeform 169"/>
                          <wps:cNvSpPr>
                            <a:spLocks noEditPoints="1"/>
                          </wps:cNvSpPr>
                          <wps:spPr bwMode="auto">
                            <a:xfrm>
                              <a:off x="3978" y="9830"/>
                              <a:ext cx="105" cy="198"/>
                            </a:xfrm>
                            <a:custGeom>
                              <a:avLst/>
                              <a:gdLst>
                                <a:gd name="T0" fmla="*/ 70 w 105"/>
                                <a:gd name="T1" fmla="*/ 2 h 198"/>
                                <a:gd name="T2" fmla="*/ 70 w 105"/>
                                <a:gd name="T3" fmla="*/ 110 h 198"/>
                                <a:gd name="T4" fmla="*/ 35 w 105"/>
                                <a:gd name="T5" fmla="*/ 110 h 198"/>
                                <a:gd name="T6" fmla="*/ 35 w 105"/>
                                <a:gd name="T7" fmla="*/ 0 h 198"/>
                                <a:gd name="T8" fmla="*/ 70 w 105"/>
                                <a:gd name="T9" fmla="*/ 2 h 198"/>
                                <a:gd name="T10" fmla="*/ 105 w 105"/>
                                <a:gd name="T11" fmla="*/ 92 h 198"/>
                                <a:gd name="T12" fmla="*/ 52 w 105"/>
                                <a:gd name="T13" fmla="*/ 198 h 198"/>
                                <a:gd name="T14" fmla="*/ 0 w 105"/>
                                <a:gd name="T15" fmla="*/ 92 h 198"/>
                                <a:gd name="T16" fmla="*/ 105 w 105"/>
                                <a:gd name="T17" fmla="*/ 9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98">
                                  <a:moveTo>
                                    <a:pt x="70" y="2"/>
                                  </a:moveTo>
                                  <a:lnTo>
                                    <a:pt x="70" y="110"/>
                                  </a:lnTo>
                                  <a:lnTo>
                                    <a:pt x="35" y="110"/>
                                  </a:lnTo>
                                  <a:lnTo>
                                    <a:pt x="35" y="0"/>
                                  </a:lnTo>
                                  <a:lnTo>
                                    <a:pt x="70" y="2"/>
                                  </a:lnTo>
                                  <a:close/>
                                  <a:moveTo>
                                    <a:pt x="105" y="92"/>
                                  </a:moveTo>
                                  <a:lnTo>
                                    <a:pt x="52" y="198"/>
                                  </a:lnTo>
                                  <a:lnTo>
                                    <a:pt x="0" y="92"/>
                                  </a:lnTo>
                                  <a:lnTo>
                                    <a:pt x="105" y="9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0"/>
                          <wps:cNvSpPr>
                            <a:spLocks/>
                          </wps:cNvSpPr>
                          <wps:spPr bwMode="auto">
                            <a:xfrm>
                              <a:off x="4013" y="9830"/>
                              <a:ext cx="35" cy="110"/>
                            </a:xfrm>
                            <a:custGeom>
                              <a:avLst/>
                              <a:gdLst>
                                <a:gd name="T0" fmla="*/ 35 w 35"/>
                                <a:gd name="T1" fmla="*/ 2 h 110"/>
                                <a:gd name="T2" fmla="*/ 35 w 35"/>
                                <a:gd name="T3" fmla="*/ 110 h 110"/>
                                <a:gd name="T4" fmla="*/ 0 w 35"/>
                                <a:gd name="T5" fmla="*/ 110 h 110"/>
                                <a:gd name="T6" fmla="*/ 0 w 35"/>
                                <a:gd name="T7" fmla="*/ 0 h 110"/>
                                <a:gd name="T8" fmla="*/ 35 w 35"/>
                                <a:gd name="T9" fmla="*/ 2 h 110"/>
                              </a:gdLst>
                              <a:ahLst/>
                              <a:cxnLst>
                                <a:cxn ang="0">
                                  <a:pos x="T0" y="T1"/>
                                </a:cxn>
                                <a:cxn ang="0">
                                  <a:pos x="T2" y="T3"/>
                                </a:cxn>
                                <a:cxn ang="0">
                                  <a:pos x="T4" y="T5"/>
                                </a:cxn>
                                <a:cxn ang="0">
                                  <a:pos x="T6" y="T7"/>
                                </a:cxn>
                                <a:cxn ang="0">
                                  <a:pos x="T8" y="T9"/>
                                </a:cxn>
                              </a:cxnLst>
                              <a:rect l="0" t="0" r="r" b="b"/>
                              <a:pathLst>
                                <a:path w="35" h="110">
                                  <a:moveTo>
                                    <a:pt x="35" y="2"/>
                                  </a:moveTo>
                                  <a:lnTo>
                                    <a:pt x="35" y="110"/>
                                  </a:lnTo>
                                  <a:lnTo>
                                    <a:pt x="0" y="110"/>
                                  </a:lnTo>
                                  <a:lnTo>
                                    <a:pt x="0" y="0"/>
                                  </a:lnTo>
                                  <a:lnTo>
                                    <a:pt x="35" y="2"/>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1"/>
                          <wps:cNvSpPr>
                            <a:spLocks/>
                          </wps:cNvSpPr>
                          <wps:spPr bwMode="auto">
                            <a:xfrm>
                              <a:off x="3978" y="9922"/>
                              <a:ext cx="105" cy="106"/>
                            </a:xfrm>
                            <a:custGeom>
                              <a:avLst/>
                              <a:gdLst>
                                <a:gd name="T0" fmla="*/ 105 w 105"/>
                                <a:gd name="T1" fmla="*/ 0 h 106"/>
                                <a:gd name="T2" fmla="*/ 52 w 105"/>
                                <a:gd name="T3" fmla="*/ 106 h 106"/>
                                <a:gd name="T4" fmla="*/ 0 w 105"/>
                                <a:gd name="T5" fmla="*/ 0 h 106"/>
                                <a:gd name="T6" fmla="*/ 105 w 105"/>
                                <a:gd name="T7" fmla="*/ 0 h 106"/>
                              </a:gdLst>
                              <a:ahLst/>
                              <a:cxnLst>
                                <a:cxn ang="0">
                                  <a:pos x="T0" y="T1"/>
                                </a:cxn>
                                <a:cxn ang="0">
                                  <a:pos x="T2" y="T3"/>
                                </a:cxn>
                                <a:cxn ang="0">
                                  <a:pos x="T4" y="T5"/>
                                </a:cxn>
                                <a:cxn ang="0">
                                  <a:pos x="T6" y="T7"/>
                                </a:cxn>
                              </a:cxnLst>
                              <a:rect l="0" t="0" r="r" b="b"/>
                              <a:pathLst>
                                <a:path w="105" h="106">
                                  <a:moveTo>
                                    <a:pt x="105" y="0"/>
                                  </a:moveTo>
                                  <a:lnTo>
                                    <a:pt x="52" y="106"/>
                                  </a:lnTo>
                                  <a:lnTo>
                                    <a:pt x="0" y="0"/>
                                  </a:lnTo>
                                  <a:lnTo>
                                    <a:pt x="105"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5" name="Group 172"/>
                        <wpg:cNvGrpSpPr>
                          <a:grpSpLocks/>
                        </wpg:cNvGrpSpPr>
                        <wpg:grpSpPr bwMode="auto">
                          <a:xfrm>
                            <a:off x="2794440" y="6918579"/>
                            <a:ext cx="402590" cy="59055"/>
                            <a:chOff x="4481" y="10972"/>
                            <a:chExt cx="634" cy="93"/>
                          </a:xfrm>
                        </wpg:grpSpPr>
                        <wps:wsp>
                          <wps:cNvPr id="176" name="Freeform 173"/>
                          <wps:cNvSpPr>
                            <a:spLocks noEditPoints="1"/>
                          </wps:cNvSpPr>
                          <wps:spPr bwMode="auto">
                            <a:xfrm>
                              <a:off x="4481" y="10972"/>
                              <a:ext cx="634" cy="93"/>
                            </a:xfrm>
                            <a:custGeom>
                              <a:avLst/>
                              <a:gdLst>
                                <a:gd name="T0" fmla="*/ 634 w 634"/>
                                <a:gd name="T1" fmla="*/ 63 h 93"/>
                                <a:gd name="T2" fmla="*/ 75 w 634"/>
                                <a:gd name="T3" fmla="*/ 63 h 93"/>
                                <a:gd name="T4" fmla="*/ 75 w 634"/>
                                <a:gd name="T5" fmla="*/ 33 h 93"/>
                                <a:gd name="T6" fmla="*/ 631 w 634"/>
                                <a:gd name="T7" fmla="*/ 30 h 93"/>
                                <a:gd name="T8" fmla="*/ 634 w 634"/>
                                <a:gd name="T9" fmla="*/ 63 h 93"/>
                                <a:gd name="T10" fmla="*/ 93 w 634"/>
                                <a:gd name="T11" fmla="*/ 93 h 93"/>
                                <a:gd name="T12" fmla="*/ 0 w 634"/>
                                <a:gd name="T13" fmla="*/ 48 h 93"/>
                                <a:gd name="T14" fmla="*/ 93 w 634"/>
                                <a:gd name="T15" fmla="*/ 0 h 93"/>
                                <a:gd name="T16" fmla="*/ 93 w 634"/>
                                <a:gd name="T17"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4" h="93">
                                  <a:moveTo>
                                    <a:pt x="634" y="63"/>
                                  </a:moveTo>
                                  <a:lnTo>
                                    <a:pt x="75" y="63"/>
                                  </a:lnTo>
                                  <a:lnTo>
                                    <a:pt x="75" y="33"/>
                                  </a:lnTo>
                                  <a:lnTo>
                                    <a:pt x="631" y="30"/>
                                  </a:lnTo>
                                  <a:lnTo>
                                    <a:pt x="634" y="63"/>
                                  </a:lnTo>
                                  <a:close/>
                                  <a:moveTo>
                                    <a:pt x="93" y="93"/>
                                  </a:moveTo>
                                  <a:lnTo>
                                    <a:pt x="0" y="48"/>
                                  </a:lnTo>
                                  <a:lnTo>
                                    <a:pt x="93" y="0"/>
                                  </a:lnTo>
                                  <a:lnTo>
                                    <a:pt x="93"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4"/>
                          <wps:cNvSpPr>
                            <a:spLocks/>
                          </wps:cNvSpPr>
                          <wps:spPr bwMode="auto">
                            <a:xfrm>
                              <a:off x="4556" y="11002"/>
                              <a:ext cx="559" cy="33"/>
                            </a:xfrm>
                            <a:custGeom>
                              <a:avLst/>
                              <a:gdLst>
                                <a:gd name="T0" fmla="*/ 559 w 559"/>
                                <a:gd name="T1" fmla="*/ 33 h 33"/>
                                <a:gd name="T2" fmla="*/ 0 w 559"/>
                                <a:gd name="T3" fmla="*/ 33 h 33"/>
                                <a:gd name="T4" fmla="*/ 0 w 559"/>
                                <a:gd name="T5" fmla="*/ 3 h 33"/>
                                <a:gd name="T6" fmla="*/ 556 w 559"/>
                                <a:gd name="T7" fmla="*/ 0 h 33"/>
                                <a:gd name="T8" fmla="*/ 559 w 559"/>
                                <a:gd name="T9" fmla="*/ 33 h 33"/>
                              </a:gdLst>
                              <a:ahLst/>
                              <a:cxnLst>
                                <a:cxn ang="0">
                                  <a:pos x="T0" y="T1"/>
                                </a:cxn>
                                <a:cxn ang="0">
                                  <a:pos x="T2" y="T3"/>
                                </a:cxn>
                                <a:cxn ang="0">
                                  <a:pos x="T4" y="T5"/>
                                </a:cxn>
                                <a:cxn ang="0">
                                  <a:pos x="T6" y="T7"/>
                                </a:cxn>
                                <a:cxn ang="0">
                                  <a:pos x="T8" y="T9"/>
                                </a:cxn>
                              </a:cxnLst>
                              <a:rect l="0" t="0" r="r" b="b"/>
                              <a:pathLst>
                                <a:path w="559" h="33">
                                  <a:moveTo>
                                    <a:pt x="559" y="33"/>
                                  </a:moveTo>
                                  <a:lnTo>
                                    <a:pt x="0" y="33"/>
                                  </a:lnTo>
                                  <a:lnTo>
                                    <a:pt x="0" y="3"/>
                                  </a:lnTo>
                                  <a:lnTo>
                                    <a:pt x="556" y="0"/>
                                  </a:lnTo>
                                  <a:lnTo>
                                    <a:pt x="559" y="33"/>
                                  </a:lnTo>
                                  <a:close/>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5"/>
                          <wps:cNvSpPr>
                            <a:spLocks/>
                          </wps:cNvSpPr>
                          <wps:spPr bwMode="auto">
                            <a:xfrm>
                              <a:off x="4481" y="10972"/>
                              <a:ext cx="93" cy="93"/>
                            </a:xfrm>
                            <a:custGeom>
                              <a:avLst/>
                              <a:gdLst>
                                <a:gd name="T0" fmla="*/ 93 w 93"/>
                                <a:gd name="T1" fmla="*/ 93 h 93"/>
                                <a:gd name="T2" fmla="*/ 0 w 93"/>
                                <a:gd name="T3" fmla="*/ 48 h 93"/>
                                <a:gd name="T4" fmla="*/ 93 w 93"/>
                                <a:gd name="T5" fmla="*/ 0 h 93"/>
                                <a:gd name="T6" fmla="*/ 93 w 93"/>
                                <a:gd name="T7" fmla="*/ 93 h 93"/>
                              </a:gdLst>
                              <a:ahLst/>
                              <a:cxnLst>
                                <a:cxn ang="0">
                                  <a:pos x="T0" y="T1"/>
                                </a:cxn>
                                <a:cxn ang="0">
                                  <a:pos x="T2" y="T3"/>
                                </a:cxn>
                                <a:cxn ang="0">
                                  <a:pos x="T4" y="T5"/>
                                </a:cxn>
                                <a:cxn ang="0">
                                  <a:pos x="T6" y="T7"/>
                                </a:cxn>
                              </a:cxnLst>
                              <a:rect l="0" t="0" r="r" b="b"/>
                              <a:pathLst>
                                <a:path w="93" h="93">
                                  <a:moveTo>
                                    <a:pt x="93" y="93"/>
                                  </a:moveTo>
                                  <a:lnTo>
                                    <a:pt x="0" y="48"/>
                                  </a:lnTo>
                                  <a:lnTo>
                                    <a:pt x="93" y="0"/>
                                  </a:lnTo>
                                  <a:lnTo>
                                    <a:pt x="93" y="93"/>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9" name="Group 176"/>
                        <wpg:cNvGrpSpPr>
                          <a:grpSpLocks/>
                        </wpg:cNvGrpSpPr>
                        <wpg:grpSpPr bwMode="auto">
                          <a:xfrm>
                            <a:off x="622740" y="6949059"/>
                            <a:ext cx="265430" cy="58420"/>
                            <a:chOff x="1061" y="11020"/>
                            <a:chExt cx="418" cy="92"/>
                          </a:xfrm>
                        </wpg:grpSpPr>
                        <wps:wsp>
                          <wps:cNvPr id="180" name="Freeform 177"/>
                          <wps:cNvSpPr>
                            <a:spLocks noEditPoints="1"/>
                          </wps:cNvSpPr>
                          <wps:spPr bwMode="auto">
                            <a:xfrm>
                              <a:off x="1061" y="11020"/>
                              <a:ext cx="418" cy="92"/>
                            </a:xfrm>
                            <a:custGeom>
                              <a:avLst/>
                              <a:gdLst>
                                <a:gd name="T0" fmla="*/ 0 w 418"/>
                                <a:gd name="T1" fmla="*/ 30 h 92"/>
                                <a:gd name="T2" fmla="*/ 343 w 418"/>
                                <a:gd name="T3" fmla="*/ 30 h 92"/>
                                <a:gd name="T4" fmla="*/ 343 w 418"/>
                                <a:gd name="T5" fmla="*/ 60 h 92"/>
                                <a:gd name="T6" fmla="*/ 0 w 418"/>
                                <a:gd name="T7" fmla="*/ 60 h 92"/>
                                <a:gd name="T8" fmla="*/ 0 w 418"/>
                                <a:gd name="T9" fmla="*/ 30 h 92"/>
                                <a:gd name="T10" fmla="*/ 328 w 418"/>
                                <a:gd name="T11" fmla="*/ 0 h 92"/>
                                <a:gd name="T12" fmla="*/ 418 w 418"/>
                                <a:gd name="T13" fmla="*/ 45 h 92"/>
                                <a:gd name="T14" fmla="*/ 328 w 418"/>
                                <a:gd name="T15" fmla="*/ 92 h 92"/>
                                <a:gd name="T16" fmla="*/ 328 w 418"/>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 h="92">
                                  <a:moveTo>
                                    <a:pt x="0" y="30"/>
                                  </a:moveTo>
                                  <a:lnTo>
                                    <a:pt x="343" y="30"/>
                                  </a:lnTo>
                                  <a:lnTo>
                                    <a:pt x="343" y="60"/>
                                  </a:lnTo>
                                  <a:lnTo>
                                    <a:pt x="0" y="60"/>
                                  </a:lnTo>
                                  <a:lnTo>
                                    <a:pt x="0" y="30"/>
                                  </a:lnTo>
                                  <a:close/>
                                  <a:moveTo>
                                    <a:pt x="328" y="0"/>
                                  </a:moveTo>
                                  <a:lnTo>
                                    <a:pt x="418" y="45"/>
                                  </a:lnTo>
                                  <a:lnTo>
                                    <a:pt x="328" y="92"/>
                                  </a:lnTo>
                                  <a:lnTo>
                                    <a:pt x="3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178"/>
                          <wps:cNvSpPr>
                            <a:spLocks noChangeArrowheads="1"/>
                          </wps:cNvSpPr>
                          <wps:spPr bwMode="auto">
                            <a:xfrm>
                              <a:off x="1061" y="11050"/>
                              <a:ext cx="343" cy="30"/>
                            </a:xfrm>
                            <a:prstGeom prst="rect">
                              <a:avLst/>
                            </a:pr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9"/>
                          <wps:cNvSpPr>
                            <a:spLocks/>
                          </wps:cNvSpPr>
                          <wps:spPr bwMode="auto">
                            <a:xfrm>
                              <a:off x="1389" y="11020"/>
                              <a:ext cx="90" cy="92"/>
                            </a:xfrm>
                            <a:custGeom>
                              <a:avLst/>
                              <a:gdLst>
                                <a:gd name="T0" fmla="*/ 0 w 90"/>
                                <a:gd name="T1" fmla="*/ 0 h 92"/>
                                <a:gd name="T2" fmla="*/ 90 w 90"/>
                                <a:gd name="T3" fmla="*/ 45 h 92"/>
                                <a:gd name="T4" fmla="*/ 0 w 90"/>
                                <a:gd name="T5" fmla="*/ 92 h 92"/>
                                <a:gd name="T6" fmla="*/ 0 w 90"/>
                                <a:gd name="T7" fmla="*/ 0 h 92"/>
                              </a:gdLst>
                              <a:ahLst/>
                              <a:cxnLst>
                                <a:cxn ang="0">
                                  <a:pos x="T0" y="T1"/>
                                </a:cxn>
                                <a:cxn ang="0">
                                  <a:pos x="T2" y="T3"/>
                                </a:cxn>
                                <a:cxn ang="0">
                                  <a:pos x="T4" y="T5"/>
                                </a:cxn>
                                <a:cxn ang="0">
                                  <a:pos x="T6" y="T7"/>
                                </a:cxn>
                              </a:cxnLst>
                              <a:rect l="0" t="0" r="r" b="b"/>
                              <a:pathLst>
                                <a:path w="90" h="92">
                                  <a:moveTo>
                                    <a:pt x="0" y="0"/>
                                  </a:moveTo>
                                  <a:lnTo>
                                    <a:pt x="90" y="45"/>
                                  </a:lnTo>
                                  <a:lnTo>
                                    <a:pt x="0" y="92"/>
                                  </a:lnTo>
                                  <a:lnTo>
                                    <a:pt x="0"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3" name="Rectangle 180"/>
                        <wps:cNvSpPr>
                          <a:spLocks noChangeArrowheads="1"/>
                        </wps:cNvSpPr>
                        <wps:spPr bwMode="auto">
                          <a:xfrm>
                            <a:off x="947225" y="6918579"/>
                            <a:ext cx="180276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1"/>
                        <wps:cNvSpPr>
                          <a:spLocks noChangeArrowheads="1"/>
                        </wps:cNvSpPr>
                        <wps:spPr bwMode="auto">
                          <a:xfrm>
                            <a:off x="947225" y="6918579"/>
                            <a:ext cx="180276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2"/>
                        <wps:cNvSpPr>
                          <a:spLocks noChangeArrowheads="1"/>
                        </wps:cNvSpPr>
                        <wps:spPr bwMode="auto">
                          <a:xfrm>
                            <a:off x="1168840" y="6898259"/>
                            <a:ext cx="11715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Pr="00591046" w:rsidRDefault="001C6BE7" w:rsidP="006C2E16">
                              <w:pPr>
                                <w:rPr>
                                  <w:sz w:val="16"/>
                                  <w:szCs w:val="16"/>
                                </w:rPr>
                              </w:pPr>
                              <w:r w:rsidRPr="00591046">
                                <w:rPr>
                                  <w:rFonts w:cs="Times New Roman"/>
                                  <w:color w:val="000000"/>
                                  <w:sz w:val="16"/>
                                  <w:szCs w:val="16"/>
                                  <w:lang w:val="en-US"/>
                                </w:rPr>
                                <w:t>Soil quality guideline (SQG)</w:t>
                              </w:r>
                            </w:p>
                          </w:txbxContent>
                        </wps:txbx>
                        <wps:bodyPr rot="0" vert="horz" wrap="none" lIns="0" tIns="0" rIns="0" bIns="0" anchor="t" anchorCtr="0" upright="1">
                          <a:spAutoFit/>
                        </wps:bodyPr>
                      </wps:wsp>
                      <wps:wsp>
                        <wps:cNvPr id="186" name="Rectangle 183"/>
                        <wps:cNvSpPr>
                          <a:spLocks noChangeArrowheads="1"/>
                        </wps:cNvSpPr>
                        <wps:spPr bwMode="auto">
                          <a:xfrm>
                            <a:off x="1619690" y="2603119"/>
                            <a:ext cx="2251075" cy="37084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84"/>
                        <wps:cNvSpPr>
                          <a:spLocks noChangeArrowheads="1"/>
                        </wps:cNvSpPr>
                        <wps:spPr bwMode="auto">
                          <a:xfrm>
                            <a:off x="2160710" y="2776474"/>
                            <a:ext cx="11595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physicochemical properties?</w:t>
                              </w:r>
                            </w:p>
                          </w:txbxContent>
                        </wps:txbx>
                        <wps:bodyPr rot="0" vert="horz" wrap="none" lIns="0" tIns="0" rIns="0" bIns="0" anchor="t" anchorCtr="0" upright="1">
                          <a:spAutoFit/>
                        </wps:bodyPr>
                      </wps:wsp>
                      <wpg:wgp>
                        <wpg:cNvPr id="188" name="Group 185"/>
                        <wpg:cNvGrpSpPr>
                          <a:grpSpLocks/>
                        </wpg:cNvGrpSpPr>
                        <wpg:grpSpPr bwMode="auto">
                          <a:xfrm>
                            <a:off x="3033200" y="3012059"/>
                            <a:ext cx="64770" cy="209550"/>
                            <a:chOff x="4857" y="4820"/>
                            <a:chExt cx="102" cy="330"/>
                          </a:xfrm>
                        </wpg:grpSpPr>
                        <wps:wsp>
                          <wps:cNvPr id="189" name="Freeform 186"/>
                          <wps:cNvSpPr>
                            <a:spLocks noEditPoints="1"/>
                          </wps:cNvSpPr>
                          <wps:spPr bwMode="auto">
                            <a:xfrm>
                              <a:off x="4857" y="4820"/>
                              <a:ext cx="102" cy="330"/>
                            </a:xfrm>
                            <a:custGeom>
                              <a:avLst/>
                              <a:gdLst>
                                <a:gd name="T0" fmla="*/ 70 w 102"/>
                                <a:gd name="T1" fmla="*/ 0 h 330"/>
                                <a:gd name="T2" fmla="*/ 67 w 102"/>
                                <a:gd name="T3" fmla="*/ 243 h 330"/>
                                <a:gd name="T4" fmla="*/ 32 w 102"/>
                                <a:gd name="T5" fmla="*/ 243 h 330"/>
                                <a:gd name="T6" fmla="*/ 35 w 102"/>
                                <a:gd name="T7" fmla="*/ 0 h 330"/>
                                <a:gd name="T8" fmla="*/ 70 w 102"/>
                                <a:gd name="T9" fmla="*/ 0 h 330"/>
                                <a:gd name="T10" fmla="*/ 102 w 102"/>
                                <a:gd name="T11" fmla="*/ 227 h 330"/>
                                <a:gd name="T12" fmla="*/ 50 w 102"/>
                                <a:gd name="T13" fmla="*/ 330 h 330"/>
                                <a:gd name="T14" fmla="*/ 0 w 102"/>
                                <a:gd name="T15" fmla="*/ 225 h 330"/>
                                <a:gd name="T16" fmla="*/ 102 w 102"/>
                                <a:gd name="T17" fmla="*/ 227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330">
                                  <a:moveTo>
                                    <a:pt x="70" y="0"/>
                                  </a:moveTo>
                                  <a:lnTo>
                                    <a:pt x="67" y="243"/>
                                  </a:lnTo>
                                  <a:lnTo>
                                    <a:pt x="32" y="243"/>
                                  </a:lnTo>
                                  <a:lnTo>
                                    <a:pt x="35" y="0"/>
                                  </a:lnTo>
                                  <a:lnTo>
                                    <a:pt x="70" y="0"/>
                                  </a:lnTo>
                                  <a:close/>
                                  <a:moveTo>
                                    <a:pt x="102" y="227"/>
                                  </a:moveTo>
                                  <a:lnTo>
                                    <a:pt x="50" y="330"/>
                                  </a:lnTo>
                                  <a:lnTo>
                                    <a:pt x="0" y="225"/>
                                  </a:lnTo>
                                  <a:lnTo>
                                    <a:pt x="102" y="22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7"/>
                          <wps:cNvSpPr>
                            <a:spLocks/>
                          </wps:cNvSpPr>
                          <wps:spPr bwMode="auto">
                            <a:xfrm>
                              <a:off x="4889" y="4820"/>
                              <a:ext cx="38" cy="243"/>
                            </a:xfrm>
                            <a:custGeom>
                              <a:avLst/>
                              <a:gdLst>
                                <a:gd name="T0" fmla="*/ 38 w 38"/>
                                <a:gd name="T1" fmla="*/ 0 h 243"/>
                                <a:gd name="T2" fmla="*/ 35 w 38"/>
                                <a:gd name="T3" fmla="*/ 243 h 243"/>
                                <a:gd name="T4" fmla="*/ 0 w 38"/>
                                <a:gd name="T5" fmla="*/ 243 h 243"/>
                                <a:gd name="T6" fmla="*/ 3 w 38"/>
                                <a:gd name="T7" fmla="*/ 0 h 243"/>
                                <a:gd name="T8" fmla="*/ 38 w 38"/>
                                <a:gd name="T9" fmla="*/ 0 h 243"/>
                              </a:gdLst>
                              <a:ahLst/>
                              <a:cxnLst>
                                <a:cxn ang="0">
                                  <a:pos x="T0" y="T1"/>
                                </a:cxn>
                                <a:cxn ang="0">
                                  <a:pos x="T2" y="T3"/>
                                </a:cxn>
                                <a:cxn ang="0">
                                  <a:pos x="T4" y="T5"/>
                                </a:cxn>
                                <a:cxn ang="0">
                                  <a:pos x="T6" y="T7"/>
                                </a:cxn>
                                <a:cxn ang="0">
                                  <a:pos x="T8" y="T9"/>
                                </a:cxn>
                              </a:cxnLst>
                              <a:rect l="0" t="0" r="r" b="b"/>
                              <a:pathLst>
                                <a:path w="38" h="243">
                                  <a:moveTo>
                                    <a:pt x="38" y="0"/>
                                  </a:moveTo>
                                  <a:lnTo>
                                    <a:pt x="35" y="243"/>
                                  </a:lnTo>
                                  <a:lnTo>
                                    <a:pt x="0" y="243"/>
                                  </a:lnTo>
                                  <a:lnTo>
                                    <a:pt x="3" y="0"/>
                                  </a:lnTo>
                                  <a:lnTo>
                                    <a:pt x="38" y="0"/>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8"/>
                          <wps:cNvSpPr>
                            <a:spLocks/>
                          </wps:cNvSpPr>
                          <wps:spPr bwMode="auto">
                            <a:xfrm>
                              <a:off x="4857" y="5045"/>
                              <a:ext cx="102" cy="105"/>
                            </a:xfrm>
                            <a:custGeom>
                              <a:avLst/>
                              <a:gdLst>
                                <a:gd name="T0" fmla="*/ 102 w 102"/>
                                <a:gd name="T1" fmla="*/ 2 h 105"/>
                                <a:gd name="T2" fmla="*/ 50 w 102"/>
                                <a:gd name="T3" fmla="*/ 105 h 105"/>
                                <a:gd name="T4" fmla="*/ 0 w 102"/>
                                <a:gd name="T5" fmla="*/ 0 h 105"/>
                                <a:gd name="T6" fmla="*/ 102 w 102"/>
                                <a:gd name="T7" fmla="*/ 2 h 105"/>
                              </a:gdLst>
                              <a:ahLst/>
                              <a:cxnLst>
                                <a:cxn ang="0">
                                  <a:pos x="T0" y="T1"/>
                                </a:cxn>
                                <a:cxn ang="0">
                                  <a:pos x="T2" y="T3"/>
                                </a:cxn>
                                <a:cxn ang="0">
                                  <a:pos x="T4" y="T5"/>
                                </a:cxn>
                                <a:cxn ang="0">
                                  <a:pos x="T6" y="T7"/>
                                </a:cxn>
                              </a:cxnLst>
                              <a:rect l="0" t="0" r="r" b="b"/>
                              <a:pathLst>
                                <a:path w="102" h="105">
                                  <a:moveTo>
                                    <a:pt x="102" y="2"/>
                                  </a:moveTo>
                                  <a:lnTo>
                                    <a:pt x="50" y="105"/>
                                  </a:lnTo>
                                  <a:lnTo>
                                    <a:pt x="0" y="0"/>
                                  </a:lnTo>
                                  <a:lnTo>
                                    <a:pt x="102" y="2"/>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189"/>
                        <wps:cNvSpPr>
                          <a:spLocks noChangeArrowheads="1"/>
                        </wps:cNvSpPr>
                        <wps:spPr bwMode="auto">
                          <a:xfrm>
                            <a:off x="527490" y="2504694"/>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g:wgp>
                        <wpg:cNvPr id="193" name="Group 190"/>
                        <wpg:cNvGrpSpPr>
                          <a:grpSpLocks/>
                        </wpg:cNvGrpSpPr>
                        <wpg:grpSpPr bwMode="auto">
                          <a:xfrm>
                            <a:off x="761170" y="2431034"/>
                            <a:ext cx="65405" cy="1285240"/>
                            <a:chOff x="1279" y="3905"/>
                            <a:chExt cx="103" cy="2024"/>
                          </a:xfrm>
                        </wpg:grpSpPr>
                        <wps:wsp>
                          <wps:cNvPr id="194" name="Freeform 191"/>
                          <wps:cNvSpPr>
                            <a:spLocks noEditPoints="1"/>
                          </wps:cNvSpPr>
                          <wps:spPr bwMode="auto">
                            <a:xfrm>
                              <a:off x="1279" y="3905"/>
                              <a:ext cx="103" cy="2024"/>
                            </a:xfrm>
                            <a:custGeom>
                              <a:avLst/>
                              <a:gdLst>
                                <a:gd name="T0" fmla="*/ 80 w 103"/>
                                <a:gd name="T1" fmla="*/ 0 h 2024"/>
                                <a:gd name="T2" fmla="*/ 70 w 103"/>
                                <a:gd name="T3" fmla="*/ 1937 h 2024"/>
                                <a:gd name="T4" fmla="*/ 35 w 103"/>
                                <a:gd name="T5" fmla="*/ 1937 h 2024"/>
                                <a:gd name="T6" fmla="*/ 45 w 103"/>
                                <a:gd name="T7" fmla="*/ 0 h 2024"/>
                                <a:gd name="T8" fmla="*/ 80 w 103"/>
                                <a:gd name="T9" fmla="*/ 0 h 2024"/>
                                <a:gd name="T10" fmla="*/ 103 w 103"/>
                                <a:gd name="T11" fmla="*/ 1919 h 2024"/>
                                <a:gd name="T12" fmla="*/ 50 w 103"/>
                                <a:gd name="T13" fmla="*/ 2024 h 2024"/>
                                <a:gd name="T14" fmla="*/ 0 w 103"/>
                                <a:gd name="T15" fmla="*/ 1919 h 2024"/>
                                <a:gd name="T16" fmla="*/ 103 w 103"/>
                                <a:gd name="T17" fmla="*/ 191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2024">
                                  <a:moveTo>
                                    <a:pt x="80" y="0"/>
                                  </a:moveTo>
                                  <a:lnTo>
                                    <a:pt x="70" y="1937"/>
                                  </a:lnTo>
                                  <a:lnTo>
                                    <a:pt x="35" y="1937"/>
                                  </a:lnTo>
                                  <a:lnTo>
                                    <a:pt x="45" y="0"/>
                                  </a:lnTo>
                                  <a:lnTo>
                                    <a:pt x="80" y="0"/>
                                  </a:lnTo>
                                  <a:close/>
                                  <a:moveTo>
                                    <a:pt x="103" y="1919"/>
                                  </a:moveTo>
                                  <a:lnTo>
                                    <a:pt x="50" y="2024"/>
                                  </a:lnTo>
                                  <a:lnTo>
                                    <a:pt x="0" y="1919"/>
                                  </a:lnTo>
                                  <a:lnTo>
                                    <a:pt x="103" y="19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2"/>
                          <wps:cNvSpPr>
                            <a:spLocks/>
                          </wps:cNvSpPr>
                          <wps:spPr bwMode="auto">
                            <a:xfrm>
                              <a:off x="1314" y="3905"/>
                              <a:ext cx="45" cy="1937"/>
                            </a:xfrm>
                            <a:custGeom>
                              <a:avLst/>
                              <a:gdLst>
                                <a:gd name="T0" fmla="*/ 45 w 45"/>
                                <a:gd name="T1" fmla="*/ 0 h 1937"/>
                                <a:gd name="T2" fmla="*/ 35 w 45"/>
                                <a:gd name="T3" fmla="*/ 1937 h 1937"/>
                                <a:gd name="T4" fmla="*/ 0 w 45"/>
                                <a:gd name="T5" fmla="*/ 1937 h 1937"/>
                                <a:gd name="T6" fmla="*/ 10 w 45"/>
                                <a:gd name="T7" fmla="*/ 0 h 1937"/>
                                <a:gd name="T8" fmla="*/ 45 w 45"/>
                                <a:gd name="T9" fmla="*/ 0 h 1937"/>
                              </a:gdLst>
                              <a:ahLst/>
                              <a:cxnLst>
                                <a:cxn ang="0">
                                  <a:pos x="T0" y="T1"/>
                                </a:cxn>
                                <a:cxn ang="0">
                                  <a:pos x="T2" y="T3"/>
                                </a:cxn>
                                <a:cxn ang="0">
                                  <a:pos x="T4" y="T5"/>
                                </a:cxn>
                                <a:cxn ang="0">
                                  <a:pos x="T6" y="T7"/>
                                </a:cxn>
                                <a:cxn ang="0">
                                  <a:pos x="T8" y="T9"/>
                                </a:cxn>
                              </a:cxnLst>
                              <a:rect l="0" t="0" r="r" b="b"/>
                              <a:pathLst>
                                <a:path w="45" h="1937">
                                  <a:moveTo>
                                    <a:pt x="45" y="0"/>
                                  </a:moveTo>
                                  <a:lnTo>
                                    <a:pt x="35" y="1937"/>
                                  </a:lnTo>
                                  <a:lnTo>
                                    <a:pt x="0" y="1937"/>
                                  </a:lnTo>
                                  <a:lnTo>
                                    <a:pt x="10" y="0"/>
                                  </a:lnTo>
                                  <a:lnTo>
                                    <a:pt x="45" y="0"/>
                                  </a:lnTo>
                                  <a:close/>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3"/>
                          <wps:cNvSpPr>
                            <a:spLocks/>
                          </wps:cNvSpPr>
                          <wps:spPr bwMode="auto">
                            <a:xfrm>
                              <a:off x="1279" y="5824"/>
                              <a:ext cx="103" cy="105"/>
                            </a:xfrm>
                            <a:custGeom>
                              <a:avLst/>
                              <a:gdLst>
                                <a:gd name="T0" fmla="*/ 103 w 103"/>
                                <a:gd name="T1" fmla="*/ 0 h 105"/>
                                <a:gd name="T2" fmla="*/ 50 w 103"/>
                                <a:gd name="T3" fmla="*/ 105 h 105"/>
                                <a:gd name="T4" fmla="*/ 0 w 103"/>
                                <a:gd name="T5" fmla="*/ 0 h 105"/>
                                <a:gd name="T6" fmla="*/ 103 w 103"/>
                                <a:gd name="T7" fmla="*/ 0 h 105"/>
                              </a:gdLst>
                              <a:ahLst/>
                              <a:cxnLst>
                                <a:cxn ang="0">
                                  <a:pos x="T0" y="T1"/>
                                </a:cxn>
                                <a:cxn ang="0">
                                  <a:pos x="T2" y="T3"/>
                                </a:cxn>
                                <a:cxn ang="0">
                                  <a:pos x="T4" y="T5"/>
                                </a:cxn>
                                <a:cxn ang="0">
                                  <a:pos x="T6" y="T7"/>
                                </a:cxn>
                              </a:cxnLst>
                              <a:rect l="0" t="0" r="r" b="b"/>
                              <a:pathLst>
                                <a:path w="103" h="105">
                                  <a:moveTo>
                                    <a:pt x="103" y="0"/>
                                  </a:moveTo>
                                  <a:lnTo>
                                    <a:pt x="50" y="105"/>
                                  </a:lnTo>
                                  <a:lnTo>
                                    <a:pt x="0" y="0"/>
                                  </a:lnTo>
                                  <a:lnTo>
                                    <a:pt x="103"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7" name="Group 194"/>
                        <wpg:cNvGrpSpPr>
                          <a:grpSpLocks/>
                        </wpg:cNvGrpSpPr>
                        <wpg:grpSpPr bwMode="auto">
                          <a:xfrm>
                            <a:off x="3030025" y="3511169"/>
                            <a:ext cx="66675" cy="211455"/>
                            <a:chOff x="4852" y="5606"/>
                            <a:chExt cx="105" cy="333"/>
                          </a:xfrm>
                        </wpg:grpSpPr>
                        <wps:wsp>
                          <wps:cNvPr id="198" name="Freeform 195"/>
                          <wps:cNvSpPr>
                            <a:spLocks noEditPoints="1"/>
                          </wps:cNvSpPr>
                          <wps:spPr bwMode="auto">
                            <a:xfrm>
                              <a:off x="4852" y="5606"/>
                              <a:ext cx="105" cy="333"/>
                            </a:xfrm>
                            <a:custGeom>
                              <a:avLst/>
                              <a:gdLst>
                                <a:gd name="T0" fmla="*/ 67 w 105"/>
                                <a:gd name="T1" fmla="*/ 0 h 333"/>
                                <a:gd name="T2" fmla="*/ 70 w 105"/>
                                <a:gd name="T3" fmla="*/ 248 h 333"/>
                                <a:gd name="T4" fmla="*/ 35 w 105"/>
                                <a:gd name="T5" fmla="*/ 248 h 333"/>
                                <a:gd name="T6" fmla="*/ 35 w 105"/>
                                <a:gd name="T7" fmla="*/ 0 h 333"/>
                                <a:gd name="T8" fmla="*/ 67 w 105"/>
                                <a:gd name="T9" fmla="*/ 0 h 333"/>
                                <a:gd name="T10" fmla="*/ 105 w 105"/>
                                <a:gd name="T11" fmla="*/ 231 h 333"/>
                                <a:gd name="T12" fmla="*/ 52 w 105"/>
                                <a:gd name="T13" fmla="*/ 333 h 333"/>
                                <a:gd name="T14" fmla="*/ 0 w 105"/>
                                <a:gd name="T15" fmla="*/ 231 h 333"/>
                                <a:gd name="T16" fmla="*/ 105 w 105"/>
                                <a:gd name="T17" fmla="*/ 231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33">
                                  <a:moveTo>
                                    <a:pt x="67" y="0"/>
                                  </a:moveTo>
                                  <a:lnTo>
                                    <a:pt x="70" y="248"/>
                                  </a:lnTo>
                                  <a:lnTo>
                                    <a:pt x="35" y="248"/>
                                  </a:lnTo>
                                  <a:lnTo>
                                    <a:pt x="35" y="0"/>
                                  </a:lnTo>
                                  <a:lnTo>
                                    <a:pt x="67" y="0"/>
                                  </a:lnTo>
                                  <a:close/>
                                  <a:moveTo>
                                    <a:pt x="105" y="231"/>
                                  </a:moveTo>
                                  <a:lnTo>
                                    <a:pt x="52" y="333"/>
                                  </a:lnTo>
                                  <a:lnTo>
                                    <a:pt x="0" y="231"/>
                                  </a:lnTo>
                                  <a:lnTo>
                                    <a:pt x="105" y="23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6"/>
                          <wps:cNvSpPr>
                            <a:spLocks/>
                          </wps:cNvSpPr>
                          <wps:spPr bwMode="auto">
                            <a:xfrm>
                              <a:off x="4887" y="5606"/>
                              <a:ext cx="35" cy="248"/>
                            </a:xfrm>
                            <a:custGeom>
                              <a:avLst/>
                              <a:gdLst>
                                <a:gd name="T0" fmla="*/ 32 w 35"/>
                                <a:gd name="T1" fmla="*/ 0 h 248"/>
                                <a:gd name="T2" fmla="*/ 35 w 35"/>
                                <a:gd name="T3" fmla="*/ 248 h 248"/>
                                <a:gd name="T4" fmla="*/ 0 w 35"/>
                                <a:gd name="T5" fmla="*/ 248 h 248"/>
                                <a:gd name="T6" fmla="*/ 0 w 35"/>
                                <a:gd name="T7" fmla="*/ 0 h 248"/>
                                <a:gd name="T8" fmla="*/ 32 w 35"/>
                                <a:gd name="T9" fmla="*/ 0 h 248"/>
                              </a:gdLst>
                              <a:ahLst/>
                              <a:cxnLst>
                                <a:cxn ang="0">
                                  <a:pos x="T0" y="T1"/>
                                </a:cxn>
                                <a:cxn ang="0">
                                  <a:pos x="T2" y="T3"/>
                                </a:cxn>
                                <a:cxn ang="0">
                                  <a:pos x="T4" y="T5"/>
                                </a:cxn>
                                <a:cxn ang="0">
                                  <a:pos x="T6" y="T7"/>
                                </a:cxn>
                                <a:cxn ang="0">
                                  <a:pos x="T8" y="T9"/>
                                </a:cxn>
                              </a:cxnLst>
                              <a:rect l="0" t="0" r="r" b="b"/>
                              <a:pathLst>
                                <a:path w="35" h="248">
                                  <a:moveTo>
                                    <a:pt x="32" y="0"/>
                                  </a:moveTo>
                                  <a:lnTo>
                                    <a:pt x="35" y="248"/>
                                  </a:lnTo>
                                  <a:lnTo>
                                    <a:pt x="0" y="248"/>
                                  </a:lnTo>
                                  <a:lnTo>
                                    <a:pt x="0" y="0"/>
                                  </a:lnTo>
                                  <a:lnTo>
                                    <a:pt x="32"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97"/>
                          <wps:cNvSpPr>
                            <a:spLocks/>
                          </wps:cNvSpPr>
                          <wps:spPr bwMode="auto">
                            <a:xfrm>
                              <a:off x="4852" y="5837"/>
                              <a:ext cx="105" cy="102"/>
                            </a:xfrm>
                            <a:custGeom>
                              <a:avLst/>
                              <a:gdLst>
                                <a:gd name="T0" fmla="*/ 105 w 105"/>
                                <a:gd name="T1" fmla="*/ 0 h 102"/>
                                <a:gd name="T2" fmla="*/ 52 w 105"/>
                                <a:gd name="T3" fmla="*/ 102 h 102"/>
                                <a:gd name="T4" fmla="*/ 0 w 105"/>
                                <a:gd name="T5" fmla="*/ 0 h 102"/>
                                <a:gd name="T6" fmla="*/ 105 w 105"/>
                                <a:gd name="T7" fmla="*/ 0 h 102"/>
                              </a:gdLst>
                              <a:ahLst/>
                              <a:cxnLst>
                                <a:cxn ang="0">
                                  <a:pos x="T0" y="T1"/>
                                </a:cxn>
                                <a:cxn ang="0">
                                  <a:pos x="T2" y="T3"/>
                                </a:cxn>
                                <a:cxn ang="0">
                                  <a:pos x="T4" y="T5"/>
                                </a:cxn>
                                <a:cxn ang="0">
                                  <a:pos x="T6" y="T7"/>
                                </a:cxn>
                              </a:cxnLst>
                              <a:rect l="0" t="0" r="r" b="b"/>
                              <a:pathLst>
                                <a:path w="105" h="102">
                                  <a:moveTo>
                                    <a:pt x="105" y="0"/>
                                  </a:moveTo>
                                  <a:lnTo>
                                    <a:pt x="52" y="102"/>
                                  </a:lnTo>
                                  <a:lnTo>
                                    <a:pt x="0" y="0"/>
                                  </a:lnTo>
                                  <a:lnTo>
                                    <a:pt x="105"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1" name="Rectangle 198"/>
                        <wps:cNvSpPr>
                          <a:spLocks noChangeArrowheads="1"/>
                        </wps:cNvSpPr>
                        <wps:spPr bwMode="auto">
                          <a:xfrm>
                            <a:off x="120455" y="2144649"/>
                            <a:ext cx="3750310" cy="20510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99"/>
                        <wps:cNvSpPr>
                          <a:spLocks noChangeArrowheads="1"/>
                        </wps:cNvSpPr>
                        <wps:spPr bwMode="auto">
                          <a:xfrm>
                            <a:off x="1956875" y="3746754"/>
                            <a:ext cx="1677035" cy="24638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200"/>
                        <wps:cNvSpPr>
                          <a:spLocks noChangeArrowheads="1"/>
                        </wps:cNvSpPr>
                        <wps:spPr bwMode="auto">
                          <a:xfrm>
                            <a:off x="2238815" y="3802634"/>
                            <a:ext cx="11036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Use BurrliOZ SSD method </w:t>
                              </w:r>
                            </w:p>
                          </w:txbxContent>
                        </wps:txbx>
                        <wps:bodyPr rot="0" vert="horz" wrap="none" lIns="0" tIns="0" rIns="0" bIns="0" anchor="t" anchorCtr="0" upright="1">
                          <a:spAutoFit/>
                        </wps:bodyPr>
                      </wps:wsp>
                      <wps:wsp>
                        <wps:cNvPr id="204" name="Rectangle 201"/>
                        <wps:cNvSpPr>
                          <a:spLocks noChangeArrowheads="1"/>
                        </wps:cNvSpPr>
                        <wps:spPr bwMode="auto">
                          <a:xfrm>
                            <a:off x="363660" y="3744849"/>
                            <a:ext cx="1416685" cy="24828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202"/>
                        <wps:cNvSpPr>
                          <a:spLocks noChangeArrowheads="1"/>
                        </wps:cNvSpPr>
                        <wps:spPr bwMode="auto">
                          <a:xfrm>
                            <a:off x="749105" y="3802634"/>
                            <a:ext cx="643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Use AF method </w:t>
                              </w:r>
                            </w:p>
                          </w:txbxContent>
                        </wps:txbx>
                        <wps:bodyPr rot="0" vert="horz" wrap="none" lIns="0" tIns="0" rIns="0" bIns="0" anchor="t" anchorCtr="0" upright="1">
                          <a:spAutoFit/>
                        </wps:bodyPr>
                      </wps:wsp>
                      <wpg:wgp>
                        <wpg:cNvPr id="206" name="Group 203"/>
                        <wpg:cNvGrpSpPr>
                          <a:grpSpLocks/>
                        </wpg:cNvGrpSpPr>
                        <wpg:grpSpPr bwMode="auto">
                          <a:xfrm>
                            <a:off x="2595685" y="4028059"/>
                            <a:ext cx="65405" cy="235585"/>
                            <a:chOff x="4168" y="6420"/>
                            <a:chExt cx="103" cy="371"/>
                          </a:xfrm>
                        </wpg:grpSpPr>
                        <wps:wsp>
                          <wps:cNvPr id="207" name="Freeform 204"/>
                          <wps:cNvSpPr>
                            <a:spLocks noEditPoints="1"/>
                          </wps:cNvSpPr>
                          <wps:spPr bwMode="auto">
                            <a:xfrm>
                              <a:off x="4168" y="6420"/>
                              <a:ext cx="103" cy="371"/>
                            </a:xfrm>
                            <a:custGeom>
                              <a:avLst/>
                              <a:gdLst>
                                <a:gd name="T0" fmla="*/ 70 w 103"/>
                                <a:gd name="T1" fmla="*/ 0 h 371"/>
                                <a:gd name="T2" fmla="*/ 68 w 103"/>
                                <a:gd name="T3" fmla="*/ 283 h 371"/>
                                <a:gd name="T4" fmla="*/ 35 w 103"/>
                                <a:gd name="T5" fmla="*/ 283 h 371"/>
                                <a:gd name="T6" fmla="*/ 35 w 103"/>
                                <a:gd name="T7" fmla="*/ 0 h 371"/>
                                <a:gd name="T8" fmla="*/ 70 w 103"/>
                                <a:gd name="T9" fmla="*/ 0 h 371"/>
                                <a:gd name="T10" fmla="*/ 103 w 103"/>
                                <a:gd name="T11" fmla="*/ 268 h 371"/>
                                <a:gd name="T12" fmla="*/ 50 w 103"/>
                                <a:gd name="T13" fmla="*/ 371 h 371"/>
                                <a:gd name="T14" fmla="*/ 0 w 103"/>
                                <a:gd name="T15" fmla="*/ 266 h 371"/>
                                <a:gd name="T16" fmla="*/ 103 w 103"/>
                                <a:gd name="T17" fmla="*/ 268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371">
                                  <a:moveTo>
                                    <a:pt x="70" y="0"/>
                                  </a:moveTo>
                                  <a:lnTo>
                                    <a:pt x="68" y="283"/>
                                  </a:lnTo>
                                  <a:lnTo>
                                    <a:pt x="35" y="283"/>
                                  </a:lnTo>
                                  <a:lnTo>
                                    <a:pt x="35" y="0"/>
                                  </a:lnTo>
                                  <a:lnTo>
                                    <a:pt x="70" y="0"/>
                                  </a:lnTo>
                                  <a:close/>
                                  <a:moveTo>
                                    <a:pt x="103" y="268"/>
                                  </a:moveTo>
                                  <a:lnTo>
                                    <a:pt x="50" y="371"/>
                                  </a:lnTo>
                                  <a:lnTo>
                                    <a:pt x="0" y="266"/>
                                  </a:lnTo>
                                  <a:lnTo>
                                    <a:pt x="103" y="26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5"/>
                          <wps:cNvSpPr>
                            <a:spLocks/>
                          </wps:cNvSpPr>
                          <wps:spPr bwMode="auto">
                            <a:xfrm>
                              <a:off x="4203" y="6420"/>
                              <a:ext cx="35" cy="283"/>
                            </a:xfrm>
                            <a:custGeom>
                              <a:avLst/>
                              <a:gdLst>
                                <a:gd name="T0" fmla="*/ 35 w 35"/>
                                <a:gd name="T1" fmla="*/ 0 h 283"/>
                                <a:gd name="T2" fmla="*/ 33 w 35"/>
                                <a:gd name="T3" fmla="*/ 283 h 283"/>
                                <a:gd name="T4" fmla="*/ 0 w 35"/>
                                <a:gd name="T5" fmla="*/ 283 h 283"/>
                                <a:gd name="T6" fmla="*/ 0 w 35"/>
                                <a:gd name="T7" fmla="*/ 0 h 283"/>
                                <a:gd name="T8" fmla="*/ 35 w 35"/>
                                <a:gd name="T9" fmla="*/ 0 h 283"/>
                              </a:gdLst>
                              <a:ahLst/>
                              <a:cxnLst>
                                <a:cxn ang="0">
                                  <a:pos x="T0" y="T1"/>
                                </a:cxn>
                                <a:cxn ang="0">
                                  <a:pos x="T2" y="T3"/>
                                </a:cxn>
                                <a:cxn ang="0">
                                  <a:pos x="T4" y="T5"/>
                                </a:cxn>
                                <a:cxn ang="0">
                                  <a:pos x="T6" y="T7"/>
                                </a:cxn>
                                <a:cxn ang="0">
                                  <a:pos x="T8" y="T9"/>
                                </a:cxn>
                              </a:cxnLst>
                              <a:rect l="0" t="0" r="r" b="b"/>
                              <a:pathLst>
                                <a:path w="35" h="283">
                                  <a:moveTo>
                                    <a:pt x="35" y="0"/>
                                  </a:moveTo>
                                  <a:lnTo>
                                    <a:pt x="33" y="283"/>
                                  </a:lnTo>
                                  <a:lnTo>
                                    <a:pt x="0" y="283"/>
                                  </a:lnTo>
                                  <a:lnTo>
                                    <a:pt x="0" y="0"/>
                                  </a:lnTo>
                                  <a:lnTo>
                                    <a:pt x="35"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6"/>
                          <wps:cNvSpPr>
                            <a:spLocks/>
                          </wps:cNvSpPr>
                          <wps:spPr bwMode="auto">
                            <a:xfrm>
                              <a:off x="4168" y="6686"/>
                              <a:ext cx="103" cy="105"/>
                            </a:xfrm>
                            <a:custGeom>
                              <a:avLst/>
                              <a:gdLst>
                                <a:gd name="T0" fmla="*/ 103 w 103"/>
                                <a:gd name="T1" fmla="*/ 2 h 105"/>
                                <a:gd name="T2" fmla="*/ 50 w 103"/>
                                <a:gd name="T3" fmla="*/ 105 h 105"/>
                                <a:gd name="T4" fmla="*/ 0 w 103"/>
                                <a:gd name="T5" fmla="*/ 0 h 105"/>
                                <a:gd name="T6" fmla="*/ 103 w 103"/>
                                <a:gd name="T7" fmla="*/ 2 h 105"/>
                              </a:gdLst>
                              <a:ahLst/>
                              <a:cxnLst>
                                <a:cxn ang="0">
                                  <a:pos x="T0" y="T1"/>
                                </a:cxn>
                                <a:cxn ang="0">
                                  <a:pos x="T2" y="T3"/>
                                </a:cxn>
                                <a:cxn ang="0">
                                  <a:pos x="T4" y="T5"/>
                                </a:cxn>
                                <a:cxn ang="0">
                                  <a:pos x="T6" y="T7"/>
                                </a:cxn>
                              </a:cxnLst>
                              <a:rect l="0" t="0" r="r" b="b"/>
                              <a:pathLst>
                                <a:path w="103" h="105">
                                  <a:moveTo>
                                    <a:pt x="103" y="2"/>
                                  </a:moveTo>
                                  <a:lnTo>
                                    <a:pt x="50" y="105"/>
                                  </a:lnTo>
                                  <a:lnTo>
                                    <a:pt x="0" y="0"/>
                                  </a:lnTo>
                                  <a:lnTo>
                                    <a:pt x="103" y="2"/>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207"/>
                        <wps:cNvSpPr>
                          <a:spLocks noChangeArrowheads="1"/>
                        </wps:cNvSpPr>
                        <wps:spPr bwMode="auto">
                          <a:xfrm>
                            <a:off x="363660" y="4300474"/>
                            <a:ext cx="2801620" cy="20320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208"/>
                        <wps:cNvSpPr>
                          <a:spLocks noChangeArrowheads="1"/>
                        </wps:cNvSpPr>
                        <wps:spPr bwMode="auto">
                          <a:xfrm>
                            <a:off x="2758880" y="4647184"/>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g:wgp>
                        <wpg:cNvPr id="212" name="Group 209"/>
                        <wpg:cNvGrpSpPr>
                          <a:grpSpLocks/>
                        </wpg:cNvGrpSpPr>
                        <wpg:grpSpPr bwMode="auto">
                          <a:xfrm>
                            <a:off x="1170110" y="4543679"/>
                            <a:ext cx="66675" cy="305435"/>
                            <a:chOff x="1923" y="7232"/>
                            <a:chExt cx="105" cy="481"/>
                          </a:xfrm>
                        </wpg:grpSpPr>
                        <wps:wsp>
                          <wps:cNvPr id="213" name="Freeform 210"/>
                          <wps:cNvSpPr>
                            <a:spLocks noEditPoints="1"/>
                          </wps:cNvSpPr>
                          <wps:spPr bwMode="auto">
                            <a:xfrm>
                              <a:off x="1923" y="7232"/>
                              <a:ext cx="105" cy="481"/>
                            </a:xfrm>
                            <a:custGeom>
                              <a:avLst/>
                              <a:gdLst>
                                <a:gd name="T0" fmla="*/ 70 w 105"/>
                                <a:gd name="T1" fmla="*/ 0 h 481"/>
                                <a:gd name="T2" fmla="*/ 70 w 105"/>
                                <a:gd name="T3" fmla="*/ 393 h 481"/>
                                <a:gd name="T4" fmla="*/ 34 w 105"/>
                                <a:gd name="T5" fmla="*/ 393 h 481"/>
                                <a:gd name="T6" fmla="*/ 34 w 105"/>
                                <a:gd name="T7" fmla="*/ 0 h 481"/>
                                <a:gd name="T8" fmla="*/ 70 w 105"/>
                                <a:gd name="T9" fmla="*/ 0 h 481"/>
                                <a:gd name="T10" fmla="*/ 105 w 105"/>
                                <a:gd name="T11" fmla="*/ 376 h 481"/>
                                <a:gd name="T12" fmla="*/ 52 w 105"/>
                                <a:gd name="T13" fmla="*/ 481 h 481"/>
                                <a:gd name="T14" fmla="*/ 0 w 105"/>
                                <a:gd name="T15" fmla="*/ 376 h 481"/>
                                <a:gd name="T16" fmla="*/ 105 w 105"/>
                                <a:gd name="T17" fmla="*/ 376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481">
                                  <a:moveTo>
                                    <a:pt x="70" y="0"/>
                                  </a:moveTo>
                                  <a:lnTo>
                                    <a:pt x="70" y="393"/>
                                  </a:lnTo>
                                  <a:lnTo>
                                    <a:pt x="34" y="393"/>
                                  </a:lnTo>
                                  <a:lnTo>
                                    <a:pt x="34" y="0"/>
                                  </a:lnTo>
                                  <a:lnTo>
                                    <a:pt x="70" y="0"/>
                                  </a:lnTo>
                                  <a:close/>
                                  <a:moveTo>
                                    <a:pt x="105" y="376"/>
                                  </a:moveTo>
                                  <a:lnTo>
                                    <a:pt x="52" y="481"/>
                                  </a:lnTo>
                                  <a:lnTo>
                                    <a:pt x="0" y="376"/>
                                  </a:lnTo>
                                  <a:lnTo>
                                    <a:pt x="105" y="3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Rectangle 211"/>
                          <wps:cNvSpPr>
                            <a:spLocks noChangeArrowheads="1"/>
                          </wps:cNvSpPr>
                          <wps:spPr bwMode="auto">
                            <a:xfrm>
                              <a:off x="1957" y="7232"/>
                              <a:ext cx="36" cy="393"/>
                            </a:xfrm>
                            <a:prstGeom prst="rect">
                              <a:avLst/>
                            </a:pr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2"/>
                          <wps:cNvSpPr>
                            <a:spLocks/>
                          </wps:cNvSpPr>
                          <wps:spPr bwMode="auto">
                            <a:xfrm>
                              <a:off x="1923" y="7608"/>
                              <a:ext cx="105" cy="105"/>
                            </a:xfrm>
                            <a:custGeom>
                              <a:avLst/>
                              <a:gdLst>
                                <a:gd name="T0" fmla="*/ 105 w 105"/>
                                <a:gd name="T1" fmla="*/ 0 h 105"/>
                                <a:gd name="T2" fmla="*/ 52 w 105"/>
                                <a:gd name="T3" fmla="*/ 105 h 105"/>
                                <a:gd name="T4" fmla="*/ 0 w 105"/>
                                <a:gd name="T5" fmla="*/ 0 h 105"/>
                                <a:gd name="T6" fmla="*/ 105 w 105"/>
                                <a:gd name="T7" fmla="*/ 0 h 105"/>
                              </a:gdLst>
                              <a:ahLst/>
                              <a:cxnLst>
                                <a:cxn ang="0">
                                  <a:pos x="T0" y="T1"/>
                                </a:cxn>
                                <a:cxn ang="0">
                                  <a:pos x="T2" y="T3"/>
                                </a:cxn>
                                <a:cxn ang="0">
                                  <a:pos x="T4" y="T5"/>
                                </a:cxn>
                                <a:cxn ang="0">
                                  <a:pos x="T6" y="T7"/>
                                </a:cxn>
                              </a:cxnLst>
                              <a:rect l="0" t="0" r="r" b="b"/>
                              <a:pathLst>
                                <a:path w="105" h="105">
                                  <a:moveTo>
                                    <a:pt x="105" y="0"/>
                                  </a:moveTo>
                                  <a:lnTo>
                                    <a:pt x="52" y="105"/>
                                  </a:lnTo>
                                  <a:lnTo>
                                    <a:pt x="0" y="0"/>
                                  </a:lnTo>
                                  <a:lnTo>
                                    <a:pt x="105"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6" name="Rectangle 213"/>
                        <wps:cNvSpPr>
                          <a:spLocks noChangeArrowheads="1"/>
                        </wps:cNvSpPr>
                        <wps:spPr bwMode="auto">
                          <a:xfrm>
                            <a:off x="973260" y="4651629"/>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217" name="Rectangle 214"/>
                        <wps:cNvSpPr>
                          <a:spLocks noChangeArrowheads="1"/>
                        </wps:cNvSpPr>
                        <wps:spPr bwMode="auto">
                          <a:xfrm>
                            <a:off x="1132010" y="5625719"/>
                            <a:ext cx="2711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Added </w:t>
                              </w:r>
                            </w:p>
                          </w:txbxContent>
                        </wps:txbx>
                        <wps:bodyPr rot="0" vert="horz" wrap="none" lIns="0" tIns="0" rIns="0" bIns="0" anchor="t" anchorCtr="0" upright="1">
                          <a:spAutoFit/>
                        </wps:bodyPr>
                      </wps:wsp>
                      <wpg:wgp>
                        <wpg:cNvPr id="218" name="Group 215"/>
                        <wpg:cNvGrpSpPr>
                          <a:grpSpLocks/>
                        </wpg:cNvGrpSpPr>
                        <wpg:grpSpPr bwMode="auto">
                          <a:xfrm>
                            <a:off x="2556315" y="6640449"/>
                            <a:ext cx="64770" cy="234950"/>
                            <a:chOff x="4106" y="10534"/>
                            <a:chExt cx="102" cy="370"/>
                          </a:xfrm>
                        </wpg:grpSpPr>
                        <wps:wsp>
                          <wps:cNvPr id="219" name="Freeform 216"/>
                          <wps:cNvSpPr>
                            <a:spLocks noEditPoints="1"/>
                          </wps:cNvSpPr>
                          <wps:spPr bwMode="auto">
                            <a:xfrm>
                              <a:off x="4106" y="10534"/>
                              <a:ext cx="102" cy="370"/>
                            </a:xfrm>
                            <a:custGeom>
                              <a:avLst/>
                              <a:gdLst>
                                <a:gd name="T0" fmla="*/ 70 w 102"/>
                                <a:gd name="T1" fmla="*/ 0 h 370"/>
                                <a:gd name="T2" fmla="*/ 67 w 102"/>
                                <a:gd name="T3" fmla="*/ 283 h 370"/>
                                <a:gd name="T4" fmla="*/ 35 w 102"/>
                                <a:gd name="T5" fmla="*/ 283 h 370"/>
                                <a:gd name="T6" fmla="*/ 35 w 102"/>
                                <a:gd name="T7" fmla="*/ 0 h 370"/>
                                <a:gd name="T8" fmla="*/ 70 w 102"/>
                                <a:gd name="T9" fmla="*/ 0 h 370"/>
                                <a:gd name="T10" fmla="*/ 102 w 102"/>
                                <a:gd name="T11" fmla="*/ 268 h 370"/>
                                <a:gd name="T12" fmla="*/ 50 w 102"/>
                                <a:gd name="T13" fmla="*/ 370 h 370"/>
                                <a:gd name="T14" fmla="*/ 0 w 102"/>
                                <a:gd name="T15" fmla="*/ 268 h 370"/>
                                <a:gd name="T16" fmla="*/ 102 w 102"/>
                                <a:gd name="T17" fmla="*/ 26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370">
                                  <a:moveTo>
                                    <a:pt x="70" y="0"/>
                                  </a:moveTo>
                                  <a:lnTo>
                                    <a:pt x="67" y="283"/>
                                  </a:lnTo>
                                  <a:lnTo>
                                    <a:pt x="35" y="283"/>
                                  </a:lnTo>
                                  <a:lnTo>
                                    <a:pt x="35" y="0"/>
                                  </a:lnTo>
                                  <a:lnTo>
                                    <a:pt x="70" y="0"/>
                                  </a:lnTo>
                                  <a:close/>
                                  <a:moveTo>
                                    <a:pt x="102" y="268"/>
                                  </a:moveTo>
                                  <a:lnTo>
                                    <a:pt x="50" y="370"/>
                                  </a:lnTo>
                                  <a:lnTo>
                                    <a:pt x="0" y="268"/>
                                  </a:lnTo>
                                  <a:lnTo>
                                    <a:pt x="102" y="26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7"/>
                          <wps:cNvSpPr>
                            <a:spLocks/>
                          </wps:cNvSpPr>
                          <wps:spPr bwMode="auto">
                            <a:xfrm>
                              <a:off x="4141" y="10534"/>
                              <a:ext cx="35" cy="283"/>
                            </a:xfrm>
                            <a:custGeom>
                              <a:avLst/>
                              <a:gdLst>
                                <a:gd name="T0" fmla="*/ 35 w 35"/>
                                <a:gd name="T1" fmla="*/ 0 h 283"/>
                                <a:gd name="T2" fmla="*/ 32 w 35"/>
                                <a:gd name="T3" fmla="*/ 283 h 283"/>
                                <a:gd name="T4" fmla="*/ 0 w 35"/>
                                <a:gd name="T5" fmla="*/ 283 h 283"/>
                                <a:gd name="T6" fmla="*/ 0 w 35"/>
                                <a:gd name="T7" fmla="*/ 0 h 283"/>
                                <a:gd name="T8" fmla="*/ 35 w 35"/>
                                <a:gd name="T9" fmla="*/ 0 h 283"/>
                              </a:gdLst>
                              <a:ahLst/>
                              <a:cxnLst>
                                <a:cxn ang="0">
                                  <a:pos x="T0" y="T1"/>
                                </a:cxn>
                                <a:cxn ang="0">
                                  <a:pos x="T2" y="T3"/>
                                </a:cxn>
                                <a:cxn ang="0">
                                  <a:pos x="T4" y="T5"/>
                                </a:cxn>
                                <a:cxn ang="0">
                                  <a:pos x="T6" y="T7"/>
                                </a:cxn>
                                <a:cxn ang="0">
                                  <a:pos x="T8" y="T9"/>
                                </a:cxn>
                              </a:cxnLst>
                              <a:rect l="0" t="0" r="r" b="b"/>
                              <a:pathLst>
                                <a:path w="35" h="283">
                                  <a:moveTo>
                                    <a:pt x="35" y="0"/>
                                  </a:moveTo>
                                  <a:lnTo>
                                    <a:pt x="32" y="283"/>
                                  </a:lnTo>
                                  <a:lnTo>
                                    <a:pt x="0" y="283"/>
                                  </a:lnTo>
                                  <a:lnTo>
                                    <a:pt x="0" y="0"/>
                                  </a:lnTo>
                                  <a:lnTo>
                                    <a:pt x="35"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8"/>
                          <wps:cNvSpPr>
                            <a:spLocks/>
                          </wps:cNvSpPr>
                          <wps:spPr bwMode="auto">
                            <a:xfrm>
                              <a:off x="4106" y="10802"/>
                              <a:ext cx="102" cy="102"/>
                            </a:xfrm>
                            <a:custGeom>
                              <a:avLst/>
                              <a:gdLst>
                                <a:gd name="T0" fmla="*/ 102 w 102"/>
                                <a:gd name="T1" fmla="*/ 0 h 102"/>
                                <a:gd name="T2" fmla="*/ 50 w 102"/>
                                <a:gd name="T3" fmla="*/ 102 h 102"/>
                                <a:gd name="T4" fmla="*/ 0 w 102"/>
                                <a:gd name="T5" fmla="*/ 0 h 102"/>
                                <a:gd name="T6" fmla="*/ 102 w 102"/>
                                <a:gd name="T7" fmla="*/ 0 h 102"/>
                              </a:gdLst>
                              <a:ahLst/>
                              <a:cxnLst>
                                <a:cxn ang="0">
                                  <a:pos x="T0" y="T1"/>
                                </a:cxn>
                                <a:cxn ang="0">
                                  <a:pos x="T2" y="T3"/>
                                </a:cxn>
                                <a:cxn ang="0">
                                  <a:pos x="T4" y="T5"/>
                                </a:cxn>
                                <a:cxn ang="0">
                                  <a:pos x="T6" y="T7"/>
                                </a:cxn>
                              </a:cxnLst>
                              <a:rect l="0" t="0" r="r" b="b"/>
                              <a:pathLst>
                                <a:path w="102" h="102">
                                  <a:moveTo>
                                    <a:pt x="102" y="0"/>
                                  </a:moveTo>
                                  <a:lnTo>
                                    <a:pt x="50" y="102"/>
                                  </a:lnTo>
                                  <a:lnTo>
                                    <a:pt x="0" y="0"/>
                                  </a:lnTo>
                                  <a:lnTo>
                                    <a:pt x="102"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2" name="Rectangle 219"/>
                        <wps:cNvSpPr>
                          <a:spLocks noChangeArrowheads="1"/>
                        </wps:cNvSpPr>
                        <wps:spPr bwMode="auto">
                          <a:xfrm>
                            <a:off x="1972750" y="5571109"/>
                            <a:ext cx="1055370" cy="61595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20"/>
                        <wps:cNvSpPr>
                          <a:spLocks noChangeArrowheads="1"/>
                        </wps:cNvSpPr>
                        <wps:spPr bwMode="auto">
                          <a:xfrm>
                            <a:off x="2099750" y="5625719"/>
                            <a:ext cx="7988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Added contaminant </w:t>
                              </w:r>
                            </w:p>
                          </w:txbxContent>
                        </wps:txbx>
                        <wps:bodyPr rot="0" vert="horz" wrap="none" lIns="0" tIns="0" rIns="0" bIns="0" anchor="t" anchorCtr="0" upright="1">
                          <a:spAutoFit/>
                        </wps:bodyPr>
                      </wps:wsp>
                      <wps:wsp>
                        <wps:cNvPr id="224" name="Rectangle 221"/>
                        <wps:cNvSpPr>
                          <a:spLocks noChangeArrowheads="1"/>
                        </wps:cNvSpPr>
                        <wps:spPr bwMode="auto">
                          <a:xfrm>
                            <a:off x="2333430" y="5743829"/>
                            <a:ext cx="3359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limit for </w:t>
                              </w:r>
                            </w:p>
                          </w:txbxContent>
                        </wps:txbx>
                        <wps:bodyPr rot="0" vert="horz" wrap="none" lIns="0" tIns="0" rIns="0" bIns="0" anchor="t" anchorCtr="0" upright="1">
                          <a:spAutoFit/>
                        </wps:bodyPr>
                      </wps:wsp>
                      <wps:wsp>
                        <wps:cNvPr id="225" name="Rectangle 222"/>
                        <wps:cNvSpPr>
                          <a:spLocks noChangeArrowheads="1"/>
                        </wps:cNvSpPr>
                        <wps:spPr bwMode="auto">
                          <a:xfrm>
                            <a:off x="2153090" y="5861304"/>
                            <a:ext cx="6946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biomagnification </w:t>
                              </w:r>
                            </w:p>
                          </w:txbxContent>
                        </wps:txbx>
                        <wps:bodyPr rot="0" vert="horz" wrap="none" lIns="0" tIns="0" rIns="0" bIns="0" anchor="t" anchorCtr="0" upright="1">
                          <a:spAutoFit/>
                        </wps:bodyPr>
                      </wps:wsp>
                      <wps:wsp>
                        <wps:cNvPr id="226" name="Rectangle 223"/>
                        <wps:cNvSpPr>
                          <a:spLocks noChangeArrowheads="1"/>
                        </wps:cNvSpPr>
                        <wps:spPr bwMode="auto">
                          <a:xfrm>
                            <a:off x="2313110" y="5983224"/>
                            <a:ext cx="237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(ACL</w:t>
                              </w:r>
                            </w:p>
                          </w:txbxContent>
                        </wps:txbx>
                        <wps:bodyPr rot="0" vert="horz" wrap="none" lIns="0" tIns="0" rIns="0" bIns="0" anchor="t" anchorCtr="0" upright="1">
                          <a:spAutoFit/>
                        </wps:bodyPr>
                      </wps:wsp>
                      <wps:wsp>
                        <wps:cNvPr id="227" name="Rectangle 224"/>
                        <wps:cNvSpPr>
                          <a:spLocks noChangeArrowheads="1"/>
                        </wps:cNvSpPr>
                        <wps:spPr bwMode="auto">
                          <a:xfrm>
                            <a:off x="2551235" y="6026404"/>
                            <a:ext cx="99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0"/>
                                  <w:szCs w:val="10"/>
                                  <w:lang w:val="en-US"/>
                                </w:rPr>
                                <w:t>BM</w:t>
                              </w:r>
                            </w:p>
                          </w:txbxContent>
                        </wps:txbx>
                        <wps:bodyPr rot="0" vert="horz" wrap="none" lIns="0" tIns="0" rIns="0" bIns="0" anchor="t" anchorCtr="0" upright="1">
                          <a:spAutoFit/>
                        </wps:bodyPr>
                      </wps:wsp>
                      <wps:wsp>
                        <wps:cNvPr id="228" name="Rectangle 225"/>
                        <wps:cNvSpPr>
                          <a:spLocks noChangeArrowheads="1"/>
                        </wps:cNvSpPr>
                        <wps:spPr bwMode="auto">
                          <a:xfrm>
                            <a:off x="2658550" y="5983224"/>
                            <a:ext cx="342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w:t>
                              </w:r>
                            </w:p>
                          </w:txbxContent>
                        </wps:txbx>
                        <wps:bodyPr rot="0" vert="horz" wrap="none" lIns="0" tIns="0" rIns="0" bIns="0" anchor="t" anchorCtr="0" upright="1">
                          <a:spAutoFit/>
                        </wps:bodyPr>
                      </wps:wsp>
                      <wpg:wgp>
                        <wpg:cNvPr id="229" name="Group 226"/>
                        <wpg:cNvGrpSpPr>
                          <a:grpSpLocks/>
                        </wpg:cNvGrpSpPr>
                        <wpg:grpSpPr bwMode="auto">
                          <a:xfrm>
                            <a:off x="1243135" y="6648069"/>
                            <a:ext cx="66675" cy="235585"/>
                            <a:chOff x="2038" y="10546"/>
                            <a:chExt cx="105" cy="371"/>
                          </a:xfrm>
                        </wpg:grpSpPr>
                        <wps:wsp>
                          <wps:cNvPr id="230" name="Freeform 227"/>
                          <wps:cNvSpPr>
                            <a:spLocks noEditPoints="1"/>
                          </wps:cNvSpPr>
                          <wps:spPr bwMode="auto">
                            <a:xfrm>
                              <a:off x="2038" y="10546"/>
                              <a:ext cx="105" cy="371"/>
                            </a:xfrm>
                            <a:custGeom>
                              <a:avLst/>
                              <a:gdLst>
                                <a:gd name="T0" fmla="*/ 70 w 105"/>
                                <a:gd name="T1" fmla="*/ 0 h 371"/>
                                <a:gd name="T2" fmla="*/ 70 w 105"/>
                                <a:gd name="T3" fmla="*/ 283 h 371"/>
                                <a:gd name="T4" fmla="*/ 35 w 105"/>
                                <a:gd name="T5" fmla="*/ 283 h 371"/>
                                <a:gd name="T6" fmla="*/ 35 w 105"/>
                                <a:gd name="T7" fmla="*/ 0 h 371"/>
                                <a:gd name="T8" fmla="*/ 70 w 105"/>
                                <a:gd name="T9" fmla="*/ 0 h 371"/>
                                <a:gd name="T10" fmla="*/ 105 w 105"/>
                                <a:gd name="T11" fmla="*/ 266 h 371"/>
                                <a:gd name="T12" fmla="*/ 52 w 105"/>
                                <a:gd name="T13" fmla="*/ 371 h 371"/>
                                <a:gd name="T14" fmla="*/ 0 w 105"/>
                                <a:gd name="T15" fmla="*/ 266 h 371"/>
                                <a:gd name="T16" fmla="*/ 105 w 105"/>
                                <a:gd name="T17" fmla="*/ 266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71">
                                  <a:moveTo>
                                    <a:pt x="70" y="0"/>
                                  </a:moveTo>
                                  <a:lnTo>
                                    <a:pt x="70" y="283"/>
                                  </a:lnTo>
                                  <a:lnTo>
                                    <a:pt x="35" y="283"/>
                                  </a:lnTo>
                                  <a:lnTo>
                                    <a:pt x="35" y="0"/>
                                  </a:lnTo>
                                  <a:lnTo>
                                    <a:pt x="70" y="0"/>
                                  </a:lnTo>
                                  <a:close/>
                                  <a:moveTo>
                                    <a:pt x="105" y="266"/>
                                  </a:moveTo>
                                  <a:lnTo>
                                    <a:pt x="52" y="371"/>
                                  </a:lnTo>
                                  <a:lnTo>
                                    <a:pt x="0" y="266"/>
                                  </a:lnTo>
                                  <a:lnTo>
                                    <a:pt x="105" y="26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228"/>
                          <wps:cNvSpPr>
                            <a:spLocks noChangeArrowheads="1"/>
                          </wps:cNvSpPr>
                          <wps:spPr bwMode="auto">
                            <a:xfrm>
                              <a:off x="2073" y="10546"/>
                              <a:ext cx="35" cy="283"/>
                            </a:xfrm>
                            <a:prstGeom prst="rect">
                              <a:avLst/>
                            </a:pr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9"/>
                          <wps:cNvSpPr>
                            <a:spLocks/>
                          </wps:cNvSpPr>
                          <wps:spPr bwMode="auto">
                            <a:xfrm>
                              <a:off x="2038" y="10812"/>
                              <a:ext cx="105" cy="105"/>
                            </a:xfrm>
                            <a:custGeom>
                              <a:avLst/>
                              <a:gdLst>
                                <a:gd name="T0" fmla="*/ 105 w 105"/>
                                <a:gd name="T1" fmla="*/ 0 h 105"/>
                                <a:gd name="T2" fmla="*/ 52 w 105"/>
                                <a:gd name="T3" fmla="*/ 105 h 105"/>
                                <a:gd name="T4" fmla="*/ 0 w 105"/>
                                <a:gd name="T5" fmla="*/ 0 h 105"/>
                                <a:gd name="T6" fmla="*/ 105 w 105"/>
                                <a:gd name="T7" fmla="*/ 0 h 105"/>
                              </a:gdLst>
                              <a:ahLst/>
                              <a:cxnLst>
                                <a:cxn ang="0">
                                  <a:pos x="T0" y="T1"/>
                                </a:cxn>
                                <a:cxn ang="0">
                                  <a:pos x="T2" y="T3"/>
                                </a:cxn>
                                <a:cxn ang="0">
                                  <a:pos x="T4" y="T5"/>
                                </a:cxn>
                                <a:cxn ang="0">
                                  <a:pos x="T6" y="T7"/>
                                </a:cxn>
                              </a:cxnLst>
                              <a:rect l="0" t="0" r="r" b="b"/>
                              <a:pathLst>
                                <a:path w="105" h="105">
                                  <a:moveTo>
                                    <a:pt x="105" y="0"/>
                                  </a:moveTo>
                                  <a:lnTo>
                                    <a:pt x="52" y="105"/>
                                  </a:lnTo>
                                  <a:lnTo>
                                    <a:pt x="0" y="0"/>
                                  </a:lnTo>
                                  <a:lnTo>
                                    <a:pt x="105"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3" name="Rectangle 230"/>
                        <wps:cNvSpPr>
                          <a:spLocks noChangeArrowheads="1"/>
                        </wps:cNvSpPr>
                        <wps:spPr bwMode="auto">
                          <a:xfrm>
                            <a:off x="284285" y="51689"/>
                            <a:ext cx="3438525" cy="24955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34" name="Group 231"/>
                        <wpg:cNvGrpSpPr>
                          <a:grpSpLocks/>
                        </wpg:cNvGrpSpPr>
                        <wpg:grpSpPr bwMode="auto">
                          <a:xfrm>
                            <a:off x="1099625" y="332994"/>
                            <a:ext cx="66675" cy="226060"/>
                            <a:chOff x="1812" y="601"/>
                            <a:chExt cx="105" cy="356"/>
                          </a:xfrm>
                        </wpg:grpSpPr>
                        <wps:wsp>
                          <wps:cNvPr id="235" name="Freeform 232"/>
                          <wps:cNvSpPr>
                            <a:spLocks noEditPoints="1"/>
                          </wps:cNvSpPr>
                          <wps:spPr bwMode="auto">
                            <a:xfrm>
                              <a:off x="1812" y="601"/>
                              <a:ext cx="105" cy="356"/>
                            </a:xfrm>
                            <a:custGeom>
                              <a:avLst/>
                              <a:gdLst>
                                <a:gd name="T0" fmla="*/ 70 w 105"/>
                                <a:gd name="T1" fmla="*/ 3 h 356"/>
                                <a:gd name="T2" fmla="*/ 70 w 105"/>
                                <a:gd name="T3" fmla="*/ 271 h 356"/>
                                <a:gd name="T4" fmla="*/ 35 w 105"/>
                                <a:gd name="T5" fmla="*/ 271 h 356"/>
                                <a:gd name="T6" fmla="*/ 38 w 105"/>
                                <a:gd name="T7" fmla="*/ 0 h 356"/>
                                <a:gd name="T8" fmla="*/ 70 w 105"/>
                                <a:gd name="T9" fmla="*/ 3 h 356"/>
                                <a:gd name="T10" fmla="*/ 105 w 105"/>
                                <a:gd name="T11" fmla="*/ 253 h 356"/>
                                <a:gd name="T12" fmla="*/ 53 w 105"/>
                                <a:gd name="T13" fmla="*/ 356 h 356"/>
                                <a:gd name="T14" fmla="*/ 0 w 105"/>
                                <a:gd name="T15" fmla="*/ 253 h 356"/>
                                <a:gd name="T16" fmla="*/ 105 w 105"/>
                                <a:gd name="T17" fmla="*/ 253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56">
                                  <a:moveTo>
                                    <a:pt x="70" y="3"/>
                                  </a:moveTo>
                                  <a:lnTo>
                                    <a:pt x="70" y="271"/>
                                  </a:lnTo>
                                  <a:lnTo>
                                    <a:pt x="35" y="271"/>
                                  </a:lnTo>
                                  <a:lnTo>
                                    <a:pt x="38" y="0"/>
                                  </a:lnTo>
                                  <a:lnTo>
                                    <a:pt x="70" y="3"/>
                                  </a:lnTo>
                                  <a:close/>
                                  <a:moveTo>
                                    <a:pt x="105" y="253"/>
                                  </a:moveTo>
                                  <a:lnTo>
                                    <a:pt x="53" y="356"/>
                                  </a:lnTo>
                                  <a:lnTo>
                                    <a:pt x="0" y="253"/>
                                  </a:lnTo>
                                  <a:lnTo>
                                    <a:pt x="105" y="2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3"/>
                          <wps:cNvSpPr>
                            <a:spLocks/>
                          </wps:cNvSpPr>
                          <wps:spPr bwMode="auto">
                            <a:xfrm>
                              <a:off x="1847" y="601"/>
                              <a:ext cx="35" cy="271"/>
                            </a:xfrm>
                            <a:custGeom>
                              <a:avLst/>
                              <a:gdLst>
                                <a:gd name="T0" fmla="*/ 35 w 35"/>
                                <a:gd name="T1" fmla="*/ 3 h 271"/>
                                <a:gd name="T2" fmla="*/ 35 w 35"/>
                                <a:gd name="T3" fmla="*/ 271 h 271"/>
                                <a:gd name="T4" fmla="*/ 0 w 35"/>
                                <a:gd name="T5" fmla="*/ 271 h 271"/>
                                <a:gd name="T6" fmla="*/ 3 w 35"/>
                                <a:gd name="T7" fmla="*/ 0 h 271"/>
                                <a:gd name="T8" fmla="*/ 35 w 35"/>
                                <a:gd name="T9" fmla="*/ 3 h 271"/>
                              </a:gdLst>
                              <a:ahLst/>
                              <a:cxnLst>
                                <a:cxn ang="0">
                                  <a:pos x="T0" y="T1"/>
                                </a:cxn>
                                <a:cxn ang="0">
                                  <a:pos x="T2" y="T3"/>
                                </a:cxn>
                                <a:cxn ang="0">
                                  <a:pos x="T4" y="T5"/>
                                </a:cxn>
                                <a:cxn ang="0">
                                  <a:pos x="T6" y="T7"/>
                                </a:cxn>
                                <a:cxn ang="0">
                                  <a:pos x="T8" y="T9"/>
                                </a:cxn>
                              </a:cxnLst>
                              <a:rect l="0" t="0" r="r" b="b"/>
                              <a:pathLst>
                                <a:path w="35" h="271">
                                  <a:moveTo>
                                    <a:pt x="35" y="3"/>
                                  </a:moveTo>
                                  <a:lnTo>
                                    <a:pt x="35" y="271"/>
                                  </a:lnTo>
                                  <a:lnTo>
                                    <a:pt x="0" y="271"/>
                                  </a:lnTo>
                                  <a:lnTo>
                                    <a:pt x="3" y="0"/>
                                  </a:lnTo>
                                  <a:lnTo>
                                    <a:pt x="35" y="3"/>
                                  </a:lnTo>
                                  <a:close/>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4"/>
                          <wps:cNvSpPr>
                            <a:spLocks/>
                          </wps:cNvSpPr>
                          <wps:spPr bwMode="auto">
                            <a:xfrm>
                              <a:off x="1812" y="854"/>
                              <a:ext cx="105" cy="103"/>
                            </a:xfrm>
                            <a:custGeom>
                              <a:avLst/>
                              <a:gdLst>
                                <a:gd name="T0" fmla="*/ 105 w 105"/>
                                <a:gd name="T1" fmla="*/ 0 h 103"/>
                                <a:gd name="T2" fmla="*/ 53 w 105"/>
                                <a:gd name="T3" fmla="*/ 103 h 103"/>
                                <a:gd name="T4" fmla="*/ 0 w 105"/>
                                <a:gd name="T5" fmla="*/ 0 h 103"/>
                                <a:gd name="T6" fmla="*/ 105 w 105"/>
                                <a:gd name="T7" fmla="*/ 0 h 103"/>
                              </a:gdLst>
                              <a:ahLst/>
                              <a:cxnLst>
                                <a:cxn ang="0">
                                  <a:pos x="T0" y="T1"/>
                                </a:cxn>
                                <a:cxn ang="0">
                                  <a:pos x="T2" y="T3"/>
                                </a:cxn>
                                <a:cxn ang="0">
                                  <a:pos x="T4" y="T5"/>
                                </a:cxn>
                                <a:cxn ang="0">
                                  <a:pos x="T6" y="T7"/>
                                </a:cxn>
                              </a:cxnLst>
                              <a:rect l="0" t="0" r="r" b="b"/>
                              <a:pathLst>
                                <a:path w="105" h="103">
                                  <a:moveTo>
                                    <a:pt x="105" y="0"/>
                                  </a:moveTo>
                                  <a:lnTo>
                                    <a:pt x="53" y="103"/>
                                  </a:lnTo>
                                  <a:lnTo>
                                    <a:pt x="0" y="0"/>
                                  </a:lnTo>
                                  <a:lnTo>
                                    <a:pt x="105"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8" name="Group 235"/>
                        <wpg:cNvGrpSpPr>
                          <a:grpSpLocks/>
                        </wpg:cNvGrpSpPr>
                        <wpg:grpSpPr bwMode="auto">
                          <a:xfrm>
                            <a:off x="3276405" y="334899"/>
                            <a:ext cx="66675" cy="825500"/>
                            <a:chOff x="5240" y="604"/>
                            <a:chExt cx="105" cy="1300"/>
                          </a:xfrm>
                        </wpg:grpSpPr>
                        <wps:wsp>
                          <wps:cNvPr id="239" name="Freeform 236"/>
                          <wps:cNvSpPr>
                            <a:spLocks noEditPoints="1"/>
                          </wps:cNvSpPr>
                          <wps:spPr bwMode="auto">
                            <a:xfrm>
                              <a:off x="5240" y="604"/>
                              <a:ext cx="105" cy="1300"/>
                            </a:xfrm>
                            <a:custGeom>
                              <a:avLst/>
                              <a:gdLst>
                                <a:gd name="T0" fmla="*/ 75 w 105"/>
                                <a:gd name="T1" fmla="*/ 0 h 1300"/>
                                <a:gd name="T2" fmla="*/ 70 w 105"/>
                                <a:gd name="T3" fmla="*/ 1212 h 1300"/>
                                <a:gd name="T4" fmla="*/ 35 w 105"/>
                                <a:gd name="T5" fmla="*/ 1212 h 1300"/>
                                <a:gd name="T6" fmla="*/ 40 w 105"/>
                                <a:gd name="T7" fmla="*/ 0 h 1300"/>
                                <a:gd name="T8" fmla="*/ 75 w 105"/>
                                <a:gd name="T9" fmla="*/ 0 h 1300"/>
                                <a:gd name="T10" fmla="*/ 105 w 105"/>
                                <a:gd name="T11" fmla="*/ 1195 h 1300"/>
                                <a:gd name="T12" fmla="*/ 52 w 105"/>
                                <a:gd name="T13" fmla="*/ 1300 h 1300"/>
                                <a:gd name="T14" fmla="*/ 0 w 105"/>
                                <a:gd name="T15" fmla="*/ 1195 h 1300"/>
                                <a:gd name="T16" fmla="*/ 105 w 105"/>
                                <a:gd name="T17" fmla="*/ 1195 h 1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300">
                                  <a:moveTo>
                                    <a:pt x="75" y="0"/>
                                  </a:moveTo>
                                  <a:lnTo>
                                    <a:pt x="70" y="1212"/>
                                  </a:lnTo>
                                  <a:lnTo>
                                    <a:pt x="35" y="1212"/>
                                  </a:lnTo>
                                  <a:lnTo>
                                    <a:pt x="40" y="0"/>
                                  </a:lnTo>
                                  <a:lnTo>
                                    <a:pt x="75" y="0"/>
                                  </a:lnTo>
                                  <a:close/>
                                  <a:moveTo>
                                    <a:pt x="105" y="1195"/>
                                  </a:moveTo>
                                  <a:lnTo>
                                    <a:pt x="52" y="1300"/>
                                  </a:lnTo>
                                  <a:lnTo>
                                    <a:pt x="0" y="1195"/>
                                  </a:lnTo>
                                  <a:lnTo>
                                    <a:pt x="105" y="119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7"/>
                          <wps:cNvSpPr>
                            <a:spLocks/>
                          </wps:cNvSpPr>
                          <wps:spPr bwMode="auto">
                            <a:xfrm>
                              <a:off x="5275" y="604"/>
                              <a:ext cx="40" cy="1212"/>
                            </a:xfrm>
                            <a:custGeom>
                              <a:avLst/>
                              <a:gdLst>
                                <a:gd name="T0" fmla="*/ 40 w 40"/>
                                <a:gd name="T1" fmla="*/ 0 h 1212"/>
                                <a:gd name="T2" fmla="*/ 35 w 40"/>
                                <a:gd name="T3" fmla="*/ 1212 h 1212"/>
                                <a:gd name="T4" fmla="*/ 0 w 40"/>
                                <a:gd name="T5" fmla="*/ 1212 h 1212"/>
                                <a:gd name="T6" fmla="*/ 5 w 40"/>
                                <a:gd name="T7" fmla="*/ 0 h 1212"/>
                                <a:gd name="T8" fmla="*/ 40 w 40"/>
                                <a:gd name="T9" fmla="*/ 0 h 1212"/>
                              </a:gdLst>
                              <a:ahLst/>
                              <a:cxnLst>
                                <a:cxn ang="0">
                                  <a:pos x="T0" y="T1"/>
                                </a:cxn>
                                <a:cxn ang="0">
                                  <a:pos x="T2" y="T3"/>
                                </a:cxn>
                                <a:cxn ang="0">
                                  <a:pos x="T4" y="T5"/>
                                </a:cxn>
                                <a:cxn ang="0">
                                  <a:pos x="T6" y="T7"/>
                                </a:cxn>
                                <a:cxn ang="0">
                                  <a:pos x="T8" y="T9"/>
                                </a:cxn>
                              </a:cxnLst>
                              <a:rect l="0" t="0" r="r" b="b"/>
                              <a:pathLst>
                                <a:path w="40" h="1212">
                                  <a:moveTo>
                                    <a:pt x="40" y="0"/>
                                  </a:moveTo>
                                  <a:lnTo>
                                    <a:pt x="35" y="1212"/>
                                  </a:lnTo>
                                  <a:lnTo>
                                    <a:pt x="0" y="1212"/>
                                  </a:lnTo>
                                  <a:lnTo>
                                    <a:pt x="5" y="0"/>
                                  </a:lnTo>
                                  <a:lnTo>
                                    <a:pt x="40" y="0"/>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38"/>
                          <wps:cNvSpPr>
                            <a:spLocks/>
                          </wps:cNvSpPr>
                          <wps:spPr bwMode="auto">
                            <a:xfrm>
                              <a:off x="5240" y="1799"/>
                              <a:ext cx="105" cy="105"/>
                            </a:xfrm>
                            <a:custGeom>
                              <a:avLst/>
                              <a:gdLst>
                                <a:gd name="T0" fmla="*/ 105 w 105"/>
                                <a:gd name="T1" fmla="*/ 0 h 105"/>
                                <a:gd name="T2" fmla="*/ 52 w 105"/>
                                <a:gd name="T3" fmla="*/ 105 h 105"/>
                                <a:gd name="T4" fmla="*/ 0 w 105"/>
                                <a:gd name="T5" fmla="*/ 0 h 105"/>
                                <a:gd name="T6" fmla="*/ 105 w 105"/>
                                <a:gd name="T7" fmla="*/ 0 h 105"/>
                              </a:gdLst>
                              <a:ahLst/>
                              <a:cxnLst>
                                <a:cxn ang="0">
                                  <a:pos x="T0" y="T1"/>
                                </a:cxn>
                                <a:cxn ang="0">
                                  <a:pos x="T2" y="T3"/>
                                </a:cxn>
                                <a:cxn ang="0">
                                  <a:pos x="T4" y="T5"/>
                                </a:cxn>
                                <a:cxn ang="0">
                                  <a:pos x="T6" y="T7"/>
                                </a:cxn>
                              </a:cxnLst>
                              <a:rect l="0" t="0" r="r" b="b"/>
                              <a:pathLst>
                                <a:path w="105" h="105">
                                  <a:moveTo>
                                    <a:pt x="105" y="0"/>
                                  </a:moveTo>
                                  <a:lnTo>
                                    <a:pt x="52" y="105"/>
                                  </a:lnTo>
                                  <a:lnTo>
                                    <a:pt x="0" y="0"/>
                                  </a:lnTo>
                                  <a:lnTo>
                                    <a:pt x="105"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2" name="Rectangle 239"/>
                        <wps:cNvSpPr>
                          <a:spLocks noChangeArrowheads="1"/>
                        </wps:cNvSpPr>
                        <wps:spPr bwMode="auto">
                          <a:xfrm>
                            <a:off x="116010" y="600329"/>
                            <a:ext cx="2748280" cy="32575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40"/>
                        <wps:cNvSpPr>
                          <a:spLocks noChangeArrowheads="1"/>
                        </wps:cNvSpPr>
                        <wps:spPr bwMode="auto">
                          <a:xfrm>
                            <a:off x="234755" y="653669"/>
                            <a:ext cx="3810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Are there </w:t>
                              </w:r>
                            </w:p>
                          </w:txbxContent>
                        </wps:txbx>
                        <wps:bodyPr rot="0" vert="horz" wrap="none" lIns="0" tIns="0" rIns="0" bIns="0" anchor="t" anchorCtr="0" upright="1">
                          <a:spAutoFit/>
                        </wps:bodyPr>
                      </wps:wsp>
                      <wps:wsp>
                        <wps:cNvPr id="244" name="Rectangle 241"/>
                        <wps:cNvSpPr>
                          <a:spLocks noChangeArrowheads="1"/>
                        </wps:cNvSpPr>
                        <wps:spPr bwMode="auto">
                          <a:xfrm>
                            <a:off x="644965" y="653669"/>
                            <a:ext cx="20821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models able to predict the toxicity of the chemical? </w:t>
                              </w:r>
                            </w:p>
                          </w:txbxContent>
                        </wps:txbx>
                        <wps:bodyPr rot="0" vert="horz" wrap="none" lIns="0" tIns="0" rIns="0" bIns="0" anchor="t" anchorCtr="0" upright="1">
                          <a:spAutoFit/>
                        </wps:bodyPr>
                      </wps:wsp>
                      <wps:wsp>
                        <wps:cNvPr id="245" name="Rectangle 242"/>
                        <wps:cNvSpPr>
                          <a:spLocks noChangeArrowheads="1"/>
                        </wps:cNvSpPr>
                        <wps:spPr bwMode="auto">
                          <a:xfrm>
                            <a:off x="1185350" y="773049"/>
                            <a:ext cx="607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(e.g. narcotics)</w:t>
                              </w:r>
                            </w:p>
                          </w:txbxContent>
                        </wps:txbx>
                        <wps:bodyPr rot="0" vert="horz" wrap="none" lIns="0" tIns="0" rIns="0" bIns="0" anchor="t" anchorCtr="0" upright="1">
                          <a:spAutoFit/>
                        </wps:bodyPr>
                      </wps:wsp>
                      <wps:wsp>
                        <wps:cNvPr id="246" name="Rectangle 243"/>
                        <wps:cNvSpPr>
                          <a:spLocks noChangeArrowheads="1"/>
                        </wps:cNvSpPr>
                        <wps:spPr bwMode="auto">
                          <a:xfrm>
                            <a:off x="1737165" y="1212469"/>
                            <a:ext cx="2435860" cy="25146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44"/>
                        <wps:cNvSpPr>
                          <a:spLocks noChangeArrowheads="1"/>
                        </wps:cNvSpPr>
                        <wps:spPr bwMode="auto">
                          <a:xfrm>
                            <a:off x="2032440" y="1270889"/>
                            <a:ext cx="1831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Screen toxicity data and determine reliability</w:t>
                              </w:r>
                            </w:p>
                          </w:txbxContent>
                        </wps:txbx>
                        <wps:bodyPr rot="0" vert="horz" wrap="none" lIns="0" tIns="0" rIns="0" bIns="0" anchor="t" anchorCtr="0" upright="1">
                          <a:spAutoFit/>
                        </wps:bodyPr>
                      </wps:wsp>
                      <wpg:wgp>
                        <wpg:cNvPr id="248" name="Group 245"/>
                        <wpg:cNvGrpSpPr>
                          <a:grpSpLocks/>
                        </wpg:cNvGrpSpPr>
                        <wpg:grpSpPr bwMode="auto">
                          <a:xfrm>
                            <a:off x="765615" y="956564"/>
                            <a:ext cx="65405" cy="211455"/>
                            <a:chOff x="1286" y="1583"/>
                            <a:chExt cx="103" cy="333"/>
                          </a:xfrm>
                        </wpg:grpSpPr>
                        <wps:wsp>
                          <wps:cNvPr id="249" name="Freeform 246"/>
                          <wps:cNvSpPr>
                            <a:spLocks noEditPoints="1"/>
                          </wps:cNvSpPr>
                          <wps:spPr bwMode="auto">
                            <a:xfrm>
                              <a:off x="1286" y="1583"/>
                              <a:ext cx="103" cy="333"/>
                            </a:xfrm>
                            <a:custGeom>
                              <a:avLst/>
                              <a:gdLst>
                                <a:gd name="T0" fmla="*/ 68 w 103"/>
                                <a:gd name="T1" fmla="*/ 0 h 333"/>
                                <a:gd name="T2" fmla="*/ 68 w 103"/>
                                <a:gd name="T3" fmla="*/ 248 h 333"/>
                                <a:gd name="T4" fmla="*/ 35 w 103"/>
                                <a:gd name="T5" fmla="*/ 248 h 333"/>
                                <a:gd name="T6" fmla="*/ 33 w 103"/>
                                <a:gd name="T7" fmla="*/ 0 h 333"/>
                                <a:gd name="T8" fmla="*/ 68 w 103"/>
                                <a:gd name="T9" fmla="*/ 0 h 333"/>
                                <a:gd name="T10" fmla="*/ 103 w 103"/>
                                <a:gd name="T11" fmla="*/ 230 h 333"/>
                                <a:gd name="T12" fmla="*/ 53 w 103"/>
                                <a:gd name="T13" fmla="*/ 333 h 333"/>
                                <a:gd name="T14" fmla="*/ 0 w 103"/>
                                <a:gd name="T15" fmla="*/ 230 h 333"/>
                                <a:gd name="T16" fmla="*/ 103 w 103"/>
                                <a:gd name="T17" fmla="*/ 23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333">
                                  <a:moveTo>
                                    <a:pt x="68" y="0"/>
                                  </a:moveTo>
                                  <a:lnTo>
                                    <a:pt x="68" y="248"/>
                                  </a:lnTo>
                                  <a:lnTo>
                                    <a:pt x="35" y="248"/>
                                  </a:lnTo>
                                  <a:lnTo>
                                    <a:pt x="33" y="0"/>
                                  </a:lnTo>
                                  <a:lnTo>
                                    <a:pt x="68" y="0"/>
                                  </a:lnTo>
                                  <a:close/>
                                  <a:moveTo>
                                    <a:pt x="103" y="230"/>
                                  </a:moveTo>
                                  <a:lnTo>
                                    <a:pt x="53" y="333"/>
                                  </a:lnTo>
                                  <a:lnTo>
                                    <a:pt x="0" y="230"/>
                                  </a:lnTo>
                                  <a:lnTo>
                                    <a:pt x="103" y="2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7"/>
                          <wps:cNvSpPr>
                            <a:spLocks/>
                          </wps:cNvSpPr>
                          <wps:spPr bwMode="auto">
                            <a:xfrm>
                              <a:off x="1319" y="1583"/>
                              <a:ext cx="35" cy="248"/>
                            </a:xfrm>
                            <a:custGeom>
                              <a:avLst/>
                              <a:gdLst>
                                <a:gd name="T0" fmla="*/ 35 w 35"/>
                                <a:gd name="T1" fmla="*/ 0 h 248"/>
                                <a:gd name="T2" fmla="*/ 35 w 35"/>
                                <a:gd name="T3" fmla="*/ 248 h 248"/>
                                <a:gd name="T4" fmla="*/ 2 w 35"/>
                                <a:gd name="T5" fmla="*/ 248 h 248"/>
                                <a:gd name="T6" fmla="*/ 0 w 35"/>
                                <a:gd name="T7" fmla="*/ 0 h 248"/>
                                <a:gd name="T8" fmla="*/ 35 w 35"/>
                                <a:gd name="T9" fmla="*/ 0 h 248"/>
                              </a:gdLst>
                              <a:ahLst/>
                              <a:cxnLst>
                                <a:cxn ang="0">
                                  <a:pos x="T0" y="T1"/>
                                </a:cxn>
                                <a:cxn ang="0">
                                  <a:pos x="T2" y="T3"/>
                                </a:cxn>
                                <a:cxn ang="0">
                                  <a:pos x="T4" y="T5"/>
                                </a:cxn>
                                <a:cxn ang="0">
                                  <a:pos x="T6" y="T7"/>
                                </a:cxn>
                                <a:cxn ang="0">
                                  <a:pos x="T8" y="T9"/>
                                </a:cxn>
                              </a:cxnLst>
                              <a:rect l="0" t="0" r="r" b="b"/>
                              <a:pathLst>
                                <a:path w="35" h="248">
                                  <a:moveTo>
                                    <a:pt x="35" y="0"/>
                                  </a:moveTo>
                                  <a:lnTo>
                                    <a:pt x="35" y="248"/>
                                  </a:lnTo>
                                  <a:lnTo>
                                    <a:pt x="2" y="248"/>
                                  </a:lnTo>
                                  <a:lnTo>
                                    <a:pt x="0" y="0"/>
                                  </a:lnTo>
                                  <a:lnTo>
                                    <a:pt x="35" y="0"/>
                                  </a:lnTo>
                                  <a:close/>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48"/>
                          <wps:cNvSpPr>
                            <a:spLocks/>
                          </wps:cNvSpPr>
                          <wps:spPr bwMode="auto">
                            <a:xfrm>
                              <a:off x="1286" y="1813"/>
                              <a:ext cx="103" cy="103"/>
                            </a:xfrm>
                            <a:custGeom>
                              <a:avLst/>
                              <a:gdLst>
                                <a:gd name="T0" fmla="*/ 103 w 103"/>
                                <a:gd name="T1" fmla="*/ 0 h 103"/>
                                <a:gd name="T2" fmla="*/ 53 w 103"/>
                                <a:gd name="T3" fmla="*/ 103 h 103"/>
                                <a:gd name="T4" fmla="*/ 0 w 103"/>
                                <a:gd name="T5" fmla="*/ 0 h 103"/>
                                <a:gd name="T6" fmla="*/ 103 w 103"/>
                                <a:gd name="T7" fmla="*/ 0 h 103"/>
                              </a:gdLst>
                              <a:ahLst/>
                              <a:cxnLst>
                                <a:cxn ang="0">
                                  <a:pos x="T0" y="T1"/>
                                </a:cxn>
                                <a:cxn ang="0">
                                  <a:pos x="T2" y="T3"/>
                                </a:cxn>
                                <a:cxn ang="0">
                                  <a:pos x="T4" y="T5"/>
                                </a:cxn>
                                <a:cxn ang="0">
                                  <a:pos x="T6" y="T7"/>
                                </a:cxn>
                              </a:cxnLst>
                              <a:rect l="0" t="0" r="r" b="b"/>
                              <a:pathLst>
                                <a:path w="103" h="103">
                                  <a:moveTo>
                                    <a:pt x="103" y="0"/>
                                  </a:moveTo>
                                  <a:lnTo>
                                    <a:pt x="53" y="103"/>
                                  </a:lnTo>
                                  <a:lnTo>
                                    <a:pt x="0" y="0"/>
                                  </a:lnTo>
                                  <a:lnTo>
                                    <a:pt x="103"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52" name="Group 249"/>
                        <wpg:cNvGrpSpPr>
                          <a:grpSpLocks/>
                        </wpg:cNvGrpSpPr>
                        <wpg:grpSpPr bwMode="auto">
                          <a:xfrm>
                            <a:off x="2348035" y="957834"/>
                            <a:ext cx="66675" cy="212090"/>
                            <a:chOff x="3778" y="1585"/>
                            <a:chExt cx="105" cy="334"/>
                          </a:xfrm>
                        </wpg:grpSpPr>
                        <wps:wsp>
                          <wps:cNvPr id="253" name="Freeform 250"/>
                          <wps:cNvSpPr>
                            <a:spLocks noEditPoints="1"/>
                          </wps:cNvSpPr>
                          <wps:spPr bwMode="auto">
                            <a:xfrm>
                              <a:off x="3778" y="1585"/>
                              <a:ext cx="105" cy="334"/>
                            </a:xfrm>
                            <a:custGeom>
                              <a:avLst/>
                              <a:gdLst>
                                <a:gd name="T0" fmla="*/ 70 w 105"/>
                                <a:gd name="T1" fmla="*/ 0 h 334"/>
                                <a:gd name="T2" fmla="*/ 70 w 105"/>
                                <a:gd name="T3" fmla="*/ 246 h 334"/>
                                <a:gd name="T4" fmla="*/ 35 w 105"/>
                                <a:gd name="T5" fmla="*/ 246 h 334"/>
                                <a:gd name="T6" fmla="*/ 35 w 105"/>
                                <a:gd name="T7" fmla="*/ 0 h 334"/>
                                <a:gd name="T8" fmla="*/ 70 w 105"/>
                                <a:gd name="T9" fmla="*/ 0 h 334"/>
                                <a:gd name="T10" fmla="*/ 105 w 105"/>
                                <a:gd name="T11" fmla="*/ 229 h 334"/>
                                <a:gd name="T12" fmla="*/ 52 w 105"/>
                                <a:gd name="T13" fmla="*/ 334 h 334"/>
                                <a:gd name="T14" fmla="*/ 0 w 105"/>
                                <a:gd name="T15" fmla="*/ 229 h 334"/>
                                <a:gd name="T16" fmla="*/ 105 w 105"/>
                                <a:gd name="T17" fmla="*/ 229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34">
                                  <a:moveTo>
                                    <a:pt x="70" y="0"/>
                                  </a:moveTo>
                                  <a:lnTo>
                                    <a:pt x="70" y="246"/>
                                  </a:lnTo>
                                  <a:lnTo>
                                    <a:pt x="35" y="246"/>
                                  </a:lnTo>
                                  <a:lnTo>
                                    <a:pt x="35" y="0"/>
                                  </a:lnTo>
                                  <a:lnTo>
                                    <a:pt x="70" y="0"/>
                                  </a:lnTo>
                                  <a:close/>
                                  <a:moveTo>
                                    <a:pt x="105" y="229"/>
                                  </a:moveTo>
                                  <a:lnTo>
                                    <a:pt x="52" y="334"/>
                                  </a:lnTo>
                                  <a:lnTo>
                                    <a:pt x="0" y="229"/>
                                  </a:lnTo>
                                  <a:lnTo>
                                    <a:pt x="105" y="22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Rectangle 251"/>
                          <wps:cNvSpPr>
                            <a:spLocks noChangeArrowheads="1"/>
                          </wps:cNvSpPr>
                          <wps:spPr bwMode="auto">
                            <a:xfrm>
                              <a:off x="3813" y="1585"/>
                              <a:ext cx="35" cy="246"/>
                            </a:xfrm>
                            <a:prstGeom prst="rect">
                              <a:avLst/>
                            </a:pr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2"/>
                          <wps:cNvSpPr>
                            <a:spLocks/>
                          </wps:cNvSpPr>
                          <wps:spPr bwMode="auto">
                            <a:xfrm>
                              <a:off x="3778" y="1814"/>
                              <a:ext cx="105" cy="105"/>
                            </a:xfrm>
                            <a:custGeom>
                              <a:avLst/>
                              <a:gdLst>
                                <a:gd name="T0" fmla="*/ 105 w 105"/>
                                <a:gd name="T1" fmla="*/ 0 h 105"/>
                                <a:gd name="T2" fmla="*/ 52 w 105"/>
                                <a:gd name="T3" fmla="*/ 105 h 105"/>
                                <a:gd name="T4" fmla="*/ 0 w 105"/>
                                <a:gd name="T5" fmla="*/ 0 h 105"/>
                                <a:gd name="T6" fmla="*/ 105 w 105"/>
                                <a:gd name="T7" fmla="*/ 0 h 105"/>
                              </a:gdLst>
                              <a:ahLst/>
                              <a:cxnLst>
                                <a:cxn ang="0">
                                  <a:pos x="T0" y="T1"/>
                                </a:cxn>
                                <a:cxn ang="0">
                                  <a:pos x="T2" y="T3"/>
                                </a:cxn>
                                <a:cxn ang="0">
                                  <a:pos x="T4" y="T5"/>
                                </a:cxn>
                                <a:cxn ang="0">
                                  <a:pos x="T6" y="T7"/>
                                </a:cxn>
                              </a:cxnLst>
                              <a:rect l="0" t="0" r="r" b="b"/>
                              <a:pathLst>
                                <a:path w="105" h="105">
                                  <a:moveTo>
                                    <a:pt x="105" y="0"/>
                                  </a:moveTo>
                                  <a:lnTo>
                                    <a:pt x="52" y="105"/>
                                  </a:lnTo>
                                  <a:lnTo>
                                    <a:pt x="0" y="0"/>
                                  </a:lnTo>
                                  <a:lnTo>
                                    <a:pt x="105"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56" name="Group 253"/>
                        <wpg:cNvGrpSpPr>
                          <a:grpSpLocks/>
                        </wpg:cNvGrpSpPr>
                        <wpg:grpSpPr bwMode="auto">
                          <a:xfrm>
                            <a:off x="2595685" y="2384679"/>
                            <a:ext cx="65405" cy="193040"/>
                            <a:chOff x="4168" y="3832"/>
                            <a:chExt cx="103" cy="304"/>
                          </a:xfrm>
                        </wpg:grpSpPr>
                        <wps:wsp>
                          <wps:cNvPr id="257" name="Freeform 254"/>
                          <wps:cNvSpPr>
                            <a:spLocks noEditPoints="1"/>
                          </wps:cNvSpPr>
                          <wps:spPr bwMode="auto">
                            <a:xfrm>
                              <a:off x="4168" y="3832"/>
                              <a:ext cx="103" cy="304"/>
                            </a:xfrm>
                            <a:custGeom>
                              <a:avLst/>
                              <a:gdLst>
                                <a:gd name="T0" fmla="*/ 68 w 103"/>
                                <a:gd name="T1" fmla="*/ 0 h 304"/>
                                <a:gd name="T2" fmla="*/ 70 w 103"/>
                                <a:gd name="T3" fmla="*/ 218 h 304"/>
                                <a:gd name="T4" fmla="*/ 35 w 103"/>
                                <a:gd name="T5" fmla="*/ 218 h 304"/>
                                <a:gd name="T6" fmla="*/ 33 w 103"/>
                                <a:gd name="T7" fmla="*/ 0 h 304"/>
                                <a:gd name="T8" fmla="*/ 68 w 103"/>
                                <a:gd name="T9" fmla="*/ 0 h 304"/>
                                <a:gd name="T10" fmla="*/ 103 w 103"/>
                                <a:gd name="T11" fmla="*/ 201 h 304"/>
                                <a:gd name="T12" fmla="*/ 53 w 103"/>
                                <a:gd name="T13" fmla="*/ 304 h 304"/>
                                <a:gd name="T14" fmla="*/ 0 w 103"/>
                                <a:gd name="T15" fmla="*/ 201 h 304"/>
                                <a:gd name="T16" fmla="*/ 103 w 103"/>
                                <a:gd name="T17" fmla="*/ 20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304">
                                  <a:moveTo>
                                    <a:pt x="68" y="0"/>
                                  </a:moveTo>
                                  <a:lnTo>
                                    <a:pt x="70" y="218"/>
                                  </a:lnTo>
                                  <a:lnTo>
                                    <a:pt x="35" y="218"/>
                                  </a:lnTo>
                                  <a:lnTo>
                                    <a:pt x="33" y="0"/>
                                  </a:lnTo>
                                  <a:lnTo>
                                    <a:pt x="68" y="0"/>
                                  </a:lnTo>
                                  <a:close/>
                                  <a:moveTo>
                                    <a:pt x="103" y="201"/>
                                  </a:moveTo>
                                  <a:lnTo>
                                    <a:pt x="53" y="304"/>
                                  </a:lnTo>
                                  <a:lnTo>
                                    <a:pt x="0" y="201"/>
                                  </a:lnTo>
                                  <a:lnTo>
                                    <a:pt x="103" y="201"/>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5"/>
                          <wps:cNvSpPr>
                            <a:spLocks/>
                          </wps:cNvSpPr>
                          <wps:spPr bwMode="auto">
                            <a:xfrm>
                              <a:off x="4201" y="3832"/>
                              <a:ext cx="37" cy="218"/>
                            </a:xfrm>
                            <a:custGeom>
                              <a:avLst/>
                              <a:gdLst>
                                <a:gd name="T0" fmla="*/ 35 w 37"/>
                                <a:gd name="T1" fmla="*/ 0 h 218"/>
                                <a:gd name="T2" fmla="*/ 37 w 37"/>
                                <a:gd name="T3" fmla="*/ 218 h 218"/>
                                <a:gd name="T4" fmla="*/ 2 w 37"/>
                                <a:gd name="T5" fmla="*/ 218 h 218"/>
                                <a:gd name="T6" fmla="*/ 0 w 37"/>
                                <a:gd name="T7" fmla="*/ 0 h 218"/>
                                <a:gd name="T8" fmla="*/ 35 w 37"/>
                                <a:gd name="T9" fmla="*/ 0 h 218"/>
                              </a:gdLst>
                              <a:ahLst/>
                              <a:cxnLst>
                                <a:cxn ang="0">
                                  <a:pos x="T0" y="T1"/>
                                </a:cxn>
                                <a:cxn ang="0">
                                  <a:pos x="T2" y="T3"/>
                                </a:cxn>
                                <a:cxn ang="0">
                                  <a:pos x="T4" y="T5"/>
                                </a:cxn>
                                <a:cxn ang="0">
                                  <a:pos x="T6" y="T7"/>
                                </a:cxn>
                                <a:cxn ang="0">
                                  <a:pos x="T8" y="T9"/>
                                </a:cxn>
                              </a:cxnLst>
                              <a:rect l="0" t="0" r="r" b="b"/>
                              <a:pathLst>
                                <a:path w="37" h="218">
                                  <a:moveTo>
                                    <a:pt x="35" y="0"/>
                                  </a:moveTo>
                                  <a:lnTo>
                                    <a:pt x="37" y="218"/>
                                  </a:lnTo>
                                  <a:lnTo>
                                    <a:pt x="2" y="218"/>
                                  </a:lnTo>
                                  <a:lnTo>
                                    <a:pt x="0" y="0"/>
                                  </a:lnTo>
                                  <a:lnTo>
                                    <a:pt x="35" y="0"/>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56"/>
                          <wps:cNvSpPr>
                            <a:spLocks/>
                          </wps:cNvSpPr>
                          <wps:spPr bwMode="auto">
                            <a:xfrm>
                              <a:off x="4168" y="4033"/>
                              <a:ext cx="103" cy="103"/>
                            </a:xfrm>
                            <a:custGeom>
                              <a:avLst/>
                              <a:gdLst>
                                <a:gd name="T0" fmla="*/ 103 w 103"/>
                                <a:gd name="T1" fmla="*/ 0 h 103"/>
                                <a:gd name="T2" fmla="*/ 53 w 103"/>
                                <a:gd name="T3" fmla="*/ 103 h 103"/>
                                <a:gd name="T4" fmla="*/ 0 w 103"/>
                                <a:gd name="T5" fmla="*/ 0 h 103"/>
                                <a:gd name="T6" fmla="*/ 103 w 103"/>
                                <a:gd name="T7" fmla="*/ 0 h 103"/>
                              </a:gdLst>
                              <a:ahLst/>
                              <a:cxnLst>
                                <a:cxn ang="0">
                                  <a:pos x="T0" y="T1"/>
                                </a:cxn>
                                <a:cxn ang="0">
                                  <a:pos x="T2" y="T3"/>
                                </a:cxn>
                                <a:cxn ang="0">
                                  <a:pos x="T4" y="T5"/>
                                </a:cxn>
                                <a:cxn ang="0">
                                  <a:pos x="T6" y="T7"/>
                                </a:cxn>
                              </a:cxnLst>
                              <a:rect l="0" t="0" r="r" b="b"/>
                              <a:pathLst>
                                <a:path w="103" h="103">
                                  <a:moveTo>
                                    <a:pt x="103" y="0"/>
                                  </a:moveTo>
                                  <a:lnTo>
                                    <a:pt x="53" y="103"/>
                                  </a:lnTo>
                                  <a:lnTo>
                                    <a:pt x="0" y="0"/>
                                  </a:lnTo>
                                  <a:lnTo>
                                    <a:pt x="103"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0" name="Group 257"/>
                        <wpg:cNvGrpSpPr>
                          <a:grpSpLocks/>
                        </wpg:cNvGrpSpPr>
                        <wpg:grpSpPr bwMode="auto">
                          <a:xfrm>
                            <a:off x="2678235" y="4543679"/>
                            <a:ext cx="67310" cy="305435"/>
                            <a:chOff x="4298" y="7232"/>
                            <a:chExt cx="106" cy="481"/>
                          </a:xfrm>
                        </wpg:grpSpPr>
                        <wps:wsp>
                          <wps:cNvPr id="261" name="Freeform 258"/>
                          <wps:cNvSpPr>
                            <a:spLocks noEditPoints="1"/>
                          </wps:cNvSpPr>
                          <wps:spPr bwMode="auto">
                            <a:xfrm>
                              <a:off x="4298" y="7232"/>
                              <a:ext cx="106" cy="481"/>
                            </a:xfrm>
                            <a:custGeom>
                              <a:avLst/>
                              <a:gdLst>
                                <a:gd name="T0" fmla="*/ 70 w 106"/>
                                <a:gd name="T1" fmla="*/ 0 h 481"/>
                                <a:gd name="T2" fmla="*/ 70 w 106"/>
                                <a:gd name="T3" fmla="*/ 393 h 481"/>
                                <a:gd name="T4" fmla="*/ 36 w 106"/>
                                <a:gd name="T5" fmla="*/ 393 h 481"/>
                                <a:gd name="T6" fmla="*/ 38 w 106"/>
                                <a:gd name="T7" fmla="*/ 0 h 481"/>
                                <a:gd name="T8" fmla="*/ 70 w 106"/>
                                <a:gd name="T9" fmla="*/ 0 h 481"/>
                                <a:gd name="T10" fmla="*/ 106 w 106"/>
                                <a:gd name="T11" fmla="*/ 376 h 481"/>
                                <a:gd name="T12" fmla="*/ 53 w 106"/>
                                <a:gd name="T13" fmla="*/ 481 h 481"/>
                                <a:gd name="T14" fmla="*/ 0 w 106"/>
                                <a:gd name="T15" fmla="*/ 376 h 481"/>
                                <a:gd name="T16" fmla="*/ 106 w 106"/>
                                <a:gd name="T17" fmla="*/ 376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481">
                                  <a:moveTo>
                                    <a:pt x="70" y="0"/>
                                  </a:moveTo>
                                  <a:lnTo>
                                    <a:pt x="70" y="393"/>
                                  </a:lnTo>
                                  <a:lnTo>
                                    <a:pt x="36" y="393"/>
                                  </a:lnTo>
                                  <a:lnTo>
                                    <a:pt x="38" y="0"/>
                                  </a:lnTo>
                                  <a:lnTo>
                                    <a:pt x="70" y="0"/>
                                  </a:lnTo>
                                  <a:close/>
                                  <a:moveTo>
                                    <a:pt x="106" y="376"/>
                                  </a:moveTo>
                                  <a:lnTo>
                                    <a:pt x="53" y="481"/>
                                  </a:lnTo>
                                  <a:lnTo>
                                    <a:pt x="0" y="376"/>
                                  </a:lnTo>
                                  <a:lnTo>
                                    <a:pt x="106" y="37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9"/>
                          <wps:cNvSpPr>
                            <a:spLocks/>
                          </wps:cNvSpPr>
                          <wps:spPr bwMode="auto">
                            <a:xfrm>
                              <a:off x="4334" y="7232"/>
                              <a:ext cx="34" cy="393"/>
                            </a:xfrm>
                            <a:custGeom>
                              <a:avLst/>
                              <a:gdLst>
                                <a:gd name="T0" fmla="*/ 34 w 34"/>
                                <a:gd name="T1" fmla="*/ 0 h 393"/>
                                <a:gd name="T2" fmla="*/ 34 w 34"/>
                                <a:gd name="T3" fmla="*/ 393 h 393"/>
                                <a:gd name="T4" fmla="*/ 0 w 34"/>
                                <a:gd name="T5" fmla="*/ 393 h 393"/>
                                <a:gd name="T6" fmla="*/ 2 w 34"/>
                                <a:gd name="T7" fmla="*/ 0 h 393"/>
                                <a:gd name="T8" fmla="*/ 34 w 34"/>
                                <a:gd name="T9" fmla="*/ 0 h 393"/>
                              </a:gdLst>
                              <a:ahLst/>
                              <a:cxnLst>
                                <a:cxn ang="0">
                                  <a:pos x="T0" y="T1"/>
                                </a:cxn>
                                <a:cxn ang="0">
                                  <a:pos x="T2" y="T3"/>
                                </a:cxn>
                                <a:cxn ang="0">
                                  <a:pos x="T4" y="T5"/>
                                </a:cxn>
                                <a:cxn ang="0">
                                  <a:pos x="T6" y="T7"/>
                                </a:cxn>
                                <a:cxn ang="0">
                                  <a:pos x="T8" y="T9"/>
                                </a:cxn>
                              </a:cxnLst>
                              <a:rect l="0" t="0" r="r" b="b"/>
                              <a:pathLst>
                                <a:path w="34" h="393">
                                  <a:moveTo>
                                    <a:pt x="34" y="0"/>
                                  </a:moveTo>
                                  <a:lnTo>
                                    <a:pt x="34" y="393"/>
                                  </a:lnTo>
                                  <a:lnTo>
                                    <a:pt x="0" y="393"/>
                                  </a:lnTo>
                                  <a:lnTo>
                                    <a:pt x="2" y="0"/>
                                  </a:lnTo>
                                  <a:lnTo>
                                    <a:pt x="34" y="0"/>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0"/>
                          <wps:cNvSpPr>
                            <a:spLocks/>
                          </wps:cNvSpPr>
                          <wps:spPr bwMode="auto">
                            <a:xfrm>
                              <a:off x="4298" y="7608"/>
                              <a:ext cx="106" cy="105"/>
                            </a:xfrm>
                            <a:custGeom>
                              <a:avLst/>
                              <a:gdLst>
                                <a:gd name="T0" fmla="*/ 106 w 106"/>
                                <a:gd name="T1" fmla="*/ 0 h 105"/>
                                <a:gd name="T2" fmla="*/ 53 w 106"/>
                                <a:gd name="T3" fmla="*/ 105 h 105"/>
                                <a:gd name="T4" fmla="*/ 0 w 106"/>
                                <a:gd name="T5" fmla="*/ 0 h 105"/>
                                <a:gd name="T6" fmla="*/ 106 w 106"/>
                                <a:gd name="T7" fmla="*/ 0 h 105"/>
                              </a:gdLst>
                              <a:ahLst/>
                              <a:cxnLst>
                                <a:cxn ang="0">
                                  <a:pos x="T0" y="T1"/>
                                </a:cxn>
                                <a:cxn ang="0">
                                  <a:pos x="T2" y="T3"/>
                                </a:cxn>
                                <a:cxn ang="0">
                                  <a:pos x="T4" y="T5"/>
                                </a:cxn>
                                <a:cxn ang="0">
                                  <a:pos x="T6" y="T7"/>
                                </a:cxn>
                              </a:cxnLst>
                              <a:rect l="0" t="0" r="r" b="b"/>
                              <a:pathLst>
                                <a:path w="106" h="105">
                                  <a:moveTo>
                                    <a:pt x="106" y="0"/>
                                  </a:moveTo>
                                  <a:lnTo>
                                    <a:pt x="53" y="105"/>
                                  </a:lnTo>
                                  <a:lnTo>
                                    <a:pt x="0" y="0"/>
                                  </a:lnTo>
                                  <a:lnTo>
                                    <a:pt x="106"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4" name="Rectangle 261"/>
                        <wps:cNvSpPr>
                          <a:spLocks noChangeArrowheads="1"/>
                        </wps:cNvSpPr>
                        <wps:spPr bwMode="auto">
                          <a:xfrm>
                            <a:off x="3435155" y="505714"/>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s:wsp>
                        <wps:cNvPr id="265" name="Rectangle 262"/>
                        <wps:cNvSpPr>
                          <a:spLocks noChangeArrowheads="1"/>
                        </wps:cNvSpPr>
                        <wps:spPr bwMode="auto">
                          <a:xfrm>
                            <a:off x="933890" y="369824"/>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266" name="Rectangle 263"/>
                        <wps:cNvSpPr>
                          <a:spLocks noChangeArrowheads="1"/>
                        </wps:cNvSpPr>
                        <wps:spPr bwMode="auto">
                          <a:xfrm>
                            <a:off x="597975" y="1003554"/>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267" name="Rectangle 264"/>
                        <wps:cNvSpPr>
                          <a:spLocks noChangeArrowheads="1"/>
                        </wps:cNvSpPr>
                        <wps:spPr bwMode="auto">
                          <a:xfrm>
                            <a:off x="2509960" y="1006729"/>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s:wsp>
                        <wps:cNvPr id="268" name="Rectangle 265"/>
                        <wps:cNvSpPr>
                          <a:spLocks noChangeArrowheads="1"/>
                        </wps:cNvSpPr>
                        <wps:spPr bwMode="auto">
                          <a:xfrm>
                            <a:off x="2789360" y="3057144"/>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g:wgp>
                        <wpg:cNvPr id="269" name="Group 266"/>
                        <wpg:cNvGrpSpPr>
                          <a:grpSpLocks/>
                        </wpg:cNvGrpSpPr>
                        <wpg:grpSpPr bwMode="auto">
                          <a:xfrm>
                            <a:off x="2077525" y="3035554"/>
                            <a:ext cx="66675" cy="679450"/>
                            <a:chOff x="3352" y="4857"/>
                            <a:chExt cx="105" cy="1070"/>
                          </a:xfrm>
                        </wpg:grpSpPr>
                        <wps:wsp>
                          <wps:cNvPr id="270" name="Freeform 267"/>
                          <wps:cNvSpPr>
                            <a:spLocks noEditPoints="1"/>
                          </wps:cNvSpPr>
                          <wps:spPr bwMode="auto">
                            <a:xfrm>
                              <a:off x="3352" y="4857"/>
                              <a:ext cx="105" cy="1070"/>
                            </a:xfrm>
                            <a:custGeom>
                              <a:avLst/>
                              <a:gdLst>
                                <a:gd name="T0" fmla="*/ 70 w 105"/>
                                <a:gd name="T1" fmla="*/ 0 h 1070"/>
                                <a:gd name="T2" fmla="*/ 70 w 105"/>
                                <a:gd name="T3" fmla="*/ 982 h 1070"/>
                                <a:gd name="T4" fmla="*/ 35 w 105"/>
                                <a:gd name="T5" fmla="*/ 982 h 1070"/>
                                <a:gd name="T6" fmla="*/ 35 w 105"/>
                                <a:gd name="T7" fmla="*/ 0 h 1070"/>
                                <a:gd name="T8" fmla="*/ 70 w 105"/>
                                <a:gd name="T9" fmla="*/ 0 h 1070"/>
                                <a:gd name="T10" fmla="*/ 105 w 105"/>
                                <a:gd name="T11" fmla="*/ 967 h 1070"/>
                                <a:gd name="T12" fmla="*/ 53 w 105"/>
                                <a:gd name="T13" fmla="*/ 1070 h 1070"/>
                                <a:gd name="T14" fmla="*/ 0 w 105"/>
                                <a:gd name="T15" fmla="*/ 967 h 1070"/>
                                <a:gd name="T16" fmla="*/ 105 w 105"/>
                                <a:gd name="T17" fmla="*/ 967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070">
                                  <a:moveTo>
                                    <a:pt x="70" y="0"/>
                                  </a:moveTo>
                                  <a:lnTo>
                                    <a:pt x="70" y="982"/>
                                  </a:lnTo>
                                  <a:lnTo>
                                    <a:pt x="35" y="982"/>
                                  </a:lnTo>
                                  <a:lnTo>
                                    <a:pt x="35" y="0"/>
                                  </a:lnTo>
                                  <a:lnTo>
                                    <a:pt x="70" y="0"/>
                                  </a:lnTo>
                                  <a:close/>
                                  <a:moveTo>
                                    <a:pt x="105" y="967"/>
                                  </a:moveTo>
                                  <a:lnTo>
                                    <a:pt x="53" y="1070"/>
                                  </a:lnTo>
                                  <a:lnTo>
                                    <a:pt x="0" y="967"/>
                                  </a:lnTo>
                                  <a:lnTo>
                                    <a:pt x="105" y="9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Rectangle 268"/>
                          <wps:cNvSpPr>
                            <a:spLocks noChangeArrowheads="1"/>
                          </wps:cNvSpPr>
                          <wps:spPr bwMode="auto">
                            <a:xfrm>
                              <a:off x="3387" y="4857"/>
                              <a:ext cx="35" cy="982"/>
                            </a:xfrm>
                            <a:prstGeom prst="rect">
                              <a:avLst/>
                            </a:pr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69"/>
                          <wps:cNvSpPr>
                            <a:spLocks/>
                          </wps:cNvSpPr>
                          <wps:spPr bwMode="auto">
                            <a:xfrm>
                              <a:off x="3352" y="5824"/>
                              <a:ext cx="105" cy="103"/>
                            </a:xfrm>
                            <a:custGeom>
                              <a:avLst/>
                              <a:gdLst>
                                <a:gd name="T0" fmla="*/ 105 w 105"/>
                                <a:gd name="T1" fmla="*/ 0 h 103"/>
                                <a:gd name="T2" fmla="*/ 53 w 105"/>
                                <a:gd name="T3" fmla="*/ 103 h 103"/>
                                <a:gd name="T4" fmla="*/ 0 w 105"/>
                                <a:gd name="T5" fmla="*/ 0 h 103"/>
                                <a:gd name="T6" fmla="*/ 105 w 105"/>
                                <a:gd name="T7" fmla="*/ 0 h 103"/>
                              </a:gdLst>
                              <a:ahLst/>
                              <a:cxnLst>
                                <a:cxn ang="0">
                                  <a:pos x="T0" y="T1"/>
                                </a:cxn>
                                <a:cxn ang="0">
                                  <a:pos x="T2" y="T3"/>
                                </a:cxn>
                                <a:cxn ang="0">
                                  <a:pos x="T4" y="T5"/>
                                </a:cxn>
                                <a:cxn ang="0">
                                  <a:pos x="T6" y="T7"/>
                                </a:cxn>
                              </a:cxnLst>
                              <a:rect l="0" t="0" r="r" b="b"/>
                              <a:pathLst>
                                <a:path w="105" h="103">
                                  <a:moveTo>
                                    <a:pt x="105" y="0"/>
                                  </a:moveTo>
                                  <a:lnTo>
                                    <a:pt x="53" y="103"/>
                                  </a:lnTo>
                                  <a:lnTo>
                                    <a:pt x="0" y="0"/>
                                  </a:lnTo>
                                  <a:lnTo>
                                    <a:pt x="105"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3" name="Rectangle 270"/>
                        <wps:cNvSpPr>
                          <a:spLocks noChangeArrowheads="1"/>
                        </wps:cNvSpPr>
                        <wps:spPr bwMode="auto">
                          <a:xfrm>
                            <a:off x="1911790" y="3217799"/>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274" name="Rectangle 271"/>
                        <wps:cNvSpPr>
                          <a:spLocks noChangeArrowheads="1"/>
                        </wps:cNvSpPr>
                        <wps:spPr bwMode="auto">
                          <a:xfrm>
                            <a:off x="3028120" y="7013829"/>
                            <a:ext cx="1144905" cy="175260"/>
                          </a:xfrm>
                          <a:prstGeom prst="rect">
                            <a:avLst/>
                          </a:prstGeom>
                          <a:noFill/>
                          <a:ln w="35" cap="rnd">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272"/>
                        <wps:cNvSpPr>
                          <a:spLocks noChangeArrowheads="1"/>
                        </wps:cNvSpPr>
                        <wps:spPr bwMode="auto">
                          <a:xfrm>
                            <a:off x="3322125" y="6964299"/>
                            <a:ext cx="5562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Reality check </w:t>
                              </w:r>
                            </w:p>
                          </w:txbxContent>
                        </wps:txbx>
                        <wps:bodyPr rot="0" vert="horz" wrap="none" lIns="0" tIns="0" rIns="0" bIns="0" anchor="t" anchorCtr="0" upright="1">
                          <a:spAutoFit/>
                        </wps:bodyPr>
                      </wps:wsp>
                      <wpg:wgp>
                        <wpg:cNvPr id="276" name="Group 273"/>
                        <wpg:cNvGrpSpPr>
                          <a:grpSpLocks/>
                        </wpg:cNvGrpSpPr>
                        <wpg:grpSpPr bwMode="auto">
                          <a:xfrm>
                            <a:off x="2764595" y="7036054"/>
                            <a:ext cx="263525" cy="59055"/>
                            <a:chOff x="4434" y="11157"/>
                            <a:chExt cx="415" cy="93"/>
                          </a:xfrm>
                        </wpg:grpSpPr>
                        <wps:wsp>
                          <wps:cNvPr id="277" name="Freeform 274"/>
                          <wps:cNvSpPr>
                            <a:spLocks noEditPoints="1"/>
                          </wps:cNvSpPr>
                          <wps:spPr bwMode="auto">
                            <a:xfrm>
                              <a:off x="4434" y="11157"/>
                              <a:ext cx="415" cy="93"/>
                            </a:xfrm>
                            <a:custGeom>
                              <a:avLst/>
                              <a:gdLst>
                                <a:gd name="T0" fmla="*/ 340 w 415"/>
                                <a:gd name="T1" fmla="*/ 58 h 93"/>
                                <a:gd name="T2" fmla="*/ 77 w 415"/>
                                <a:gd name="T3" fmla="*/ 58 h 93"/>
                                <a:gd name="T4" fmla="*/ 77 w 415"/>
                                <a:gd name="T5" fmla="*/ 36 h 93"/>
                                <a:gd name="T6" fmla="*/ 340 w 415"/>
                                <a:gd name="T7" fmla="*/ 36 h 93"/>
                                <a:gd name="T8" fmla="*/ 340 w 415"/>
                                <a:gd name="T9" fmla="*/ 58 h 93"/>
                                <a:gd name="T10" fmla="*/ 323 w 415"/>
                                <a:gd name="T11" fmla="*/ 0 h 93"/>
                                <a:gd name="T12" fmla="*/ 415 w 415"/>
                                <a:gd name="T13" fmla="*/ 45 h 93"/>
                                <a:gd name="T14" fmla="*/ 325 w 415"/>
                                <a:gd name="T15" fmla="*/ 93 h 93"/>
                                <a:gd name="T16" fmla="*/ 323 w 415"/>
                                <a:gd name="T17" fmla="*/ 0 h 93"/>
                                <a:gd name="T18" fmla="*/ 92 w 415"/>
                                <a:gd name="T19" fmla="*/ 93 h 93"/>
                                <a:gd name="T20" fmla="*/ 0 w 415"/>
                                <a:gd name="T21" fmla="*/ 45 h 93"/>
                                <a:gd name="T22" fmla="*/ 92 w 415"/>
                                <a:gd name="T23" fmla="*/ 0 h 93"/>
                                <a:gd name="T24" fmla="*/ 92 w 415"/>
                                <a:gd name="T2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5" h="93">
                                  <a:moveTo>
                                    <a:pt x="340" y="58"/>
                                  </a:moveTo>
                                  <a:lnTo>
                                    <a:pt x="77" y="58"/>
                                  </a:lnTo>
                                  <a:lnTo>
                                    <a:pt x="77" y="36"/>
                                  </a:lnTo>
                                  <a:lnTo>
                                    <a:pt x="340" y="36"/>
                                  </a:lnTo>
                                  <a:lnTo>
                                    <a:pt x="340" y="58"/>
                                  </a:lnTo>
                                  <a:close/>
                                  <a:moveTo>
                                    <a:pt x="323" y="0"/>
                                  </a:moveTo>
                                  <a:lnTo>
                                    <a:pt x="415" y="45"/>
                                  </a:lnTo>
                                  <a:lnTo>
                                    <a:pt x="325" y="93"/>
                                  </a:lnTo>
                                  <a:lnTo>
                                    <a:pt x="323" y="0"/>
                                  </a:lnTo>
                                  <a:close/>
                                  <a:moveTo>
                                    <a:pt x="92" y="93"/>
                                  </a:moveTo>
                                  <a:lnTo>
                                    <a:pt x="0" y="45"/>
                                  </a:lnTo>
                                  <a:lnTo>
                                    <a:pt x="92" y="0"/>
                                  </a:lnTo>
                                  <a:lnTo>
                                    <a:pt x="92" y="9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Rectangle 275"/>
                          <wps:cNvSpPr>
                            <a:spLocks noChangeArrowheads="1"/>
                          </wps:cNvSpPr>
                          <wps:spPr bwMode="auto">
                            <a:xfrm>
                              <a:off x="4511" y="11193"/>
                              <a:ext cx="263" cy="22"/>
                            </a:xfrm>
                            <a:prstGeom prst="rect">
                              <a:avLst/>
                            </a:pr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6"/>
                          <wps:cNvSpPr>
                            <a:spLocks/>
                          </wps:cNvSpPr>
                          <wps:spPr bwMode="auto">
                            <a:xfrm>
                              <a:off x="4757" y="11157"/>
                              <a:ext cx="92" cy="93"/>
                            </a:xfrm>
                            <a:custGeom>
                              <a:avLst/>
                              <a:gdLst>
                                <a:gd name="T0" fmla="*/ 0 w 92"/>
                                <a:gd name="T1" fmla="*/ 0 h 93"/>
                                <a:gd name="T2" fmla="*/ 92 w 92"/>
                                <a:gd name="T3" fmla="*/ 45 h 93"/>
                                <a:gd name="T4" fmla="*/ 2 w 92"/>
                                <a:gd name="T5" fmla="*/ 93 h 93"/>
                                <a:gd name="T6" fmla="*/ 0 w 92"/>
                                <a:gd name="T7" fmla="*/ 0 h 93"/>
                              </a:gdLst>
                              <a:ahLst/>
                              <a:cxnLst>
                                <a:cxn ang="0">
                                  <a:pos x="T0" y="T1"/>
                                </a:cxn>
                                <a:cxn ang="0">
                                  <a:pos x="T2" y="T3"/>
                                </a:cxn>
                                <a:cxn ang="0">
                                  <a:pos x="T4" y="T5"/>
                                </a:cxn>
                                <a:cxn ang="0">
                                  <a:pos x="T6" y="T7"/>
                                </a:cxn>
                              </a:cxnLst>
                              <a:rect l="0" t="0" r="r" b="b"/>
                              <a:pathLst>
                                <a:path w="92" h="93">
                                  <a:moveTo>
                                    <a:pt x="0" y="0"/>
                                  </a:moveTo>
                                  <a:lnTo>
                                    <a:pt x="92" y="45"/>
                                  </a:lnTo>
                                  <a:lnTo>
                                    <a:pt x="2" y="93"/>
                                  </a:lnTo>
                                  <a:lnTo>
                                    <a:pt x="0"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77"/>
                          <wps:cNvSpPr>
                            <a:spLocks/>
                          </wps:cNvSpPr>
                          <wps:spPr bwMode="auto">
                            <a:xfrm>
                              <a:off x="4434" y="11157"/>
                              <a:ext cx="92" cy="93"/>
                            </a:xfrm>
                            <a:custGeom>
                              <a:avLst/>
                              <a:gdLst>
                                <a:gd name="T0" fmla="*/ 92 w 92"/>
                                <a:gd name="T1" fmla="*/ 93 h 93"/>
                                <a:gd name="T2" fmla="*/ 0 w 92"/>
                                <a:gd name="T3" fmla="*/ 45 h 93"/>
                                <a:gd name="T4" fmla="*/ 92 w 92"/>
                                <a:gd name="T5" fmla="*/ 0 h 93"/>
                                <a:gd name="T6" fmla="*/ 92 w 92"/>
                                <a:gd name="T7" fmla="*/ 93 h 93"/>
                              </a:gdLst>
                              <a:ahLst/>
                              <a:cxnLst>
                                <a:cxn ang="0">
                                  <a:pos x="T0" y="T1"/>
                                </a:cxn>
                                <a:cxn ang="0">
                                  <a:pos x="T2" y="T3"/>
                                </a:cxn>
                                <a:cxn ang="0">
                                  <a:pos x="T4" y="T5"/>
                                </a:cxn>
                                <a:cxn ang="0">
                                  <a:pos x="T6" y="T7"/>
                                </a:cxn>
                              </a:cxnLst>
                              <a:rect l="0" t="0" r="r" b="b"/>
                              <a:pathLst>
                                <a:path w="92" h="93">
                                  <a:moveTo>
                                    <a:pt x="92" y="93"/>
                                  </a:moveTo>
                                  <a:lnTo>
                                    <a:pt x="0" y="45"/>
                                  </a:lnTo>
                                  <a:lnTo>
                                    <a:pt x="92" y="0"/>
                                  </a:lnTo>
                                  <a:lnTo>
                                    <a:pt x="92" y="93"/>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81" name="Group 278"/>
                        <wpg:cNvGrpSpPr>
                          <a:grpSpLocks/>
                        </wpg:cNvGrpSpPr>
                        <wpg:grpSpPr bwMode="auto">
                          <a:xfrm>
                            <a:off x="4098095" y="1491234"/>
                            <a:ext cx="67310" cy="5509895"/>
                            <a:chOff x="6534" y="2425"/>
                            <a:chExt cx="106" cy="8677"/>
                          </a:xfrm>
                        </wpg:grpSpPr>
                        <wps:wsp>
                          <wps:cNvPr id="282" name="Freeform 279"/>
                          <wps:cNvSpPr>
                            <a:spLocks noEditPoints="1"/>
                          </wps:cNvSpPr>
                          <wps:spPr bwMode="auto">
                            <a:xfrm>
                              <a:off x="6534" y="2425"/>
                              <a:ext cx="106" cy="8677"/>
                            </a:xfrm>
                            <a:custGeom>
                              <a:avLst/>
                              <a:gdLst>
                                <a:gd name="T0" fmla="*/ 70 w 106"/>
                                <a:gd name="T1" fmla="*/ 85 h 8677"/>
                                <a:gd name="T2" fmla="*/ 70 w 106"/>
                                <a:gd name="T3" fmla="*/ 8590 h 8677"/>
                                <a:gd name="T4" fmla="*/ 35 w 106"/>
                                <a:gd name="T5" fmla="*/ 8590 h 8677"/>
                                <a:gd name="T6" fmla="*/ 35 w 106"/>
                                <a:gd name="T7" fmla="*/ 85 h 8677"/>
                                <a:gd name="T8" fmla="*/ 70 w 106"/>
                                <a:gd name="T9" fmla="*/ 85 h 8677"/>
                                <a:gd name="T10" fmla="*/ 0 w 106"/>
                                <a:gd name="T11" fmla="*/ 103 h 8677"/>
                                <a:gd name="T12" fmla="*/ 53 w 106"/>
                                <a:gd name="T13" fmla="*/ 0 h 8677"/>
                                <a:gd name="T14" fmla="*/ 106 w 106"/>
                                <a:gd name="T15" fmla="*/ 103 h 8677"/>
                                <a:gd name="T16" fmla="*/ 0 w 106"/>
                                <a:gd name="T17" fmla="*/ 103 h 8677"/>
                                <a:gd name="T18" fmla="*/ 106 w 106"/>
                                <a:gd name="T19" fmla="*/ 8572 h 8677"/>
                                <a:gd name="T20" fmla="*/ 53 w 106"/>
                                <a:gd name="T21" fmla="*/ 8677 h 8677"/>
                                <a:gd name="T22" fmla="*/ 0 w 106"/>
                                <a:gd name="T23" fmla="*/ 8572 h 8677"/>
                                <a:gd name="T24" fmla="*/ 106 w 106"/>
                                <a:gd name="T25" fmla="*/ 8572 h 8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8677">
                                  <a:moveTo>
                                    <a:pt x="70" y="85"/>
                                  </a:moveTo>
                                  <a:lnTo>
                                    <a:pt x="70" y="8590"/>
                                  </a:lnTo>
                                  <a:lnTo>
                                    <a:pt x="35" y="8590"/>
                                  </a:lnTo>
                                  <a:lnTo>
                                    <a:pt x="35" y="85"/>
                                  </a:lnTo>
                                  <a:lnTo>
                                    <a:pt x="70" y="85"/>
                                  </a:lnTo>
                                  <a:close/>
                                  <a:moveTo>
                                    <a:pt x="0" y="103"/>
                                  </a:moveTo>
                                  <a:lnTo>
                                    <a:pt x="53" y="0"/>
                                  </a:lnTo>
                                  <a:lnTo>
                                    <a:pt x="106" y="103"/>
                                  </a:lnTo>
                                  <a:lnTo>
                                    <a:pt x="0" y="103"/>
                                  </a:lnTo>
                                  <a:close/>
                                  <a:moveTo>
                                    <a:pt x="106" y="8572"/>
                                  </a:moveTo>
                                  <a:lnTo>
                                    <a:pt x="53" y="8677"/>
                                  </a:lnTo>
                                  <a:lnTo>
                                    <a:pt x="0" y="8572"/>
                                  </a:lnTo>
                                  <a:lnTo>
                                    <a:pt x="106" y="857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Rectangle 280"/>
                          <wps:cNvSpPr>
                            <a:spLocks noChangeArrowheads="1"/>
                          </wps:cNvSpPr>
                          <wps:spPr bwMode="auto">
                            <a:xfrm>
                              <a:off x="6569" y="2510"/>
                              <a:ext cx="35" cy="8505"/>
                            </a:xfrm>
                            <a:prstGeom prst="rect">
                              <a:avLst/>
                            </a:pr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1"/>
                          <wps:cNvSpPr>
                            <a:spLocks/>
                          </wps:cNvSpPr>
                          <wps:spPr bwMode="auto">
                            <a:xfrm>
                              <a:off x="6534" y="2425"/>
                              <a:ext cx="106" cy="103"/>
                            </a:xfrm>
                            <a:custGeom>
                              <a:avLst/>
                              <a:gdLst>
                                <a:gd name="T0" fmla="*/ 0 w 106"/>
                                <a:gd name="T1" fmla="*/ 103 h 103"/>
                                <a:gd name="T2" fmla="*/ 53 w 106"/>
                                <a:gd name="T3" fmla="*/ 0 h 103"/>
                                <a:gd name="T4" fmla="*/ 106 w 106"/>
                                <a:gd name="T5" fmla="*/ 103 h 103"/>
                                <a:gd name="T6" fmla="*/ 0 w 106"/>
                                <a:gd name="T7" fmla="*/ 103 h 103"/>
                              </a:gdLst>
                              <a:ahLst/>
                              <a:cxnLst>
                                <a:cxn ang="0">
                                  <a:pos x="T0" y="T1"/>
                                </a:cxn>
                                <a:cxn ang="0">
                                  <a:pos x="T2" y="T3"/>
                                </a:cxn>
                                <a:cxn ang="0">
                                  <a:pos x="T4" y="T5"/>
                                </a:cxn>
                                <a:cxn ang="0">
                                  <a:pos x="T6" y="T7"/>
                                </a:cxn>
                              </a:cxnLst>
                              <a:rect l="0" t="0" r="r" b="b"/>
                              <a:pathLst>
                                <a:path w="106" h="103">
                                  <a:moveTo>
                                    <a:pt x="0" y="103"/>
                                  </a:moveTo>
                                  <a:lnTo>
                                    <a:pt x="53" y="0"/>
                                  </a:lnTo>
                                  <a:lnTo>
                                    <a:pt x="106" y="103"/>
                                  </a:lnTo>
                                  <a:lnTo>
                                    <a:pt x="0" y="103"/>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2"/>
                          <wps:cNvSpPr>
                            <a:spLocks/>
                          </wps:cNvSpPr>
                          <wps:spPr bwMode="auto">
                            <a:xfrm>
                              <a:off x="6534" y="10997"/>
                              <a:ext cx="106" cy="105"/>
                            </a:xfrm>
                            <a:custGeom>
                              <a:avLst/>
                              <a:gdLst>
                                <a:gd name="T0" fmla="*/ 106 w 106"/>
                                <a:gd name="T1" fmla="*/ 0 h 105"/>
                                <a:gd name="T2" fmla="*/ 53 w 106"/>
                                <a:gd name="T3" fmla="*/ 105 h 105"/>
                                <a:gd name="T4" fmla="*/ 0 w 106"/>
                                <a:gd name="T5" fmla="*/ 0 h 105"/>
                                <a:gd name="T6" fmla="*/ 106 w 106"/>
                                <a:gd name="T7" fmla="*/ 0 h 105"/>
                              </a:gdLst>
                              <a:ahLst/>
                              <a:cxnLst>
                                <a:cxn ang="0">
                                  <a:pos x="T0" y="T1"/>
                                </a:cxn>
                                <a:cxn ang="0">
                                  <a:pos x="T2" y="T3"/>
                                </a:cxn>
                                <a:cxn ang="0">
                                  <a:pos x="T4" y="T5"/>
                                </a:cxn>
                                <a:cxn ang="0">
                                  <a:pos x="T6" y="T7"/>
                                </a:cxn>
                              </a:cxnLst>
                              <a:rect l="0" t="0" r="r" b="b"/>
                              <a:pathLst>
                                <a:path w="106" h="105">
                                  <a:moveTo>
                                    <a:pt x="106" y="0"/>
                                  </a:moveTo>
                                  <a:lnTo>
                                    <a:pt x="53" y="105"/>
                                  </a:lnTo>
                                  <a:lnTo>
                                    <a:pt x="0" y="0"/>
                                  </a:lnTo>
                                  <a:lnTo>
                                    <a:pt x="106"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86" name="Group 283"/>
                        <wpg:cNvGrpSpPr>
                          <a:grpSpLocks/>
                        </wpg:cNvGrpSpPr>
                        <wpg:grpSpPr bwMode="auto">
                          <a:xfrm>
                            <a:off x="1147250" y="4024884"/>
                            <a:ext cx="67310" cy="235585"/>
                            <a:chOff x="1887" y="6415"/>
                            <a:chExt cx="106" cy="371"/>
                          </a:xfrm>
                        </wpg:grpSpPr>
                        <wps:wsp>
                          <wps:cNvPr id="287" name="Freeform 284"/>
                          <wps:cNvSpPr>
                            <a:spLocks noEditPoints="1"/>
                          </wps:cNvSpPr>
                          <wps:spPr bwMode="auto">
                            <a:xfrm>
                              <a:off x="1887" y="6415"/>
                              <a:ext cx="106" cy="371"/>
                            </a:xfrm>
                            <a:custGeom>
                              <a:avLst/>
                              <a:gdLst>
                                <a:gd name="T0" fmla="*/ 70 w 106"/>
                                <a:gd name="T1" fmla="*/ 0 h 371"/>
                                <a:gd name="T2" fmla="*/ 70 w 106"/>
                                <a:gd name="T3" fmla="*/ 283 h 371"/>
                                <a:gd name="T4" fmla="*/ 36 w 106"/>
                                <a:gd name="T5" fmla="*/ 283 h 371"/>
                                <a:gd name="T6" fmla="*/ 36 w 106"/>
                                <a:gd name="T7" fmla="*/ 0 h 371"/>
                                <a:gd name="T8" fmla="*/ 70 w 106"/>
                                <a:gd name="T9" fmla="*/ 0 h 371"/>
                                <a:gd name="T10" fmla="*/ 106 w 106"/>
                                <a:gd name="T11" fmla="*/ 266 h 371"/>
                                <a:gd name="T12" fmla="*/ 53 w 106"/>
                                <a:gd name="T13" fmla="*/ 371 h 371"/>
                                <a:gd name="T14" fmla="*/ 0 w 106"/>
                                <a:gd name="T15" fmla="*/ 266 h 371"/>
                                <a:gd name="T16" fmla="*/ 106 w 106"/>
                                <a:gd name="T17" fmla="*/ 266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371">
                                  <a:moveTo>
                                    <a:pt x="70" y="0"/>
                                  </a:moveTo>
                                  <a:lnTo>
                                    <a:pt x="70" y="283"/>
                                  </a:lnTo>
                                  <a:lnTo>
                                    <a:pt x="36" y="283"/>
                                  </a:lnTo>
                                  <a:lnTo>
                                    <a:pt x="36" y="0"/>
                                  </a:lnTo>
                                  <a:lnTo>
                                    <a:pt x="70" y="0"/>
                                  </a:lnTo>
                                  <a:close/>
                                  <a:moveTo>
                                    <a:pt x="106" y="266"/>
                                  </a:moveTo>
                                  <a:lnTo>
                                    <a:pt x="53" y="371"/>
                                  </a:lnTo>
                                  <a:lnTo>
                                    <a:pt x="0" y="266"/>
                                  </a:lnTo>
                                  <a:lnTo>
                                    <a:pt x="106" y="26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Rectangle 285"/>
                          <wps:cNvSpPr>
                            <a:spLocks noChangeArrowheads="1"/>
                          </wps:cNvSpPr>
                          <wps:spPr bwMode="auto">
                            <a:xfrm>
                              <a:off x="1923" y="6415"/>
                              <a:ext cx="34" cy="283"/>
                            </a:xfrm>
                            <a:prstGeom prst="rect">
                              <a:avLst/>
                            </a:pr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86"/>
                          <wps:cNvSpPr>
                            <a:spLocks/>
                          </wps:cNvSpPr>
                          <wps:spPr bwMode="auto">
                            <a:xfrm>
                              <a:off x="1887" y="6681"/>
                              <a:ext cx="106" cy="105"/>
                            </a:xfrm>
                            <a:custGeom>
                              <a:avLst/>
                              <a:gdLst>
                                <a:gd name="T0" fmla="*/ 106 w 106"/>
                                <a:gd name="T1" fmla="*/ 0 h 105"/>
                                <a:gd name="T2" fmla="*/ 53 w 106"/>
                                <a:gd name="T3" fmla="*/ 105 h 105"/>
                                <a:gd name="T4" fmla="*/ 0 w 106"/>
                                <a:gd name="T5" fmla="*/ 0 h 105"/>
                                <a:gd name="T6" fmla="*/ 106 w 106"/>
                                <a:gd name="T7" fmla="*/ 0 h 105"/>
                              </a:gdLst>
                              <a:ahLst/>
                              <a:cxnLst>
                                <a:cxn ang="0">
                                  <a:pos x="T0" y="T1"/>
                                </a:cxn>
                                <a:cxn ang="0">
                                  <a:pos x="T2" y="T3"/>
                                </a:cxn>
                                <a:cxn ang="0">
                                  <a:pos x="T4" y="T5"/>
                                </a:cxn>
                                <a:cxn ang="0">
                                  <a:pos x="T6" y="T7"/>
                                </a:cxn>
                              </a:cxnLst>
                              <a:rect l="0" t="0" r="r" b="b"/>
                              <a:pathLst>
                                <a:path w="106" h="105">
                                  <a:moveTo>
                                    <a:pt x="106" y="0"/>
                                  </a:moveTo>
                                  <a:lnTo>
                                    <a:pt x="53" y="105"/>
                                  </a:lnTo>
                                  <a:lnTo>
                                    <a:pt x="0" y="0"/>
                                  </a:lnTo>
                                  <a:lnTo>
                                    <a:pt x="106"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0" name="Group 287"/>
                        <wpg:cNvGrpSpPr>
                          <a:grpSpLocks/>
                        </wpg:cNvGrpSpPr>
                        <wpg:grpSpPr bwMode="auto">
                          <a:xfrm>
                            <a:off x="2819840" y="1491234"/>
                            <a:ext cx="67310" cy="211455"/>
                            <a:chOff x="4521" y="2425"/>
                            <a:chExt cx="106" cy="333"/>
                          </a:xfrm>
                        </wpg:grpSpPr>
                        <wps:wsp>
                          <wps:cNvPr id="291" name="Freeform 288"/>
                          <wps:cNvSpPr>
                            <a:spLocks noEditPoints="1"/>
                          </wps:cNvSpPr>
                          <wps:spPr bwMode="auto">
                            <a:xfrm>
                              <a:off x="4521" y="2425"/>
                              <a:ext cx="106" cy="333"/>
                            </a:xfrm>
                            <a:custGeom>
                              <a:avLst/>
                              <a:gdLst>
                                <a:gd name="T0" fmla="*/ 68 w 106"/>
                                <a:gd name="T1" fmla="*/ 0 h 333"/>
                                <a:gd name="T2" fmla="*/ 70 w 106"/>
                                <a:gd name="T3" fmla="*/ 245 h 333"/>
                                <a:gd name="T4" fmla="*/ 35 w 106"/>
                                <a:gd name="T5" fmla="*/ 245 h 333"/>
                                <a:gd name="T6" fmla="*/ 35 w 106"/>
                                <a:gd name="T7" fmla="*/ 0 h 333"/>
                                <a:gd name="T8" fmla="*/ 68 w 106"/>
                                <a:gd name="T9" fmla="*/ 0 h 333"/>
                                <a:gd name="T10" fmla="*/ 106 w 106"/>
                                <a:gd name="T11" fmla="*/ 228 h 333"/>
                                <a:gd name="T12" fmla="*/ 53 w 106"/>
                                <a:gd name="T13" fmla="*/ 333 h 333"/>
                                <a:gd name="T14" fmla="*/ 0 w 106"/>
                                <a:gd name="T15" fmla="*/ 230 h 333"/>
                                <a:gd name="T16" fmla="*/ 106 w 106"/>
                                <a:gd name="T17" fmla="*/ 228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333">
                                  <a:moveTo>
                                    <a:pt x="68" y="0"/>
                                  </a:moveTo>
                                  <a:lnTo>
                                    <a:pt x="70" y="245"/>
                                  </a:lnTo>
                                  <a:lnTo>
                                    <a:pt x="35" y="245"/>
                                  </a:lnTo>
                                  <a:lnTo>
                                    <a:pt x="35" y="0"/>
                                  </a:lnTo>
                                  <a:lnTo>
                                    <a:pt x="68" y="0"/>
                                  </a:lnTo>
                                  <a:close/>
                                  <a:moveTo>
                                    <a:pt x="106" y="228"/>
                                  </a:moveTo>
                                  <a:lnTo>
                                    <a:pt x="53" y="333"/>
                                  </a:lnTo>
                                  <a:lnTo>
                                    <a:pt x="0" y="230"/>
                                  </a:lnTo>
                                  <a:lnTo>
                                    <a:pt x="106" y="22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9"/>
                          <wps:cNvSpPr>
                            <a:spLocks/>
                          </wps:cNvSpPr>
                          <wps:spPr bwMode="auto">
                            <a:xfrm>
                              <a:off x="4556" y="2425"/>
                              <a:ext cx="35" cy="245"/>
                            </a:xfrm>
                            <a:custGeom>
                              <a:avLst/>
                              <a:gdLst>
                                <a:gd name="T0" fmla="*/ 33 w 35"/>
                                <a:gd name="T1" fmla="*/ 0 h 245"/>
                                <a:gd name="T2" fmla="*/ 35 w 35"/>
                                <a:gd name="T3" fmla="*/ 245 h 245"/>
                                <a:gd name="T4" fmla="*/ 0 w 35"/>
                                <a:gd name="T5" fmla="*/ 245 h 245"/>
                                <a:gd name="T6" fmla="*/ 0 w 35"/>
                                <a:gd name="T7" fmla="*/ 0 h 245"/>
                                <a:gd name="T8" fmla="*/ 33 w 35"/>
                                <a:gd name="T9" fmla="*/ 0 h 245"/>
                              </a:gdLst>
                              <a:ahLst/>
                              <a:cxnLst>
                                <a:cxn ang="0">
                                  <a:pos x="T0" y="T1"/>
                                </a:cxn>
                                <a:cxn ang="0">
                                  <a:pos x="T2" y="T3"/>
                                </a:cxn>
                                <a:cxn ang="0">
                                  <a:pos x="T4" y="T5"/>
                                </a:cxn>
                                <a:cxn ang="0">
                                  <a:pos x="T6" y="T7"/>
                                </a:cxn>
                                <a:cxn ang="0">
                                  <a:pos x="T8" y="T9"/>
                                </a:cxn>
                              </a:cxnLst>
                              <a:rect l="0" t="0" r="r" b="b"/>
                              <a:pathLst>
                                <a:path w="35" h="245">
                                  <a:moveTo>
                                    <a:pt x="33" y="0"/>
                                  </a:moveTo>
                                  <a:lnTo>
                                    <a:pt x="35" y="245"/>
                                  </a:lnTo>
                                  <a:lnTo>
                                    <a:pt x="0" y="245"/>
                                  </a:lnTo>
                                  <a:lnTo>
                                    <a:pt x="0" y="0"/>
                                  </a:lnTo>
                                  <a:lnTo>
                                    <a:pt x="33"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0"/>
                          <wps:cNvSpPr>
                            <a:spLocks/>
                          </wps:cNvSpPr>
                          <wps:spPr bwMode="auto">
                            <a:xfrm>
                              <a:off x="4521" y="2653"/>
                              <a:ext cx="106" cy="105"/>
                            </a:xfrm>
                            <a:custGeom>
                              <a:avLst/>
                              <a:gdLst>
                                <a:gd name="T0" fmla="*/ 106 w 106"/>
                                <a:gd name="T1" fmla="*/ 0 h 105"/>
                                <a:gd name="T2" fmla="*/ 53 w 106"/>
                                <a:gd name="T3" fmla="*/ 105 h 105"/>
                                <a:gd name="T4" fmla="*/ 0 w 106"/>
                                <a:gd name="T5" fmla="*/ 2 h 105"/>
                                <a:gd name="T6" fmla="*/ 106 w 106"/>
                                <a:gd name="T7" fmla="*/ 0 h 105"/>
                              </a:gdLst>
                              <a:ahLst/>
                              <a:cxnLst>
                                <a:cxn ang="0">
                                  <a:pos x="T0" y="T1"/>
                                </a:cxn>
                                <a:cxn ang="0">
                                  <a:pos x="T2" y="T3"/>
                                </a:cxn>
                                <a:cxn ang="0">
                                  <a:pos x="T4" y="T5"/>
                                </a:cxn>
                                <a:cxn ang="0">
                                  <a:pos x="T6" y="T7"/>
                                </a:cxn>
                              </a:cxnLst>
                              <a:rect l="0" t="0" r="r" b="b"/>
                              <a:pathLst>
                                <a:path w="106" h="105">
                                  <a:moveTo>
                                    <a:pt x="106" y="0"/>
                                  </a:moveTo>
                                  <a:lnTo>
                                    <a:pt x="53" y="105"/>
                                  </a:lnTo>
                                  <a:lnTo>
                                    <a:pt x="0" y="2"/>
                                  </a:lnTo>
                                  <a:lnTo>
                                    <a:pt x="106"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4" name="Rectangle 291"/>
                        <wps:cNvSpPr>
                          <a:spLocks noChangeArrowheads="1"/>
                        </wps:cNvSpPr>
                        <wps:spPr bwMode="auto">
                          <a:xfrm>
                            <a:off x="476690" y="1707134"/>
                            <a:ext cx="3578860" cy="26416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95" name="Group 292"/>
                        <wpg:cNvGrpSpPr>
                          <a:grpSpLocks/>
                        </wpg:cNvGrpSpPr>
                        <wpg:grpSpPr bwMode="auto">
                          <a:xfrm>
                            <a:off x="2028630" y="1977644"/>
                            <a:ext cx="64770" cy="157480"/>
                            <a:chOff x="3275" y="3191"/>
                            <a:chExt cx="102" cy="248"/>
                          </a:xfrm>
                        </wpg:grpSpPr>
                        <wps:wsp>
                          <wps:cNvPr id="296" name="Freeform 293"/>
                          <wps:cNvSpPr>
                            <a:spLocks noEditPoints="1"/>
                          </wps:cNvSpPr>
                          <wps:spPr bwMode="auto">
                            <a:xfrm>
                              <a:off x="3275" y="3191"/>
                              <a:ext cx="102" cy="248"/>
                            </a:xfrm>
                            <a:custGeom>
                              <a:avLst/>
                              <a:gdLst>
                                <a:gd name="T0" fmla="*/ 67 w 102"/>
                                <a:gd name="T1" fmla="*/ 0 h 248"/>
                                <a:gd name="T2" fmla="*/ 67 w 102"/>
                                <a:gd name="T3" fmla="*/ 160 h 248"/>
                                <a:gd name="T4" fmla="*/ 34 w 102"/>
                                <a:gd name="T5" fmla="*/ 160 h 248"/>
                                <a:gd name="T6" fmla="*/ 32 w 102"/>
                                <a:gd name="T7" fmla="*/ 0 h 248"/>
                                <a:gd name="T8" fmla="*/ 67 w 102"/>
                                <a:gd name="T9" fmla="*/ 0 h 248"/>
                                <a:gd name="T10" fmla="*/ 102 w 102"/>
                                <a:gd name="T11" fmla="*/ 143 h 248"/>
                                <a:gd name="T12" fmla="*/ 52 w 102"/>
                                <a:gd name="T13" fmla="*/ 248 h 248"/>
                                <a:gd name="T14" fmla="*/ 0 w 102"/>
                                <a:gd name="T15" fmla="*/ 145 h 248"/>
                                <a:gd name="T16" fmla="*/ 102 w 102"/>
                                <a:gd name="T17" fmla="*/ 143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248">
                                  <a:moveTo>
                                    <a:pt x="67" y="0"/>
                                  </a:moveTo>
                                  <a:lnTo>
                                    <a:pt x="67" y="160"/>
                                  </a:lnTo>
                                  <a:lnTo>
                                    <a:pt x="34" y="160"/>
                                  </a:lnTo>
                                  <a:lnTo>
                                    <a:pt x="32" y="0"/>
                                  </a:lnTo>
                                  <a:lnTo>
                                    <a:pt x="67" y="0"/>
                                  </a:lnTo>
                                  <a:close/>
                                  <a:moveTo>
                                    <a:pt x="102" y="143"/>
                                  </a:moveTo>
                                  <a:lnTo>
                                    <a:pt x="52" y="248"/>
                                  </a:lnTo>
                                  <a:lnTo>
                                    <a:pt x="0" y="145"/>
                                  </a:lnTo>
                                  <a:lnTo>
                                    <a:pt x="102" y="14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4"/>
                          <wps:cNvSpPr>
                            <a:spLocks/>
                          </wps:cNvSpPr>
                          <wps:spPr bwMode="auto">
                            <a:xfrm>
                              <a:off x="3307" y="3191"/>
                              <a:ext cx="35" cy="160"/>
                            </a:xfrm>
                            <a:custGeom>
                              <a:avLst/>
                              <a:gdLst>
                                <a:gd name="T0" fmla="*/ 35 w 35"/>
                                <a:gd name="T1" fmla="*/ 0 h 160"/>
                                <a:gd name="T2" fmla="*/ 35 w 35"/>
                                <a:gd name="T3" fmla="*/ 160 h 160"/>
                                <a:gd name="T4" fmla="*/ 2 w 35"/>
                                <a:gd name="T5" fmla="*/ 160 h 160"/>
                                <a:gd name="T6" fmla="*/ 0 w 35"/>
                                <a:gd name="T7" fmla="*/ 0 h 160"/>
                                <a:gd name="T8" fmla="*/ 35 w 35"/>
                                <a:gd name="T9" fmla="*/ 0 h 160"/>
                              </a:gdLst>
                              <a:ahLst/>
                              <a:cxnLst>
                                <a:cxn ang="0">
                                  <a:pos x="T0" y="T1"/>
                                </a:cxn>
                                <a:cxn ang="0">
                                  <a:pos x="T2" y="T3"/>
                                </a:cxn>
                                <a:cxn ang="0">
                                  <a:pos x="T4" y="T5"/>
                                </a:cxn>
                                <a:cxn ang="0">
                                  <a:pos x="T6" y="T7"/>
                                </a:cxn>
                                <a:cxn ang="0">
                                  <a:pos x="T8" y="T9"/>
                                </a:cxn>
                              </a:cxnLst>
                              <a:rect l="0" t="0" r="r" b="b"/>
                              <a:pathLst>
                                <a:path w="35" h="160">
                                  <a:moveTo>
                                    <a:pt x="35" y="0"/>
                                  </a:moveTo>
                                  <a:lnTo>
                                    <a:pt x="35" y="160"/>
                                  </a:lnTo>
                                  <a:lnTo>
                                    <a:pt x="2" y="160"/>
                                  </a:lnTo>
                                  <a:lnTo>
                                    <a:pt x="0" y="0"/>
                                  </a:lnTo>
                                  <a:lnTo>
                                    <a:pt x="35"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5"/>
                          <wps:cNvSpPr>
                            <a:spLocks/>
                          </wps:cNvSpPr>
                          <wps:spPr bwMode="auto">
                            <a:xfrm>
                              <a:off x="3275" y="3334"/>
                              <a:ext cx="102" cy="105"/>
                            </a:xfrm>
                            <a:custGeom>
                              <a:avLst/>
                              <a:gdLst>
                                <a:gd name="T0" fmla="*/ 102 w 102"/>
                                <a:gd name="T1" fmla="*/ 0 h 105"/>
                                <a:gd name="T2" fmla="*/ 52 w 102"/>
                                <a:gd name="T3" fmla="*/ 105 h 105"/>
                                <a:gd name="T4" fmla="*/ 0 w 102"/>
                                <a:gd name="T5" fmla="*/ 2 h 105"/>
                                <a:gd name="T6" fmla="*/ 102 w 102"/>
                                <a:gd name="T7" fmla="*/ 0 h 105"/>
                              </a:gdLst>
                              <a:ahLst/>
                              <a:cxnLst>
                                <a:cxn ang="0">
                                  <a:pos x="T0" y="T1"/>
                                </a:cxn>
                                <a:cxn ang="0">
                                  <a:pos x="T2" y="T3"/>
                                </a:cxn>
                                <a:cxn ang="0">
                                  <a:pos x="T4" y="T5"/>
                                </a:cxn>
                                <a:cxn ang="0">
                                  <a:pos x="T6" y="T7"/>
                                </a:cxn>
                              </a:cxnLst>
                              <a:rect l="0" t="0" r="r" b="b"/>
                              <a:pathLst>
                                <a:path w="102" h="105">
                                  <a:moveTo>
                                    <a:pt x="102" y="0"/>
                                  </a:moveTo>
                                  <a:lnTo>
                                    <a:pt x="52" y="105"/>
                                  </a:lnTo>
                                  <a:lnTo>
                                    <a:pt x="0" y="2"/>
                                  </a:lnTo>
                                  <a:lnTo>
                                    <a:pt x="102"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9" name="Rectangle 296"/>
                        <wps:cNvSpPr>
                          <a:spLocks noChangeArrowheads="1"/>
                        </wps:cNvSpPr>
                        <wps:spPr bwMode="auto">
                          <a:xfrm>
                            <a:off x="530665" y="4875784"/>
                            <a:ext cx="1321435" cy="324485"/>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97"/>
                        <wps:cNvSpPr>
                          <a:spLocks noChangeArrowheads="1"/>
                        </wps:cNvSpPr>
                        <wps:spPr bwMode="auto">
                          <a:xfrm>
                            <a:off x="1972750" y="4869434"/>
                            <a:ext cx="1320800" cy="32639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298"/>
                        <wps:cNvCnPr/>
                        <wps:spPr bwMode="auto">
                          <a:xfrm>
                            <a:off x="632265" y="5221224"/>
                            <a:ext cx="635" cy="1743710"/>
                          </a:xfrm>
                          <a:prstGeom prst="line">
                            <a:avLst/>
                          </a:prstGeom>
                          <a:noFill/>
                          <a:ln w="35">
                            <a:solidFill>
                              <a:srgbClr val="FF0000"/>
                            </a:solidFill>
                            <a:round/>
                            <a:headEnd/>
                            <a:tailEnd/>
                          </a:ln>
                          <a:extLst>
                            <a:ext uri="{909E8E84-426E-40DD-AFC4-6F175D3DCCD1}">
                              <a14:hiddenFill xmlns:a14="http://schemas.microsoft.com/office/drawing/2010/main">
                                <a:noFill/>
                              </a14:hiddenFill>
                            </a:ext>
                          </a:extLst>
                        </wps:spPr>
                        <wps:bodyPr/>
                      </wps:wsp>
                      <wps:wsp>
                        <wps:cNvPr id="302" name="Rectangle 299"/>
                        <wps:cNvSpPr>
                          <a:spLocks noChangeArrowheads="1"/>
                        </wps:cNvSpPr>
                        <wps:spPr bwMode="auto">
                          <a:xfrm>
                            <a:off x="401125" y="5351399"/>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s:wsp>
                        <wps:cNvPr id="303" name="Rectangle 300"/>
                        <wps:cNvSpPr>
                          <a:spLocks noChangeArrowheads="1"/>
                        </wps:cNvSpPr>
                        <wps:spPr bwMode="auto">
                          <a:xfrm>
                            <a:off x="827845" y="6325489"/>
                            <a:ext cx="220027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01"/>
                        <wps:cNvSpPr>
                          <a:spLocks noChangeArrowheads="1"/>
                        </wps:cNvSpPr>
                        <wps:spPr bwMode="auto">
                          <a:xfrm>
                            <a:off x="827845" y="6325489"/>
                            <a:ext cx="2200275" cy="351155"/>
                          </a:xfrm>
                          <a:prstGeom prst="rect">
                            <a:avLst/>
                          </a:prstGeom>
                          <a:noFill/>
                          <a:ln w="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302"/>
                        <wps:cNvSpPr>
                          <a:spLocks noChangeArrowheads="1"/>
                        </wps:cNvSpPr>
                        <wps:spPr bwMode="auto">
                          <a:xfrm>
                            <a:off x="827845" y="6325489"/>
                            <a:ext cx="220027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03"/>
                        <wps:cNvSpPr>
                          <a:spLocks noChangeArrowheads="1"/>
                        </wps:cNvSpPr>
                        <wps:spPr bwMode="auto">
                          <a:xfrm>
                            <a:off x="832925" y="6325489"/>
                            <a:ext cx="2200275" cy="351155"/>
                          </a:xfrm>
                          <a:prstGeom prst="rect">
                            <a:avLst/>
                          </a:prstGeom>
                          <a:noFill/>
                          <a:ln w="3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304"/>
                        <wps:cNvSpPr>
                          <a:spLocks noChangeArrowheads="1"/>
                        </wps:cNvSpPr>
                        <wps:spPr bwMode="auto">
                          <a:xfrm>
                            <a:off x="933890" y="6378829"/>
                            <a:ext cx="533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Calculate the </w:t>
                              </w:r>
                            </w:p>
                          </w:txbxContent>
                        </wps:txbx>
                        <wps:bodyPr rot="0" vert="horz" wrap="none" lIns="0" tIns="0" rIns="0" bIns="0" anchor="t" anchorCtr="0" upright="1">
                          <a:spAutoFit/>
                        </wps:bodyPr>
                      </wps:wsp>
                      <wps:wsp>
                        <wps:cNvPr id="308" name="Rectangle 305"/>
                        <wps:cNvSpPr>
                          <a:spLocks noChangeArrowheads="1"/>
                        </wps:cNvSpPr>
                        <wps:spPr bwMode="auto">
                          <a:xfrm>
                            <a:off x="1469830" y="6382639"/>
                            <a:ext cx="9118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 xml:space="preserve"> ABC and add to ACL</w:t>
                              </w:r>
                            </w:p>
                          </w:txbxContent>
                        </wps:txbx>
                        <wps:bodyPr rot="0" vert="horz" wrap="none" lIns="0" tIns="0" rIns="0" bIns="0" anchor="t" anchorCtr="0" upright="1">
                          <a:spAutoFit/>
                        </wps:bodyPr>
                      </wps:wsp>
                      <wps:wsp>
                        <wps:cNvPr id="309" name="Rectangle 306"/>
                        <wps:cNvSpPr>
                          <a:spLocks noChangeArrowheads="1"/>
                        </wps:cNvSpPr>
                        <wps:spPr bwMode="auto">
                          <a:xfrm>
                            <a:off x="1338385" y="5351399"/>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s:wsp>
                        <wps:cNvPr id="310" name="Rectangle 307"/>
                        <wps:cNvSpPr>
                          <a:spLocks noChangeArrowheads="1"/>
                        </wps:cNvSpPr>
                        <wps:spPr bwMode="auto">
                          <a:xfrm>
                            <a:off x="2541075" y="5351399"/>
                            <a:ext cx="158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Yes</w:t>
                              </w:r>
                            </w:p>
                          </w:txbxContent>
                        </wps:txbx>
                        <wps:bodyPr rot="0" vert="horz" wrap="none" lIns="0" tIns="0" rIns="0" bIns="0" anchor="t" anchorCtr="0" upright="1">
                          <a:spAutoFit/>
                        </wps:bodyPr>
                      </wps:wsp>
                      <wpg:wgp>
                        <wpg:cNvPr id="311" name="Group 308"/>
                        <wpg:cNvGrpSpPr>
                          <a:grpSpLocks/>
                        </wpg:cNvGrpSpPr>
                        <wpg:grpSpPr bwMode="auto">
                          <a:xfrm>
                            <a:off x="1234880" y="5219319"/>
                            <a:ext cx="66675" cy="305435"/>
                            <a:chOff x="2025" y="8296"/>
                            <a:chExt cx="105" cy="481"/>
                          </a:xfrm>
                        </wpg:grpSpPr>
                        <wps:wsp>
                          <wps:cNvPr id="312" name="Freeform 309"/>
                          <wps:cNvSpPr>
                            <a:spLocks noEditPoints="1"/>
                          </wps:cNvSpPr>
                          <wps:spPr bwMode="auto">
                            <a:xfrm>
                              <a:off x="2025" y="8296"/>
                              <a:ext cx="105" cy="481"/>
                            </a:xfrm>
                            <a:custGeom>
                              <a:avLst/>
                              <a:gdLst>
                                <a:gd name="T0" fmla="*/ 70 w 105"/>
                                <a:gd name="T1" fmla="*/ 3 h 481"/>
                                <a:gd name="T2" fmla="*/ 70 w 105"/>
                                <a:gd name="T3" fmla="*/ 394 h 481"/>
                                <a:gd name="T4" fmla="*/ 35 w 105"/>
                                <a:gd name="T5" fmla="*/ 394 h 481"/>
                                <a:gd name="T6" fmla="*/ 38 w 105"/>
                                <a:gd name="T7" fmla="*/ 0 h 481"/>
                                <a:gd name="T8" fmla="*/ 70 w 105"/>
                                <a:gd name="T9" fmla="*/ 3 h 481"/>
                                <a:gd name="T10" fmla="*/ 105 w 105"/>
                                <a:gd name="T11" fmla="*/ 379 h 481"/>
                                <a:gd name="T12" fmla="*/ 53 w 105"/>
                                <a:gd name="T13" fmla="*/ 481 h 481"/>
                                <a:gd name="T14" fmla="*/ 0 w 105"/>
                                <a:gd name="T15" fmla="*/ 376 h 481"/>
                                <a:gd name="T16" fmla="*/ 105 w 105"/>
                                <a:gd name="T17" fmla="*/ 379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481">
                                  <a:moveTo>
                                    <a:pt x="70" y="3"/>
                                  </a:moveTo>
                                  <a:lnTo>
                                    <a:pt x="70" y="394"/>
                                  </a:lnTo>
                                  <a:lnTo>
                                    <a:pt x="35" y="394"/>
                                  </a:lnTo>
                                  <a:lnTo>
                                    <a:pt x="38" y="0"/>
                                  </a:lnTo>
                                  <a:lnTo>
                                    <a:pt x="70" y="3"/>
                                  </a:lnTo>
                                  <a:close/>
                                  <a:moveTo>
                                    <a:pt x="105" y="379"/>
                                  </a:moveTo>
                                  <a:lnTo>
                                    <a:pt x="53" y="481"/>
                                  </a:lnTo>
                                  <a:lnTo>
                                    <a:pt x="0" y="376"/>
                                  </a:lnTo>
                                  <a:lnTo>
                                    <a:pt x="105" y="37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0"/>
                          <wps:cNvSpPr>
                            <a:spLocks/>
                          </wps:cNvSpPr>
                          <wps:spPr bwMode="auto">
                            <a:xfrm>
                              <a:off x="2060" y="8296"/>
                              <a:ext cx="35" cy="394"/>
                            </a:xfrm>
                            <a:custGeom>
                              <a:avLst/>
                              <a:gdLst>
                                <a:gd name="T0" fmla="*/ 35 w 35"/>
                                <a:gd name="T1" fmla="*/ 3 h 394"/>
                                <a:gd name="T2" fmla="*/ 35 w 35"/>
                                <a:gd name="T3" fmla="*/ 394 h 394"/>
                                <a:gd name="T4" fmla="*/ 0 w 35"/>
                                <a:gd name="T5" fmla="*/ 394 h 394"/>
                                <a:gd name="T6" fmla="*/ 3 w 35"/>
                                <a:gd name="T7" fmla="*/ 0 h 394"/>
                                <a:gd name="T8" fmla="*/ 35 w 35"/>
                                <a:gd name="T9" fmla="*/ 3 h 394"/>
                              </a:gdLst>
                              <a:ahLst/>
                              <a:cxnLst>
                                <a:cxn ang="0">
                                  <a:pos x="T0" y="T1"/>
                                </a:cxn>
                                <a:cxn ang="0">
                                  <a:pos x="T2" y="T3"/>
                                </a:cxn>
                                <a:cxn ang="0">
                                  <a:pos x="T4" y="T5"/>
                                </a:cxn>
                                <a:cxn ang="0">
                                  <a:pos x="T6" y="T7"/>
                                </a:cxn>
                                <a:cxn ang="0">
                                  <a:pos x="T8" y="T9"/>
                                </a:cxn>
                              </a:cxnLst>
                              <a:rect l="0" t="0" r="r" b="b"/>
                              <a:pathLst>
                                <a:path w="35" h="394">
                                  <a:moveTo>
                                    <a:pt x="35" y="3"/>
                                  </a:moveTo>
                                  <a:lnTo>
                                    <a:pt x="35" y="394"/>
                                  </a:lnTo>
                                  <a:lnTo>
                                    <a:pt x="0" y="394"/>
                                  </a:lnTo>
                                  <a:lnTo>
                                    <a:pt x="3" y="0"/>
                                  </a:lnTo>
                                  <a:lnTo>
                                    <a:pt x="35" y="3"/>
                                  </a:lnTo>
                                  <a:close/>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1"/>
                          <wps:cNvSpPr>
                            <a:spLocks/>
                          </wps:cNvSpPr>
                          <wps:spPr bwMode="auto">
                            <a:xfrm>
                              <a:off x="2025" y="8672"/>
                              <a:ext cx="105" cy="105"/>
                            </a:xfrm>
                            <a:custGeom>
                              <a:avLst/>
                              <a:gdLst>
                                <a:gd name="T0" fmla="*/ 105 w 105"/>
                                <a:gd name="T1" fmla="*/ 3 h 105"/>
                                <a:gd name="T2" fmla="*/ 53 w 105"/>
                                <a:gd name="T3" fmla="*/ 105 h 105"/>
                                <a:gd name="T4" fmla="*/ 0 w 105"/>
                                <a:gd name="T5" fmla="*/ 0 h 105"/>
                                <a:gd name="T6" fmla="*/ 105 w 105"/>
                                <a:gd name="T7" fmla="*/ 3 h 105"/>
                              </a:gdLst>
                              <a:ahLst/>
                              <a:cxnLst>
                                <a:cxn ang="0">
                                  <a:pos x="T0" y="T1"/>
                                </a:cxn>
                                <a:cxn ang="0">
                                  <a:pos x="T2" y="T3"/>
                                </a:cxn>
                                <a:cxn ang="0">
                                  <a:pos x="T4" y="T5"/>
                                </a:cxn>
                                <a:cxn ang="0">
                                  <a:pos x="T6" y="T7"/>
                                </a:cxn>
                              </a:cxnLst>
                              <a:rect l="0" t="0" r="r" b="b"/>
                              <a:pathLst>
                                <a:path w="105" h="105">
                                  <a:moveTo>
                                    <a:pt x="105" y="3"/>
                                  </a:moveTo>
                                  <a:lnTo>
                                    <a:pt x="53" y="105"/>
                                  </a:lnTo>
                                  <a:lnTo>
                                    <a:pt x="0" y="0"/>
                                  </a:lnTo>
                                  <a:lnTo>
                                    <a:pt x="105" y="3"/>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5" name="Group 312"/>
                        <wpg:cNvGrpSpPr>
                          <a:grpSpLocks/>
                        </wpg:cNvGrpSpPr>
                        <wpg:grpSpPr bwMode="auto">
                          <a:xfrm>
                            <a:off x="2379785" y="5227574"/>
                            <a:ext cx="66675" cy="304165"/>
                            <a:chOff x="3828" y="8309"/>
                            <a:chExt cx="105" cy="479"/>
                          </a:xfrm>
                        </wpg:grpSpPr>
                        <wps:wsp>
                          <wps:cNvPr id="316" name="Freeform 313"/>
                          <wps:cNvSpPr>
                            <a:spLocks noEditPoints="1"/>
                          </wps:cNvSpPr>
                          <wps:spPr bwMode="auto">
                            <a:xfrm>
                              <a:off x="3828" y="8309"/>
                              <a:ext cx="105" cy="479"/>
                            </a:xfrm>
                            <a:custGeom>
                              <a:avLst/>
                              <a:gdLst>
                                <a:gd name="T0" fmla="*/ 70 w 105"/>
                                <a:gd name="T1" fmla="*/ 0 h 479"/>
                                <a:gd name="T2" fmla="*/ 70 w 105"/>
                                <a:gd name="T3" fmla="*/ 393 h 479"/>
                                <a:gd name="T4" fmla="*/ 35 w 105"/>
                                <a:gd name="T5" fmla="*/ 393 h 479"/>
                                <a:gd name="T6" fmla="*/ 35 w 105"/>
                                <a:gd name="T7" fmla="*/ 0 h 479"/>
                                <a:gd name="T8" fmla="*/ 70 w 105"/>
                                <a:gd name="T9" fmla="*/ 0 h 479"/>
                                <a:gd name="T10" fmla="*/ 105 w 105"/>
                                <a:gd name="T11" fmla="*/ 376 h 479"/>
                                <a:gd name="T12" fmla="*/ 52 w 105"/>
                                <a:gd name="T13" fmla="*/ 479 h 479"/>
                                <a:gd name="T14" fmla="*/ 0 w 105"/>
                                <a:gd name="T15" fmla="*/ 376 h 479"/>
                                <a:gd name="T16" fmla="*/ 105 w 105"/>
                                <a:gd name="T17" fmla="*/ 376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479">
                                  <a:moveTo>
                                    <a:pt x="70" y="0"/>
                                  </a:moveTo>
                                  <a:lnTo>
                                    <a:pt x="70" y="393"/>
                                  </a:lnTo>
                                  <a:lnTo>
                                    <a:pt x="35" y="393"/>
                                  </a:lnTo>
                                  <a:lnTo>
                                    <a:pt x="35" y="0"/>
                                  </a:lnTo>
                                  <a:lnTo>
                                    <a:pt x="70" y="0"/>
                                  </a:lnTo>
                                  <a:close/>
                                  <a:moveTo>
                                    <a:pt x="105" y="376"/>
                                  </a:moveTo>
                                  <a:lnTo>
                                    <a:pt x="52" y="479"/>
                                  </a:lnTo>
                                  <a:lnTo>
                                    <a:pt x="0" y="376"/>
                                  </a:lnTo>
                                  <a:lnTo>
                                    <a:pt x="105" y="37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Rectangle 314"/>
                          <wps:cNvSpPr>
                            <a:spLocks noChangeArrowheads="1"/>
                          </wps:cNvSpPr>
                          <wps:spPr bwMode="auto">
                            <a:xfrm>
                              <a:off x="3863" y="8309"/>
                              <a:ext cx="35" cy="393"/>
                            </a:xfrm>
                            <a:prstGeom prst="rect">
                              <a:avLst/>
                            </a:pr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15"/>
                          <wps:cNvSpPr>
                            <a:spLocks/>
                          </wps:cNvSpPr>
                          <wps:spPr bwMode="auto">
                            <a:xfrm>
                              <a:off x="3828" y="8685"/>
                              <a:ext cx="105" cy="103"/>
                            </a:xfrm>
                            <a:custGeom>
                              <a:avLst/>
                              <a:gdLst>
                                <a:gd name="T0" fmla="*/ 105 w 105"/>
                                <a:gd name="T1" fmla="*/ 0 h 103"/>
                                <a:gd name="T2" fmla="*/ 52 w 105"/>
                                <a:gd name="T3" fmla="*/ 103 h 103"/>
                                <a:gd name="T4" fmla="*/ 0 w 105"/>
                                <a:gd name="T5" fmla="*/ 0 h 103"/>
                                <a:gd name="T6" fmla="*/ 105 w 105"/>
                                <a:gd name="T7" fmla="*/ 0 h 103"/>
                              </a:gdLst>
                              <a:ahLst/>
                              <a:cxnLst>
                                <a:cxn ang="0">
                                  <a:pos x="T0" y="T1"/>
                                </a:cxn>
                                <a:cxn ang="0">
                                  <a:pos x="T2" y="T3"/>
                                </a:cxn>
                                <a:cxn ang="0">
                                  <a:pos x="T4" y="T5"/>
                                </a:cxn>
                                <a:cxn ang="0">
                                  <a:pos x="T6" y="T7"/>
                                </a:cxn>
                              </a:cxnLst>
                              <a:rect l="0" t="0" r="r" b="b"/>
                              <a:pathLst>
                                <a:path w="105" h="103">
                                  <a:moveTo>
                                    <a:pt x="105" y="0"/>
                                  </a:moveTo>
                                  <a:lnTo>
                                    <a:pt x="52" y="103"/>
                                  </a:lnTo>
                                  <a:lnTo>
                                    <a:pt x="0" y="0"/>
                                  </a:lnTo>
                                  <a:lnTo>
                                    <a:pt x="105" y="0"/>
                                  </a:lnTo>
                                </a:path>
                              </a:pathLst>
                            </a:custGeom>
                            <a:noFill/>
                            <a:ln w="3" cap="rnd">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 name="Line 316"/>
                        <wps:cNvCnPr/>
                        <wps:spPr bwMode="auto">
                          <a:xfrm>
                            <a:off x="3184330" y="5205349"/>
                            <a:ext cx="635" cy="1743710"/>
                          </a:xfrm>
                          <a:prstGeom prst="line">
                            <a:avLst/>
                          </a:prstGeom>
                          <a:noFill/>
                          <a:ln w="35">
                            <a:solidFill>
                              <a:srgbClr val="FF0000"/>
                            </a:solidFill>
                            <a:round/>
                            <a:headEnd/>
                            <a:tailEnd/>
                          </a:ln>
                          <a:extLst>
                            <a:ext uri="{909E8E84-426E-40DD-AFC4-6F175D3DCCD1}">
                              <a14:hiddenFill xmlns:a14="http://schemas.microsoft.com/office/drawing/2010/main">
                                <a:noFill/>
                              </a14:hiddenFill>
                            </a:ext>
                          </a:extLst>
                        </wps:spPr>
                        <wps:bodyPr/>
                      </wps:wsp>
                      <wps:wsp>
                        <wps:cNvPr id="320" name="Rectangle 317"/>
                        <wps:cNvSpPr>
                          <a:spLocks noChangeArrowheads="1"/>
                        </wps:cNvSpPr>
                        <wps:spPr bwMode="auto">
                          <a:xfrm>
                            <a:off x="3276405" y="5343779"/>
                            <a:ext cx="12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BE7" w:rsidRDefault="001C6BE7" w:rsidP="006C2E16">
                              <w:r>
                                <w:rPr>
                                  <w:rFonts w:cs="Times New Roman"/>
                                  <w:color w:val="000000"/>
                                  <w:sz w:val="16"/>
                                  <w:szCs w:val="16"/>
                                  <w:lang w:val="en-US"/>
                                </w:rPr>
                                <w:t>No</w:t>
                              </w:r>
                            </w:p>
                          </w:txbxContent>
                        </wps:txbx>
                        <wps:bodyPr rot="0" vert="horz" wrap="none" lIns="0" tIns="0" rIns="0" bIns="0" anchor="t" anchorCtr="0" upright="1">
                          <a:spAutoFit/>
                        </wps:bodyPr>
                      </wps:wsp>
                      <wpg:wgp>
                        <wpg:cNvPr id="321" name="Group 318"/>
                        <wpg:cNvGrpSpPr>
                          <a:grpSpLocks/>
                        </wpg:cNvGrpSpPr>
                        <wpg:grpSpPr bwMode="auto">
                          <a:xfrm>
                            <a:off x="1234880" y="6054979"/>
                            <a:ext cx="66675" cy="235585"/>
                            <a:chOff x="2025" y="9612"/>
                            <a:chExt cx="105" cy="371"/>
                          </a:xfrm>
                        </wpg:grpSpPr>
                        <wps:wsp>
                          <wps:cNvPr id="322" name="Freeform 319"/>
                          <wps:cNvSpPr>
                            <a:spLocks noEditPoints="1"/>
                          </wps:cNvSpPr>
                          <wps:spPr bwMode="auto">
                            <a:xfrm>
                              <a:off x="2025" y="9612"/>
                              <a:ext cx="105" cy="371"/>
                            </a:xfrm>
                            <a:custGeom>
                              <a:avLst/>
                              <a:gdLst>
                                <a:gd name="T0" fmla="*/ 70 w 105"/>
                                <a:gd name="T1" fmla="*/ 0 h 371"/>
                                <a:gd name="T2" fmla="*/ 70 w 105"/>
                                <a:gd name="T3" fmla="*/ 283 h 371"/>
                                <a:gd name="T4" fmla="*/ 35 w 105"/>
                                <a:gd name="T5" fmla="*/ 283 h 371"/>
                                <a:gd name="T6" fmla="*/ 38 w 105"/>
                                <a:gd name="T7" fmla="*/ 0 h 371"/>
                                <a:gd name="T8" fmla="*/ 70 w 105"/>
                                <a:gd name="T9" fmla="*/ 0 h 371"/>
                                <a:gd name="T10" fmla="*/ 105 w 105"/>
                                <a:gd name="T11" fmla="*/ 268 h 371"/>
                                <a:gd name="T12" fmla="*/ 53 w 105"/>
                                <a:gd name="T13" fmla="*/ 371 h 371"/>
                                <a:gd name="T14" fmla="*/ 0 w 105"/>
                                <a:gd name="T15" fmla="*/ 268 h 371"/>
                                <a:gd name="T16" fmla="*/ 105 w 105"/>
                                <a:gd name="T17" fmla="*/ 268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71">
                                  <a:moveTo>
                                    <a:pt x="70" y="0"/>
                                  </a:moveTo>
                                  <a:lnTo>
                                    <a:pt x="70" y="283"/>
                                  </a:lnTo>
                                  <a:lnTo>
                                    <a:pt x="35" y="283"/>
                                  </a:lnTo>
                                  <a:lnTo>
                                    <a:pt x="38" y="0"/>
                                  </a:lnTo>
                                  <a:lnTo>
                                    <a:pt x="70" y="0"/>
                                  </a:lnTo>
                                  <a:close/>
                                  <a:moveTo>
                                    <a:pt x="105" y="268"/>
                                  </a:moveTo>
                                  <a:lnTo>
                                    <a:pt x="53" y="371"/>
                                  </a:lnTo>
                                  <a:lnTo>
                                    <a:pt x="0" y="268"/>
                                  </a:lnTo>
                                  <a:lnTo>
                                    <a:pt x="105" y="26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0"/>
                          <wps:cNvSpPr>
                            <a:spLocks/>
                          </wps:cNvSpPr>
                          <wps:spPr bwMode="auto">
                            <a:xfrm>
                              <a:off x="2060" y="9612"/>
                              <a:ext cx="35" cy="283"/>
                            </a:xfrm>
                            <a:custGeom>
                              <a:avLst/>
                              <a:gdLst>
                                <a:gd name="T0" fmla="*/ 35 w 35"/>
                                <a:gd name="T1" fmla="*/ 0 h 283"/>
                                <a:gd name="T2" fmla="*/ 35 w 35"/>
                                <a:gd name="T3" fmla="*/ 283 h 283"/>
                                <a:gd name="T4" fmla="*/ 0 w 35"/>
                                <a:gd name="T5" fmla="*/ 283 h 283"/>
                                <a:gd name="T6" fmla="*/ 3 w 35"/>
                                <a:gd name="T7" fmla="*/ 0 h 283"/>
                                <a:gd name="T8" fmla="*/ 35 w 35"/>
                                <a:gd name="T9" fmla="*/ 0 h 283"/>
                              </a:gdLst>
                              <a:ahLst/>
                              <a:cxnLst>
                                <a:cxn ang="0">
                                  <a:pos x="T0" y="T1"/>
                                </a:cxn>
                                <a:cxn ang="0">
                                  <a:pos x="T2" y="T3"/>
                                </a:cxn>
                                <a:cxn ang="0">
                                  <a:pos x="T4" y="T5"/>
                                </a:cxn>
                                <a:cxn ang="0">
                                  <a:pos x="T6" y="T7"/>
                                </a:cxn>
                                <a:cxn ang="0">
                                  <a:pos x="T8" y="T9"/>
                                </a:cxn>
                              </a:cxnLst>
                              <a:rect l="0" t="0" r="r" b="b"/>
                              <a:pathLst>
                                <a:path w="35" h="283">
                                  <a:moveTo>
                                    <a:pt x="35" y="0"/>
                                  </a:moveTo>
                                  <a:lnTo>
                                    <a:pt x="35" y="283"/>
                                  </a:lnTo>
                                  <a:lnTo>
                                    <a:pt x="0" y="283"/>
                                  </a:lnTo>
                                  <a:lnTo>
                                    <a:pt x="3" y="0"/>
                                  </a:lnTo>
                                  <a:lnTo>
                                    <a:pt x="35" y="0"/>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1"/>
                          <wps:cNvSpPr>
                            <a:spLocks/>
                          </wps:cNvSpPr>
                          <wps:spPr bwMode="auto">
                            <a:xfrm>
                              <a:off x="2025" y="9880"/>
                              <a:ext cx="105" cy="103"/>
                            </a:xfrm>
                            <a:custGeom>
                              <a:avLst/>
                              <a:gdLst>
                                <a:gd name="T0" fmla="*/ 105 w 105"/>
                                <a:gd name="T1" fmla="*/ 0 h 103"/>
                                <a:gd name="T2" fmla="*/ 53 w 105"/>
                                <a:gd name="T3" fmla="*/ 103 h 103"/>
                                <a:gd name="T4" fmla="*/ 0 w 105"/>
                                <a:gd name="T5" fmla="*/ 0 h 103"/>
                                <a:gd name="T6" fmla="*/ 105 w 105"/>
                                <a:gd name="T7" fmla="*/ 0 h 103"/>
                              </a:gdLst>
                              <a:ahLst/>
                              <a:cxnLst>
                                <a:cxn ang="0">
                                  <a:pos x="T0" y="T1"/>
                                </a:cxn>
                                <a:cxn ang="0">
                                  <a:pos x="T2" y="T3"/>
                                </a:cxn>
                                <a:cxn ang="0">
                                  <a:pos x="T4" y="T5"/>
                                </a:cxn>
                                <a:cxn ang="0">
                                  <a:pos x="T6" y="T7"/>
                                </a:cxn>
                              </a:cxnLst>
                              <a:rect l="0" t="0" r="r" b="b"/>
                              <a:pathLst>
                                <a:path w="105" h="103">
                                  <a:moveTo>
                                    <a:pt x="105" y="0"/>
                                  </a:moveTo>
                                  <a:lnTo>
                                    <a:pt x="53" y="103"/>
                                  </a:lnTo>
                                  <a:lnTo>
                                    <a:pt x="0" y="0"/>
                                  </a:lnTo>
                                  <a:lnTo>
                                    <a:pt x="105"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25" name="Group 322"/>
                        <wpg:cNvGrpSpPr>
                          <a:grpSpLocks/>
                        </wpg:cNvGrpSpPr>
                        <wpg:grpSpPr bwMode="auto">
                          <a:xfrm>
                            <a:off x="2475035" y="6193409"/>
                            <a:ext cx="66675" cy="125730"/>
                            <a:chOff x="3978" y="9830"/>
                            <a:chExt cx="105" cy="198"/>
                          </a:xfrm>
                        </wpg:grpSpPr>
                        <wps:wsp>
                          <wps:cNvPr id="326" name="Freeform 323"/>
                          <wps:cNvSpPr>
                            <a:spLocks noEditPoints="1"/>
                          </wps:cNvSpPr>
                          <wps:spPr bwMode="auto">
                            <a:xfrm>
                              <a:off x="3978" y="9830"/>
                              <a:ext cx="105" cy="198"/>
                            </a:xfrm>
                            <a:custGeom>
                              <a:avLst/>
                              <a:gdLst>
                                <a:gd name="T0" fmla="*/ 70 w 105"/>
                                <a:gd name="T1" fmla="*/ 2 h 198"/>
                                <a:gd name="T2" fmla="*/ 70 w 105"/>
                                <a:gd name="T3" fmla="*/ 110 h 198"/>
                                <a:gd name="T4" fmla="*/ 35 w 105"/>
                                <a:gd name="T5" fmla="*/ 110 h 198"/>
                                <a:gd name="T6" fmla="*/ 35 w 105"/>
                                <a:gd name="T7" fmla="*/ 0 h 198"/>
                                <a:gd name="T8" fmla="*/ 70 w 105"/>
                                <a:gd name="T9" fmla="*/ 2 h 198"/>
                                <a:gd name="T10" fmla="*/ 105 w 105"/>
                                <a:gd name="T11" fmla="*/ 92 h 198"/>
                                <a:gd name="T12" fmla="*/ 52 w 105"/>
                                <a:gd name="T13" fmla="*/ 198 h 198"/>
                                <a:gd name="T14" fmla="*/ 0 w 105"/>
                                <a:gd name="T15" fmla="*/ 92 h 198"/>
                                <a:gd name="T16" fmla="*/ 105 w 105"/>
                                <a:gd name="T17" fmla="*/ 9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98">
                                  <a:moveTo>
                                    <a:pt x="70" y="2"/>
                                  </a:moveTo>
                                  <a:lnTo>
                                    <a:pt x="70" y="110"/>
                                  </a:lnTo>
                                  <a:lnTo>
                                    <a:pt x="35" y="110"/>
                                  </a:lnTo>
                                  <a:lnTo>
                                    <a:pt x="35" y="0"/>
                                  </a:lnTo>
                                  <a:lnTo>
                                    <a:pt x="70" y="2"/>
                                  </a:lnTo>
                                  <a:close/>
                                  <a:moveTo>
                                    <a:pt x="105" y="92"/>
                                  </a:moveTo>
                                  <a:lnTo>
                                    <a:pt x="52" y="198"/>
                                  </a:lnTo>
                                  <a:lnTo>
                                    <a:pt x="0" y="92"/>
                                  </a:lnTo>
                                  <a:lnTo>
                                    <a:pt x="105" y="9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4"/>
                          <wps:cNvSpPr>
                            <a:spLocks/>
                          </wps:cNvSpPr>
                          <wps:spPr bwMode="auto">
                            <a:xfrm>
                              <a:off x="4013" y="9830"/>
                              <a:ext cx="35" cy="110"/>
                            </a:xfrm>
                            <a:custGeom>
                              <a:avLst/>
                              <a:gdLst>
                                <a:gd name="T0" fmla="*/ 35 w 35"/>
                                <a:gd name="T1" fmla="*/ 2 h 110"/>
                                <a:gd name="T2" fmla="*/ 35 w 35"/>
                                <a:gd name="T3" fmla="*/ 110 h 110"/>
                                <a:gd name="T4" fmla="*/ 0 w 35"/>
                                <a:gd name="T5" fmla="*/ 110 h 110"/>
                                <a:gd name="T6" fmla="*/ 0 w 35"/>
                                <a:gd name="T7" fmla="*/ 0 h 110"/>
                                <a:gd name="T8" fmla="*/ 35 w 35"/>
                                <a:gd name="T9" fmla="*/ 2 h 110"/>
                              </a:gdLst>
                              <a:ahLst/>
                              <a:cxnLst>
                                <a:cxn ang="0">
                                  <a:pos x="T0" y="T1"/>
                                </a:cxn>
                                <a:cxn ang="0">
                                  <a:pos x="T2" y="T3"/>
                                </a:cxn>
                                <a:cxn ang="0">
                                  <a:pos x="T4" y="T5"/>
                                </a:cxn>
                                <a:cxn ang="0">
                                  <a:pos x="T6" y="T7"/>
                                </a:cxn>
                                <a:cxn ang="0">
                                  <a:pos x="T8" y="T9"/>
                                </a:cxn>
                              </a:cxnLst>
                              <a:rect l="0" t="0" r="r" b="b"/>
                              <a:pathLst>
                                <a:path w="35" h="110">
                                  <a:moveTo>
                                    <a:pt x="35" y="2"/>
                                  </a:moveTo>
                                  <a:lnTo>
                                    <a:pt x="35" y="110"/>
                                  </a:lnTo>
                                  <a:lnTo>
                                    <a:pt x="0" y="110"/>
                                  </a:lnTo>
                                  <a:lnTo>
                                    <a:pt x="0" y="0"/>
                                  </a:lnTo>
                                  <a:lnTo>
                                    <a:pt x="35" y="2"/>
                                  </a:lnTo>
                                  <a:close/>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25"/>
                          <wps:cNvSpPr>
                            <a:spLocks/>
                          </wps:cNvSpPr>
                          <wps:spPr bwMode="auto">
                            <a:xfrm>
                              <a:off x="3978" y="9922"/>
                              <a:ext cx="105" cy="106"/>
                            </a:xfrm>
                            <a:custGeom>
                              <a:avLst/>
                              <a:gdLst>
                                <a:gd name="T0" fmla="*/ 105 w 105"/>
                                <a:gd name="T1" fmla="*/ 0 h 106"/>
                                <a:gd name="T2" fmla="*/ 52 w 105"/>
                                <a:gd name="T3" fmla="*/ 106 h 106"/>
                                <a:gd name="T4" fmla="*/ 0 w 105"/>
                                <a:gd name="T5" fmla="*/ 0 h 106"/>
                                <a:gd name="T6" fmla="*/ 105 w 105"/>
                                <a:gd name="T7" fmla="*/ 0 h 106"/>
                              </a:gdLst>
                              <a:ahLst/>
                              <a:cxnLst>
                                <a:cxn ang="0">
                                  <a:pos x="T0" y="T1"/>
                                </a:cxn>
                                <a:cxn ang="0">
                                  <a:pos x="T2" y="T3"/>
                                </a:cxn>
                                <a:cxn ang="0">
                                  <a:pos x="T4" y="T5"/>
                                </a:cxn>
                                <a:cxn ang="0">
                                  <a:pos x="T6" y="T7"/>
                                </a:cxn>
                              </a:cxnLst>
                              <a:rect l="0" t="0" r="r" b="b"/>
                              <a:pathLst>
                                <a:path w="105" h="106">
                                  <a:moveTo>
                                    <a:pt x="105" y="0"/>
                                  </a:moveTo>
                                  <a:lnTo>
                                    <a:pt x="52" y="106"/>
                                  </a:lnTo>
                                  <a:lnTo>
                                    <a:pt x="0" y="0"/>
                                  </a:lnTo>
                                  <a:lnTo>
                                    <a:pt x="105" y="0"/>
                                  </a:lnTo>
                                </a:path>
                              </a:pathLst>
                            </a:custGeom>
                            <a:noFill/>
                            <a:ln w="3"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29" name="Group 326"/>
                        <wpg:cNvGrpSpPr>
                          <a:grpSpLocks/>
                        </wpg:cNvGrpSpPr>
                        <wpg:grpSpPr bwMode="auto">
                          <a:xfrm>
                            <a:off x="2794440" y="6918579"/>
                            <a:ext cx="402590" cy="59055"/>
                            <a:chOff x="4481" y="10972"/>
                            <a:chExt cx="634" cy="93"/>
                          </a:xfrm>
                        </wpg:grpSpPr>
                        <wps:wsp>
                          <wps:cNvPr id="330" name="Freeform 327"/>
                          <wps:cNvSpPr>
                            <a:spLocks noEditPoints="1"/>
                          </wps:cNvSpPr>
                          <wps:spPr bwMode="auto">
                            <a:xfrm>
                              <a:off x="4481" y="10972"/>
                              <a:ext cx="634" cy="93"/>
                            </a:xfrm>
                            <a:custGeom>
                              <a:avLst/>
                              <a:gdLst>
                                <a:gd name="T0" fmla="*/ 634 w 634"/>
                                <a:gd name="T1" fmla="*/ 63 h 93"/>
                                <a:gd name="T2" fmla="*/ 75 w 634"/>
                                <a:gd name="T3" fmla="*/ 63 h 93"/>
                                <a:gd name="T4" fmla="*/ 75 w 634"/>
                                <a:gd name="T5" fmla="*/ 33 h 93"/>
                                <a:gd name="T6" fmla="*/ 631 w 634"/>
                                <a:gd name="T7" fmla="*/ 30 h 93"/>
                                <a:gd name="T8" fmla="*/ 634 w 634"/>
                                <a:gd name="T9" fmla="*/ 63 h 93"/>
                                <a:gd name="T10" fmla="*/ 93 w 634"/>
                                <a:gd name="T11" fmla="*/ 93 h 93"/>
                                <a:gd name="T12" fmla="*/ 0 w 634"/>
                                <a:gd name="T13" fmla="*/ 48 h 93"/>
                                <a:gd name="T14" fmla="*/ 93 w 634"/>
                                <a:gd name="T15" fmla="*/ 0 h 93"/>
                                <a:gd name="T16" fmla="*/ 93 w 634"/>
                                <a:gd name="T17"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4" h="93">
                                  <a:moveTo>
                                    <a:pt x="634" y="63"/>
                                  </a:moveTo>
                                  <a:lnTo>
                                    <a:pt x="75" y="63"/>
                                  </a:lnTo>
                                  <a:lnTo>
                                    <a:pt x="75" y="33"/>
                                  </a:lnTo>
                                  <a:lnTo>
                                    <a:pt x="631" y="30"/>
                                  </a:lnTo>
                                  <a:lnTo>
                                    <a:pt x="634" y="63"/>
                                  </a:lnTo>
                                  <a:close/>
                                  <a:moveTo>
                                    <a:pt x="93" y="93"/>
                                  </a:moveTo>
                                  <a:lnTo>
                                    <a:pt x="0" y="48"/>
                                  </a:lnTo>
                                  <a:lnTo>
                                    <a:pt x="93" y="0"/>
                                  </a:lnTo>
                                  <a:lnTo>
                                    <a:pt x="93"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8"/>
                          <wps:cNvSpPr>
                            <a:spLocks/>
                          </wps:cNvSpPr>
                          <wps:spPr bwMode="auto">
                            <a:xfrm>
                              <a:off x="4556" y="11002"/>
                              <a:ext cx="559" cy="33"/>
                            </a:xfrm>
                            <a:custGeom>
                              <a:avLst/>
                              <a:gdLst>
                                <a:gd name="T0" fmla="*/ 559 w 559"/>
                                <a:gd name="T1" fmla="*/ 33 h 33"/>
                                <a:gd name="T2" fmla="*/ 0 w 559"/>
                                <a:gd name="T3" fmla="*/ 33 h 33"/>
                                <a:gd name="T4" fmla="*/ 0 w 559"/>
                                <a:gd name="T5" fmla="*/ 3 h 33"/>
                                <a:gd name="T6" fmla="*/ 556 w 559"/>
                                <a:gd name="T7" fmla="*/ 0 h 33"/>
                                <a:gd name="T8" fmla="*/ 559 w 559"/>
                                <a:gd name="T9" fmla="*/ 33 h 33"/>
                              </a:gdLst>
                              <a:ahLst/>
                              <a:cxnLst>
                                <a:cxn ang="0">
                                  <a:pos x="T0" y="T1"/>
                                </a:cxn>
                                <a:cxn ang="0">
                                  <a:pos x="T2" y="T3"/>
                                </a:cxn>
                                <a:cxn ang="0">
                                  <a:pos x="T4" y="T5"/>
                                </a:cxn>
                                <a:cxn ang="0">
                                  <a:pos x="T6" y="T7"/>
                                </a:cxn>
                                <a:cxn ang="0">
                                  <a:pos x="T8" y="T9"/>
                                </a:cxn>
                              </a:cxnLst>
                              <a:rect l="0" t="0" r="r" b="b"/>
                              <a:pathLst>
                                <a:path w="559" h="33">
                                  <a:moveTo>
                                    <a:pt x="559" y="33"/>
                                  </a:moveTo>
                                  <a:lnTo>
                                    <a:pt x="0" y="33"/>
                                  </a:lnTo>
                                  <a:lnTo>
                                    <a:pt x="0" y="3"/>
                                  </a:lnTo>
                                  <a:lnTo>
                                    <a:pt x="556" y="0"/>
                                  </a:lnTo>
                                  <a:lnTo>
                                    <a:pt x="559" y="33"/>
                                  </a:lnTo>
                                  <a:close/>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29"/>
                          <wps:cNvSpPr>
                            <a:spLocks/>
                          </wps:cNvSpPr>
                          <wps:spPr bwMode="auto">
                            <a:xfrm>
                              <a:off x="4481" y="10972"/>
                              <a:ext cx="93" cy="93"/>
                            </a:xfrm>
                            <a:custGeom>
                              <a:avLst/>
                              <a:gdLst>
                                <a:gd name="T0" fmla="*/ 93 w 93"/>
                                <a:gd name="T1" fmla="*/ 93 h 93"/>
                                <a:gd name="T2" fmla="*/ 0 w 93"/>
                                <a:gd name="T3" fmla="*/ 48 h 93"/>
                                <a:gd name="T4" fmla="*/ 93 w 93"/>
                                <a:gd name="T5" fmla="*/ 0 h 93"/>
                                <a:gd name="T6" fmla="*/ 93 w 93"/>
                                <a:gd name="T7" fmla="*/ 93 h 93"/>
                              </a:gdLst>
                              <a:ahLst/>
                              <a:cxnLst>
                                <a:cxn ang="0">
                                  <a:pos x="T0" y="T1"/>
                                </a:cxn>
                                <a:cxn ang="0">
                                  <a:pos x="T2" y="T3"/>
                                </a:cxn>
                                <a:cxn ang="0">
                                  <a:pos x="T4" y="T5"/>
                                </a:cxn>
                                <a:cxn ang="0">
                                  <a:pos x="T6" y="T7"/>
                                </a:cxn>
                              </a:cxnLst>
                              <a:rect l="0" t="0" r="r" b="b"/>
                              <a:pathLst>
                                <a:path w="93" h="93">
                                  <a:moveTo>
                                    <a:pt x="93" y="93"/>
                                  </a:moveTo>
                                  <a:lnTo>
                                    <a:pt x="0" y="48"/>
                                  </a:lnTo>
                                  <a:lnTo>
                                    <a:pt x="93" y="0"/>
                                  </a:lnTo>
                                  <a:lnTo>
                                    <a:pt x="93" y="93"/>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33" name="Group 330"/>
                        <wpg:cNvGrpSpPr>
                          <a:grpSpLocks/>
                        </wpg:cNvGrpSpPr>
                        <wpg:grpSpPr bwMode="auto">
                          <a:xfrm>
                            <a:off x="622740" y="6949059"/>
                            <a:ext cx="265430" cy="58420"/>
                            <a:chOff x="1061" y="11020"/>
                            <a:chExt cx="418" cy="92"/>
                          </a:xfrm>
                        </wpg:grpSpPr>
                        <wps:wsp>
                          <wps:cNvPr id="334" name="Freeform 331"/>
                          <wps:cNvSpPr>
                            <a:spLocks noEditPoints="1"/>
                          </wps:cNvSpPr>
                          <wps:spPr bwMode="auto">
                            <a:xfrm>
                              <a:off x="1061" y="11020"/>
                              <a:ext cx="418" cy="92"/>
                            </a:xfrm>
                            <a:custGeom>
                              <a:avLst/>
                              <a:gdLst>
                                <a:gd name="T0" fmla="*/ 0 w 418"/>
                                <a:gd name="T1" fmla="*/ 30 h 92"/>
                                <a:gd name="T2" fmla="*/ 343 w 418"/>
                                <a:gd name="T3" fmla="*/ 30 h 92"/>
                                <a:gd name="T4" fmla="*/ 343 w 418"/>
                                <a:gd name="T5" fmla="*/ 60 h 92"/>
                                <a:gd name="T6" fmla="*/ 0 w 418"/>
                                <a:gd name="T7" fmla="*/ 60 h 92"/>
                                <a:gd name="T8" fmla="*/ 0 w 418"/>
                                <a:gd name="T9" fmla="*/ 30 h 92"/>
                                <a:gd name="T10" fmla="*/ 328 w 418"/>
                                <a:gd name="T11" fmla="*/ 0 h 92"/>
                                <a:gd name="T12" fmla="*/ 418 w 418"/>
                                <a:gd name="T13" fmla="*/ 45 h 92"/>
                                <a:gd name="T14" fmla="*/ 328 w 418"/>
                                <a:gd name="T15" fmla="*/ 92 h 92"/>
                                <a:gd name="T16" fmla="*/ 328 w 418"/>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 h="92">
                                  <a:moveTo>
                                    <a:pt x="0" y="30"/>
                                  </a:moveTo>
                                  <a:lnTo>
                                    <a:pt x="343" y="30"/>
                                  </a:lnTo>
                                  <a:lnTo>
                                    <a:pt x="343" y="60"/>
                                  </a:lnTo>
                                  <a:lnTo>
                                    <a:pt x="0" y="60"/>
                                  </a:lnTo>
                                  <a:lnTo>
                                    <a:pt x="0" y="30"/>
                                  </a:lnTo>
                                  <a:close/>
                                  <a:moveTo>
                                    <a:pt x="328" y="0"/>
                                  </a:moveTo>
                                  <a:lnTo>
                                    <a:pt x="418" y="45"/>
                                  </a:lnTo>
                                  <a:lnTo>
                                    <a:pt x="328" y="92"/>
                                  </a:lnTo>
                                  <a:lnTo>
                                    <a:pt x="3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Rectangle 332"/>
                          <wps:cNvSpPr>
                            <a:spLocks noChangeArrowheads="1"/>
                          </wps:cNvSpPr>
                          <wps:spPr bwMode="auto">
                            <a:xfrm>
                              <a:off x="1061" y="11050"/>
                              <a:ext cx="343" cy="30"/>
                            </a:xfrm>
                            <a:prstGeom prst="rect">
                              <a:avLst/>
                            </a:pr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3"/>
                          <wps:cNvSpPr>
                            <a:spLocks/>
                          </wps:cNvSpPr>
                          <wps:spPr bwMode="auto">
                            <a:xfrm>
                              <a:off x="1389" y="11020"/>
                              <a:ext cx="90" cy="92"/>
                            </a:xfrm>
                            <a:custGeom>
                              <a:avLst/>
                              <a:gdLst>
                                <a:gd name="T0" fmla="*/ 0 w 90"/>
                                <a:gd name="T1" fmla="*/ 0 h 92"/>
                                <a:gd name="T2" fmla="*/ 90 w 90"/>
                                <a:gd name="T3" fmla="*/ 45 h 92"/>
                                <a:gd name="T4" fmla="*/ 0 w 90"/>
                                <a:gd name="T5" fmla="*/ 92 h 92"/>
                                <a:gd name="T6" fmla="*/ 0 w 90"/>
                                <a:gd name="T7" fmla="*/ 0 h 92"/>
                              </a:gdLst>
                              <a:ahLst/>
                              <a:cxnLst>
                                <a:cxn ang="0">
                                  <a:pos x="T0" y="T1"/>
                                </a:cxn>
                                <a:cxn ang="0">
                                  <a:pos x="T2" y="T3"/>
                                </a:cxn>
                                <a:cxn ang="0">
                                  <a:pos x="T4" y="T5"/>
                                </a:cxn>
                                <a:cxn ang="0">
                                  <a:pos x="T6" y="T7"/>
                                </a:cxn>
                              </a:cxnLst>
                              <a:rect l="0" t="0" r="r" b="b"/>
                              <a:pathLst>
                                <a:path w="90" h="92">
                                  <a:moveTo>
                                    <a:pt x="0" y="0"/>
                                  </a:moveTo>
                                  <a:lnTo>
                                    <a:pt x="90" y="45"/>
                                  </a:lnTo>
                                  <a:lnTo>
                                    <a:pt x="0" y="92"/>
                                  </a:lnTo>
                                  <a:lnTo>
                                    <a:pt x="0" y="0"/>
                                  </a:lnTo>
                                </a:path>
                              </a:pathLst>
                            </a:custGeom>
                            <a:noFill/>
                            <a:ln w="3"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337" o:spid="_x0000_s1102" editas="canvas" style="width:332.25pt;height:571.05pt;mso-position-horizontal-relative:char;mso-position-vertical-relative:line" coordsize="42195,7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">
                <v:shape id="_x0000_s1103" type="#_x0000_t75" style="position:absolute;width:42195;height:72523;visibility:visible;mso-wrap-style:square">
                  <v:fill o:detectmouseclick="t"/>
                  <v:path o:connecttype="none"/>
                </v:shape>
                <v:rect id="Rectangle 10" o:spid="_x0000_s1104" style="position:absolute;left:9650;top:69268;width:172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11" o:spid="_x0000_s1105" style="position:absolute;left:16196;top:26031;width:22511;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cusAA&#10;AADbAAAADwAAAGRycy9kb3ducmV2LnhtbESPTYvCMBCG78L+hzAL3jTdZRWpxrIVhL2qRTwOzdgU&#10;m0ltslr99UYQvM0wz7wfi6y3jbhQ52vHCr7GCQji0umaKwXFbj2agfABWWPjmBTcyEO2/BgsMNXu&#10;yhu6bEMlogj7FBWYENpUSl8asujHriWOt6PrLIa4dpXUHV6juG3kd5JMpcWao4PBllaGytP23yqw&#10;kba7Zn843+uDXNMkz4vCKDX87H/nIAL14Q2/vv90jP8Dzy5x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AcusAAAADbAAAADwAAAAAAAAAAAAAAAACYAgAAZHJzL2Rvd25y&#10;ZXYueG1sUEsFBgAAAAAEAAQA9QAAAIUDAAAAAA==&#10;" filled="f" strokeweight="97e-5mm">
                  <v:stroke endcap="round"/>
                </v:rect>
                <v:rect id="Rectangle 12" o:spid="_x0000_s1106" style="position:absolute;left:17759;top:26526;width:1921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 xml:space="preserve">Is there a relationship between toxicity and soil </w:t>
                        </w:r>
                      </w:p>
                    </w:txbxContent>
                  </v:textbox>
                </v:rect>
                <v:rect id="Rectangle 13" o:spid="_x0000_s1107" style="position:absolute;left:21607;top:27764;width:1159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physicochemical properties?</w:t>
                        </w:r>
                      </w:p>
                    </w:txbxContent>
                  </v:textbox>
                </v:rect>
                <v:group id="Group 14" o:spid="_x0000_s1108" style="position:absolute;left:30332;top:30120;width:647;height:2096" coordorigin="4857,4820" coordsize="10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5" o:spid="_x0000_s1109" style="position:absolute;left:4857;top:4820;width:102;height:330;visibility:visible;mso-wrap-style:square;v-text-anchor:top" coordsize="10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tsUA&#10;AADbAAAADwAAAGRycy9kb3ducmV2LnhtbESP3WrCQBCF7wu+wzKCN6Vu9KJq6ipBWhQE8acPMM2O&#10;STA7G7Krpm/vXAjezXDOnPPNfNm5Wt2oDZVnA6NhAoo497biwsDv6edjCipEZIu1ZzLwTwGWi97b&#10;HFPr73yg2zEWSkI4pGigjLFJtQ55SQ7D0DfEop196zDK2hbatniXcFfrcZJ8aocVS0OJDa1Kyi/H&#10;qzPwfV0l279zFdYTPdvsxmFfZ++ZMYN+l32BitTFl/l5vbGCL7D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P+2xQAAANsAAAAPAAAAAAAAAAAAAAAAAJgCAABkcnMv&#10;ZG93bnJldi54bWxQSwUGAAAAAAQABAD1AAAAigMAAAAA&#10;" path="m70,l67,243r-35,l35,,70,xm102,227l50,330,,225r102,2xe" fillcolor="green" stroked="f">
                    <v:path arrowok="t" o:connecttype="custom" o:connectlocs="70,0;67,243;32,243;35,0;70,0;102,227;50,330;0,225;102,227" o:connectangles="0,0,0,0,0,0,0,0,0"/>
                    <o:lock v:ext="edit" verticies="t"/>
                  </v:shape>
                  <v:shape id="Freeform 16" o:spid="_x0000_s1110" style="position:absolute;left:4889;top:4820;width:38;height:243;visibility:visible;mso-wrap-style:square;v-text-anchor:top" coordsize="3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iLcMA&#10;AADbAAAADwAAAGRycy9kb3ducmV2LnhtbERPTWsCMRC9F/wPYQRvNatg0dUoKigKPbTqxdu4GXcX&#10;N5M1ie62v74pFHqbx/uc2aI1lXiS86VlBYN+AoI4s7rkXMHpuHkdg/ABWWNlmRR8kYfFvPMyw1Tb&#10;hj/peQi5iCHsU1RQhFCnUvqsIIO+b2viyF2tMxgidLnUDpsYbio5TJI3abDk2FBgTeuCstvhYRRk&#10;u8v32H3cL/vb1p1Hp1UzeHeNUr1uu5yCCNSGf/Gfe6fj/An8/hIP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iLcMAAADbAAAADwAAAAAAAAAAAAAAAACYAgAAZHJzL2Rv&#10;d25yZXYueG1sUEsFBgAAAAAEAAQA9QAAAIgDAAAAAA==&#10;" path="m38,l35,243,,243,3,,38,xe" filled="f" strokecolor="green" strokeweight="8e-5mm">
                    <v:stroke endcap="round"/>
                    <v:path arrowok="t" o:connecttype="custom" o:connectlocs="38,0;35,243;0,243;3,0;38,0" o:connectangles="0,0,0,0,0"/>
                  </v:shape>
                  <v:shape id="Freeform 17" o:spid="_x0000_s1111" style="position:absolute;left:4857;top:5045;width:102;height:105;visibility:visible;mso-wrap-style:square;v-text-anchor:top" coordsize="1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fYMIA&#10;AADbAAAADwAAAGRycy9kb3ducmV2LnhtbERPz2vCMBS+D/wfwhN2GZquBxnVKKKU6UFktRdvz+bZ&#10;FJuX0kSt//1yGOz48f1erAbbigf1vnGs4HOagCCunG64VlCe8skXCB+QNbaOScGLPKyWo7cFZto9&#10;+YceRahFDGGfoQITQpdJ6StDFv3UdcSRu7reYoiwr6Xu8RnDbSvTJJlJiw3HBoMdbQxVt+JuFZy2&#10;5cf5mB9MeaT9d75Pi8vrulHqfTys5yACDeFf/OfeaQVpXB+/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R9gwgAAANsAAAAPAAAAAAAAAAAAAAAAAJgCAABkcnMvZG93&#10;bnJldi54bWxQSwUGAAAAAAQABAD1AAAAhwMAAAAA&#10;" path="m102,2l50,105,,,102,2e" filled="f" strokecolor="green" strokeweight="8e-5mm">
                    <v:stroke endcap="round"/>
                    <v:path arrowok="t" o:connecttype="custom" o:connectlocs="102,2;50,105;0,0;102,2" o:connectangles="0,0,0,0"/>
                  </v:shape>
                </v:group>
                <v:rect id="Rectangle 18" o:spid="_x0000_s1112" style="position:absolute;left:5274;top:25046;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19" o:spid="_x0000_s1113" style="position:absolute;left:22921;top:23707;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Yes</w:t>
                        </w:r>
                      </w:p>
                    </w:txbxContent>
                  </v:textbox>
                </v:rect>
                <v:rect id="Rectangle 20" o:spid="_x0000_s1114" style="position:absolute;left:22839;top:32628;width:15582;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Oc78A&#10;AADbAAAADwAAAGRycy9kb3ducmV2LnhtbESPQYvCMBSE7wv+h/AEb2uqokg1ii4IXtUiHh/Nsyk2&#10;L7XJavXXG0HwOMw3M8x82dpK3KjxpWMFg34Cgjh3uuRCQXbY/E5B+ICssXJMCh7kYbno/Mwx1e7O&#10;O7rtQyFiCfsUFZgQ6lRKnxuy6PuuJo7e2TUWQ5RNIXWD91huKzlMkom0WHJcMFjTn6H8sv+3Cmyk&#10;7aE6nq7P8iQ3NF6vs8wo1eu2qxmIQG34wp/0VisYjuD9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U5zvwAAANsAAAAPAAAAAAAAAAAAAAAAAJgCAABkcnMvZG93bnJl&#10;di54bWxQSwUGAAAAAAQABAD1AAAAhAMAAAAA&#10;" filled="f" strokeweight="97e-5mm">
                  <v:stroke endcap="round"/>
                </v:rect>
                <v:rect id="Rectangle 21" o:spid="_x0000_s1115" style="position:absolute;left:25817;top:32470;width:9537;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Normalise toxicity data</w:t>
                        </w:r>
                      </w:p>
                    </w:txbxContent>
                  </v:textbox>
                </v:rect>
                <v:group id="Group 22" o:spid="_x0000_s1116" style="position:absolute;left:7611;top:24310;width:654;height:12852" coordorigin="1279,3905" coordsize="103,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3" o:spid="_x0000_s1117" style="position:absolute;left:1279;top:3905;width:103;height:2024;visibility:visible;mso-wrap-style:square;v-text-anchor:top" coordsize="103,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8uMYA&#10;AADbAAAADwAAAGRycy9kb3ducmV2LnhtbESPQWvCQBSE7wX/w/IEb3VTD1rTrKK2hhZBrM0lt0f2&#10;mQSzb0N2Nem/7xYKPQ4z8w2TrAfTiDt1rras4GkagSAurK65VJB97R+fQTiPrLGxTAq+ycF6NXpI&#10;MNa250+6n30pAoRdjAoq79tYSldUZNBNbUscvIvtDPogu1LqDvsAN42cRdFcGqw5LFTY0q6i4nq+&#10;GQWXND3mWf+xaU/ubfua7xbLND8oNRkPmxcQngb/H/5rv2sFsz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08uMYAAADbAAAADwAAAAAAAAAAAAAAAACYAgAAZHJz&#10;L2Rvd25yZXYueG1sUEsFBgAAAAAEAAQA9QAAAIsDAAAAAA==&#10;" path="m80,l70,1937r-35,l45,,80,xm103,1919l50,2024,,1919r103,xe" fillcolor="red" stroked="f">
                    <v:path arrowok="t" o:connecttype="custom" o:connectlocs="80,0;70,1937;35,1937;45,0;80,0;103,1919;50,2024;0,1919;103,1919" o:connectangles="0,0,0,0,0,0,0,0,0"/>
                    <o:lock v:ext="edit" verticies="t"/>
                  </v:shape>
                  <v:shape id="Freeform 24" o:spid="_x0000_s1118" style="position:absolute;left:1314;top:3905;width:45;height:1937;visibility:visible;mso-wrap-style:square;v-text-anchor:top" coordsize="45,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7ZMQA&#10;AADbAAAADwAAAGRycy9kb3ducmV2LnhtbESPQWvCQBSE7wX/w/KE3pqNObSaugmiCL30oA2en9nX&#10;bDD7Nma3mubXdwuFHoeZ+YZZl6PtxI0G3zpWsEhSEMS10y03CqqP/dMShA/IGjvHpOCbPJTF7GGN&#10;uXZ3PtDtGBoRIexzVGBC6HMpfW3Iok9cTxy9TzdYDFEOjdQD3iPcdjJL02dpseW4YLCnraH6cvyy&#10;Cpb73Zgd0tPmPNF1Zaa6ukzvlVKP83HzCiLQGP7Df+03rSB7gd8v8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9e2TEAAAA2wAAAA8AAAAAAAAAAAAAAAAAmAIAAGRycy9k&#10;b3ducmV2LnhtbFBLBQYAAAAABAAEAPUAAACJAwAAAAA=&#10;" path="m45,l35,1937r-35,l10,,45,xe" filled="f" strokecolor="red" strokeweight="8e-5mm">
                    <v:stroke endcap="round"/>
                    <v:path arrowok="t" o:connecttype="custom" o:connectlocs="45,0;35,1937;0,1937;10,0;45,0" o:connectangles="0,0,0,0,0"/>
                  </v:shape>
                  <v:shape id="Freeform 25" o:spid="_x0000_s1119" style="position:absolute;left:1279;top:5824;width:103;height:105;visibility:visible;mso-wrap-style:square;v-text-anchor:top" coordsize="10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QcsAA&#10;AADbAAAADwAAAGRycy9kb3ducmV2LnhtbERPz2vCMBS+C/4P4QneNFXEuWoUcQgeZLDqPD+aZ9Ot&#10;eSlJZut/vxwGO358vze73jbiQT7UjhXMphkI4tLpmisF18txsgIRIrLGxjEpeFKA3XY42GCuXccf&#10;9ChiJVIIhxwVmBjbXMpQGrIYpq4lTtzdeYsxQV9J7bFL4baR8yxbSos1pwaDLR0Mld/Fj1XwepPx&#10;/at9W+CLN92n3dtnf74pNR71+zWISH38F/+5T1rBPI1NX9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JQcsAAAADbAAAADwAAAAAAAAAAAAAAAACYAgAAZHJzL2Rvd25y&#10;ZXYueG1sUEsFBgAAAAAEAAQA9QAAAIUDAAAAAA==&#10;" path="m103,l50,105,,,103,e" filled="f" strokecolor="red" strokeweight="8e-5mm">
                    <v:stroke endcap="round"/>
                    <v:path arrowok="t" o:connecttype="custom" o:connectlocs="103,0;50,105;0,0;103,0" o:connectangles="0,0,0,0"/>
                  </v:shape>
                </v:group>
                <v:group id="Group 26" o:spid="_x0000_s1120" style="position:absolute;left:30300;top:35111;width:667;height:2115" coordorigin="4852,5606" coordsize="105,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7" o:spid="_x0000_s1121" style="position:absolute;left:4852;top:5606;width:105;height:333;visibility:visible;mso-wrap-style:square;v-text-anchor:top" coordsize="1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0dL4A&#10;AADbAAAADwAAAGRycy9kb3ducmV2LnhtbERPTYvCMBC9C/6HMMLeNK0LItUoIrqIHsSq96EZ29Jm&#10;Uppsrf/eHASPj/e9XPemFh21rrSsIJ5EIIgzq0vOFdyu+/EchPPIGmvLpOBFDtar4WCJibZPvlCX&#10;+lyEEHYJKii8bxIpXVaQQTexDXHgHrY16ANsc6lbfIZwU8tpFM2kwZJDQ4ENbQvKqvTfKDia+HCb&#10;2fhM9Wl3r/7keVPlnVI/o36zAOGp91/xx33QCn7D+vAl/A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VNHS+AAAA2wAAAA8AAAAAAAAAAAAAAAAAmAIAAGRycy9kb3ducmV2&#10;LnhtbFBLBQYAAAAABAAEAPUAAACDAwAAAAA=&#10;" path="m67,r3,248l35,248,35,,67,xm105,231l52,333,,231r105,xe" fillcolor="blue" stroked="f">
                    <v:path arrowok="t" o:connecttype="custom" o:connectlocs="67,0;70,248;35,248;35,0;67,0;105,231;52,333;0,231;105,231" o:connectangles="0,0,0,0,0,0,0,0,0"/>
                    <o:lock v:ext="edit" verticies="t"/>
                  </v:shape>
                  <v:shape id="Freeform 28" o:spid="_x0000_s1122" style="position:absolute;left:4887;top:5606;width:35;height:248;visibility:visible;mso-wrap-style:square;v-text-anchor:top" coordsize="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MXMQA&#10;AADbAAAADwAAAGRycy9kb3ducmV2LnhtbESPQWvCQBSE74L/YXmCN91oQSV1laoUBCmYtFB6e80+&#10;k6XZtyG7avz3XUHwOMzMN8xy3dlaXKj1xrGCyTgBQVw4bbhU8PX5PlqA8AFZY+2YFNzIw3rV7y0x&#10;1e7KGV3yUIoIYZ+igiqEJpXSFxVZ9GPXEEfv5FqLIcq2lLrFa4TbWk6TZCYtGo4LFTa0raj4y89W&#10;wW/28X3YdObkF0f5YzI61rt5qdRw0L29ggjUhWf40d5rBS8T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TFzEAAAA2wAAAA8AAAAAAAAAAAAAAAAAmAIAAGRycy9k&#10;b3ducmV2LnhtbFBLBQYAAAAABAAEAPUAAACJAwAAAAA=&#10;" path="m32,r3,248l,248,,,32,xe" filled="f" strokecolor="blue" strokeweight="8e-5mm">
                    <v:stroke endcap="round"/>
                    <v:path arrowok="t" o:connecttype="custom" o:connectlocs="32,0;35,248;0,248;0,0;32,0" o:connectangles="0,0,0,0,0"/>
                  </v:shape>
                  <v:shape id="Freeform 29" o:spid="_x0000_s1123" style="position:absolute;left:4852;top:5837;width:105;height:102;visibility:visible;mso-wrap-style:square;v-text-anchor:top" coordsize="10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QQ8QA&#10;AADbAAAADwAAAGRycy9kb3ducmV2LnhtbESPQWvCQBCF74L/YRmhN93UFivRTRBB6KEUjC1ep9kx&#10;G5qdDburSf99t1Dw+HjzvjdvW462EzfyoXWs4HGRgSCunW65UfBxOszXIEJE1tg5JgU/FKAsppMt&#10;5toNfKRbFRuRIBxyVGBi7HMpQ23IYli4njh5F+ctxiR9I7XHIcFtJ5dZtpIWW04NBnvaG6q/q6tN&#10;bzyz/zoMx/17T6Z6OZ/rt892rdTDbNxtQEQa4/34P/2qFTwt4W9LA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EEPEAAAA2wAAAA8AAAAAAAAAAAAAAAAAmAIAAGRycy9k&#10;b3ducmV2LnhtbFBLBQYAAAAABAAEAPUAAACJAwAAAAA=&#10;" path="m105,l52,102,,,105,e" filled="f" strokecolor="blue" strokeweight="8e-5mm">
                    <v:stroke endcap="round"/>
                    <v:path arrowok="t" o:connecttype="custom" o:connectlocs="105,0;52,102;0,0;105,0" o:connectangles="0,0,0,0"/>
                  </v:shape>
                </v:group>
                <v:rect id="Rectangle 30" o:spid="_x0000_s1124" style="position:absolute;left:1204;top:21446;width:3750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Yrr8A&#10;AADbAAAADwAAAGRycy9kb3ducmV2LnhtbESPQYvCMBSE7wv+h/AEb2vqiiLVKLogeFWLeHw0z6bY&#10;vNQmavXXG0HwOMw3M8xs0dpK3KjxpWMFg34Cgjh3uuRCQbZf/05A+ICssXJMCh7kYTHv/Mww1e7O&#10;W7rtQiFiCfsUFZgQ6lRKnxuy6PuuJo7eyTUWQ5RNIXWD91huK/mXJGNpseS4YLCmf0P5eXe1Cmyk&#10;7b46HC/P8ijXNFqtsswo1eu2yymIQG34wp/0RisYDuH9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fNiuvwAAANsAAAAPAAAAAAAAAAAAAAAAAJgCAABkcnMvZG93bnJl&#10;di54bWxQSwUGAAAAAAQABAD1AAAAhAMAAAAA&#10;" filled="f" strokeweight="97e-5mm">
                  <v:stroke endcap="round"/>
                </v:rect>
                <v:rect id="Rectangle 31" o:spid="_x0000_s1125" style="position:absolute;left:4424;top:21408;width:3042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8q8YA&#10;AADbAAAADwAAAGRycy9kb3ducmV2LnhtbESPT2vCQBTE74V+h+UVeim68Q/Fpq6hCAEPgpj2UG+P&#10;7Gs2bfZtyG5N9NO7guBxmJnfMMtssI04Uudrxwom4wQEcel0zZWCr898tADhA7LGxjEpOJGHbPX4&#10;sMRUu573dCxCJSKEfYoKTAhtKqUvDVn0Y9cSR+/HdRZDlF0ldYd9hNtGTpPkVVqsOS4YbGltqPwr&#10;/q2CfPddE5/l/uVt0bvfcnoozLZV6vlp+HgHEWgI9/CtvdEKZnO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8q8YAAADbAAAADwAAAAAAAAAAAAAAAACYAgAAZHJz&#10;L2Rvd25yZXYueG1sUEsFBgAAAAAEAAQA9QAAAIsDAAAAAA==&#10;" filled="f" stroked="f">
                  <v:textbox style="mso-fit-shape-to-text:t" inset="0,0,0,0">
                    <w:txbxContent>
                      <w:p w:rsidR="001C6BE7" w:rsidRDefault="001C6BE7" w:rsidP="006C2E16">
                        <w:r>
                          <w:rPr>
                            <w:rFonts w:cs="Times New Roman"/>
                            <w:color w:val="000000"/>
                            <w:sz w:val="16"/>
                            <w:szCs w:val="16"/>
                            <w:lang w:val="en-US"/>
                          </w:rPr>
                          <w:t>Is there toxicity data for ≥5 species that belong to ≥3 taxonomic groups</w:t>
                        </w:r>
                      </w:p>
                    </w:txbxContent>
                  </v:textbox>
                </v:rect>
                <v:rect id="Rectangle 32" o:spid="_x0000_s1126" style="position:absolute;left:19568;top:37467;width:1677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lQcAA&#10;AADbAAAADwAAAGRycy9kb3ducmV2LnhtbESPQYvCMBSE74L/ITzBm6auuCzVWOyC4FUti8dH82yK&#10;zUttolZ/vVlY2OMw38wwq6y3jbhT52vHCmbTBARx6XTNlYLiuJ18gfABWWPjmBQ8yUO2Hg5WmGr3&#10;4D3dD6ESsYR9igpMCG0qpS8NWfRT1xJH7+w6iyHKrpK6w0cst438SJJPabHmuGCwpW9D5eVwswps&#10;pO2x+TldX/VJbmmR50VhlBqP+s0SRKA+/MN/6Z1WMF/A75f4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nlQcAAAADbAAAADwAAAAAAAAAAAAAAAACYAgAAZHJzL2Rvd25y&#10;ZXYueG1sUEsFBgAAAAAEAAQA9QAAAIUDAAAAAA==&#10;" filled="f" strokeweight="97e-5mm">
                  <v:stroke endcap="round"/>
                </v:rect>
                <v:rect id="Rectangle 33" o:spid="_x0000_s1127" style="position:absolute;left:22388;top:38026;width:1103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 xml:space="preserve">Use BurrliOZ SSD method </w:t>
                        </w:r>
                      </w:p>
                    </w:txbxContent>
                  </v:textbox>
                </v:rect>
                <v:rect id="Rectangle 34" o:spid="_x0000_s1128" style="position:absolute;left:3636;top:37448;width:1416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ercAA&#10;AADbAAAADwAAAGRycy9kb3ducmV2LnhtbESPQYvCMBSE74L/ITzBm6Yqu0o1igrCXleL9Phonk2x&#10;ealN1K6/3iws7HGYb2aY1aaztXhQ6yvHCibjBARx4XTFpYLsdBgtQPiArLF2TAp+yMNm3e+tMNXu&#10;yd/0OIZSxBL2KSowITSplL4wZNGPXUMcvYtrLYYo21LqFp+x3NZymiSf0mLFccFgQ3tDxfV4twps&#10;pO2pPue3V5XLA33sdllmlBoOuu0SRKAu/MN/6S+tYDaH3y/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fercAAAADbAAAADwAAAAAAAAAAAAAAAACYAgAAZHJzL2Rvd25y&#10;ZXYueG1sUEsFBgAAAAAEAAQA9QAAAIUDAAAAAA==&#10;" filled="f" strokeweight="97e-5mm">
                  <v:stroke endcap="round"/>
                </v:rect>
                <v:rect id="Rectangle 35" o:spid="_x0000_s1129" style="position:absolute;left:7491;top:38026;width:643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 xml:space="preserve">Use AF method </w:t>
                        </w:r>
                      </w:p>
                    </w:txbxContent>
                  </v:textbox>
                </v:rect>
                <v:group id="Group 36" o:spid="_x0000_s1130" style="position:absolute;left:25956;top:40280;width:654;height:2356" coordorigin="4168,6420" coordsize="10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7" o:spid="_x0000_s1131" style="position:absolute;left:4168;top:6420;width:103;height:371;visibility:visible;mso-wrap-style:square;v-text-anchor:top" coordsize="10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97sEA&#10;AADbAAAADwAAAGRycy9kb3ducmV2LnhtbERPTWsCMRC9F/wPYQQvRbMVaWU1ikgFC160XrwNm3F3&#10;dTNZNqPGf98chB4f73u+jK5Rd+pC7dnAxygDRVx4W3Np4Pi7GU5BBUG22HgmA08KsFz03uaYW//g&#10;Pd0PUqoUwiFHA5VIm2sdioochpFviRN39p1DSbArte3wkcJdo8dZ9qkd1pwaKmxpXVFxPdycgQ3u&#10;L7v1eHd8b77l8jOV+HWqozGDflzNQAlF+Re/3FtrYJLWpy/pB+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xfe7BAAAA2wAAAA8AAAAAAAAAAAAAAAAAmAIAAGRycy9kb3du&#10;cmV2LnhtbFBLBQYAAAAABAAEAPUAAACGAwAAAAA=&#10;" path="m70,l68,283r-33,l35,,70,xm103,268l50,371,,266r103,2xe" fillcolor="blue" stroked="f">
                    <v:path arrowok="t" o:connecttype="custom" o:connectlocs="70,0;68,283;35,283;35,0;70,0;103,268;50,371;0,266;103,268" o:connectangles="0,0,0,0,0,0,0,0,0"/>
                    <o:lock v:ext="edit" verticies="t"/>
                  </v:shape>
                  <v:shape id="Freeform 38" o:spid="_x0000_s1132" style="position:absolute;left:4203;top:6420;width:35;height:283;visibility:visible;mso-wrap-style:square;v-text-anchor:top" coordsize="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msUA&#10;AADbAAAADwAAAGRycy9kb3ducmV2LnhtbESPzWrDMBCE74W+g9hCbo1sY0JwoxiTUkgOJX+F5rhY&#10;G9uxtTKWkrhvHxUKPQ4z8w2zyEfTiRsNrrGsIJ5GIIhLqxuuFHwdP17nIJxH1thZJgU/5CBfPj8t&#10;MNP2znu6HXwlAoRdhgpq7/tMSlfWZNBNbU8cvLMdDPogh0rqAe8BbjqZRNFMGmw4LNTY06qmsj1c&#10;jYL3bdpsz8d49+mK5HtWndJLuzkpNXkZizcQnkb/H/5rr7WCNI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nOaxQAAANsAAAAPAAAAAAAAAAAAAAAAAJgCAABkcnMv&#10;ZG93bnJldi54bWxQSwUGAAAAAAQABAD1AAAAigMAAAAA&#10;" path="m35,l33,283,,283,,,35,xe" filled="f" strokecolor="blue" strokeweight="8e-5mm">
                    <v:stroke endcap="round"/>
                    <v:path arrowok="t" o:connecttype="custom" o:connectlocs="35,0;33,283;0,283;0,0;35,0" o:connectangles="0,0,0,0,0"/>
                  </v:shape>
                  <v:shape id="Freeform 39" o:spid="_x0000_s1133" style="position:absolute;left:4168;top:6686;width:103;height:105;visibility:visible;mso-wrap-style:square;v-text-anchor:top" coordsize="10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bfsYA&#10;AADbAAAADwAAAGRycy9kb3ducmV2LnhtbESPT2sCMRTE7wW/Q3hCL0UTpRRdjaKF0taL+KeH3h6b&#10;5+7i5mWbpLrdT28KhR6Hmd8MM1+2thYX8qFyrGE0VCCIc2cqLjQcDy+DCYgQkQ3WjknDDwVYLnp3&#10;c8yMu/KOLvtYiFTCIUMNZYxNJmXIS7IYhq4hTt7JeYsxSV9I4/Gaym0tx0o9SYsVp4USG3ouKT/v&#10;v62GrXpdfeDD+2ntv1QiN91nN+20vu+3qxmISG38D//Rb0bD4xh+v6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4bfsYAAADbAAAADwAAAAAAAAAAAAAAAACYAgAAZHJz&#10;L2Rvd25yZXYueG1sUEsFBgAAAAAEAAQA9QAAAIsDAAAAAA==&#10;" path="m103,2l50,105,,,103,2e" filled="f" strokecolor="blue" strokeweight="8e-5mm">
                    <v:stroke endcap="round"/>
                    <v:path arrowok="t" o:connecttype="custom" o:connectlocs="103,2;50,105;0,0;103,2" o:connectangles="0,0,0,0"/>
                  </v:shape>
                </v:group>
                <v:rect id="Rectangle 40" o:spid="_x0000_s1134" style="position:absolute;left:3636;top:43004;width:2801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r08AA&#10;AADbAAAADwAAAGRycy9kb3ducmV2LnhtbESPQYvCMBSE74L/ITzBm6bqrkg1igrCXleL9Phonk2x&#10;ealN1K6/3iws7HGYb2aY1aaztXhQ6yvHCibjBARx4XTFpYLsdBgtQPiArLF2TAp+yMNm3e+tMNXu&#10;yd/0OIZSxBL2KSowITSplL4wZNGPXUMcvYtrLYYo21LqFp+x3NZymiRzabHiuGCwob2h4nq8WwU2&#10;0vZUn/Pbq8rlgT53uywzSg0H3XYJIlAX/uG/9JdW8DGD3y/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qr08AAAADbAAAADwAAAAAAAAAAAAAAAACYAgAAZHJzL2Rvd25y&#10;ZXYueG1sUEsFBgAAAAAEAAQA9QAAAIUDAAAAAA==&#10;" filled="f" strokeweight="97e-5mm">
                  <v:stroke endcap="round"/>
                </v:rect>
                <v:rect id="Rectangle 41" o:spid="_x0000_s1135" style="position:absolute;left:10754;top:42776;width:262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Does t</w:t>
                        </w:r>
                      </w:p>
                    </w:txbxContent>
                  </v:textbox>
                </v:rect>
                <v:rect id="Rectangle 42" o:spid="_x0000_s1136" style="position:absolute;left:13790;top:42776;width:1140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TcUA&#10;AADbAAAADwAAAGRycy9kb3ducmV2LnhtbESPQWvCQBSE74X+h+UVeim6UbT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CpNxQAAANsAAAAPAAAAAAAAAAAAAAAAAJgCAABkcnMv&#10;ZG93bnJldi54bWxQSwUGAAAAAAQABAD1AAAAigMAAAAA&#10;" filled="f" stroked="f">
                  <v:textbox style="mso-fit-shape-to-text:t" inset="0,0,0,0">
                    <w:txbxContent>
                      <w:p w:rsidR="001C6BE7" w:rsidRDefault="001C6BE7" w:rsidP="006C2E16">
                        <w:r>
                          <w:rPr>
                            <w:rFonts w:cs="Times New Roman"/>
                            <w:color w:val="000000"/>
                            <w:sz w:val="16"/>
                            <w:szCs w:val="16"/>
                            <w:lang w:val="en-US"/>
                          </w:rPr>
                          <w:t>the chemical biomagnify?</w:t>
                        </w:r>
                      </w:p>
                    </w:txbxContent>
                  </v:textbox>
                </v:rect>
                <v:rect id="Rectangle 43" o:spid="_x0000_s1137" style="position:absolute;left:27588;top:46471;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Yes</w:t>
                        </w:r>
                      </w:p>
                    </w:txbxContent>
                  </v:textbox>
                </v:rect>
                <v:group id="Group 44" o:spid="_x0000_s1138" style="position:absolute;left:11701;top:45436;width:666;height:3055" coordorigin="1923,7232" coordsize="10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5" o:spid="_x0000_s1139" style="position:absolute;left:1923;top:7232;width:105;height:481;visibility:visible;mso-wrap-style:square;v-text-anchor:top" coordsize="10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eDboA&#10;AADbAAAADwAAAGRycy9kb3ducmV2LnhtbERPvQrCMBDeBd8hnOCmqSIi1ViqoOhYdXE7mrMtNpfa&#10;RK1vbwbB8eP7XyWdqcWLWldZVjAZRyCIc6srLhRczrvRAoTzyBpry6TgQw6Sdb+3wljbN2f0OvlC&#10;hBB2MSoovW9iKV1ekkE3tg1x4G62NegDbAupW3yHcFPLaRTNpcGKQ0OJDW1Lyu+np1HQ0DUj/dj7&#10;1O3RHjVnj+qyUWo46NIlCE+d/4t/7oNWMAtjw5fw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NVeDboAAADbAAAADwAAAAAAAAAAAAAAAACYAgAAZHJzL2Rvd25yZXYueG1s&#10;UEsFBgAAAAAEAAQA9QAAAH8DAAAAAA==&#10;" path="m70,r,393l34,393,34,,70,xm105,376l52,481,,376r105,xe" fillcolor="red" stroked="f">
                    <v:path arrowok="t" o:connecttype="custom" o:connectlocs="70,0;70,393;34,393;34,0;70,0;105,376;52,481;0,376;105,376" o:connectangles="0,0,0,0,0,0,0,0,0"/>
                    <o:lock v:ext="edit" verticies="t"/>
                  </v:shape>
                  <v:rect id="Rectangle 46" o:spid="_x0000_s1140" style="position:absolute;left:1957;top:7232;width:36;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fcQA&#10;AADbAAAADwAAAGRycy9kb3ducmV2LnhtbESPQWvCQBSE7wX/w/KE3ppNSilNzCoiFErBQjXg9Zl9&#10;JtHs25jdJvHfdwsFj8PMfMPkq8m0YqDeNZYVJFEMgri0uuFKQbF/f3oD4TyyxtYyKbiRg9Vy9pBj&#10;pu3I3zTsfCUChF2GCmrvu0xKV9Zk0EW2Iw7eyfYGfZB9JXWPY4CbVj7H8as02HBYqLGjTU3lZfdj&#10;FBxvvkg/z1+n5JBei8HxtjrTVqnH+bRegPA0+Xv4v/2hFbyk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Qn3EAAAA2wAAAA8AAAAAAAAAAAAAAAAAmAIAAGRycy9k&#10;b3ducmV2LnhtbFBLBQYAAAAABAAEAPUAAACJAwAAAAA=&#10;" filled="f" strokecolor="red" strokeweight="8e-5mm">
                    <v:stroke joinstyle="round" endcap="round"/>
                  </v:rect>
                  <v:shape id="Freeform 47" o:spid="_x0000_s1141" style="position:absolute;left:1923;top:7608;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xw8AA&#10;AADbAAAADwAAAGRycy9kb3ducmV2LnhtbERPy2oCMRTdC/2HcAvdaUahUkajiFARCYKPjbvr5Doz&#10;OrmZTlJN/94shC4P5z2dR9uIO3W+dqxgOMhAEBfO1FwqOB6++18gfEA22DgmBX/kYT57600xN+7B&#10;O7rvQylSCPscFVQhtLmUvqjIoh+4ljhxF9dZDAl2pTQdPlK4beQoy8bSYs2pocKWlhUVt/2vVXDV&#10;ixOPNhw34/Mq6q3WBf1opT7e42ICIlAM/+KXe20UfKb16Uv6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Zxw8AAAADbAAAADwAAAAAAAAAAAAAAAACYAgAAZHJzL2Rvd25y&#10;ZXYueG1sUEsFBgAAAAAEAAQA9QAAAIUDAAAAAA==&#10;" path="m105,l52,105,,,105,e" filled="f" strokecolor="red" strokeweight="8e-5mm">
                    <v:stroke endcap="round"/>
                    <v:path arrowok="t" o:connecttype="custom" o:connectlocs="105,0;52,105;0,0;105,0" o:connectangles="0,0,0,0"/>
                  </v:shape>
                </v:group>
                <v:rect id="Rectangle 48" o:spid="_x0000_s1142" style="position:absolute;left:9732;top:46516;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49" o:spid="_x0000_s1143" style="position:absolute;left:8278;top:56123;width:8807;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lcEA&#10;AADbAAAADwAAAGRycy9kb3ducmV2LnhtbESPQWvCQBSE74L/YXlCb7qpEJHUVaog9NokiMdH9jUb&#10;mn2bZleT+utdQfA4zDczzGY32lZcqfeNYwXviwQEceV0w7WCsjjO1yB8QNbYOiYF/+Rht51ONphp&#10;N/A3XfNQi1jCPkMFJoQuk9JXhiz6heuIo/fjeoshyr6WuschlttWLpNkJS02HBcMdnQwVP3mF6vA&#10;RtoW7en8d2vO8kjpfl+WRqm32fj5ASLQGF7wM/2lFaRLeHy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vmJXBAAAA2wAAAA8AAAAAAAAAAAAAAAAAmAIAAGRycy9kb3du&#10;cmV2LnhtbFBLBQYAAAAABAAEAPUAAACGAwAAAAA=&#10;" filled="f" strokeweight="97e-5mm">
                  <v:stroke endcap="round"/>
                </v:rect>
                <v:rect id="Rectangle 50" o:spid="_x0000_s1144" style="position:absolute;left:11320;top:56257;width:271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Added </w:t>
                        </w:r>
                      </w:p>
                    </w:txbxContent>
                  </v:textbox>
                </v:rect>
                <v:rect id="Rectangle 51" o:spid="_x0000_s1145" style="position:absolute;left:10158;top:57438;width:502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contaminant </w:t>
                        </w:r>
                      </w:p>
                    </w:txbxContent>
                  </v:textbox>
                </v:rect>
                <v:rect id="Rectangle 52" o:spid="_x0000_s1146" style="position:absolute;left:10234;top:58613;width:488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limit (ACL)</w:t>
                        </w:r>
                      </w:p>
                    </w:txbxContent>
                  </v:textbox>
                </v:rect>
                <v:group id="Group 53" o:spid="_x0000_s1147" style="position:absolute;left:25563;top:66404;width:647;height:2349" coordorigin="4106,10534" coordsize="1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4" o:spid="_x0000_s1148" style="position:absolute;left:4106;top:10534;width:102;height:370;visibility:visible;mso-wrap-style:square;v-text-anchor:top" coordsize="1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qKcMA&#10;AADbAAAADwAAAGRycy9kb3ducmV2LnhtbESPT2sCMRTE7wW/Q3iCt5qoVOvWKFIo9OLB9c/5sXnd&#10;LN28LJu4bv30piB4HGbmN8xq07tadNSGyrOGyViBIC68qbjUcDx8vb6DCBHZYO2ZNPxRgM168LLC&#10;zPgr76nLYykShEOGGmyMTSZlKCw5DGPfECfvx7cOY5JtKU2L1wR3tZwqNZcOK04LFhv6tFT85hen&#10;Yb9d3E5zu1T5ZVapG3fLM593Wo+G/fYDRKQ+PsOP9rfR8LaA/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9qKcMAAADbAAAADwAAAAAAAAAAAAAAAACYAgAAZHJzL2Rv&#10;d25yZXYueG1sUEsFBgAAAAAEAAQA9QAAAIgDAAAAAA==&#10;" path="m70,l67,283r-32,l35,,70,xm102,268l50,370,,268r102,xe" fillcolor="blue" stroked="f">
                    <v:path arrowok="t" o:connecttype="custom" o:connectlocs="70,0;67,283;35,283;35,0;70,0;102,268;50,370;0,268;102,268" o:connectangles="0,0,0,0,0,0,0,0,0"/>
                    <o:lock v:ext="edit" verticies="t"/>
                  </v:shape>
                  <v:shape id="Freeform 55" o:spid="_x0000_s1149" style="position:absolute;left:4141;top:10534;width:35;height:283;visibility:visible;mso-wrap-style:square;v-text-anchor:top" coordsize="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M2sIA&#10;AADbAAAADwAAAGRycy9kb3ducmV2LnhtbERPTWvCQBC9F/wPywjemo1ipUTXEJRCPYitEfQ4ZMck&#10;mp0N2VXTf+8ehB4f73uR9qYRd+pcbVnBOIpBEBdW11wqOORf758gnEfW2FgmBX/kIF0O3haYaPvg&#10;X7rvfSlCCLsEFVTet4mUrqjIoItsSxy4s+0M+gC7UuoOHyHcNHISxzNpsObQUGFLq4qK6/5mFKx3&#10;03p3zsc/W5dNjrPyNL1cNyelRsM+m4Pw1Pt/8cv9rRV8hLHh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UzawgAAANsAAAAPAAAAAAAAAAAAAAAAAJgCAABkcnMvZG93&#10;bnJldi54bWxQSwUGAAAAAAQABAD1AAAAhwMAAAAA&#10;" path="m35,l32,283,,283,,,35,xe" filled="f" strokecolor="blue" strokeweight="8e-5mm">
                    <v:stroke endcap="round"/>
                    <v:path arrowok="t" o:connecttype="custom" o:connectlocs="35,0;32,283;0,283;0,0;35,0" o:connectangles="0,0,0,0,0"/>
                  </v:shape>
                  <v:shape id="Freeform 56" o:spid="_x0000_s1150" style="position:absolute;left:4106;top:1080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QsMA&#10;AADbAAAADwAAAGRycy9kb3ducmV2LnhtbESPT4vCMBTE74LfITxhb2tqZRetRtEFcREv/rs/m2db&#10;bF5Kk63tt98IgsdhZn7DzJetKUVDtSssKxgNIxDEqdUFZwrOp83nBITzyBpLy6SgIwfLRb83x0Tb&#10;Bx+oOfpMBAi7BBXk3leJlC7NyaAb2oo4eDdbG/RB1pnUNT4C3JQyjqJvabDgsJBjRT85pffjn1Gw&#10;vfjrft11u+14NHXlehfjvomV+hi0qxkIT61/h1/tX63gawr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kQsMAAADbAAAADwAAAAAAAAAAAAAAAACYAgAAZHJzL2Rv&#10;d25yZXYueG1sUEsFBgAAAAAEAAQA9QAAAIgDAAAAAA==&#10;" path="m102,l50,102,,,102,e" filled="f" strokecolor="blue" strokeweight="8e-5mm">
                    <v:stroke endcap="round"/>
                    <v:path arrowok="t" o:connecttype="custom" o:connectlocs="102,0;50,102;0,0;102,0" o:connectangles="0,0,0,0"/>
                  </v:shape>
                </v:group>
                <v:rect id="Rectangle 57" o:spid="_x0000_s1151" style="position:absolute;left:19727;top:55711;width:10554;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pxL0A&#10;AADbAAAADwAAAGRycy9kb3ducmV2LnhtbERPTYvCMBC9C/sfwix403QFZalGUUHwuloWj0MzNsVm&#10;0m2idv31zkHw+Hjfi1XvG3WjLtaBDXyNM1DEZbA1VwaK4270DSomZItNYDLwTxFWy4/BAnMb7vxD&#10;t0OqlIRwzNGAS6nNtY6lI49xHFpi4c6h85gEdpW2Hd4l3Dd6kmUz7bFmaXDY0tZReTlcvQEvan9s&#10;fk9/j/qkdzTdbIrCGTP87NdzUIn69Ba/3HtrYCbr5Yv8AL1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B1pxL0AAADbAAAADwAAAAAAAAAAAAAAAACYAgAAZHJzL2Rvd25yZXYu&#10;eG1sUEsFBgAAAAAEAAQA9QAAAIIDAAAAAA==&#10;" filled="f" strokeweight="97e-5mm">
                  <v:stroke endcap="round"/>
                </v:rect>
                <v:rect id="Rectangle 58" o:spid="_x0000_s1152" style="position:absolute;left:20997;top:56257;width:798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Added contaminant </w:t>
                        </w:r>
                      </w:p>
                    </w:txbxContent>
                  </v:textbox>
                </v:rect>
                <v:rect id="Rectangle 59" o:spid="_x0000_s1153" style="position:absolute;left:23334;top:57438;width:335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 xml:space="preserve">limit for </w:t>
                        </w:r>
                      </w:p>
                    </w:txbxContent>
                  </v:textbox>
                </v:rect>
                <v:rect id="Rectangle 60" o:spid="_x0000_s1154" style="position:absolute;left:21530;top:58613;width:6947;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 xml:space="preserve">biomagnification </w:t>
                        </w:r>
                      </w:p>
                    </w:txbxContent>
                  </v:textbox>
                </v:rect>
                <v:rect id="Rectangle 61" o:spid="_x0000_s1155" style="position:absolute;left:23131;top:59832;width:237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(ACL</w:t>
                        </w:r>
                      </w:p>
                    </w:txbxContent>
                  </v:textbox>
                </v:rect>
                <v:rect id="Rectangle 62" o:spid="_x0000_s1156" style="position:absolute;left:25512;top:60264;width:99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1C6BE7" w:rsidRDefault="001C6BE7" w:rsidP="006C2E16">
                        <w:r>
                          <w:rPr>
                            <w:rFonts w:cs="Times New Roman"/>
                            <w:color w:val="000000"/>
                            <w:sz w:val="10"/>
                            <w:szCs w:val="10"/>
                            <w:lang w:val="en-US"/>
                          </w:rPr>
                          <w:t>BM</w:t>
                        </w:r>
                      </w:p>
                    </w:txbxContent>
                  </v:textbox>
                </v:rect>
                <v:rect id="Rectangle 63" o:spid="_x0000_s1157" style="position:absolute;left:26585;top:59832;width:34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w:t>
                        </w:r>
                      </w:p>
                    </w:txbxContent>
                  </v:textbox>
                </v:rect>
                <v:rect id="Rectangle 64" o:spid="_x0000_s1158" style="position:absolute;left:9173;top:68995;width:184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sMAA&#10;AADbAAAADwAAAGRycy9kb3ducmV2LnhtbESPQYvCMBSE74L/ITzBm6Yu6C7VWOyC4FUti8dH82yK&#10;zUttolZ/vVlY2OMw38wwq6y3jbhT52vHCmbTBARx6XTNlYLiuJ18gfABWWPjmBQ8yUO2Hg5WmGr3&#10;4D3dD6ESsYR9igpMCG0qpS8NWfRT1xJH7+w6iyHKrpK6w0cst438SJKFtFhzXDDY0reh8nK4WQU2&#10;0vbY/Jyur/oktzTP86IwSo1H/WYJIlAf/uG/9E4rWHzC75f4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xsMAAAADbAAAADwAAAAAAAAAAAAAAAACYAgAAZHJzL2Rvd25y&#10;ZXYueG1sUEsFBgAAAAAEAAQA9QAAAIUDAAAAAA==&#10;" filled="f" strokeweight="97e-5mm">
                  <v:stroke endcap="round"/>
                </v:rect>
                <v:group id="Group 65" o:spid="_x0000_s1159" style="position:absolute;left:12431;top:66480;width:667;height:2356" coordorigin="2038,10546" coordsize="10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6" o:spid="_x0000_s1160" style="position:absolute;left:2038;top:10546;width:105;height:371;visibility:visible;mso-wrap-style:square;v-text-anchor:top" coordsize="10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rnMYA&#10;AADbAAAADwAAAGRycy9kb3ducmV2LnhtbESPQWvCQBSE74X+h+UVegl10x4kRldpAkotPWjsxdsj&#10;+0yC2bchu5rUX+8WCj0OM/MNs1iNphVX6l1jWcHrJAZBXFrdcKXg+7B+SUA4j6yxtUwKfsjBavn4&#10;sMBU24H3dC18JQKEXYoKau+7VEpX1mTQTWxHHLyT7Q36IPtK6h6HADetfIvjqTTYcFiosaO8pvJc&#10;XIyC/Lb2WfSZ3L52sdUyyrbDpjwq9fw0vs9BeBr9f/iv/aEVTGfw+yX8A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rnMYAAADbAAAADwAAAAAAAAAAAAAAAACYAgAAZHJz&#10;L2Rvd25yZXYueG1sUEsFBgAAAAAEAAQA9QAAAIsDAAAAAA==&#10;" path="m70,r,283l35,283,35,,70,xm105,266l52,371,,266r105,xe" fillcolor="blue" stroked="f">
                    <v:path arrowok="t" o:connecttype="custom" o:connectlocs="70,0;70,283;35,283;35,0;70,0;105,266;52,371;0,266;105,266" o:connectangles="0,0,0,0,0,0,0,0,0"/>
                    <o:lock v:ext="edit" verticies="t"/>
                  </v:shape>
                  <v:rect id="Rectangle 67" o:spid="_x0000_s1161" style="position:absolute;left:2073;top:10546;width: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HQsEA&#10;AADbAAAADwAAAGRycy9kb3ducmV2LnhtbERPTWvCQBC9F/oflhG8NRtFbImuYsWU0lO1CuY2ZMck&#10;mJ0N2TWJ/fXdQ8Hj430v14OpRUetqywrmEQxCOLc6ooLBcef9OUNhPPIGmvLpOBODtar56clJtr2&#10;vKfu4AsRQtglqKD0vkmkdHlJBl1kG+LAXWxr0AfYFlK32IdwU8tpHM+lwYpDQ4kNbUvKr4ebUXB2&#10;1+5r9579+vTEnMUz+vjek1Lj0bBZgPA0+If43/2pFbyG9e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R0LBAAAA2wAAAA8AAAAAAAAAAAAAAAAAmAIAAGRycy9kb3du&#10;cmV2LnhtbFBLBQYAAAAABAAEAPUAAACGAwAAAAA=&#10;" filled="f" strokecolor="blue" strokeweight="8e-5mm">
                    <v:stroke joinstyle="round" endcap="round"/>
                  </v:rect>
                  <v:shape id="Freeform 68" o:spid="_x0000_s1162" style="position:absolute;left:2038;top:10812;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dh8QA&#10;AADbAAAADwAAAGRycy9kb3ducmV2LnhtbESP3WrCQBSE7wu+w3KE3tWNVfyJrlKFUqkIGuP9IXtM&#10;gtmzIbuN8e3dQqGXw8x8wyzXnalES40rLSsYDiIQxJnVJecK0vPn2wyE88gaK8uk4EEO1qveyxJj&#10;be98ojbxuQgQdjEqKLyvYyldVpBBN7A1cfCutjHog2xyqRu8B7ip5HsUTaTBksNCgTVtC8puyY9R&#10;cBjP82Q/TyebL9zWx+9R2paXSKnXfvexAOGp8//hv/ZOK5gO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YfEAAAA2wAAAA8AAAAAAAAAAAAAAAAAmAIAAGRycy9k&#10;b3ducmV2LnhtbFBLBQYAAAAABAAEAPUAAACJAwAAAAA=&#10;" path="m105,l52,105,,,105,e" filled="f" strokecolor="blue" strokeweight="8e-5mm">
                    <v:stroke endcap="round"/>
                    <v:path arrowok="t" o:connecttype="custom" o:connectlocs="105,0;52,105;0,0;105,0" o:connectangles="0,0,0,0"/>
                  </v:shape>
                </v:group>
                <v:rect id="Rectangle 69" o:spid="_x0000_s1163" style="position:absolute;left:2842;top:516;width:34386;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E9cAA&#10;AADbAAAADwAAAGRycy9kb3ducmV2LnhtbESPzarCMBSE9xd8h3AEd9dUwR+qUfSC4FYt4vLQHJti&#10;c1KbXK0+vREEl8N8M8PMl62txI0aXzpWMOgnIIhzp0suFGSHze8UhA/IGivHpOBBHpaLzs8cU+3u&#10;vKPbPhQilrBPUYEJoU6l9Lkhi77vauLonV1jMUTZFFI3eI/ltpLDJBlLiyXHBYM1/RnKL/t/q8BG&#10;2h6q4+n6LE9yQ6P1OsuMUr1uu5qBCNSGL/xJb7WCyRDe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rE9cAAAADbAAAADwAAAAAAAAAAAAAAAACYAgAAZHJzL2Rvd25y&#10;ZXYueG1sUEsFBgAAAAAEAAQA9QAAAIUDAAAAAA==&#10;" filled="f" strokeweight="97e-5mm">
                  <v:stroke endcap="round"/>
                </v:rect>
                <v:rect id="Rectangle 70" o:spid="_x0000_s1164" style="position:absolute;left:11745;top:1088;width:1563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Is there toxicity data for the chemical?</w:t>
                        </w:r>
                      </w:p>
                    </w:txbxContent>
                  </v:textbox>
                </v:rect>
                <v:group id="Group 71" o:spid="_x0000_s1165" style="position:absolute;left:10996;top:3329;width:667;height:2261" coordorigin="1812,601" coordsize="105,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2" o:spid="_x0000_s1166" style="position:absolute;left:1812;top:601;width:105;height:356;visibility:visible;mso-wrap-style:square;v-text-anchor:top" coordsize="10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PWMYA&#10;AADbAAAADwAAAGRycy9kb3ducmV2LnhtbESPT2vCQBTE7wW/w/IKXopuKviHNBuRoiDipTaix0f2&#10;NQnNvg27q8Z++q5Q6HGYmd8w2bI3rbiS841lBa/jBARxaXXDlYLiczNagPABWWNrmRTcycMyHzxl&#10;mGp74w+6HkIlIoR9igrqELpUSl/WZNCPbUccvS/rDIYoXSW1w1uEm1ZOkmQmDTYcF2rs6L2m8vtw&#10;MQrWL81xXVl3PE3nev8zc8XufCmUGj73qzcQgfrwH/5rb7WC+RQe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FPWMYAAADbAAAADwAAAAAAAAAAAAAAAACYAgAAZHJz&#10;L2Rvd25yZXYueG1sUEsFBgAAAAAEAAQA9QAAAIsDAAAAAA==&#10;" path="m70,3r,268l35,271,38,,70,3xm105,253l53,356,,253r105,xe" fillcolor="red" stroked="f">
                    <v:path arrowok="t" o:connecttype="custom" o:connectlocs="70,3;70,271;35,271;38,0;70,3;105,253;53,356;0,253;105,253" o:connectangles="0,0,0,0,0,0,0,0,0"/>
                    <o:lock v:ext="edit" verticies="t"/>
                  </v:shape>
                  <v:shape id="Freeform 73" o:spid="_x0000_s1167" style="position:absolute;left:1847;top:601;width:35;height:271;visibility:visible;mso-wrap-style:square;v-text-anchor:top" coordsize="3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Q8MA&#10;AADbAAAADwAAAGRycy9kb3ducmV2LnhtbESPQWvCQBSE74X+h+UVeqsbbY0SXUVEoR5NpXh8Zp9J&#10;MPs2ZFeT/HtXEDwOM/MNM192phI3alxpWcFwEIEgzqwuOVdw+Nt+TUE4j6yxskwKenKwXLy/zTHR&#10;tuU93VKfiwBhl6CCwvs6kdJlBRl0A1sTB+9sG4M+yCaXusE2wE0lR1EUS4Mlh4UCa1oXlF3Sq1Hw&#10;fe1/Tn5cbTrc/W8PcVv20TFV6vOjW81AeOr8K/xs/2oFkxgeX8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lQ8MAAADbAAAADwAAAAAAAAAAAAAAAACYAgAAZHJzL2Rv&#10;d25yZXYueG1sUEsFBgAAAAAEAAQA9QAAAIgDAAAAAA==&#10;" path="m35,3r,268l,271,3,,35,3xe" filled="f" strokecolor="red" strokeweight="8e-5mm">
                    <v:stroke endcap="round"/>
                    <v:path arrowok="t" o:connecttype="custom" o:connectlocs="35,3;35,271;0,271;3,0;35,3" o:connectangles="0,0,0,0,0"/>
                  </v:shape>
                  <v:shape id="Freeform 74" o:spid="_x0000_s1168" style="position:absolute;left:1812;top:854;width:105;height:103;visibility:visible;mso-wrap-style:square;v-text-anchor:top" coordsize="10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NcYA&#10;AADbAAAADwAAAGRycy9kb3ducmV2LnhtbESPQWvCQBSE7wX/w/KE3urGKmpTVykVxUMRjdrza/aZ&#10;RLNv0+yq6b93hYLHYWa+YcbTxpTiQrUrLCvodiIQxKnVBWcKdtv5ywiE88gaS8uk4I8cTCetpzHG&#10;2l55Q5fEZyJA2MWoIPe+iqV0aU4GXcdWxME72NqgD7LOpK7xGuCmlK9RNJAGCw4LOVb0mVN6Ss5G&#10;wXwxW/UHx8XP2/6r973v0zb5Xc+Uem43H+8gPDX+Ef5vL7WC4RDuX8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h+NcYAAADbAAAADwAAAAAAAAAAAAAAAACYAgAAZHJz&#10;L2Rvd25yZXYueG1sUEsFBgAAAAAEAAQA9QAAAIsDAAAAAA==&#10;" path="m105,l53,103,,,105,e" filled="f" strokecolor="red" strokeweight="8e-5mm">
                    <v:stroke endcap="round"/>
                    <v:path arrowok="t" o:connecttype="custom" o:connectlocs="105,0;53,103;0,0;105,0" o:connectangles="0,0,0,0"/>
                  </v:shape>
                </v:group>
                <v:group id="Group 75" o:spid="_x0000_s1169" style="position:absolute;left:32764;top:3348;width:666;height:8255" coordorigin="5240,604" coordsize="10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6" o:spid="_x0000_s1170" style="position:absolute;left:5240;top:604;width:105;height:1300;visibility:visible;mso-wrap-style:square;v-text-anchor:top" coordsize="105,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XVMMA&#10;AADbAAAADwAAAGRycy9kb3ducmV2LnhtbESPUWvCMBSF34X9h3AHe7OpgzlbjSIOYeDDtNsPuDTX&#10;ttjcxCTa7t8vg8EeD+ec73BWm9H04k4+dJYVzLIcBHFtdceNgq/P/XQBIkRkjb1lUvBNATbrh8kK&#10;S20HPtG9io1IEA4lKmhjdKWUoW7JYMisI07e2XqDMUnfSO1xSHDTy+c8n0uDHaeFFh3tWqov1c0o&#10;uNLxiMVhuH5UhyHq/u1lbp1T6ulx3C5BRBrjf/iv/a4VvBb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YXVMMAAADbAAAADwAAAAAAAAAAAAAAAACYAgAAZHJzL2Rv&#10;d25yZXYueG1sUEsFBgAAAAAEAAQA9QAAAIgDAAAAAA==&#10;" path="m75,l70,1212r-35,l40,,75,xm105,1195l52,1300,,1195r105,xe" fillcolor="green" stroked="f">
                    <v:path arrowok="t" o:connecttype="custom" o:connectlocs="75,0;70,1212;35,1212;40,0;75,0;105,1195;52,1300;0,1195;105,1195" o:connectangles="0,0,0,0,0,0,0,0,0"/>
                    <o:lock v:ext="edit" verticies="t"/>
                  </v:shape>
                  <v:shape id="Freeform 77" o:spid="_x0000_s1171" style="position:absolute;left:5275;top:604;width:40;height:1212;visibility:visible;mso-wrap-style:square;v-text-anchor:top" coordsize="40,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uRcEA&#10;AADbAAAADwAAAGRycy9kb3ducmV2LnhtbERPy2qDQBTdF/IPww1014yWUsRklJAHkW5KTRZZXpwb&#10;lTh3xJlG7dd3FoUuD+e9ySfTiQcNrrWsIF5FIIgrq1uuFVzOx5cEhPPIGjvLpGAmB3m2eNpgqu3I&#10;X/QofS1CCLsUFTTe96mUrmrIoFvZnjhwNzsY9AEOtdQDjiHcdPI1it6lwZZDQ4M97Rqq7uW3UVDQ&#10;5zTuD6d5Lse3q4l/rkn8USj1vJy2axCeJv8v/nMXWkES1ocv4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RrkXBAAAA2wAAAA8AAAAAAAAAAAAAAAAAmAIAAGRycy9kb3du&#10;cmV2LnhtbFBLBQYAAAAABAAEAPUAAACGAwAAAAA=&#10;" path="m40,l35,1212r-35,l5,,40,xe" filled="f" strokecolor="green" strokeweight="8e-5mm">
                    <v:stroke endcap="round"/>
                    <v:path arrowok="t" o:connecttype="custom" o:connectlocs="40,0;35,1212;0,1212;5,0;40,0" o:connectangles="0,0,0,0,0"/>
                  </v:shape>
                  <v:shape id="Freeform 78" o:spid="_x0000_s1172" style="position:absolute;left:5240;top:1799;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dJ8MA&#10;AADbAAAADwAAAGRycy9kb3ducmV2LnhtbESPwWrDMBBE74H+g9hCbomcHopxooS0tDQ5tY4CvS7W&#10;1jaxVkZSbefvq0Cgx2Fm3jCb3WQ7MZAPrWMFq2UGgrhypuVawVm/L3IQISIb7ByTgisF2G0fZhss&#10;jBu5pOEUa5EgHApU0MTYF1KGqiGLYel64uT9OG8xJulraTyOCW47+ZRlz9Jiy2mhwZ5eG6oup1+r&#10;QPe6/H5pM334MEf9WX2RP76RUvPHab8GEWmK/+F7+2AU5Cu4fU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ldJ8MAAADbAAAADwAAAAAAAAAAAAAAAACYAgAAZHJzL2Rv&#10;d25yZXYueG1sUEsFBgAAAAAEAAQA9QAAAIgDAAAAAA==&#10;" path="m105,l52,105,,,105,e" filled="f" strokecolor="green" strokeweight="8e-5mm">
                    <v:stroke endcap="round"/>
                    <v:path arrowok="t" o:connecttype="custom" o:connectlocs="105,0;52,105;0,0;105,0" o:connectangles="0,0,0,0"/>
                  </v:shape>
                </v:group>
                <v:rect id="Rectangle 79" o:spid="_x0000_s1173" style="position:absolute;left:1160;top:6003;width:27482;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0sAA&#10;AADbAAAADwAAAGRycy9kb3ducmV2LnhtbESPQYvCMBSE74L/ITzBm6YKLtI1LbogeFWL9Pho3jbF&#10;5qU2Wa3++s3CgsdhvplhNvlgW3Gn3jeOFSzmCQjiyumGawXFeT9bg/ABWWPrmBQ8yUOejUcbTLV7&#10;8JHup1CLWMI+RQUmhC6V0leGLPq564ij9+16iyHKvpa6x0cst61cJsmHtNhwXDDY0Zeh6nr6sQps&#10;pO25vZS3V1PKPa12u6IwSk0nw/YTRKAhvOH/9EErWC/h70v8AT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00sAAAADbAAAADwAAAAAAAAAAAAAAAACYAgAAZHJzL2Rvd25y&#10;ZXYueG1sUEsFBgAAAAAEAAQA9QAAAIUDAAAAAA==&#10;" filled="f" strokeweight="97e-5mm">
                  <v:stroke endcap="round"/>
                </v:rect>
                <v:rect id="Rectangle 80" o:spid="_x0000_s1174" style="position:absolute;left:2347;top:6536;width:381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Are there </w:t>
                        </w:r>
                      </w:p>
                    </w:txbxContent>
                  </v:textbox>
                </v:rect>
                <v:rect id="Rectangle 81" o:spid="_x0000_s1175" style="position:absolute;left:6449;top:6536;width:2082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models able to predict the toxicity of the chemical? </w:t>
                        </w:r>
                      </w:p>
                    </w:txbxContent>
                  </v:textbox>
                </v:rect>
                <v:rect id="Rectangle 82" o:spid="_x0000_s1176" style="position:absolute;left:11853;top:7730;width:607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(e.g. narcotics)</w:t>
                        </w:r>
                      </w:p>
                    </w:txbxContent>
                  </v:textbox>
                </v:rect>
                <v:rect id="Rectangle 83" o:spid="_x0000_s1177" style="position:absolute;left:360;top:11934;width:14084;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rHcIA&#10;AADbAAAADwAAAGRycy9kb3ducmV2LnhtbESPQWvCQBSE7wX/w/KE3urGHoJEV4mC1GOrgnh7ZJ/Z&#10;YPZtyD5j+u+7hUKPw8x8w6w2o2/VQH1sAhuYzzJQxFWwDdcGzqf92wJUFGSLbWAy8E0RNuvJywoL&#10;G578RcNRapUgHAs04ES6QutYOfIYZ6EjTt4t9B4lyb7WtsdngvtWv2dZrj02nBYcdrRzVN2PD2+A&#10;8257PckhuwzufP1spfwoY2nM63Qsl6CERvkP/7UP1sAih98v6Q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esdwgAAANsAAAAPAAAAAAAAAAAAAAAAAJgCAABkcnMvZG93&#10;bnJldi54bWxQSwUGAAAAAAQABAD1AAAAhwMAAAAA&#10;" filled="f" strokecolor="red" strokeweight="83e-5mm">
                  <v:stroke endcap="round"/>
                </v:rect>
                <v:rect id="Rectangle 84" o:spid="_x0000_s1178" style="position:absolute;left:1782;top:11984;width:1160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Cannot derive SQG; address </w:t>
                        </w:r>
                      </w:p>
                    </w:txbxContent>
                  </v:textbox>
                </v:rect>
                <v:rect id="Rectangle 85" o:spid="_x0000_s1179" style="position:absolute;left:2557;top:13083;width:959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crucial knowledge gaps</w:t>
                        </w:r>
                      </w:p>
                    </w:txbxContent>
                  </v:textbox>
                </v:rect>
                <v:rect id="Rectangle 86" o:spid="_x0000_s1180" style="position:absolute;left:17371;top:12124;width:2435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mo78A&#10;AADbAAAADwAAAGRycy9kb3ducmV2LnhtbESPQYvCMBSE7wv+h/AEb2vqgqLVKLogeFWLeHw0z6bY&#10;vNQmavXXG0HwOMw3M8xs0dpK3KjxpWMFg34Cgjh3uuRCQbZf/45B+ICssXJMCh7kYTHv/Mww1e7O&#10;W7rtQiFiCfsUFZgQ6lRKnxuy6PuuJo7eyTUWQ5RNIXWD91huK/mXJCNpseS4YLCmf0P5eXe1Cmyk&#10;7b46HC/P8ijXNFytsswo1eu2yymIQG34wp/0RisYT+D9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KyajvwAAANsAAAAPAAAAAAAAAAAAAAAAAJgCAABkcnMvZG93bnJl&#10;di54bWxQSwUGAAAAAAQABAD1AAAAhAMAAAAA&#10;" filled="f" strokeweight="97e-5mm">
                  <v:stroke endcap="round"/>
                </v:rect>
                <v:rect id="Rectangle 87" o:spid="_x0000_s1181" style="position:absolute;left:20324;top:12708;width:1831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Screen toxicity data and determine reliability</w:t>
                        </w:r>
                      </w:p>
                    </w:txbxContent>
                  </v:textbox>
                </v:rect>
                <v:group id="Group 88" o:spid="_x0000_s1182" style="position:absolute;left:7656;top:9565;width:654;height:2115" coordorigin="1286,1583" coordsize="10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89" o:spid="_x0000_s1183" style="position:absolute;left:1286;top:1583;width:103;height:333;visibility:visible;mso-wrap-style:square;v-text-anchor:top" coordsize="10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KsUA&#10;AADbAAAADwAAAGRycy9kb3ducmV2LnhtbESPQWvCQBSE74X+h+UVein6otii0VWKUim9SKwHj8/s&#10;axLMvg27q6b/vlso9DjMzDfMYtXbVl3Zh8aJhtEwA8VSOtNIpeHw+TaYggqRxFDrhDV8c4DV8v5u&#10;QblxNyn4uo+VShAJOWmoY+xyxFDWbCkMXceSvC/nLcUkfYXG0y3BbYvjLHtBS42khZo6XtdcnvcX&#10;q2GDp6dDS7sP7AuP58v2WDxvJlo/PvSvc1CR+/gf/mu/Gw2zMfx+ST8A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YqxQAAANsAAAAPAAAAAAAAAAAAAAAAAJgCAABkcnMv&#10;ZG93bnJldi54bWxQSwUGAAAAAAQABAD1AAAAigMAAAAA&#10;" path="m68,r,248l35,248,33,,68,xm103,230l53,333,,230r103,xe" fillcolor="red" stroked="f">
                    <v:path arrowok="t" o:connecttype="custom" o:connectlocs="68,0;68,248;35,248;33,0;68,0;103,230;53,333;0,230;103,230" o:connectangles="0,0,0,0,0,0,0,0,0"/>
                    <o:lock v:ext="edit" verticies="t"/>
                  </v:shape>
                  <v:shape id="Freeform 90" o:spid="_x0000_s1184" style="position:absolute;left:1319;top:1583;width:35;height:248;visibility:visible;mso-wrap-style:square;v-text-anchor:top" coordsize="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zO8QA&#10;AADbAAAADwAAAGRycy9kb3ducmV2LnhtbESPT2sCMRTE7wW/Q3iFXkrNqkXs1igiCD2Jf9r76+a5&#10;Wbp5iZuo6356IxQ8DjPzG2Y6b20tztSEyrGCQT8DQVw4XXGp4Hu/epuACBFZY+2YFFwpwHzWe5pi&#10;rt2Ft3TexVIkCIccFZgYfS5lKAxZDH3niZN3cI3FmGRTSt3gJcFtLYdZNpYWK04LBj0tDRV/u5NV&#10;8NMdN68H9u/b3250XPvJpqvMQqmX53bxCSJSGx/h//aXVvAxg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czvEAAAA2wAAAA8AAAAAAAAAAAAAAAAAmAIAAGRycy9k&#10;b3ducmV2LnhtbFBLBQYAAAAABAAEAPUAAACJAwAAAAA=&#10;" path="m35,r,248l2,248,,,35,xe" filled="f" strokecolor="red" strokeweight="8e-5mm">
                    <v:stroke endcap="round"/>
                    <v:path arrowok="t" o:connecttype="custom" o:connectlocs="35,0;35,248;2,248;0,0;35,0" o:connectangles="0,0,0,0,0"/>
                  </v:shape>
                  <v:shape id="Freeform 91" o:spid="_x0000_s1185" style="position:absolute;left:1286;top:1813;width:103;height:103;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hMUA&#10;AADbAAAADwAAAGRycy9kb3ducmV2LnhtbESPQWvCQBSE70L/w/IKvemmrdgmZiNtUbCCh0bF6yP7&#10;mgSzb0N2NfHfuwWhx2FmvmHSxWAacaHO1ZYVPE8iEMSF1TWXCva71fgdhPPIGhvLpOBKDhbZwyjF&#10;RNuef+iS+1IECLsEFVTet4mUrqjIoJvYljh4v7Yz6IPsSqk77APcNPIlimbSYM1hocKWvioqTvnZ&#10;KIje4u/P1TSm7frUbw95e1xuXo9KPT0OH3MQngb/H76311pBPIW/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g+ExQAAANsAAAAPAAAAAAAAAAAAAAAAAJgCAABkcnMv&#10;ZG93bnJldi54bWxQSwUGAAAAAAQABAD1AAAAigMAAAAA&#10;" path="m103,l53,103,,,103,e" filled="f" strokecolor="red" strokeweight="8e-5mm">
                    <v:stroke endcap="round"/>
                    <v:path arrowok="t" o:connecttype="custom" o:connectlocs="103,0;53,103;0,0;103,0" o:connectangles="0,0,0,0"/>
                  </v:shape>
                </v:group>
                <v:group id="Group 92" o:spid="_x0000_s1186" style="position:absolute;left:23480;top:9578;width:667;height:2121" coordorigin="3778,1585" coordsize="10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3" o:spid="_x0000_s1187" style="position:absolute;left:3778;top:1585;width:105;height:334;visibility:visible;mso-wrap-style:square;v-text-anchor:top" coordsize="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cWscA&#10;AADbAAAADwAAAGRycy9kb3ducmV2LnhtbESPQU/CQBSE7yb+h80z8SZbiDZQWAhgFE8IlAu3R/fR&#10;Frpva3eF6q93SUw4Tmbmm8xo0ppKnKlxpWUF3U4EgjizuuRcwTZ9e+qDcB5ZY2WZFPyQg8n4/m6E&#10;ibYXXtN543MRIOwSVFB4XydSuqwgg65ja+LgHWxj0AfZ5FI3eAlwU8leFMXSYMlhocCa5gVlp823&#10;UTBbrz5f9q/vp+VuMe/Hz1/HffqbKvX40E6HIDy1/hb+b39oBYMYrl/CD5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xXFrHAAAA2wAAAA8AAAAAAAAAAAAAAAAAmAIAAGRy&#10;cy9kb3ducmV2LnhtbFBLBQYAAAAABAAEAPUAAACMAwAAAAA=&#10;" path="m70,r,246l35,246,35,,70,xm105,229l52,334,,229r105,xe" fillcolor="green" stroked="f">
                    <v:path arrowok="t" o:connecttype="custom" o:connectlocs="70,0;70,246;35,246;35,0;70,0;105,229;52,334;0,229;105,229" o:connectangles="0,0,0,0,0,0,0,0,0"/>
                    <o:lock v:ext="edit" verticies="t"/>
                  </v:shape>
                  <v:rect id="Rectangle 94" o:spid="_x0000_s1188" style="position:absolute;left:3813;top:1585;width:3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m7cEA&#10;AADbAAAADwAAAGRycy9kb3ducmV2LnhtbESP3YrCMBSE7xd8h3AEb0RTRfypRhGhsAherPoAh+TY&#10;FpuT0sRa394sCF4OM/MNs9l1thItNb50rGAyTkAQa2dKzhVcL9loCcIHZIOVY1LwIg+7be9ng6lx&#10;T/6j9hxyESHsU1RQhFCnUnpdkEU/djVx9G6usRiibHJpGnxGuK3kNEnm0mLJcaHAmg4F6fv5YRWU&#10;0+wy0cR2eDjOTvs2O+JQz5Ua9Lv9GkSgLnzDn/avUbBawP+X+AP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hJu3BAAAA2wAAAA8AAAAAAAAAAAAAAAAAmAIAAGRycy9kb3du&#10;cmV2LnhtbFBLBQYAAAAABAAEAPUAAACGAwAAAAA=&#10;" filled="f" strokecolor="green" strokeweight="8e-5mm">
                    <v:stroke joinstyle="round" endcap="round"/>
                  </v:rect>
                  <v:shape id="Freeform 95" o:spid="_x0000_s1189" style="position:absolute;left:3778;top:1814;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iZ78A&#10;AADbAAAADwAAAGRycy9kb3ducmV2LnhtbERPy4rCMBTdC/5DuMLsNHUWw1iNouKgrnxEcHtprm2x&#10;uSlJ1M7fTxYDLg/nPVt0thFP8qF2rGA8ykAQF87UXCq46J/hN4gQkQ02jknBLwVYzPu9GebGvfhE&#10;z3MsRQrhkKOCKsY2lzIUFVkMI9cSJ+7mvMWYoC+l8fhK4baRn1n2JS3WnBoqbGldUXE/P6wC3erT&#10;dVVnerc1e30ojuT3G1LqY9AtpyAidfEt/nfvjIJJGpu+pB8g5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OmJnvwAAANsAAAAPAAAAAAAAAAAAAAAAAJgCAABkcnMvZG93bnJl&#10;di54bWxQSwUGAAAAAAQABAD1AAAAhAMAAAAA&#10;" path="m105,l52,105,,,105,e" filled="f" strokecolor="green" strokeweight="8e-5mm">
                    <v:stroke endcap="round"/>
                    <v:path arrowok="t" o:connecttype="custom" o:connectlocs="105,0;52,105;0,0;105,0" o:connectangles="0,0,0,0"/>
                  </v:shape>
                </v:group>
                <v:group id="Group 96" o:spid="_x0000_s1190" style="position:absolute;left:25956;top:23846;width:654;height:1931" coordorigin="4168,3832" coordsize="10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7" o:spid="_x0000_s1191" style="position:absolute;left:4168;top:3832;width:103;height:304;visibility:visible;mso-wrap-style:square;v-text-anchor:top" coordsize="10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vjsYA&#10;AADcAAAADwAAAGRycy9kb3ducmV2LnhtbESPT0sDMRDF74LfIYzgRWyiiOi2aSmKUFAP/YP0OGym&#10;m6WbybKJu/HbOwfB2wzvzXu/WaxK6NRIQ2ojW7ibGVDEdXQtNxYO+7fbJ1ApIzvsIpOFH0qwWl5e&#10;LLByceItjbvcKAnhVKEFn3NfaZ1qTwHTLPbEop3iEDDLOjTaDThJeOj0vTGPOmDL0uCxpxdP9Xn3&#10;HSw8F38zjZ+n98P5YV++PrrNq1kfrb2+Kus5qEwl/5v/rjdO8I3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vjsYAAADcAAAADwAAAAAAAAAAAAAAAACYAgAAZHJz&#10;L2Rvd25yZXYueG1sUEsFBgAAAAAEAAQA9QAAAIsDAAAAAA==&#10;" path="m68,r2,218l35,218,33,,68,xm103,201l53,304,,201r103,xe" fillcolor="green" stroked="f">
                    <v:path arrowok="t" o:connecttype="custom" o:connectlocs="68,0;70,218;35,218;33,0;68,0;103,201;53,304;0,201;103,201" o:connectangles="0,0,0,0,0,0,0,0,0"/>
                    <o:lock v:ext="edit" verticies="t"/>
                  </v:shape>
                  <v:shape id="Freeform 98" o:spid="_x0000_s1192" style="position:absolute;left:4201;top:3832;width:37;height:218;visibility:visible;mso-wrap-style:square;v-text-anchor:top" coordsize="3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WNcEA&#10;AADcAAAADwAAAGRycy9kb3ducmV2LnhtbERPS2sCMRC+F/wPYQq91cRKRVezIkLBHmt9HYfNuFm7&#10;mSybdF3/fSMIvc3H95zFsne16KgNlWcNo6ECQVx4U3GpYff98ToFESKywdozabhRgGU+eFpgZvyV&#10;v6jbxlKkEA4ZarAxNpmUobDkMAx9Q5y4s28dxgTbUpoWrync1fJNqYl0WHFqsNjQ2lLxs/11Gryh&#10;y2F9nE3H41OxsTR5V/vbp9Yvz/1qDiJSH//FD/fGpPlqBPdn0gU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9VjXBAAAA3AAAAA8AAAAAAAAAAAAAAAAAmAIAAGRycy9kb3du&#10;cmV2LnhtbFBLBQYAAAAABAAEAPUAAACGAwAAAAA=&#10;" path="m35,r2,218l2,218,,,35,xe" filled="f" strokecolor="green" strokeweight="8e-5mm">
                    <v:stroke endcap="round"/>
                    <v:path arrowok="t" o:connecttype="custom" o:connectlocs="35,0;37,218;2,218;0,0;35,0" o:connectangles="0,0,0,0,0"/>
                  </v:shape>
                  <v:shape id="Freeform 99" o:spid="_x0000_s1193" style="position:absolute;left:4168;top:4033;width:103;height:103;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08MIA&#10;AADcAAAADwAAAGRycy9kb3ducmV2LnhtbERPS4vCMBC+L/gfwgje1lTFB9UoIiysiAddvQ/N2Fab&#10;SW2i1v56Iwh7m4/vObNFbQpxp8rllhX0uhEI4sTqnFMFh7+f7wkI55E1FpZJwZMcLOatrxnG2j54&#10;R/e9T0UIYRejgsz7MpbSJRkZdF1bEgfuZCuDPsAqlbrCRwg3hexH0UgazDk0ZFjSKqPksr8ZBetD&#10;MzytztvBcHtrRs31uCk2l7FSnXa9nILwVPt/8cf9q8P8qA/vZ8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zTwwgAAANwAAAAPAAAAAAAAAAAAAAAAAJgCAABkcnMvZG93&#10;bnJldi54bWxQSwUGAAAAAAQABAD1AAAAhwMAAAAA&#10;" path="m103,l53,103,,,103,e" filled="f" strokecolor="green" strokeweight="8e-5mm">
                    <v:stroke endcap="round"/>
                    <v:path arrowok="t" o:connecttype="custom" o:connectlocs="103,0;53,103;0,0;103,0" o:connectangles="0,0,0,0"/>
                  </v:shape>
                </v:group>
                <v:group id="Group 100" o:spid="_x0000_s1194" style="position:absolute;left:26782;top:45436;width:673;height:3055" coordorigin="4298,7232" coordsize="10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01" o:spid="_x0000_s1195" style="position:absolute;left:4298;top:7232;width:106;height:481;visibility:visible;mso-wrap-style:square;v-text-anchor:top" coordsize="10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iGsIA&#10;AADcAAAADwAAAGRycy9kb3ducmV2LnhtbERP3WrCMBS+F/YO4Qy8kZkq4qRrKmOwKWU3tnuAQ3OW&#10;lDUnpYla394MBrs7H9/vKfaT68WFxtB5VrBaZiCIW687Ngq+mvenHYgQkTX2nknBjQLsy4dZgbn2&#10;Vz7RpY5GpBAOOSqwMQ65lKG15DAs/UCcuG8/OowJjkbqEa8p3PVynWVb6bDj1GBxoDdL7U99dgpM&#10;JTfN4kPvDtagreph++mfK6Xmj9PrC4hIU/wX/7mPOs3PNvD7TL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iIawgAAANwAAAAPAAAAAAAAAAAAAAAAAJgCAABkcnMvZG93&#10;bnJldi54bWxQSwUGAAAAAAQABAD1AAAAhwMAAAAA&#10;" path="m70,r,393l36,393,38,,70,xm106,376l53,481,,376r106,xe" fillcolor="green" stroked="f">
                    <v:path arrowok="t" o:connecttype="custom" o:connectlocs="70,0;70,393;36,393;38,0;70,0;106,376;53,481;0,376;106,376" o:connectangles="0,0,0,0,0,0,0,0,0"/>
                    <o:lock v:ext="edit" verticies="t"/>
                  </v:shape>
                  <v:shape id="Freeform 102" o:spid="_x0000_s1196" style="position:absolute;left:4334;top:7232;width:34;height:393;visibility:visible;mso-wrap-style:square;v-text-anchor:top" coordsize="3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as8AA&#10;AADcAAAADwAAAGRycy9kb3ducmV2LnhtbERPTYvCMBC9L+x/CCN4W1MX3ZVqlLKwInpZdb0PydgW&#10;m0lpYlv/vREEb/N4n7NY9bYSLTW+dKxgPEpAEGtnSs4V/B9/P2YgfEA2WDkmBTfysFq+vy0wNa7j&#10;PbWHkIsYwj5FBUUIdSql1wVZ9CNXE0fu7BqLIcIml6bBLobbSn4myZe0WHJsKLCmn4L05XC1Ci7r&#10;ifzWf/XpSEhd1u4w09OtUsNBn81BBOrDS/x0b0ycn0zh8Uy8Q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Cas8AAAADcAAAADwAAAAAAAAAAAAAAAACYAgAAZHJzL2Rvd25y&#10;ZXYueG1sUEsFBgAAAAAEAAQA9QAAAIUDAAAAAA==&#10;" path="m34,r,393l,393,2,,34,xe" filled="f" strokecolor="green" strokeweight="8e-5mm">
                    <v:stroke endcap="round"/>
                    <v:path arrowok="t" o:connecttype="custom" o:connectlocs="34,0;34,393;0,393;2,0;34,0" o:connectangles="0,0,0,0,0"/>
                  </v:shape>
                  <v:shape id="Freeform 103" o:spid="_x0000_s1197" style="position:absolute;left:4298;top:7608;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xZ8MA&#10;AADcAAAADwAAAGRycy9kb3ducmV2LnhtbERPTWsCMRC9F/ofwhR6q9l6UNkaRURBpAq1Uupt2Iyb&#10;pZvJkkR39dcboeBtHu9zxtPO1uJMPlSOFbz3MhDEhdMVlwr238u3EYgQkTXWjknBhQJMJ89PY8y1&#10;a/mLzrtYihTCIUcFJsYmlzIUhiyGnmuIE3d03mJM0JdSe2xTuK1lP8sG0mLFqcFgQ3NDxd/uZBX8&#10;ttvPHx+uYX0Y7YcL4zeHON8o9frSzT5AROriQ/zvXuk0PxvA/Zl0gZ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cxZ8MAAADcAAAADwAAAAAAAAAAAAAAAACYAgAAZHJzL2Rv&#10;d25yZXYueG1sUEsFBgAAAAAEAAQA9QAAAIgDAAAAAA==&#10;" path="m106,l53,105,,,106,e" filled="f" strokecolor="green" strokeweight="8e-5mm">
                    <v:stroke endcap="round"/>
                    <v:path arrowok="t" o:connecttype="custom" o:connectlocs="106,0;53,105;0,0;106,0" o:connectangles="0,0,0,0"/>
                  </v:shape>
                </v:group>
                <v:rect id="Rectangle 104" o:spid="_x0000_s1198" style="position:absolute;left:34351;top:5057;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Yes</w:t>
                        </w:r>
                      </w:p>
                    </w:txbxContent>
                  </v:textbox>
                </v:rect>
                <v:rect id="Rectangle 105" o:spid="_x0000_s1199" style="position:absolute;left:9338;top:3698;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106" o:spid="_x0000_s1200" style="position:absolute;left:5979;top:10035;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107" o:spid="_x0000_s1201" style="position:absolute;left:25099;top:10067;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Yes</w:t>
                        </w:r>
                      </w:p>
                    </w:txbxContent>
                  </v:textbox>
                </v:rect>
                <v:rect id="Rectangle 108" o:spid="_x0000_s1202" style="position:absolute;left:27893;top:30571;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Yes</w:t>
                        </w:r>
                      </w:p>
                    </w:txbxContent>
                  </v:textbox>
                </v:rect>
                <v:group id="Group 109" o:spid="_x0000_s1203" style="position:absolute;left:20775;top:30355;width:667;height:6795" coordorigin="3352,4857" coordsize="105,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0" o:spid="_x0000_s1204" style="position:absolute;left:3352;top:4857;width:105;height:1070;visibility:visible;mso-wrap-style:square;v-text-anchor:top" coordsize="105,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d0MIA&#10;AADcAAAADwAAAGRycy9kb3ducmV2LnhtbERPTWuDQBC9F/oflgn01qymEIJxlcYm4C00CeQ6dacq&#10;dWfVXRP777uFQm/zeJ+T5rPpxI1G11pWEC8jEMSV1S3XCi7nw/MGhPPIGjvLpOCbHOTZ40OKibZ3&#10;fqfbydcihLBLUEHjfZ9I6aqGDLql7YkD92lHgz7AsZZ6xHsIN51cRdFaGmw5NDTYU9FQ9XWajAK/&#10;K4drYedhg1P1MUSHffl2vCj1tJhftyA8zf5f/OcudZgfv8D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N3QwgAAANwAAAAPAAAAAAAAAAAAAAAAAJgCAABkcnMvZG93&#10;bnJldi54bWxQSwUGAAAAAAQABAD1AAAAhwMAAAAA&#10;" path="m70,r,982l35,982,35,,70,xm105,967l53,1070,,967r105,xe" fillcolor="red" stroked="f">
                    <v:path arrowok="t" o:connecttype="custom" o:connectlocs="70,0;70,982;35,982;35,0;70,0;105,967;53,1070;0,967;105,967" o:connectangles="0,0,0,0,0,0,0,0,0"/>
                    <o:lock v:ext="edit" verticies="t"/>
                  </v:shape>
                  <v:rect id="Rectangle 111" o:spid="_x0000_s1205" style="position:absolute;left:3387;top:4857;width:35;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1sMMA&#10;AADcAAAADwAAAGRycy9kb3ducmV2LnhtbERPTWvCQBC9F/wPywi9NZuUUmrMKiIUSsFCY8DrmB2T&#10;aHY2Zrcx+ffdQsHbPN7nZOvRtGKg3jWWFSRRDIK4tLrhSkGxf396A+E8ssbWMimYyMF6NXvIMNX2&#10;xt805L4SIYRdigpq77tUSlfWZNBFtiMO3Mn2Bn2AfSV1j7cQblr5HMev0mDDoaHGjrY1lZf8xyg4&#10;Tr5YfJ6/TslhcS0Gx7vqTDulHufjZgnC0+jv4n/3hw7zkxf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1sMMAAADcAAAADwAAAAAAAAAAAAAAAACYAgAAZHJzL2Rv&#10;d25yZXYueG1sUEsFBgAAAAAEAAQA9QAAAIgDAAAAAA==&#10;" filled="f" strokecolor="red" strokeweight="8e-5mm">
                    <v:stroke joinstyle="round" endcap="round"/>
                  </v:rect>
                  <v:shape id="Freeform 112" o:spid="_x0000_s1206" style="position:absolute;left:3352;top:5824;width:105;height:103;visibility:visible;mso-wrap-style:square;v-text-anchor:top" coordsize="10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t78QA&#10;AADcAAAADwAAAGRycy9kb3ducmV2LnhtbERPTWvCQBC9C/6HZYTedKO10qauIoriQcTG2vM0OybR&#10;7GzMrpr++65Q6G0e73PG08aU4ka1Kywr6PciEMSp1QVnCj73y+4rCOeRNZaWScEPOZhO2q0xxtre&#10;+YNuic9ECGEXo4Lc+yqW0qU5GXQ9WxEH7mhrgz7AOpO6xnsIN6UcRNFIGiw4NORY0Tyn9JxcjYLl&#10;arEdjk6r77fD5vnrMKR9ctktlHrqNLN3EJ4a/y/+c691mN9/gccz4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7e/EAAAA3AAAAA8AAAAAAAAAAAAAAAAAmAIAAGRycy9k&#10;b3ducmV2LnhtbFBLBQYAAAAABAAEAPUAAACJAwAAAAA=&#10;" path="m105,l53,103,,,105,e" filled="f" strokecolor="red" strokeweight="8e-5mm">
                    <v:stroke endcap="round"/>
                    <v:path arrowok="t" o:connecttype="custom" o:connectlocs="105,0;53,103;0,0;105,0" o:connectangles="0,0,0,0"/>
                  </v:shape>
                </v:group>
                <v:rect id="Rectangle 113" o:spid="_x0000_s1207" style="position:absolute;left:19117;top:32177;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114" o:spid="_x0000_s1208" style="position:absolute;left:30281;top:70138;width:1144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BMMQA&#10;AADcAAAADwAAAGRycy9kb3ducmV2LnhtbERPTWvCQBC9C/6HZQRvdWNFK9FVpFAQPLRqafU2Zsck&#10;NjsbsmsS/70rFLzN433OfNmaQtRUudyyguEgAkGcWJ1zquB7//EyBeE8ssbCMim4kYPlotuZY6xt&#10;w1uqdz4VIYRdjAoy78tYSpdkZNANbEkcuLOtDPoAq1TqCpsQbgr5GkUTaTDn0JBhSe8ZJX+7q1Fw&#10;WEWft69RPf7Zrhv/O3Xj0+ZyVKrfa1czEJ5a/xT/u9c6zB++we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kgTDEAAAA3AAAAA8AAAAAAAAAAAAAAAAAmAIAAGRycy9k&#10;b3ducmV2LnhtbFBLBQYAAAAABAAEAPUAAACJAwAAAAA=&#10;" filled="f" strokecolor="blue" strokeweight="97e-5mm">
                  <v:stroke endcap="round"/>
                </v:rect>
                <v:group id="Group 115" o:spid="_x0000_s1209" style="position:absolute;left:27645;top:70360;width:2636;height:591" coordorigin="4434,11157" coordsize="4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6" o:spid="_x0000_s1210" style="position:absolute;left:4434;top:11157;width:415;height:93;visibility:visible;mso-wrap-style:square;v-text-anchor:top" coordsize="4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178A&#10;AADcAAAADwAAAGRycy9kb3ducmV2LnhtbERPzWrCQBC+F3yHZYTe6sYe0hrdBLEI3kpSH2DIjtlg&#10;djZkR03fvlso9DYf3+/sqtkP6k5T7AMbWK8yUMRtsD13Bs5fx5d3UFGQLQ6BycA3RajKxdMOCxse&#10;XNO9kU6lEI4FGnAiY6F1bB15jKswEifuEiaPkuDUaTvhI4X7Qb9mWa499pwaHI50cNRem5s3UPvc&#10;vbXhU04NavmoN8cunwdjnpfzfgtKaJZ/8Z/7ZNP89QZ+n0kX6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7GbXvwAAANwAAAAPAAAAAAAAAAAAAAAAAJgCAABkcnMvZG93bnJl&#10;di54bWxQSwUGAAAAAAQABAD1AAAAhAMAAAAA&#10;" path="m340,58l77,58r,-22l340,36r,22xm323,r92,45l325,93,323,xm92,93l,45,92,r,93xe" fillcolor="blue" stroked="f">
                    <v:path arrowok="t" o:connecttype="custom" o:connectlocs="340,58;77,58;77,36;340,36;340,58;323,0;415,45;325,93;323,0;92,93;0,45;92,0;92,93" o:connectangles="0,0,0,0,0,0,0,0,0,0,0,0,0"/>
                    <o:lock v:ext="edit" verticies="t"/>
                  </v:shape>
                  <v:rect id="Rectangle 117" o:spid="_x0000_s1211" style="position:absolute;left:4511;top:11193;width:263;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YisQA&#10;AADcAAAADwAAAGRycy9kb3ducmV2LnhtbESPQWvCQBCF70L/wzIFb7qpiEjqKm1REU9qW6i3ITtN&#10;gtnZkF1j9Nc7B8HbDO/Ne9/MFp2rVEtNKD0beBsmoIgzb0vODfx8rwZTUCEiW6w8k4ErBVjMX3oz&#10;TK2/8J7aQ8yVhHBI0UARY51qHbKCHIahr4lF+/eNwyhrk2vb4EXCXaVHSTLRDkuWhgJr+iooOx3O&#10;zsBfOLXb5efxFle/zMdkTOvdnozpv3Yf76AidfFpflxvrOCPBF+ekQn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WIrEAAAA3AAAAA8AAAAAAAAAAAAAAAAAmAIAAGRycy9k&#10;b3ducmV2LnhtbFBLBQYAAAAABAAEAPUAAACJAwAAAAA=&#10;" filled="f" strokecolor="blue" strokeweight="8e-5mm">
                    <v:stroke joinstyle="round" endcap="round"/>
                  </v:rect>
                  <v:shape id="Freeform 118" o:spid="_x0000_s1212" style="position:absolute;left:4757;top:11157;width:92;height:93;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BjsMA&#10;AADcAAAADwAAAGRycy9kb3ducmV2LnhtbERPTWsCMRC9F/wPYQQvUrO7h1a2Rimi4qEtqG3Pw2a6&#10;WbqZLEnU1V9vCkJv83ifM1v0thUn8qFxrCCfZCCIK6cbrhV8HtaPUxAhImtsHZOCCwVYzAcPMyy1&#10;O/OOTvtYixTCoUQFJsaulDJUhiyGieuIE/fjvMWYoK+l9nhO4baVRZY9SYsNpwaDHS0NVb/7o1VA&#10;R2e/N+Pr8+FjaVbvfpW/FZcvpUbD/vUFRKQ+/ovv7q1O84sc/p5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UBjsMAAADcAAAADwAAAAAAAAAAAAAAAACYAgAAZHJzL2Rv&#10;d25yZXYueG1sUEsFBgAAAAAEAAQA9QAAAIgDAAAAAA==&#10;" path="m,l92,45,2,93,,e" filled="f" strokecolor="blue" strokeweight="8e-5mm">
                    <v:stroke endcap="round"/>
                    <v:path arrowok="t" o:connecttype="custom" o:connectlocs="0,0;92,45;2,93;0,0" o:connectangles="0,0,0,0"/>
                  </v:shape>
                  <v:shape id="Freeform 119" o:spid="_x0000_s1213" style="position:absolute;left:4434;top:11157;width:92;height:93;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f+cQA&#10;AADcAAAADwAAAGRycy9kb3ducmV2LnhtbERPS2sCMRC+C/6HMEIvoln30JatUYrY0kNb6Po4D5vp&#10;ZulmsiRRV3+9KQje5uN7znzZ21YcyYfGsYLZNANBXDndcK1gu3mbPIMIEVlj65gUnCnAcjEczLHQ&#10;7sQ/dCxjLVIIhwIVmBi7QspQGbIYpq4jTtyv8xZjgr6W2uMphdtW5ln2KC02nBoMdrQyVP2VB6uA&#10;Ds7u38eXp833yqy//Hr2mZ93Sj2M+tcXEJH6eBff3B86zc9z+H8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n/nEAAAA3AAAAA8AAAAAAAAAAAAAAAAAmAIAAGRycy9k&#10;b3ducmV2LnhtbFBLBQYAAAAABAAEAPUAAACJAwAAAAA=&#10;" path="m92,93l,45,92,r,93e" filled="f" strokecolor="blue" strokeweight="8e-5mm">
                    <v:stroke endcap="round"/>
                    <v:path arrowok="t" o:connecttype="custom" o:connectlocs="92,93;0,45;92,0;92,93" o:connectangles="0,0,0,0"/>
                  </v:shape>
                </v:group>
                <v:group id="Group 120" o:spid="_x0000_s1214" style="position:absolute;left:40980;top:14912;width:674;height:55099" coordorigin="6534,2425" coordsize="106,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21" o:spid="_x0000_s1215" style="position:absolute;left:6534;top:2425;width:106;height:8677;visibility:visible;mso-wrap-style:square;v-text-anchor:top" coordsize="106,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eFL0A&#10;AADcAAAADwAAAGRycy9kb3ducmV2LnhtbERPSwrCMBDdC94hjOBGNFVEtBql+IG69HOAoRnbYjMp&#10;TdR6eyMI7ubxvrPatKYST2pcaVnBeBSBIM6sLjlXcL0chnMQziNrrCyTgjc52Ky7nRXG2r74RM+z&#10;z0UIYRejgsL7OpbSZQUZdCNbEwfuZhuDPsAml7rBVwg3lZxE0UwaLDk0FFjTtqDsfn4YBY8kknic&#10;4yIZa73fpYN9lpqrUv1emyxBeGr9X/xzpzrMn0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TbeFL0AAADcAAAADwAAAAAAAAAAAAAAAACYAgAAZHJzL2Rvd25yZXYu&#10;eG1sUEsFBgAAAAAEAAQA9QAAAIIDAAAAAA==&#10;" path="m70,85r,8505l35,8590,35,85r35,xm,103l53,r53,103l,103xm106,8572l53,8677,,8572r106,xe" fillcolor="blue" stroked="f">
                    <v:path arrowok="t" o:connecttype="custom" o:connectlocs="70,85;70,8590;35,8590;35,85;70,85;0,103;53,0;106,103;0,103;106,8572;53,8677;0,8572;106,8572" o:connectangles="0,0,0,0,0,0,0,0,0,0,0,0,0"/>
                    <o:lock v:ext="edit" verticies="t"/>
                  </v:shape>
                  <v:rect id="Rectangle 122" o:spid="_x0000_s1216" style="position:absolute;left:6569;top:2510;width:35;height:8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7EsMA&#10;AADcAAAADwAAAGRycy9kb3ducmV2LnhtbERPTWvCQBC9C/6HZYTedGOopaSuYktTiqfGVtDbkJ0m&#10;wexsyG6T6K93BaG3ebzPWa4HU4uOWldZVjCfRSCIc6srLhT8fKfTZxDOI2usLZOCMzlYr8ajJSba&#10;9pxRt/OFCCHsElRQet8kUrq8JINuZhviwP3a1qAPsC2kbrEP4aaWcRQ9SYMVh4YSG3orKT/t/oyC&#10;gzt12/fX48Wne+Zj9EgfXxkp9TAZNi8gPA3+X3x3f+owP17A7Zlw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v7EsMAAADcAAAADwAAAAAAAAAAAAAAAACYAgAAZHJzL2Rv&#10;d25yZXYueG1sUEsFBgAAAAAEAAQA9QAAAIgDAAAAAA==&#10;" filled="f" strokecolor="blue" strokeweight="8e-5mm">
                    <v:stroke joinstyle="round" endcap="round"/>
                  </v:rect>
                  <v:shape id="Freeform 123" o:spid="_x0000_s1217" style="position:absolute;left:6534;top:2425;width:106;height:103;visibility:visible;mso-wrap-style:square;v-text-anchor:top" coordsize="10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zRsQA&#10;AADcAAAADwAAAGRycy9kb3ducmV2LnhtbERPTWvCQBC9F/wPywi91Y1SgqSuIlohFHswLQVvY3aa&#10;hGZn0+w2if31riB4m8f7nMVqMLXoqHWVZQXTSQSCOLe64kLB58fuaQ7CeWSNtWVScCYHq+XoYYGJ&#10;tj0fqMt8IUIIuwQVlN43iZQuL8mgm9iGOHDftjXoA2wLqVvsQ7ip5SyKYmmw4tBQYkObkvKf7M8o&#10;+Hq22//ft2yd8+v7aZfu/bHaaKUex8P6BYSnwd/FN3eqw/xZDN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s0bEAAAA3AAAAA8AAAAAAAAAAAAAAAAAmAIAAGRycy9k&#10;b3ducmV2LnhtbFBLBQYAAAAABAAEAPUAAACJAwAAAAA=&#10;" path="m,103l53,r53,103l,103e" filled="f" strokecolor="blue" strokeweight="8e-5mm">
                    <v:stroke endcap="round"/>
                    <v:path arrowok="t" o:connecttype="custom" o:connectlocs="0,103;53,0;106,103;0,103" o:connectangles="0,0,0,0"/>
                  </v:shape>
                  <v:shape id="Freeform 124" o:spid="_x0000_s1218" style="position:absolute;left:6534;top:1099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JMUA&#10;AADcAAAADwAAAGRycy9kb3ducmV2LnhtbERPTWsCMRC9C/6HMIKXUrMVasvWKFJaKWhLV4X2ON2M&#10;u8HNZElSXf99IxS8zeN9znTe2UYcyQfjWMHdKANBXDptuFKw277ePoIIEVlj45gUnCnAfNbvTTHX&#10;7sQFHTexEimEQ44K6hjbXMpQ1mQxjFxLnLi98xZjgr6S2uMphdtGjrNsIi0aTg01tvRcU3nY/FoF&#10;7+uv76Wsipv150fx8xLM6t4cvFLDQbd4AhGpi1fxv/tNp/njB7g8k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gkxQAAANwAAAAPAAAAAAAAAAAAAAAAAJgCAABkcnMv&#10;ZG93bnJldi54bWxQSwUGAAAAAAQABAD1AAAAigMAAAAA&#10;" path="m106,l53,105,,,106,e" filled="f" strokecolor="blue" strokeweight="8e-5mm">
                    <v:stroke endcap="round"/>
                    <v:path arrowok="t" o:connecttype="custom" o:connectlocs="106,0;53,105;0,0;106,0" o:connectangles="0,0,0,0"/>
                  </v:shape>
                </v:group>
                <v:group id="Group 125" o:spid="_x0000_s1219" style="position:absolute;left:11472;top:40248;width:673;height:2356" coordorigin="1887,6415" coordsize="10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6" o:spid="_x0000_s1220" style="position:absolute;left:1887;top:6415;width:106;height:371;visibility:visible;mso-wrap-style:square;v-text-anchor:top" coordsize="106,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8uOsAA&#10;AADcAAAADwAAAGRycy9kb3ducmV2LnhtbERP24rCMBB9F/yHMMK+aaoLYrvGUtxdKPhk9QNmm+kF&#10;m0lpslr/3giCb3M419mmo+nElQbXWlawXEQgiEurW64VnE+/8w0I55E1dpZJwZ0cpLvpZIuJtjc+&#10;0rXwtQgh7BJU0HjfJ1K6siGDbmF74sBVdjDoAxxqqQe8hXDTyVUUraXBlkNDgz3tGyovxb9RkMcH&#10;M5bZ36H6zj9/asz3/lwVSn3MxuwLhKfRv8Uvd67D/FUMz2fCB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8uOsAAAADcAAAADwAAAAAAAAAAAAAAAACYAgAAZHJzL2Rvd25y&#10;ZXYueG1sUEsFBgAAAAAEAAQA9QAAAIUDAAAAAA==&#10;" path="m70,r,283l36,283,36,,70,xm106,266l53,371,,266r106,xe" fillcolor="blue" stroked="f">
                    <v:path arrowok="t" o:connecttype="custom" o:connectlocs="70,0;70,283;36,283;36,0;70,0;106,266;53,371;0,266;106,266" o:connectangles="0,0,0,0,0,0,0,0,0"/>
                    <o:lock v:ext="edit" verticies="t"/>
                  </v:shape>
                  <v:rect id="Rectangle 127" o:spid="_x0000_s1221" style="position:absolute;left:1923;top:6415;width: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OV8UA&#10;AADcAAAADwAAAGRycy9kb3ducmV2LnhtbESPQWvCQBCF7wX/wzKCt7qxFpHUVbRoKT3V2EK9Ddkx&#10;CWZnQ3aNaX995yB4m+G9ee+bxap3teqoDZVnA5NxAoo497biwsDXYfc4BxUissXaMxn4pQCr5eBh&#10;gan1V95Tl8VCSQiHFA2UMTap1iEvyWEY+4ZYtJNvHUZZ20LbFq8S7mr9lCQz7bBiaSixodeS8nN2&#10;cQZ+wrn72G6Of3H3zXxMnuntc0/GjIb9+gVUpD7ezbfrdyv4U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c5XxQAAANwAAAAPAAAAAAAAAAAAAAAAAJgCAABkcnMv&#10;ZG93bnJldi54bWxQSwUGAAAAAAQABAD1AAAAigMAAAAA&#10;" filled="f" strokecolor="blue" strokeweight="8e-5mm">
                    <v:stroke joinstyle="round" endcap="round"/>
                  </v:rect>
                  <v:shape id="Freeform 128" o:spid="_x0000_s1222" style="position:absolute;left:1887;top:6681;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TFsUA&#10;AADcAAAADwAAAGRycy9kb3ducmV2LnhtbERPTWsCMRC9C/6HMEIvpWa1WMrWKFJqKWhLV4X2ON2M&#10;u8HNZElSXf99IxS8zeN9znTe2UYcyQfjWMFomIEgLp02XCnYbZd3jyBCRNbYOCYFZwown/V7U8y1&#10;O3FBx02sRArhkKOCOsY2lzKUNVkMQ9cSJ27vvMWYoK+k9nhK4baR4yx7kBYNp4YaW3quqTxsfq2C&#10;9/XX96usitv150fx8xLMamIOXqmbQbd4AhGpi1fxv/tNp/n3I7g8k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MWxQAAANwAAAAPAAAAAAAAAAAAAAAAAJgCAABkcnMv&#10;ZG93bnJldi54bWxQSwUGAAAAAAQABAD1AAAAigMAAAAA&#10;" path="m106,l53,105,,,106,e" filled="f" strokecolor="blue" strokeweight="8e-5mm">
                    <v:stroke endcap="round"/>
                    <v:path arrowok="t" o:connecttype="custom" o:connectlocs="106,0;53,105;0,0;106,0" o:connectangles="0,0,0,0"/>
                  </v:shape>
                </v:group>
                <v:group id="Group 129" o:spid="_x0000_s1223" style="position:absolute;left:28198;top:14912;width:673;height:2114" coordorigin="4521,2425" coordsize="10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0" o:spid="_x0000_s1224" style="position:absolute;left:4521;top:2425;width:106;height:333;visibility:visible;mso-wrap-style:square;v-text-anchor:top" coordsize="10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Y4cIA&#10;AADcAAAADwAAAGRycy9kb3ducmV2LnhtbERPTYvCMBC9C/sfwizsTVNXlKUapS7ICnrR7sHj2Ixt&#10;sZmUJtrqrzeC4G0e73Nmi85U4kqNKy0rGA4iEMSZ1SXnCv7TVf8HhPPIGivLpOBGDhbzj94MY21b&#10;3tF173MRQtjFqKDwvo6ldFlBBt3A1sSBO9nGoA+wyaVusA3hppLfUTSRBksODQXW9FtQdt5fjAK7&#10;NtvUL5Px5u9cttk9ORzT5UGpr88umYLw1Pm3+OVe6zB/NIL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FjhwgAAANwAAAAPAAAAAAAAAAAAAAAAAJgCAABkcnMvZG93&#10;bnJldi54bWxQSwUGAAAAAAQABAD1AAAAhwMAAAAA&#10;" path="m68,r2,245l35,245,35,,68,xm106,228l53,333,,230r106,-2xe" fillcolor="blue" stroked="f">
                    <v:path arrowok="t" o:connecttype="custom" o:connectlocs="68,0;70,245;35,245;35,0;68,0;106,228;53,333;0,230;106,228" o:connectangles="0,0,0,0,0,0,0,0,0"/>
                    <o:lock v:ext="edit" verticies="t"/>
                  </v:shape>
                  <v:shape id="Freeform 131" o:spid="_x0000_s1225" style="position:absolute;left:4556;top:2425;width:35;height:245;visibility:visible;mso-wrap-style:square;v-text-anchor:top" coordsize="3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bKsMA&#10;AADcAAAADwAAAGRycy9kb3ducmV2LnhtbERPS2sCMRC+F/wPYYTeata2qKxGKYVCD1580LK3YTPu&#10;BjeTJUn30V/fFARv8/E9Z7MbbCM68sE4VjCfZSCIS6cNVwrOp4+nFYgQkTU2jknBSAF228nDBnPt&#10;ej5Qd4yVSCEcclRQx9jmUoayJoth5lrixF2ctxgT9JXUHvsUbhv5nGULadFwaqixpfeayuvxxyrY&#10;j6b/MsX36Dt7WO6XXcGr30Kpx+nwtgYRaYh38c39qdP8l1f4fyZd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ibKsMAAADcAAAADwAAAAAAAAAAAAAAAACYAgAAZHJzL2Rv&#10;d25yZXYueG1sUEsFBgAAAAAEAAQA9QAAAIgDAAAAAA==&#10;" path="m33,r2,245l,245,,,33,xe" filled="f" strokecolor="blue" strokeweight="8e-5mm">
                    <v:stroke endcap="round"/>
                    <v:path arrowok="t" o:connecttype="custom" o:connectlocs="33,0;35,245;0,245;0,0;33,0" o:connectangles="0,0,0,0,0"/>
                  </v:shape>
                  <v:shape id="Freeform 132" o:spid="_x0000_s1226" style="position:absolute;left:4521;top:2653;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VFcUA&#10;AADcAAAADwAAAGRycy9kb3ducmV2LnhtbERPTWsCMRC9C/6HMIIXqdlaLGVrFCltKdSWrgrtcboZ&#10;d4ObyZKkuv77RhC8zeN9zmzR2UYcyAfjWMHtOANBXDptuFKw3bzcPIAIEVlj45gUnCjAYt7vzTDX&#10;7sgFHdaxEimEQ44K6hjbXMpQ1mQxjF1LnLid8xZjgr6S2uMxhdtGTrLsXlo0nBpqbOmppnK//rMK&#10;PlbfP6+yKkarr8/i9zmY96nZe6WGg275CCJSF6/ii/tNp/l3Uzg/ky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1UVxQAAANwAAAAPAAAAAAAAAAAAAAAAAJgCAABkcnMv&#10;ZG93bnJldi54bWxQSwUGAAAAAAQABAD1AAAAigMAAAAA&#10;" path="m106,l53,105,,2,106,e" filled="f" strokecolor="blue" strokeweight="8e-5mm">
                    <v:stroke endcap="round"/>
                    <v:path arrowok="t" o:connecttype="custom" o:connectlocs="106,0;53,105;0,2;106,0" o:connectangles="0,0,0,0"/>
                  </v:shape>
                </v:group>
                <v:rect id="Rectangle 133" o:spid="_x0000_s1227" style="position:absolute;left:4766;top:17071;width:35789;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nQsAA&#10;AADcAAAADwAAAGRycy9kb3ducmV2LnhtbESPTYvCMBCG7wv+hzCCtzV1RZFqFF0QvKpFPA7N2BSb&#10;SW2iVn+9EQRvM8wz78ds0dpK3KjxpWMFg34Cgjh3uuRCQbZf/05A+ICssXJMCh7kYTHv/Mww1e7O&#10;W7rtQiGiCPsUFZgQ6lRKnxuy6PuuJo63k2sshrg2hdQN3qO4reRfkoylxZKjg8Ga/g3l593VKrCR&#10;tvvqcLw8y6Nc02i1yjKjVK/bLqcgArXhC3++NzrGH47hXSZO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WnQsAAAADcAAAADwAAAAAAAAAAAAAAAACYAgAAZHJzL2Rvd25y&#10;ZXYueG1sUEsFBgAAAAAEAAQA9QAAAIUDAAAAAA==&#10;" filled="f" strokeweight="97e-5mm">
                  <v:stroke endcap="round"/>
                </v:rect>
                <v:rect id="Rectangle 134" o:spid="_x0000_s1228" style="position:absolute;left:7687;top:17261;width:30988;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gUMQA&#10;AADcAAAADwAAAGRycy9kb3ducmV2LnhtbERPTWvCQBC9F/wPywi9FN1UQW10DVII9CAUYw/1NmSn&#10;2Wh2NmS3Ju2v7xYEb/N4n7PJBtuIK3W+dqzgeZqAIC6drrlS8HHMJysQPiBrbByTgh/ykG1HDxtM&#10;tev5QNciVCKGsE9RgQmhTaX0pSGLfupa4sh9uc5iiLCrpO6wj+G2kbMkWUiLNccGgy29GiovxbdV&#10;kL9/1sS/8vD0surduZydCrNvlXocD7s1iEBDuItv7jcd58+X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oFDEAAAA3AAAAA8AAAAAAAAAAAAAAAAAmAIAAGRycy9k&#10;b3ducmV2LnhtbFBLBQYAAAAABAAEAPUAAACJAwAAAAA=&#10;" filled="f" stroked="f">
                  <v:textbox style="mso-fit-shape-to-text:t" inset="0,0,0,0">
                    <w:txbxContent>
                      <w:p w:rsidR="001C6BE7" w:rsidRDefault="001C6BE7" w:rsidP="006C2E16">
                        <w:r>
                          <w:rPr>
                            <w:rFonts w:cs="Times New Roman"/>
                            <w:color w:val="000000"/>
                            <w:sz w:val="16"/>
                            <w:szCs w:val="16"/>
                            <w:lang w:val="en-US"/>
                          </w:rPr>
                          <w:t>Is contaminant &gt;2 years old? Apply ageing/leaching factor if available</w:t>
                        </w:r>
                      </w:p>
                    </w:txbxContent>
                  </v:textbox>
                </v:rect>
                <v:group id="Group 135" o:spid="_x0000_s1229" style="position:absolute;left:20286;top:19776;width:648;height:1575" coordorigin="3275,3191" coordsize="10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6" o:spid="_x0000_s1230" style="position:absolute;left:3275;top:3191;width:102;height:248;visibility:visible;mso-wrap-style:square;v-text-anchor:top" coordsize="10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h0cIA&#10;AADcAAAADwAAAGRycy9kb3ducmV2LnhtbERPS2vCQBC+C/0PyxR6Ed34oDSpm1CEqlfTHnocsmM2&#10;TXY2za4a/71bKPQ2H99zNsVoO3GhwTeOFSzmCQjiyumGawWfH++zFxA+IGvsHJOCG3ko8ofJBjPt&#10;rnykSxlqEUPYZ6jAhNBnUvrKkEU/dz1x5E5usBgiHGqpB7zGcNvJZZI8S4sNxwaDPW0NVW15tgrk&#10;+nv6ZdauTX07pZ9yv0vsdqnU0+P49goi0Bj+xX/ug47zVyn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uHRwgAAANwAAAAPAAAAAAAAAAAAAAAAAJgCAABkcnMvZG93&#10;bnJldi54bWxQSwUGAAAAAAQABAD1AAAAhwMAAAAA&#10;" path="m67,r,160l34,160,32,,67,xm102,143l52,248,,145r102,-2xe" fillcolor="blue" stroked="f">
                    <v:path arrowok="t" o:connecttype="custom" o:connectlocs="67,0;67,160;34,160;32,0;67,0;102,143;52,248;0,145;102,143" o:connectangles="0,0,0,0,0,0,0,0,0"/>
                    <o:lock v:ext="edit" verticies="t"/>
                  </v:shape>
                  <v:shape id="Freeform 137" o:spid="_x0000_s1231" style="position:absolute;left:3307;top:3191;width:35;height:160;visibility:visible;mso-wrap-style:square;v-text-anchor:top" coordsize="3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DcUA&#10;AADcAAAADwAAAGRycy9kb3ducmV2LnhtbESPQW/CMAyF70j7D5En7QYpMNBUCGirNG2nacB+gNWY&#10;tqJxqia0Gb8eHybtZus9v/d5u0+uVQP1ofFsYD7LQBGX3jZcGfg5vU9fQIWIbLH1TAZ+KcB+9zDZ&#10;Ym79yAcajrFSEsIhRwN1jF2udShrchhmviMW7ex7h1HWvtK2x1HCXasXWbbWDhuWhho7KmoqL8er&#10;M9AUy+Uqu47uOw2r28dpkQ5fxZsxT4/pdQMqUor/5r/rTyv4z4Ivz8gE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04NxQAAANwAAAAPAAAAAAAAAAAAAAAAAJgCAABkcnMv&#10;ZG93bnJldi54bWxQSwUGAAAAAAQABAD1AAAAigMAAAAA&#10;" path="m35,r,160l2,160,,,35,xe" filled="f" strokecolor="blue" strokeweight="8e-5mm">
                    <v:stroke endcap="round"/>
                    <v:path arrowok="t" o:connecttype="custom" o:connectlocs="35,0;35,160;2,160;0,0;35,0" o:connectangles="0,0,0,0,0"/>
                  </v:shape>
                  <v:shape id="Freeform 138" o:spid="_x0000_s1232" style="position:absolute;left:3275;top:3334;width:102;height:105;visibility:visible;mso-wrap-style:square;v-text-anchor:top" coordsize="1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TPcIA&#10;AADcAAAADwAAAGRycy9kb3ducmV2LnhtbERPS4vCMBC+C/6HMMJeRFNFRKqxSEHQ3YP4AD0OzdgW&#10;m0lpYq3/3iws7G0+vuesks5UoqXGlZYVTMYRCOLM6pJzBZfzdrQA4TyyxsoyKXiTg2Td760w1vbF&#10;R2pPPhchhF2MCgrv61hKlxVk0I1tTRy4u20M+gCbXOoGXyHcVHIaRXNpsOTQUGBNaUHZ4/Q0Cr73&#10;h2klH1sun4d0+NPeZtn1fFPqa9BtliA8df5f/Ofe6TB/NoHfZ8IF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1M9wgAAANwAAAAPAAAAAAAAAAAAAAAAAJgCAABkcnMvZG93&#10;bnJldi54bWxQSwUGAAAAAAQABAD1AAAAhwMAAAAA&#10;" path="m102,l52,105,,2,102,e" filled="f" strokecolor="blue" strokeweight="8e-5mm">
                    <v:stroke endcap="round"/>
                    <v:path arrowok="t" o:connecttype="custom" o:connectlocs="102,0;52,105;0,2;102,0" o:connectangles="0,0,0,0"/>
                  </v:shape>
                </v:group>
                <v:rect id="Rectangle 139" o:spid="_x0000_s1233" style="position:absolute;left:5306;top:48757;width:13215;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SPMIA&#10;AADcAAAADwAAAGRycy9kb3ducmV2LnhtbESPTWvDMAyG74X9B6PCbq3Tso2RxQlNobBr2zB6FLEW&#10;h8ZyFrtJ1l8/Dwa7SejR+5EVs+3ESINvHSvYrBMQxLXTLTcKqvNh9QrCB2SNnWNS8E0eivxhkWGq&#10;3cRHGk+hEVGEfYoKTAh9KqWvDVn0a9cTx9unGyyGuA6N1ANOUdx2cpskL9Jiy9HBYE97Q/X1dLMK&#10;bKTtufu4fN3bizzQc1lWlVHqcTnv3kAEmsM//Pf9rmP8py38lokT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I8wgAAANwAAAAPAAAAAAAAAAAAAAAAAJgCAABkcnMvZG93&#10;bnJldi54bWxQSwUGAAAAAAQABAD1AAAAhwMAAAAA&#10;" filled="f" strokeweight="97e-5mm">
                  <v:stroke endcap="round"/>
                </v:rect>
                <v:rect id="Rectangle 140" o:spid="_x0000_s1234" style="position:absolute;left:7452;top:49234;width:874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rsidR="001C6BE7" w:rsidRDefault="001C6BE7" w:rsidP="006C2E16">
                        <w:r>
                          <w:rPr>
                            <w:rFonts w:cs="Times New Roman"/>
                            <w:color w:val="000000"/>
                            <w:sz w:val="16"/>
                            <w:szCs w:val="16"/>
                            <w:lang w:val="en-US"/>
                          </w:rPr>
                          <w:t xml:space="preserve">Is data expressed as </w:t>
                        </w:r>
                      </w:p>
                    </w:txbxContent>
                  </v:textbox>
                </v:rect>
                <v:rect id="Rectangle 141" o:spid="_x0000_s1235" style="position:absolute;left:7338;top:50142;width:906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added concentrations?</w:t>
                        </w:r>
                      </w:p>
                    </w:txbxContent>
                  </v:textbox>
                </v:rect>
                <v:rect id="Rectangle 142" o:spid="_x0000_s1236" style="position:absolute;left:19727;top:48694;width:1320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KSMEA&#10;AADcAAAADwAAAGRycy9kb3ducmV2LnhtbESPTYvCMBCG74L/IYzgTVMXXZZqLHZB8KqWxePQjE2x&#10;mdQmavXXm4WFvc0wz7wfq6y3jbhT52vHCmbTBARx6XTNlYLiuJ18gfABWWPjmBQ8yUO2Hg5WmGr3&#10;4D3dD6ESUYR9igpMCG0qpS8NWfRT1xLH29l1FkNcu0rqDh9R3DbyI0k+pcWao4PBlr4NlZfDzSqw&#10;kbbH5ud0fdUnuaVFnheFUWo86jdLEIH68A//fe90jD9fwG+ZOIF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RSkjBAAAA3AAAAA8AAAAAAAAAAAAAAAAAmAIAAGRycy9kb3du&#10;cmV2LnhtbFBLBQYAAAAABAAEAPUAAACGAwAAAAA=&#10;" filled="f" strokeweight="97e-5mm">
                  <v:stroke endcap="round"/>
                </v:rect>
                <v:rect id="Rectangle 143" o:spid="_x0000_s1237" style="position:absolute;left:22273;top:49234;width:804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 xml:space="preserve">Is data expressed as </w:t>
                        </w:r>
                      </w:p>
                    </w:txbxContent>
                  </v:textbox>
                </v:rect>
                <v:rect id="Rectangle 144" o:spid="_x0000_s1238" style="position:absolute;left:21759;top:50161;width:906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added concentrations?</w:t>
                        </w:r>
                      </w:p>
                    </w:txbxContent>
                  </v:textbox>
                </v:rect>
                <v:line id="Line 145" o:spid="_x0000_s1239" style="position:absolute;visibility:visible;mso-wrap-style:square" from="6322,52212" to="6329,6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jNMQAAADcAAAADwAAAGRycy9kb3ducmV2LnhtbESPTW/CMAyG75P4D5GRdplGyjahrSMg&#10;VASMIwxpV68xbbXGKUmA7t/jw6TdbPn9eDyd965VFwqx8WxgPMpAEZfeNlwZOHyuHl9BxYRssfVM&#10;Bn4pwnw2uJtibv2Vd3TZp0pJCMccDdQpdbnWsazJYRz5jlhuRx8cJllDpW3Aq4S7Vj9l2UQ7bFga&#10;auyoqKn82Z+dlDz0z5vloXgL3Vex9afd93p9DMbcD/vFO6hEffoX/7k/rOC/CK08IxPo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2M0xAAAANwAAAAPAAAAAAAAAAAA&#10;AAAAAKECAABkcnMvZG93bnJldi54bWxQSwUGAAAAAAQABAD5AAAAkgMAAAAA&#10;" strokecolor="red" strokeweight="97e-5mm"/>
                <v:rect id="Rectangle 146" o:spid="_x0000_s1240" style="position:absolute;left:4011;top:53513;width:124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No</w:t>
                        </w:r>
                      </w:p>
                    </w:txbxContent>
                  </v:textbox>
                </v:rect>
                <v:group id="Group 147" o:spid="_x0000_s1241" style="position:absolute;left:8278;top:63254;width:22003;height:3512" coordorigin="1384,10038" coordsize="3465,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48" o:spid="_x0000_s1242" style="position:absolute;left:1384;top:10038;width:346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sEA&#10;AADcAAAADwAAAGRycy9kb3ducmV2LnhtbERPTYvCMBC9C/sfwgjeNNFdi1ajyIIgqIfVBa9DM7bF&#10;ZtJtotZ/vxEEb/N4nzNftrYSN2p86VjDcKBAEGfOlJxr+D2u+xMQPiAbrByThgd5WC4+OnNMjbvz&#10;D90OIRcxhH2KGooQ6lRKnxVk0Q9cTRy5s2sshgibXJoG7zHcVnKkVCItlhwbCqzpu6DscrhaDZh8&#10;mb/9+XN33F4TnOatWo9PSutet13NQARqw1v8cm9MnD8e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rbBAAAA3AAAAA8AAAAAAAAAAAAAAAAAmAIAAGRycy9kb3du&#10;cmV2LnhtbFBLBQYAAAAABAAEAPUAAACGAwAAAAA=&#10;" stroked="f"/>
                  <v:rect id="Rectangle 149" o:spid="_x0000_s1243" style="position:absolute;left:1384;top:10038;width:346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IVsAA&#10;AADcAAAADwAAAGRycy9kb3ducmV2LnhtbERPzWrCQBC+F3yHZQRvzcaApsSsUqXFnqS1fYAhO2ZD&#10;s7Mhu8bk7buC0Nt8fL9T7kbbioF63zhWsExSEMSV0w3XCn6+359fQPiArLF1TAom8rDbzp5KLLS7&#10;8RcN51CLGMK+QAUmhK6Q0leGLPrEdcSRu7jeYoiwr6Xu8RbDbSuzNF1Liw3HBoMdHQxVv+erVeDa&#10;gU/58W21n7LcjCkhftao1GI+vm5ABBrDv/jh/tBx/iqD+zPx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5IVsAAAADcAAAADwAAAAAAAAAAAAAAAACYAgAAZHJzL2Rvd25y&#10;ZXYueG1sUEsFBgAAAAAEAAQA9QAAAIUDAAAAAA==&#10;" filled="f" strokeweight="83e-5mm">
                    <v:stroke endcap="round"/>
                  </v:rect>
                </v:group>
                <v:rect id="Rectangle 150" o:spid="_x0000_s1244" style="position:absolute;left:9338;top:63788;width:1969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 xml:space="preserve">Calculate the ambient background concentration </w:t>
                        </w:r>
                      </w:p>
                    </w:txbxContent>
                  </v:textbox>
                </v:rect>
                <v:rect id="Rectangle 151" o:spid="_x0000_s1245" style="position:absolute;left:14463;top:64994;width:954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(ABC) and add to ACL</w:t>
                        </w:r>
                      </w:p>
                    </w:txbxContent>
                  </v:textbox>
                </v:rect>
                <v:rect id="Rectangle 152" o:spid="_x0000_s1246" style="position:absolute;left:13383;top:53513;width:158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Yes</w:t>
                        </w:r>
                      </w:p>
                    </w:txbxContent>
                  </v:textbox>
                </v:rect>
                <v:rect id="Rectangle 153" o:spid="_x0000_s1247" style="position:absolute;left:25410;top:53513;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Yes</w:t>
                        </w:r>
                      </w:p>
                    </w:txbxContent>
                  </v:textbox>
                </v:rect>
                <v:group id="Group 154" o:spid="_x0000_s1248" style="position:absolute;left:12348;top:52193;width:667;height:3054" coordorigin="2025,8296" coordsize="10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5" o:spid="_x0000_s1249" style="position:absolute;left:2025;top:8296;width:105;height:481;visibility:visible;mso-wrap-style:square;v-text-anchor:top" coordsize="10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93McA&#10;AADcAAAADwAAAGRycy9kb3ducmV2LnhtbESPS08DMQyE70j9D5GRuNFsK17aNq1aXkIFISg9cDQb&#10;s1nYOKsk7S7/Hh+QuNma8czn+XLwrTpQTE1gA5NxAYq4Crbh2sDu7e70ClTKyBbbwGTghxIsF6Oj&#10;OZY29PxKh22ulYRwKtGAy7krtU6VI49pHDpi0T5D9JhljbW2EXsJ962eFsWF9tiwNDjs6NpR9b3d&#10;ewO3z9MP93T5eLPexK8X7ifv9+v9mTEnx8NqBirTkP/Nf9cPVvDPhVaekQ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JfdzHAAAA3AAAAA8AAAAAAAAAAAAAAAAAmAIAAGRy&#10;cy9kb3ducmV2LnhtbFBLBQYAAAAABAAEAPUAAACMAwAAAAA=&#10;" path="m70,3r,391l35,394,38,,70,3xm105,379l53,481,,376r105,3xe" fillcolor="green" stroked="f">
                    <v:path arrowok="t" o:connecttype="custom" o:connectlocs="70,3;70,394;35,394;38,0;70,3;105,379;53,481;0,376;105,379" o:connectangles="0,0,0,0,0,0,0,0,0"/>
                    <o:lock v:ext="edit" verticies="t"/>
                  </v:shape>
                  <v:shape id="Freeform 156" o:spid="_x0000_s1250" style="position:absolute;left:2060;top:8296;width:35;height:394;visibility:visible;mso-wrap-style:square;v-text-anchor:top" coordsize="3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YkMMA&#10;AADcAAAADwAAAGRycy9kb3ducmV2LnhtbERPS2vCQBC+F/wPyxR6KXVjwdKmrqKCqD35KJTehuw0&#10;Cc3Oht3RxH/vCoXe5uN7zmTWu0adKcTas4HRMANFXHhbc2ng87h6egUVBdli45kMXCjCbDq4m2Bu&#10;fcd7Oh+kVCmEY44GKpE21zoWFTmMQ98SJ+7HB4eSYCi1DdilcNfo5yx70Q5rTg0VtrSsqPg9nJyB&#10;TsKH3iyO35HW8vi1i+N9q7fGPNz383dQQr38i//cG5vmj9/g9ky6QE+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zYkMMAAADcAAAADwAAAAAAAAAAAAAAAACYAgAAZHJzL2Rv&#10;d25yZXYueG1sUEsFBgAAAAAEAAQA9QAAAIgDAAAAAA==&#10;" path="m35,3r,391l,394,3,,35,3xe" filled="f" strokecolor="green" strokeweight="8e-5mm">
                    <v:stroke endcap="round"/>
                    <v:path arrowok="t" o:connecttype="custom" o:connectlocs="35,3;35,394;0,394;3,0;35,3" o:connectangles="0,0,0,0,0"/>
                  </v:shape>
                  <v:shape id="Freeform 157" o:spid="_x0000_s1251" style="position:absolute;left:2025;top:8672;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x08MA&#10;AADcAAAADwAAAGRycy9kb3ducmV2LnhtbESPQW/CMAyF75P4D5GRuI2UHdDUEdBATMCJQSbtajVe&#10;W61xqiRA+ff4MGk3W+/5vc+L1eA7daWY2sAGZtMCFHEVXMu1gS/78fwKKmVkh11gMnCnBKvl6GmB&#10;pQs3PtH1nGslIZxKNNDk3Jdap6ohj2kaemLRfkL0mGWNtXYRbxLuO/1SFHPtsWVpaLCnTUPV7/ni&#10;Ddjenr7XbWH3O3ewx+qT4mFLxkzGw/sbqExD/jf/Xe+d4M8FX56RCf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x08MAAADcAAAADwAAAAAAAAAAAAAAAACYAgAAZHJzL2Rv&#10;d25yZXYueG1sUEsFBgAAAAAEAAQA9QAAAIgDAAAAAA==&#10;" path="m105,3l53,105,,,105,3e" filled="f" strokecolor="green" strokeweight="8e-5mm">
                    <v:stroke endcap="round"/>
                    <v:path arrowok="t" o:connecttype="custom" o:connectlocs="105,3;53,105;0,0;105,3" o:connectangles="0,0,0,0"/>
                  </v:shape>
                </v:group>
                <v:group id="Group 158" o:spid="_x0000_s1252" style="position:absolute;left:23797;top:52275;width:667;height:3042" coordorigin="3828,8309" coordsize="10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9" o:spid="_x0000_s1253" style="position:absolute;left:3828;top:8309;width:105;height:479;visibility:visible;mso-wrap-style:square;v-text-anchor:top" coordsize="10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p7sQA&#10;AADcAAAADwAAAGRycy9kb3ducmV2LnhtbERPTWsCMRC9F/ofwhR6q1m3IO1qFBHEFgpltQe9DZtx&#10;d3UzCUnUrb/eFAre5vE+ZzLrTSfO5ENrWcFwkIEgrqxuuVbws1m+vIEIEVljZ5kU/FKA2fTxYYKF&#10;thcu6byOtUghHApU0MToCilD1ZDBMLCOOHF76w3GBH0ttcdLCjedzLNsJA22nBoadLRoqDquT0aB&#10;Ow39tXx9//487L5WbpvTcluSUs9P/XwMIlIf7+J/94dO80c5/D2TL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Eae7EAAAA3AAAAA8AAAAAAAAAAAAAAAAAmAIAAGRycy9k&#10;b3ducmV2LnhtbFBLBQYAAAAABAAEAPUAAACJAwAAAAA=&#10;" path="m70,r,393l35,393,35,,70,xm105,376l52,479,,376r105,xe" fillcolor="green" stroked="f">
                    <v:path arrowok="t" o:connecttype="custom" o:connectlocs="70,0;70,393;35,393;35,0;70,0;105,376;52,479;0,376;105,376" o:connectangles="0,0,0,0,0,0,0,0,0"/>
                    <o:lock v:ext="edit" verticies="t"/>
                  </v:shape>
                  <v:rect id="Rectangle 160" o:spid="_x0000_s1254" style="position:absolute;left:3863;top:8309;width:3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S9MAA&#10;AADcAAAADwAAAGRycy9kb3ducmV2LnhtbERPzYrCMBC+L/gOYQQvoqnuUqQ2FREKi7CHVR9gSMa2&#10;2ExKE2v37Y0g7G0+vt/Jd6NtxUC9bxwrWC0TEMTamYYrBZdzudiA8AHZYOuYFPyRh10x+cgxM+7B&#10;vzScQiViCPsMFdQhdJmUXtdk0S9dRxy5q+sthgj7SpoeHzHctnKdJKm02HBsqLGjQ036drpbBc26&#10;PK80sZ0fjl8/+6E84lynSs2m434LItAY/sVv97eJ89NPeD0TL5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tS9MAAAADcAAAADwAAAAAAAAAAAAAAAACYAgAAZHJzL2Rvd25y&#10;ZXYueG1sUEsFBgAAAAAEAAQA9QAAAIUDAAAAAA==&#10;" filled="f" strokecolor="green" strokeweight="8e-5mm">
                    <v:stroke joinstyle="round" endcap="round"/>
                  </v:rect>
                  <v:shape id="Freeform 161" o:spid="_x0000_s1255" style="position:absolute;left:3828;top:8685;width:105;height:103;visibility:visible;mso-wrap-style:square;v-text-anchor:top" coordsize="10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TI8EA&#10;AADcAAAADwAAAGRycy9kb3ducmV2LnhtbERP22rCQBB9L/Qflin0rW4MRSS6ikoLgvjg5QPG7JgE&#10;s7Nhd2rSv3eFQt/mcK4zXw6uVXcKsfFsYDzKQBGX3jZcGTifvj+moKIgW2w9k4FfirBcvL7MsbC+&#10;5wPdj1KpFMKxQAO1SFdoHcuaHMaR74gTd/XBoSQYKm0D9inctTrPsol22HBqqLGjTU3l7fjjDFxc&#10;nle7dTh8TeXa43pvt5eNGPP+NqxmoIQG+Rf/ubc2zZ98wvOZdIF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9UyPBAAAA3AAAAA8AAAAAAAAAAAAAAAAAmAIAAGRycy9kb3du&#10;cmV2LnhtbFBLBQYAAAAABAAEAPUAAACGAwAAAAA=&#10;" path="m105,l52,103,,,105,e" filled="f" strokecolor="green" strokeweight="8e-5mm">
                    <v:stroke endcap="round"/>
                    <v:path arrowok="t" o:connecttype="custom" o:connectlocs="105,0;52,103;0,0;105,0" o:connectangles="0,0,0,0"/>
                  </v:shape>
                </v:group>
                <v:line id="Line 162" o:spid="_x0000_s1256" style="position:absolute;visibility:visible;mso-wrap-style:square" from="31843,52053" to="31849,6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QysUAAADcAAAADwAAAGRycy9kb3ducmV2LnhtbESPQWsCMRCF7wX/QxjBS9GsFqVdjSIr&#10;2nrUCl6nm3F3cTNZk6jbf98UBG8zvDfvezNbtKYWN3K+sqxgOEhAEOdWV1woOHyv++8gfEDWWFsm&#10;Bb/kYTHvvMww1fbOO7rtQyFiCPsUFZQhNKmUPi/JoB/YhjhqJ+sMhri6QmqH9xhuajlKkok0WHEk&#10;lNhQVlJ+3l9NhLy2b5+rQ/bhmmO2tZfdz2Zzckr1uu1yCiJQG57mx/WXjvUnY/h/Jk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eQysUAAADcAAAADwAAAAAAAAAA&#10;AAAAAAChAgAAZHJzL2Rvd25yZXYueG1sUEsFBgAAAAAEAAQA+QAAAJMDAAAAAA==&#10;" strokecolor="red" strokeweight="97e-5mm"/>
                <v:rect id="Rectangle 163" o:spid="_x0000_s1257" style="position:absolute;left:32764;top:53437;width:124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No</w:t>
                        </w:r>
                      </w:p>
                    </w:txbxContent>
                  </v:textbox>
                </v:rect>
                <v:group id="Group 164" o:spid="_x0000_s1258" style="position:absolute;left:12348;top:60549;width:667;height:2356" coordorigin="2025,9612" coordsize="10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5" o:spid="_x0000_s1259" style="position:absolute;left:2025;top:9612;width:105;height:371;visibility:visible;mso-wrap-style:square;v-text-anchor:top" coordsize="10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WzMYA&#10;AADcAAAADwAAAGRycy9kb3ducmV2LnhtbESPQWvCQBCF74L/YRmhF6kbexCJrqKC0koPGr30NmSn&#10;SWh2NmRXE/31nUOhtxnem/e+Wa57V6s7taHybGA6SUAR595WXBi4Xvavc1AhIlusPZOBBwVYr4aD&#10;JabWd3ymexYLJSEcUjRQxtikWoe8JIdh4hti0b596zDK2hbatthJuKv1W5LMtMOKpaHEhnYl5T/Z&#10;zRnYPfdxOz7On5+nxFs93n50h/zLmJdRv1mAitTHf/Pf9bsV/JnQyj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QWzMYAAADcAAAADwAAAAAAAAAAAAAAAACYAgAAZHJz&#10;L2Rvd25yZXYueG1sUEsFBgAAAAAEAAQA9QAAAIsDAAAAAA==&#10;" path="m70,r,283l35,283,38,,70,xm105,268l53,371,,268r105,xe" fillcolor="blue" stroked="f">
                    <v:path arrowok="t" o:connecttype="custom" o:connectlocs="70,0;70,283;35,283;38,0;70,0;105,268;53,371;0,268;105,268" o:connectangles="0,0,0,0,0,0,0,0,0"/>
                    <o:lock v:ext="edit" verticies="t"/>
                  </v:shape>
                  <v:shape id="Freeform 166" o:spid="_x0000_s1260" style="position:absolute;left:2060;top:9612;width:35;height:283;visibility:visible;mso-wrap-style:square;v-text-anchor:top" coordsize="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UJcIA&#10;AADcAAAADwAAAGRycy9kb3ducmV2LnhtbERPS4vCMBC+L/gfwgjeNFWkrNUoogh6WFwfoMehGdtq&#10;MylN1O6/N4Kwt/n4njOZNaYUD6pdYVlBvxeBIE6tLjhTcDysut8gnEfWWFomBX/kYDZtfU0w0fbJ&#10;O3rsfSZCCLsEFeTeV4mULs3JoOvZijhwF1sb9AHWmdQ1PkO4KeUgimJpsODQkGNFi5zS2/5uFCy3&#10;w2J7OfR/f9x8cIqz8/B625yV6rSb+RiEp8b/iz/utQ7z4xG8nwkX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9QlwgAAANwAAAAPAAAAAAAAAAAAAAAAAJgCAABkcnMvZG93&#10;bnJldi54bWxQSwUGAAAAAAQABAD1AAAAhwMAAAAA&#10;" path="m35,r,283l,283,3,,35,xe" filled="f" strokecolor="blue" strokeweight="8e-5mm">
                    <v:stroke endcap="round"/>
                    <v:path arrowok="t" o:connecttype="custom" o:connectlocs="35,0;35,283;0,283;3,0;35,0" o:connectangles="0,0,0,0,0"/>
                  </v:shape>
                  <v:shape id="Freeform 167" o:spid="_x0000_s1261" style="position:absolute;left:2025;top:9880;width:105;height:103;visibility:visible;mso-wrap-style:square;v-text-anchor:top" coordsize="10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QXsQA&#10;AADcAAAADwAAAGRycy9kb3ducmV2LnhtbESPPWvDQAyG90L+w6FClpKck0Ia3FyMUwh46JI0Q0bh&#10;U21Tn874rv7499VQyCah9+PRIZtcqwbqQ+PZwGadgCIuvW24MnD7Oq/2oEJEtth6JgMzBciOi6cD&#10;ptaPfKHhGislIRxSNFDH2KVah7Imh2HtO2K5ffveYZS1r7TtcZRw1+ptkuy0w4alocaOPmoqf66/&#10;Tnrv9Jpf7Hm43T8LP2/G8DKdSmOWz1P+DirSFB/if3dhBf9N8OUZmUA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0F7EAAAA3AAAAA8AAAAAAAAAAAAAAAAAmAIAAGRycy9k&#10;b3ducmV2LnhtbFBLBQYAAAAABAAEAPUAAACJAwAAAAA=&#10;" path="m105,l53,103,,,105,e" filled="f" strokecolor="blue" strokeweight="8e-5mm">
                    <v:stroke endcap="round"/>
                    <v:path arrowok="t" o:connecttype="custom" o:connectlocs="105,0;53,103;0,0;105,0" o:connectangles="0,0,0,0"/>
                  </v:shape>
                </v:group>
                <v:group id="Group 168" o:spid="_x0000_s1262" style="position:absolute;left:24750;top:61934;width:667;height:1257" coordorigin="3978,9830" coordsize="105,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9" o:spid="_x0000_s1263" style="position:absolute;left:3978;top:9830;width:105;height:198;visibility:visible;mso-wrap-style:square;v-text-anchor:top" coordsize="10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8DsIA&#10;AADcAAAADwAAAGRycy9kb3ducmV2LnhtbERPS2vCQBC+F/wPywje6sZIH6SuImLB3mz04HHcnSah&#10;2dmQ3SYxv94tFHqbj+85q81ga9FR6yvHChbzBASxdqbiQsH59P74CsIHZIO1Y1JwIw+b9eRhhZlx&#10;PX9Sl4dCxBD2GSooQ2gyKb0uyaKfu4Y4cl+utRgibAtpWuxjuK1lmiTP0mLFsaHEhnYl6e/8xyrQ&#10;+3Gojulp6/TSPNHH5arH3VWp2XTYvoEINIR/8Z/7YOL8lxR+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PwOwgAAANwAAAAPAAAAAAAAAAAAAAAAAJgCAABkcnMvZG93&#10;bnJldi54bWxQSwUGAAAAAAQABAD1AAAAhwMAAAAA&#10;" path="m70,2r,108l35,110,35,,70,2xm105,92l52,198,,92r105,xe" fillcolor="blue" stroked="f">
                    <v:path arrowok="t" o:connecttype="custom" o:connectlocs="70,2;70,110;35,110;35,0;70,2;105,92;52,198;0,92;105,92" o:connectangles="0,0,0,0,0,0,0,0,0"/>
                    <o:lock v:ext="edit" verticies="t"/>
                  </v:shape>
                  <v:shape id="Freeform 170" o:spid="_x0000_s1264" style="position:absolute;left:4013;top:9830;width:35;height:110;visibility:visible;mso-wrap-style:square;v-text-anchor:top" coordsize="3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vHsQA&#10;AADcAAAADwAAAGRycy9kb3ducmV2LnhtbERPTWvCQBC9F/wPywi91Y2WNhrdBBEKPShFW8TjmJ0m&#10;qdnZkN0m8d+7hYK3ebzPWWWDqUVHrassK5hOIhDEudUVFwq+Pt+e5iCcR9ZYWyYFV3KQpaOHFSba&#10;9ryn7uALEULYJaig9L5JpHR5SQbdxDbEgfu2rUEfYFtI3WIfwk0tZ1H0Kg1WHBpKbGhTUn45/BoF&#10;L915ttueY5r3i2P1c9pq/ZHvlHocD+slCE+Dv4v/3e86zI+f4e+ZcIF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7x7EAAAA3AAAAA8AAAAAAAAAAAAAAAAAmAIAAGRycy9k&#10;b3ducmV2LnhtbFBLBQYAAAAABAAEAPUAAACJAwAAAAA=&#10;" path="m35,2r,108l,110,,,35,2xe" filled="f" strokecolor="blue" strokeweight="8e-5mm">
                    <v:stroke endcap="round"/>
                    <v:path arrowok="t" o:connecttype="custom" o:connectlocs="35,2;35,110;0,110;0,0;35,2" o:connectangles="0,0,0,0,0"/>
                  </v:shape>
                  <v:shape id="Freeform 171" o:spid="_x0000_s1265" style="position:absolute;left:3978;top:9922;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t8IA&#10;AADcAAAADwAAAGRycy9kb3ducmV2LnhtbERPyWrDMBC9B/oPYgq9JXJLluJENiUkUOpL6uQDptZ4&#10;Sa2RkZTE/fuoUOhtHm+dTT6aXlzJ+c6ygudZAoK4srrjRsHpuJ++gvABWWNvmRT8kIc8e5hsMNX2&#10;xp90LUMjYgj7FBW0IQyplL5qyaCf2YE4crV1BkOErpHa4S2Gm16+JMlSGuw4NrQ40Lal6ru8GAXH&#10;sy+Kwq9wUdenbnfYFv2H+1Lq6XF8W4MINIZ/8Z/7Xcf5qzn8Ph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63wgAAANwAAAAPAAAAAAAAAAAAAAAAAJgCAABkcnMvZG93&#10;bnJldi54bWxQSwUGAAAAAAQABAD1AAAAhwMAAAAA&#10;" path="m105,l52,106,,,105,e" filled="f" strokecolor="blue" strokeweight="8e-5mm">
                    <v:stroke endcap="round"/>
                    <v:path arrowok="t" o:connecttype="custom" o:connectlocs="105,0;52,106;0,0;105,0" o:connectangles="0,0,0,0"/>
                  </v:shape>
                </v:group>
                <v:group id="Group 172" o:spid="_x0000_s1266" style="position:absolute;left:27944;top:69185;width:4026;height:591" coordorigin="4481,10972" coordsize="63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3" o:spid="_x0000_s1267" style="position:absolute;left:4481;top:10972;width:634;height:93;visibility:visible;mso-wrap-style:square;v-text-anchor:top" coordsize="6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fqsUA&#10;AADcAAAADwAAAGRycy9kb3ducmV2LnhtbERPS2vCQBC+F/oflin0UnTTYqNNXaUVihWC4OPibciO&#10;2dTsbMhuY/z3rlDobT6+50znva1FR62vHCt4HiYgiAunKy4V7HdfgwkIH5A11o5JwYU8zGf3d1PM&#10;tDvzhrptKEUMYZ+hAhNCk0npC0MW/dA1xJE7utZiiLAtpW7xHMNtLV+SJJUWK44NBhtaGCpO21+r&#10;YL38efs8LfM6XRyqlclHx6f8tVPq8aH/eAcRqA//4j/3t47zxyncnokX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h+qxQAAANwAAAAPAAAAAAAAAAAAAAAAAJgCAABkcnMv&#10;ZG93bnJldi54bWxQSwUGAAAAAAQABAD1AAAAigMAAAAA&#10;" path="m634,63l75,63r,-30l631,30r3,33xm93,93l,48,93,r,93xe" fillcolor="red" stroked="f">
                    <v:path arrowok="t" o:connecttype="custom" o:connectlocs="634,63;75,63;75,33;631,30;634,63;93,93;0,48;93,0;93,93" o:connectangles="0,0,0,0,0,0,0,0,0"/>
                    <o:lock v:ext="edit" verticies="t"/>
                  </v:shape>
                  <v:shape id="Freeform 174" o:spid="_x0000_s1268" style="position:absolute;left:4556;top:11002;width:559;height:33;visibility:visible;mso-wrap-style:square;v-text-anchor:top" coordsize="5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UvcAA&#10;AADcAAAADwAAAGRycy9kb3ducmV2LnhtbERPTYvCMBC9C/sfwix403Q9WOkaRYRl9Wh1WfY2NLNt&#10;MZmUJNb6740geJvH+5zlerBG9ORD61jBxzQDQVw53XKt4HT8mixAhIis0TgmBTcKsF69jZZYaHfl&#10;A/VlrEUK4VCggibGrpAyVA1ZDFPXESfu33mLMUFfS+3xmsKtkbMsm0uLLaeGBjvaNlSdy4tV8Pu3&#10;3xxvzplvs+1leb7k5mfwSo3fh80niEhDfImf7p1O8/McHs+k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0UvcAAAADcAAAADwAAAAAAAAAAAAAAAACYAgAAZHJzL2Rvd25y&#10;ZXYueG1sUEsFBgAAAAAEAAQA9QAAAIUDAAAAAA==&#10;" path="m559,33l,33,,3,556,r3,33xe" filled="f" strokecolor="red" strokeweight="8e-5mm">
                    <v:stroke endcap="round"/>
                    <v:path arrowok="t" o:connecttype="custom" o:connectlocs="559,33;0,33;0,3;556,0;559,33" o:connectangles="0,0,0,0,0"/>
                  </v:shape>
                  <v:shape id="Freeform 175" o:spid="_x0000_s1269" style="position:absolute;left:4481;top:10972;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YycUA&#10;AADcAAAADwAAAGRycy9kb3ducmV2LnhtbESPQU8CMRCF7yb+h2ZMvElXIUoWCjEaDIkHEPgBk+2w&#10;XWynm21ZFn+9czDxNpP35r1v5ssheNVTl5rIBh5HBSjiKtqGawOH/ephCiplZIs+Mhm4UoLl4vZm&#10;jqWNF/6ifpdrJSGcSjTgcm5LrVPlKGAaxZZYtGPsAmZZu1rbDi8SHrx+KopnHbBhaXDY0puj6nt3&#10;DgY+Nv14cv7xrdtu7OnaeP58H9iY+7vhdQYq05D/zX/Xayv4L0Ir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djJxQAAANwAAAAPAAAAAAAAAAAAAAAAAJgCAABkcnMv&#10;ZG93bnJldi54bWxQSwUGAAAAAAQABAD1AAAAigMAAAAA&#10;" path="m93,93l,48,93,r,93e" filled="f" strokecolor="red" strokeweight="8e-5mm">
                    <v:stroke endcap="round"/>
                    <v:path arrowok="t" o:connecttype="custom" o:connectlocs="93,93;0,48;93,0;93,93" o:connectangles="0,0,0,0"/>
                  </v:shape>
                </v:group>
                <v:group id="Group 176" o:spid="_x0000_s1270" style="position:absolute;left:6227;top:69490;width:2654;height:584" coordorigin="1061,11020" coordsize="4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7" o:spid="_x0000_s1271" style="position:absolute;left:1061;top:11020;width:418;height:92;visibility:visible;mso-wrap-style:square;v-text-anchor:top" coordsize="4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f5cYA&#10;AADcAAAADwAAAGRycy9kb3ducmV2LnhtbESPT2vCQBDF74V+h2UKvdWNkhaJriKFggc91PoHb0N2&#10;zAazszG7avz2nUOhtxnem/d+M533vlE36mId2MBwkIEiLoOtuTKw/fl6G4OKCdliE5gMPCjCfPb8&#10;NMXChjt/022TKiUhHAs04FJqC61j6chjHISWWLRT6DwmWbtK2w7vEu4bPcqyD+2xZmlw2NKno/K8&#10;uXoDFzrsV8v1+n2bP/Jjfhq5Xbz0xry+9IsJqER9+jf/XS+t4I8FX56RCf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bf5cYAAADcAAAADwAAAAAAAAAAAAAAAACYAgAAZHJz&#10;L2Rvd25yZXYueG1sUEsFBgAAAAAEAAQA9QAAAIsDAAAAAA==&#10;" path="m,30r343,l343,60,,60,,30xm328,r90,45l328,92,328,xe" fillcolor="red" stroked="f">
                    <v:path arrowok="t" o:connecttype="custom" o:connectlocs="0,30;343,30;343,60;0,60;0,30;328,0;418,45;328,92;328,0" o:connectangles="0,0,0,0,0,0,0,0,0"/>
                    <o:lock v:ext="edit" verticies="t"/>
                  </v:shape>
                  <v:rect id="Rectangle 178" o:spid="_x0000_s1272" style="position:absolute;left:1061;top:11050;width:34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Dr8MA&#10;AADcAAAADwAAAGRycy9kb3ducmV2LnhtbERPS2vCQBC+F/oflil4azbpoWjqGqRQkEKEasDrNDsm&#10;0exszG7z+PfdQsHbfHzPWWeTacVAvWssK0iiGARxaXXDlYLi+PG8BOE8ssbWMimYyUG2eXxYY6rt&#10;yF80HHwlQgi7FBXU3neplK6syaCLbEccuLPtDfoA+0rqHscQblr5Esev0mDDoaHGjt5rKq+HH6Pg&#10;e/bF6vOyPyen1a0YHOfVhXKlFk/T9g2Ep8nfxf/unQ7zlwn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EDr8MAAADcAAAADwAAAAAAAAAAAAAAAACYAgAAZHJzL2Rv&#10;d25yZXYueG1sUEsFBgAAAAAEAAQA9QAAAIgDAAAAAA==&#10;" filled="f" strokecolor="red" strokeweight="8e-5mm">
                    <v:stroke joinstyle="round" endcap="round"/>
                  </v:rect>
                  <v:shape id="Freeform 179" o:spid="_x0000_s1273" style="position:absolute;left:1389;top:11020;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eS8IA&#10;AADcAAAADwAAAGRycy9kb3ducmV2LnhtbERPS4vCMBC+L/gfwgh708QeRKtRRJF118P6OngcmrEt&#10;NpPSZGv33xthYW/z8T1nvuxsJVpqfOlYw2ioQBBnzpSca7ict4MJCB+QDVaOScMveVguem9zTI17&#10;8JHaU8hFDGGfooYihDqV0mcFWfRDVxNH7uYaiyHCJpemwUcMt5VMlBpLiyXHhgJrWheU3U8/VsO+&#10;tZ/bb3f/OFxp9TVKgpruN0rr9363moEI1IV/8Z97Z+L8SQKv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N5LwgAAANwAAAAPAAAAAAAAAAAAAAAAAJgCAABkcnMvZG93&#10;bnJldi54bWxQSwUGAAAAAAQABAD1AAAAhwMAAAAA&#10;" path="m,l90,45,,92,,e" filled="f" strokecolor="red" strokeweight="8e-5mm">
                    <v:stroke endcap="round"/>
                    <v:path arrowok="t" o:connecttype="custom" o:connectlocs="0,0;90,45;0,92;0,0" o:connectangles="0,0,0,0"/>
                  </v:shape>
                </v:group>
                <v:rect id="Rectangle 180" o:spid="_x0000_s1274" style="position:absolute;left:9472;top:69185;width:18027;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HcMA&#10;AADcAAAADwAAAGRycy9kb3ducmV2LnhtbERPTWvCQBC9C/0PyxR6091WDTa6CaUQKKiHaqHXITsm&#10;wexsml1j+u/dQsHbPN7nbPLRtmKg3jeONTzPFAji0pmGKw1fx2K6AuEDssHWMWn4JQ959jDZYGrc&#10;lT9pOIRKxBD2KWqoQ+hSKX1Zk0U/cx1x5E6utxgi7CtperzGcNvKF6USabHh2FBjR+81lefDxWrA&#10;ZGF+9qf5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9HcMAAADcAAAADwAAAAAAAAAAAAAAAACYAgAAZHJzL2Rv&#10;d25yZXYueG1sUEsFBgAAAAAEAAQA9QAAAIgDAAAAAA==&#10;" stroked="f"/>
                <v:rect id="Rectangle 181" o:spid="_x0000_s1275" style="position:absolute;left:9472;top:69185;width:18027;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acMA&#10;AADcAAAADwAAAGRycy9kb3ducmV2LnhtbERPTWvCQBC9F/wPywje6q7VBhvdhCIIQttDtdDrkB2T&#10;YHY2Ztck/ffdQsHbPN7nbPPRNqKnzteONSzmCgRx4UzNpYav0/5xDcIHZIONY9LwQx7ybPKwxdS4&#10;gT+pP4ZSxBD2KWqoQmhTKX1RkUU/dy1x5M6usxgi7EppOhxiuG3kk1KJtFhzbKiwpV1FxeV4sxow&#10;WZnrx3n5fnq7JfhS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acMAAADcAAAADwAAAAAAAAAAAAAAAACYAgAAZHJzL2Rv&#10;d25yZXYueG1sUEsFBgAAAAAEAAQA9QAAAIgDAAAAAA==&#10;" stroked="f"/>
                <v:rect id="Rectangle 182" o:spid="_x0000_s1276" style="position:absolute;left:11688;top:68982;width:1171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1C6BE7" w:rsidRPr="00591046" w:rsidRDefault="001C6BE7" w:rsidP="006C2E16">
                        <w:pPr>
                          <w:rPr>
                            <w:sz w:val="16"/>
                            <w:szCs w:val="16"/>
                          </w:rPr>
                        </w:pPr>
                        <w:r w:rsidRPr="00591046">
                          <w:rPr>
                            <w:rFonts w:cs="Times New Roman"/>
                            <w:color w:val="000000"/>
                            <w:sz w:val="16"/>
                            <w:szCs w:val="16"/>
                            <w:lang w:val="en-US"/>
                          </w:rPr>
                          <w:t>Soil quality guideline (SQG)</w:t>
                        </w:r>
                      </w:p>
                    </w:txbxContent>
                  </v:textbox>
                </v:rect>
                <v:rect id="Rectangle 183" o:spid="_x0000_s1277" style="position:absolute;left:16196;top:26031;width:22511;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upcEA&#10;AADcAAAADwAAAGRycy9kb3ducmV2LnhtbESPTYvCMBCG7wv+hzCCtzVVUKRrWnRB8KoW6XFoZpti&#10;M6lNVuv++o0geJthnnk/1vlgW3Gj3jeOFcymCQjiyumGawXFafe5AuEDssbWMSl4kIc8G32sMdXu&#10;zge6HUMtogj7FBWYELpUSl8ZsuinriOOtx/XWwxx7Wupe7xHcdvKeZIspcWGo4PBjr4NVZfjr1Vg&#10;I21P7bm8/jWl3NFiuy0Ko9RkPGy+QAQawht+fe91jL9awrNMnE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6bqXBAAAA3AAAAA8AAAAAAAAAAAAAAAAAmAIAAGRycy9kb3du&#10;cmV2LnhtbFBLBQYAAAAABAAEAPUAAACGAwAAAAA=&#10;" filled="f" strokeweight="97e-5mm">
                  <v:stroke endcap="round"/>
                </v:rect>
                <v:rect id="Rectangle 184" o:spid="_x0000_s1278" style="position:absolute;left:21607;top:27764;width:1159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physicochemical properties?</w:t>
                        </w:r>
                      </w:p>
                    </w:txbxContent>
                  </v:textbox>
                </v:rect>
                <v:group id="Group 185" o:spid="_x0000_s1279" style="position:absolute;left:30332;top:30120;width:647;height:2096" coordorigin="4857,4820" coordsize="10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6" o:spid="_x0000_s1280" style="position:absolute;left:4857;top:4820;width:102;height:330;visibility:visible;mso-wrap-style:square;v-text-anchor:top" coordsize="10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RKsQA&#10;AADcAAAADwAAAGRycy9kb3ducmV2LnhtbERP22rCQBB9F/oPyxT6UnTTPLSaZhOCtCgUpFU/YMxO&#10;LjQ7G7JrjH/fLQi+zeFcJ80n04mRBtdaVvCyiEAQl1a3XCs4Hj7nSxDOI2vsLJOCKznIs4dZiom2&#10;F/6hce9rEULYJaig8b5PpHRlQwbdwvbEgavsYNAHONRSD3gJ4aaTcRS9SoMth4YGe1o3VP7uz0bB&#10;x3kdfZ2q1m3e5Gq7i913VzwXSj09TsU7CE+Tv4tv7q0O85cr+H8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kSrEAAAA3AAAAA8AAAAAAAAAAAAAAAAAmAIAAGRycy9k&#10;b3ducmV2LnhtbFBLBQYAAAAABAAEAPUAAACJAwAAAAA=&#10;" path="m70,l67,243r-35,l35,,70,xm102,227l50,330,,225r102,2xe" fillcolor="green" stroked="f">
                    <v:path arrowok="t" o:connecttype="custom" o:connectlocs="70,0;67,243;32,243;35,0;70,0;102,227;50,330;0,225;102,227" o:connectangles="0,0,0,0,0,0,0,0,0"/>
                    <o:lock v:ext="edit" verticies="t"/>
                  </v:shape>
                  <v:shape id="Freeform 187" o:spid="_x0000_s1281" style="position:absolute;left:4889;top:4820;width:38;height:243;visibility:visible;mso-wrap-style:square;v-text-anchor:top" coordsize="3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XnMcA&#10;AADcAAAADwAAAGRycy9kb3ducmV2LnhtbESPT2/CMAzF75P2HSJP4jZSkJigEBCbtIlJO4w/F26m&#10;MW1F45Qko90+/XyYtJut9/zez4tV7xp1oxBrzwZGwwwUceFtzaWBw/71cQoqJmSLjWcy8E0RVsv7&#10;uwXm1ne8pdsulUpCOOZooEqpzbWORUUO49C3xKKdfXCYZA2ltgE7CXeNHmfZk3ZYszRU2NJLRcVl&#10;9+UMFJvTzzR8Xk/vl7dwnByeu9FH6IwZPPTrOahEffo3/11vrODPBF+ekQ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IF5zHAAAA3AAAAA8AAAAAAAAAAAAAAAAAmAIAAGRy&#10;cy9kb3ducmV2LnhtbFBLBQYAAAAABAAEAPUAAACMAwAAAAA=&#10;" path="m38,l35,243,,243,3,,38,xe" filled="f" strokecolor="green" strokeweight="8e-5mm">
                    <v:stroke endcap="round"/>
                    <v:path arrowok="t" o:connecttype="custom" o:connectlocs="38,0;35,243;0,243;3,0;38,0" o:connectangles="0,0,0,0,0"/>
                  </v:shape>
                  <v:shape id="Freeform 188" o:spid="_x0000_s1282" style="position:absolute;left:4857;top:5045;width:102;height:105;visibility:visible;mso-wrap-style:square;v-text-anchor:top" coordsize="1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GLsQA&#10;AADcAAAADwAAAGRycy9kb3ducmV2LnhtbERPTWvCQBC9F/wPywi9SN3oQWzqKkUJ1YNIYy69TbNj&#10;NjQ7G7Krxn/vCkJv83ifs1j1thEX6nztWMFknIAgLp2uuVJQHLO3OQgfkDU2jknBjTysloOXBaba&#10;XfmbLnmoRAxhn6ICE0KbSulLQxb92LXEkTu5zmKIsKuk7vAaw20jp0kykxZrjg0GW1obKv/ys1Vw&#10;3BSjn0O2N8WBdl/Zbpr/3k5rpV6H/ecHiEB9+Bc/3Vsd579P4PFMv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Bi7EAAAA3AAAAA8AAAAAAAAAAAAAAAAAmAIAAGRycy9k&#10;b3ducmV2LnhtbFBLBQYAAAAABAAEAPUAAACJAwAAAAA=&#10;" path="m102,2l50,105,,,102,2e" filled="f" strokecolor="green" strokeweight="8e-5mm">
                    <v:stroke endcap="round"/>
                    <v:path arrowok="t" o:connecttype="custom" o:connectlocs="102,2;50,105;0,0;102,2" o:connectangles="0,0,0,0"/>
                  </v:shape>
                </v:group>
                <v:rect id="Rectangle 189" o:spid="_x0000_s1283" style="position:absolute;left:5274;top:25046;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No</w:t>
                        </w:r>
                      </w:p>
                    </w:txbxContent>
                  </v:textbox>
                </v:rect>
                <v:group id="Group 190" o:spid="_x0000_s1284" style="position:absolute;left:7611;top:24310;width:654;height:12852" coordorigin="1279,3905" coordsize="103,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91" o:spid="_x0000_s1285" style="position:absolute;left:1279;top:3905;width:103;height:2024;visibility:visible;mso-wrap-style:square;v-text-anchor:top" coordsize="103,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50sQA&#10;AADcAAAADwAAAGRycy9kb3ducmV2LnhtbERPTWvCQBC9C/0PyxS86aalaE1dxVoNilBa6yW3ITsm&#10;odnZkF1N/PeuIHibx/uc6bwzlThT40rLCl6GEQjizOqScwWHv/XgHYTzyBory6TgQg7ms6feFGNt&#10;W/6l897nIoSwi1FB4X0dS+myggy6oa2JA3e0jUEfYJNL3WAbwk0lX6NoJA2WHBoKrGlZUPa/PxkF&#10;xyT5Tg/tdlH/uNXnV7ocT5J0p1T/uVt8gPDU+Yf47t7oMH/yBrdnw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dLEAAAA3AAAAA8AAAAAAAAAAAAAAAAAmAIAAGRycy9k&#10;b3ducmV2LnhtbFBLBQYAAAAABAAEAPUAAACJAwAAAAA=&#10;" path="m80,l70,1937r-35,l45,,80,xm103,1919l50,2024,,1919r103,xe" fillcolor="red" stroked="f">
                    <v:path arrowok="t" o:connecttype="custom" o:connectlocs="80,0;70,1937;35,1937;45,0;80,0;103,1919;50,2024;0,1919;103,1919" o:connectangles="0,0,0,0,0,0,0,0,0"/>
                    <o:lock v:ext="edit" verticies="t"/>
                  </v:shape>
                  <v:shape id="Freeform 192" o:spid="_x0000_s1286" style="position:absolute;left:1314;top:3905;width:45;height:1937;visibility:visible;mso-wrap-style:square;v-text-anchor:top" coordsize="45,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YdcEA&#10;AADcAAAADwAAAGRycy9kb3ducmV2LnhtbERPTYvCMBC9C/6HMAveNF3BRatRZBfByx7U4nlsxqbY&#10;TGoTtdtfvxEEb/N4n7NYtbYSd2p86VjB5ygBQZw7XXKhIDtshlMQPiBrrByTgj/ysFr2ewtMtXvw&#10;ju77UIgYwj5FBSaEOpXS54Ys+pGriSN3do3FEGFTSN3gI4bbSo6T5EtaLDk2GKzp21B+2d+sgunm&#10;px3vkuP61NF1Zro8u3S/mVKDj3Y9BxGoDW/xy73Vcf5sAs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YGHXBAAAA3AAAAA8AAAAAAAAAAAAAAAAAmAIAAGRycy9kb3du&#10;cmV2LnhtbFBLBQYAAAAABAAEAPUAAACGAwAAAAA=&#10;" path="m45,l35,1937r-35,l10,,45,xe" filled="f" strokecolor="red" strokeweight="8e-5mm">
                    <v:stroke endcap="round"/>
                    <v:path arrowok="t" o:connecttype="custom" o:connectlocs="45,0;35,1937;0,1937;10,0;45,0" o:connectangles="0,0,0,0,0"/>
                  </v:shape>
                  <v:shape id="Freeform 193" o:spid="_x0000_s1287" style="position:absolute;left:1279;top:5824;width:103;height:105;visibility:visible;mso-wrap-style:square;v-text-anchor:top" coordsize="10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IcsIA&#10;AADcAAAADwAAAGRycy9kb3ducmV2LnhtbERP32vCMBB+H/g/hBP2NlPHcLOaFnEM9jAGc+rz0ZxN&#10;tbmUJLP1v18Ewbf7+H7eshxsK87kQ+NYwXSSgSCunG64VrD9/Xh6AxEissbWMSm4UICyGD0sMdeu&#10;5x86b2ItUgiHHBWYGLtcylAZshgmriNO3MF5izFBX0vtsU/htpXPWTaTFhtODQY7WhuqTps/q2C+&#10;l/H72L2/4Ks3/c6u7GX42iv1OB5WCxCRhngX39yfOs2fz+D6TL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hywgAAANwAAAAPAAAAAAAAAAAAAAAAAJgCAABkcnMvZG93&#10;bnJldi54bWxQSwUGAAAAAAQABAD1AAAAhwMAAAAA&#10;" path="m103,l50,105,,,103,e" filled="f" strokecolor="red" strokeweight="8e-5mm">
                    <v:stroke endcap="round"/>
                    <v:path arrowok="t" o:connecttype="custom" o:connectlocs="103,0;50,105;0,0;103,0" o:connectangles="0,0,0,0"/>
                  </v:shape>
                </v:group>
                <v:group id="Group 194" o:spid="_x0000_s1288" style="position:absolute;left:30300;top:35111;width:667;height:2115" coordorigin="4852,5606" coordsize="105,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5" o:spid="_x0000_s1289" style="position:absolute;left:4852;top:5606;width:105;height:333;visibility:visible;mso-wrap-style:square;v-text-anchor:top" coordsize="1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sMMA&#10;AADcAAAADwAAAGRycy9kb3ducmV2LnhtbESPQWvCQBCF7wX/wzKCt7pJD1Kjq4jYIvYgWnsfsmMS&#10;kp0N2W2M/945CN5meG/e+2a5HlyjeupC5dlAOk1AEefeVlwYuPx+vX+CChHZYuOZDNwpwHo1elti&#10;Zv2NT9SfY6EkhEOGBsoY20zrkJfkMEx9Syza1XcOo6xdoW2HNwl3jf5Ikpl2WLE0lNjStqS8Pv87&#10;AweX7i8znx6p+dn91d/6uKmL3pjJeNgsQEUa4sv8vN5bwZ8LrTwjE+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sMMAAADcAAAADwAAAAAAAAAAAAAAAACYAgAAZHJzL2Rv&#10;d25yZXYueG1sUEsFBgAAAAAEAAQA9QAAAIgDAAAAAA==&#10;" path="m67,r3,248l35,248,35,,67,xm105,231l52,333,,231r105,xe" fillcolor="blue" stroked="f">
                    <v:path arrowok="t" o:connecttype="custom" o:connectlocs="67,0;70,248;35,248;35,0;67,0;105,231;52,333;0,231;105,231" o:connectangles="0,0,0,0,0,0,0,0,0"/>
                    <o:lock v:ext="edit" verticies="t"/>
                  </v:shape>
                  <v:shape id="Freeform 196" o:spid="_x0000_s1290" style="position:absolute;left:4887;top:5606;width:35;height:248;visibility:visible;mso-wrap-style:square;v-text-anchor:top" coordsize="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w8MA&#10;AADcAAAADwAAAGRycy9kb3ducmV2LnhtbERPTWvCQBC9F/oflhF6qxs9tBpdpVUEoQgmLYi3MTsm&#10;S7OzIbtq/PeuIHibx/uc6byztThT641jBYN+AoK4cNpwqeDvd/U+AuEDssbaMSm4kof57PVliql2&#10;F87onIdSxBD2KSqoQmhSKX1RkUXfdw1x5I6utRgibEupW7zEcFvLYZJ8SIuGY0OFDS0qKv7zk1Vw&#10;yDa7n+/OHP1oK/cmo229/CyVeut1XxMQgbrwFD/cax3nj8d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w8MAAADcAAAADwAAAAAAAAAAAAAAAACYAgAAZHJzL2Rv&#10;d25yZXYueG1sUEsFBgAAAAAEAAQA9QAAAIgDAAAAAA==&#10;" path="m32,r3,248l,248,,,32,xe" filled="f" strokecolor="blue" strokeweight="8e-5mm">
                    <v:stroke endcap="round"/>
                    <v:path arrowok="t" o:connecttype="custom" o:connectlocs="32,0;35,248;0,248;0,0;32,0" o:connectangles="0,0,0,0,0"/>
                  </v:shape>
                  <v:shape id="Freeform 197" o:spid="_x0000_s1291" style="position:absolute;left:4852;top:5837;width:105;height:102;visibility:visible;mso-wrap-style:square;v-text-anchor:top" coordsize="10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8ssMA&#10;AADcAAAADwAAAGRycy9kb3ducmV2LnhtbESPQWsCMRCF70L/Q5hCb262paisRhFB8FAKrhav0824&#10;WdxMliS623/fCILHx5v3vXmL1WBbcSMfGscK3rMcBHHldMO1guNhO56BCBFZY+uYFPxRgNXyZbTA&#10;Qrue93QrYy0ShEOBCkyMXSFlqAxZDJnriJN3dt5iTNLXUnvsE9y28iPPJ9Jiw6nBYEcbQ9WlvNr0&#10;xif7322/33x3ZMrp6VR9/TQzpd5eh/UcRKQhPo8f6Z1WkIhwH5MI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r8ssMAAADcAAAADwAAAAAAAAAAAAAAAACYAgAAZHJzL2Rv&#10;d25yZXYueG1sUEsFBgAAAAAEAAQA9QAAAIgDAAAAAA==&#10;" path="m105,l52,102,,,105,e" filled="f" strokecolor="blue" strokeweight="8e-5mm">
                    <v:stroke endcap="round"/>
                    <v:path arrowok="t" o:connecttype="custom" o:connectlocs="105,0;52,102;0,0;105,0" o:connectangles="0,0,0,0"/>
                  </v:shape>
                </v:group>
                <v:rect id="Rectangle 198" o:spid="_x0000_s1292" style="position:absolute;left:1204;top:21446;width:3750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U978A&#10;AADcAAAADwAAAGRycy9kb3ducmV2LnhtbESPQavCMBCE74L/IazgTVMFRfqMooLgVS3icWn2NcVm&#10;U5uo1V9vBMHjMN/MMPNlaytxp8aXjhWMhgkI4tzpkgsF2XE7mIHwAVlj5ZgUPMnDctHtzDHV7sF7&#10;uh9CIWIJ+xQVmBDqVEqfG7Loh64mjt6/ayyGKJtC6gYfsdxWcpwkU2mx5LhgsKaNofxyuFkFNtL2&#10;WJ3O11d5lluarNdZZpTq99rVH4hAbfjB3/ROKxgnI/ici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ZZT3vwAAANwAAAAPAAAAAAAAAAAAAAAAAJgCAABkcnMvZG93bnJl&#10;di54bWxQSwUGAAAAAAQABAD1AAAAhAMAAAAA&#10;" filled="f" strokeweight="97e-5mm">
                  <v:stroke endcap="round"/>
                </v:rect>
                <v:rect id="Rectangle 199" o:spid="_x0000_s1293" style="position:absolute;left:19568;top:37467;width:1677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KgMEA&#10;AADcAAAADwAAAGRycy9kb3ducmV2LnhtbESPQYvCMBSE7wv+h/AEb2tqQVmqsVhB2OtqWTw+mmdT&#10;bF5qk9Wuv94IgsdhvplhVvlgW3Gl3jeOFcymCQjiyumGawXlYff5BcIHZI2tY1LwTx7y9ehjhZl2&#10;N/6h6z7UIpawz1CBCaHLpPSVIYt+6jri6J1cbzFE2ddS93iL5baVaZIspMWG44LBjraGqvP+zyqw&#10;kbaH9vd4uTdHuaN5UZSlUWoyHjZLEIGG8IZf6W+tIE1SeJ6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3CoDBAAAA3AAAAA8AAAAAAAAAAAAAAAAAmAIAAGRycy9kb3du&#10;cmV2LnhtbFBLBQYAAAAABAAEAPUAAACGAwAAAAA=&#10;" filled="f" strokeweight="97e-5mm">
                  <v:stroke endcap="round"/>
                </v:rect>
                <v:rect id="Rectangle 200" o:spid="_x0000_s1294" style="position:absolute;left:22388;top:38026;width:1103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 xml:space="preserve">Use BurrliOZ SSD method </w:t>
                        </w:r>
                      </w:p>
                    </w:txbxContent>
                  </v:textbox>
                </v:rect>
                <v:rect id="Rectangle 201" o:spid="_x0000_s1295" style="position:absolute;left:3636;top:37448;width:1416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3b8AA&#10;AADcAAAADwAAAGRycy9kb3ducmV2LnhtbESPQYvCMBSE7wv+h/AEb2uqqEg1ii4IXtUiHh/Nsyk2&#10;L7XJavXXG0HwOMw3M8x82dpK3KjxpWMFg34Cgjh3uuRCQXbY/E5B+ICssXJMCh7kYbno/Mwx1e7O&#10;O7rtQyFiCfsUFZgQ6lRKnxuy6PuuJo7e2TUWQ5RNIXWD91huKzlMkom0WHJcMFjTn6H8sv+3Cmyk&#10;7aE6nq7P8iQ3NF6vs8wo1eu2qxmIQG34wp/0VisYJiN4n4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I3b8AAAADcAAAADwAAAAAAAAAAAAAAAACYAgAAZHJzL2Rvd25y&#10;ZXYueG1sUEsFBgAAAAAEAAQA9QAAAIUDAAAAAA==&#10;" filled="f" strokeweight="97e-5mm">
                  <v:stroke endcap="round"/>
                </v:rect>
                <v:rect id="Rectangle 202" o:spid="_x0000_s1296" style="position:absolute;left:7491;top:38026;width:643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 xml:space="preserve">Use AF method </w:t>
                        </w:r>
                      </w:p>
                    </w:txbxContent>
                  </v:textbox>
                </v:rect>
                <v:group id="Group 203" o:spid="_x0000_s1297" style="position:absolute;left:25956;top:40280;width:654;height:2356" coordorigin="4168,6420" coordsize="10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4" o:spid="_x0000_s1298" style="position:absolute;left:4168;top:6420;width:103;height:371;visibility:visible;mso-wrap-style:square;v-text-anchor:top" coordsize="10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iCcUA&#10;AADcAAAADwAAAGRycy9kb3ducmV2LnhtbESPS2vDMBCE74H+B7GFXkIj14cmOJFDCQ20kEsel94W&#10;a+NHrZWxton676tCIMdhZr5hVuvoenWhMbSeDbzMMlDElbct1wZOx+3zAlQQZIu9ZzLwSwHW5cNk&#10;hYX1V97T5SC1ShAOBRpoRIZC61A15DDM/ECcvLMfHUqSY63tiNcEd73Os+xVO2w5LTQ40Kah6vvw&#10;4wxscd/tNvnuNO3fpftcSJx/tdGYp8f4tgQlFOUevrU/rIE8m8P/mXQEd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IJxQAAANwAAAAPAAAAAAAAAAAAAAAAAJgCAABkcnMv&#10;ZG93bnJldi54bWxQSwUGAAAAAAQABAD1AAAAigMAAAAA&#10;" path="m70,l68,283r-33,l35,,70,xm103,268l50,371,,266r103,2xe" fillcolor="blue" stroked="f">
                    <v:path arrowok="t" o:connecttype="custom" o:connectlocs="70,0;68,283;35,283;35,0;70,0;103,268;50,371;0,266;103,268" o:connectangles="0,0,0,0,0,0,0,0,0"/>
                    <o:lock v:ext="edit" verticies="t"/>
                  </v:shape>
                  <v:shape id="Freeform 205" o:spid="_x0000_s1299" style="position:absolute;left:4203;top:6420;width:35;height:283;visibility:visible;mso-wrap-style:square;v-text-anchor:top" coordsize="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1YsIA&#10;AADcAAAADwAAAGRycy9kb3ducmV2LnhtbERPTYvCMBC9C/6HMMLeNLWILNVYiiK4B3G3CnocmrGt&#10;NpPSRK3/fnNY2OPjfS/T3jTiSZ2rLSuYTiIQxIXVNZcKTsft+BOE88gaG8uk4E0O0tVwsMRE2xf/&#10;0DP3pQgh7BJUUHnfJlK6oiKDbmJb4sBdbWfQB9iVUnf4CuGmkXEUzaXBmkNDhS2tKyru+cMo2Bxm&#10;9eF6nH7vXRaf5+Vldrt/XZT6GPXZAoSn3v+L/9w7rSCOwtpwJhw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fViwgAAANwAAAAPAAAAAAAAAAAAAAAAAJgCAABkcnMvZG93&#10;bnJldi54bWxQSwUGAAAAAAQABAD1AAAAhwMAAAAA&#10;" path="m35,l33,283,,283,,,35,xe" filled="f" strokecolor="blue" strokeweight="8e-5mm">
                    <v:stroke endcap="round"/>
                    <v:path arrowok="t" o:connecttype="custom" o:connectlocs="35,0;33,283;0,283;0,0;35,0" o:connectangles="0,0,0,0,0"/>
                  </v:shape>
                  <v:shape id="Freeform 206" o:spid="_x0000_s1300" style="position:absolute;left:4168;top:6686;width:103;height:105;visibility:visible;mso-wrap-style:square;v-text-anchor:top" coordsize="10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yh8UA&#10;AADcAAAADwAAAGRycy9kb3ducmV2LnhtbESPQWsCMRSE74X+h/AKvZSa1IPo1igqlLZeRK0Hb4/N&#10;c3fp5mWbpLrurzeC4HGY+WaY8bS1tTiSD5VjDW89BYI4d6biQsPP9uN1CCJEZIO1Y9JwpgDTyePD&#10;GDPjTrym4yYWIpVwyFBDGWOTSRnykiyGnmuIk3dw3mJM0hfSeDylclvLvlIDabHitFBiQ4uS8t/N&#10;v9WwUp+zHb58H+b+TyVy2e27Uaf181M7ewcRqY338I3+Mhr6agTXM+kI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3KHxQAAANwAAAAPAAAAAAAAAAAAAAAAAJgCAABkcnMv&#10;ZG93bnJldi54bWxQSwUGAAAAAAQABAD1AAAAigMAAAAA&#10;" path="m103,2l50,105,,,103,2e" filled="f" strokecolor="blue" strokeweight="8e-5mm">
                    <v:stroke endcap="round"/>
                    <v:path arrowok="t" o:connecttype="custom" o:connectlocs="103,2;50,105;0,0;103,2" o:connectangles="0,0,0,0"/>
                  </v:shape>
                </v:group>
                <v:rect id="Rectangle 207" o:spid="_x0000_s1301" style="position:absolute;left:3636;top:43004;width:2801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nsb4A&#10;AADcAAAADwAAAGRycy9kb3ducmV2LnhtbERPTYvCMBC9L/gfwgh7W1MFRapRVBD2qhbxODRjU2wm&#10;tYna3V+/c1jw+Hjfy3XvG/WkLtaBDYxHGSjiMtiaKwPFaf81BxUTssUmMBn4oQjr1eBjibkNLz7Q&#10;85gqJSEcczTgUmpzrWPpyGMchZZYuGvoPCaBXaVthy8J942eZNlMe6xZGhy2tHNU3o4Pb8CL2p+a&#10;8+X+W1/0nqbbbVE4Yz6H/WYBKlGf3uJ/97c1MBnLfDkjR0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wp7G+AAAA3AAAAA8AAAAAAAAAAAAAAAAAmAIAAGRycy9kb3ducmV2&#10;LnhtbFBLBQYAAAAABAAEAPUAAACDAwAAAAA=&#10;" filled="f" strokeweight="97e-5mm">
                  <v:stroke endcap="round"/>
                </v:rect>
                <v:rect id="Rectangle 208" o:spid="_x0000_s1302" style="position:absolute;left:27588;top:46471;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Yes</w:t>
                        </w:r>
                      </w:p>
                    </w:txbxContent>
                  </v:textbox>
                </v:rect>
                <v:group id="Group 209" o:spid="_x0000_s1303" style="position:absolute;left:11701;top:45436;width:666;height:3055" coordorigin="1923,7232" coordsize="10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0" o:spid="_x0000_s1304" style="position:absolute;left:1923;top:7232;width:105;height:481;visibility:visible;mso-wrap-style:square;v-text-anchor:top" coordsize="10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Wyb4A&#10;AADcAAAADwAAAGRycy9kb3ducmV2LnhtbESPwQrCMBBE74L/EFbwpqkKItUoKih6rPbibWnWtths&#10;ahO1/r0RBI/DzLxhFqvWVOJJjSstKxgNIxDEmdUl5wrS824wA+E8ssbKMil4k4PVsttZYKztixN6&#10;nnwuAoRdjAoK7+tYSpcVZNANbU0cvKttDPogm1zqBl8Bbio5jqKpNFhyWCiwpm1B2e30MApquiSk&#10;73u/dnu0R83JvUw3SvV77XoOwlPr/+Ff+6AVjEcT+J4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8lsm+AAAA3AAAAA8AAAAAAAAAAAAAAAAAmAIAAGRycy9kb3ducmV2&#10;LnhtbFBLBQYAAAAABAAEAPUAAACDAwAAAAA=&#10;" path="m70,r,393l34,393,34,,70,xm105,376l52,481,,376r105,xe" fillcolor="red" stroked="f">
                    <v:path arrowok="t" o:connecttype="custom" o:connectlocs="70,0;70,393;34,393;34,0;70,0;105,376;52,481;0,376;105,376" o:connectangles="0,0,0,0,0,0,0,0,0"/>
                    <o:lock v:ext="edit" verticies="t"/>
                  </v:shape>
                  <v:rect id="Rectangle 211" o:spid="_x0000_s1305" style="position:absolute;left:1957;top:7232;width:36;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UzMUA&#10;AADcAAAADwAAAGRycy9kb3ducmV2LnhtbESP3WrCQBSE7wu+w3KE3tVNpJQaXYMIBSmkUBvw9pg9&#10;5sfs2TS7xuTtu4VCL4eZ+YbZpKNpxUC9qy0riBcRCOLC6ppLBfnX29MrCOeRNbaWScFEDtLt7GGD&#10;ibZ3/qTh6EsRIOwSVFB53yVSuqIig25hO+LgXWxv0AfZl1L3eA9w08plFL1IgzWHhQo72ldUXI83&#10;o+A8+Xz13nxc4tPqOx8cZ2VDmVKP83G3BuFp9P/hv/ZBK1jGz/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VTMxQAAANwAAAAPAAAAAAAAAAAAAAAAAJgCAABkcnMv&#10;ZG93bnJldi54bWxQSwUGAAAAAAQABAD1AAAAigMAAAAA&#10;" filled="f" strokecolor="red" strokeweight="8e-5mm">
                    <v:stroke joinstyle="round" endcap="round"/>
                  </v:rect>
                  <v:shape id="Freeform 212" o:spid="_x0000_s1306" style="position:absolute;left:1923;top:7608;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QGMQA&#10;AADcAAAADwAAAGRycy9kb3ducmV2LnhtbESPQWsCMRSE7wX/Q3iCt5p1QSmrUURQioRCbS/enpvn&#10;7urmZd2kmv77plDocZiZb5jFKtpW3Kn3jWMFk3EGgrh0puFKwefH9vkFhA/IBlvHpOCbPKyWg6cF&#10;FsY9+J3uh1CJBGFfoII6hK6Q0pc1WfRj1xEn7+x6iyHJvpKmx0eC21bmWTaTFhtOCzV2tKmpvB6+&#10;rIKLXh8533Pcz067qN+0LummlRoN43oOIlAM/+G/9qtRkE+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0BjEAAAA3AAAAA8AAAAAAAAAAAAAAAAAmAIAAGRycy9k&#10;b3ducmV2LnhtbFBLBQYAAAAABAAEAPUAAACJAwAAAAA=&#10;" path="m105,l52,105,,,105,e" filled="f" strokecolor="red" strokeweight="8e-5mm">
                    <v:stroke endcap="round"/>
                    <v:path arrowok="t" o:connecttype="custom" o:connectlocs="105,0;52,105;0,0;105,0" o:connectangles="0,0,0,0"/>
                  </v:shape>
                </v:group>
                <v:rect id="Rectangle 213" o:spid="_x0000_s1307" style="position:absolute;left:9732;top:46516;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214" o:spid="_x0000_s1308" style="position:absolute;left:11320;top:56257;width:271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 xml:space="preserve">Added </w:t>
                        </w:r>
                      </w:p>
                    </w:txbxContent>
                  </v:textbox>
                </v:rect>
                <v:group id="Group 215" o:spid="_x0000_s1309" style="position:absolute;left:25563;top:66404;width:647;height:2349" coordorigin="4106,10534" coordsize="1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16" o:spid="_x0000_s1310" style="position:absolute;left:4106;top:10534;width:102;height:370;visibility:visible;mso-wrap-style:square;v-text-anchor:top" coordsize="1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Po8QA&#10;AADcAAAADwAAAGRycy9kb3ducmV2LnhtbESPwWrDMBBE74H+g9hAb4mUFJLatRxCodBLD3HSnBdr&#10;a5lYK2MpjpuvrwqFHoeZecMUu8l1YqQhtJ41rJYKBHHtTcuNhtPxbfEMIkRkg51n0vBNAXblw6zA&#10;3PgbH2isYiMShEOOGmyMfS5lqC05DEvfEyfvyw8OY5JDI82AtwR3nVwrtZEOW04LFnt6tVRfqqvT&#10;cNhv758bm6nq+tSqO4/Zmc8fWj/Op/0LiEhT/A//td+NhvUqg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T6PEAAAA3AAAAA8AAAAAAAAAAAAAAAAAmAIAAGRycy9k&#10;b3ducmV2LnhtbFBLBQYAAAAABAAEAPUAAACJAwAAAAA=&#10;" path="m70,l67,283r-32,l35,,70,xm102,268l50,370,,268r102,xe" fillcolor="blue" stroked="f">
                    <v:path arrowok="t" o:connecttype="custom" o:connectlocs="70,0;67,283;35,283;35,0;70,0;102,268;50,370;0,268;102,268" o:connectangles="0,0,0,0,0,0,0,0,0"/>
                    <o:lock v:ext="edit" verticies="t"/>
                  </v:shape>
                  <v:shape id="Freeform 217" o:spid="_x0000_s1311" style="position:absolute;left:4141;top:10534;width:35;height:283;visibility:visible;mso-wrap-style:square;v-text-anchor:top" coordsize="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BMIA&#10;AADcAAAADwAAAGRycy9kb3ducmV2LnhtbERPTYvCMBC9C/6HMII3TS0iUo2l7LKwHha1CnocmrHt&#10;2kxKk9XuvzcHwePjfa/T3jTiTp2rLSuYTSMQxIXVNZcKTsevyRKE88gaG8uk4J8cpJvhYI2Jtg8+&#10;0D33pQgh7BJUUHnfJlK6oiKDbmpb4sBdbWfQB9iVUnf4COGmkXEULaTBmkNDhS19VFTc8j+j4HM3&#10;r3fX42z/47L4vCgv89/b9qLUeNRnKxCeev8Wv9zfWkEch/n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qUEwgAAANwAAAAPAAAAAAAAAAAAAAAAAJgCAABkcnMvZG93&#10;bnJldi54bWxQSwUGAAAAAAQABAD1AAAAhwMAAAAA&#10;" path="m35,l32,283,,283,,,35,xe" filled="f" strokecolor="blue" strokeweight="8e-5mm">
                    <v:stroke endcap="round"/>
                    <v:path arrowok="t" o:connecttype="custom" o:connectlocs="35,0;32,283;0,283;0,0;35,0" o:connectangles="0,0,0,0,0"/>
                  </v:shape>
                  <v:shape id="Freeform 218" o:spid="_x0000_s1312" style="position:absolute;left:4106;top:1080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wxsMA&#10;AADcAAAADwAAAGRycy9kb3ducmV2LnhtbESPQWvCQBSE7wX/w/IEb3WTFUobXUWFYhEvtXp/Zp9J&#10;MPs2ZLcx+ffdguBxmJlvmMWqt7XoqPWVYw3pNAFBnDtTcaHh9PP5+g7CB2SDtWPSMJCH1XL0ssDM&#10;uDt/U3cMhYgQ9hlqKENoMil9XpJFP3UNcfSurrUYomwLaVq8R7itpUqSN2mx4rhQYkPbkvLb8ddq&#10;2J3D5bAZhv1uln74erNXeOiU1pNxv56DCNSHZ/jR/jIalErh/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6wxsMAAADcAAAADwAAAAAAAAAAAAAAAACYAgAAZHJzL2Rv&#10;d25yZXYueG1sUEsFBgAAAAAEAAQA9QAAAIgDAAAAAA==&#10;" path="m102,l50,102,,,102,e" filled="f" strokecolor="blue" strokeweight="8e-5mm">
                    <v:stroke endcap="round"/>
                    <v:path arrowok="t" o:connecttype="custom" o:connectlocs="102,0;50,102;0,0;102,0" o:connectangles="0,0,0,0"/>
                  </v:shape>
                </v:group>
                <v:rect id="Rectangle 219" o:spid="_x0000_s1313" style="position:absolute;left:19727;top:55711;width:10554;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W4MIA&#10;AADcAAAADwAAAGRycy9kb3ducmV2LnhtbESPQWvCQBSE74L/YXlCb2ZjoKVEV1FB8NoYSo6P7DMb&#10;zL6N2dWk/fXdQqHHYb6ZYTa7yXbiSYNvHStYJSkI4trplhsF5eW0fAfhA7LGzjEp+CIPu+18tsFc&#10;u5E/6FmERsQS9jkqMCH0uZS+NmTRJ64njt7VDRZDlEMj9YBjLLedzNL0TVpsOS4Y7OloqL4VD6vA&#10;Rtpeus/q/t1W8kSvh0NZGqVeFtN+DSLQFP7hv/RZK8iyDH7PxCM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lbgwgAAANwAAAAPAAAAAAAAAAAAAAAAAJgCAABkcnMvZG93&#10;bnJldi54bWxQSwUGAAAAAAQABAD1AAAAhwMAAAAA&#10;" filled="f" strokeweight="97e-5mm">
                  <v:stroke endcap="round"/>
                </v:rect>
                <v:rect id="Rectangle 220" o:spid="_x0000_s1314" style="position:absolute;left:20997;top:56257;width:798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Added contaminant </w:t>
                        </w:r>
                      </w:p>
                    </w:txbxContent>
                  </v:textbox>
                </v:rect>
                <v:rect id="Rectangle 221" o:spid="_x0000_s1315" style="position:absolute;left:23334;top:57438;width:335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limit for </w:t>
                        </w:r>
                      </w:p>
                    </w:txbxContent>
                  </v:textbox>
                </v:rect>
                <v:rect id="Rectangle 222" o:spid="_x0000_s1316" style="position:absolute;left:21530;top:58613;width:6947;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biomagnification </w:t>
                        </w:r>
                      </w:p>
                    </w:txbxContent>
                  </v:textbox>
                </v:rect>
                <v:rect id="Rectangle 223" o:spid="_x0000_s1317" style="position:absolute;left:23131;top:59832;width:237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(ACL</w:t>
                        </w:r>
                      </w:p>
                    </w:txbxContent>
                  </v:textbox>
                </v:rect>
                <v:rect id="Rectangle 224" o:spid="_x0000_s1318" style="position:absolute;left:25512;top:60264;width:99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1C6BE7" w:rsidRDefault="001C6BE7" w:rsidP="006C2E16">
                        <w:r>
                          <w:rPr>
                            <w:rFonts w:cs="Times New Roman"/>
                            <w:color w:val="000000"/>
                            <w:sz w:val="10"/>
                            <w:szCs w:val="10"/>
                            <w:lang w:val="en-US"/>
                          </w:rPr>
                          <w:t>BM</w:t>
                        </w:r>
                      </w:p>
                    </w:txbxContent>
                  </v:textbox>
                </v:rect>
                <v:rect id="Rectangle 225" o:spid="_x0000_s1319" style="position:absolute;left:26585;top:59832;width:34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w:t>
                        </w:r>
                      </w:p>
                    </w:txbxContent>
                  </v:textbox>
                </v:rect>
                <v:group id="Group 226" o:spid="_x0000_s1320" style="position:absolute;left:12431;top:66480;width:667;height:2356" coordorigin="2038,10546" coordsize="10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7" o:spid="_x0000_s1321" style="position:absolute;left:2038;top:10546;width:105;height:371;visibility:visible;mso-wrap-style:square;v-text-anchor:top" coordsize="10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Uq8QA&#10;AADcAAAADwAAAGRycy9kb3ducmV2LnhtbERPy2qDQBTdB/oPwy10E+rYFEIwjlKFhLZkkUc32V2c&#10;W5U6d8SZRJuv7ywKWR7OO80n04krDa61rOAlikEQV1a3XCv4Om2eVyCcR9bYWSYFv+Qgzx5mKSba&#10;jnyg69HXIoSwS1BB432fSOmqhgy6yPbEgfu2g0Ef4FBLPeAYwk0nF3G8lAZbDg0N9lQ2VP0cL0ZB&#10;edv4Yv65uu32sdVyXnyM2+qs1NPj9LYG4Wnyd/G/+10rWLyG+eF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0VKvEAAAA3AAAAA8AAAAAAAAAAAAAAAAAmAIAAGRycy9k&#10;b3ducmV2LnhtbFBLBQYAAAAABAAEAPUAAACJAwAAAAA=&#10;" path="m70,r,283l35,283,35,,70,xm105,266l52,371,,266r105,xe" fillcolor="blue" stroked="f">
                    <v:path arrowok="t" o:connecttype="custom" o:connectlocs="70,0;70,283;35,283;35,0;70,0;105,266;52,371;0,266;105,266" o:connectangles="0,0,0,0,0,0,0,0,0"/>
                    <o:lock v:ext="edit" verticies="t"/>
                  </v:shape>
                  <v:rect id="Rectangle 228" o:spid="_x0000_s1322" style="position:absolute;left:2073;top:10546;width: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KsMUA&#10;AADcAAAADwAAAGRycy9kb3ducmV2LnhtbESPQWvCQBSE70L/w/IKvekmaRGJrlKlivRkYgt6e2Rf&#10;k2D2bchuY9pf7wqFHoeZ+YZZrAbTiJ46V1tWEE8iEMSF1TWXCj6O2/EMhPPIGhvLpOCHHKyWD6MF&#10;ptpeOaM+96UIEHYpKqi8b1MpXVGRQTexLXHwvmxn0AfZlVJ3eA1w08gkiqbSYM1hocKWNhUVl/zb&#10;KDi5S//+tj7/+u0n8zl6od0hI6WeHofXOQhPg/8P/7X3WkHyHM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AqwxQAAANwAAAAPAAAAAAAAAAAAAAAAAJgCAABkcnMv&#10;ZG93bnJldi54bWxQSwUGAAAAAAQABAD1AAAAigMAAAAA&#10;" filled="f" strokecolor="blue" strokeweight="8e-5mm">
                    <v:stroke joinstyle="round" endcap="round"/>
                  </v:rect>
                  <v:shape id="Freeform 229" o:spid="_x0000_s1323" style="position:absolute;left:2038;top:10812;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pLsQA&#10;AADcAAAADwAAAGRycy9kb3ducmV2LnhtbESPQWvCQBSE74X+h+UVvOmmUaRGV2mFoihCjfH+yL4m&#10;odm3IbvG+O9dQehxmJlvmMWqN7XoqHWVZQXvowgEcW51xYWC7PQ9/ADhPLLG2jIpuJGD1fL1ZYGJ&#10;tlc+Upf6QgQIuwQVlN43iZQuL8mgG9mGOHi/tjXog2wLqVu8BripZRxFU2mw4rBQYkPrkvK/9GIU&#10;HCazIt3PsunXBtfNz26cddU5Umrw1n/OQXjq/X/42d5qBfE4hs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qS7EAAAA3AAAAA8AAAAAAAAAAAAAAAAAmAIAAGRycy9k&#10;b3ducmV2LnhtbFBLBQYAAAAABAAEAPUAAACJAwAAAAA=&#10;" path="m105,l52,105,,,105,e" filled="f" strokecolor="blue" strokeweight="8e-5mm">
                    <v:stroke endcap="round"/>
                    <v:path arrowok="t" o:connecttype="custom" o:connectlocs="105,0;52,105;0,0;105,0" o:connectangles="0,0,0,0"/>
                  </v:shape>
                </v:group>
                <v:rect id="Rectangle 230" o:spid="_x0000_s1324" style="position:absolute;left:2842;top:516;width:34386;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lpsAA&#10;AADcAAAADwAAAGRycy9kb3ducmV2LnhtbESPQYvCMBSE7wv+h/AEb2uq4iLVKCoIXtUiHh/Nsyk2&#10;L7WJWv31RhD2OMw3M8xs0dpK3KnxpWMFg34Cgjh3uuRCQXbY/E5A+ICssXJMCp7kYTHv/Mww1e7B&#10;O7rvQyFiCfsUFZgQ6lRKnxuy6PuuJo7e2TUWQ5RNIXWDj1huKzlMkj9pseS4YLCmtaH8sr9ZBTbS&#10;9lAdT9dXeZIbGq9WWWaU6nXb5RREoDb8w9/0VisYjkbwOROP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dlpsAAAADcAAAADwAAAAAAAAAAAAAAAACYAgAAZHJzL2Rvd25y&#10;ZXYueG1sUEsFBgAAAAAEAAQA9QAAAIUDAAAAAA==&#10;" filled="f" strokeweight="97e-5mm">
                  <v:stroke endcap="round"/>
                </v:rect>
                <v:group id="Group 231" o:spid="_x0000_s1325" style="position:absolute;left:10996;top:3329;width:667;height:2261" coordorigin="1812,601" coordsize="105,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2" o:spid="_x0000_s1326" style="position:absolute;left:1812;top:601;width:105;height:356;visibility:visible;mso-wrap-style:square;v-text-anchor:top" coordsize="10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eBscA&#10;AADcAAAADwAAAGRycy9kb3ducmV2LnhtbESPT2vCQBTE7wW/w/KEXopumuIfomsoxUIpvagRPT6y&#10;zySYfRt2V0376buFgsdhZn7DLPPetOJKzjeWFTyPExDEpdUNVwqK3ftoDsIHZI2tZVLwTR7y1eBh&#10;iZm2N97QdRsqESHsM1RQh9BlUvqyJoN+bDvi6J2sMxiidJXUDm8RblqZJslUGmw4LtTY0VtN5Xl7&#10;MQrWT81+XVm3P0xm+utn6orP46VQ6nHYvy5ABOrDPfzf/tAK0pcJ/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TXgbHAAAA3AAAAA8AAAAAAAAAAAAAAAAAmAIAAGRy&#10;cy9kb3ducmV2LnhtbFBLBQYAAAAABAAEAPUAAACMAwAAAAA=&#10;" path="m70,3r,268l35,271,38,,70,3xm105,253l53,356,,253r105,xe" fillcolor="red" stroked="f">
                    <v:path arrowok="t" o:connecttype="custom" o:connectlocs="70,3;70,271;35,271;38,0;70,3;105,253;53,356;0,253;105,253" o:connectangles="0,0,0,0,0,0,0,0,0"/>
                    <o:lock v:ext="edit" verticies="t"/>
                  </v:shape>
                  <v:shape id="Freeform 233" o:spid="_x0000_s1327" style="position:absolute;left:1847;top:601;width:35;height:271;visibility:visible;mso-wrap-style:square;v-text-anchor:top" coordsize="3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Wu8QA&#10;AADcAAAADwAAAGRycy9kb3ducmV2LnhtbESPQWvCQBSE70L/w/IKvemmpoYSXaWIQntsFOnxmX1N&#10;QrNvQ3ZjNv++Wyh4HGbmG2azC6YVN+pdY1nB8yIBQVxa3XCl4Hw6zl9BOI+ssbVMCiZysNs+zDaY&#10;azvyJ90KX4kIYZejgtr7LpfSlTUZdAvbEUfv2/YGfZR9JXWPY4SbVi6TJJMGG44LNXa0r6n8KQaj&#10;IB2ml6tftYeAH5fjORubKfkqlHp6DG9rEJ6Cv4f/2+9awTLN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FrvEAAAA3AAAAA8AAAAAAAAAAAAAAAAAmAIAAGRycy9k&#10;b3ducmV2LnhtbFBLBQYAAAAABAAEAPUAAACJAwAAAAA=&#10;" path="m35,3r,268l,271,3,,35,3xe" filled="f" strokecolor="red" strokeweight="8e-5mm">
                    <v:stroke endcap="round"/>
                    <v:path arrowok="t" o:connecttype="custom" o:connectlocs="35,3;35,271;0,271;3,0;35,3" o:connectangles="0,0,0,0,0"/>
                  </v:shape>
                  <v:shape id="Freeform 234" o:spid="_x0000_s1328" style="position:absolute;left:1812;top:854;width:105;height:103;visibility:visible;mso-wrap-style:square;v-text-anchor:top" coordsize="10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rH8cA&#10;AADcAAAADwAAAGRycy9kb3ducmV2LnhtbESPS2/CMBCE75X6H6yt1FtxCohHwCBUBOoBIQiP8xIv&#10;SUq8TmMX0n9fV0LiOJqZbzTjaWNKcaXaFZYVvLciEMSp1QVnCva7xdsAhPPIGkvLpOCXHEwnz09j&#10;jLW98Zauic9EgLCLUUHufRVL6dKcDLqWrYiDd7a1QR9knUld4y3ATSnbUdSTBgsOCzlW9JFTekl+&#10;jILFcr7u9r6Wp+Fh1TkeurRLvjdzpV5fmtkIhKfGP8L39qdW0O704f9MO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D6x/HAAAA3AAAAA8AAAAAAAAAAAAAAAAAmAIAAGRy&#10;cy9kb3ducmV2LnhtbFBLBQYAAAAABAAEAPUAAACMAwAAAAA=&#10;" path="m105,l53,103,,,105,e" filled="f" strokecolor="red" strokeweight="8e-5mm">
                    <v:stroke endcap="round"/>
                    <v:path arrowok="t" o:connecttype="custom" o:connectlocs="105,0;53,103;0,0;105,0" o:connectangles="0,0,0,0"/>
                  </v:shape>
                </v:group>
                <v:group id="Group 235" o:spid="_x0000_s1329" style="position:absolute;left:32764;top:3348;width:666;height:8255" coordorigin="5240,604" coordsize="10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6" o:spid="_x0000_s1330" style="position:absolute;left:5240;top:604;width:105;height:1300;visibility:visible;mso-wrap-style:square;v-text-anchor:top" coordsize="105,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ae8MA&#10;AADcAAAADwAAAGRycy9kb3ducmV2LnhtbESP0YrCMBRE34X9h3AXfNN0FWXtGmVRBMEHtbsfcGmu&#10;bbG5iU209e+NIPg4zMwZZr7sTC1u1PjKsoKvYQKCOLe64kLB/99m8A3CB2SNtWVScCcPy8VHb46p&#10;ti0f6ZaFQkQI+xQVlCG4VEqfl2TQD60jjt7JNgZDlE0hdYNthJtajpJkKg1WHBdKdLQqKT9nV6Pg&#10;QocDznbtZZ/t2qDr9WRqnVOq/9n9/oAI1IV3+NXeagWj8Qy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Vae8MAAADcAAAADwAAAAAAAAAAAAAAAACYAgAAZHJzL2Rv&#10;d25yZXYueG1sUEsFBgAAAAAEAAQA9QAAAIgDAAAAAA==&#10;" path="m75,l70,1212r-35,l40,,75,xm105,1195l52,1300,,1195r105,xe" fillcolor="green" stroked="f">
                    <v:path arrowok="t" o:connecttype="custom" o:connectlocs="75,0;70,1212;35,1212;40,0;75,0;105,1195;52,1300;0,1195;105,1195" o:connectangles="0,0,0,0,0,0,0,0,0"/>
                    <o:lock v:ext="edit" verticies="t"/>
                  </v:shape>
                  <v:shape id="Freeform 237" o:spid="_x0000_s1331" style="position:absolute;left:5275;top:604;width:40;height:1212;visibility:visible;mso-wrap-style:square;v-text-anchor:top" coordsize="40,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8XMEA&#10;AADcAAAADwAAAGRycy9kb3ducmV2LnhtbERPTYvCMBC9C/sfwizsTdOKiHSNIu7KFi9i3YPHoRnb&#10;YjMpTbStv94cBI+P971c96YWd2pdZVlBPIlAEOdWV1wo+D/txgsQziNrrC2TgoEcrFcfoyUm2nZ8&#10;pHvmCxFC2CWooPS+SaR0eUkG3cQ2xIG72NagD7AtpG6xC+GmltMomkuDFYeGEhvalpRfs5tRkNKh&#10;735+/4Yh62ZnEz/Oi3ifKvX12W++QXjq/Vv8cqdawXQW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x/FzBAAAA3AAAAA8AAAAAAAAAAAAAAAAAmAIAAGRycy9kb3du&#10;cmV2LnhtbFBLBQYAAAAABAAEAPUAAACGAwAAAAA=&#10;" path="m40,l35,1212r-35,l5,,40,xe" filled="f" strokecolor="green" strokeweight="8e-5mm">
                    <v:stroke endcap="round"/>
                    <v:path arrowok="t" o:connecttype="custom" o:connectlocs="40,0;35,1212;0,1212;5,0;40,0" o:connectangles="0,0,0,0,0"/>
                  </v:shape>
                  <v:shape id="Freeform 238" o:spid="_x0000_s1332" style="position:absolute;left:5240;top:1799;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pVMMA&#10;AADcAAAADwAAAGRycy9kb3ducmV2LnhtbESPQWsCMRSE74L/ITyhN80qRcpqFC2V6qldI3h9bF53&#10;l25eliTq9t+bguBxmJlvmOW6t624kg+NYwXTSQaCuHSm4UrBSe/GbyBCRDbYOiYFfxRgvRoOlpgb&#10;d+OCrsdYiQThkKOCOsYulzKUNVkME9cRJ+/HeYsxSV9J4/GW4LaVsyybS4sNp4UaO3qvqfw9XqwC&#10;3enivG0yvf80B/1VfpM/fJBSL6N+swARqY/P8KO9Nwpmr1P4P5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pVMMAAADcAAAADwAAAAAAAAAAAAAAAACYAgAAZHJzL2Rv&#10;d25yZXYueG1sUEsFBgAAAAAEAAQA9QAAAIgDAAAAAA==&#10;" path="m105,l52,105,,,105,e" filled="f" strokecolor="green" strokeweight="8e-5mm">
                    <v:stroke endcap="round"/>
                    <v:path arrowok="t" o:connecttype="custom" o:connectlocs="105,0;52,105;0,0;105,0" o:connectangles="0,0,0,0"/>
                  </v:shape>
                </v:group>
                <v:rect id="Rectangle 239" o:spid="_x0000_s1333" style="position:absolute;left:1160;top:6003;width:27482;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zQMEA&#10;AADcAAAADwAAAGRycy9kb3ducmV2LnhtbESPQYvCMBSE74L/ITxhbza1qEjXKKsgeFWLeHw0b5uy&#10;zUttonb99WZhweMw38wwy3VvG3GnzteOFUySFARx6XTNlYLitBsvQPiArLFxTAp+ycN6NRwsMdfu&#10;wQe6H0MlYgn7HBWYENpcSl8asugT1xJH79t1FkOUXSV1h49YbhuZpelcWqw5LhhsaWuo/DnerAIb&#10;aXtqzpfrs77IHc02m6IwSn2M+q9PEIH68Ib/03utIJtm8Hc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ds0DBAAAA3AAAAA8AAAAAAAAAAAAAAAAAmAIAAGRycy9kb3du&#10;cmV2LnhtbFBLBQYAAAAABAAEAPUAAACGAwAAAAA=&#10;" filled="f" strokeweight="97e-5mm">
                  <v:stroke endcap="round"/>
                </v:rect>
                <v:rect id="Rectangle 240" o:spid="_x0000_s1334" style="position:absolute;left:2347;top:6536;width:381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 xml:space="preserve">Are there </w:t>
                        </w:r>
                      </w:p>
                    </w:txbxContent>
                  </v:textbox>
                </v:rect>
                <v:rect id="Rectangle 241" o:spid="_x0000_s1335" style="position:absolute;left:6449;top:6536;width:2082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 xml:space="preserve">models able to predict the toxicity of the chemical? </w:t>
                        </w:r>
                      </w:p>
                    </w:txbxContent>
                  </v:textbox>
                </v:rect>
                <v:rect id="Rectangle 242" o:spid="_x0000_s1336" style="position:absolute;left:11853;top:7730;width:607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(e.g. narcotics)</w:t>
                        </w:r>
                      </w:p>
                    </w:txbxContent>
                  </v:textbox>
                </v:rect>
                <v:rect id="Rectangle 243" o:spid="_x0000_s1337" style="position:absolute;left:17371;top:12124;width:2435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1Q8MA&#10;AADcAAAADwAAAGRycy9kb3ducmV2LnhtbESPwWrDMBBE74X+g9hCb7Xc0IbgRDF1IJBrbRN8XKyN&#10;ZWKtHEtJ3H59VSj0OMybGWaTz3YQN5p871jBa5KCIG6d7rlTUFf7lxUIH5A1Do5JwRd5yLePDxvM&#10;tLvzJ93K0IlYwj5DBSaEMZPSt4Ys+sSNxNE7ucliiHLqpJ7wHsvtIBdpupQWe44LBkfaGWrP5dUq&#10;sJG21XBsLt99I/f0XhR1bZR6fpo/1iACzeEf/ksftILF2xJ+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a1Q8MAAADcAAAADwAAAAAAAAAAAAAAAACYAgAAZHJzL2Rv&#10;d25yZXYueG1sUEsFBgAAAAAEAAQA9QAAAIgDAAAAAA==&#10;" filled="f" strokeweight="97e-5mm">
                  <v:stroke endcap="round"/>
                </v:rect>
                <v:rect id="Rectangle 244" o:spid="_x0000_s1338" style="position:absolute;left:20324;top:12708;width:1831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Screen toxicity data and determine reliability</w:t>
                        </w:r>
                      </w:p>
                    </w:txbxContent>
                  </v:textbox>
                </v:rect>
                <v:group id="Group 245" o:spid="_x0000_s1339" style="position:absolute;left:7656;top:9565;width:654;height:2115" coordorigin="1286,1583" coordsize="10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46" o:spid="_x0000_s1340" style="position:absolute;left:1286;top:1583;width:103;height:333;visibility:visible;mso-wrap-style:square;v-text-anchor:top" coordsize="10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gqsYA&#10;AADcAAAADwAAAGRycy9kb3ducmV2LnhtbESPQWvCQBSE7wX/w/KEXkRfKrbU1FVKRSm9lFgPHp/Z&#10;1ySYfRt2V03/fbcg9DjMzDfMYtXbVl3Yh8aJhodJBoqldKaRSsP+azN+BhUiiaHWCWv44QCr5eBu&#10;QblxVyn4souVShAJOWmoY+xyxFDWbClMXMeSvG/nLcUkfYXG0zXBbYvTLHtCS42khZo6fqu5PO3O&#10;VsMaj6N9S58f2BceT+ftoXhcz7S+H/avL6Ai9/E/fGu/Gw3T2Rz+zqQjg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9gqsYAAADcAAAADwAAAAAAAAAAAAAAAACYAgAAZHJz&#10;L2Rvd25yZXYueG1sUEsFBgAAAAAEAAQA9QAAAIsDAAAAAA==&#10;" path="m68,r,248l35,248,33,,68,xm103,230l53,333,,230r103,xe" fillcolor="red" stroked="f">
                    <v:path arrowok="t" o:connecttype="custom" o:connectlocs="68,0;68,248;35,248;33,0;68,0;103,230;53,333;0,230;103,230" o:connectangles="0,0,0,0,0,0,0,0,0"/>
                    <o:lock v:ext="edit" verticies="t"/>
                  </v:shape>
                  <v:shape id="Freeform 247" o:spid="_x0000_s1341" style="position:absolute;left:1319;top:1583;width:35;height:248;visibility:visible;mso-wrap-style:square;v-text-anchor:top" coordsize="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ra8IA&#10;AADcAAAADwAAAGRycy9kb3ducmV2LnhtbERPz2vCMBS+D/Y/hDfYZWiq0yGdaRFB2Gmoc/dn82zK&#10;mpfYRO361y8HYceP7/ey7G0rrtSFxrGCyTgDQVw53XCt4PC1GS1AhIissXVMCn4pQFk8Piwx1+7G&#10;O7ruYy1SCIccFZgYfS5lqAxZDGPniRN3cp3FmGBXS93hLYXbVk6z7E1abDg1GPS0NlT97C9Wwfdw&#10;3r6c2M92x+H1/OkX26ExK6Wen/rVO4hIffwX390fWsF0nuanM+k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mtrwgAAANwAAAAPAAAAAAAAAAAAAAAAAJgCAABkcnMvZG93&#10;bnJldi54bWxQSwUGAAAAAAQABAD1AAAAhwMAAAAA&#10;" path="m35,r,248l2,248,,,35,xe" filled="f" strokecolor="red" strokeweight="8e-5mm">
                    <v:stroke endcap="round"/>
                    <v:path arrowok="t" o:connecttype="custom" o:connectlocs="35,0;35,248;2,248;0,0;35,0" o:connectangles="0,0,0,0,0"/>
                  </v:shape>
                  <v:shape id="Freeform 248" o:spid="_x0000_s1342" style="position:absolute;left:1286;top:1813;width:103;height:103;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AqsYA&#10;AADcAAAADwAAAGRycy9kb3ducmV2LnhtbESPQWvCQBSE70L/w/IKvekm1lZNs0pbFLTgwdji9ZF9&#10;TYLZtyG7NfHfuwXB4zAz3zDpsje1OFPrKssK4lEEgji3uuJCwfdhPZyBcB5ZY22ZFFzIwXLxMEgx&#10;0bbjPZ0zX4gAYZeggtL7JpHS5SUZdCPbEAfv17YGfZBtIXWLXYCbWo6j6FUarDgslNjQZ0n5Kfsz&#10;CqLpfPuxnsxptzl1u5+sOa6+no9KPT32728gPPX+Hr61N1rB+CWG/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0AqsYAAADcAAAADwAAAAAAAAAAAAAAAACYAgAAZHJz&#10;L2Rvd25yZXYueG1sUEsFBgAAAAAEAAQA9QAAAIsDAAAAAA==&#10;" path="m103,l53,103,,,103,e" filled="f" strokecolor="red" strokeweight="8e-5mm">
                    <v:stroke endcap="round"/>
                    <v:path arrowok="t" o:connecttype="custom" o:connectlocs="103,0;53,103;0,0;103,0" o:connectangles="0,0,0,0"/>
                  </v:shape>
                </v:group>
                <v:group id="Group 249" o:spid="_x0000_s1343" style="position:absolute;left:23480;top:9578;width:667;height:2121" coordorigin="3778,1585" coordsize="10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50" o:spid="_x0000_s1344" style="position:absolute;left:3778;top:1585;width:105;height:334;visibility:visible;mso-wrap-style:square;v-text-anchor:top" coordsize="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C+MgA&#10;AADcAAAADwAAAGRycy9kb3ducmV2LnhtbESPwW7CMBBE70j9B2srcQMHKAilGNRStXCCQrj0tsRL&#10;khKv09iFwNfjSpU4jmbmjWYya0wpTlS7wrKCXjcCQZxaXXCmYJe8d8YgnEfWWFomBRdyMJs+tCYY&#10;a3vmDZ22PhMBwi5GBbn3VSylS3My6Lq2Ig7ewdYGfZB1JnWN5wA3pexH0UgaLDgs5FjRPKf0uP01&#10;Cl43n+vh/u3juPpazMejp5/vfXJNlGo/Ni/PIDw1/h7+by+1gv5wAH9nw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wL4yAAAANwAAAAPAAAAAAAAAAAAAAAAAJgCAABk&#10;cnMvZG93bnJldi54bWxQSwUGAAAAAAQABAD1AAAAjQMAAAAA&#10;" path="m70,r,246l35,246,35,,70,xm105,229l52,334,,229r105,xe" fillcolor="green" stroked="f">
                    <v:path arrowok="t" o:connecttype="custom" o:connectlocs="70,0;70,246;35,246;35,0;70,0;105,229;52,334;0,229;105,229" o:connectangles="0,0,0,0,0,0,0,0,0"/>
                    <o:lock v:ext="edit" verticies="t"/>
                  </v:shape>
                  <v:rect id="Rectangle 251" o:spid="_x0000_s1345" style="position:absolute;left:3813;top:1585;width:3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hQcQA&#10;AADcAAAADwAAAGRycy9kb3ducmV2LnhtbESPwWrDMBBE74X+g9hCLyGRbdxQ3CghBAzF0EOSfsAi&#10;bWxTa2UsxXb+PgoUchxm5g2z2c22EyMNvnWsIF0lIIi1My3XCn7P5fIThA/IBjvHpOBGHnbb15cN&#10;FsZNfKTxFGoRIewLVNCE0BdSet2QRb9yPXH0Lm6wGKIcamkGnCLcdjJLkrW02HJcaLCnQ0P673S1&#10;CtqsPKea2C4OVf6zH8sKF3qt1PvbvP8CEWgOz/B/+9soyD5yeJy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YUHEAAAA3AAAAA8AAAAAAAAAAAAAAAAAmAIAAGRycy9k&#10;b3ducmV2LnhtbFBLBQYAAAAABAAEAPUAAACJAwAAAAA=&#10;" filled="f" strokecolor="green" strokeweight="8e-5mm">
                    <v:stroke joinstyle="round" endcap="round"/>
                  </v:rect>
                  <v:shape id="Freeform 252" o:spid="_x0000_s1346" style="position:absolute;left:3778;top:1814;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5isMA&#10;AADcAAAADwAAAGRycy9kb3ducmV2LnhtbESPQWsCMRSE7wX/Q3iCt5p1wVJW46LSUj21GsHrY/Pc&#10;Xdy8LEmq679vCoUeh5n5hlmWg+3EjXxoHSuYTTMQxJUzLdcKTvr9+RVEiMgGO8ek4EEBytXoaYmF&#10;cXc+0O0Ya5EgHApU0MTYF1KGqiGLYep64uRdnLcYk/S1NB7vCW47mWfZi7TYclposKdtQ9X1+G0V&#10;6F4fzps207sPs9ef1Rf5/RspNRkP6wWISEP8D/+1d0ZBPp/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Y5isMAAADcAAAADwAAAAAAAAAAAAAAAACYAgAAZHJzL2Rv&#10;d25yZXYueG1sUEsFBgAAAAAEAAQA9QAAAIgDAAAAAA==&#10;" path="m105,l52,105,,,105,e" filled="f" strokecolor="green" strokeweight="8e-5mm">
                    <v:stroke endcap="round"/>
                    <v:path arrowok="t" o:connecttype="custom" o:connectlocs="105,0;52,105;0,0;105,0" o:connectangles="0,0,0,0"/>
                  </v:shape>
                </v:group>
                <v:group id="Group 253" o:spid="_x0000_s1347" style="position:absolute;left:25956;top:23846;width:654;height:1931" coordorigin="4168,3832" coordsize="10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54" o:spid="_x0000_s1348" style="position:absolute;left:4168;top:3832;width:103;height:304;visibility:visible;mso-wrap-style:square;v-text-anchor:top" coordsize="10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5m8cA&#10;AADcAAAADwAAAGRycy9kb3ducmV2LnhtbESPQWsCMRSE7wX/Q3hCL0WzSmt1NYpYCkL1UJXS42Pz&#10;3CxuXpZNupv++6ZQ6HGYmW+Y1SbaWnTU+sqxgsk4A0FcOF1xqeByfh3NQfiArLF2TAq+ycNmPbhb&#10;Ya5dz+/UnUIpEoR9jgpMCE0upS8MWfRj1xAn7+paiyHJtpS6xT7BbS2nWTaTFitOCwYb2hkqbqcv&#10;q2ARzUPfHa9vl9vjOX4c6v1Ltv1U6n4Yt0sQgWL4D/+191rB9OkZfs+k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OuZvHAAAA3AAAAA8AAAAAAAAAAAAAAAAAmAIAAGRy&#10;cy9kb3ducmV2LnhtbFBLBQYAAAAABAAEAPUAAACMAwAAAAA=&#10;" path="m68,r2,218l35,218,33,,68,xm103,201l53,304,,201r103,xe" fillcolor="green" stroked="f">
                    <v:path arrowok="t" o:connecttype="custom" o:connectlocs="68,0;70,218;35,218;33,0;68,0;103,201;53,304;0,201;103,201" o:connectangles="0,0,0,0,0,0,0,0,0"/>
                    <o:lock v:ext="edit" verticies="t"/>
                  </v:shape>
                  <v:shape id="Freeform 255" o:spid="_x0000_s1349" style="position:absolute;left:4201;top:3832;width:37;height:218;visibility:visible;mso-wrap-style:square;v-text-anchor:top" coordsize="3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xycAA&#10;AADcAAAADwAAAGRycy9kb3ducmV2LnhtbERPTYvCMBC9C/sfwix403QVxa2NIoKgR111PQ7N2NRt&#10;JqWJtf57cxD2+Hjf2bKzlWip8aVjBV/DBARx7nTJhYLjz2YwA+EDssbKMSl4kofl4qOXYardg/fU&#10;HkIhYgj7FBWYEOpUSp8bsuiHriaO3NU1FkOETSF1g48Ybis5SpKptFhybDBY09pQ/ne4WwVO0+28&#10;/v2ejceXfGtoOklOz51S/c9uNQcRqAv/4rd7qxWMJnFt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GxycAAAADcAAAADwAAAAAAAAAAAAAAAACYAgAAZHJzL2Rvd25y&#10;ZXYueG1sUEsFBgAAAAAEAAQA9QAAAIUDAAAAAA==&#10;" path="m35,r2,218l2,218,,,35,xe" filled="f" strokecolor="green" strokeweight="8e-5mm">
                    <v:stroke endcap="round"/>
                    <v:path arrowok="t" o:connecttype="custom" o:connectlocs="35,0;37,218;2,218;0,0;35,0" o:connectangles="0,0,0,0,0"/>
                  </v:shape>
                  <v:shape id="Freeform 256" o:spid="_x0000_s1350" style="position:absolute;left:4168;top:4033;width:103;height:103;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o4MUA&#10;AADcAAAADwAAAGRycy9kb3ducmV2LnhtbESPQWvCQBSE74X+h+UJ3upGJVpTVylCQREPWr0/ss8k&#10;Nfs2za4a8+tdQfA4zMw3zHTemFJcqHaFZQX9XgSCOLW64EzB/vfn4xOE88gaS8uk4EYO5rP3tykm&#10;2l55S5edz0SAsEtQQe59lUjp0pwMup6tiIN3tLVBH2SdSV3jNcBNKQdRNJIGCw4LOVa0yCk97c5G&#10;wWrfxsfF32YYb87tqP0/rMv1aaxUt9N8f4Hw1PhX+NleagWDeAK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ejgxQAAANwAAAAPAAAAAAAAAAAAAAAAAJgCAABkcnMv&#10;ZG93bnJldi54bWxQSwUGAAAAAAQABAD1AAAAigMAAAAA&#10;" path="m103,l53,103,,,103,e" filled="f" strokecolor="green" strokeweight="8e-5mm">
                    <v:stroke endcap="round"/>
                    <v:path arrowok="t" o:connecttype="custom" o:connectlocs="103,0;53,103;0,0;103,0" o:connectangles="0,0,0,0"/>
                  </v:shape>
                </v:group>
                <v:group id="Group 257" o:spid="_x0000_s1351" style="position:absolute;left:26782;top:45436;width:673;height:3055" coordorigin="4298,7232" coordsize="10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352" style="position:absolute;left:4298;top:7232;width:106;height:481;visibility:visible;mso-wrap-style:square;v-text-anchor:top" coordsize="10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FXsQA&#10;AADcAAAADwAAAGRycy9kb3ducmV2LnhtbESPwWrDMBBE74H8g9hCLqGRE4IbnMgmFNoG00udfsBi&#10;bSRTa2UsNXH+vioUehxm5g1zqCbXiyuNofOsYL3KQBC3XndsFHyeXx53IEJE1th7JgV3ClCV89kB&#10;C+1v/EHXJhqRIBwKVGBjHAopQ2vJYVj5gTh5Fz86jEmORuoRbwnuernJslw67DgtWBzo2VL71Xw7&#10;BaaW2/PyVe/erEFbN0P+7p9qpRYP03EPItIU/8N/7ZNWsMnX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vBV7EAAAA3AAAAA8AAAAAAAAAAAAAAAAAmAIAAGRycy9k&#10;b3ducmV2LnhtbFBLBQYAAAAABAAEAPUAAACJAwAAAAA=&#10;" path="m70,r,393l36,393,38,,70,xm106,376l53,481,,376r106,xe" fillcolor="green" stroked="f">
                    <v:path arrowok="t" o:connecttype="custom" o:connectlocs="70,0;70,393;36,393;38,0;70,0;106,376;53,481;0,376;106,376" o:connectangles="0,0,0,0,0,0,0,0,0"/>
                    <o:lock v:ext="edit" verticies="t"/>
                  </v:shape>
                  <v:shape id="Freeform 259" o:spid="_x0000_s1353" style="position:absolute;left:4334;top:7232;width:34;height:393;visibility:visible;mso-wrap-style:square;v-text-anchor:top" coordsize="3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GG8MA&#10;AADcAAAADwAAAGRycy9kb3ducmV2LnhtbESPT2vCQBTE7wW/w/IEb3XTYFVSVwmCIvZS//T+2H1N&#10;gtm3Ibsm8du7hUKPw8z8hlltBluLjlpfOVbwNk1AEGtnKi4UXC+71yUIH5AN1o5JwYM8bNajlxVm&#10;xvV8ou4cChEh7DNUUIbQZFJ6XZJFP3UNcfR+XGsxRNkW0rTYR7itZZokc2mx4rhQYkPbkvTtfLcK&#10;bvuZXOiv5vtCSH3efWKu349KTcZD/gEi0BD+w3/tg1GQzlP4PR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OGG8MAAADcAAAADwAAAAAAAAAAAAAAAACYAgAAZHJzL2Rv&#10;d25yZXYueG1sUEsFBgAAAAAEAAQA9QAAAIgDAAAAAA==&#10;" path="m34,r,393l,393,2,,34,xe" filled="f" strokecolor="green" strokeweight="8e-5mm">
                    <v:stroke endcap="round"/>
                    <v:path arrowok="t" o:connecttype="custom" o:connectlocs="34,0;34,393;0,393;2,0;34,0" o:connectangles="0,0,0,0,0"/>
                  </v:shape>
                  <v:shape id="Freeform 260" o:spid="_x0000_s1354" style="position:absolute;left:4298;top:7608;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WI8YA&#10;AADcAAAADwAAAGRycy9kb3ducmV2LnhtbESPQWsCMRSE70L/Q3hCb5rVgpWtUUQqSFFBK6XeHpvX&#10;zeLmZUlSd+2vb4RCj8PMfMPMFp2txZV8qBwrGA0zEMSF0xWXCk7v68EURIjIGmvHpOBGARbzh94M&#10;c+1aPtD1GEuRIBxyVGBibHIpQ2HIYhi6hjh5X85bjEn6UmqPbYLbWo6zbCItVpwWDDa0MlRcjt9W&#10;wWe733748BPeztPT86vxu3Nc7ZR67HfLFxCRuvgf/mtvtILx5Anu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oWI8YAAADcAAAADwAAAAAAAAAAAAAAAACYAgAAZHJz&#10;L2Rvd25yZXYueG1sUEsFBgAAAAAEAAQA9QAAAIsDAAAAAA==&#10;" path="m106,l53,105,,,106,e" filled="f" strokecolor="green" strokeweight="8e-5mm">
                    <v:stroke endcap="round"/>
                    <v:path arrowok="t" o:connecttype="custom" o:connectlocs="106,0;53,105;0,0;106,0" o:connectangles="0,0,0,0"/>
                  </v:shape>
                </v:group>
                <v:rect id="Rectangle 261" o:spid="_x0000_s1355" style="position:absolute;left:34351;top:5057;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Yes</w:t>
                        </w:r>
                      </w:p>
                    </w:txbxContent>
                  </v:textbox>
                </v:rect>
                <v:rect id="Rectangle 262" o:spid="_x0000_s1356" style="position:absolute;left:9338;top:3698;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263" o:spid="_x0000_s1357" style="position:absolute;left:5979;top:10035;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264" o:spid="_x0000_s1358" style="position:absolute;left:25099;top:10067;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Yes</w:t>
                        </w:r>
                      </w:p>
                    </w:txbxContent>
                  </v:textbox>
                </v:rect>
                <v:rect id="Rectangle 265" o:spid="_x0000_s1359" style="position:absolute;left:27893;top:30571;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1C6BE7" w:rsidRDefault="001C6BE7" w:rsidP="006C2E16">
                        <w:r>
                          <w:rPr>
                            <w:rFonts w:cs="Times New Roman"/>
                            <w:color w:val="000000"/>
                            <w:sz w:val="16"/>
                            <w:szCs w:val="16"/>
                            <w:lang w:val="en-US"/>
                          </w:rPr>
                          <w:t>Yes</w:t>
                        </w:r>
                      </w:p>
                    </w:txbxContent>
                  </v:textbox>
                </v:rect>
                <v:group id="Group 266" o:spid="_x0000_s1360" style="position:absolute;left:20775;top:30355;width:667;height:6795" coordorigin="3352,4857" coordsize="105,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67" o:spid="_x0000_s1361" style="position:absolute;left:3352;top:4857;width:105;height:1070;visibility:visible;mso-wrap-style:square;v-text-anchor:top" coordsize="105,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He8AA&#10;AADcAAAADwAAAGRycy9kb3ducmV2LnhtbERPy4rCMBTdC/5DuII7TXUxI9W0+BihOxkV3F6ba1ts&#10;btomav17sxiY5eG8V2lvavGkzlWWFcymEQji3OqKCwXn036yAOE8ssbaMil4k4M0GQ5WGGv74l96&#10;Hn0hQgi7GBWU3jexlC4vyaCb2oY4cDfbGfQBdoXUHb5CuKnlPIq+pMGKQ0OJDW1Lyu/Hh1HgN1l7&#10;2dq+XeAjv7bR/ifbHc5KjUf9egnCU+//xX/uTCuYf4f54Uw4Aj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THe8AAAADcAAAADwAAAAAAAAAAAAAAAACYAgAAZHJzL2Rvd25y&#10;ZXYueG1sUEsFBgAAAAAEAAQA9QAAAIUDAAAAAA==&#10;" path="m70,r,982l35,982,35,,70,xm105,967l53,1070,,967r105,xe" fillcolor="red" stroked="f">
                    <v:path arrowok="t" o:connecttype="custom" o:connectlocs="70,0;70,982;35,982;35,0;70,0;105,967;53,1070;0,967;105,967" o:connectangles="0,0,0,0,0,0,0,0,0"/>
                    <o:lock v:ext="edit" verticies="t"/>
                  </v:shape>
                  <v:rect id="Rectangle 268" o:spid="_x0000_s1362" style="position:absolute;left:3387;top:4857;width:35;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S9MUA&#10;AADcAAAADwAAAGRycy9kb3ducmV2LnhtbESPT2vCQBTE7wW/w/KE3uomHtoaXYMIBSmkUBvw+sw+&#10;88fs2zS7xuTbdwuFHoeZ+Q2zSUfTioF6V1tWEC8iEMSF1TWXCvKvt6dXEM4ja2wtk4KJHKTb2cMG&#10;E23v/EnD0ZciQNglqKDyvkukdEVFBt3CdsTBu9jeoA+yL6Xu8R7gppXLKHqWBmsOCxV2tK+ouB5v&#10;RsF58vnqvfm4xKfVdz44zsqGMqUe5+NuDcLT6P/Df+2DVrB8i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RL0xQAAANwAAAAPAAAAAAAAAAAAAAAAAJgCAABkcnMv&#10;ZG93bnJldi54bWxQSwUGAAAAAAQABAD1AAAAigMAAAAA&#10;" filled="f" strokecolor="red" strokeweight="8e-5mm">
                    <v:stroke joinstyle="round" endcap="round"/>
                  </v:rect>
                  <v:shape id="Freeform 269" o:spid="_x0000_s1363" style="position:absolute;left:3352;top:5824;width:105;height:103;visibility:visible;mso-wrap-style:square;v-text-anchor:top" coordsize="10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xR8gA&#10;AADcAAAADwAAAGRycy9kb3ducmV2LnhtbESPS2/CMBCE75X6H6ytxK04DYhHikFVEaiHCkF4nLfx&#10;NgnE6zR2Ifx7XKkSx9HMfKOZzFpTiTM1rrSs4KUbgSDOrC45V7DbLp5HIJxH1lhZJgVXcjCbPj5M&#10;MNH2whs6pz4XAcIuQQWF93UipcsKMui6tiYO3rdtDPogm1zqBi8BbioZR9FAGiw5LBRY03tB2Sn9&#10;NQoWy/mqPzguv8b7z95h36dt+rOeK9V5at9eQXhq/T383/7QCuJhDH9nw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vFHyAAAANwAAAAPAAAAAAAAAAAAAAAAAJgCAABk&#10;cnMvZG93bnJldi54bWxQSwUGAAAAAAQABAD1AAAAjQMAAAAA&#10;" path="m105,l53,103,,,105,e" filled="f" strokecolor="red" strokeweight="8e-5mm">
                    <v:stroke endcap="round"/>
                    <v:path arrowok="t" o:connecttype="custom" o:connectlocs="105,0;53,103;0,0;105,0" o:connectangles="0,0,0,0"/>
                  </v:shape>
                </v:group>
                <v:rect id="Rectangle 270" o:spid="_x0000_s1364" style="position:absolute;left:19117;top:32177;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271" o:spid="_x0000_s1365" style="position:absolute;left:30281;top:70138;width:1144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bm8gA&#10;AADcAAAADwAAAGRycy9kb3ducmV2LnhtbESPW2vCQBSE3wX/w3IKfdNNtV5IXUUKgtAHLy1q306z&#10;p0ls9mzIbpP4711B8HGYmW+Y2aI1haipcrllBS/9CARxYnXOqYKvz1VvCsJ5ZI2FZVJwIQeLebcz&#10;w1jbhndU730qAoRdjAoy78tYSpdkZND1bUkcvF9bGfRBVqnUFTYBbgo5iKKxNJhzWMiwpPeMkr/9&#10;v1FwWkaby3ZYjw67deOPUzf6+Th/K/X81C7fQHhq/SN8b6+1gsHkFW5nw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JubyAAAANwAAAAPAAAAAAAAAAAAAAAAAJgCAABk&#10;cnMvZG93bnJldi54bWxQSwUGAAAAAAQABAD1AAAAjQMAAAAA&#10;" filled="f" strokecolor="blue" strokeweight="97e-5mm">
                  <v:stroke endcap="round"/>
                </v:rect>
                <v:rect id="Rectangle 272" o:spid="_x0000_s1366" style="position:absolute;left:33221;top:69642;width:556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 xml:space="preserve">Reality check </w:t>
                        </w:r>
                      </w:p>
                    </w:txbxContent>
                  </v:textbox>
                </v:rect>
                <v:group id="Group 273" o:spid="_x0000_s1367" style="position:absolute;left:27645;top:70360;width:2636;height:591" coordorigin="4434,11157" coordsize="4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74" o:spid="_x0000_s1368" style="position:absolute;left:4434;top:11157;width:415;height:93;visibility:visible;mso-wrap-style:square;v-text-anchor:top" coordsize="4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T4sEA&#10;AADcAAAADwAAAGRycy9kb3ducmV2LnhtbESPQWvCQBSE74X+h+UVvNVNPSQ2ukqpCN4k0R/wyL5m&#10;g9m3Ifuq8d+7QqHHYWa+YdbbyffqSmPsAhv4mGegiJtgO24NnE/79yWoKMgW+8Bk4E4RtpvXlzWW&#10;Nty4omstrUoQjiUacCJDqXVsHHmM8zAQJ+8njB4lybHVdsRbgvteL7Is1x47TgsOB/p21FzqX2+g&#10;8rkrmnCUQ41adtXnvs2n3pjZ2/S1AiU0yX/4r32wBhZFAc8z6Qj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F0+LBAAAA3AAAAA8AAAAAAAAAAAAAAAAAmAIAAGRycy9kb3du&#10;cmV2LnhtbFBLBQYAAAAABAAEAPUAAACGAwAAAAA=&#10;" path="m340,58l77,58r,-22l340,36r,22xm323,r92,45l325,93,323,xm92,93l,45,92,r,93xe" fillcolor="blue" stroked="f">
                    <v:path arrowok="t" o:connecttype="custom" o:connectlocs="340,58;77,58;77,36;340,36;340,58;323,0;415,45;325,93;323,0;92,93;0,45;92,0;92,93" o:connectangles="0,0,0,0,0,0,0,0,0,0,0,0,0"/>
                    <o:lock v:ext="edit" verticies="t"/>
                  </v:shape>
                  <v:rect id="Rectangle 275" o:spid="_x0000_s1369" style="position:absolute;left:4511;top:11193;width:263;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a7cIA&#10;AADcAAAADwAAAGRycy9kb3ducmV2LnhtbERPTWvCQBC9C/6HZYTezKYitkRXqaKleGpsBXMbsmMS&#10;zM6G7DaJ/vruodDj432vNoOpRUetqywreI5iEMS51RUXCr6/DtNXEM4ja6wtk4I7Odisx6MVJtr2&#10;nFJ38oUIIewSVFB63yRSurwkgy6yDXHgrrY16ANsC6lb7EO4qeUsjhfSYMWhocSGdiXlt9OPUXBx&#10;t+6432YPfzgzZ/Gc3j9TUuppMrwtQXga/L/4z/2hFcxewtp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BrtwgAAANwAAAAPAAAAAAAAAAAAAAAAAJgCAABkcnMvZG93&#10;bnJldi54bWxQSwUGAAAAAAQABAD1AAAAhwMAAAAA&#10;" filled="f" strokecolor="blue" strokeweight="8e-5mm">
                    <v:stroke joinstyle="round" endcap="round"/>
                  </v:rect>
                  <v:shape id="Freeform 276" o:spid="_x0000_s1370" style="position:absolute;left:4757;top:11157;width:92;height:93;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D6cYA&#10;AADcAAAADwAAAGRycy9kb3ducmV2LnhtbESPT2sCMRTE74V+h/AKXkrNugf/rEYpoqWHKqhtz4/N&#10;c7N087IkUVc/fSMUehxm5jfMbNHZRpzJh9qxgkE/A0FcOl1zpeDzsH4ZgwgRWWPjmBRcKcBi/vgw&#10;w0K7C+/ovI+VSBAOBSowMbaFlKE0ZDH0XUucvKPzFmOSvpLa4yXBbSPzLBtKizWnBYMtLQ2VP/uT&#10;VUAnZ7/fnm+jw3ZpVhu/Gnzk1y+lek/d6xREpC7+h//a71pBPprA/U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VD6cYAAADcAAAADwAAAAAAAAAAAAAAAACYAgAAZHJz&#10;L2Rvd25yZXYueG1sUEsFBgAAAAAEAAQA9QAAAIsDAAAAAA==&#10;" path="m,l92,45,2,93,,e" filled="f" strokecolor="blue" strokeweight="8e-5mm">
                    <v:stroke endcap="round"/>
                    <v:path arrowok="t" o:connecttype="custom" o:connectlocs="0,0;92,45;2,93;0,0" o:connectangles="0,0,0,0"/>
                  </v:shape>
                  <v:shape id="Freeform 277" o:spid="_x0000_s1371" style="position:absolute;left:4434;top:11157;width:92;height:93;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aU8IA&#10;AADcAAAADwAAAGRycy9kb3ducmV2LnhtbERPy2oCMRTdF/yHcIVuimacRZXRKCK2dNEK9bW+TK6T&#10;wcnNkEQd/XqzKHR5OO/ZorONuJIPtWMFo2EGgrh0uuZKwX73MZiACBFZY+OYFNwpwGLee5lhod2N&#10;f+m6jZVIIRwKVGBibAspQ2nIYhi6ljhxJ+ctxgR9JbXHWwq3jcyz7F1arDk1GGxpZag8by9WAV2c&#10;PX6+Pca7zcqsf/x69J3fD0q99rvlFESkLv6L/9xfWkE+SfPTmXQ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ppTwgAAANwAAAAPAAAAAAAAAAAAAAAAAJgCAABkcnMvZG93&#10;bnJldi54bWxQSwUGAAAAAAQABAD1AAAAhwMAAAAA&#10;" path="m92,93l,45,92,r,93e" filled="f" strokecolor="blue" strokeweight="8e-5mm">
                    <v:stroke endcap="round"/>
                    <v:path arrowok="t" o:connecttype="custom" o:connectlocs="92,93;0,45;92,0;92,93" o:connectangles="0,0,0,0"/>
                  </v:shape>
                </v:group>
                <v:group id="Group 278" o:spid="_x0000_s1372" style="position:absolute;left:40980;top:14912;width:674;height:55099" coordorigin="6534,2425" coordsize="106,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79" o:spid="_x0000_s1373" style="position:absolute;left:6534;top:2425;width:106;height:8677;visibility:visible;mso-wrap-style:square;v-text-anchor:top" coordsize="106,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dvcAA&#10;AADcAAAADwAAAGRycy9kb3ducmV2LnhtbESPzarCMBSE94LvEI7gRjS1i0utRin+QO/Snwc4NMe2&#10;2JyUJmp9eyMILoeZ+YZZbXrTiAd1rrasYD6LQBAXVtdcKricD9MEhPPIGhvLpOBFDjbr4WCFqbZP&#10;PtLj5EsRIOxSVFB536ZSuqIig25mW+LgXW1n0AfZlVJ3+Axw08g4iv6kwZrDQoUtbSsqbqe7UXDP&#10;Ion/CS6yudb7XT7ZF7m5KDUe9dkShKfe/8Lfdq4VxEkMnzPh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DdvcAAAADcAAAADwAAAAAAAAAAAAAAAACYAgAAZHJzL2Rvd25y&#10;ZXYueG1sUEsFBgAAAAAEAAQA9QAAAIUDAAAAAA==&#10;" path="m70,85r,8505l35,8590,35,85r35,xm,103l53,r53,103l,103xm106,8572l53,8677,,8572r106,xe" fillcolor="blue" stroked="f">
                    <v:path arrowok="t" o:connecttype="custom" o:connectlocs="70,85;70,8590;35,8590;35,85;70,85;0,103;53,0;106,103;0,103;106,8572;53,8677;0,8572;106,8572" o:connectangles="0,0,0,0,0,0,0,0,0,0,0,0,0"/>
                    <o:lock v:ext="edit" verticies="t"/>
                  </v:shape>
                  <v:rect id="Rectangle 280" o:spid="_x0000_s1374" style="position:absolute;left:6569;top:2510;width:35;height:8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4u8QA&#10;AADcAAAADwAAAGRycy9kb3ducmV2LnhtbESPT4vCMBTE7wt+h/AEb2uqLiLVKCoq4sm/oLdH82yL&#10;zUtpYu366TcLC3scZuY3zGTWmELUVLncsoJeNwJBnFidc6rgfFp/jkA4j6yxsEwKvsnBbNr6mGCs&#10;7YsPVB99KgKEXYwKMu/LWEqXZGTQdW1JHLy7rQz6IKtU6gpfAW4K2Y+ioTSYc1jIsKRlRsnj+DQK&#10;ru5R71aL29uvL8y36Is2+wMp1Wk38zEIT43/D/+1t1pBfzSA3zPhCM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LvEAAAA3AAAAA8AAAAAAAAAAAAAAAAAmAIAAGRycy9k&#10;b3ducmV2LnhtbFBLBQYAAAAABAAEAPUAAACJAwAAAAA=&#10;" filled="f" strokecolor="blue" strokeweight="8e-5mm">
                    <v:stroke joinstyle="round" endcap="round"/>
                  </v:rect>
                  <v:shape id="Freeform 281" o:spid="_x0000_s1375" style="position:absolute;left:6534;top:2425;width:106;height:103;visibility:visible;mso-wrap-style:square;v-text-anchor:top" coordsize="10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27McA&#10;AADcAAAADwAAAGRycy9kb3ducmV2LnhtbESPT2vCQBTE7wW/w/KE3pqNIkXSrCL+AZH20ChCb6/Z&#10;1ySYfZtm1yTtp+8WBI/DzPyGSZeDqUVHrassK5hEMQji3OqKCwWn4+5pDsJ5ZI21ZVLwQw6Wi9FD&#10;iom2Pb9Tl/lCBAi7BBWU3jeJlC4vyaCLbEMcvC/bGvRBtoXULfYBbmo5jeNnabDisFBiQ+uS8kt2&#10;NQrOM7v5/T5kq5y3b5+7/av/qNZaqcfxsHoB4Wnw9/CtvdcKpvMZ/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1tuzHAAAA3AAAAA8AAAAAAAAAAAAAAAAAmAIAAGRy&#10;cy9kb3ducmV2LnhtbFBLBQYAAAAABAAEAPUAAACMAwAAAAA=&#10;" path="m,103l53,r53,103l,103e" filled="f" strokecolor="blue" strokeweight="8e-5mm">
                    <v:stroke endcap="round"/>
                    <v:path arrowok="t" o:connecttype="custom" o:connectlocs="0,103;53,0;106,103;0,103" o:connectangles="0,0,0,0"/>
                  </v:shape>
                  <v:shape id="Freeform 282" o:spid="_x0000_s1376" style="position:absolute;left:6534;top:1099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9jsYA&#10;AADcAAAADwAAAGRycy9kb3ducmV2LnhtbESPQWsCMRSE7wX/Q3iFXopmK1hkNUqRthSq4qrQHl83&#10;r7vBzcuSpLr+eyMUPA4z8w0znXe2EUfywThW8DTIQBCXThuuFOx3b/0xiBCRNTaOScGZAsxnvbsp&#10;5tqduKDjNlYiQTjkqKCOsc2lDGVNFsPAtcTJ+3XeYkzSV1J7PCW4beQwy56lRcNpocaWFjWVh+2f&#10;VbBafn2/y6p4XG7Wxc9rMJ8jc/BKPdx3LxMQkbp4C/+3P7SC4XgE1zPp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n9jsYAAADcAAAADwAAAAAAAAAAAAAAAACYAgAAZHJz&#10;L2Rvd25yZXYueG1sUEsFBgAAAAAEAAQA9QAAAIsDAAAAAA==&#10;" path="m106,l53,105,,,106,e" filled="f" strokecolor="blue" strokeweight="8e-5mm">
                    <v:stroke endcap="round"/>
                    <v:path arrowok="t" o:connecttype="custom" o:connectlocs="106,0;53,105;0,0;106,0" o:connectangles="0,0,0,0"/>
                  </v:shape>
                </v:group>
                <v:group id="Group 283" o:spid="_x0000_s1377" style="position:absolute;left:11472;top:40248;width:673;height:2356" coordorigin="1887,6415" coordsize="10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84" o:spid="_x0000_s1378" style="position:absolute;left:1887;top:6415;width:106;height:371;visibility:visible;mso-wrap-style:square;v-text-anchor:top" coordsize="106,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hlcMA&#10;AADcAAAADwAAAGRycy9kb3ducmV2LnhtbESP3YrCMBSE7xd8h3AE77apCrtaG0XUhYJXW32AY3P6&#10;g81JaaLWt98sCF4OM/MNk24G04o79a6xrGAaxSCIC6sbrhScTz+fCxDOI2tsLZOCJznYrEcfKSba&#10;PviX7rmvRICwS1BB7X2XSOmKmgy6yHbEwSttb9AH2VdS9/gIcNPKWRx/SYMNh4UaO9rVVFzzm1GQ&#10;LY9mKLaXY7nP5ocKs50/l7lSk/GwXYHwNPh3+NXOtILZ4hv+z4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8hlcMAAADcAAAADwAAAAAAAAAAAAAAAACYAgAAZHJzL2Rv&#10;d25yZXYueG1sUEsFBgAAAAAEAAQA9QAAAIgDAAAAAA==&#10;" path="m70,r,283l36,283,36,,70,xm106,266l53,371,,266r106,xe" fillcolor="blue" stroked="f">
                    <v:path arrowok="t" o:connecttype="custom" o:connectlocs="70,0;70,283;36,283;36,0;70,0;106,266;53,371;0,266;106,266" o:connectangles="0,0,0,0,0,0,0,0,0"/>
                    <o:lock v:ext="edit" verticies="t"/>
                  </v:shape>
                  <v:rect id="Rectangle 285" o:spid="_x0000_s1379" style="position:absolute;left:1923;top:6415;width: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qysEA&#10;AADcAAAADwAAAGRycy9kb3ducmV2LnhtbERPy4rCMBTdD8w/hDvgbkwVEanGosMo4srHDOju0lzb&#10;0uamNLFWv94sBJeH854lnalES40rLCsY9CMQxKnVBWcK/o6r7wkI55E1VpZJwZ0cJPPPjxnG2t54&#10;T+3BZyKEsItRQe59HUvp0pwMur6tiQN3sY1BH2CTSd3gLYSbSg6jaCwNFhwacqzpJ6e0PFyNgpMr&#10;2+3v8vzwq3/mczSi9W5PSvW+usUUhKfOv8Uv90YrGE7C2n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JasrBAAAA3AAAAA8AAAAAAAAAAAAAAAAAmAIAAGRycy9kb3du&#10;cmV2LnhtbFBLBQYAAAAABAAEAPUAAACGAwAAAAA=&#10;" filled="f" strokecolor="blue" strokeweight="8e-5mm">
                    <v:stroke joinstyle="round" endcap="round"/>
                  </v:rect>
                  <v:shape id="Freeform 286" o:spid="_x0000_s1380" style="position:absolute;left:1887;top:6681;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3i8cA&#10;AADcAAAADwAAAGRycy9kb3ducmV2LnhtbESPQWsCMRSE74X+h/AKvUjNKlR0NUopthSqxbWFenxu&#10;nrvBzcuSpLr++0Yo9DjMzDfMbNHZRpzIB+NYwaCfgSAunTZcKfj6fHkYgwgRWWPjmBRcKMBifnsz&#10;w1y7Mxd02sZKJAiHHBXUMba5lKGsyWLou5Y4eQfnLcYkfSW1x3OC20YOs2wkLRpOCzW29FxTedz+&#10;WAXr1ffuVVZFb7X5KPbLYN4fzdErdX/XPU1BROrif/iv/aYVDMcTuJ5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k94vHAAAA3AAAAA8AAAAAAAAAAAAAAAAAmAIAAGRy&#10;cy9kb3ducmV2LnhtbFBLBQYAAAAABAAEAPUAAACMAwAAAAA=&#10;" path="m106,l53,105,,,106,e" filled="f" strokecolor="blue" strokeweight="8e-5mm">
                    <v:stroke endcap="round"/>
                    <v:path arrowok="t" o:connecttype="custom" o:connectlocs="106,0;53,105;0,0;106,0" o:connectangles="0,0,0,0"/>
                  </v:shape>
                </v:group>
                <v:group id="Group 287" o:spid="_x0000_s1381" style="position:absolute;left:28198;top:14912;width:673;height:2114" coordorigin="4521,2425" coordsize="10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88" o:spid="_x0000_s1382" style="position:absolute;left:4521;top:2425;width:106;height:333;visibility:visible;mso-wrap-style:square;v-text-anchor:top" coordsize="10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dS8QA&#10;AADcAAAADwAAAGRycy9kb3ducmV2LnhtbESPQYvCMBSE74L/ITzBm6YKLm41ShVkhd2L1oPHZ/Ns&#10;i81LabK2+us3grDHYWa+YZbrzlTiTo0rLSuYjCMQxJnVJecKTuluNAfhPLLGyjIpeJCD9arfW2Ks&#10;bcsHuh99LgKEXYwKCu/rWEqXFWTQjW1NHLyrbQz6IJtc6gbbADeVnEbRhzRYclgosKZtQdnt+GsU&#10;2L35Sf0mmX1/3co2eybnS7o5KzUcdMkChKfO/4ff7b1WMP2cwOt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XUvEAAAA3AAAAA8AAAAAAAAAAAAAAAAAmAIAAGRycy9k&#10;b3ducmV2LnhtbFBLBQYAAAAABAAEAPUAAACJAwAAAAA=&#10;" path="m68,r2,245l35,245,35,,68,xm106,228l53,333,,230r106,-2xe" fillcolor="blue" stroked="f">
                    <v:path arrowok="t" o:connecttype="custom" o:connectlocs="68,0;70,245;35,245;35,0;68,0;106,228;53,333;0,230;106,228" o:connectangles="0,0,0,0,0,0,0,0,0"/>
                    <o:lock v:ext="edit" verticies="t"/>
                  </v:shape>
                  <v:shape id="Freeform 289" o:spid="_x0000_s1383" style="position:absolute;left:4556;top:2425;width:35;height:245;visibility:visible;mso-wrap-style:square;v-text-anchor:top" coordsize="3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g8UA&#10;AADcAAAADwAAAGRycy9kb3ducmV2LnhtbESPzWrDMBCE74W+g9hCb41cH5LUjRJCoZBDLklKim+L&#10;tbVFrJWRVP/06aNAoMdhZr5hVpvRtqInH4xjBa+zDARx5bThWsHX6fNlCSJEZI2tY1IwUYDN+vFh&#10;hYV2Ax+oP8ZaJAiHAhU0MXaFlKFqyGKYuY44eT/OW4xJ+lpqj0OC21bmWTaXFg2nhQY7+miouhx/&#10;rYL9ZIazKb8n39vDYr/oS17+lUo9P43bdxCRxvgfvrd3WkH+lsPt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piDxQAAANwAAAAPAAAAAAAAAAAAAAAAAJgCAABkcnMv&#10;ZG93bnJldi54bWxQSwUGAAAAAAQABAD1AAAAigMAAAAA&#10;" path="m33,r2,245l,245,,,33,xe" filled="f" strokecolor="blue" strokeweight="8e-5mm">
                    <v:stroke endcap="round"/>
                    <v:path arrowok="t" o:connecttype="custom" o:connectlocs="33,0;35,245;0,245;0,0;33,0" o:connectangles="0,0,0,0,0"/>
                  </v:shape>
                  <v:shape id="Freeform 290" o:spid="_x0000_s1384" style="position:absolute;left:4521;top:2653;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vMcA&#10;AADcAAAADwAAAGRycy9kb3ducmV2LnhtbESPUUsCQRSF3wP/w3AFXyJnNZJaHUUiJUijtSAfbzu3&#10;3cGdO8vMpOu/d4Kgx8M55zuc2aKzjTiSD8axgtEwA0FcOm24UvDxvrq5BxEissbGMSk4U4DFvHc1&#10;w1y7Exd03MVKJAiHHBXUMba5lKGsyWIYupY4ed/OW4xJ+kpqj6cEt40cZ9lEWjScFmps6bGm8rD7&#10;sQq2m8/9WlbF9ebttfh6Cublzhy8UoN+t5yCiNTF//Bf+1krGD/cwu+Zd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VVrzHAAAA3AAAAA8AAAAAAAAAAAAAAAAAmAIAAGRy&#10;cy9kb3ducmV2LnhtbFBLBQYAAAAABAAEAPUAAACMAwAAAAA=&#10;" path="m106,l53,105,,2,106,e" filled="f" strokecolor="blue" strokeweight="8e-5mm">
                    <v:stroke endcap="round"/>
                    <v:path arrowok="t" o:connecttype="custom" o:connectlocs="106,0;53,105;0,2;106,0" o:connectangles="0,0,0,0"/>
                  </v:shape>
                </v:group>
                <v:rect id="Rectangle 291" o:spid="_x0000_s1385" style="position:absolute;left:4766;top:17071;width:35789;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i6MMA&#10;AADcAAAADwAAAGRycy9kb3ducmV2LnhtbESPQWvCQBSE7wX/w/KE3uqmoZU2dRNMQei1GiTHR/Y1&#10;G5p9G7NbTf31riB4HOabGWZVTLYXRxp951jB8yIBQdw43XGroNptnt5A+ICssXdMCv7JQ5HPHlaY&#10;aXfibzpuQytiCfsMFZgQhkxK3xiy6BduII7ejxsthijHVuoRT7Hc9jJNkqW02HFcMDjQp6Hmd/tn&#10;FdhI212/rw/nrpYbei3LqjJKPc6n9QeIQFO4w7f0l1aQvr/A9Uw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ii6MMAAADcAAAADwAAAAAAAAAAAAAAAACYAgAAZHJzL2Rv&#10;d25yZXYueG1sUEsFBgAAAAAEAAQA9QAAAIgDAAAAAA==&#10;" filled="f" strokeweight="97e-5mm">
                  <v:stroke endcap="round"/>
                </v:rect>
                <v:group id="Group 292" o:spid="_x0000_s1386" style="position:absolute;left:20286;top:19776;width:648;height:1575" coordorigin="3275,3191" coordsize="10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93" o:spid="_x0000_s1387" style="position:absolute;left:3275;top:3191;width:102;height:248;visibility:visible;mso-wrap-style:square;v-text-anchor:top" coordsize="10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L5cQA&#10;AADcAAAADwAAAGRycy9kb3ducmV2LnhtbESPQWvCQBSE70L/w/IKvYhuDCI1uglF0Pba6KHHR/aZ&#10;jcm+TbOrpv++Wyh4HGbmG2ZbjLYTNxp841jBYp6AIK6cbrhWcDruZ68gfEDW2DkmBT/kocifJlvM&#10;tLvzJ93KUIsIYZ+hAhNCn0npK0MW/dz1xNE7u8FiiHKopR7wHuG2k2mSrKTFhuOCwZ52hqq2vFoF&#10;cnmZfpmla9e+ndJ3+X5I7C5V6uV5fNuACDSGR/i//aEVpOsV/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S+XEAAAA3AAAAA8AAAAAAAAAAAAAAAAAmAIAAGRycy9k&#10;b3ducmV2LnhtbFBLBQYAAAAABAAEAPUAAACJAwAAAAA=&#10;" path="m67,r,160l34,160,32,,67,xm102,143l52,248,,145r102,-2xe" fillcolor="blue" stroked="f">
                    <v:path arrowok="t" o:connecttype="custom" o:connectlocs="67,0;67,160;34,160;32,0;67,0;102,143;52,248;0,145;102,143" o:connectangles="0,0,0,0,0,0,0,0,0"/>
                    <o:lock v:ext="edit" verticies="t"/>
                  </v:shape>
                  <v:shape id="Freeform 294" o:spid="_x0000_s1388" style="position:absolute;left:3307;top:3191;width:35;height:160;visibility:visible;mso-wrap-style:square;v-text-anchor:top" coordsize="3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bQsUA&#10;AADcAAAADwAAAGRycy9kb3ducmV2LnhtbESP3WrCQBSE7wu+w3IE7+rGiNWmrqIBaa+KP32AQ/Y0&#10;CWbPhuyarD59t1Do5TAz3zDrbTCN6KlztWUFs2kCgriwuuZSwdfl8LwC4TyyxsYyKbiTg+1m9LTG&#10;TNuBT9SffSkihF2GCirv20xKV1Rk0E1tSxy9b9sZ9FF2pdQdDhFuGpkmyYs0WHNcqLClvKLier4Z&#10;BXU+ny+S22COoV883i9pOH3me6Um47B7A+Ep+P/wX/tDK0hfl/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5tCxQAAANwAAAAPAAAAAAAAAAAAAAAAAJgCAABkcnMv&#10;ZG93bnJldi54bWxQSwUGAAAAAAQABAD1AAAAigMAAAAA&#10;" path="m35,r,160l2,160,,,35,xe" filled="f" strokecolor="blue" strokeweight="8e-5mm">
                    <v:stroke endcap="round"/>
                    <v:path arrowok="t" o:connecttype="custom" o:connectlocs="35,0;35,160;2,160;0,0;35,0" o:connectangles="0,0,0,0,0"/>
                  </v:shape>
                  <v:shape id="Freeform 295" o:spid="_x0000_s1389" style="position:absolute;left:3275;top:3334;width:102;height:105;visibility:visible;mso-wrap-style:square;v-text-anchor:top" coordsize="1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3m8MA&#10;AADcAAAADwAAAGRycy9kb3ducmV2LnhtbERPyWrDMBC9F/oPYgq9lESuCSVxLZsSCLTpIWSB5jhY&#10;U9vYGhlLXvL30aHQ4+PtaT6bVozUu9qygtdlBIK4sLrmUsHlvFusQTiPrLG1TApu5CDPHh9STLSd&#10;+EjjyZcihLBLUEHlfZdI6YqKDLql7YgD92t7gz7AvpS6xymEm1bGUfQmDdYcGirsaFtR0ZwGo2D/&#10;dYhb2ey4Hg7bl+/xuip+zlelnp/mj3cQnmb/L/5zf2oF8SasDWfC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i3m8MAAADcAAAADwAAAAAAAAAAAAAAAACYAgAAZHJzL2Rv&#10;d25yZXYueG1sUEsFBgAAAAAEAAQA9QAAAIgDAAAAAA==&#10;" path="m102,l52,105,,2,102,e" filled="f" strokecolor="blue" strokeweight="8e-5mm">
                    <v:stroke endcap="round"/>
                    <v:path arrowok="t" o:connecttype="custom" o:connectlocs="102,0;52,105;0,2;102,0" o:connectangles="0,0,0,0"/>
                  </v:shape>
                </v:group>
                <v:rect id="Rectangle 296" o:spid="_x0000_s1390" style="position:absolute;left:5306;top:48757;width:13215;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NdsEA&#10;AADcAAAADwAAAGRycy9kb3ducmV2LnhtbESPQYvCMBSE7wv+h/AEb2uqoKxd07IKgle1iMdH87Yp&#10;27zUJmr11xtB2OMw38wwy7y3jbhS52vHCibjBARx6XTNlYLisPn8AuEDssbGMSm4k4c8G3wsMdXu&#10;xju67kMlYgn7FBWYENpUSl8asujHriWO3q/rLIYou0rqDm+x3DZymiRzabHmuGCwpbWh8m9/sQps&#10;pO2hOZ7Oj/okNzRbrYrCKDUa9j/fIAL14R9+p7dawXSxgNe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ZDXbBAAAA3AAAAA8AAAAAAAAAAAAAAAAAmAIAAGRycy9kb3du&#10;cmV2LnhtbFBLBQYAAAAABAAEAPUAAACGAwAAAAA=&#10;" filled="f" strokeweight="97e-5mm">
                  <v:stroke endcap="round"/>
                </v:rect>
                <v:rect id="Rectangle 297" o:spid="_x0000_s1391" style="position:absolute;left:19727;top:48694;width:1320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8b4A&#10;AADcAAAADwAAAGRycy9kb3ducmV2LnhtbERPTWvCQBC9F/wPywi91Y0WS4muooLgtRqKxyE7ZoPZ&#10;2ZhdNfrrOwehx8f7ni9736gbdbEObGA8ykARl8HWXBkoDtuPb1AxIVtsApOBB0VYLgZvc8xtuPMP&#10;3fapUhLCMUcDLqU21zqWjjzGUWiJhTuFzmMS2FXadniXcN/oSZZ9aY81S4PDljaOyvP+6g14UftD&#10;83u8POuj3tJ0vS4KZ8z7sF/NQCXq07/45d5ZA5+ZzJczcgT04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IPvG+AAAA3AAAAA8AAAAAAAAAAAAAAAAAmAIAAGRycy9kb3ducmV2&#10;LnhtbFBLBQYAAAAABAAEAPUAAACDAwAAAAA=&#10;" filled="f" strokeweight="97e-5mm">
                  <v:stroke endcap="round"/>
                </v:rect>
                <v:line id="Line 298" o:spid="_x0000_s1392" style="position:absolute;visibility:visible;mso-wrap-style:square" from="6322,52212" to="6329,6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diMQAAADcAAAADwAAAGRycy9kb3ducmV2LnhtbESPX2vCMBTF3wf7DuEO9jJs6oShtVFG&#10;x3Q+WgVfr821LWtuuiTT+u0XYeDj4fz5cfLlYDpxJudbywrGSQqCuLK65VrBfvc5moLwAVljZ5kU&#10;XMnDcvH4kGOm7YW3dC5DLeII+wwVNCH0mZS+asigT2xPHL2TdQZDlK6W2uEljptOvqbpmzTYciQ0&#10;2FPRUPVd/poIeRkm6499MXP9odjYn+1xtTo5pZ6fhvc5iEBDuIf/219awSQdw+1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x2IxAAAANwAAAAPAAAAAAAAAAAA&#10;AAAAAKECAABkcnMvZG93bnJldi54bWxQSwUGAAAAAAQABAD5AAAAkgMAAAAA&#10;" strokecolor="red" strokeweight="97e-5mm"/>
                <v:rect id="Rectangle 299" o:spid="_x0000_s1393" style="position:absolute;left:4011;top:53513;width:124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No</w:t>
                        </w:r>
                      </w:p>
                    </w:txbxContent>
                  </v:textbox>
                </v:rect>
                <v:rect id="Rectangle 300" o:spid="_x0000_s1394" style="position:absolute;left:8278;top:63254;width:22003;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rect id="Rectangle 301" o:spid="_x0000_s1395" style="position:absolute;left:8278;top:63254;width:22003;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0RcMA&#10;AADcAAAADwAAAGRycy9kb3ducmV2LnhtbESPzWrDMBCE74G+g9hCbrHU/DTBtRLaktCcQpvmARZr&#10;a5laK2OpjvP2USGQ4zAz3zDFZnCN6KkLtWcNT5kCQVx6U3Ol4fS9m6xAhIhssPFMGi4UYLN+GBWY&#10;G3/mL+qPsRIJwiFHDTbGNpcylJYchsy3xMn78Z3DmGRXSdPhOcFdI6dKPUuHNacFiy29Wyp/j39O&#10;g296Piw/tou3y3RpB0WInxVqPX4cXl9ARBriPXxr742GmZrD/5l0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0RcMAAADcAAAADwAAAAAAAAAAAAAAAACYAgAAZHJzL2Rv&#10;d25yZXYueG1sUEsFBgAAAAAEAAQA9QAAAIgDAAAAAA==&#10;" filled="f" strokeweight="83e-5mm">
                  <v:stroke endcap="round"/>
                </v:rect>
                <v:rect id="Rectangle 302" o:spid="_x0000_s1396" style="position:absolute;left:8278;top:63254;width:22003;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tS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i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21JxQAAANwAAAAPAAAAAAAAAAAAAAAAAJgCAABkcnMv&#10;ZG93bnJldi54bWxQSwUGAAAAAAQABAD1AAAAigMAAAAA&#10;" stroked="f"/>
                <v:rect id="Rectangle 303" o:spid="_x0000_s1397" style="position:absolute;left:8329;top:63254;width:22003;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PqcIA&#10;AADcAAAADwAAAGRycy9kb3ducmV2LnhtbESP0WoCMRRE3wX/IVyhb5po0ZXVKFpa2iex1g+4bK6b&#10;xc3NsknX9e8boeDjMDNnmPW2d7XoqA2VZw3TiQJBXHhTcanh/PMxXoIIEdlg7Zk03CnAdjMcrDE3&#10;/sbf1J1iKRKEQ44abIxNLmUoLDkME98QJ+/iW4cxybaUpsVbgrtazpRaSIcVpwWLDb1ZKq6nX6fB&#10;1x0fss/3+f4+y2yvCPFYotYvo363AhGpj8/wf/vLaHhVC3ic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g+pwgAAANwAAAAPAAAAAAAAAAAAAAAAAJgCAABkcnMvZG93&#10;bnJldi54bWxQSwUGAAAAAAQABAD1AAAAhwMAAAAA&#10;" filled="f" strokeweight="83e-5mm">
                  <v:stroke endcap="round"/>
                </v:rect>
                <v:rect id="Rectangle 304" o:spid="_x0000_s1398" style="position:absolute;left:9338;top:63788;width:533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 xml:space="preserve">Calculate the </w:t>
                        </w:r>
                      </w:p>
                    </w:txbxContent>
                  </v:textbox>
                </v:rect>
                <v:rect id="Rectangle 305" o:spid="_x0000_s1399" style="position:absolute;left:14698;top:63826;width:911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 xml:space="preserve"> ABC and add to ACL</w:t>
                        </w:r>
                      </w:p>
                    </w:txbxContent>
                  </v:textbox>
                </v:rect>
                <v:rect id="Rectangle 306" o:spid="_x0000_s1400" style="position:absolute;left:13383;top:53513;width:158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1C6BE7" w:rsidRDefault="001C6BE7" w:rsidP="006C2E16">
                        <w:r>
                          <w:rPr>
                            <w:rFonts w:cs="Times New Roman"/>
                            <w:color w:val="000000"/>
                            <w:sz w:val="16"/>
                            <w:szCs w:val="16"/>
                            <w:lang w:val="en-US"/>
                          </w:rPr>
                          <w:t>Yes</w:t>
                        </w:r>
                      </w:p>
                    </w:txbxContent>
                  </v:textbox>
                </v:rect>
                <v:rect id="Rectangle 307" o:spid="_x0000_s1401" style="position:absolute;left:25410;top:53513;width:158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1C6BE7" w:rsidRDefault="001C6BE7" w:rsidP="006C2E16">
                        <w:r>
                          <w:rPr>
                            <w:rFonts w:cs="Times New Roman"/>
                            <w:color w:val="000000"/>
                            <w:sz w:val="16"/>
                            <w:szCs w:val="16"/>
                            <w:lang w:val="en-US"/>
                          </w:rPr>
                          <w:t>Yes</w:t>
                        </w:r>
                      </w:p>
                    </w:txbxContent>
                  </v:textbox>
                </v:rect>
                <v:group id="Group 308" o:spid="_x0000_s1402" style="position:absolute;left:12348;top:52193;width:667;height:3054" coordorigin="2025,8296" coordsize="10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09" o:spid="_x0000_s1403" style="position:absolute;left:2025;top:8296;width:105;height:481;visibility:visible;mso-wrap-style:square;v-text-anchor:top" coordsize="10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F8cA&#10;AADcAAAADwAAAGRycy9kb3ducmV2LnhtbESPQUsDMRSE74L/ITzBm83uWlTWpsW2WkRFbOuhx9fN&#10;c7O6eVmStLv+eyMIHoeZ+YaZzAbbiiP50DhWkI8yEMSV0w3XCt63Dxc3IEJE1tg6JgXfFGA2PT2Z&#10;YKldz2s6bmItEoRDiQpMjF0pZagMWQwj1xEn78N5izFJX0vtsU9w28oiy66kxYbTgsGOFoaqr83B&#10;Krh/Lfbm5fp5OX/yn2/c57vV/DBW6vxsuLsFEWmI/+G/9qNWcJkX8HsmHQ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PnRfHAAAA3AAAAA8AAAAAAAAAAAAAAAAAmAIAAGRy&#10;cy9kb3ducmV2LnhtbFBLBQYAAAAABAAEAPUAAACMAwAAAAA=&#10;" path="m70,3r,391l35,394,38,,70,3xm105,379l53,481,,376r105,3xe" fillcolor="green" stroked="f">
                    <v:path arrowok="t" o:connecttype="custom" o:connectlocs="70,3;70,394;35,394;38,0;70,3;105,379;53,481;0,376;105,379" o:connectangles="0,0,0,0,0,0,0,0,0"/>
                    <o:lock v:ext="edit" verticies="t"/>
                  </v:shape>
                  <v:shape id="Freeform 310" o:spid="_x0000_s1404" style="position:absolute;left:2060;top:8296;width:35;height:394;visibility:visible;mso-wrap-style:square;v-text-anchor:top" coordsize="3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4W8UA&#10;AADcAAAADwAAAGRycy9kb3ducmV2LnhtbESPX2vCQBDE3wt+h2OFvki9WGkp0VPaQqn2qf4B8W3J&#10;bZPQ3F6425r47T1B6OMwM79h5sveNepEIdaeDUzGGSjiwtuaSwP73cfDC6goyBYbz2TgTBGWi8Hd&#10;HHPrO97QaSulShCOORqoRNpc61hU5DCOfUucvB8fHEqSodQ2YJfgrtGPWfasHdacFips6b2i4nf7&#10;5wx0Er706m13jPQpo8N3fNq0em3M/bB/nYES6uU/fGuvrIHpZArXM+kI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jhbxQAAANwAAAAPAAAAAAAAAAAAAAAAAJgCAABkcnMv&#10;ZG93bnJldi54bWxQSwUGAAAAAAQABAD1AAAAigMAAAAA&#10;" path="m35,3r,391l,394,3,,35,3xe" filled="f" strokecolor="green" strokeweight="8e-5mm">
                    <v:stroke endcap="round"/>
                    <v:path arrowok="t" o:connecttype="custom" o:connectlocs="35,3;35,394;0,394;3,0;35,3" o:connectangles="0,0,0,0,0"/>
                  </v:shape>
                  <v:shape id="Freeform 311" o:spid="_x0000_s1405" style="position:absolute;left:2025;top:8672;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qTMMA&#10;AADcAAAADwAAAGRycy9kb3ducmV2LnhtbESPT2sCMRTE70K/Q3gFb5r1D1K2RmmLop6sptDrY/O6&#10;u3TzsiRR129vBMHjMDO/YebLzjbiTD7UjhWMhhkI4sKZmksFP3o9eAMRIrLBxjEpuFKA5eKlN8fc&#10;uAsf6HyMpUgQDjkqqGJscylDUZHFMHQtcfL+nLcYk/SlNB4vCW4bOc6ymbRYc1qosKWvior/48kq&#10;0K0+/H7Wmd5uzE7vi2/yuxUp1X/tPt5BROriM/xob42CyWgK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EqTMMAAADcAAAADwAAAAAAAAAAAAAAAACYAgAAZHJzL2Rv&#10;d25yZXYueG1sUEsFBgAAAAAEAAQA9QAAAIgDAAAAAA==&#10;" path="m105,3l53,105,,,105,3e" filled="f" strokecolor="green" strokeweight="8e-5mm">
                    <v:stroke endcap="round"/>
                    <v:path arrowok="t" o:connecttype="custom" o:connectlocs="105,3;53,105;0,0;105,3" o:connectangles="0,0,0,0"/>
                  </v:shape>
                </v:group>
                <v:group id="Group 312" o:spid="_x0000_s1406" style="position:absolute;left:23797;top:52275;width:667;height:3042" coordorigin="3828,8309" coordsize="10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13" o:spid="_x0000_s1407" style="position:absolute;left:3828;top:8309;width:105;height:479;visibility:visible;mso-wrap-style:square;v-text-anchor:top" coordsize="10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ccYA&#10;AADcAAAADwAAAGRycy9kb3ducmV2LnhtbESPQWsCMRSE7wX/Q3iF3mp2FaRdjVIE0UKhrPWgt8fm&#10;ubu6eQlJ1G1/fVMoeBxm5htmtuhNJ67kQ2tZQT7MQBBXVrdcK9h9rZ5fQISIrLGzTAq+KcBiPniY&#10;YaHtjUu6bmMtEoRDgQqaGF0hZagaMhiG1hEn72i9wZikr6X2eEtw08lRlk2kwZbTQoOOlg1V5+3F&#10;KHCX3P+U49fP99PhY+32I1rtS1Lq6bF/m4KI1Md7+L+90QrG+Q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1yccYAAADcAAAADwAAAAAAAAAAAAAAAACYAgAAZHJz&#10;L2Rvd25yZXYueG1sUEsFBgAAAAAEAAQA9QAAAIsDAAAAAA==&#10;" path="m70,r,393l35,393,35,,70,xm105,376l52,479,,376r105,xe" fillcolor="green" stroked="f">
                    <v:path arrowok="t" o:connecttype="custom" o:connectlocs="70,0;70,393;35,393;35,0;70,0;105,376;52,479;0,376;105,376" o:connectangles="0,0,0,0,0,0,0,0,0"/>
                    <o:lock v:ext="edit" verticies="t"/>
                  </v:shape>
                  <v:rect id="Rectangle 314" o:spid="_x0000_s1408" style="position:absolute;left:3863;top:8309;width:3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Ja8MA&#10;AADcAAAADwAAAGRycy9kb3ducmV2LnhtbESP0YrCMBRE34X9h3AXfJE1rYou1SgiFBbBB6sfcEmu&#10;bdnmpjTZWv9+Iwg+DjNzhtnsBtuInjpfO1aQThMQxNqZmksF10v+9Q3CB2SDjWNS8CAPu+3HaIOZ&#10;cXc+U1+EUkQI+wwVVCG0mZReV2TRT11LHL2b6yyGKLtSmg7vEW4bOUuSpbRYc1yosKVDRfq3+LMK&#10;6ll+STWxnRyOi9O+z4840Uulxp/Dfg0i0BDe4Vf7xyiYpy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JJa8MAAADcAAAADwAAAAAAAAAAAAAAAACYAgAAZHJzL2Rv&#10;d25yZXYueG1sUEsFBgAAAAAEAAQA9QAAAIgDAAAAAA==&#10;" filled="f" strokecolor="green" strokeweight="8e-5mm">
                    <v:stroke joinstyle="round" endcap="round"/>
                  </v:rect>
                  <v:shape id="Freeform 315" o:spid="_x0000_s1409" style="position:absolute;left:3828;top:8685;width:105;height:103;visibility:visible;mso-wrap-style:square;v-text-anchor:top" coordsize="10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EusEA&#10;AADcAAAADwAAAGRycy9kb3ducmV2LnhtbERPzWrCQBC+F/oOyxR6qxsjFImuUqWCIB78eYBJdkxC&#10;s7Nhd2rSt3cPQo8f3/9yPbpO3SnE1rOB6SQDRVx523Jt4HrZfcxBRUG22HkmA38UYb16fVliYf3A&#10;J7qfpVYphGOBBhqRvtA6Vg05jBPfEyfu5oNDSTDU2gYcUrjrdJ5ln9phy6mhwZ62DVU/519noHR5&#10;Xh824fQ9l9uAm6Pdl1sx5v1t/FqAEhrlX/x0762B2TStTWfS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yRLrBAAAA3AAAAA8AAAAAAAAAAAAAAAAAmAIAAGRycy9kb3du&#10;cmV2LnhtbFBLBQYAAAAABAAEAPUAAACGAwAAAAA=&#10;" path="m105,l52,103,,,105,e" filled="f" strokecolor="green" strokeweight="8e-5mm">
                    <v:stroke endcap="round"/>
                    <v:path arrowok="t" o:connecttype="custom" o:connectlocs="105,0;52,103;0,0;105,0" o:connectangles="0,0,0,0"/>
                  </v:shape>
                </v:group>
                <v:line id="Line 316" o:spid="_x0000_s1410" style="position:absolute;visibility:visible;mso-wrap-style:square" from="31843,52053" to="31849,6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HU8QAAADcAAAADwAAAGRycy9kb3ducmV2LnhtbESPX2vCMBTF3wW/Q7jCXmSmKgztjCIV&#10;3Xy0Cnu9a65tsbmpSabdt1+EgY+H8+fHWaw604gbOV9bVjAeJSCIC6trLhWcjtvXGQgfkDU2lknB&#10;L3lYLfu9Baba3vlAtzyUIo6wT1FBFUKbSumLigz6kW2Jo3e2zmCI0pVSO7zHcdPISZK8SYM1R0KF&#10;LWUVFZf8x0TIsJt+bE7Z3LVf2d5eD9+73dkp9TLo1u8gAnXhGf5vf2oF0/EcHm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IdTxAAAANwAAAAPAAAAAAAAAAAA&#10;AAAAAKECAABkcnMvZG93bnJldi54bWxQSwUGAAAAAAQABAD5AAAAkgMAAAAA&#10;" strokecolor="red" strokeweight="97e-5mm"/>
                <v:rect id="Rectangle 317" o:spid="_x0000_s1411" style="position:absolute;left:32764;top:53437;width:124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1C6BE7" w:rsidRDefault="001C6BE7" w:rsidP="006C2E16">
                        <w:r>
                          <w:rPr>
                            <w:rFonts w:cs="Times New Roman"/>
                            <w:color w:val="000000"/>
                            <w:sz w:val="16"/>
                            <w:szCs w:val="16"/>
                            <w:lang w:val="en-US"/>
                          </w:rPr>
                          <w:t>No</w:t>
                        </w:r>
                      </w:p>
                    </w:txbxContent>
                  </v:textbox>
                </v:rect>
                <v:group id="Group 318" o:spid="_x0000_s1412" style="position:absolute;left:12348;top:60549;width:667;height:2356" coordorigin="2025,9612" coordsize="10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19" o:spid="_x0000_s1413" style="position:absolute;left:2025;top:9612;width:105;height:371;visibility:visible;mso-wrap-style:square;v-text-anchor:top" coordsize="10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2B8cA&#10;AADcAAAADwAAAGRycy9kb3ducmV2LnhtbESPQWvCQBSE7wX/w/KEXkKzMUKRmFWqYKmlB7VevD2y&#10;zyQ0+zZkV5Pm13cLhR6HmfmGydeDacSdOldbVjCLExDEhdU1lwrOn7unBQjnkTU2lknBNzlYryYP&#10;OWba9nyk+8mXIkDYZaig8r7NpHRFRQZdbFvi4F1tZ9AH2ZVSd9gHuGlkmiTP0mDNYaHClrYVFV+n&#10;m1GwHXd+E70vxo9DYrWMNvv+tbgo9TgdXpYgPA3+P/zXftMK5mkK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9gfHAAAA3AAAAA8AAAAAAAAAAAAAAAAAmAIAAGRy&#10;cy9kb3ducmV2LnhtbFBLBQYAAAAABAAEAPUAAACMAwAAAAA=&#10;" path="m70,r,283l35,283,38,,70,xm105,268l53,371,,268r105,xe" fillcolor="blue" stroked="f">
                    <v:path arrowok="t" o:connecttype="custom" o:connectlocs="70,0;70,283;35,283;38,0;70,0;105,268;53,371;0,268;105,268" o:connectangles="0,0,0,0,0,0,0,0,0"/>
                    <o:lock v:ext="edit" verticies="t"/>
                  </v:shape>
                  <v:shape id="Freeform 320" o:spid="_x0000_s1414" style="position:absolute;left:2060;top:9612;width:35;height:283;visibility:visible;mso-wrap-style:square;v-text-anchor:top" coordsize="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07sQA&#10;AADcAAAADwAAAGRycy9kb3ducmV2LnhtbESPQYvCMBSE74L/ITzB25paRZZqFFEEPYiuCnp8NM+2&#10;2ryUJmr332+EBY/DzHzDTGaNKcWTaldYVtDvRSCIU6sLzhScjquvbxDOI2ssLZOCX3Iwm7ZbE0y0&#10;ffEPPQ8+EwHCLkEFufdVIqVLczLoerYiDt7V1gZ9kHUmdY2vADeljKNoJA0WHBZyrGiRU3o/PIyC&#10;5W5Y7K7H/n7r5vF5lF2Gt/vmolS308zHIDw1/hP+b6+1gkE8gPeZc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NO7EAAAA3AAAAA8AAAAAAAAAAAAAAAAAmAIAAGRycy9k&#10;b3ducmV2LnhtbFBLBQYAAAAABAAEAPUAAACJAwAAAAA=&#10;" path="m35,r,283l,283,3,,35,xe" filled="f" strokecolor="blue" strokeweight="8e-5mm">
                    <v:stroke endcap="round"/>
                    <v:path arrowok="t" o:connecttype="custom" o:connectlocs="35,0;35,283;0,283;3,0;35,0" o:connectangles="0,0,0,0,0"/>
                  </v:shape>
                  <v:shape id="Freeform 321" o:spid="_x0000_s1415" style="position:absolute;left:2025;top:9880;width:105;height:103;visibility:visible;mso-wrap-style:square;v-text-anchor:top" coordsize="10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XocAA&#10;AADcAAAADwAAAGRycy9kb3ducmV2LnhtbESPywrCMBBF94L/EEZwI5r6QKQaRQXBhRsfC5dDM7bF&#10;ZlKa2Na/N4Lg8nIfh7vatKYQNVUut6xgPIpAECdW55wquF0PwwUI55E1FpZJwZscbNbdzgpjbRs+&#10;U33xqQgj7GJUkHlfxlK6JCODbmRL4uA9bGXQB1mlUlfYhHFTyEkUzaXBnAMhw5L2GSXPy8sE7p2m&#10;27M+1Lf76Wjf48YN2l2iVL/XbpcgPLX+H/61j1rBdDKD75l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CXocAAAADcAAAADwAAAAAAAAAAAAAAAACYAgAAZHJzL2Rvd25y&#10;ZXYueG1sUEsFBgAAAAAEAAQA9QAAAIUDAAAAAA==&#10;" path="m105,l53,103,,,105,e" filled="f" strokecolor="blue" strokeweight="8e-5mm">
                    <v:stroke endcap="round"/>
                    <v:path arrowok="t" o:connecttype="custom" o:connectlocs="105,0;53,103;0,0;105,0" o:connectangles="0,0,0,0"/>
                  </v:shape>
                </v:group>
                <v:group id="Group 322" o:spid="_x0000_s1416" style="position:absolute;left:24750;top:61934;width:667;height:1257" coordorigin="3978,9830" coordsize="105,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23" o:spid="_x0000_s1417" style="position:absolute;left:3978;top:9830;width:105;height:198;visibility:visible;mso-wrap-style:square;v-text-anchor:top" coordsize="10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78cMA&#10;AADcAAAADwAAAGRycy9kb3ducmV2LnhtbESPT4vCMBTE7wt+h/AEb2tqZUWqUUQU9Lb+OXh8Js+2&#10;2LyUJmr10xthYY/DzPyGmc5bW4k7Nb50rGDQT0AQa2dKzhUcD+vvMQgfkA1WjknBkzzMZ52vKWbG&#10;PXhH933IRYSwz1BBEUKdSel1QRZ939XE0bu4xmKIssmlafAR4baSaZKMpMWS40KBNS0L0tf9zSrQ&#10;q1db/qaHhdND80Pb01m/lmelet12MQERqA3/4b/2xigYpiP4nIlH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i78cMAAADcAAAADwAAAAAAAAAAAAAAAACYAgAAZHJzL2Rv&#10;d25yZXYueG1sUEsFBgAAAAAEAAQA9QAAAIgDAAAAAA==&#10;" path="m70,2r,108l35,110,35,,70,2xm105,92l52,198,,92r105,xe" fillcolor="blue" stroked="f">
                    <v:path arrowok="t" o:connecttype="custom" o:connectlocs="70,2;70,110;35,110;35,0;70,2;105,92;52,198;0,92;105,92" o:connectangles="0,0,0,0,0,0,0,0,0"/>
                    <o:lock v:ext="edit" verticies="t"/>
                  </v:shape>
                  <v:shape id="Freeform 324" o:spid="_x0000_s1418" style="position:absolute;left:4013;top:9830;width:35;height:110;visibility:visible;mso-wrap-style:square;v-text-anchor:top" coordsize="3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o4cYA&#10;AADcAAAADwAAAGRycy9kb3ducmV2LnhtbESPT2vCQBTE74LfYXlCb7ox0mrTbKQUhB6U4h/E4zP7&#10;mqRm34bsNkm/fbdQ8DjMzG+YdD2YWnTUusqygvksAkGcW11xoeB03ExXIJxH1lhbJgU/5GCdjUcp&#10;Jtr2vKfu4AsRIOwSVFB63yRSurwkg25mG+LgfdrWoA+yLaRusQ9wU8s4ip6kwYrDQokNvZWU3w7f&#10;RsFjd4132+uSVv3zufq6bLX+yHdKPUyG1xcQngZ/D/+337WCRbyE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Ko4cYAAADcAAAADwAAAAAAAAAAAAAAAACYAgAAZHJz&#10;L2Rvd25yZXYueG1sUEsFBgAAAAAEAAQA9QAAAIsDAAAAAA==&#10;" path="m35,2r,108l,110,,,35,2xe" filled="f" strokecolor="blue" strokeweight="8e-5mm">
                    <v:stroke endcap="round"/>
                    <v:path arrowok="t" o:connecttype="custom" o:connectlocs="35,2;35,110;0,110;0,0;35,2" o:connectangles="0,0,0,0,0"/>
                  </v:shape>
                  <v:shape id="Freeform 325" o:spid="_x0000_s1419" style="position:absolute;left:3978;top:9922;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FTsAA&#10;AADcAAAADwAAAGRycy9kb3ducmV2LnhtbERPy4rCMBTdD/gP4QruxlRlRqlGEVGQ6WZ8fMC1uX1o&#10;c1OSqJ2/nywEl4fzXqw604gHOV9bVjAaJiCIc6trLhWcT7vPGQgfkDU2lknBH3lYLXsfC0y1ffKB&#10;HsdQihjCPkUFVQhtKqXPKzLoh7YljlxhncEQoSuldviM4aaR4yT5lgZrjg0VtrSpKL8d70bB6eqz&#10;LPNT/CqKc7393WTNj7soNeh36zmIQF14i1/uvVYwGce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ZFTsAAAADcAAAADwAAAAAAAAAAAAAAAACYAgAAZHJzL2Rvd25y&#10;ZXYueG1sUEsFBgAAAAAEAAQA9QAAAIUDAAAAAA==&#10;" path="m105,l52,106,,,105,e" filled="f" strokecolor="blue" strokeweight="8e-5mm">
                    <v:stroke endcap="round"/>
                    <v:path arrowok="t" o:connecttype="custom" o:connectlocs="105,0;52,106;0,0;105,0" o:connectangles="0,0,0,0"/>
                  </v:shape>
                </v:group>
                <v:group id="Group 326" o:spid="_x0000_s1420" style="position:absolute;left:27944;top:69185;width:4026;height:591" coordorigin="4481,10972" coordsize="63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27" o:spid="_x0000_s1421" style="position:absolute;left:4481;top:10972;width:634;height:93;visibility:visible;mso-wrap-style:square;v-text-anchor:top" coordsize="6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1ZMQA&#10;AADcAAAADwAAAGRycy9kb3ducmV2LnhtbERPy2rCQBTdC/2H4QrdiE5arWh0lFYoVgiCj427S+aa&#10;Sc3cCZlpTP++sxC6PJz3ct3ZSrTU+NKxgpdRAoI4d7rkQsH59DmcgfABWWPlmBT8kof16qm3xFS7&#10;Ox+oPYZCxBD2KSowIdSplD43ZNGPXE0cuatrLIYIm0LqBu8x3FbyNUmm0mLJscFgTRtD+e34YxXs&#10;t9/zj9s2q6abS7kz2eQ6yN5apZ773fsCRKAu/Isf7i+tYDyO8+O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9WTEAAAA3AAAAA8AAAAAAAAAAAAAAAAAmAIAAGRycy9k&#10;b3ducmV2LnhtbFBLBQYAAAAABAAEAPUAAACJAwAAAAA=&#10;" path="m634,63l75,63r,-30l631,30r3,33xm93,93l,48,93,r,93xe" fillcolor="red" stroked="f">
                    <v:path arrowok="t" o:connecttype="custom" o:connectlocs="634,63;75,63;75,33;631,30;634,63;93,93;0,48;93,0;93,93" o:connectangles="0,0,0,0,0,0,0,0,0"/>
                    <o:lock v:ext="edit" verticies="t"/>
                  </v:shape>
                  <v:shape id="Freeform 328" o:spid="_x0000_s1422" style="position:absolute;left:4556;top:11002;width:559;height:33;visibility:visible;mso-wrap-style:square;v-text-anchor:top" coordsize="5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c8MA&#10;AADcAAAADwAAAGRycy9kb3ducmV2LnhtbESPQWsCMRSE7wX/Q3iCt5pVocpqFBFEe+zaIt4em+fu&#10;YvKyJHFd/31TKHgcZuYbZrXprREd+dA4VjAZZyCIS6cbrhR8n/bvCxAhIms0jknBkwJs1oO3Feba&#10;PfiLuiJWIkE45KigjrHNpQxlTRbD2LXEybs6bzEm6SupPT4S3Bo5zbIPabHhtFBjS7uayltxtwrO&#10;l8/t6emcOZhdJ4vbfW5+eq/UaNhvlyAi9fEV/m8ftYLZbAJ/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c8MAAADcAAAADwAAAAAAAAAAAAAAAACYAgAAZHJzL2Rv&#10;d25yZXYueG1sUEsFBgAAAAAEAAQA9QAAAIgDAAAAAA==&#10;" path="m559,33l,33,,3,556,r3,33xe" filled="f" strokecolor="red" strokeweight="8e-5mm">
                    <v:stroke endcap="round"/>
                    <v:path arrowok="t" o:connecttype="custom" o:connectlocs="559,33;0,33;0,3;556,0;559,33" o:connectangles="0,0,0,0,0"/>
                  </v:shape>
                  <v:shape id="Freeform 329" o:spid="_x0000_s1423" style="position:absolute;left:4481;top:10972;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4AsUA&#10;AADcAAAADwAAAGRycy9kb3ducmV2LnhtbESP3WoCMRSE7wu+QzhC72pWtxRZjSKWlkIvrD8PcNgc&#10;N6vJybKJ69qnN0Khl8PMfMPMl72zoqM21J4VjEcZCOLS65orBYf9x8sURIjIGq1nUnCjAMvF4GmO&#10;hfZX3lK3i5VIEA4FKjAxNoWUoTTkMIx8Q5y8o28dxiTbSuoWrwnurJxk2Zt0WHNaMNjQ2lB53l2c&#10;gs9Nl79efm1jfjb6dKstf7/3rNTzsF/NQETq43/4r/2lFeT5B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zgCxQAAANwAAAAPAAAAAAAAAAAAAAAAAJgCAABkcnMv&#10;ZG93bnJldi54bWxQSwUGAAAAAAQABAD1AAAAigMAAAAA&#10;" path="m93,93l,48,93,r,93e" filled="f" strokecolor="red" strokeweight="8e-5mm">
                    <v:stroke endcap="round"/>
                    <v:path arrowok="t" o:connecttype="custom" o:connectlocs="93,93;0,48;93,0;93,93" o:connectangles="0,0,0,0"/>
                  </v:shape>
                </v:group>
                <v:group id="Group 330" o:spid="_x0000_s1424" style="position:absolute;left:6227;top:69490;width:2654;height:584" coordorigin="1061,11020" coordsize="4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31" o:spid="_x0000_s1425" style="position:absolute;left:1061;top:11020;width:418;height:92;visibility:visible;mso-wrap-style:square;v-text-anchor:top" coordsize="4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4MYA&#10;AADcAAAADwAAAGRycy9kb3ducmV2LnhtbESPQWvCQBSE74X+h+UVvNVNNRVJXUUEwYMe1Kj09sg+&#10;s6HZtzG7avz3bqHQ4zAz3zCTWWdrcaPWV44VfPQTEMSF0xWXCvL98n0MwgdkjbVjUvAgD7Pp68sE&#10;M+3uvKXbLpQiQthnqMCE0GRS+sKQRd93DXH0zq61GKJsS6lbvEe4reUgSUbSYsVxwWBDC0PFz+5q&#10;FVzodFyvNpvPPH2k3+l5YA7+0inVe+vmXyACdeE//NdeaQXDYQq/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Z+4MYAAADcAAAADwAAAAAAAAAAAAAAAACYAgAAZHJz&#10;L2Rvd25yZXYueG1sUEsFBgAAAAAEAAQA9QAAAIsDAAAAAA==&#10;" path="m,30r343,l343,60,,60,,30xm328,r90,45l328,92,328,xe" fillcolor="red" stroked="f">
                    <v:path arrowok="t" o:connecttype="custom" o:connectlocs="0,30;343,30;343,60;0,60;0,30;328,0;418,45;328,92;328,0" o:connectangles="0,0,0,0,0,0,0,0,0"/>
                    <o:lock v:ext="edit" verticies="t"/>
                  </v:shape>
                  <v:rect id="Rectangle 332" o:spid="_x0000_s1426" style="position:absolute;left:1061;top:11050;width:34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iqsUA&#10;AADcAAAADwAAAGRycy9kb3ducmV2LnhtbESP3WrCQBSE7wt9h+UUelc3Vlo0uhERBClEqAZ6e5o9&#10;5sfs2TS7jcnbu4WCl8PMfMOs1oNpRE+dqywrmE4iEMS51RUXCrLT7mUOwnlkjY1lUjCSg3Xy+LDC&#10;WNsrf1J/9IUIEHYxKii9b2MpXV6SQTexLXHwzrYz6IPsCqk7vAa4aeRrFL1LgxWHhRJb2paUX46/&#10;RsH36LPFR304T78WP1nvOC1qSpV6fho2SxCeBn8P/7f3WsFs9gZ/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aKqxQAAANwAAAAPAAAAAAAAAAAAAAAAAJgCAABkcnMv&#10;ZG93bnJldi54bWxQSwUGAAAAAAQABAD1AAAAigMAAAAA&#10;" filled="f" strokecolor="red" strokeweight="8e-5mm">
                    <v:stroke joinstyle="round" endcap="round"/>
                  </v:rect>
                  <v:shape id="Freeform 333" o:spid="_x0000_s1427" style="position:absolute;left:1389;top:11020;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TsUA&#10;AADcAAAADwAAAGRycy9kb3ducmV2LnhtbESPQWvCQBSE70L/w/IK3uquCqKpq4giaj1o0x56fGRf&#10;k2D2bciuMf77rlDwOMzMN8x82dlKtNT40rGG4UCBIM6cKTnX8P21fZuC8AHZYOWYNNzJw3Lx0ptj&#10;YtyNP6lNQy4ihH2CGooQ6kRKnxVk0Q9cTRy9X9dYDFE2uTQN3iLcVnKk1ERaLDkuFFjTuqDskl6t&#10;hmNrD9uTu+zOP7T6GI6Cmh03Suv+a7d6BxGoC8/wf3tvNIzHE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H9OxQAAANwAAAAPAAAAAAAAAAAAAAAAAJgCAABkcnMv&#10;ZG93bnJldi54bWxQSwUGAAAAAAQABAD1AAAAigMAAAAA&#10;" path="m,l90,45,,92,,e" filled="f" strokecolor="red" strokeweight="8e-5mm">
                    <v:stroke endcap="round"/>
                    <v:path arrowok="t" o:connecttype="custom" o:connectlocs="0,0;90,45;0,92;0,0" o:connectangles="0,0,0,0"/>
                  </v:shape>
                </v:group>
                <w10:anchorlock/>
              </v:group>
            </w:pict>
          </mc:Fallback>
        </mc:AlternateContent>
      </w:r>
    </w:p>
    <w:p w:rsidR="006C2E16" w:rsidRDefault="006C2E16" w:rsidP="001C6BE7">
      <w:pPr>
        <w:pStyle w:val="text"/>
      </w:pPr>
    </w:p>
    <w:p w:rsidR="006C2E16" w:rsidRPr="00670006" w:rsidDel="002B4098" w:rsidRDefault="006C2E16" w:rsidP="006C2E16">
      <w:pPr>
        <w:pStyle w:val="Caption"/>
        <w:rPr>
          <w:kern w:val="28"/>
        </w:rPr>
      </w:pPr>
      <w:r w:rsidRPr="00670006" w:rsidDel="002B4098">
        <w:rPr>
          <w:kern w:val="28"/>
        </w:rPr>
        <w:t xml:space="preserve">Figure 2. Schematic of the methodology for deriving ecological investigation levels (EILs) for Australian soils. </w:t>
      </w:r>
    </w:p>
    <w:p w:rsidR="006C2E16" w:rsidRPr="006B053D" w:rsidRDefault="006C2E16" w:rsidP="006C2E16">
      <w:pPr>
        <w:pStyle w:val="Heading4"/>
      </w:pPr>
      <w:bookmarkStart w:id="75" w:name="_Toc351713135"/>
      <w:r w:rsidRPr="006B053D">
        <w:t xml:space="preserve">Quantitative </w:t>
      </w:r>
      <w:r>
        <w:t>structure</w:t>
      </w:r>
      <w:r>
        <w:sym w:font="Symbol" w:char="F02D"/>
      </w:r>
      <w:r>
        <w:t>a</w:t>
      </w:r>
      <w:r w:rsidRPr="006B053D">
        <w:t xml:space="preserve">ctivity </w:t>
      </w:r>
      <w:r>
        <w:t>r</w:t>
      </w:r>
      <w:r w:rsidRPr="006B053D">
        <w:t>elationships</w:t>
      </w:r>
      <w:bookmarkEnd w:id="75"/>
    </w:p>
    <w:p w:rsidR="006C2E16" w:rsidRPr="005802FA" w:rsidRDefault="006C2E16" w:rsidP="006C2E16">
      <w:r>
        <w:t xml:space="preserve">QSARs are empirical relationships between the toxicity of contaminants to a particular test organism and one or more physicochemical properties of the contaminant. QSARs are derived for contaminants </w:t>
      </w:r>
      <w:r>
        <w:lastRenderedPageBreak/>
        <w:t>with either the same mechanism of action or similar contaminant structures. The most widely used physicochemical property is log K</w:t>
      </w:r>
      <w:r w:rsidRPr="001A13BC">
        <w:rPr>
          <w:vertAlign w:val="subscript"/>
        </w:rPr>
        <w:t>ow</w:t>
      </w:r>
      <w:r>
        <w:t>. An example of a typical QSAR is presented below:</w:t>
      </w:r>
    </w:p>
    <w:p w:rsidR="006C2E16" w:rsidRPr="00FC53BC" w:rsidRDefault="006C2E16" w:rsidP="006C2E16">
      <w:pPr>
        <w:ind w:left="720" w:firstLine="720"/>
        <w:rPr>
          <w:lang w:val="sv-SE"/>
        </w:rPr>
      </w:pPr>
      <w:r w:rsidRPr="00D0099A">
        <w:rPr>
          <w:lang w:val="sv-SE"/>
        </w:rPr>
        <w:t xml:space="preserve">log </w:t>
      </w:r>
      <w:r w:rsidRPr="00FC53BC">
        <w:rPr>
          <w:lang w:val="sv-SE"/>
        </w:rPr>
        <w:t xml:space="preserve">EC </w:t>
      </w:r>
      <w:r w:rsidRPr="00363524">
        <w:rPr>
          <w:vertAlign w:val="subscript"/>
          <w:lang w:val="sv-SE"/>
        </w:rPr>
        <w:t>50</w:t>
      </w:r>
      <w:r w:rsidRPr="00FC53BC">
        <w:rPr>
          <w:lang w:val="sv-SE"/>
        </w:rPr>
        <w:t xml:space="preserve"> </w:t>
      </w:r>
      <w:r w:rsidRPr="00D0099A">
        <w:rPr>
          <w:lang w:val="sv-SE"/>
        </w:rPr>
        <w:t xml:space="preserve"> = -</w:t>
      </w:r>
      <w:r w:rsidRPr="00FC53BC">
        <w:rPr>
          <w:lang w:val="sv-SE"/>
        </w:rPr>
        <w:t>0.72</w:t>
      </w:r>
      <w:r w:rsidRPr="00D0099A">
        <w:rPr>
          <w:lang w:val="sv-SE"/>
        </w:rPr>
        <w:t xml:space="preserve"> log K</w:t>
      </w:r>
      <w:r w:rsidRPr="001A13BC">
        <w:rPr>
          <w:vertAlign w:val="subscript"/>
          <w:lang w:val="sv-SE"/>
        </w:rPr>
        <w:t>ow</w:t>
      </w:r>
      <w:r w:rsidRPr="00D0099A">
        <w:rPr>
          <w:lang w:val="sv-SE"/>
        </w:rPr>
        <w:t xml:space="preserve"> + </w:t>
      </w:r>
      <w:r w:rsidRPr="00FC53BC">
        <w:rPr>
          <w:lang w:val="sv-SE"/>
        </w:rPr>
        <w:t>3.37</w:t>
      </w:r>
      <w:r w:rsidR="00145F69">
        <w:rPr>
          <w:lang w:val="sv-SE"/>
        </w:rPr>
        <w:tab/>
      </w:r>
      <w:r w:rsidR="00145F69">
        <w:rPr>
          <w:lang w:val="sv-SE"/>
        </w:rPr>
        <w:tab/>
      </w:r>
      <w:r w:rsidRPr="00D0099A">
        <w:rPr>
          <w:lang w:val="sv-SE"/>
        </w:rPr>
        <w:tab/>
      </w:r>
      <w:r w:rsidRPr="00D0099A">
        <w:rPr>
          <w:i/>
          <w:iCs/>
          <w:lang w:val="sv-SE"/>
        </w:rPr>
        <w:t>(</w:t>
      </w:r>
      <w:r w:rsidRPr="00FC53BC">
        <w:rPr>
          <w:i/>
          <w:iCs/>
          <w:lang w:val="sv-SE"/>
        </w:rPr>
        <w:t>eq</w:t>
      </w:r>
      <w:r>
        <w:rPr>
          <w:i/>
          <w:iCs/>
          <w:lang w:val="sv-SE"/>
        </w:rPr>
        <w:t>uation</w:t>
      </w:r>
      <w:r w:rsidRPr="00D0099A">
        <w:rPr>
          <w:i/>
          <w:iCs/>
          <w:lang w:val="sv-SE"/>
        </w:rPr>
        <w:t xml:space="preserve"> </w:t>
      </w:r>
      <w:r>
        <w:rPr>
          <w:i/>
          <w:iCs/>
          <w:lang w:val="sv-SE"/>
        </w:rPr>
        <w:t>2</w:t>
      </w:r>
      <w:r w:rsidRPr="00FC53BC">
        <w:rPr>
          <w:i/>
          <w:iCs/>
          <w:lang w:val="sv-SE"/>
        </w:rPr>
        <w:t>)</w:t>
      </w:r>
    </w:p>
    <w:p w:rsidR="00145F69" w:rsidRDefault="00145F69" w:rsidP="006C2E16"/>
    <w:p w:rsidR="006C2E16" w:rsidRPr="00E95259" w:rsidRDefault="006C2E16" w:rsidP="006C2E16">
      <w:r w:rsidRPr="00E95259">
        <w:t xml:space="preserve">where </w:t>
      </w:r>
      <w:r>
        <w:t>l</w:t>
      </w:r>
      <w:r w:rsidRPr="00E95259">
        <w:t>og EC</w:t>
      </w:r>
      <w:r w:rsidRPr="00363524">
        <w:rPr>
          <w:vertAlign w:val="subscript"/>
        </w:rPr>
        <w:t>50</w:t>
      </w:r>
      <w:r w:rsidRPr="00E95259">
        <w:t xml:space="preserve"> (</w:t>
      </w:r>
      <w:r>
        <w:rPr>
          <w:rFonts w:cs="Times New Roman"/>
          <w:lang w:val="nl-NL"/>
        </w:rPr>
        <w:t>μ</w:t>
      </w:r>
      <w:r w:rsidRPr="00E95259">
        <w:t>mol/</w:t>
      </w:r>
      <w:r>
        <w:t>L</w:t>
      </w:r>
      <w:r w:rsidRPr="00E95259">
        <w:t xml:space="preserve">) is the concentration at which 50% growth inhibition of </w:t>
      </w:r>
      <w:r>
        <w:t>lettuce (</w:t>
      </w:r>
      <w:r w:rsidRPr="00B21439">
        <w:rPr>
          <w:i/>
          <w:iCs/>
        </w:rPr>
        <w:t>Lactuca sativa</w:t>
      </w:r>
      <w:r>
        <w:rPr>
          <w:i/>
          <w:iCs/>
        </w:rPr>
        <w:t>)</w:t>
      </w:r>
      <w:r w:rsidRPr="00E95259">
        <w:t xml:space="preserve"> was observed (Hulzebos et al. 1991). </w:t>
      </w:r>
    </w:p>
    <w:p w:rsidR="00145F69" w:rsidRDefault="00145F69" w:rsidP="006C2E16"/>
    <w:p w:rsidR="006C2E16" w:rsidRDefault="006C2E16" w:rsidP="006C2E16">
      <w:r>
        <w:t>The toxicity of contaminants</w:t>
      </w:r>
      <w:r w:rsidRPr="005802FA">
        <w:t xml:space="preserve"> </w:t>
      </w:r>
      <w:r>
        <w:t>with the same mechanism of action or chemical structure as those in the QSAR can be</w:t>
      </w:r>
      <w:r w:rsidRPr="005802FA">
        <w:t xml:space="preserve"> predicted based on </w:t>
      </w:r>
      <w:r>
        <w:t xml:space="preserve">their </w:t>
      </w:r>
      <w:r w:rsidRPr="005802FA">
        <w:t>physicochemical properties</w:t>
      </w:r>
      <w:r>
        <w:t xml:space="preserve">. </w:t>
      </w:r>
      <w:r w:rsidRPr="005802FA">
        <w:t xml:space="preserve">The prediction is made by </w:t>
      </w:r>
      <w:r>
        <w:t>substituting the value of the contaminant into the QSAR. If equation 2</w:t>
      </w:r>
      <w:r w:rsidRPr="00967837">
        <w:t xml:space="preserve"> </w:t>
      </w:r>
      <w:r>
        <w:t>was being used, the log K</w:t>
      </w:r>
      <w:r w:rsidRPr="001A13BC">
        <w:rPr>
          <w:vertAlign w:val="subscript"/>
        </w:rPr>
        <w:t>ow</w:t>
      </w:r>
      <w:r>
        <w:t xml:space="preserve"> of a contaminant would be substituted into the equation. </w:t>
      </w:r>
    </w:p>
    <w:p w:rsidR="00145F69" w:rsidRDefault="00145F69" w:rsidP="006C2E16"/>
    <w:p w:rsidR="006C2E16" w:rsidRDefault="006C2E16" w:rsidP="006C2E16">
      <w:r w:rsidRPr="005802FA">
        <w:t xml:space="preserve">QSARs have been developed </w:t>
      </w:r>
      <w:r>
        <w:t>for terrestrial</w:t>
      </w:r>
      <w:r w:rsidRPr="005802FA">
        <w:t xml:space="preserve"> plants</w:t>
      </w:r>
      <w:r>
        <w:t xml:space="preserve"> (Hulzebos et al. 1991)</w:t>
      </w:r>
      <w:r w:rsidRPr="005802FA">
        <w:t xml:space="preserve"> and invertebrates</w:t>
      </w:r>
      <w:r>
        <w:t xml:space="preserve"> (</w:t>
      </w:r>
      <w:r w:rsidRPr="00113825">
        <w:t>Van Gestel et al</w:t>
      </w:r>
      <w:r>
        <w:t>.</w:t>
      </w:r>
      <w:r w:rsidRPr="00113825">
        <w:t xml:space="preserve"> 1991)</w:t>
      </w:r>
      <w:r>
        <w:t>;</w:t>
      </w:r>
      <w:r w:rsidRPr="00113825">
        <w:t xml:space="preserve"> however</w:t>
      </w:r>
      <w:r>
        <w:t>,</w:t>
      </w:r>
      <w:r w:rsidRPr="00113825">
        <w:t xml:space="preserve"> they are not as widely available as for aquatic species</w:t>
      </w:r>
      <w:r w:rsidRPr="005802FA">
        <w:t xml:space="preserve"> (Posthumus </w:t>
      </w:r>
      <w:r>
        <w:t>&amp;</w:t>
      </w:r>
      <w:r w:rsidRPr="005802FA">
        <w:t xml:space="preserve"> S</w:t>
      </w:r>
      <w:r>
        <w:t>l</w:t>
      </w:r>
      <w:r w:rsidRPr="005802FA">
        <w:t>ooff 2001)</w:t>
      </w:r>
      <w:r>
        <w:t xml:space="preserve">. Only QSARs derived using terrestrial species should be used to derive EILs and other SQGs. </w:t>
      </w:r>
    </w:p>
    <w:p w:rsidR="006C2E16" w:rsidRPr="006B053D" w:rsidRDefault="006C2E16" w:rsidP="006C2E16">
      <w:pPr>
        <w:pStyle w:val="Heading4"/>
      </w:pPr>
      <w:bookmarkStart w:id="76" w:name="_Toc351713136"/>
      <w:r w:rsidRPr="006B053D">
        <w:t xml:space="preserve">Quantitative </w:t>
      </w:r>
      <w:r>
        <w:t>a</w:t>
      </w:r>
      <w:r w:rsidRPr="006B053D">
        <w:t>ctivity</w:t>
      </w:r>
      <w:r>
        <w:sym w:font="Symbol" w:char="F02D"/>
      </w:r>
      <w:r>
        <w:t>a</w:t>
      </w:r>
      <w:r w:rsidRPr="006B053D">
        <w:t xml:space="preserve">ctivity </w:t>
      </w:r>
      <w:r>
        <w:t>r</w:t>
      </w:r>
      <w:r w:rsidRPr="006B053D">
        <w:t>elationships</w:t>
      </w:r>
      <w:bookmarkEnd w:id="76"/>
      <w:r w:rsidRPr="006B053D">
        <w:t xml:space="preserve"> </w:t>
      </w:r>
    </w:p>
    <w:p w:rsidR="006C2E16" w:rsidRDefault="006C2E16" w:rsidP="006C2E16">
      <w:r>
        <w:t xml:space="preserve">The simplest forms of </w:t>
      </w:r>
      <w:r w:rsidRPr="00843458">
        <w:t>Q</w:t>
      </w:r>
      <w:r>
        <w:t>AA</w:t>
      </w:r>
      <w:r w:rsidRPr="00843458">
        <w:t xml:space="preserve">Rs </w:t>
      </w:r>
      <w:r>
        <w:t>are empirical relationships that model the toxicity of contaminants with the same mechanism of action to one species using toxicity data of another species. These are termed binary relationships. An example (Westbury et al. 2004) is provided below:</w:t>
      </w:r>
    </w:p>
    <w:p w:rsidR="006C2E16" w:rsidRPr="005A115C" w:rsidRDefault="006C2E16" w:rsidP="006C2E16">
      <w:pPr>
        <w:ind w:left="720" w:firstLine="720"/>
      </w:pPr>
      <w:r w:rsidRPr="005E4931">
        <w:rPr>
          <w:lang w:val="nl-NL"/>
        </w:rPr>
        <w:t>log EC</w:t>
      </w:r>
      <w:r w:rsidRPr="00363524">
        <w:rPr>
          <w:vertAlign w:val="subscript"/>
          <w:lang w:val="nl-NL"/>
        </w:rPr>
        <w:t>50</w:t>
      </w:r>
      <w:r w:rsidRPr="005E4931">
        <w:rPr>
          <w:lang w:val="nl-NL"/>
        </w:rPr>
        <w:t xml:space="preserve"> (</w:t>
      </w:r>
      <w:r w:rsidRPr="005E4931">
        <w:rPr>
          <w:i/>
          <w:iCs/>
          <w:lang w:val="nl-NL"/>
        </w:rPr>
        <w:t>C. d.</w:t>
      </w:r>
      <w:r w:rsidRPr="005E4931">
        <w:rPr>
          <w:lang w:val="nl-NL"/>
        </w:rPr>
        <w:t>) = 0.848 log LC</w:t>
      </w:r>
      <w:r w:rsidRPr="00363524">
        <w:rPr>
          <w:vertAlign w:val="subscript"/>
          <w:lang w:val="nl-NL"/>
        </w:rPr>
        <w:t>50</w:t>
      </w:r>
      <w:r w:rsidRPr="005E4931">
        <w:rPr>
          <w:lang w:val="nl-NL"/>
        </w:rPr>
        <w:t xml:space="preserve"> (</w:t>
      </w:r>
      <w:r w:rsidRPr="005E4931">
        <w:rPr>
          <w:i/>
          <w:iCs/>
          <w:lang w:val="nl-NL"/>
        </w:rPr>
        <w:t>P. r.</w:t>
      </w:r>
      <w:r w:rsidRPr="005E4931">
        <w:rPr>
          <w:lang w:val="nl-NL"/>
        </w:rPr>
        <w:t xml:space="preserve">) </w:t>
      </w:r>
      <w:r w:rsidR="00145F69">
        <w:t>+ 0.047</w:t>
      </w:r>
      <w:r w:rsidRPr="005A115C">
        <w:tab/>
      </w:r>
      <w:r w:rsidRPr="005A115C">
        <w:rPr>
          <w:i/>
          <w:iCs/>
        </w:rPr>
        <w:t>(eq</w:t>
      </w:r>
      <w:r>
        <w:rPr>
          <w:i/>
          <w:iCs/>
        </w:rPr>
        <w:t>uation</w:t>
      </w:r>
      <w:r w:rsidRPr="005A115C">
        <w:rPr>
          <w:i/>
          <w:iCs/>
        </w:rPr>
        <w:t xml:space="preserve"> 3)</w:t>
      </w:r>
    </w:p>
    <w:p w:rsidR="00145F69" w:rsidRDefault="00145F69" w:rsidP="006C2E16"/>
    <w:p w:rsidR="006C2E16" w:rsidRDefault="006C2E16" w:rsidP="006C2E16">
      <w:r>
        <w:t>w</w:t>
      </w:r>
      <w:r w:rsidRPr="00EB0DA9">
        <w:t xml:space="preserve">here </w:t>
      </w:r>
      <w:r w:rsidRPr="005E4931">
        <w:t>log EC</w:t>
      </w:r>
      <w:r w:rsidRPr="00363524">
        <w:rPr>
          <w:vertAlign w:val="subscript"/>
        </w:rPr>
        <w:t>50</w:t>
      </w:r>
      <w:r w:rsidRPr="005E4931">
        <w:t xml:space="preserve"> (</w:t>
      </w:r>
      <w:r w:rsidRPr="005E4931">
        <w:rPr>
          <w:i/>
          <w:iCs/>
        </w:rPr>
        <w:t>C. d.</w:t>
      </w:r>
      <w:r w:rsidRPr="005E4931">
        <w:t xml:space="preserve">) </w:t>
      </w:r>
      <w:r>
        <w:t>is the log of the concentration that causes a 50% immobilisation of t</w:t>
      </w:r>
      <w:r w:rsidRPr="00EB0DA9">
        <w:t xml:space="preserve">he cladoceran </w:t>
      </w:r>
      <w:r w:rsidRPr="00351E2D">
        <w:rPr>
          <w:i/>
          <w:iCs/>
        </w:rPr>
        <w:t>Ceriodaphnia dubia</w:t>
      </w:r>
      <w:r>
        <w:t>,</w:t>
      </w:r>
      <w:r w:rsidRPr="00EB0DA9">
        <w:t xml:space="preserve"> and </w:t>
      </w:r>
      <w:r w:rsidRPr="005E4931">
        <w:t>log LC</w:t>
      </w:r>
      <w:r w:rsidRPr="00363524">
        <w:rPr>
          <w:vertAlign w:val="subscript"/>
        </w:rPr>
        <w:t>50</w:t>
      </w:r>
      <w:r w:rsidRPr="005E4931">
        <w:t xml:space="preserve"> (</w:t>
      </w:r>
      <w:r w:rsidRPr="005E4931">
        <w:rPr>
          <w:i/>
          <w:iCs/>
        </w:rPr>
        <w:t>P. r.</w:t>
      </w:r>
      <w:r w:rsidRPr="005E4931">
        <w:t xml:space="preserve">) </w:t>
      </w:r>
      <w:r w:rsidRPr="00EB0DA9">
        <w:t xml:space="preserve">is the </w:t>
      </w:r>
      <w:r>
        <w:t xml:space="preserve">log of the concentration that kills 50% of the </w:t>
      </w:r>
      <w:r w:rsidRPr="00EB0DA9">
        <w:t xml:space="preserve">fish </w:t>
      </w:r>
      <w:r w:rsidRPr="00351E2D">
        <w:rPr>
          <w:i/>
          <w:iCs/>
        </w:rPr>
        <w:t>Poecilia reticulata</w:t>
      </w:r>
      <w:r>
        <w:t xml:space="preserve">. </w:t>
      </w:r>
    </w:p>
    <w:p w:rsidR="00145F69" w:rsidRDefault="00145F69" w:rsidP="006C2E16"/>
    <w:p w:rsidR="006C2E16" w:rsidRDefault="006C2E16" w:rsidP="006C2E16">
      <w:r>
        <w:t>More complex QAARs have been developed that relate the toxicity of contaminants simultaneously to multiple species (Raimondo et al. 2007; Morton et al. 2008). Both the simple and more complex QAARs allow toxicity data for one or more species to be used to estimate the toxicity to another species. Thus they can fill some of the data gaps that often occur in deriving EILs or their equivalents.</w:t>
      </w:r>
    </w:p>
    <w:p w:rsidR="006C2E16" w:rsidRPr="006B053D" w:rsidRDefault="006C2E16" w:rsidP="006C2E16">
      <w:pPr>
        <w:pStyle w:val="Heading4"/>
      </w:pPr>
      <w:bookmarkStart w:id="77" w:name="_Toc351713137"/>
      <w:r w:rsidRPr="006B053D">
        <w:t>Equilibrium partitioning method</w:t>
      </w:r>
      <w:bookmarkEnd w:id="77"/>
    </w:p>
    <w:p w:rsidR="006C2E16" w:rsidRDefault="006C2E16" w:rsidP="006C2E16">
      <w:r w:rsidRPr="005802FA">
        <w:t xml:space="preserve">The equilibrium partitioning method </w:t>
      </w:r>
      <w:r>
        <w:t xml:space="preserve">(EqP) </w:t>
      </w:r>
      <w:r w:rsidRPr="005802FA">
        <w:t xml:space="preserve">is </w:t>
      </w:r>
      <w:r>
        <w:t xml:space="preserve">used </w:t>
      </w:r>
      <w:r w:rsidRPr="005802FA">
        <w:t xml:space="preserve">to predict </w:t>
      </w:r>
      <w:r>
        <w:t>the toxicity</w:t>
      </w:r>
      <w:r w:rsidRPr="005802FA">
        <w:t xml:space="preserve"> </w:t>
      </w:r>
      <w:r>
        <w:t>of a contaminant in</w:t>
      </w:r>
      <w:r w:rsidRPr="005802FA">
        <w:t xml:space="preserve"> soils based on aquatic toxicity data</w:t>
      </w:r>
      <w:r>
        <w:t xml:space="preserve">. </w:t>
      </w:r>
      <w:r w:rsidRPr="005802FA">
        <w:t xml:space="preserve">The </w:t>
      </w:r>
      <w:r>
        <w:t>EqP</w:t>
      </w:r>
      <w:r w:rsidRPr="005802FA">
        <w:t xml:space="preserve"> is based on the assumption that the main route of exposure for soil organisms is the soil pore water concentration</w:t>
      </w:r>
      <w:r>
        <w:t xml:space="preserve"> </w:t>
      </w:r>
      <w:r w:rsidRPr="005802FA">
        <w:t>(Van Gestel 1992</w:t>
      </w:r>
      <w:r>
        <w:t>; ECB 2003</w:t>
      </w:r>
      <w:r w:rsidRPr="005802FA">
        <w:t>)</w:t>
      </w:r>
      <w:r>
        <w:t xml:space="preserve">. </w:t>
      </w:r>
      <w:r w:rsidRPr="005802FA">
        <w:t xml:space="preserve">Therefore the </w:t>
      </w:r>
      <w:r>
        <w:t>EqP</w:t>
      </w:r>
      <w:r w:rsidRPr="005802FA">
        <w:t xml:space="preserve"> is not suitable</w:t>
      </w:r>
      <w:r>
        <w:t xml:space="preserve"> for:</w:t>
      </w:r>
      <w:r w:rsidRPr="005802FA">
        <w:t xml:space="preserve"> </w:t>
      </w:r>
    </w:p>
    <w:p w:rsidR="006C2E16" w:rsidRDefault="006C2E16" w:rsidP="001C6BE7">
      <w:pPr>
        <w:pStyle w:val="Dot-points"/>
        <w:numPr>
          <w:ilvl w:val="0"/>
          <w:numId w:val="18"/>
        </w:numPr>
      </w:pPr>
      <w:r>
        <w:t xml:space="preserve">contaminants with log </w:t>
      </w:r>
      <w:r w:rsidRPr="005802FA">
        <w:t>K</w:t>
      </w:r>
      <w:r w:rsidRPr="00BF2FF7">
        <w:rPr>
          <w:vertAlign w:val="subscript"/>
        </w:rPr>
        <w:t>ow</w:t>
      </w:r>
      <w:r w:rsidRPr="005802FA">
        <w:t xml:space="preserve"> values</w:t>
      </w:r>
      <w:r>
        <w:t xml:space="preserve"> &gt;4 (as they partition to soil rather than soil pore water)</w:t>
      </w:r>
    </w:p>
    <w:p w:rsidR="006C2E16" w:rsidRDefault="006C2E16" w:rsidP="001C6BE7">
      <w:pPr>
        <w:pStyle w:val="Dot-points"/>
        <w:numPr>
          <w:ilvl w:val="0"/>
          <w:numId w:val="18"/>
        </w:numPr>
      </w:pPr>
      <w:r>
        <w:t>contaminant</w:t>
      </w:r>
      <w:r w:rsidRPr="005802FA">
        <w:t>s with a specific mode of action</w:t>
      </w:r>
      <w:r>
        <w:t xml:space="preserve"> (e.g. endocrine disruptors)</w:t>
      </w:r>
    </w:p>
    <w:p w:rsidR="006C2E16" w:rsidRDefault="006C2E16" w:rsidP="001C6BE7">
      <w:pPr>
        <w:pStyle w:val="Dot-points"/>
        <w:numPr>
          <w:ilvl w:val="0"/>
          <w:numId w:val="18"/>
        </w:numPr>
      </w:pPr>
      <w:r>
        <w:t>s</w:t>
      </w:r>
      <w:r w:rsidRPr="005802FA">
        <w:t>pecies that are exposed primarily through food</w:t>
      </w:r>
    </w:p>
    <w:p w:rsidR="006C2E16" w:rsidRDefault="006C2E16" w:rsidP="001C6BE7">
      <w:pPr>
        <w:pStyle w:val="Dot-points"/>
        <w:numPr>
          <w:ilvl w:val="0"/>
          <w:numId w:val="18"/>
        </w:numPr>
      </w:pPr>
      <w:r>
        <w:t>aquatic species that have no direct terrestrial equivalent (e.g. fish)</w:t>
      </w:r>
    </w:p>
    <w:p w:rsidR="006C2E16" w:rsidRDefault="006C2E16" w:rsidP="001C6BE7">
      <w:pPr>
        <w:pStyle w:val="Dot-points"/>
        <w:numPr>
          <w:ilvl w:val="0"/>
          <w:numId w:val="18"/>
        </w:numPr>
      </w:pPr>
      <w:r>
        <w:t>species where the main exposure pathway in terrestrial systems is dissimilar to that in water.</w:t>
      </w:r>
    </w:p>
    <w:p w:rsidR="00145F69" w:rsidRDefault="00145F69" w:rsidP="006C2E16"/>
    <w:p w:rsidR="006C2E16" w:rsidRDefault="006C2E16" w:rsidP="006C2E16">
      <w:r>
        <w:t xml:space="preserve">Therefore, the EqP method should only be used to assess the toxicity of the following taxonomic groups, as they meet the above criteria: annelida, bacteria, fungi, hexapoda (larvae only), nematoda, protozoa and tardigrades. </w:t>
      </w:r>
    </w:p>
    <w:p w:rsidR="00145F69" w:rsidRDefault="00145F69" w:rsidP="006C2E16"/>
    <w:p w:rsidR="006C2E16" w:rsidRPr="005802FA" w:rsidRDefault="006C2E16" w:rsidP="006C2E16">
      <w:r w:rsidRPr="005802FA">
        <w:t xml:space="preserve">The </w:t>
      </w:r>
      <w:r>
        <w:t xml:space="preserve">EqP estimate of a </w:t>
      </w:r>
      <w:r w:rsidRPr="005802FA">
        <w:t xml:space="preserve">NOEC </w:t>
      </w:r>
      <w:r>
        <w:t xml:space="preserve">for a contaminant </w:t>
      </w:r>
      <w:r w:rsidRPr="005802FA">
        <w:t xml:space="preserve">in soil </w:t>
      </w:r>
      <w:r>
        <w:t>(NOEC</w:t>
      </w:r>
      <w:r w:rsidRPr="00FA1BE6">
        <w:rPr>
          <w:vertAlign w:val="subscript"/>
        </w:rPr>
        <w:t>soil</w:t>
      </w:r>
      <w:r>
        <w:t xml:space="preserve">) </w:t>
      </w:r>
      <w:r w:rsidRPr="005802FA">
        <w:t>is calculated from the NOEC of aquatic species</w:t>
      </w:r>
      <w:r>
        <w:t xml:space="preserve"> as indicated below</w:t>
      </w:r>
      <w:r w:rsidRPr="005802FA">
        <w:t>:</w:t>
      </w:r>
    </w:p>
    <w:p w:rsidR="006C2E16" w:rsidRPr="005802FA" w:rsidRDefault="006C2E16" w:rsidP="001C6BE7">
      <w:pPr>
        <w:pStyle w:val="text"/>
      </w:pPr>
      <w:r w:rsidRPr="00F74E37">
        <w:object w:dxaOrig="37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34.5pt" o:ole="">
            <v:imagedata r:id="rId16" o:title=""/>
          </v:shape>
          <o:OLEObject Type="Embed" ProgID="Equation.3" ShapeID="_x0000_i1025" DrawAspect="Content" ObjectID="_1425460845" r:id="rId17"/>
        </w:object>
      </w:r>
      <w:r>
        <w:tab/>
      </w:r>
      <w:r>
        <w:tab/>
      </w:r>
      <w:r>
        <w:tab/>
      </w:r>
      <w:r>
        <w:tab/>
      </w:r>
      <w:r>
        <w:tab/>
      </w:r>
      <w:r w:rsidRPr="0046703D">
        <w:rPr>
          <w:i/>
          <w:iCs/>
        </w:rPr>
        <w:t>(</w:t>
      </w:r>
      <w:r>
        <w:rPr>
          <w:i/>
          <w:iCs/>
        </w:rPr>
        <w:t>equation</w:t>
      </w:r>
      <w:r w:rsidRPr="0046703D">
        <w:rPr>
          <w:i/>
          <w:iCs/>
        </w:rPr>
        <w:t xml:space="preserve"> </w:t>
      </w:r>
      <w:r>
        <w:rPr>
          <w:i/>
          <w:iCs/>
        </w:rPr>
        <w:t>4</w:t>
      </w:r>
      <w:r w:rsidRPr="0046703D">
        <w:rPr>
          <w:i/>
          <w:iCs/>
        </w:rPr>
        <w:t>)</w:t>
      </w:r>
    </w:p>
    <w:p w:rsidR="006C2E16" w:rsidRPr="005802FA" w:rsidRDefault="006C2E16" w:rsidP="001C6BE7">
      <w:pPr>
        <w:pStyle w:val="text"/>
      </w:pPr>
      <w:r>
        <w:t xml:space="preserve">where </w:t>
      </w:r>
      <w:r w:rsidRPr="005802FA">
        <w:t>RHO</w:t>
      </w:r>
      <w:r w:rsidRPr="005802FA">
        <w:rPr>
          <w:vertAlign w:val="subscript"/>
        </w:rPr>
        <w:t xml:space="preserve">soil </w:t>
      </w:r>
      <w:r w:rsidRPr="005802FA">
        <w:t xml:space="preserve">is the bulk density of the </w:t>
      </w:r>
      <w:r>
        <w:t>saturated</w:t>
      </w:r>
      <w:r w:rsidRPr="005802FA">
        <w:t xml:space="preserve"> soil and K</w:t>
      </w:r>
      <w:r w:rsidRPr="00CF3C0E">
        <w:rPr>
          <w:vertAlign w:val="subscript"/>
        </w:rPr>
        <w:t>d</w:t>
      </w:r>
      <w:r w:rsidRPr="005802FA">
        <w:t xml:space="preserve"> is the soil</w:t>
      </w:r>
      <w:r>
        <w:sym w:font="Symbol" w:char="F02D"/>
      </w:r>
      <w:r w:rsidRPr="005802FA">
        <w:t>water partitioning coefficient</w:t>
      </w:r>
      <w:r>
        <w:t xml:space="preserve"> (L/kg) (ECB 2003). </w:t>
      </w:r>
    </w:p>
    <w:p w:rsidR="006C2E16" w:rsidRPr="005802FA" w:rsidRDefault="006C2E16" w:rsidP="006C2E16">
      <w:r>
        <w:t xml:space="preserve">While there has been work done overseas to assess the validity of the EqP method (Van Beelen et al. 2003), there has been no such work undertaken in Australia. This is not a preferred method as Australian soils are relatively </w:t>
      </w:r>
      <w:r w:rsidRPr="00A5239A">
        <w:t>old</w:t>
      </w:r>
      <w:r>
        <w:t xml:space="preserve">, have </w:t>
      </w:r>
      <w:r w:rsidRPr="00A5239A">
        <w:t>low concentrations of nutrients, low organic carbon contents and different clay mineralogy (Taylor 1983)</w:t>
      </w:r>
      <w:r>
        <w:t>, and are thus quite different from European and North American soils</w:t>
      </w:r>
      <w:r w:rsidRPr="00A5239A">
        <w:t>.</w:t>
      </w:r>
    </w:p>
    <w:p w:rsidR="006C2E16" w:rsidRPr="006D001F" w:rsidRDefault="006C2E16" w:rsidP="006C2E16">
      <w:pPr>
        <w:pStyle w:val="Heading4"/>
      </w:pPr>
      <w:bookmarkStart w:id="78" w:name="_Toc255359971"/>
      <w:bookmarkStart w:id="79" w:name="_Toc351713138"/>
      <w:r w:rsidRPr="006D001F">
        <w:t>Screening and selection of toxicity data</w:t>
      </w:r>
      <w:bookmarkEnd w:id="78"/>
      <w:bookmarkEnd w:id="79"/>
    </w:p>
    <w:p w:rsidR="006C2E16" w:rsidRDefault="006C2E16" w:rsidP="006C2E16">
      <w:r w:rsidRPr="005802FA">
        <w:t xml:space="preserve">The next step in the </w:t>
      </w:r>
      <w:r>
        <w:t>methodology</w:t>
      </w:r>
      <w:r w:rsidRPr="005802FA">
        <w:t xml:space="preserve"> is to </w:t>
      </w:r>
      <w:r>
        <w:t>determine the suitability of the available toxicity data. Toxicity data is considered acceptable when the:</w:t>
      </w:r>
    </w:p>
    <w:p w:rsidR="006C2E16" w:rsidRPr="00B87AFD" w:rsidRDefault="006C2E16" w:rsidP="001C6BE7">
      <w:pPr>
        <w:pStyle w:val="Dot-points"/>
        <w:numPr>
          <w:ilvl w:val="0"/>
          <w:numId w:val="19"/>
        </w:numPr>
      </w:pPr>
      <w:r w:rsidRPr="00B87AFD">
        <w:t>difference between tested concentrations</w:t>
      </w:r>
      <w:r>
        <w:t xml:space="preserve"> was not greater than five-fold</w:t>
      </w:r>
    </w:p>
    <w:p w:rsidR="006C2E16" w:rsidRPr="00B87AFD" w:rsidRDefault="006C2E16" w:rsidP="001C6BE7">
      <w:pPr>
        <w:pStyle w:val="Dot-points"/>
        <w:numPr>
          <w:ilvl w:val="0"/>
          <w:numId w:val="19"/>
        </w:numPr>
      </w:pPr>
      <w:r w:rsidRPr="00B87AFD">
        <w:t>exposure duration was gr</w:t>
      </w:r>
      <w:r>
        <w:t>eater than or equal to 24 hours</w:t>
      </w:r>
    </w:p>
    <w:p w:rsidR="006C2E16" w:rsidRPr="00B87AFD" w:rsidRDefault="006C2E16" w:rsidP="001C6BE7">
      <w:pPr>
        <w:pStyle w:val="Dot-points"/>
        <w:numPr>
          <w:ilvl w:val="0"/>
          <w:numId w:val="19"/>
        </w:numPr>
      </w:pPr>
      <w:r w:rsidRPr="00B87AFD">
        <w:t>toxicity end</w:t>
      </w:r>
      <w:r>
        <w:t xml:space="preserve"> </w:t>
      </w:r>
      <w:r w:rsidRPr="00B87AFD">
        <w:t>point measured was growth, seedling emergence, lethality, immobilisation, reproduction, population growth or the equivalent</w:t>
      </w:r>
    </w:p>
    <w:p w:rsidR="006C2E16" w:rsidRDefault="006C2E16" w:rsidP="001C6BE7">
      <w:pPr>
        <w:pStyle w:val="Dot-points"/>
        <w:numPr>
          <w:ilvl w:val="0"/>
          <w:numId w:val="19"/>
        </w:numPr>
      </w:pPr>
      <w:r w:rsidRPr="00B87AFD">
        <w:t>measured toxic effect was a given percentage effect concentration (e.g. LC</w:t>
      </w:r>
      <w:r w:rsidRPr="00363524">
        <w:rPr>
          <w:vertAlign w:val="subscript"/>
        </w:rPr>
        <w:t>10</w:t>
      </w:r>
      <w:r w:rsidRPr="00B87AFD">
        <w:t>, EC</w:t>
      </w:r>
      <w:r w:rsidRPr="00363524">
        <w:rPr>
          <w:vertAlign w:val="subscript"/>
        </w:rPr>
        <w:t>50</w:t>
      </w:r>
      <w:r w:rsidRPr="00B87AFD">
        <w:t>) or were NOEC, LOEC or MATC</w:t>
      </w:r>
      <w:r>
        <w:t xml:space="preserve"> (see the Glossary)</w:t>
      </w:r>
      <w:r w:rsidRPr="00B87AFD">
        <w:t xml:space="preserve"> values.</w:t>
      </w:r>
    </w:p>
    <w:p w:rsidR="00875BD5" w:rsidRDefault="00875BD5" w:rsidP="006C2E16"/>
    <w:p w:rsidR="006C2E16" w:rsidRDefault="006C2E16" w:rsidP="006C2E16">
      <w:r w:rsidRPr="00BC1129">
        <w:t>Biomarker end</w:t>
      </w:r>
      <w:r>
        <w:t xml:space="preserve"> </w:t>
      </w:r>
      <w:r w:rsidRPr="00BC1129">
        <w:t>points</w:t>
      </w:r>
      <w:r>
        <w:t>,</w:t>
      </w:r>
      <w:r w:rsidRPr="00BC1129">
        <w:t xml:space="preserve"> like enzyme production, lysosomal damage and avoidance responses</w:t>
      </w:r>
      <w:r>
        <w:t>,</w:t>
      </w:r>
      <w:r w:rsidRPr="00BC1129">
        <w:t xml:space="preserve"> are considered to be less ecologically relevant and therefore </w:t>
      </w:r>
      <w:r>
        <w:t xml:space="preserve">they should </w:t>
      </w:r>
      <w:r w:rsidRPr="00BC1129">
        <w:t xml:space="preserve">not </w:t>
      </w:r>
      <w:r>
        <w:t xml:space="preserve">be </w:t>
      </w:r>
      <w:r w:rsidRPr="00BC1129">
        <w:t>use</w:t>
      </w:r>
      <w:r>
        <w:t>d</w:t>
      </w:r>
      <w:r w:rsidRPr="00BC1129">
        <w:t xml:space="preserve"> for the derivation of EILs unless data </w:t>
      </w:r>
      <w:r>
        <w:t>is</w:t>
      </w:r>
      <w:r w:rsidRPr="00BC1129">
        <w:t xml:space="preserve"> limited</w:t>
      </w:r>
      <w:r>
        <w:t xml:space="preserve"> and the predictive methods discussed in the previous section are not suitable. Biomarker </w:t>
      </w:r>
      <w:r w:rsidRPr="00BC1129">
        <w:t>tests are very sensitive and are therefore considered as early warning tests</w:t>
      </w:r>
      <w:r>
        <w:t xml:space="preserve">. </w:t>
      </w:r>
      <w:r w:rsidRPr="00BC1129">
        <w:t xml:space="preserve">However, </w:t>
      </w:r>
      <w:r>
        <w:t xml:space="preserve">if such data is used to derive EILs, this should be clearly stated. </w:t>
      </w:r>
      <w:r w:rsidRPr="00BC1129">
        <w:t>Biomarker data can be highly relevant for site-specific ecological risk assessment.</w:t>
      </w:r>
      <w:r w:rsidRPr="005802FA">
        <w:t xml:space="preserve"> </w:t>
      </w:r>
    </w:p>
    <w:p w:rsidR="00145F69" w:rsidRPr="005802FA" w:rsidRDefault="00145F69" w:rsidP="006C2E16"/>
    <w:p w:rsidR="006C2E16" w:rsidRDefault="006C2E16" w:rsidP="006C2E16">
      <w:r>
        <w:t>Once the unsuitable toxicity data has been removed, the next step is to assess the quality of the remaining data. Such screening methods are used in the methodologies of most countries to derive environmental quality guidelines (EQGs); for example, in Denmark, the Netherlands and the USA. However, in most cases, how the data was screened is not described. A s</w:t>
      </w:r>
      <w:r w:rsidRPr="005802FA">
        <w:t>creening method w</w:t>
      </w:r>
      <w:r>
        <w:t>as</w:t>
      </w:r>
      <w:r w:rsidRPr="005802FA">
        <w:t xml:space="preserve"> used for the </w:t>
      </w:r>
      <w:r>
        <w:t>Australian and New Zealand</w:t>
      </w:r>
      <w:r w:rsidRPr="005802FA">
        <w:t xml:space="preserve"> WQGs (Warne </w:t>
      </w:r>
      <w:r w:rsidRPr="00254DF8">
        <w:t>et al.</w:t>
      </w:r>
      <w:r w:rsidRPr="005802FA">
        <w:t xml:space="preserve"> 1998</w:t>
      </w:r>
      <w:r>
        <w:t>; Warne 2001</w:t>
      </w:r>
      <w:r w:rsidRPr="005802FA">
        <w:t>)</w:t>
      </w:r>
      <w:r>
        <w:t xml:space="preserve">. </w:t>
      </w:r>
      <w:r w:rsidRPr="005802FA">
        <w:t>Th</w:t>
      </w:r>
      <w:r>
        <w:t>is method</w:t>
      </w:r>
      <w:r w:rsidRPr="005802FA">
        <w:t xml:space="preserve"> assess</w:t>
      </w:r>
      <w:r>
        <w:t>ed</w:t>
      </w:r>
      <w:r w:rsidRPr="005802FA">
        <w:t xml:space="preserve"> whether appropriate experimental design</w:t>
      </w:r>
      <w:r>
        <w:t>s</w:t>
      </w:r>
      <w:r w:rsidRPr="005802FA">
        <w:t>, chemical analys</w:t>
      </w:r>
      <w:r>
        <w:t>e</w:t>
      </w:r>
      <w:r w:rsidRPr="005802FA">
        <w:t>s and statistics were used to obtain the toxicity data.</w:t>
      </w:r>
    </w:p>
    <w:p w:rsidR="00145F69" w:rsidRDefault="00145F69" w:rsidP="006C2E16"/>
    <w:p w:rsidR="006C2E16" w:rsidRDefault="006C2E16" w:rsidP="006C2E16">
      <w:r>
        <w:t>The method was based on the method used within the US EPA AQUIRE database, which was later renamed the US EPA ECOTOX database (US EPA 1994, 2004) but was improved by Warne et al. (1998).</w:t>
      </w:r>
    </w:p>
    <w:p w:rsidR="00145F69" w:rsidRDefault="00145F69" w:rsidP="006C2E16"/>
    <w:p w:rsidR="006C2E16" w:rsidRDefault="006C2E16" w:rsidP="006C2E16">
      <w:r w:rsidRPr="005802FA">
        <w:t xml:space="preserve">These </w:t>
      </w:r>
      <w:r>
        <w:t xml:space="preserve">methods </w:t>
      </w:r>
      <w:r w:rsidRPr="005802FA">
        <w:t xml:space="preserve">were subsequently </w:t>
      </w:r>
      <w:r>
        <w:t xml:space="preserve">reviewed and further </w:t>
      </w:r>
      <w:r w:rsidRPr="005802FA">
        <w:t xml:space="preserve">improved </w:t>
      </w:r>
      <w:r>
        <w:t>by H</w:t>
      </w:r>
      <w:r w:rsidRPr="005802FA">
        <w:t xml:space="preserve">obbs </w:t>
      </w:r>
      <w:r w:rsidRPr="00254DF8">
        <w:t>et al. (2005</w:t>
      </w:r>
      <w:r w:rsidRPr="005802FA">
        <w:t xml:space="preserve">). </w:t>
      </w:r>
      <w:r>
        <w:t>T</w:t>
      </w:r>
      <w:r w:rsidRPr="005802FA">
        <w:t>he</w:t>
      </w:r>
      <w:r>
        <w:t xml:space="preserve"> Hobbs et al. (2005)</w:t>
      </w:r>
      <w:r w:rsidRPr="005802FA">
        <w:t xml:space="preserve"> data quality assessment procedures </w:t>
      </w:r>
      <w:r>
        <w:t>were</w:t>
      </w:r>
      <w:r w:rsidRPr="005802FA">
        <w:t xml:space="preserve"> modified </w:t>
      </w:r>
      <w:r>
        <w:t xml:space="preserve">so they were suitable </w:t>
      </w:r>
      <w:r w:rsidRPr="005802FA">
        <w:t xml:space="preserve">for terrestrial ecotoxicity data </w:t>
      </w:r>
      <w:r>
        <w:t>(see Table 7) for use in this guideline</w:t>
      </w:r>
      <w:r w:rsidRPr="005802FA">
        <w:t xml:space="preserve">. </w:t>
      </w:r>
    </w:p>
    <w:p w:rsidR="006C2E16" w:rsidRDefault="006C2E16" w:rsidP="006C2E16">
      <w:pPr>
        <w:rPr>
          <w:b/>
          <w:bCs/>
          <w:szCs w:val="22"/>
        </w:rPr>
      </w:pPr>
    </w:p>
    <w:p w:rsidR="006C2E16" w:rsidRDefault="006C2E16" w:rsidP="006C2E16">
      <w:pPr>
        <w:pStyle w:val="Caption"/>
      </w:pPr>
      <w:r w:rsidRPr="00B87AFD">
        <w:t xml:space="preserve">Table 7. Scheme to assess the quality of terrestrial ecotoxicology data. This </w:t>
      </w:r>
      <w:r>
        <w:t>has been</w:t>
      </w:r>
      <w:r w:rsidRPr="00B87AFD">
        <w:t xml:space="preserve"> modified from the aquatic scheme of Hobbs et al. (2005).</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7255"/>
        <w:gridCol w:w="1522"/>
      </w:tblGrid>
      <w:tr w:rsidR="006C2E16" w:rsidRPr="00E82B78" w:rsidTr="00A10D4B">
        <w:trPr>
          <w:cantSplit/>
          <w:tblHeader/>
        </w:trPr>
        <w:tc>
          <w:tcPr>
            <w:tcW w:w="7689" w:type="dxa"/>
            <w:gridSpan w:val="2"/>
            <w:shd w:val="clear" w:color="auto" w:fill="C6D9F1" w:themeFill="text2" w:themeFillTint="33"/>
          </w:tcPr>
          <w:p w:rsidR="006C2E16" w:rsidRPr="00E82B78" w:rsidRDefault="006C2E16" w:rsidP="00A10D4B">
            <w:pPr>
              <w:jc w:val="center"/>
              <w:rPr>
                <w:b/>
                <w:bCs/>
                <w:szCs w:val="22"/>
              </w:rPr>
            </w:pPr>
            <w:r w:rsidRPr="00E82B78">
              <w:rPr>
                <w:b/>
                <w:bCs/>
                <w:szCs w:val="22"/>
              </w:rPr>
              <w:t>Question</w:t>
            </w:r>
          </w:p>
        </w:tc>
        <w:tc>
          <w:tcPr>
            <w:tcW w:w="1524" w:type="dxa"/>
            <w:shd w:val="clear" w:color="auto" w:fill="C6D9F1" w:themeFill="text2" w:themeFillTint="33"/>
          </w:tcPr>
          <w:p w:rsidR="006C2E16" w:rsidRPr="00E82B78" w:rsidRDefault="006C2E16" w:rsidP="00A10D4B">
            <w:pPr>
              <w:jc w:val="center"/>
              <w:rPr>
                <w:b/>
                <w:bCs/>
                <w:szCs w:val="22"/>
              </w:rPr>
            </w:pPr>
            <w:r w:rsidRPr="00E82B78">
              <w:rPr>
                <w:b/>
                <w:bCs/>
                <w:szCs w:val="22"/>
              </w:rPr>
              <w:t>Marks awarded</w:t>
            </w:r>
          </w:p>
        </w:tc>
      </w:tr>
      <w:tr w:rsidR="006C2E16" w:rsidRPr="00E82B78" w:rsidTr="00A10D4B">
        <w:trPr>
          <w:cantSplit/>
        </w:trPr>
        <w:tc>
          <w:tcPr>
            <w:tcW w:w="416" w:type="dxa"/>
          </w:tcPr>
          <w:p w:rsidR="006C2E16" w:rsidRPr="00E82B78" w:rsidRDefault="006C2E16" w:rsidP="00A10D4B">
            <w:pPr>
              <w:rPr>
                <w:szCs w:val="22"/>
              </w:rPr>
            </w:pPr>
            <w:r w:rsidRPr="00E82B78">
              <w:rPr>
                <w:szCs w:val="22"/>
              </w:rPr>
              <w:t>1</w:t>
            </w:r>
          </w:p>
        </w:tc>
        <w:tc>
          <w:tcPr>
            <w:tcW w:w="7273" w:type="dxa"/>
          </w:tcPr>
          <w:p w:rsidR="006C2E16" w:rsidRPr="00E82B78" w:rsidRDefault="006C2E16" w:rsidP="00A10D4B">
            <w:pPr>
              <w:tabs>
                <w:tab w:val="left" w:pos="1320"/>
              </w:tabs>
              <w:rPr>
                <w:szCs w:val="22"/>
              </w:rPr>
            </w:pPr>
            <w:r w:rsidRPr="00E82B78">
              <w:rPr>
                <w:szCs w:val="22"/>
              </w:rPr>
              <w:t>Was the duration of the exposure stated (e.g. 48 or 96 hours)?</w:t>
            </w:r>
          </w:p>
        </w:tc>
        <w:tc>
          <w:tcPr>
            <w:tcW w:w="1524" w:type="dxa"/>
          </w:tcPr>
          <w:p w:rsidR="006C2E16" w:rsidRPr="00E82B78" w:rsidRDefault="006C2E16" w:rsidP="00A10D4B">
            <w:pPr>
              <w:rPr>
                <w:szCs w:val="22"/>
              </w:rPr>
            </w:pPr>
            <w:r w:rsidRPr="00E82B78">
              <w:rPr>
                <w:szCs w:val="22"/>
              </w:rPr>
              <w:t>10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lastRenderedPageBreak/>
              <w:t>2</w:t>
            </w:r>
          </w:p>
        </w:tc>
        <w:tc>
          <w:tcPr>
            <w:tcW w:w="7273" w:type="dxa"/>
          </w:tcPr>
          <w:p w:rsidR="006C2E16" w:rsidRPr="00E82B78" w:rsidRDefault="006C2E16" w:rsidP="00A10D4B">
            <w:pPr>
              <w:autoSpaceDE w:val="0"/>
              <w:autoSpaceDN w:val="0"/>
              <w:adjustRightInd w:val="0"/>
              <w:rPr>
                <w:szCs w:val="22"/>
              </w:rPr>
            </w:pPr>
            <w:r w:rsidRPr="00E82B78">
              <w:rPr>
                <w:szCs w:val="22"/>
              </w:rPr>
              <w:t>Was the biological end point (e.g. immobilisation or population growth) stated and defined (10 marks)? Award 5 marks if only the biological end point is stated.</w:t>
            </w:r>
          </w:p>
        </w:tc>
        <w:tc>
          <w:tcPr>
            <w:tcW w:w="1524" w:type="dxa"/>
          </w:tcPr>
          <w:p w:rsidR="006C2E16" w:rsidRPr="00E82B78" w:rsidRDefault="006C2E16" w:rsidP="00A10D4B">
            <w:pPr>
              <w:rPr>
                <w:szCs w:val="22"/>
              </w:rPr>
            </w:pPr>
            <w:r w:rsidRPr="00E82B78">
              <w:rPr>
                <w:szCs w:val="22"/>
              </w:rPr>
              <w:t>10, 5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3</w:t>
            </w:r>
          </w:p>
        </w:tc>
        <w:tc>
          <w:tcPr>
            <w:tcW w:w="7273" w:type="dxa"/>
          </w:tcPr>
          <w:p w:rsidR="006C2E16" w:rsidRPr="00E82B78" w:rsidRDefault="006C2E16" w:rsidP="00A10D4B">
            <w:pPr>
              <w:rPr>
                <w:szCs w:val="22"/>
              </w:rPr>
            </w:pPr>
            <w:r w:rsidRPr="00E82B78">
              <w:rPr>
                <w:szCs w:val="22"/>
              </w:rPr>
              <w:t>Was the biological effect stated (e.g. LC or NOEC)?</w:t>
            </w:r>
          </w:p>
        </w:tc>
        <w:tc>
          <w:tcPr>
            <w:tcW w:w="1524" w:type="dxa"/>
          </w:tcPr>
          <w:p w:rsidR="006C2E16" w:rsidRPr="00E82B78" w:rsidRDefault="006C2E16" w:rsidP="00A10D4B">
            <w:pPr>
              <w:rPr>
                <w:szCs w:val="22"/>
              </w:rPr>
            </w:pPr>
            <w:r w:rsidRPr="00E82B78">
              <w:rPr>
                <w:szCs w:val="22"/>
              </w:rPr>
              <w:t>5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4</w:t>
            </w:r>
          </w:p>
        </w:tc>
        <w:tc>
          <w:tcPr>
            <w:tcW w:w="7273" w:type="dxa"/>
          </w:tcPr>
          <w:p w:rsidR="006C2E16" w:rsidRPr="00E82B78" w:rsidRDefault="006C2E16" w:rsidP="00A10D4B">
            <w:pPr>
              <w:autoSpaceDE w:val="0"/>
              <w:autoSpaceDN w:val="0"/>
              <w:adjustRightInd w:val="0"/>
              <w:rPr>
                <w:szCs w:val="22"/>
              </w:rPr>
            </w:pPr>
            <w:r w:rsidRPr="00E82B78">
              <w:rPr>
                <w:szCs w:val="22"/>
              </w:rPr>
              <w:t>Was the biological effect quantified (e.g. 50% effect, 25% effect)? The effect for NOEC and LOEC data must be quantified.</w:t>
            </w:r>
          </w:p>
        </w:tc>
        <w:tc>
          <w:tcPr>
            <w:tcW w:w="1524" w:type="dxa"/>
          </w:tcPr>
          <w:p w:rsidR="006C2E16" w:rsidRPr="00E82B78" w:rsidRDefault="006C2E16" w:rsidP="00A10D4B">
            <w:pPr>
              <w:autoSpaceDE w:val="0"/>
              <w:autoSpaceDN w:val="0"/>
              <w:adjustRightInd w:val="0"/>
              <w:rPr>
                <w:szCs w:val="22"/>
              </w:rPr>
            </w:pPr>
            <w:r w:rsidRPr="00E82B78">
              <w:rPr>
                <w:szCs w:val="22"/>
              </w:rPr>
              <w:t>5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5</w:t>
            </w:r>
          </w:p>
        </w:tc>
        <w:tc>
          <w:tcPr>
            <w:tcW w:w="7273" w:type="dxa"/>
          </w:tcPr>
          <w:p w:rsidR="006C2E16" w:rsidRPr="00E82B78" w:rsidRDefault="006C2E16" w:rsidP="00A10D4B">
            <w:pPr>
              <w:rPr>
                <w:szCs w:val="22"/>
              </w:rPr>
            </w:pPr>
            <w:r w:rsidRPr="00E82B78">
              <w:rPr>
                <w:szCs w:val="22"/>
              </w:rPr>
              <w:t>Were appropriate controls (e.g. a no-toxicant control and/or solvent control) used?</w:t>
            </w:r>
          </w:p>
        </w:tc>
        <w:tc>
          <w:tcPr>
            <w:tcW w:w="1524" w:type="dxa"/>
          </w:tcPr>
          <w:p w:rsidR="006C2E16" w:rsidRPr="00E82B78" w:rsidRDefault="006C2E16" w:rsidP="00A10D4B">
            <w:pPr>
              <w:autoSpaceDE w:val="0"/>
              <w:autoSpaceDN w:val="0"/>
              <w:adjustRightInd w:val="0"/>
              <w:rPr>
                <w:szCs w:val="22"/>
              </w:rPr>
            </w:pPr>
            <w:r w:rsidRPr="00E82B78">
              <w:rPr>
                <w:szCs w:val="22"/>
              </w:rPr>
              <w:t>5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6</w:t>
            </w:r>
          </w:p>
        </w:tc>
        <w:tc>
          <w:tcPr>
            <w:tcW w:w="7273" w:type="dxa"/>
          </w:tcPr>
          <w:p w:rsidR="006C2E16" w:rsidRPr="00E82B78" w:rsidRDefault="006C2E16" w:rsidP="00A10D4B">
            <w:pPr>
              <w:rPr>
                <w:szCs w:val="22"/>
              </w:rPr>
            </w:pPr>
            <w:r w:rsidRPr="00E82B78">
              <w:rPr>
                <w:szCs w:val="22"/>
              </w:rPr>
              <w:t>Was each control and contaminant concentration at least duplicated?</w:t>
            </w:r>
          </w:p>
        </w:tc>
        <w:tc>
          <w:tcPr>
            <w:tcW w:w="1524" w:type="dxa"/>
          </w:tcPr>
          <w:p w:rsidR="006C2E16" w:rsidRPr="00E82B78" w:rsidRDefault="006C2E16" w:rsidP="00A10D4B">
            <w:pPr>
              <w:rPr>
                <w:szCs w:val="22"/>
              </w:rPr>
            </w:pPr>
            <w:r w:rsidRPr="00E82B78">
              <w:rPr>
                <w:szCs w:val="22"/>
              </w:rPr>
              <w:t>5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7</w:t>
            </w:r>
          </w:p>
        </w:tc>
        <w:tc>
          <w:tcPr>
            <w:tcW w:w="7273" w:type="dxa"/>
          </w:tcPr>
          <w:p w:rsidR="006C2E16" w:rsidRPr="00E82B78" w:rsidRDefault="006C2E16" w:rsidP="00A10D4B">
            <w:pPr>
              <w:autoSpaceDE w:val="0"/>
              <w:autoSpaceDN w:val="0"/>
              <w:adjustRightInd w:val="0"/>
              <w:rPr>
                <w:szCs w:val="22"/>
              </w:rPr>
            </w:pPr>
            <w:r w:rsidRPr="00E82B78">
              <w:rPr>
                <w:szCs w:val="22"/>
              </w:rPr>
              <w:t>Were test acceptability criteria stated (e.g. mortality in controls must not exceed a certain percentage) (5 marks)?</w:t>
            </w:r>
          </w:p>
          <w:p w:rsidR="006C2E16" w:rsidRPr="00E82B78" w:rsidRDefault="006C2E16" w:rsidP="00A10D4B">
            <w:pPr>
              <w:autoSpaceDE w:val="0"/>
              <w:autoSpaceDN w:val="0"/>
              <w:adjustRightInd w:val="0"/>
              <w:rPr>
                <w:szCs w:val="22"/>
              </w:rPr>
            </w:pPr>
            <w:r w:rsidRPr="00E82B78">
              <w:rPr>
                <w:szCs w:val="22"/>
              </w:rPr>
              <w:t>or</w:t>
            </w:r>
          </w:p>
          <w:p w:rsidR="006C2E16" w:rsidRPr="00E82B78" w:rsidRDefault="006C2E16" w:rsidP="00A10D4B">
            <w:pPr>
              <w:autoSpaceDE w:val="0"/>
              <w:autoSpaceDN w:val="0"/>
              <w:adjustRightInd w:val="0"/>
              <w:rPr>
                <w:szCs w:val="22"/>
              </w:rPr>
            </w:pPr>
            <w:r w:rsidRPr="00E82B78">
              <w:rPr>
                <w:szCs w:val="22"/>
              </w:rPr>
              <w:t>Were test acceptability criteria inferred (e.g. test method used (US EPA, OECD, ASTM, etc.)) (award 2 marks). Note: Invalid data must not be included in the database.</w:t>
            </w:r>
          </w:p>
        </w:tc>
        <w:tc>
          <w:tcPr>
            <w:tcW w:w="1524" w:type="dxa"/>
          </w:tcPr>
          <w:p w:rsidR="006C2E16" w:rsidRPr="00E82B78" w:rsidRDefault="006C2E16" w:rsidP="00A10D4B">
            <w:pPr>
              <w:rPr>
                <w:szCs w:val="22"/>
              </w:rPr>
            </w:pPr>
            <w:r w:rsidRPr="00E82B78">
              <w:rPr>
                <w:szCs w:val="22"/>
              </w:rPr>
              <w:t xml:space="preserve">5, 2 or 0 </w:t>
            </w:r>
          </w:p>
        </w:tc>
      </w:tr>
      <w:tr w:rsidR="006C2E16" w:rsidRPr="00E82B78" w:rsidTr="00A10D4B">
        <w:trPr>
          <w:cantSplit/>
        </w:trPr>
        <w:tc>
          <w:tcPr>
            <w:tcW w:w="416" w:type="dxa"/>
          </w:tcPr>
          <w:p w:rsidR="006C2E16" w:rsidRPr="00E82B78" w:rsidRDefault="006C2E16" w:rsidP="00A10D4B">
            <w:pPr>
              <w:rPr>
                <w:szCs w:val="22"/>
              </w:rPr>
            </w:pPr>
            <w:r w:rsidRPr="00E82B78">
              <w:rPr>
                <w:szCs w:val="22"/>
              </w:rPr>
              <w:t>8</w:t>
            </w:r>
          </w:p>
        </w:tc>
        <w:tc>
          <w:tcPr>
            <w:tcW w:w="7273" w:type="dxa"/>
          </w:tcPr>
          <w:p w:rsidR="006C2E16" w:rsidRPr="00E82B78" w:rsidRDefault="006C2E16" w:rsidP="00A10D4B">
            <w:pPr>
              <w:rPr>
                <w:szCs w:val="22"/>
              </w:rPr>
            </w:pPr>
            <w:r w:rsidRPr="00E82B78">
              <w:rPr>
                <w:szCs w:val="22"/>
              </w:rPr>
              <w:t>Were the characteristics of the test organism (e.g. length, mass, age) stated?</w:t>
            </w:r>
          </w:p>
        </w:tc>
        <w:tc>
          <w:tcPr>
            <w:tcW w:w="1524" w:type="dxa"/>
          </w:tcPr>
          <w:p w:rsidR="006C2E16" w:rsidRPr="00E82B78" w:rsidRDefault="006C2E16" w:rsidP="00A10D4B">
            <w:pPr>
              <w:rPr>
                <w:szCs w:val="22"/>
              </w:rPr>
            </w:pPr>
            <w:r w:rsidRPr="00E82B78">
              <w:rPr>
                <w:szCs w:val="22"/>
              </w:rPr>
              <w:t>5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9</w:t>
            </w:r>
          </w:p>
        </w:tc>
        <w:tc>
          <w:tcPr>
            <w:tcW w:w="7273" w:type="dxa"/>
          </w:tcPr>
          <w:p w:rsidR="006C2E16" w:rsidRPr="00E82B78" w:rsidRDefault="006C2E16" w:rsidP="00A10D4B">
            <w:pPr>
              <w:rPr>
                <w:szCs w:val="22"/>
              </w:rPr>
            </w:pPr>
            <w:r w:rsidRPr="00E82B78">
              <w:rPr>
                <w:szCs w:val="22"/>
              </w:rPr>
              <w:t>Was the type of test media used stated?</w:t>
            </w:r>
          </w:p>
        </w:tc>
        <w:tc>
          <w:tcPr>
            <w:tcW w:w="1524" w:type="dxa"/>
          </w:tcPr>
          <w:p w:rsidR="006C2E16" w:rsidRPr="00E82B78" w:rsidRDefault="006C2E16" w:rsidP="00A10D4B">
            <w:pPr>
              <w:rPr>
                <w:szCs w:val="22"/>
              </w:rPr>
            </w:pPr>
            <w:r w:rsidRPr="00E82B78">
              <w:rPr>
                <w:szCs w:val="22"/>
              </w:rPr>
              <w:t>5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10</w:t>
            </w:r>
          </w:p>
        </w:tc>
        <w:tc>
          <w:tcPr>
            <w:tcW w:w="7273" w:type="dxa"/>
          </w:tcPr>
          <w:p w:rsidR="006C2E16" w:rsidRPr="00E82B78" w:rsidRDefault="006C2E16" w:rsidP="00A10D4B">
            <w:pPr>
              <w:rPr>
                <w:szCs w:val="22"/>
              </w:rPr>
            </w:pPr>
            <w:r w:rsidRPr="00E82B78">
              <w:rPr>
                <w:szCs w:val="22"/>
              </w:rPr>
              <w:t>Were the contaminant concentrations measured?</w:t>
            </w:r>
          </w:p>
        </w:tc>
        <w:tc>
          <w:tcPr>
            <w:tcW w:w="1524" w:type="dxa"/>
          </w:tcPr>
          <w:p w:rsidR="006C2E16" w:rsidRPr="00E82B78" w:rsidRDefault="006C2E16" w:rsidP="00A10D4B">
            <w:pPr>
              <w:autoSpaceDE w:val="0"/>
              <w:autoSpaceDN w:val="0"/>
              <w:adjustRightInd w:val="0"/>
              <w:rPr>
                <w:szCs w:val="22"/>
              </w:rPr>
            </w:pPr>
            <w:r w:rsidRPr="00E82B78">
              <w:rPr>
                <w:szCs w:val="22"/>
              </w:rPr>
              <w:t>4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11</w:t>
            </w:r>
          </w:p>
        </w:tc>
        <w:tc>
          <w:tcPr>
            <w:tcW w:w="7273" w:type="dxa"/>
          </w:tcPr>
          <w:p w:rsidR="006C2E16" w:rsidRPr="00E82B78" w:rsidRDefault="006C2E16" w:rsidP="00A10D4B">
            <w:pPr>
              <w:rPr>
                <w:szCs w:val="22"/>
              </w:rPr>
            </w:pPr>
            <w:r w:rsidRPr="00E82B78">
              <w:rPr>
                <w:szCs w:val="22"/>
              </w:rPr>
              <w:t>Were parallel reference toxicant toxicity tests conducted?</w:t>
            </w:r>
          </w:p>
        </w:tc>
        <w:tc>
          <w:tcPr>
            <w:tcW w:w="1524" w:type="dxa"/>
          </w:tcPr>
          <w:p w:rsidR="006C2E16" w:rsidRPr="00E82B78" w:rsidRDefault="006C2E16" w:rsidP="00A10D4B">
            <w:pPr>
              <w:autoSpaceDE w:val="0"/>
              <w:autoSpaceDN w:val="0"/>
              <w:adjustRightInd w:val="0"/>
              <w:rPr>
                <w:szCs w:val="22"/>
              </w:rPr>
            </w:pPr>
            <w:r w:rsidRPr="00E82B78">
              <w:rPr>
                <w:szCs w:val="22"/>
              </w:rPr>
              <w:t>4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12</w:t>
            </w:r>
          </w:p>
        </w:tc>
        <w:tc>
          <w:tcPr>
            <w:tcW w:w="7273" w:type="dxa"/>
          </w:tcPr>
          <w:p w:rsidR="006C2E16" w:rsidRPr="00E82B78" w:rsidRDefault="006C2E16" w:rsidP="00A10D4B">
            <w:pPr>
              <w:rPr>
                <w:szCs w:val="22"/>
              </w:rPr>
            </w:pPr>
            <w:r w:rsidRPr="00E82B78">
              <w:rPr>
                <w:szCs w:val="22"/>
              </w:rPr>
              <w:t>Was there a concentration–response relationship either observable or stated?</w:t>
            </w:r>
          </w:p>
        </w:tc>
        <w:tc>
          <w:tcPr>
            <w:tcW w:w="1524" w:type="dxa"/>
          </w:tcPr>
          <w:p w:rsidR="006C2E16" w:rsidRPr="00E82B78" w:rsidRDefault="006C2E16" w:rsidP="00A10D4B">
            <w:pPr>
              <w:rPr>
                <w:szCs w:val="22"/>
              </w:rPr>
            </w:pPr>
            <w:r w:rsidRPr="00E82B78">
              <w:rPr>
                <w:szCs w:val="22"/>
              </w:rPr>
              <w:t>4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13</w:t>
            </w:r>
          </w:p>
        </w:tc>
        <w:tc>
          <w:tcPr>
            <w:tcW w:w="7273" w:type="dxa"/>
          </w:tcPr>
          <w:p w:rsidR="006C2E16" w:rsidRPr="00E82B78" w:rsidRDefault="006C2E16" w:rsidP="00A10D4B">
            <w:pPr>
              <w:rPr>
                <w:szCs w:val="22"/>
              </w:rPr>
            </w:pPr>
            <w:r w:rsidRPr="00E82B78">
              <w:rPr>
                <w:szCs w:val="22"/>
              </w:rPr>
              <w:t>Was an appropriate statistical method or model used to determine the toxicity?</w:t>
            </w:r>
          </w:p>
        </w:tc>
        <w:tc>
          <w:tcPr>
            <w:tcW w:w="1524" w:type="dxa"/>
          </w:tcPr>
          <w:p w:rsidR="006C2E16" w:rsidRPr="00E82B78" w:rsidRDefault="006C2E16" w:rsidP="00A10D4B">
            <w:pPr>
              <w:rPr>
                <w:szCs w:val="22"/>
              </w:rPr>
            </w:pPr>
            <w:r w:rsidRPr="00E82B78">
              <w:rPr>
                <w:szCs w:val="22"/>
              </w:rPr>
              <w:t>4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14</w:t>
            </w:r>
          </w:p>
        </w:tc>
        <w:tc>
          <w:tcPr>
            <w:tcW w:w="7273" w:type="dxa"/>
          </w:tcPr>
          <w:p w:rsidR="006C2E16" w:rsidRPr="00E82B78" w:rsidRDefault="006C2E16" w:rsidP="00A10D4B">
            <w:pPr>
              <w:autoSpaceDE w:val="0"/>
              <w:autoSpaceDN w:val="0"/>
              <w:adjustRightInd w:val="0"/>
              <w:rPr>
                <w:szCs w:val="22"/>
              </w:rPr>
            </w:pPr>
            <w:r w:rsidRPr="00E82B78">
              <w:rPr>
                <w:szCs w:val="22"/>
              </w:rPr>
              <w:t>For NOEC/LOEC data, was the significance level 0.05 or less?</w:t>
            </w:r>
          </w:p>
          <w:p w:rsidR="006C2E16" w:rsidRPr="00E82B78" w:rsidRDefault="006C2E16" w:rsidP="00A10D4B">
            <w:pPr>
              <w:autoSpaceDE w:val="0"/>
              <w:autoSpaceDN w:val="0"/>
              <w:adjustRightInd w:val="0"/>
              <w:rPr>
                <w:szCs w:val="22"/>
              </w:rPr>
            </w:pPr>
            <w:r w:rsidRPr="00E82B78">
              <w:rPr>
                <w:szCs w:val="22"/>
              </w:rPr>
              <w:t>or</w:t>
            </w:r>
          </w:p>
          <w:p w:rsidR="006C2E16" w:rsidRPr="00E82B78" w:rsidRDefault="006C2E16" w:rsidP="00A10D4B">
            <w:pPr>
              <w:autoSpaceDE w:val="0"/>
              <w:autoSpaceDN w:val="0"/>
              <w:adjustRightInd w:val="0"/>
              <w:rPr>
                <w:szCs w:val="22"/>
              </w:rPr>
            </w:pPr>
            <w:r w:rsidRPr="00E82B78">
              <w:rPr>
                <w:szCs w:val="22"/>
              </w:rPr>
              <w:t>For LC/EC/BEC data, was an estimate of variability provided?</w:t>
            </w:r>
          </w:p>
        </w:tc>
        <w:tc>
          <w:tcPr>
            <w:tcW w:w="1524" w:type="dxa"/>
          </w:tcPr>
          <w:p w:rsidR="006C2E16" w:rsidRPr="00E82B78" w:rsidRDefault="006C2E16" w:rsidP="00A10D4B">
            <w:pPr>
              <w:autoSpaceDE w:val="0"/>
              <w:autoSpaceDN w:val="0"/>
              <w:adjustRightInd w:val="0"/>
              <w:rPr>
                <w:szCs w:val="22"/>
              </w:rPr>
            </w:pPr>
            <w:r w:rsidRPr="00E82B78">
              <w:rPr>
                <w:szCs w:val="22"/>
              </w:rPr>
              <w:t>4 or 0</w:t>
            </w:r>
          </w:p>
          <w:p w:rsidR="006C2E16" w:rsidRPr="00E82B78" w:rsidRDefault="006C2E16" w:rsidP="00A10D4B">
            <w:pPr>
              <w:rPr>
                <w:szCs w:val="22"/>
              </w:rPr>
            </w:pPr>
          </w:p>
        </w:tc>
      </w:tr>
      <w:tr w:rsidR="006C2E16" w:rsidRPr="00E82B78" w:rsidTr="00A10D4B">
        <w:trPr>
          <w:cantSplit/>
        </w:trPr>
        <w:tc>
          <w:tcPr>
            <w:tcW w:w="416" w:type="dxa"/>
          </w:tcPr>
          <w:p w:rsidR="006C2E16" w:rsidRPr="00E82B78" w:rsidRDefault="006C2E16" w:rsidP="00A10D4B">
            <w:pPr>
              <w:rPr>
                <w:szCs w:val="22"/>
              </w:rPr>
            </w:pPr>
            <w:r w:rsidRPr="00E82B78">
              <w:rPr>
                <w:szCs w:val="22"/>
              </w:rPr>
              <w:t>15</w:t>
            </w:r>
          </w:p>
        </w:tc>
        <w:tc>
          <w:tcPr>
            <w:tcW w:w="7273" w:type="dxa"/>
          </w:tcPr>
          <w:p w:rsidR="006C2E16" w:rsidRPr="00E82B78" w:rsidRDefault="006C2E16" w:rsidP="00A10D4B">
            <w:pPr>
              <w:autoSpaceDE w:val="0"/>
              <w:autoSpaceDN w:val="0"/>
              <w:adjustRightInd w:val="0"/>
              <w:rPr>
                <w:szCs w:val="22"/>
              </w:rPr>
            </w:pPr>
            <w:r w:rsidRPr="00E82B78">
              <w:rPr>
                <w:szCs w:val="22"/>
              </w:rPr>
              <w:t>Were the following parameters measured and stated? (3 marks if measured and stated, 1 if just measured)</w:t>
            </w:r>
          </w:p>
          <w:p w:rsidR="006C2E16" w:rsidRPr="00E82B78" w:rsidRDefault="006C2E16" w:rsidP="00A10D4B">
            <w:pPr>
              <w:autoSpaceDE w:val="0"/>
              <w:autoSpaceDN w:val="0"/>
              <w:adjustRightInd w:val="0"/>
              <w:rPr>
                <w:szCs w:val="22"/>
              </w:rPr>
            </w:pPr>
            <w:r w:rsidRPr="00E82B78">
              <w:rPr>
                <w:szCs w:val="22"/>
              </w:rPr>
              <w:t>pH</w:t>
            </w:r>
          </w:p>
          <w:p w:rsidR="006C2E16" w:rsidRPr="00E82B78" w:rsidRDefault="006C2E16" w:rsidP="00A10D4B">
            <w:pPr>
              <w:autoSpaceDE w:val="0"/>
              <w:autoSpaceDN w:val="0"/>
              <w:adjustRightInd w:val="0"/>
              <w:rPr>
                <w:szCs w:val="22"/>
              </w:rPr>
            </w:pPr>
            <w:r w:rsidRPr="00E82B78">
              <w:rPr>
                <w:szCs w:val="22"/>
              </w:rPr>
              <w:t>OM or OC content</w:t>
            </w:r>
          </w:p>
          <w:p w:rsidR="006C2E16" w:rsidRPr="00E82B78" w:rsidRDefault="006C2E16" w:rsidP="00A10D4B">
            <w:pPr>
              <w:autoSpaceDE w:val="0"/>
              <w:autoSpaceDN w:val="0"/>
              <w:adjustRightInd w:val="0"/>
              <w:rPr>
                <w:szCs w:val="22"/>
              </w:rPr>
            </w:pPr>
            <w:r w:rsidRPr="00E82B78">
              <w:rPr>
                <w:szCs w:val="22"/>
              </w:rPr>
              <w:t>clay content</w:t>
            </w:r>
          </w:p>
          <w:p w:rsidR="006C2E16" w:rsidRPr="00E82B78" w:rsidRDefault="006C2E16" w:rsidP="00A10D4B">
            <w:pPr>
              <w:rPr>
                <w:szCs w:val="22"/>
              </w:rPr>
            </w:pPr>
            <w:r w:rsidRPr="00E82B78">
              <w:rPr>
                <w:szCs w:val="22"/>
              </w:rPr>
              <w:t>CEC</w:t>
            </w:r>
          </w:p>
        </w:tc>
        <w:tc>
          <w:tcPr>
            <w:tcW w:w="1524" w:type="dxa"/>
          </w:tcPr>
          <w:p w:rsidR="006C2E16" w:rsidRPr="00E82B78" w:rsidRDefault="006C2E16" w:rsidP="00A10D4B">
            <w:pPr>
              <w:autoSpaceDE w:val="0"/>
              <w:autoSpaceDN w:val="0"/>
              <w:adjustRightInd w:val="0"/>
              <w:rPr>
                <w:szCs w:val="22"/>
              </w:rPr>
            </w:pPr>
          </w:p>
          <w:p w:rsidR="006C2E16" w:rsidRPr="00E82B78" w:rsidRDefault="006C2E16" w:rsidP="00A10D4B">
            <w:pPr>
              <w:autoSpaceDE w:val="0"/>
              <w:autoSpaceDN w:val="0"/>
              <w:adjustRightInd w:val="0"/>
              <w:rPr>
                <w:szCs w:val="22"/>
              </w:rPr>
            </w:pPr>
          </w:p>
          <w:p w:rsidR="006C2E16" w:rsidRPr="00E82B78" w:rsidRDefault="006C2E16" w:rsidP="00A10D4B">
            <w:pPr>
              <w:autoSpaceDE w:val="0"/>
              <w:autoSpaceDN w:val="0"/>
              <w:adjustRightInd w:val="0"/>
              <w:rPr>
                <w:szCs w:val="22"/>
              </w:rPr>
            </w:pPr>
            <w:r w:rsidRPr="00E82B78">
              <w:rPr>
                <w:szCs w:val="22"/>
              </w:rPr>
              <w:t>3, 1 or 0</w:t>
            </w:r>
          </w:p>
          <w:p w:rsidR="006C2E16" w:rsidRPr="00E82B78" w:rsidRDefault="006C2E16" w:rsidP="00A10D4B">
            <w:pPr>
              <w:autoSpaceDE w:val="0"/>
              <w:autoSpaceDN w:val="0"/>
              <w:adjustRightInd w:val="0"/>
              <w:rPr>
                <w:szCs w:val="22"/>
              </w:rPr>
            </w:pPr>
            <w:r w:rsidRPr="00E82B78">
              <w:rPr>
                <w:szCs w:val="22"/>
              </w:rPr>
              <w:t>3, 1 or 0</w:t>
            </w:r>
          </w:p>
          <w:p w:rsidR="006C2E16" w:rsidRPr="00E82B78" w:rsidRDefault="006C2E16" w:rsidP="00A10D4B">
            <w:pPr>
              <w:autoSpaceDE w:val="0"/>
              <w:autoSpaceDN w:val="0"/>
              <w:adjustRightInd w:val="0"/>
              <w:rPr>
                <w:szCs w:val="22"/>
              </w:rPr>
            </w:pPr>
            <w:r w:rsidRPr="00E82B78">
              <w:rPr>
                <w:szCs w:val="22"/>
              </w:rPr>
              <w:t>3, 1 or 0</w:t>
            </w:r>
          </w:p>
          <w:p w:rsidR="006C2E16" w:rsidRPr="00E82B78" w:rsidRDefault="006C2E16" w:rsidP="00A10D4B">
            <w:pPr>
              <w:autoSpaceDE w:val="0"/>
              <w:autoSpaceDN w:val="0"/>
              <w:adjustRightInd w:val="0"/>
              <w:rPr>
                <w:szCs w:val="22"/>
              </w:rPr>
            </w:pPr>
            <w:r w:rsidRPr="00E82B78">
              <w:rPr>
                <w:szCs w:val="22"/>
              </w:rPr>
              <w:t>3, 1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16</w:t>
            </w:r>
          </w:p>
          <w:p w:rsidR="006C2E16" w:rsidRPr="00E82B78" w:rsidRDefault="006C2E16" w:rsidP="00A10D4B">
            <w:pPr>
              <w:rPr>
                <w:szCs w:val="22"/>
              </w:rPr>
            </w:pPr>
          </w:p>
        </w:tc>
        <w:tc>
          <w:tcPr>
            <w:tcW w:w="7273" w:type="dxa"/>
          </w:tcPr>
          <w:p w:rsidR="006C2E16" w:rsidRPr="00E82B78" w:rsidRDefault="006C2E16" w:rsidP="00A10D4B">
            <w:pPr>
              <w:rPr>
                <w:szCs w:val="22"/>
              </w:rPr>
            </w:pPr>
            <w:r w:rsidRPr="00E82B78">
              <w:rPr>
                <w:szCs w:val="22"/>
              </w:rPr>
              <w:t>Was the temperature measured and stated?</w:t>
            </w:r>
          </w:p>
        </w:tc>
        <w:tc>
          <w:tcPr>
            <w:tcW w:w="1524" w:type="dxa"/>
          </w:tcPr>
          <w:p w:rsidR="006C2E16" w:rsidRPr="00E82B78" w:rsidRDefault="006C2E16" w:rsidP="00A10D4B">
            <w:pPr>
              <w:rPr>
                <w:szCs w:val="22"/>
              </w:rPr>
            </w:pPr>
            <w:r w:rsidRPr="00E82B78">
              <w:rPr>
                <w:szCs w:val="22"/>
              </w:rPr>
              <w:t>3 or 0</w:t>
            </w:r>
          </w:p>
        </w:tc>
      </w:tr>
      <w:tr w:rsidR="006C2E16" w:rsidRPr="00E82B78" w:rsidTr="00A10D4B">
        <w:trPr>
          <w:cantSplit/>
          <w:trHeight w:val="392"/>
        </w:trPr>
        <w:tc>
          <w:tcPr>
            <w:tcW w:w="416" w:type="dxa"/>
          </w:tcPr>
          <w:p w:rsidR="006C2E16" w:rsidRPr="00E82B78" w:rsidRDefault="006C2E16" w:rsidP="00A10D4B">
            <w:pPr>
              <w:rPr>
                <w:szCs w:val="22"/>
              </w:rPr>
            </w:pPr>
            <w:r w:rsidRPr="00E82B78">
              <w:rPr>
                <w:szCs w:val="22"/>
              </w:rPr>
              <w:t>17</w:t>
            </w:r>
          </w:p>
        </w:tc>
        <w:tc>
          <w:tcPr>
            <w:tcW w:w="7273" w:type="dxa"/>
          </w:tcPr>
          <w:p w:rsidR="006C2E16" w:rsidRPr="00E82B78" w:rsidRDefault="006C2E16" w:rsidP="00A10D4B">
            <w:pPr>
              <w:rPr>
                <w:szCs w:val="22"/>
              </w:rPr>
            </w:pPr>
            <w:r w:rsidRPr="00E82B78">
              <w:rPr>
                <w:szCs w:val="22"/>
              </w:rPr>
              <w:t>Was the grade or purity of the test contaminant stated?</w:t>
            </w:r>
          </w:p>
        </w:tc>
        <w:tc>
          <w:tcPr>
            <w:tcW w:w="1524" w:type="dxa"/>
          </w:tcPr>
          <w:p w:rsidR="006C2E16" w:rsidRPr="00E82B78" w:rsidRDefault="006C2E16" w:rsidP="00A10D4B">
            <w:pPr>
              <w:rPr>
                <w:szCs w:val="22"/>
              </w:rPr>
            </w:pPr>
            <w:r w:rsidRPr="00E82B78">
              <w:rPr>
                <w:szCs w:val="22"/>
              </w:rPr>
              <w:t>3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18</w:t>
            </w:r>
          </w:p>
        </w:tc>
        <w:tc>
          <w:tcPr>
            <w:tcW w:w="7273" w:type="dxa"/>
          </w:tcPr>
          <w:p w:rsidR="006C2E16" w:rsidRPr="00E82B78" w:rsidRDefault="006C2E16" w:rsidP="00A10D4B">
            <w:pPr>
              <w:autoSpaceDE w:val="0"/>
              <w:autoSpaceDN w:val="0"/>
              <w:adjustRightInd w:val="0"/>
              <w:rPr>
                <w:szCs w:val="22"/>
              </w:rPr>
            </w:pPr>
            <w:r w:rsidRPr="00E82B78">
              <w:rPr>
                <w:szCs w:val="22"/>
              </w:rPr>
              <w:t>Were other cations and/or major soil elements measured?</w:t>
            </w:r>
          </w:p>
          <w:p w:rsidR="006C2E16" w:rsidRPr="00E82B78" w:rsidRDefault="006C2E16" w:rsidP="00A10D4B">
            <w:pPr>
              <w:autoSpaceDE w:val="0"/>
              <w:autoSpaceDN w:val="0"/>
              <w:adjustRightInd w:val="0"/>
              <w:rPr>
                <w:szCs w:val="22"/>
              </w:rPr>
            </w:pPr>
            <w:r w:rsidRPr="00E82B78">
              <w:rPr>
                <w:szCs w:val="22"/>
              </w:rPr>
              <w:t>or</w:t>
            </w:r>
          </w:p>
          <w:p w:rsidR="006C2E16" w:rsidRPr="00E82B78" w:rsidRDefault="006C2E16" w:rsidP="00A10D4B">
            <w:pPr>
              <w:autoSpaceDE w:val="0"/>
              <w:autoSpaceDN w:val="0"/>
              <w:adjustRightInd w:val="0"/>
              <w:rPr>
                <w:szCs w:val="22"/>
              </w:rPr>
            </w:pPr>
            <w:r w:rsidRPr="00E82B78">
              <w:rPr>
                <w:szCs w:val="22"/>
              </w:rPr>
              <w:t>Were known interacting elements on bioavailability measured (e.g. Mo for Cu and Cl for Cd)?</w:t>
            </w:r>
          </w:p>
        </w:tc>
        <w:tc>
          <w:tcPr>
            <w:tcW w:w="1524" w:type="dxa"/>
          </w:tcPr>
          <w:p w:rsidR="006C2E16" w:rsidRPr="00E82B78" w:rsidRDefault="006C2E16" w:rsidP="00A10D4B">
            <w:pPr>
              <w:rPr>
                <w:szCs w:val="22"/>
              </w:rPr>
            </w:pPr>
            <w:r w:rsidRPr="00E82B78">
              <w:rPr>
                <w:szCs w:val="22"/>
              </w:rPr>
              <w:t>3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19</w:t>
            </w:r>
          </w:p>
        </w:tc>
        <w:tc>
          <w:tcPr>
            <w:tcW w:w="7273" w:type="dxa"/>
          </w:tcPr>
          <w:p w:rsidR="006C2E16" w:rsidRPr="00E82B78" w:rsidRDefault="006C2E16" w:rsidP="00A10D4B">
            <w:pPr>
              <w:autoSpaceDE w:val="0"/>
              <w:autoSpaceDN w:val="0"/>
              <w:adjustRightInd w:val="0"/>
              <w:rPr>
                <w:szCs w:val="22"/>
              </w:rPr>
            </w:pPr>
            <w:r w:rsidRPr="00E82B78">
              <w:rPr>
                <w:szCs w:val="22"/>
              </w:rPr>
              <w:t>For spiked soils with metal salts: were the soils leached after spiking?</w:t>
            </w:r>
          </w:p>
        </w:tc>
        <w:tc>
          <w:tcPr>
            <w:tcW w:w="1524" w:type="dxa"/>
          </w:tcPr>
          <w:p w:rsidR="006C2E16" w:rsidRPr="00E82B78" w:rsidRDefault="006C2E16" w:rsidP="00A10D4B">
            <w:pPr>
              <w:rPr>
                <w:szCs w:val="22"/>
              </w:rPr>
            </w:pPr>
            <w:r w:rsidRPr="00E82B78">
              <w:rPr>
                <w:szCs w:val="22"/>
              </w:rPr>
              <w:t>3 or 0</w:t>
            </w:r>
          </w:p>
        </w:tc>
      </w:tr>
      <w:tr w:rsidR="006C2E16" w:rsidRPr="00E82B78" w:rsidTr="00A10D4B">
        <w:trPr>
          <w:cantSplit/>
        </w:trPr>
        <w:tc>
          <w:tcPr>
            <w:tcW w:w="416" w:type="dxa"/>
          </w:tcPr>
          <w:p w:rsidR="006C2E16" w:rsidRPr="00E82B78" w:rsidRDefault="006C2E16" w:rsidP="00A10D4B">
            <w:pPr>
              <w:rPr>
                <w:szCs w:val="22"/>
              </w:rPr>
            </w:pPr>
            <w:r w:rsidRPr="00E82B78">
              <w:rPr>
                <w:szCs w:val="22"/>
              </w:rPr>
              <w:t>20</w:t>
            </w:r>
          </w:p>
        </w:tc>
        <w:tc>
          <w:tcPr>
            <w:tcW w:w="7273" w:type="dxa"/>
          </w:tcPr>
          <w:p w:rsidR="006C2E16" w:rsidRPr="00E82B78" w:rsidRDefault="006C2E16" w:rsidP="00A10D4B">
            <w:pPr>
              <w:autoSpaceDE w:val="0"/>
              <w:autoSpaceDN w:val="0"/>
              <w:adjustRightInd w:val="0"/>
              <w:rPr>
                <w:szCs w:val="22"/>
              </w:rPr>
            </w:pPr>
            <w:r w:rsidRPr="00E82B78">
              <w:rPr>
                <w:szCs w:val="22"/>
              </w:rPr>
              <w:t>Were the incubation conditions and duration stated?</w:t>
            </w:r>
          </w:p>
        </w:tc>
        <w:tc>
          <w:tcPr>
            <w:tcW w:w="1524" w:type="dxa"/>
          </w:tcPr>
          <w:p w:rsidR="006C2E16" w:rsidRPr="00E82B78" w:rsidRDefault="006C2E16" w:rsidP="00A10D4B">
            <w:pPr>
              <w:rPr>
                <w:szCs w:val="22"/>
              </w:rPr>
            </w:pPr>
            <w:r w:rsidRPr="00E82B78">
              <w:rPr>
                <w:szCs w:val="22"/>
              </w:rPr>
              <w:t>3, 1 or 0</w:t>
            </w:r>
          </w:p>
        </w:tc>
      </w:tr>
      <w:tr w:rsidR="006C2E16" w:rsidRPr="00E82B78" w:rsidTr="00A10D4B">
        <w:trPr>
          <w:cantSplit/>
          <w:trHeight w:val="770"/>
        </w:trPr>
        <w:tc>
          <w:tcPr>
            <w:tcW w:w="416" w:type="dxa"/>
          </w:tcPr>
          <w:p w:rsidR="006C2E16" w:rsidRPr="00E82B78" w:rsidRDefault="006C2E16" w:rsidP="00A10D4B">
            <w:pPr>
              <w:rPr>
                <w:szCs w:val="22"/>
              </w:rPr>
            </w:pPr>
          </w:p>
        </w:tc>
        <w:tc>
          <w:tcPr>
            <w:tcW w:w="7273" w:type="dxa"/>
            <w:vAlign w:val="center"/>
          </w:tcPr>
          <w:p w:rsidR="006C2E16" w:rsidRPr="00E82B78" w:rsidRDefault="006C2E16" w:rsidP="00A10D4B">
            <w:pPr>
              <w:autoSpaceDE w:val="0"/>
              <w:autoSpaceDN w:val="0"/>
              <w:adjustRightInd w:val="0"/>
              <w:rPr>
                <w:szCs w:val="22"/>
              </w:rPr>
            </w:pPr>
            <w:r w:rsidRPr="00E82B78">
              <w:rPr>
                <w:szCs w:val="22"/>
              </w:rPr>
              <w:t>Total score</w:t>
            </w:r>
          </w:p>
          <w:p w:rsidR="006C2E16" w:rsidRPr="00E82B78" w:rsidRDefault="006C2E16" w:rsidP="00A10D4B">
            <w:pPr>
              <w:autoSpaceDE w:val="0"/>
              <w:autoSpaceDN w:val="0"/>
              <w:adjustRightInd w:val="0"/>
              <w:rPr>
                <w:szCs w:val="22"/>
              </w:rPr>
            </w:pPr>
            <w:r w:rsidRPr="00E82B78">
              <w:rPr>
                <w:szCs w:val="22"/>
              </w:rPr>
              <w:t>Total possible score for the various types of data and contaminants: 102</w:t>
            </w:r>
          </w:p>
        </w:tc>
        <w:tc>
          <w:tcPr>
            <w:tcW w:w="1524" w:type="dxa"/>
          </w:tcPr>
          <w:p w:rsidR="006C2E16" w:rsidRPr="00E82B78" w:rsidRDefault="006C2E16" w:rsidP="00A10D4B">
            <w:pPr>
              <w:rPr>
                <w:szCs w:val="22"/>
              </w:rPr>
            </w:pPr>
          </w:p>
        </w:tc>
      </w:tr>
      <w:tr w:rsidR="006C2E16" w:rsidRPr="00E82B78" w:rsidTr="00A10D4B">
        <w:trPr>
          <w:cantSplit/>
        </w:trPr>
        <w:tc>
          <w:tcPr>
            <w:tcW w:w="416" w:type="dxa"/>
          </w:tcPr>
          <w:p w:rsidR="006C2E16" w:rsidRPr="00E82B78" w:rsidRDefault="006C2E16" w:rsidP="00A10D4B">
            <w:pPr>
              <w:rPr>
                <w:szCs w:val="22"/>
              </w:rPr>
            </w:pPr>
          </w:p>
        </w:tc>
        <w:tc>
          <w:tcPr>
            <w:tcW w:w="7273" w:type="dxa"/>
          </w:tcPr>
          <w:p w:rsidR="006C2E16" w:rsidRPr="00E82B78" w:rsidRDefault="006C2E16" w:rsidP="00A10D4B">
            <w:pPr>
              <w:rPr>
                <w:szCs w:val="22"/>
              </w:rPr>
            </w:pPr>
            <w:r w:rsidRPr="00E82B78">
              <w:rPr>
                <w:szCs w:val="22"/>
              </w:rPr>
              <w:t>Quality score (%) (Total score /102 * 100)</w:t>
            </w:r>
          </w:p>
        </w:tc>
        <w:tc>
          <w:tcPr>
            <w:tcW w:w="1524" w:type="dxa"/>
          </w:tcPr>
          <w:p w:rsidR="006C2E16" w:rsidRPr="00E82B78" w:rsidRDefault="006C2E16" w:rsidP="00A10D4B">
            <w:pPr>
              <w:rPr>
                <w:szCs w:val="22"/>
              </w:rPr>
            </w:pPr>
          </w:p>
        </w:tc>
      </w:tr>
      <w:tr w:rsidR="006C2E16" w:rsidRPr="00E82B78" w:rsidTr="00A10D4B">
        <w:trPr>
          <w:cantSplit/>
        </w:trPr>
        <w:tc>
          <w:tcPr>
            <w:tcW w:w="416" w:type="dxa"/>
          </w:tcPr>
          <w:p w:rsidR="006C2E16" w:rsidRPr="00E82B78" w:rsidRDefault="006C2E16" w:rsidP="00A10D4B">
            <w:pPr>
              <w:rPr>
                <w:szCs w:val="22"/>
              </w:rPr>
            </w:pPr>
          </w:p>
        </w:tc>
        <w:tc>
          <w:tcPr>
            <w:tcW w:w="7273" w:type="dxa"/>
          </w:tcPr>
          <w:p w:rsidR="006C2E16" w:rsidRPr="00E82B78" w:rsidRDefault="006C2E16" w:rsidP="00A10D4B">
            <w:pPr>
              <w:rPr>
                <w:szCs w:val="22"/>
              </w:rPr>
            </w:pPr>
            <w:r w:rsidRPr="00E82B78">
              <w:rPr>
                <w:szCs w:val="22"/>
              </w:rPr>
              <w:t>Quality class (H ≥80%, A 51%–79%, U ≤ 50%)</w:t>
            </w:r>
            <w:r w:rsidRPr="00E82B78">
              <w:rPr>
                <w:szCs w:val="22"/>
                <w:vertAlign w:val="superscript"/>
              </w:rPr>
              <w:t>a</w:t>
            </w:r>
          </w:p>
        </w:tc>
        <w:tc>
          <w:tcPr>
            <w:tcW w:w="1524" w:type="dxa"/>
          </w:tcPr>
          <w:p w:rsidR="006C2E16" w:rsidRPr="00E82B78" w:rsidRDefault="006C2E16" w:rsidP="00A10D4B">
            <w:pPr>
              <w:rPr>
                <w:szCs w:val="22"/>
              </w:rPr>
            </w:pPr>
          </w:p>
        </w:tc>
      </w:tr>
    </w:tbl>
    <w:p w:rsidR="006C2E16" w:rsidRPr="006B053D" w:rsidRDefault="006C2E16" w:rsidP="006C2E16">
      <w:pPr>
        <w:rPr>
          <w:sz w:val="16"/>
          <w:szCs w:val="16"/>
        </w:rPr>
      </w:pPr>
      <w:r w:rsidRPr="00E82B78">
        <w:rPr>
          <w:sz w:val="18"/>
          <w:szCs w:val="18"/>
          <w:vertAlign w:val="superscript"/>
        </w:rPr>
        <w:t>a</w:t>
      </w:r>
      <w:r w:rsidRPr="00E82B78">
        <w:rPr>
          <w:sz w:val="18"/>
          <w:szCs w:val="18"/>
        </w:rPr>
        <w:t xml:space="preserve"> H = high quality, A = acceptable quality and U = unacceptable quality</w:t>
      </w:r>
      <w:r w:rsidRPr="006B053D">
        <w:rPr>
          <w:sz w:val="16"/>
          <w:szCs w:val="16"/>
        </w:rPr>
        <w:t>.</w:t>
      </w:r>
    </w:p>
    <w:p w:rsidR="006C2E16" w:rsidRDefault="006C2E16" w:rsidP="006C2E16">
      <w:pPr>
        <w:ind w:left="360" w:hanging="360"/>
        <w:rPr>
          <w:i/>
          <w:iCs/>
        </w:rPr>
      </w:pPr>
    </w:p>
    <w:p w:rsidR="006C2E16" w:rsidRDefault="006C2E16" w:rsidP="006C2E16">
      <w:r w:rsidRPr="00AC7590">
        <w:t xml:space="preserve">Each </w:t>
      </w:r>
      <w:r>
        <w:t xml:space="preserve">experimentally derived </w:t>
      </w:r>
      <w:r w:rsidRPr="00AC7590">
        <w:t xml:space="preserve">toxicity datum </w:t>
      </w:r>
      <w:r>
        <w:t xml:space="preserve">should have </w:t>
      </w:r>
      <w:r w:rsidRPr="00AC7590">
        <w:t xml:space="preserve">its quality assessed by the </w:t>
      </w:r>
      <w:r>
        <w:t xml:space="preserve">data quality assessment </w:t>
      </w:r>
      <w:r w:rsidRPr="00AC7590">
        <w:t xml:space="preserve">scheme </w:t>
      </w:r>
      <w:r>
        <w:t xml:space="preserve">(Table 7), </w:t>
      </w:r>
      <w:r w:rsidRPr="00AC7590">
        <w:t xml:space="preserve">which </w:t>
      </w:r>
      <w:r w:rsidRPr="00B95071">
        <w:t>asks 20 questions</w:t>
      </w:r>
      <w:r>
        <w:t>, with</w:t>
      </w:r>
      <w:r w:rsidRPr="00B95071">
        <w:t xml:space="preserve"> marks awarded depending on the answer to the questions</w:t>
      </w:r>
      <w:r>
        <w:t xml:space="preserve">. </w:t>
      </w:r>
      <w:r w:rsidRPr="00B95071">
        <w:t xml:space="preserve">The quality score for each datum </w:t>
      </w:r>
      <w:r>
        <w:t>i</w:t>
      </w:r>
      <w:r w:rsidRPr="00B95071">
        <w:t xml:space="preserve">s </w:t>
      </w:r>
      <w:r>
        <w:t>determin</w:t>
      </w:r>
      <w:r w:rsidRPr="00B95071">
        <w:t>ed</w:t>
      </w:r>
      <w:r>
        <w:t xml:space="preserve"> </w:t>
      </w:r>
      <w:r w:rsidRPr="00B95071">
        <w:t xml:space="preserve">by expressing the total score </w:t>
      </w:r>
      <w:r w:rsidRPr="002C2EA7">
        <w:t>obtained as a percentage of the maximum possible score</w:t>
      </w:r>
      <w:r>
        <w:t xml:space="preserve">. </w:t>
      </w:r>
      <w:r w:rsidRPr="002C2EA7">
        <w:t xml:space="preserve">The toxicity data </w:t>
      </w:r>
      <w:r>
        <w:t>is</w:t>
      </w:r>
      <w:r w:rsidRPr="002C2EA7">
        <w:t xml:space="preserve"> then classified into three classes </w:t>
      </w:r>
      <w:r w:rsidRPr="002C2EA7">
        <w:lastRenderedPageBreak/>
        <w:t>depending on the quality score</w:t>
      </w:r>
      <w:r>
        <w:t xml:space="preserve">. </w:t>
      </w:r>
      <w:r w:rsidRPr="002C2EA7">
        <w:t xml:space="preserve">Data with a quality score </w:t>
      </w:r>
      <w:r>
        <w:t>≤</w:t>
      </w:r>
      <w:r w:rsidRPr="002C2EA7">
        <w:t>50%, between 51</w:t>
      </w:r>
      <w:r>
        <w:t>%</w:t>
      </w:r>
      <w:r w:rsidRPr="002C2EA7">
        <w:t xml:space="preserve"> and 79% and </w:t>
      </w:r>
      <w:r>
        <w:t>≥</w:t>
      </w:r>
      <w:r w:rsidRPr="002C2EA7">
        <w:t>80% were classed as unacceptable (U), acceptable (A)</w:t>
      </w:r>
      <w:r>
        <w:t>,</w:t>
      </w:r>
      <w:r w:rsidRPr="002C2EA7">
        <w:t xml:space="preserve"> and high (H) quality respectively</w:t>
      </w:r>
      <w:r>
        <w:t xml:space="preserve">. </w:t>
      </w:r>
      <w:r w:rsidRPr="002C2EA7">
        <w:t xml:space="preserve">Only </w:t>
      </w:r>
      <w:r w:rsidRPr="00DF1033">
        <w:t>acceptable and high quality data</w:t>
      </w:r>
      <w:r w:rsidRPr="002C2EA7">
        <w:t xml:space="preserve"> should be used to derive EILs. </w:t>
      </w:r>
    </w:p>
    <w:p w:rsidR="00145F69" w:rsidRPr="002C2EA7" w:rsidRDefault="00145F69" w:rsidP="006C2E16"/>
    <w:p w:rsidR="006C2E16" w:rsidRDefault="006C2E16" w:rsidP="006C2E16">
      <w:r>
        <w:t>Only t</w:t>
      </w:r>
      <w:r w:rsidRPr="002C2EA7">
        <w:t xml:space="preserve">oxicity data expressed as </w:t>
      </w:r>
      <w:r>
        <w:t xml:space="preserve">either added or </w:t>
      </w:r>
      <w:r w:rsidRPr="002C2EA7">
        <w:t>total soil concentrations</w:t>
      </w:r>
      <w:r>
        <w:t xml:space="preserve"> should be used to derive EILs. </w:t>
      </w:r>
      <w:r w:rsidRPr="002C2EA7">
        <w:t xml:space="preserve">There is considerable evidence both from overseas </w:t>
      </w:r>
      <w:r>
        <w:t>(</w:t>
      </w:r>
      <w:r w:rsidRPr="0030236D">
        <w:t>Smolders et al. 2003</w:t>
      </w:r>
      <w:r>
        <w:t>;</w:t>
      </w:r>
      <w:r w:rsidRPr="0030236D">
        <w:t xml:space="preserve"> Smolders et al. 2004</w:t>
      </w:r>
      <w:r>
        <w:t>;</w:t>
      </w:r>
      <w:r w:rsidRPr="0030236D">
        <w:t xml:space="preserve"> Oorts </w:t>
      </w:r>
      <w:r>
        <w:t xml:space="preserve">et al. 2006; Zhao et al. 2006) </w:t>
      </w:r>
      <w:r w:rsidRPr="002C2EA7">
        <w:t xml:space="preserve">and within Australia </w:t>
      </w:r>
      <w:r>
        <w:t xml:space="preserve">(Broos et al. 2007; Warne et al. 2008b) </w:t>
      </w:r>
      <w:r w:rsidRPr="002C2EA7">
        <w:t>that chemical extract concentrations</w:t>
      </w:r>
      <w:r>
        <w:t xml:space="preserve">; for example, calcium chloride, ammonium nitrate and soil solution extracts, </w:t>
      </w:r>
      <w:r w:rsidRPr="002C2EA7">
        <w:t xml:space="preserve">are not necessarily better measures of bioavailability than total concentrations for inorganic </w:t>
      </w:r>
      <w:r>
        <w:t>contaminant</w:t>
      </w:r>
      <w:r w:rsidRPr="002C2EA7">
        <w:t>s</w:t>
      </w:r>
      <w:r>
        <w:t xml:space="preserve"> where contamination occurred in soluble forms. </w:t>
      </w:r>
      <w:r w:rsidRPr="002C2EA7">
        <w:t xml:space="preserve">Furthermore, there </w:t>
      </w:r>
      <w:r>
        <w:t>is</w:t>
      </w:r>
      <w:r w:rsidRPr="002C2EA7">
        <w:t xml:space="preserve"> also considerably more toxicity data expressed as total metal concentration, and there is regulatory acceptance and understanding of this concentration measure.</w:t>
      </w:r>
    </w:p>
    <w:p w:rsidR="006C2E16" w:rsidRPr="009542A2" w:rsidRDefault="006C2E16" w:rsidP="001C6BE7">
      <w:pPr>
        <w:pStyle w:val="Heading3"/>
      </w:pPr>
      <w:bookmarkStart w:id="80" w:name="_Toc255359972"/>
      <w:bookmarkStart w:id="81" w:name="_Toc269122447"/>
      <w:bookmarkStart w:id="82" w:name="_Toc351713139"/>
      <w:r w:rsidRPr="009542A2">
        <w:t>Standardisation of the toxicity data</w:t>
      </w:r>
      <w:bookmarkEnd w:id="80"/>
      <w:bookmarkEnd w:id="81"/>
      <w:bookmarkEnd w:id="82"/>
      <w:r w:rsidRPr="009542A2">
        <w:t xml:space="preserve"> </w:t>
      </w:r>
    </w:p>
    <w:p w:rsidR="006C2E16" w:rsidRPr="0037766A" w:rsidRDefault="006C2E16" w:rsidP="006C2E16">
      <w:pPr>
        <w:rPr>
          <w:szCs w:val="22"/>
        </w:rPr>
      </w:pPr>
      <w:r w:rsidRPr="0037766A">
        <w:rPr>
          <w:szCs w:val="22"/>
        </w:rPr>
        <w:t xml:space="preserve">By </w:t>
      </w:r>
      <w:r w:rsidRPr="0037766A">
        <w:rPr>
          <w:rStyle w:val="textChar"/>
          <w:rFonts w:eastAsiaTheme="minorHAnsi"/>
        </w:rPr>
        <w:t>t</w:t>
      </w:r>
      <w:r w:rsidRPr="0037766A">
        <w:rPr>
          <w:szCs w:val="22"/>
        </w:rPr>
        <w:t>his point in the methodology, the available toxicity data ha</w:t>
      </w:r>
      <w:r>
        <w:rPr>
          <w:szCs w:val="22"/>
        </w:rPr>
        <w:t>s</w:t>
      </w:r>
      <w:r w:rsidRPr="0037766A">
        <w:rPr>
          <w:szCs w:val="22"/>
        </w:rPr>
        <w:t xml:space="preserve"> been collated or models used to derive estimates and the data ha</w:t>
      </w:r>
      <w:r>
        <w:rPr>
          <w:szCs w:val="22"/>
        </w:rPr>
        <w:t>s</w:t>
      </w:r>
      <w:r w:rsidRPr="0037766A">
        <w:rPr>
          <w:szCs w:val="22"/>
        </w:rPr>
        <w:t xml:space="preserve"> been assessed for </w:t>
      </w:r>
      <w:r>
        <w:rPr>
          <w:szCs w:val="22"/>
        </w:rPr>
        <w:t>its</w:t>
      </w:r>
      <w:r w:rsidRPr="0037766A">
        <w:rPr>
          <w:szCs w:val="22"/>
        </w:rPr>
        <w:t xml:space="preserve"> appropriateness and quality</w:t>
      </w:r>
      <w:r>
        <w:rPr>
          <w:szCs w:val="22"/>
        </w:rPr>
        <w:t xml:space="preserve">. </w:t>
      </w:r>
      <w:r w:rsidRPr="0037766A">
        <w:rPr>
          <w:szCs w:val="22"/>
        </w:rPr>
        <w:t>The obtained data require</w:t>
      </w:r>
      <w:r>
        <w:rPr>
          <w:szCs w:val="22"/>
        </w:rPr>
        <w:t>s</w:t>
      </w:r>
      <w:r w:rsidRPr="0037766A">
        <w:rPr>
          <w:szCs w:val="22"/>
        </w:rPr>
        <w:t xml:space="preserve"> standardisation in terms of four factors:</w:t>
      </w:r>
    </w:p>
    <w:p w:rsidR="006C2E16" w:rsidRDefault="006C2E16" w:rsidP="001C6BE7">
      <w:pPr>
        <w:pStyle w:val="text"/>
        <w:numPr>
          <w:ilvl w:val="0"/>
          <w:numId w:val="40"/>
        </w:numPr>
      </w:pPr>
      <w:r>
        <w:t>measures of toxicity</w:t>
      </w:r>
    </w:p>
    <w:p w:rsidR="006C2E16" w:rsidRDefault="006C2E16" w:rsidP="001C6BE7">
      <w:pPr>
        <w:pStyle w:val="text"/>
        <w:numPr>
          <w:ilvl w:val="0"/>
          <w:numId w:val="40"/>
        </w:numPr>
      </w:pPr>
      <w:r>
        <w:t>the toxicity expressed in terms of added concentrations</w:t>
      </w:r>
    </w:p>
    <w:p w:rsidR="006C2E16" w:rsidRDefault="006C2E16" w:rsidP="001C6BE7">
      <w:pPr>
        <w:pStyle w:val="text"/>
        <w:numPr>
          <w:ilvl w:val="0"/>
          <w:numId w:val="40"/>
        </w:numPr>
      </w:pPr>
      <w:r>
        <w:t>duration of exposure</w:t>
      </w:r>
    </w:p>
    <w:p w:rsidR="006C2E16" w:rsidRDefault="006C2E16" w:rsidP="001C6BE7">
      <w:pPr>
        <w:pStyle w:val="text"/>
        <w:numPr>
          <w:ilvl w:val="0"/>
          <w:numId w:val="40"/>
        </w:numPr>
      </w:pPr>
      <w:r>
        <w:t>use of toxicity data for endemic or overseas species.</w:t>
      </w:r>
    </w:p>
    <w:p w:rsidR="006C2E16" w:rsidRDefault="006C2E16" w:rsidP="006C2E16">
      <w:r w:rsidRPr="005802FA">
        <w:t xml:space="preserve">Please note that this is not the normalisation step that accounts for the effect </w:t>
      </w:r>
      <w:r>
        <w:t xml:space="preserve">that soil </w:t>
      </w:r>
      <w:r w:rsidRPr="002E42F4">
        <w:t>characteristics have on toxicity values.</w:t>
      </w:r>
      <w:r>
        <w:t xml:space="preserve"> </w:t>
      </w:r>
    </w:p>
    <w:p w:rsidR="006C2E16" w:rsidRPr="00C85907" w:rsidRDefault="006C2E16" w:rsidP="006C2E16">
      <w:pPr>
        <w:pStyle w:val="Heading4"/>
      </w:pPr>
      <w:bookmarkStart w:id="83" w:name="_Toc255359973"/>
      <w:bookmarkStart w:id="84" w:name="_Toc351713140"/>
      <w:r w:rsidRPr="00C85907">
        <w:t>Measures of toxicity</w:t>
      </w:r>
      <w:bookmarkEnd w:id="83"/>
      <w:bookmarkEnd w:id="84"/>
    </w:p>
    <w:p w:rsidR="006C2E16" w:rsidRDefault="006C2E16" w:rsidP="006C2E16">
      <w:r w:rsidRPr="005802FA">
        <w:t xml:space="preserve">There are many different measures </w:t>
      </w:r>
      <w:r>
        <w:t>of</w:t>
      </w:r>
      <w:r w:rsidRPr="005802FA">
        <w:t xml:space="preserve"> toxicity</w:t>
      </w:r>
      <w:r>
        <w:t>. The most frequently used toxicity measures to derive EQGs are NOECs and EC/LC</w:t>
      </w:r>
      <w:r w:rsidRPr="00363524">
        <w:rPr>
          <w:vertAlign w:val="subscript"/>
        </w:rPr>
        <w:t>50</w:t>
      </w:r>
      <w:r>
        <w:t>-type data. However, not all studies report these particular measures of toxicity; for example, the toxicity may be reported as an EC</w:t>
      </w:r>
      <w:r w:rsidRPr="00363524">
        <w:rPr>
          <w:vertAlign w:val="subscript"/>
        </w:rPr>
        <w:t>25</w:t>
      </w:r>
      <w:r>
        <w:t xml:space="preserve"> or an LC</w:t>
      </w:r>
      <w:r w:rsidRPr="00363524">
        <w:rPr>
          <w:vertAlign w:val="subscript"/>
        </w:rPr>
        <w:t>40</w:t>
      </w:r>
      <w:r>
        <w:t>. Therefore, in order to maximise the data available to derive EILs, it may be necessary to estimate the reported toxic effect.</w:t>
      </w:r>
    </w:p>
    <w:p w:rsidR="00145F69" w:rsidRDefault="00145F69" w:rsidP="006C2E16"/>
    <w:p w:rsidR="006C2E16" w:rsidRDefault="006C2E16" w:rsidP="006C2E16">
      <w:r>
        <w:t>A number of studies (Moore &amp; Caux 1997; US EPA 1991; Hoekstra &amp;Van Ewijk 1993) have shown that NOECs, while not statistically different from the control, typically correspond to a 10</w:t>
      </w:r>
      <w:r>
        <w:sym w:font="Symbol" w:char="F02D"/>
      </w:r>
      <w:r>
        <w:t>30% effect, with 75% of NOECs corresponding to less than a 20% effect (Moore &amp; Caux 1997). LOEC values would of necessity cause higher percentage effects and have a median of 30% (Moore &amp; Caux 1997).</w:t>
      </w:r>
      <w:r w:rsidRPr="00347B52">
        <w:t xml:space="preserve"> </w:t>
      </w:r>
      <w:r>
        <w:t>For the purposes of this methodology, toxicity data that caused less than a 20% effect; for example, EC</w:t>
      </w:r>
      <w:r w:rsidRPr="00363524">
        <w:rPr>
          <w:vertAlign w:val="subscript"/>
        </w:rPr>
        <w:t>0</w:t>
      </w:r>
      <w:r>
        <w:t xml:space="preserve"> to </w:t>
      </w:r>
      <w:r w:rsidRPr="00943F62">
        <w:t>≤</w:t>
      </w:r>
      <w:r>
        <w:t>EC</w:t>
      </w:r>
      <w:r w:rsidRPr="00363524">
        <w:rPr>
          <w:vertAlign w:val="subscript"/>
        </w:rPr>
        <w:t>19</w:t>
      </w:r>
      <w:r>
        <w:t>, are considered equivalent to NOEC data and for brevity are referred to as NOEC and EC</w:t>
      </w:r>
      <w:r w:rsidRPr="00363524">
        <w:rPr>
          <w:vertAlign w:val="subscript"/>
        </w:rPr>
        <w:t>10</w:t>
      </w:r>
      <w:r>
        <w:t xml:space="preserve"> data. Toxicity data that cause a 20</w:t>
      </w:r>
      <w:r>
        <w:sym w:font="Symbol" w:char="F02D"/>
      </w:r>
      <w:r>
        <w:t>40% effect are considered equivalent to LOEC data and are referred to throughout this guideline as LOEC and EC</w:t>
      </w:r>
      <w:r w:rsidRPr="00363524">
        <w:rPr>
          <w:vertAlign w:val="subscript"/>
        </w:rPr>
        <w:t>30</w:t>
      </w:r>
      <w:r>
        <w:t xml:space="preserve"> data. Toxicity data that cause &gt;40</w:t>
      </w:r>
      <w:r>
        <w:sym w:font="Symbol" w:char="F02D"/>
      </w:r>
      <w:r>
        <w:t>60% effect are considered equivalent to EC</w:t>
      </w:r>
      <w:r w:rsidRPr="00363524">
        <w:rPr>
          <w:vertAlign w:val="subscript"/>
        </w:rPr>
        <w:t>50</w:t>
      </w:r>
      <w:r>
        <w:t xml:space="preserve"> data and are referred to as EC</w:t>
      </w:r>
      <w:r w:rsidRPr="00363524">
        <w:rPr>
          <w:vertAlign w:val="subscript"/>
        </w:rPr>
        <w:t>50</w:t>
      </w:r>
      <w:r>
        <w:t xml:space="preserve"> data. </w:t>
      </w:r>
    </w:p>
    <w:p w:rsidR="00145F69" w:rsidRDefault="00145F69" w:rsidP="006C2E16"/>
    <w:p w:rsidR="006C2E16" w:rsidRDefault="006C2E16" w:rsidP="006C2E16">
      <w:r w:rsidRPr="00477C50">
        <w:t xml:space="preserve">Due to the general paucity of terrestrial ecotoxicology data, if toxicity data </w:t>
      </w:r>
      <w:r>
        <w:t>is</w:t>
      </w:r>
      <w:r w:rsidRPr="00477C50">
        <w:t xml:space="preserve"> not expressed as a single value but instead </w:t>
      </w:r>
      <w:r>
        <w:t>is</w:t>
      </w:r>
      <w:r w:rsidRPr="00477C50">
        <w:t xml:space="preserve"> given as ranges, then the lowest value of the range should be used</w:t>
      </w:r>
      <w:r>
        <w:t xml:space="preserve"> in order to provide a conservative estimate of the toxicity. </w:t>
      </w:r>
      <w:r w:rsidRPr="00477C50">
        <w:t xml:space="preserve">In certain studies, the lowest toxicant concentration had already caused significant toxic effects and therefore toxicity data </w:t>
      </w:r>
      <w:r>
        <w:t>are</w:t>
      </w:r>
      <w:r w:rsidRPr="00477C50">
        <w:t xml:space="preserve"> given as a &lt; or ≤ value</w:t>
      </w:r>
      <w:r>
        <w:t xml:space="preserve">. </w:t>
      </w:r>
      <w:r w:rsidRPr="00477C50">
        <w:t>If possible, the percentage effect that the reported concentration caused should be determined and</w:t>
      </w:r>
      <w:r>
        <w:t>, using the ranges stated in the previous paragraph, be considered equivalent to NOEC, LOEC or EC</w:t>
      </w:r>
      <w:r w:rsidRPr="00363524">
        <w:rPr>
          <w:vertAlign w:val="subscript"/>
        </w:rPr>
        <w:t>50</w:t>
      </w:r>
      <w:r>
        <w:t xml:space="preserve"> data, </w:t>
      </w:r>
      <w:r w:rsidRPr="00477C50">
        <w:t>and they should be converted accordingly</w:t>
      </w:r>
      <w:r>
        <w:t xml:space="preserve">. </w:t>
      </w:r>
      <w:r w:rsidRPr="00477C50">
        <w:t>Toxicity with an effect greater than 6</w:t>
      </w:r>
      <w:r>
        <w:t>0</w:t>
      </w:r>
      <w:r w:rsidRPr="00477C50">
        <w:t>% should not be used to derive EILs</w:t>
      </w:r>
      <w:r>
        <w:t xml:space="preserve">. </w:t>
      </w:r>
      <w:r w:rsidRPr="00477C50">
        <w:t>If</w:t>
      </w:r>
      <w:r>
        <w:t>,</w:t>
      </w:r>
      <w:r w:rsidRPr="00477C50">
        <w:t xml:space="preserve"> in studies, the highest tested concentration did not cause an effect </w:t>
      </w:r>
      <w:r>
        <w:t xml:space="preserve">or a statistically significant effect </w:t>
      </w:r>
      <w:r w:rsidRPr="00477C50">
        <w:t xml:space="preserve">on the </w:t>
      </w:r>
      <w:r>
        <w:t>test species</w:t>
      </w:r>
      <w:r w:rsidRPr="00477C50">
        <w:t xml:space="preserve"> </w:t>
      </w:r>
      <w:r>
        <w:t>(that is, an unbounded NOEC), then</w:t>
      </w:r>
      <w:r w:rsidRPr="00477C50">
        <w:t xml:space="preserve"> the toxicity data </w:t>
      </w:r>
      <w:r>
        <w:t>should be given a</w:t>
      </w:r>
      <w:r w:rsidRPr="00477C50">
        <w:t xml:space="preserve"> &gt; value</w:t>
      </w:r>
      <w:r>
        <w:t xml:space="preserve"> and tr</w:t>
      </w:r>
      <w:r w:rsidRPr="00477C50">
        <w:t>eated as an EC</w:t>
      </w:r>
      <w:r w:rsidRPr="00363524">
        <w:rPr>
          <w:vertAlign w:val="subscript"/>
        </w:rPr>
        <w:t>10</w:t>
      </w:r>
      <w:r>
        <w:t xml:space="preserve">. </w:t>
      </w:r>
      <w:r w:rsidRPr="00477C50">
        <w:t xml:space="preserve">This is </w:t>
      </w:r>
      <w:r>
        <w:t>done</w:t>
      </w:r>
      <w:r w:rsidRPr="00477C50">
        <w:t xml:space="preserve"> as it is a conservative approach and will result in more toxicity data available for EIL </w:t>
      </w:r>
      <w:r>
        <w:t>and/or SQG</w:t>
      </w:r>
      <w:r w:rsidRPr="00477C50">
        <w:t xml:space="preserve"> derivation.</w:t>
      </w:r>
    </w:p>
    <w:p w:rsidR="00145F69" w:rsidRPr="00477C50" w:rsidRDefault="00145F69" w:rsidP="006C2E16"/>
    <w:p w:rsidR="006C2E16" w:rsidRDefault="006C2E16" w:rsidP="006C2E16">
      <w:r>
        <w:t>As stated earlier, EILs are to be derived using LOEC and EC</w:t>
      </w:r>
      <w:r w:rsidRPr="00363524">
        <w:rPr>
          <w:vertAlign w:val="subscript"/>
        </w:rPr>
        <w:t>30</w:t>
      </w:r>
      <w:r>
        <w:t xml:space="preserve"> toxicity data. But such data is not always generated in toxicity studies. </w:t>
      </w:r>
      <w:r w:rsidRPr="00477C50">
        <w:t>Therefore</w:t>
      </w:r>
      <w:r>
        <w:t>,</w:t>
      </w:r>
      <w:r w:rsidRPr="00477C50">
        <w:t xml:space="preserve"> in order to maximise the data available to derive EILs</w:t>
      </w:r>
      <w:r>
        <w:t>,</w:t>
      </w:r>
      <w:r w:rsidRPr="00477C50">
        <w:t xml:space="preserve"> </w:t>
      </w:r>
      <w:r>
        <w:t xml:space="preserve">toxicity </w:t>
      </w:r>
      <w:r w:rsidRPr="00477C50">
        <w:t xml:space="preserve">data </w:t>
      </w:r>
      <w:r>
        <w:t>can</w:t>
      </w:r>
      <w:r w:rsidRPr="00477C50">
        <w:t xml:space="preserve"> be converted to </w:t>
      </w:r>
      <w:r>
        <w:t xml:space="preserve">LOEC and </w:t>
      </w:r>
      <w:r w:rsidRPr="00477C50">
        <w:t>EC</w:t>
      </w:r>
      <w:r w:rsidRPr="00363524">
        <w:rPr>
          <w:vertAlign w:val="subscript"/>
        </w:rPr>
        <w:t>30</w:t>
      </w:r>
      <w:r>
        <w:t xml:space="preserve"> </w:t>
      </w:r>
      <w:r w:rsidRPr="00477C50">
        <w:t>data</w:t>
      </w:r>
      <w:r>
        <w:t xml:space="preserve">. </w:t>
      </w:r>
      <w:r w:rsidRPr="00477C50">
        <w:t>Two different approaches were applied to the different measures of toxicity data in the Australian and New Zealand WQGs (</w:t>
      </w:r>
      <w:r>
        <w:t>ANZECC &amp; ARMCANZ 2000</w:t>
      </w:r>
      <w:r w:rsidRPr="00477C50">
        <w:t>)</w:t>
      </w:r>
      <w:r>
        <w:t xml:space="preserve">. </w:t>
      </w:r>
      <w:r w:rsidRPr="00477C50">
        <w:t>For organics, only chronic NOEC data w</w:t>
      </w:r>
      <w:r>
        <w:t>as</w:t>
      </w:r>
      <w:r w:rsidRPr="00477C50">
        <w:t xml:space="preserve"> considered acceptable to derive high reliability TVs, while only acute EC/LC</w:t>
      </w:r>
      <w:r w:rsidRPr="00363524">
        <w:rPr>
          <w:vertAlign w:val="subscript"/>
        </w:rPr>
        <w:t>50</w:t>
      </w:r>
      <w:r w:rsidRPr="00477C50">
        <w:t xml:space="preserve"> values were suitable for moderate reliability TVs and either NOEC or EC/LC</w:t>
      </w:r>
      <w:r w:rsidRPr="00363524">
        <w:rPr>
          <w:vertAlign w:val="subscript"/>
        </w:rPr>
        <w:t>50</w:t>
      </w:r>
      <w:r w:rsidRPr="00477C50">
        <w:t xml:space="preserve"> data w</w:t>
      </w:r>
      <w:r>
        <w:t>as</w:t>
      </w:r>
      <w:r w:rsidRPr="00477C50">
        <w:t xml:space="preserve"> suitable for low reliability TVs (Warne 2001)</w:t>
      </w:r>
      <w:r>
        <w:t xml:space="preserve">. </w:t>
      </w:r>
      <w:r w:rsidRPr="00477C50">
        <w:t>In contrast, for metals, chronic NOEC, LOEC, EC/LC50 and maximum acceptable toxicant concentrations (MATC) values could be used provided all non</w:t>
      </w:r>
      <w:r>
        <w:t>-</w:t>
      </w:r>
      <w:r w:rsidRPr="00477C50">
        <w:t>NOEC values were converted to NOEC values (Warne 2001)</w:t>
      </w:r>
      <w:r>
        <w:t xml:space="preserve">. </w:t>
      </w:r>
      <w:r w:rsidRPr="00477C50">
        <w:t xml:space="preserve">This was done using a series of </w:t>
      </w:r>
      <w:r>
        <w:t xml:space="preserve">default </w:t>
      </w:r>
      <w:r w:rsidRPr="00477C50">
        <w:t>conversion factors (</w:t>
      </w:r>
      <w:r>
        <w:t xml:space="preserve">see </w:t>
      </w:r>
      <w:r w:rsidRPr="00477C50">
        <w:t>Table 8</w:t>
      </w:r>
      <w:r>
        <w:t xml:space="preserve"> below</w:t>
      </w:r>
      <w:r w:rsidRPr="00477C50">
        <w:t>)</w:t>
      </w:r>
      <w:r>
        <w:t xml:space="preserve">. </w:t>
      </w:r>
      <w:r w:rsidRPr="00477C50">
        <w:t>The reason for the different approaches was that for the organic contaminants, generally the chronic data w</w:t>
      </w:r>
      <w:r>
        <w:t>as</w:t>
      </w:r>
      <w:r w:rsidRPr="00477C50">
        <w:t xml:space="preserve"> NOEC values, whereas the vast majority of the chronic metal toxicity data w</w:t>
      </w:r>
      <w:r>
        <w:t>as</w:t>
      </w:r>
      <w:r w:rsidRPr="00477C50">
        <w:t xml:space="preserve"> EC/LC</w:t>
      </w:r>
      <w:r w:rsidRPr="00363524">
        <w:rPr>
          <w:vertAlign w:val="subscript"/>
        </w:rPr>
        <w:t>50</w:t>
      </w:r>
      <w:r w:rsidRPr="00477C50">
        <w:t xml:space="preserve"> values (Warne 2001). </w:t>
      </w:r>
    </w:p>
    <w:p w:rsidR="00145F69" w:rsidRPr="00477C50" w:rsidRDefault="00145F69" w:rsidP="006C2E16"/>
    <w:p w:rsidR="00145F69" w:rsidRDefault="00145F69">
      <w:pPr>
        <w:spacing w:line="240" w:lineRule="auto"/>
        <w:rPr>
          <w:rFonts w:ascii="Book Antiqua" w:eastAsia="Times New Roman" w:hAnsi="Book Antiqua" w:cs="Book Antiqua"/>
          <w:b/>
          <w:bCs/>
          <w:szCs w:val="22"/>
          <w:lang w:eastAsia="en-AU"/>
        </w:rPr>
      </w:pPr>
    </w:p>
    <w:p w:rsidR="006C2E16" w:rsidRDefault="006C2E16" w:rsidP="006C2E16">
      <w:pPr>
        <w:pStyle w:val="Caption"/>
      </w:pPr>
      <w:r w:rsidRPr="00B87AFD">
        <w:t xml:space="preserve">Table 8. Default conversion factors used to convert different chronic measures of toxicity to chronic NOECs in the Australian and </w:t>
      </w:r>
      <w:smartTag w:uri="urn:schemas-microsoft-com:office:smarttags" w:element="country-region">
        <w:smartTag w:uri="urn:schemas-microsoft-com:office:smarttags" w:element="place">
          <w:r w:rsidRPr="00B87AFD">
            <w:t>New Zealand</w:t>
          </w:r>
        </w:smartTag>
      </w:smartTag>
      <w:r w:rsidRPr="00B87AFD">
        <w:t xml:space="preserve"> </w:t>
      </w:r>
      <w:r>
        <w:t>WQGs</w:t>
      </w:r>
      <w:r w:rsidRPr="00B87AFD">
        <w:t xml:space="preserve"> (ANZECC </w:t>
      </w:r>
      <w:r>
        <w:t xml:space="preserve">&amp; </w:t>
      </w:r>
      <w:r w:rsidRPr="00B87AFD">
        <w:t>ARMCANZ 2000). Values are from Warne (2001)</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7"/>
        <w:gridCol w:w="2160"/>
      </w:tblGrid>
      <w:tr w:rsidR="006C2E16" w:rsidRPr="004D0467" w:rsidTr="00A10D4B">
        <w:trPr>
          <w:jc w:val="center"/>
        </w:trPr>
        <w:tc>
          <w:tcPr>
            <w:tcW w:w="3607" w:type="dxa"/>
            <w:shd w:val="clear" w:color="auto" w:fill="C6D9F1" w:themeFill="text2" w:themeFillTint="33"/>
          </w:tcPr>
          <w:p w:rsidR="006C2E16" w:rsidRPr="004D0467" w:rsidRDefault="006C2E16" w:rsidP="00A10D4B">
            <w:pPr>
              <w:jc w:val="center"/>
              <w:rPr>
                <w:b/>
                <w:bCs/>
                <w:szCs w:val="22"/>
              </w:rPr>
            </w:pPr>
            <w:r w:rsidRPr="004D0467">
              <w:rPr>
                <w:b/>
                <w:bCs/>
                <w:szCs w:val="22"/>
              </w:rPr>
              <w:t>Toxicity data</w:t>
            </w:r>
            <w:r w:rsidRPr="004D0467">
              <w:rPr>
                <w:b/>
                <w:bCs/>
                <w:szCs w:val="22"/>
                <w:vertAlign w:val="superscript"/>
              </w:rPr>
              <w:t>a</w:t>
            </w:r>
          </w:p>
        </w:tc>
        <w:tc>
          <w:tcPr>
            <w:tcW w:w="2160" w:type="dxa"/>
            <w:shd w:val="clear" w:color="auto" w:fill="C6D9F1" w:themeFill="text2" w:themeFillTint="33"/>
          </w:tcPr>
          <w:p w:rsidR="006C2E16" w:rsidRPr="004D0467" w:rsidRDefault="006C2E16" w:rsidP="00A10D4B">
            <w:pPr>
              <w:jc w:val="center"/>
              <w:rPr>
                <w:b/>
                <w:bCs/>
                <w:szCs w:val="22"/>
              </w:rPr>
            </w:pPr>
            <w:r w:rsidRPr="004D0467">
              <w:rPr>
                <w:b/>
                <w:bCs/>
                <w:szCs w:val="22"/>
              </w:rPr>
              <w:t>Conversion factor</w:t>
            </w:r>
          </w:p>
        </w:tc>
      </w:tr>
      <w:tr w:rsidR="006C2E16" w:rsidRPr="004D0467" w:rsidTr="00A10D4B">
        <w:trPr>
          <w:jc w:val="center"/>
        </w:trPr>
        <w:tc>
          <w:tcPr>
            <w:tcW w:w="3607" w:type="dxa"/>
          </w:tcPr>
          <w:p w:rsidR="006C2E16" w:rsidRPr="004D0467" w:rsidRDefault="006C2E16" w:rsidP="00A10D4B">
            <w:pPr>
              <w:rPr>
                <w:szCs w:val="22"/>
              </w:rPr>
            </w:pPr>
            <w:r w:rsidRPr="004D0467">
              <w:rPr>
                <w:szCs w:val="22"/>
              </w:rPr>
              <w:t>EC</w:t>
            </w:r>
            <w:r w:rsidRPr="004D0467">
              <w:rPr>
                <w:szCs w:val="22"/>
                <w:vertAlign w:val="subscript"/>
              </w:rPr>
              <w:t>50</w:t>
            </w:r>
            <w:r w:rsidRPr="004D0467">
              <w:rPr>
                <w:szCs w:val="22"/>
              </w:rPr>
              <w:t xml:space="preserve"> to NOEC or EC</w:t>
            </w:r>
            <w:r w:rsidRPr="004D0467">
              <w:rPr>
                <w:szCs w:val="22"/>
                <w:vertAlign w:val="subscript"/>
              </w:rPr>
              <w:t>10</w:t>
            </w:r>
          </w:p>
        </w:tc>
        <w:tc>
          <w:tcPr>
            <w:tcW w:w="2160" w:type="dxa"/>
          </w:tcPr>
          <w:p w:rsidR="006C2E16" w:rsidRPr="004D0467" w:rsidRDefault="006C2E16" w:rsidP="00A10D4B">
            <w:pPr>
              <w:jc w:val="center"/>
              <w:rPr>
                <w:szCs w:val="22"/>
              </w:rPr>
            </w:pPr>
            <w:r w:rsidRPr="004D0467">
              <w:rPr>
                <w:szCs w:val="22"/>
              </w:rPr>
              <w:t>5</w:t>
            </w:r>
          </w:p>
        </w:tc>
      </w:tr>
      <w:tr w:rsidR="006C2E16" w:rsidRPr="004D0467" w:rsidTr="00A10D4B">
        <w:trPr>
          <w:jc w:val="center"/>
        </w:trPr>
        <w:tc>
          <w:tcPr>
            <w:tcW w:w="3607" w:type="dxa"/>
          </w:tcPr>
          <w:p w:rsidR="006C2E16" w:rsidRPr="004D0467" w:rsidRDefault="006C2E16" w:rsidP="00A10D4B">
            <w:pPr>
              <w:rPr>
                <w:kern w:val="28"/>
                <w:szCs w:val="22"/>
              </w:rPr>
            </w:pPr>
            <w:r w:rsidRPr="004D0467">
              <w:rPr>
                <w:kern w:val="28"/>
                <w:szCs w:val="22"/>
              </w:rPr>
              <w:t>LOEC or EC</w:t>
            </w:r>
            <w:r w:rsidRPr="004D0467">
              <w:rPr>
                <w:kern w:val="28"/>
                <w:szCs w:val="22"/>
                <w:vertAlign w:val="subscript"/>
              </w:rPr>
              <w:t>30</w:t>
            </w:r>
            <w:r w:rsidRPr="004D0467">
              <w:rPr>
                <w:kern w:val="28"/>
                <w:szCs w:val="22"/>
              </w:rPr>
              <w:t xml:space="preserve"> to NOEC or EC</w:t>
            </w:r>
            <w:r w:rsidRPr="004D0467">
              <w:rPr>
                <w:kern w:val="28"/>
                <w:szCs w:val="22"/>
                <w:vertAlign w:val="subscript"/>
              </w:rPr>
              <w:t>10</w:t>
            </w:r>
          </w:p>
        </w:tc>
        <w:tc>
          <w:tcPr>
            <w:tcW w:w="2160" w:type="dxa"/>
          </w:tcPr>
          <w:p w:rsidR="006C2E16" w:rsidRPr="004D0467" w:rsidRDefault="006C2E16" w:rsidP="00A10D4B">
            <w:pPr>
              <w:jc w:val="center"/>
              <w:rPr>
                <w:kern w:val="28"/>
                <w:szCs w:val="22"/>
              </w:rPr>
            </w:pPr>
            <w:r w:rsidRPr="004D0467">
              <w:rPr>
                <w:kern w:val="28"/>
                <w:szCs w:val="22"/>
              </w:rPr>
              <w:t>2.5</w:t>
            </w:r>
          </w:p>
        </w:tc>
      </w:tr>
      <w:tr w:rsidR="006C2E16" w:rsidRPr="004D0467" w:rsidTr="00A10D4B">
        <w:trPr>
          <w:jc w:val="center"/>
        </w:trPr>
        <w:tc>
          <w:tcPr>
            <w:tcW w:w="3607" w:type="dxa"/>
          </w:tcPr>
          <w:p w:rsidR="006C2E16" w:rsidRPr="004D0467" w:rsidRDefault="006C2E16" w:rsidP="00A10D4B">
            <w:pPr>
              <w:rPr>
                <w:kern w:val="28"/>
                <w:szCs w:val="22"/>
              </w:rPr>
            </w:pPr>
            <w:r w:rsidRPr="004D0467">
              <w:rPr>
                <w:kern w:val="28"/>
                <w:szCs w:val="22"/>
              </w:rPr>
              <w:t>MATC* to NOEC or EC</w:t>
            </w:r>
            <w:r w:rsidRPr="004D0467">
              <w:rPr>
                <w:kern w:val="28"/>
                <w:szCs w:val="22"/>
                <w:vertAlign w:val="subscript"/>
              </w:rPr>
              <w:t>10</w:t>
            </w:r>
          </w:p>
        </w:tc>
        <w:tc>
          <w:tcPr>
            <w:tcW w:w="2160" w:type="dxa"/>
          </w:tcPr>
          <w:p w:rsidR="006C2E16" w:rsidRPr="004D0467" w:rsidRDefault="006C2E16" w:rsidP="00A10D4B">
            <w:pPr>
              <w:jc w:val="center"/>
              <w:rPr>
                <w:kern w:val="28"/>
                <w:szCs w:val="22"/>
              </w:rPr>
            </w:pPr>
            <w:r w:rsidRPr="004D0467">
              <w:rPr>
                <w:kern w:val="28"/>
                <w:szCs w:val="22"/>
              </w:rPr>
              <w:t>2</w:t>
            </w:r>
          </w:p>
        </w:tc>
      </w:tr>
    </w:tbl>
    <w:p w:rsidR="006C2E16" w:rsidRPr="00B87AFD" w:rsidRDefault="006C2E16" w:rsidP="001C6BE7">
      <w:pPr>
        <w:pStyle w:val="text"/>
      </w:pPr>
      <w:r w:rsidRPr="00B87AFD">
        <w:rPr>
          <w:vertAlign w:val="superscript"/>
        </w:rPr>
        <w:t>a</w:t>
      </w:r>
      <w:r w:rsidRPr="00B87AFD">
        <w:t xml:space="preserve"> EC</w:t>
      </w:r>
      <w:r w:rsidRPr="00363524">
        <w:rPr>
          <w:vertAlign w:val="subscript"/>
        </w:rPr>
        <w:t>50</w:t>
      </w:r>
      <w:r w:rsidRPr="00B87AFD">
        <w:t>, EC</w:t>
      </w:r>
      <w:r w:rsidRPr="00363524">
        <w:rPr>
          <w:vertAlign w:val="subscript"/>
        </w:rPr>
        <w:t>30</w:t>
      </w:r>
      <w:r w:rsidRPr="00B87AFD">
        <w:t xml:space="preserve"> and EC</w:t>
      </w:r>
      <w:r w:rsidRPr="00363524">
        <w:rPr>
          <w:vertAlign w:val="subscript"/>
        </w:rPr>
        <w:t>10</w:t>
      </w:r>
      <w:r w:rsidRPr="00B87AFD">
        <w:t xml:space="preserve"> values are the concentrations that cause a 50</w:t>
      </w:r>
      <w:r>
        <w:t>%</w:t>
      </w:r>
      <w:r w:rsidRPr="00B87AFD">
        <w:t>, 30</w:t>
      </w:r>
      <w:r>
        <w:t>%</w:t>
      </w:r>
      <w:r w:rsidRPr="00B87AFD">
        <w:t xml:space="preserve"> or 10% effect, NOEC = the no observed effect concentration, LOEC = lowest observed effect concentration, MATC = the maximum acceptable toxicant concentration and is the geometric mean of the NOEC and LOEC.</w:t>
      </w:r>
    </w:p>
    <w:p w:rsidR="006C2E16" w:rsidRDefault="006C2E16" w:rsidP="006C2E16">
      <w:r>
        <w:t xml:space="preserve">The more flexible method that was applied to the metals in the Australian and New Zealand WQGs (ANZECC &amp; ARMCANZ 2000) and the conversion factors that were used (see Table 8) were used in the EIL derivation methodology. It should be noted that these conversion factors are based on expert judgement (Warne </w:t>
      </w:r>
      <w:r w:rsidRPr="005C1883">
        <w:rPr>
          <w:i/>
          <w:iCs/>
        </w:rPr>
        <w:t>pers. comm.</w:t>
      </w:r>
      <w:r>
        <w:t xml:space="preserve">). Therefore, if sufficient terrestrial data is available to derive terrestrial conversion factors then these should be used. </w:t>
      </w:r>
      <w:r w:rsidRPr="001329FC">
        <w:t>For example</w:t>
      </w:r>
      <w:r>
        <w:t>,</w:t>
      </w:r>
      <w:r w:rsidRPr="001329FC">
        <w:t xml:space="preserve"> data from the Australian National Biosolids Rese</w:t>
      </w:r>
      <w:r>
        <w:t xml:space="preserve">arch Program indicates that the phytotoxicity chronic </w:t>
      </w:r>
      <w:r w:rsidRPr="001329FC">
        <w:t>EC</w:t>
      </w:r>
      <w:r w:rsidRPr="00363524">
        <w:rPr>
          <w:vertAlign w:val="subscript"/>
        </w:rPr>
        <w:t>10</w:t>
      </w:r>
      <w:r w:rsidRPr="001329FC">
        <w:t xml:space="preserve"> to </w:t>
      </w:r>
      <w:r>
        <w:t xml:space="preserve">chronic </w:t>
      </w:r>
      <w:r w:rsidRPr="001329FC">
        <w:t>EC</w:t>
      </w:r>
      <w:r w:rsidRPr="00363524">
        <w:rPr>
          <w:vertAlign w:val="subscript"/>
        </w:rPr>
        <w:t>50</w:t>
      </w:r>
      <w:r w:rsidRPr="001329FC">
        <w:t xml:space="preserve"> conversion factor for </w:t>
      </w:r>
      <w:r>
        <w:t xml:space="preserve">cations such as </w:t>
      </w:r>
      <w:r w:rsidRPr="001329FC">
        <w:t>Cu and Zn was 3 (unpublished data).</w:t>
      </w:r>
    </w:p>
    <w:p w:rsidR="00145F69" w:rsidRPr="001329FC" w:rsidRDefault="00145F69" w:rsidP="006C2E16"/>
    <w:p w:rsidR="006C2E16" w:rsidRDefault="006C2E16" w:rsidP="006C2E16">
      <w:r>
        <w:t xml:space="preserve">Compared to aquatic toxicity studies, there is a limited number of terrestrial toxicity studies. Therefore, maximum use must be made of the available toxicity data and data should be converted from one measure </w:t>
      </w:r>
      <w:r w:rsidRPr="00AE6DD0">
        <w:t>to another</w:t>
      </w:r>
      <w:r>
        <w:t xml:space="preserve"> (s</w:t>
      </w:r>
      <w:r w:rsidRPr="00AE6DD0">
        <w:t>ee above</w:t>
      </w:r>
      <w:r>
        <w:t>).</w:t>
      </w:r>
    </w:p>
    <w:p w:rsidR="00145F69" w:rsidRDefault="00145F69" w:rsidP="006C2E16"/>
    <w:p w:rsidR="006C2E16" w:rsidRDefault="006C2E16" w:rsidP="006C2E16">
      <w:r w:rsidRPr="00AE6DD0">
        <w:t>How</w:t>
      </w:r>
      <w:r>
        <w:t>ever, if more data become available then it should be used in the following descending order of preference:</w:t>
      </w:r>
    </w:p>
    <w:p w:rsidR="006C2E16" w:rsidRDefault="006C2E16" w:rsidP="001C6BE7">
      <w:pPr>
        <w:pStyle w:val="text"/>
        <w:numPr>
          <w:ilvl w:val="0"/>
          <w:numId w:val="13"/>
        </w:numPr>
      </w:pPr>
      <w:r>
        <w:t>30% effect data (e.g. EC</w:t>
      </w:r>
      <w:r w:rsidRPr="00363524">
        <w:rPr>
          <w:vertAlign w:val="subscript"/>
        </w:rPr>
        <w:t>30</w:t>
      </w:r>
      <w:r>
        <w:t>, LC</w:t>
      </w:r>
      <w:r w:rsidRPr="00363524">
        <w:rPr>
          <w:vertAlign w:val="subscript"/>
        </w:rPr>
        <w:t>30</w:t>
      </w:r>
      <w:r>
        <w:t>)</w:t>
      </w:r>
    </w:p>
    <w:p w:rsidR="006C2E16" w:rsidRDefault="006C2E16" w:rsidP="001C6BE7">
      <w:pPr>
        <w:pStyle w:val="text"/>
        <w:numPr>
          <w:ilvl w:val="0"/>
          <w:numId w:val="13"/>
        </w:numPr>
      </w:pPr>
      <w:r>
        <w:t>LOEC data</w:t>
      </w:r>
    </w:p>
    <w:p w:rsidR="006C2E16" w:rsidRDefault="006C2E16" w:rsidP="001C6BE7">
      <w:pPr>
        <w:pStyle w:val="text"/>
        <w:numPr>
          <w:ilvl w:val="0"/>
          <w:numId w:val="13"/>
        </w:numPr>
      </w:pPr>
      <w:r>
        <w:t>10% or 50% effect data (e.g. EC</w:t>
      </w:r>
      <w:r w:rsidRPr="00363524">
        <w:rPr>
          <w:vertAlign w:val="subscript"/>
        </w:rPr>
        <w:t>10</w:t>
      </w:r>
      <w:r>
        <w:t>, LC</w:t>
      </w:r>
      <w:r w:rsidRPr="00363524">
        <w:rPr>
          <w:vertAlign w:val="subscript"/>
        </w:rPr>
        <w:t>50</w:t>
      </w:r>
      <w:r>
        <w:t>)</w:t>
      </w:r>
    </w:p>
    <w:p w:rsidR="006C2E16" w:rsidRDefault="006C2E16" w:rsidP="001C6BE7">
      <w:pPr>
        <w:pStyle w:val="text"/>
        <w:numPr>
          <w:ilvl w:val="0"/>
          <w:numId w:val="13"/>
        </w:numPr>
      </w:pPr>
      <w:r>
        <w:t>NOEC and MATC.</w:t>
      </w:r>
    </w:p>
    <w:p w:rsidR="006C2E16" w:rsidRDefault="006C2E16" w:rsidP="006C2E16">
      <w:r>
        <w:t xml:space="preserve">There are a number of well-acknowledged limitations to NOEC and LOEC data (Newman 2008; Fox </w:t>
      </w:r>
      <w:r w:rsidRPr="00A97612">
        <w:t>2008</w:t>
      </w:r>
      <w:r>
        <w:t xml:space="preserve">; Warne &amp; Van Dam </w:t>
      </w:r>
      <w:r w:rsidRPr="00A97612">
        <w:t>2008)</w:t>
      </w:r>
      <w:r>
        <w:t xml:space="preserve">. </w:t>
      </w:r>
      <w:r w:rsidRPr="00A97612">
        <w:t>Some</w:t>
      </w:r>
      <w:r>
        <w:t xml:space="preserve"> scientists (Chapman et al. 1996) have argued that they should not be used to derive EQGs. However, they continue to be used for that purpose because no regulatory authority has recommended an alternative measure of toxicity be used and because a large amount of this type of data is available. For these reasons, the Australian and New Zealand WQGs (ANZECC &amp; </w:t>
      </w:r>
      <w:r>
        <w:lastRenderedPageBreak/>
        <w:t>ARMCANZ 2000) used NOEC data but suggested that the use of NOEC data ’be phased out‘ as EC</w:t>
      </w:r>
      <w:r w:rsidRPr="00363524">
        <w:rPr>
          <w:vertAlign w:val="subscript"/>
        </w:rPr>
        <w:t>10</w:t>
      </w:r>
      <w:r>
        <w:t>-type data become available. Warne and Van Dam (</w:t>
      </w:r>
      <w:r w:rsidRPr="00A97612">
        <w:t>2008)</w:t>
      </w:r>
      <w:r>
        <w:t xml:space="preserve"> have gone one step further by calling for  a ban on the generation and use of NOEC and LOEC data in Australia. Since the Australian and New Zealand WQGs were published, more researchers are reporting EC/LC</w:t>
      </w:r>
      <w:r w:rsidRPr="00363524">
        <w:rPr>
          <w:vertAlign w:val="subscript"/>
        </w:rPr>
        <w:t>10</w:t>
      </w:r>
      <w:r>
        <w:t xml:space="preserve"> to EC/LC</w:t>
      </w:r>
      <w:r w:rsidRPr="00363524">
        <w:rPr>
          <w:vertAlign w:val="subscript"/>
        </w:rPr>
        <w:t>20</w:t>
      </w:r>
      <w:r>
        <w:t xml:space="preserve">-type toxicity data. The use of point estimate toxicity data is therefore preferred. </w:t>
      </w:r>
    </w:p>
    <w:p w:rsidR="006C2E16" w:rsidRPr="00906CDC" w:rsidRDefault="006C2E16" w:rsidP="006C2E16">
      <w:pPr>
        <w:pStyle w:val="Heading4"/>
      </w:pPr>
      <w:bookmarkStart w:id="85" w:name="_Toc351713141"/>
      <w:r w:rsidRPr="00906CDC">
        <w:t>Conversion from total to added concentrations</w:t>
      </w:r>
      <w:bookmarkEnd w:id="85"/>
    </w:p>
    <w:p w:rsidR="006C2E16" w:rsidRPr="005802FA" w:rsidRDefault="006C2E16" w:rsidP="006C2E16">
      <w:r w:rsidRPr="00477C50">
        <w:t xml:space="preserve">The </w:t>
      </w:r>
      <w:r>
        <w:t>EIL derivation</w:t>
      </w:r>
      <w:r w:rsidRPr="00477C50">
        <w:t xml:space="preserve"> methodology makes a clear distinction between natural background concentration, which is the natural level of contaminants in the soil, and </w:t>
      </w:r>
      <w:r>
        <w:t>ABC,</w:t>
      </w:r>
      <w:r w:rsidRPr="00477C50">
        <w:t xml:space="preserve"> </w:t>
      </w:r>
      <w:r w:rsidRPr="008C303F">
        <w:rPr>
          <w:lang w:val="en-US"/>
        </w:rPr>
        <w:t>naturally occurring background and the contaminant levels that have been introduced from diffuse or non-point sources by general anthropogenic activity not attributed to industrial, commercial, or agricultural activities</w:t>
      </w:r>
      <w:r>
        <w:t xml:space="preserve">. </w:t>
      </w:r>
      <w:r w:rsidRPr="005802FA">
        <w:t>Therefore</w:t>
      </w:r>
      <w:r>
        <w:t>,</w:t>
      </w:r>
      <w:r w:rsidRPr="005802FA">
        <w:t xml:space="preserve"> </w:t>
      </w:r>
      <w:r>
        <w:t xml:space="preserve">it is preferable that all </w:t>
      </w:r>
      <w:r w:rsidRPr="005802FA">
        <w:t xml:space="preserve">toxicity </w:t>
      </w:r>
      <w:r>
        <w:t>data is</w:t>
      </w:r>
      <w:r w:rsidRPr="005802FA">
        <w:t xml:space="preserve"> expressed as an added concentration</w:t>
      </w:r>
      <w:r>
        <w:t xml:space="preserve">. If the toxicity data is not expressed in terms of added contaminant then they should be converted to that form, if possible. This can be achieved by subtracting either the ABC, if it is known, or the average concentration in the control soil (that is, the test </w:t>
      </w:r>
      <w:r w:rsidRPr="005802FA">
        <w:t xml:space="preserve">soil with no addition of the test </w:t>
      </w:r>
      <w:r>
        <w:t>contaminant) from the total</w:t>
      </w:r>
      <w:r w:rsidRPr="005802FA">
        <w:t xml:space="preserve"> </w:t>
      </w:r>
      <w:r>
        <w:t>concentrations and then re-calculating the toxicity. I</w:t>
      </w:r>
      <w:r w:rsidRPr="005802FA">
        <w:t xml:space="preserve">f background concentrations are not given </w:t>
      </w:r>
      <w:r>
        <w:t xml:space="preserve">then, for some inorganics, the method of Hamon et al. (2004) can be used to estimate ABC in Australian soils or the Dutch background correction equations (Lexmond et al. 1986) can be used to estimate the background concentration. Alternatively, </w:t>
      </w:r>
      <w:r w:rsidRPr="005802FA">
        <w:t xml:space="preserve">one can set a default background level or assume that the background concentration was </w:t>
      </w:r>
      <w:r>
        <w:t>zero</w:t>
      </w:r>
      <w:r w:rsidRPr="005802FA">
        <w:t>.</w:t>
      </w:r>
    </w:p>
    <w:p w:rsidR="006C2E16" w:rsidRPr="006402FF" w:rsidRDefault="006C2E16" w:rsidP="006C2E16">
      <w:pPr>
        <w:pStyle w:val="Heading4"/>
      </w:pPr>
      <w:bookmarkStart w:id="86" w:name="_Toc351713142"/>
      <w:r w:rsidRPr="006402FF">
        <w:t>Duration of exposure</w:t>
      </w:r>
      <w:bookmarkEnd w:id="86"/>
    </w:p>
    <w:p w:rsidR="006C2E16" w:rsidRPr="00943F62" w:rsidRDefault="006C2E16" w:rsidP="006C2E16">
      <w:r w:rsidRPr="00943F62">
        <w:t xml:space="preserve">The Australian and New Zealand WQGs (ANZECC </w:t>
      </w:r>
      <w:r>
        <w:t>&amp;</w:t>
      </w:r>
      <w:r w:rsidRPr="00943F62">
        <w:t xml:space="preserve"> ARMCANZ 2000) make a clear distinction between chronic and acute toxicity data and convert </w:t>
      </w:r>
      <w:r>
        <w:t xml:space="preserve">TVs </w:t>
      </w:r>
      <w:r w:rsidRPr="00943F62">
        <w:t>derived using acute EC/LC</w:t>
      </w:r>
      <w:r>
        <w:t>-</w:t>
      </w:r>
      <w:r w:rsidRPr="00943F62">
        <w:t xml:space="preserve">type data to chronic </w:t>
      </w:r>
      <w:r>
        <w:t>TVs</w:t>
      </w:r>
      <w:r w:rsidRPr="00943F62">
        <w:t xml:space="preserve"> by using, in order of decreasing preference, acute to chronic ratios (ACRs) or a default AF of 10</w:t>
      </w:r>
      <w:r>
        <w:t xml:space="preserve">. </w:t>
      </w:r>
      <w:r w:rsidRPr="00943F62">
        <w:t xml:space="preserve">This approach is very common and widely used in water quality guidelines (ANZECC </w:t>
      </w:r>
      <w:r>
        <w:t>&amp;</w:t>
      </w:r>
      <w:r w:rsidRPr="00943F62">
        <w:t xml:space="preserve"> ARMCANZ 2000</w:t>
      </w:r>
      <w:r>
        <w:t xml:space="preserve">; CCME </w:t>
      </w:r>
      <w:r w:rsidRPr="00A5072F">
        <w:t>1991</w:t>
      </w:r>
      <w:r>
        <w:t>;</w:t>
      </w:r>
      <w:r w:rsidRPr="00A5072F">
        <w:t xml:space="preserve"> US</w:t>
      </w:r>
      <w:r>
        <w:t xml:space="preserve"> </w:t>
      </w:r>
      <w:r w:rsidRPr="00A5072F">
        <w:t>EPA 1991</w:t>
      </w:r>
      <w:r w:rsidRPr="00943F62">
        <w:t>) but is not used in soil guidelines</w:t>
      </w:r>
      <w:r>
        <w:t xml:space="preserve">. </w:t>
      </w:r>
      <w:r w:rsidRPr="00943F62">
        <w:t>This is due mostly to the fact that the exposure duration of most terrestrial ecotoxicity tests is three to four weeks</w:t>
      </w:r>
      <w:r>
        <w:t xml:space="preserve">. </w:t>
      </w:r>
      <w:r w:rsidRPr="00943F62">
        <w:t xml:space="preserve">Therefore, conversion factors </w:t>
      </w:r>
      <w:r>
        <w:t xml:space="preserve">should </w:t>
      </w:r>
      <w:r w:rsidRPr="00943F62">
        <w:t>only be used for short-term exposure tests</w:t>
      </w:r>
      <w:r>
        <w:t xml:space="preserve">. </w:t>
      </w:r>
      <w:r w:rsidRPr="00943F62">
        <w:t>If ACR values are available then they should be used to convert acute terrestrial toxicity data</w:t>
      </w:r>
      <w:r>
        <w:t xml:space="preserve">. </w:t>
      </w:r>
      <w:r w:rsidRPr="00943F62">
        <w:t xml:space="preserve">Only if ACR values are not available should a default AF of 10 be used, which is consistent with the approach adopted by the </w:t>
      </w:r>
      <w:r>
        <w:t xml:space="preserve">Australian and New Zealand </w:t>
      </w:r>
      <w:r w:rsidRPr="00943F62">
        <w:t xml:space="preserve">WQGs (ANZECC </w:t>
      </w:r>
      <w:r>
        <w:t>&amp;</w:t>
      </w:r>
      <w:r w:rsidRPr="00943F62">
        <w:t xml:space="preserve"> ARMCANZ 2000</w:t>
      </w:r>
      <w:r>
        <w:t>)</w:t>
      </w:r>
      <w:r w:rsidRPr="00943F62">
        <w:t>.</w:t>
      </w:r>
    </w:p>
    <w:p w:rsidR="006C2E16" w:rsidRPr="00D029C4" w:rsidRDefault="006C2E16" w:rsidP="006C2E16">
      <w:pPr>
        <w:pStyle w:val="Heading4"/>
      </w:pPr>
      <w:bookmarkStart w:id="87" w:name="_Toc351713143"/>
      <w:r w:rsidRPr="00D029C4">
        <w:t xml:space="preserve">The use of toxicity data for </w:t>
      </w:r>
      <w:r w:rsidRPr="004D0467">
        <w:t>endemic</w:t>
      </w:r>
      <w:r w:rsidRPr="00D029C4">
        <w:t xml:space="preserve"> or overseas species</w:t>
      </w:r>
      <w:bookmarkEnd w:id="87"/>
    </w:p>
    <w:p w:rsidR="006C2E16" w:rsidRDefault="006C2E16" w:rsidP="006C2E16">
      <w:pPr>
        <w:rPr>
          <w:kern w:val="28"/>
        </w:rPr>
      </w:pPr>
      <w:r>
        <w:t>In deriving</w:t>
      </w:r>
      <w:r w:rsidRPr="00943F62">
        <w:t xml:space="preserve"> any EQGs</w:t>
      </w:r>
      <w:r>
        <w:t>,</w:t>
      </w:r>
      <w:r w:rsidRPr="00943F62">
        <w:t xml:space="preserve"> the question always arises </w:t>
      </w:r>
      <w:r>
        <w:t>as to</w:t>
      </w:r>
      <w:r w:rsidRPr="00943F62">
        <w:t xml:space="preserve"> whether toxicity data for overseas species should be used</w:t>
      </w:r>
      <w:r>
        <w:t xml:space="preserve">. </w:t>
      </w:r>
      <w:r w:rsidRPr="00477C50">
        <w:t>By using toxicity data for overseas species</w:t>
      </w:r>
      <w:r>
        <w:t>,</w:t>
      </w:r>
      <w:r w:rsidRPr="00477C50">
        <w:t xml:space="preserve"> the assumption is made that they have the same sensitivity as endemic species</w:t>
      </w:r>
      <w:r>
        <w:t xml:space="preserve">. </w:t>
      </w:r>
      <w:r w:rsidRPr="00477C50">
        <w:t>The validity of this assumption has been questioned and examined in a number of studies using aquatic species (Dyer et al. 1997</w:t>
      </w:r>
      <w:r>
        <w:t>;</w:t>
      </w:r>
      <w:r w:rsidRPr="00477C50">
        <w:t xml:space="preserve"> Markich </w:t>
      </w:r>
      <w:r>
        <w:t>&amp;</w:t>
      </w:r>
      <w:r w:rsidRPr="00477C50">
        <w:t xml:space="preserve"> Camilleri 1997</w:t>
      </w:r>
      <w:r>
        <w:t>;</w:t>
      </w:r>
      <w:r w:rsidRPr="00477C50">
        <w:t xml:space="preserve"> Brix et al. 2001</w:t>
      </w:r>
      <w:r>
        <w:t>;</w:t>
      </w:r>
      <w:r w:rsidRPr="00477C50">
        <w:t xml:space="preserve"> Hobbs et al. 2004</w:t>
      </w:r>
      <w:r>
        <w:t>;</w:t>
      </w:r>
      <w:r w:rsidRPr="00477C50">
        <w:t xml:space="preserve"> Hose </w:t>
      </w:r>
      <w:r>
        <w:t>&amp;</w:t>
      </w:r>
      <w:r w:rsidRPr="00477C50">
        <w:t xml:space="preserve"> Van den Brink 2004</w:t>
      </w:r>
      <w:r>
        <w:t>;</w:t>
      </w:r>
      <w:r w:rsidRPr="00477C50">
        <w:t xml:space="preserve"> Maltby et al. 2005</w:t>
      </w:r>
      <w:r>
        <w:t>;</w:t>
      </w:r>
      <w:r w:rsidRPr="00477C50">
        <w:t xml:space="preserve"> Chapman et al. 2006</w:t>
      </w:r>
      <w:r>
        <w:t>;</w:t>
      </w:r>
      <w:r w:rsidRPr="00477C50">
        <w:t xml:space="preserve"> Kwok et al. 2007)</w:t>
      </w:r>
      <w:r>
        <w:t xml:space="preserve">. </w:t>
      </w:r>
      <w:r w:rsidRPr="00477C50">
        <w:t>However, the evidence is conflicting</w:t>
      </w:r>
      <w:r>
        <w:t>,</w:t>
      </w:r>
      <w:r w:rsidRPr="00477C50">
        <w:t xml:space="preserve"> with some studies (Maltby et al. 2005</w:t>
      </w:r>
      <w:r>
        <w:t>;</w:t>
      </w:r>
      <w:r w:rsidRPr="00477C50">
        <w:t xml:space="preserve"> Hose </w:t>
      </w:r>
      <w:r>
        <w:t>&amp;</w:t>
      </w:r>
      <w:r w:rsidRPr="00477C50">
        <w:t xml:space="preserve"> Van den Brink 2004) finding no differences while others have found differences (Dyer et al. 1997</w:t>
      </w:r>
      <w:r>
        <w:t>;</w:t>
      </w:r>
      <w:r w:rsidRPr="00477C50">
        <w:t xml:space="preserve"> Markich </w:t>
      </w:r>
      <w:r>
        <w:t>&amp;</w:t>
      </w:r>
      <w:r w:rsidRPr="00477C50">
        <w:t xml:space="preserve"> Camilleri 1997</w:t>
      </w:r>
      <w:r>
        <w:t>;</w:t>
      </w:r>
      <w:r w:rsidRPr="00477C50">
        <w:t xml:space="preserve"> Brix et al. 2001</w:t>
      </w:r>
      <w:r>
        <w:t>;</w:t>
      </w:r>
      <w:r w:rsidRPr="00477C50">
        <w:t xml:space="preserve"> Hobbs et al. 2004</w:t>
      </w:r>
      <w:r>
        <w:t>;</w:t>
      </w:r>
      <w:r w:rsidRPr="00477C50">
        <w:t xml:space="preserve"> Chapman et al. 2006</w:t>
      </w:r>
      <w:r>
        <w:t>;</w:t>
      </w:r>
      <w:r w:rsidRPr="00477C50">
        <w:t xml:space="preserve"> Kwok et al. 2007)</w:t>
      </w:r>
      <w:r>
        <w:t xml:space="preserve">. </w:t>
      </w:r>
      <w:r w:rsidRPr="00477C50">
        <w:t>Kwok et al. (2007) combined results from SSD analysis with ERA principles to determine that</w:t>
      </w:r>
      <w:r>
        <w:t>,</w:t>
      </w:r>
      <w:r w:rsidRPr="00477C50">
        <w:t xml:space="preserve"> in order to protect 95% of tropical aquatic species</w:t>
      </w:r>
      <w:r>
        <w:t>,</w:t>
      </w:r>
      <w:r w:rsidRPr="00477C50">
        <w:t xml:space="preserve"> toxicity data for temperate aquatic species should be divided by a factor of 10</w:t>
      </w:r>
      <w:r>
        <w:t xml:space="preserve">. </w:t>
      </w:r>
      <w:r w:rsidRPr="00477C50">
        <w:t>Using a similar methodology</w:t>
      </w:r>
      <w:r>
        <w:t>,</w:t>
      </w:r>
      <w:r w:rsidRPr="00477C50">
        <w:t xml:space="preserve"> </w:t>
      </w:r>
      <w:smartTag w:uri="urn:schemas-microsoft-com:office:smarttags" w:element="City">
        <w:smartTag w:uri="urn:schemas-microsoft-com:office:smarttags" w:element="place">
          <w:r w:rsidRPr="00477C50">
            <w:t>Hobbs</w:t>
          </w:r>
        </w:smartTag>
      </w:smartTag>
      <w:r w:rsidRPr="00477C50">
        <w:t xml:space="preserve"> (2006) found that if Australasian species were to be protected from 95% of chemicals</w:t>
      </w:r>
      <w:r>
        <w:t>,</w:t>
      </w:r>
      <w:r w:rsidRPr="00477C50">
        <w:t xml:space="preserve"> then toxicity data for northern hemisphere freshwater and marine/estuarine species would have to be divided by 6.2 and 2.2 respectively</w:t>
      </w:r>
      <w:r>
        <w:t xml:space="preserve">. </w:t>
      </w:r>
      <w:r w:rsidRPr="00477C50">
        <w:t xml:space="preserve">The inconsistency in the published results led Chapman et al. (2006) to conclude that </w:t>
      </w:r>
      <w:r>
        <w:t>’</w:t>
      </w:r>
      <w:r w:rsidRPr="00477C50">
        <w:t>toxicity data from one geographic region will not be universally protective of other regions</w:t>
      </w:r>
      <w:r>
        <w:t>‘</w:t>
      </w:r>
      <w:r w:rsidRPr="00477C50">
        <w:t>.</w:t>
      </w:r>
      <w:r w:rsidRPr="00477C50">
        <w:rPr>
          <w:kern w:val="28"/>
        </w:rPr>
        <w:t xml:space="preserve"> </w:t>
      </w:r>
    </w:p>
    <w:p w:rsidR="00145F69" w:rsidRPr="00477C50" w:rsidRDefault="00145F69" w:rsidP="006C2E16">
      <w:pPr>
        <w:rPr>
          <w:kern w:val="28"/>
        </w:rPr>
      </w:pPr>
    </w:p>
    <w:p w:rsidR="006C2E16" w:rsidRDefault="006C2E16" w:rsidP="006C2E16">
      <w:pPr>
        <w:rPr>
          <w:kern w:val="28"/>
        </w:rPr>
      </w:pPr>
      <w:r w:rsidRPr="00477C50">
        <w:rPr>
          <w:kern w:val="28"/>
        </w:rPr>
        <w:t xml:space="preserve">The other factor that needs to be considered in resolving this issue is that from a statistical point of view EILs </w:t>
      </w:r>
      <w:r>
        <w:t>and/or SQGs</w:t>
      </w:r>
      <w:r w:rsidRPr="00477C50">
        <w:rPr>
          <w:kern w:val="28"/>
        </w:rPr>
        <w:t xml:space="preserve"> become increasingly reliable as the number of species for which there is toxicity data increases</w:t>
      </w:r>
      <w:r>
        <w:rPr>
          <w:kern w:val="28"/>
        </w:rPr>
        <w:t xml:space="preserve">. </w:t>
      </w:r>
      <w:r w:rsidRPr="00477C50">
        <w:rPr>
          <w:kern w:val="28"/>
        </w:rPr>
        <w:t>Therefore</w:t>
      </w:r>
      <w:r>
        <w:rPr>
          <w:kern w:val="28"/>
        </w:rPr>
        <w:t>,</w:t>
      </w:r>
      <w:r w:rsidRPr="00477C50">
        <w:rPr>
          <w:kern w:val="28"/>
        </w:rPr>
        <w:t xml:space="preserve"> as a pragmatic compromise</w:t>
      </w:r>
      <w:r>
        <w:rPr>
          <w:kern w:val="28"/>
        </w:rPr>
        <w:t>,</w:t>
      </w:r>
      <w:r w:rsidRPr="00477C50">
        <w:rPr>
          <w:kern w:val="28"/>
        </w:rPr>
        <w:t xml:space="preserve"> toxicity data for both endemic and overseas species should be used to derive EILs</w:t>
      </w:r>
      <w:r>
        <w:rPr>
          <w:kern w:val="28"/>
        </w:rPr>
        <w:t xml:space="preserve">. </w:t>
      </w:r>
      <w:r w:rsidRPr="00477C50">
        <w:rPr>
          <w:kern w:val="28"/>
        </w:rPr>
        <w:t xml:space="preserve">This is consistent with the Australian and New </w:t>
      </w:r>
      <w:r w:rsidRPr="00477C50">
        <w:rPr>
          <w:kern w:val="28"/>
        </w:rPr>
        <w:lastRenderedPageBreak/>
        <w:t xml:space="preserve">Zealand WQGs (ANZECC </w:t>
      </w:r>
      <w:r>
        <w:rPr>
          <w:kern w:val="28"/>
        </w:rPr>
        <w:t>&amp;</w:t>
      </w:r>
      <w:r w:rsidRPr="00477C50">
        <w:rPr>
          <w:kern w:val="28"/>
        </w:rPr>
        <w:t xml:space="preserve"> ARMCANZ 2000)</w:t>
      </w:r>
      <w:r>
        <w:rPr>
          <w:kern w:val="28"/>
        </w:rPr>
        <w:t xml:space="preserve">. </w:t>
      </w:r>
      <w:r w:rsidRPr="00477C50">
        <w:rPr>
          <w:kern w:val="28"/>
        </w:rPr>
        <w:t>However, if there are four or more toxicity data measure</w:t>
      </w:r>
      <w:r>
        <w:rPr>
          <w:kern w:val="28"/>
        </w:rPr>
        <w:t>ments</w:t>
      </w:r>
      <w:r w:rsidRPr="00477C50">
        <w:rPr>
          <w:kern w:val="28"/>
        </w:rPr>
        <w:t xml:space="preserve"> in Australia for a species</w:t>
      </w:r>
      <w:r>
        <w:rPr>
          <w:kern w:val="28"/>
        </w:rPr>
        <w:t xml:space="preserve">; that is, </w:t>
      </w:r>
      <w:r w:rsidRPr="00477C50">
        <w:rPr>
          <w:kern w:val="28"/>
        </w:rPr>
        <w:t>they meet the minimum data requirements to derive EILs</w:t>
      </w:r>
      <w:r>
        <w:rPr>
          <w:kern w:val="28"/>
        </w:rPr>
        <w:t xml:space="preserve"> and SQGs,</w:t>
      </w:r>
      <w:r w:rsidRPr="00477C50">
        <w:rPr>
          <w:kern w:val="28"/>
        </w:rPr>
        <w:t xml:space="preserve"> then this should be used in preference to toxicity data for the same species tested overseas. </w:t>
      </w:r>
    </w:p>
    <w:p w:rsidR="006C2E16" w:rsidRPr="009542A2" w:rsidRDefault="006C2E16" w:rsidP="001C6BE7">
      <w:pPr>
        <w:pStyle w:val="Heading3"/>
      </w:pPr>
      <w:bookmarkStart w:id="88" w:name="_Toc255359974"/>
      <w:bookmarkStart w:id="89" w:name="_Toc269122448"/>
      <w:bookmarkStart w:id="90" w:name="_Toc351713144"/>
      <w:r>
        <w:t>Incorporation of an a</w:t>
      </w:r>
      <w:r w:rsidRPr="009542A2">
        <w:t>geing and leaching</w:t>
      </w:r>
      <w:r>
        <w:t xml:space="preserve"> factor</w:t>
      </w:r>
      <w:bookmarkEnd w:id="88"/>
      <w:bookmarkEnd w:id="89"/>
      <w:bookmarkEnd w:id="90"/>
    </w:p>
    <w:p w:rsidR="006C2E16" w:rsidRDefault="006C2E16" w:rsidP="006C2E16">
      <w:pPr>
        <w:rPr>
          <w:kern w:val="28"/>
        </w:rPr>
      </w:pPr>
      <w:r w:rsidRPr="00C85907">
        <w:rPr>
          <w:kern w:val="28"/>
        </w:rPr>
        <w:t>Typically</w:t>
      </w:r>
      <w:r>
        <w:rPr>
          <w:kern w:val="28"/>
        </w:rPr>
        <w:t>,</w:t>
      </w:r>
      <w:r w:rsidRPr="00C85907">
        <w:rPr>
          <w:kern w:val="28"/>
        </w:rPr>
        <w:t xml:space="preserve"> soil toxicity tests use soils that have been freshly spiked with the contaminant in question</w:t>
      </w:r>
      <w:r>
        <w:rPr>
          <w:kern w:val="28"/>
        </w:rPr>
        <w:t xml:space="preserve">. </w:t>
      </w:r>
      <w:r w:rsidRPr="00C85907">
        <w:rPr>
          <w:kern w:val="28"/>
        </w:rPr>
        <w:t>There are very limited amounts of toxicity data available for soils where the contaminant was added some time prior to testing, let alone field-aged soils</w:t>
      </w:r>
      <w:r>
        <w:rPr>
          <w:kern w:val="28"/>
        </w:rPr>
        <w:t xml:space="preserve"> contaminated by a variety of sources of contaminants with varying bioavailability. The predominance of laboratory-</w:t>
      </w:r>
      <w:r w:rsidRPr="00C85907">
        <w:rPr>
          <w:kern w:val="28"/>
        </w:rPr>
        <w:t xml:space="preserve">spiked toxicity data has implications </w:t>
      </w:r>
      <w:r>
        <w:rPr>
          <w:kern w:val="28"/>
        </w:rPr>
        <w:t>for</w:t>
      </w:r>
      <w:r w:rsidRPr="00C85907">
        <w:rPr>
          <w:kern w:val="28"/>
        </w:rPr>
        <w:t xml:space="preserve"> the derivation of EILs due to ageing and leaching</w:t>
      </w:r>
      <w:r>
        <w:rPr>
          <w:kern w:val="28"/>
        </w:rPr>
        <w:t>.</w:t>
      </w:r>
    </w:p>
    <w:p w:rsidR="00145F69" w:rsidRDefault="00145F69" w:rsidP="006C2E16">
      <w:pPr>
        <w:rPr>
          <w:kern w:val="28"/>
        </w:rPr>
      </w:pPr>
    </w:p>
    <w:p w:rsidR="006C2E16" w:rsidRDefault="006C2E16" w:rsidP="006C2E16">
      <w:r w:rsidRPr="00C85907">
        <w:rPr>
          <w:kern w:val="28"/>
        </w:rPr>
        <w:t xml:space="preserve">Ageing or natural </w:t>
      </w:r>
      <w:r>
        <w:rPr>
          <w:kern w:val="28"/>
        </w:rPr>
        <w:t>immobilisation</w:t>
      </w:r>
      <w:r w:rsidRPr="00C85907">
        <w:rPr>
          <w:kern w:val="28"/>
        </w:rPr>
        <w:t xml:space="preserve"> </w:t>
      </w:r>
      <w:r>
        <w:rPr>
          <w:kern w:val="28"/>
        </w:rPr>
        <w:t xml:space="preserve">(attenuation) </w:t>
      </w:r>
      <w:r w:rsidRPr="00C85907">
        <w:rPr>
          <w:kern w:val="28"/>
        </w:rPr>
        <w:t>is the process by which many contaminants (both inorganic and organic)</w:t>
      </w:r>
      <w:r>
        <w:rPr>
          <w:kern w:val="28"/>
        </w:rPr>
        <w:t>,</w:t>
      </w:r>
      <w:r w:rsidRPr="00C85907">
        <w:rPr>
          <w:kern w:val="28"/>
        </w:rPr>
        <w:t xml:space="preserve"> when added to soil</w:t>
      </w:r>
      <w:r>
        <w:rPr>
          <w:kern w:val="28"/>
        </w:rPr>
        <w:t>,</w:t>
      </w:r>
      <w:r w:rsidRPr="00C85907">
        <w:rPr>
          <w:kern w:val="28"/>
        </w:rPr>
        <w:t xml:space="preserve"> will bind over time to various soil components (</w:t>
      </w:r>
      <w:r w:rsidRPr="00C85907">
        <w:t>Barrow 1986</w:t>
      </w:r>
      <w:r>
        <w:t>;</w:t>
      </w:r>
      <w:r w:rsidRPr="00C85907">
        <w:t xml:space="preserve"> </w:t>
      </w:r>
      <w:r>
        <w:t xml:space="preserve">Hamon et al. 2007; </w:t>
      </w:r>
      <w:r w:rsidRPr="00C85907">
        <w:t xml:space="preserve">Smolders </w:t>
      </w:r>
      <w:r>
        <w:t>&amp;</w:t>
      </w:r>
      <w:r w:rsidRPr="00C85907">
        <w:t xml:space="preserve"> Degryse 2007) </w:t>
      </w:r>
      <w:r w:rsidRPr="00C85907">
        <w:rPr>
          <w:kern w:val="28"/>
        </w:rPr>
        <w:t>and this can reduce the concentration of the contaminant that is biologically available (McLaughlin et al. 2000a)</w:t>
      </w:r>
      <w:r>
        <w:rPr>
          <w:kern w:val="28"/>
        </w:rPr>
        <w:t xml:space="preserve">. </w:t>
      </w:r>
      <w:r w:rsidRPr="00C85907">
        <w:rPr>
          <w:kern w:val="28"/>
        </w:rPr>
        <w:t xml:space="preserve">Leaching is a process </w:t>
      </w:r>
      <w:r>
        <w:rPr>
          <w:kern w:val="28"/>
        </w:rPr>
        <w:t>that</w:t>
      </w:r>
      <w:r w:rsidRPr="00C85907">
        <w:rPr>
          <w:kern w:val="28"/>
        </w:rPr>
        <w:t xml:space="preserve"> removes readily soluble soil components such as salinity from soils</w:t>
      </w:r>
      <w:r>
        <w:rPr>
          <w:kern w:val="28"/>
        </w:rPr>
        <w:t xml:space="preserve">. </w:t>
      </w:r>
      <w:r w:rsidRPr="00C85907">
        <w:rPr>
          <w:kern w:val="28"/>
        </w:rPr>
        <w:t>Most laborator</w:t>
      </w:r>
      <w:r>
        <w:rPr>
          <w:kern w:val="28"/>
        </w:rPr>
        <w:t>y-</w:t>
      </w:r>
      <w:r w:rsidRPr="00C85907">
        <w:rPr>
          <w:kern w:val="28"/>
        </w:rPr>
        <w:t xml:space="preserve">spiked toxicity tests do not leach the soils after the spiking and this has the effect of </w:t>
      </w:r>
      <w:r w:rsidRPr="00C85907">
        <w:rPr>
          <w:lang w:eastAsia="ja-JP"/>
        </w:rPr>
        <w:t>increasing the ionic strength, decreasing soil pH, increasing aqueous concentrations of dissolved cations (such as Ca, Mg, K, Cd, Cu, Ni, Pb, etc.) and anions (Cl, SO</w:t>
      </w:r>
      <w:r w:rsidRPr="00C85907">
        <w:rPr>
          <w:vertAlign w:val="subscript"/>
          <w:lang w:eastAsia="ja-JP"/>
        </w:rPr>
        <w:t>4</w:t>
      </w:r>
      <w:r w:rsidRPr="00C85907">
        <w:rPr>
          <w:lang w:eastAsia="ja-JP"/>
        </w:rPr>
        <w:t>, NO</w:t>
      </w:r>
      <w:r w:rsidRPr="00C85907">
        <w:rPr>
          <w:vertAlign w:val="subscript"/>
          <w:lang w:eastAsia="ja-JP"/>
        </w:rPr>
        <w:t>3</w:t>
      </w:r>
      <w:r w:rsidRPr="00C85907">
        <w:rPr>
          <w:lang w:eastAsia="ja-JP"/>
        </w:rPr>
        <w:t>, etc.)</w:t>
      </w:r>
      <w:r>
        <w:rPr>
          <w:lang w:eastAsia="ja-JP"/>
        </w:rPr>
        <w:t>,</w:t>
      </w:r>
      <w:r w:rsidRPr="00C85907">
        <w:rPr>
          <w:lang w:eastAsia="ja-JP"/>
        </w:rPr>
        <w:t xml:space="preserve"> and ultimately increasing the toxicity</w:t>
      </w:r>
      <w:r>
        <w:rPr>
          <w:lang w:eastAsia="ja-JP"/>
        </w:rPr>
        <w:t xml:space="preserve"> (Stevens et al. 2003). </w:t>
      </w:r>
      <w:r>
        <w:t>A</w:t>
      </w:r>
      <w:r w:rsidRPr="00C85907">
        <w:t xml:space="preserve"> study by Oorts et al. (2006) examined the magnitude of the ageing and leaching effects on the toxicity of Cu and concluded that leaching accounts for the majority of the observed difference in toxicity between freshly spiked and aged soils</w:t>
      </w:r>
      <w:r>
        <w:t xml:space="preserve">. </w:t>
      </w:r>
      <w:r w:rsidRPr="00C85907">
        <w:t>A</w:t>
      </w:r>
      <w:r>
        <w:t xml:space="preserve"> </w:t>
      </w:r>
      <w:r w:rsidRPr="00C85907">
        <w:t xml:space="preserve">study by </w:t>
      </w:r>
      <w:r w:rsidRPr="00444D83">
        <w:t>Smolders et al. (2009), the findings of which have been incorporated into the Flemish SQGs (VLAREBO 2008),</w:t>
      </w:r>
      <w:r w:rsidRPr="00C85907">
        <w:t xml:space="preserve"> derived ageing/leaching factors </w:t>
      </w:r>
      <w:r>
        <w:t xml:space="preserve">(ALFs) </w:t>
      </w:r>
      <w:r w:rsidRPr="00C85907">
        <w:t>for Zn</w:t>
      </w:r>
      <w:r w:rsidRPr="00C85907">
        <w:rPr>
          <w:vertAlign w:val="superscript"/>
        </w:rPr>
        <w:t xml:space="preserve">2+ </w:t>
      </w:r>
      <w:r w:rsidRPr="00C85907">
        <w:t>(3), Cu</w:t>
      </w:r>
      <w:r w:rsidRPr="00C85907">
        <w:rPr>
          <w:vertAlign w:val="superscript"/>
        </w:rPr>
        <w:t xml:space="preserve">2+ </w:t>
      </w:r>
      <w:r w:rsidRPr="00C85907">
        <w:t>(2), Ni</w:t>
      </w:r>
      <w:r w:rsidRPr="00C85907">
        <w:rPr>
          <w:vertAlign w:val="superscript"/>
        </w:rPr>
        <w:t xml:space="preserve">2+ </w:t>
      </w:r>
      <w:r w:rsidRPr="00C85907">
        <w:t>(1</w:t>
      </w:r>
      <w:r>
        <w:sym w:font="Symbol" w:char="F02D"/>
      </w:r>
      <w:r w:rsidRPr="00C85907">
        <w:t>3), Co</w:t>
      </w:r>
      <w:r w:rsidRPr="00C85907">
        <w:rPr>
          <w:vertAlign w:val="superscript"/>
        </w:rPr>
        <w:t xml:space="preserve">2+ </w:t>
      </w:r>
      <w:r w:rsidRPr="00C85907">
        <w:t>(1.1</w:t>
      </w:r>
      <w:r>
        <w:sym w:font="Symbol" w:char="F02D"/>
      </w:r>
      <w:r w:rsidRPr="00C85907">
        <w:t>3.5), Pb</w:t>
      </w:r>
      <w:r w:rsidRPr="00C85907">
        <w:rPr>
          <w:vertAlign w:val="superscript"/>
        </w:rPr>
        <w:t xml:space="preserve">2+ </w:t>
      </w:r>
      <w:r w:rsidRPr="00C85907">
        <w:t>(4.2), Cd</w:t>
      </w:r>
      <w:r w:rsidRPr="00C85907">
        <w:rPr>
          <w:vertAlign w:val="superscript"/>
        </w:rPr>
        <w:t>2+</w:t>
      </w:r>
      <w:r w:rsidRPr="00C85907">
        <w:t xml:space="preserve"> (1) based on toxicity measures in </w:t>
      </w:r>
      <w:r>
        <w:t xml:space="preserve">a variety of European </w:t>
      </w:r>
      <w:r w:rsidRPr="00C85907">
        <w:t>field and freshly spiked soils</w:t>
      </w:r>
      <w:r>
        <w:t>.</w:t>
      </w:r>
    </w:p>
    <w:p w:rsidR="00145F69" w:rsidRDefault="00145F69" w:rsidP="006C2E16"/>
    <w:p w:rsidR="006C2E16" w:rsidRDefault="006C2E16" w:rsidP="006C2E16">
      <w:r w:rsidRPr="00C85907">
        <w:t xml:space="preserve">This is the only study </w:t>
      </w:r>
      <w:r>
        <w:t>that</w:t>
      </w:r>
      <w:r w:rsidRPr="00C85907">
        <w:t xml:space="preserve"> has generated such </w:t>
      </w:r>
      <w:r>
        <w:t>ALF</w:t>
      </w:r>
      <w:r w:rsidRPr="00C85907">
        <w:t>s</w:t>
      </w:r>
      <w:r>
        <w:t xml:space="preserve"> across a wide range of soils and ecotoxicity end points. These ALFs were developed based on a maximum of 18 months ageing and leaching (Smolders et al. 2009). T</w:t>
      </w:r>
      <w:r w:rsidRPr="00C85907">
        <w:t xml:space="preserve">hese </w:t>
      </w:r>
      <w:r>
        <w:t>ALFs should</w:t>
      </w:r>
      <w:r w:rsidRPr="00C85907">
        <w:t xml:space="preserve"> be used in deriving EILs when the contaminants have been present in the soil for at least 2 years</w:t>
      </w:r>
      <w:r>
        <w:t xml:space="preserve">. </w:t>
      </w:r>
      <w:r w:rsidRPr="00C85907">
        <w:t>This would be achieved by multiplying the non-aged and non-leached toxicity data by the appropriate ag</w:t>
      </w:r>
      <w:r>
        <w:t>e</w:t>
      </w:r>
      <w:r w:rsidRPr="00C85907">
        <w:t xml:space="preserve">ing/leaching factor, thus decreasing their </w:t>
      </w:r>
      <w:r>
        <w:t xml:space="preserve">’effective‘ </w:t>
      </w:r>
      <w:r w:rsidRPr="00C85907">
        <w:t>toxicity</w:t>
      </w:r>
      <w:r>
        <w:t>. Thus, EILs for both fresh (contaminants have been in the soil for less than 2 years) and aged (the contaminants have been in the soil for greater than 2 years) contamination can be derived.</w:t>
      </w:r>
    </w:p>
    <w:p w:rsidR="006C2E16" w:rsidRPr="00C85907" w:rsidRDefault="006C2E16" w:rsidP="006C2E16">
      <w:r>
        <w:t xml:space="preserve">Currently, there are very few ALFs available, particularly for Australian soils. There are no ALFs for organic chemicals. When ALFs are not available, it is not possible to derive EILs for aged contamination. In such cases, there are two potential approaches. Firstly, conduct research to derive ALFs for the contaminant of concern or, secondly, conduct direct toxicity assessments (DTA) using soil from the site under investigation. If sufficient toxicity tests are conducted, then site-specific EILs could be derived in much the same manner as deriving site-specific WQGs (ANZECC &amp; ARMCANZ 2000). </w:t>
      </w:r>
    </w:p>
    <w:p w:rsidR="006C2E16" w:rsidRPr="001E57DD" w:rsidRDefault="006C2E16" w:rsidP="001C6BE7">
      <w:pPr>
        <w:pStyle w:val="Heading3"/>
      </w:pPr>
      <w:bookmarkStart w:id="91" w:name="_Toc255359975"/>
      <w:bookmarkStart w:id="92" w:name="_Toc269122449"/>
      <w:bookmarkStart w:id="93" w:name="_Toc351713145"/>
      <w:r>
        <w:t>Comparison of available toxicity data to the minimum data requirements</w:t>
      </w:r>
      <w:bookmarkEnd w:id="91"/>
      <w:bookmarkEnd w:id="92"/>
      <w:bookmarkEnd w:id="93"/>
      <w:r w:rsidRPr="001E57DD">
        <w:t xml:space="preserve"> </w:t>
      </w:r>
    </w:p>
    <w:p w:rsidR="006C2E16" w:rsidRDefault="006C2E16" w:rsidP="006C2E16">
      <w:pPr>
        <w:rPr>
          <w:kern w:val="28"/>
        </w:rPr>
      </w:pPr>
      <w:r>
        <w:rPr>
          <w:kern w:val="28"/>
        </w:rPr>
        <w:t>There are two potential methods that can be used to derive ACLs:  the AF method —</w:t>
      </w:r>
      <w:r w:rsidRPr="00940EBC">
        <w:rPr>
          <w:kern w:val="28"/>
        </w:rPr>
        <w:t xml:space="preserve"> </w:t>
      </w:r>
      <w:r>
        <w:rPr>
          <w:kern w:val="28"/>
        </w:rPr>
        <w:t>a worst-case scenario</w:t>
      </w:r>
      <w:r w:rsidRPr="00940EBC">
        <w:rPr>
          <w:kern w:val="28"/>
        </w:rPr>
        <w:t xml:space="preserve"> approach</w:t>
      </w:r>
      <w:r>
        <w:rPr>
          <w:kern w:val="28"/>
        </w:rPr>
        <w:t xml:space="preserve">, and the SSD method — a risk-based approach. Both approaches require a minimum amount of toxicity data to derive EILs. The preferred methodology to calculate EILs is the SSD approach because this is a risk-based approach. However, which method is used to derive EILs depends on the number of species and taxonomic groups for which there are toxicity data (see Table 9 below). </w:t>
      </w:r>
    </w:p>
    <w:p w:rsidR="00145F69" w:rsidRDefault="00145F69" w:rsidP="006C2E16"/>
    <w:p w:rsidR="006C2E16" w:rsidRDefault="006C2E16" w:rsidP="006C2E16">
      <w:pPr>
        <w:rPr>
          <w:kern w:val="28"/>
        </w:rPr>
      </w:pPr>
      <w:r>
        <w:rPr>
          <w:kern w:val="28"/>
        </w:rPr>
        <w:t xml:space="preserve">Unlike the toxicity data for terrestrial species, toxicity data for soil processes is not based on single species but rather a community of microbial species that perform that soil process. Thus, strictly speaking, it is not suitable for use in SSD methods. However, these processes are important measures </w:t>
      </w:r>
      <w:r>
        <w:rPr>
          <w:kern w:val="28"/>
        </w:rPr>
        <w:lastRenderedPageBreak/>
        <w:t xml:space="preserve">of soil ecosystem health and should be protected. </w:t>
      </w:r>
      <w:r w:rsidRPr="008217DB">
        <w:rPr>
          <w:kern w:val="28"/>
        </w:rPr>
        <w:t xml:space="preserve">The preferred method for deriving EILs </w:t>
      </w:r>
      <w:r>
        <w:rPr>
          <w:kern w:val="28"/>
        </w:rPr>
        <w:t>is</w:t>
      </w:r>
      <w:r w:rsidRPr="008217DB">
        <w:rPr>
          <w:kern w:val="28"/>
        </w:rPr>
        <w:t xml:space="preserve"> therefore </w:t>
      </w:r>
      <w:r>
        <w:rPr>
          <w:kern w:val="28"/>
        </w:rPr>
        <w:t xml:space="preserve">to </w:t>
      </w:r>
      <w:r w:rsidRPr="008217DB">
        <w:rPr>
          <w:kern w:val="28"/>
        </w:rPr>
        <w:t xml:space="preserve">use the normal single species toxicity data but also soil process toxicity data. </w:t>
      </w:r>
    </w:p>
    <w:p w:rsidR="00145F69" w:rsidRDefault="00145F69" w:rsidP="006C2E16">
      <w:pPr>
        <w:rPr>
          <w:kern w:val="28"/>
        </w:rPr>
      </w:pPr>
    </w:p>
    <w:p w:rsidR="006C2E16" w:rsidRDefault="006C2E16" w:rsidP="006C2E16">
      <w:pPr>
        <w:rPr>
          <w:kern w:val="28"/>
        </w:rPr>
      </w:pPr>
      <w:r>
        <w:rPr>
          <w:kern w:val="28"/>
        </w:rPr>
        <w:t xml:space="preserve">SSD methods require a minimum set of toxicity </w:t>
      </w:r>
      <w:r w:rsidRPr="00526188">
        <w:rPr>
          <w:kern w:val="28"/>
        </w:rPr>
        <w:t xml:space="preserve">data for </w:t>
      </w:r>
      <w:r>
        <w:rPr>
          <w:kern w:val="28"/>
        </w:rPr>
        <w:t xml:space="preserve">the </w:t>
      </w:r>
      <w:r w:rsidRPr="00526188">
        <w:rPr>
          <w:kern w:val="28"/>
        </w:rPr>
        <w:t>aquatic environment</w:t>
      </w:r>
      <w:r>
        <w:rPr>
          <w:kern w:val="28"/>
        </w:rPr>
        <w:t>, which is usually specified in terms of a minimum number of species and taxonomic groups for which data is required. However, such an approach is not suitable for soil processes where the desirable data types are the number of soil processes and the number of nutrient groups.</w:t>
      </w:r>
    </w:p>
    <w:p w:rsidR="00145F69" w:rsidRDefault="00145F69" w:rsidP="006C2E16">
      <w:pPr>
        <w:rPr>
          <w:kern w:val="28"/>
        </w:rPr>
      </w:pPr>
    </w:p>
    <w:p w:rsidR="006C2E16" w:rsidRDefault="006C2E16" w:rsidP="006C2E16">
      <w:pPr>
        <w:rPr>
          <w:kern w:val="28"/>
        </w:rPr>
      </w:pPr>
      <w:r>
        <w:rPr>
          <w:kern w:val="28"/>
        </w:rPr>
        <w:t>A nutrient group is considered to be all toxicity end points measured that relate to a particular nutrient (see Table 11 below). For example, toxicity data for substrate-induced nitrification, potential nitrification rate and denitrification would all belong to the nitrogen nutrient group.</w:t>
      </w:r>
    </w:p>
    <w:p w:rsidR="00145F69" w:rsidRDefault="00145F69" w:rsidP="006C2E16">
      <w:pPr>
        <w:rPr>
          <w:kern w:val="28"/>
        </w:rPr>
      </w:pPr>
    </w:p>
    <w:p w:rsidR="006C2E16" w:rsidRDefault="006C2E16" w:rsidP="006C2E16">
      <w:pPr>
        <w:rPr>
          <w:kern w:val="28"/>
        </w:rPr>
      </w:pPr>
      <w:r>
        <w:rPr>
          <w:kern w:val="28"/>
        </w:rPr>
        <w:t xml:space="preserve">As the number of species and taxonomic groups or soil processes and nutrient groups for which toxicity data is available decreases, the confidence that the resulting EIL will provide the desired level of protection also decreases. In an attempt to compensate for this, the percentage of species and/or soil processes to be protected by the EILs increases as the number of species or soil processes and taxonomic groups or nutrient groups for which toxicity data is available decreases (see Table 9 below). </w:t>
      </w:r>
    </w:p>
    <w:p w:rsidR="006C2E16" w:rsidRDefault="006C2E16" w:rsidP="006C2E16">
      <w:pPr>
        <w:pStyle w:val="Caption"/>
        <w:rPr>
          <w:kern w:val="28"/>
        </w:rPr>
      </w:pPr>
      <w:r w:rsidRPr="00363524">
        <w:rPr>
          <w:kern w:val="28"/>
        </w:rPr>
        <w:t>Table 9. Number of species or functional processes and number of taxonomic groups or nutrient groups needed for the SSD and AF approaches and the corresponding level of protection provided for residential land. The same principle of increasing the level of protection as the amount of toxicity data decreases also applies to other soil quality guidelines and for other land uses (i.e. the default level of protection would increase by 5% if there w</w:t>
      </w:r>
      <w:r>
        <w:rPr>
          <w:kern w:val="28"/>
        </w:rPr>
        <w:t>as</w:t>
      </w:r>
      <w:r w:rsidRPr="00363524">
        <w:rPr>
          <w:kern w:val="28"/>
        </w:rPr>
        <w:t xml:space="preserve"> data for 5 to 8 species or functional processes)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1620"/>
        <w:gridCol w:w="2700"/>
      </w:tblGrid>
      <w:tr w:rsidR="006C2E16" w:rsidRPr="004D0467" w:rsidTr="00A10D4B">
        <w:trPr>
          <w:trHeight w:val="340"/>
          <w:jc w:val="center"/>
        </w:trPr>
        <w:tc>
          <w:tcPr>
            <w:tcW w:w="2520" w:type="dxa"/>
            <w:shd w:val="clear" w:color="auto" w:fill="C6D9F1" w:themeFill="text2" w:themeFillTint="33"/>
          </w:tcPr>
          <w:p w:rsidR="006C2E16" w:rsidRPr="004D0467" w:rsidRDefault="006C2E16" w:rsidP="00A10D4B">
            <w:pPr>
              <w:pStyle w:val="BodyText2"/>
              <w:rPr>
                <w:b/>
                <w:bCs/>
                <w:kern w:val="28"/>
                <w:sz w:val="22"/>
                <w:szCs w:val="22"/>
              </w:rPr>
            </w:pPr>
            <w:r w:rsidRPr="004D0467">
              <w:rPr>
                <w:b/>
                <w:bCs/>
                <w:kern w:val="28"/>
                <w:sz w:val="22"/>
                <w:szCs w:val="22"/>
              </w:rPr>
              <w:t>Number of species or functional processes</w:t>
            </w:r>
          </w:p>
        </w:tc>
        <w:tc>
          <w:tcPr>
            <w:tcW w:w="2160" w:type="dxa"/>
            <w:shd w:val="clear" w:color="auto" w:fill="C6D9F1" w:themeFill="text2" w:themeFillTint="33"/>
            <w:vAlign w:val="bottom"/>
          </w:tcPr>
          <w:p w:rsidR="006C2E16" w:rsidRPr="004D0467" w:rsidRDefault="006C2E16" w:rsidP="00A10D4B">
            <w:pPr>
              <w:pStyle w:val="BodyText2"/>
              <w:rPr>
                <w:b/>
                <w:bCs/>
                <w:kern w:val="28"/>
                <w:sz w:val="22"/>
                <w:szCs w:val="22"/>
              </w:rPr>
            </w:pPr>
            <w:r w:rsidRPr="004D0467">
              <w:rPr>
                <w:b/>
                <w:bCs/>
                <w:kern w:val="28"/>
                <w:sz w:val="22"/>
                <w:szCs w:val="22"/>
              </w:rPr>
              <w:t>Number of taxonomic or nutrient groups</w:t>
            </w:r>
          </w:p>
        </w:tc>
        <w:tc>
          <w:tcPr>
            <w:tcW w:w="1620" w:type="dxa"/>
            <w:shd w:val="clear" w:color="auto" w:fill="C6D9F1" w:themeFill="text2" w:themeFillTint="33"/>
            <w:vAlign w:val="bottom"/>
          </w:tcPr>
          <w:p w:rsidR="006C2E16" w:rsidRPr="004D0467" w:rsidRDefault="006C2E16" w:rsidP="00A10D4B">
            <w:pPr>
              <w:pStyle w:val="BodyText2"/>
              <w:rPr>
                <w:b/>
                <w:bCs/>
                <w:kern w:val="28"/>
                <w:sz w:val="22"/>
                <w:szCs w:val="22"/>
              </w:rPr>
            </w:pPr>
            <w:r w:rsidRPr="004D0467">
              <w:rPr>
                <w:b/>
                <w:bCs/>
                <w:kern w:val="28"/>
                <w:sz w:val="22"/>
                <w:szCs w:val="22"/>
              </w:rPr>
              <w:t>Methodology to derive EIL</w:t>
            </w:r>
          </w:p>
        </w:tc>
        <w:tc>
          <w:tcPr>
            <w:tcW w:w="2700" w:type="dxa"/>
            <w:shd w:val="clear" w:color="auto" w:fill="C6D9F1" w:themeFill="text2" w:themeFillTint="33"/>
          </w:tcPr>
          <w:p w:rsidR="006C2E16" w:rsidRPr="004D0467" w:rsidRDefault="006C2E16" w:rsidP="00A10D4B">
            <w:pPr>
              <w:pStyle w:val="BodyText2"/>
              <w:rPr>
                <w:b/>
                <w:bCs/>
                <w:kern w:val="28"/>
                <w:sz w:val="22"/>
                <w:szCs w:val="22"/>
              </w:rPr>
            </w:pPr>
            <w:r w:rsidRPr="004D0467">
              <w:rPr>
                <w:b/>
                <w:bCs/>
                <w:kern w:val="28"/>
                <w:sz w:val="22"/>
                <w:szCs w:val="22"/>
              </w:rPr>
              <w:t>Percentage of species to be protected</w:t>
            </w:r>
          </w:p>
        </w:tc>
      </w:tr>
      <w:tr w:rsidR="006C2E16" w:rsidRPr="004D0467" w:rsidTr="00A10D4B">
        <w:trPr>
          <w:trHeight w:val="340"/>
          <w:jc w:val="center"/>
        </w:trPr>
        <w:tc>
          <w:tcPr>
            <w:tcW w:w="2520" w:type="dxa"/>
            <w:vAlign w:val="bottom"/>
          </w:tcPr>
          <w:p w:rsidR="006C2E16" w:rsidRPr="004D0467" w:rsidRDefault="006C2E16" w:rsidP="00A10D4B">
            <w:pPr>
              <w:pStyle w:val="BodyText2"/>
              <w:rPr>
                <w:kern w:val="28"/>
                <w:sz w:val="22"/>
                <w:szCs w:val="22"/>
              </w:rPr>
            </w:pPr>
            <w:r w:rsidRPr="004D0467">
              <w:rPr>
                <w:rFonts w:cs="Times New Roman"/>
                <w:kern w:val="28"/>
                <w:sz w:val="22"/>
                <w:szCs w:val="22"/>
              </w:rPr>
              <w:t>≥</w:t>
            </w:r>
            <w:r w:rsidRPr="004D0467">
              <w:rPr>
                <w:kern w:val="28"/>
                <w:sz w:val="22"/>
                <w:szCs w:val="22"/>
              </w:rPr>
              <w:t>9</w:t>
            </w:r>
          </w:p>
        </w:tc>
        <w:tc>
          <w:tcPr>
            <w:tcW w:w="2160" w:type="dxa"/>
            <w:vAlign w:val="bottom"/>
          </w:tcPr>
          <w:p w:rsidR="006C2E16" w:rsidRPr="004D0467" w:rsidRDefault="006C2E16" w:rsidP="00A10D4B">
            <w:pPr>
              <w:pStyle w:val="BodyText2"/>
              <w:rPr>
                <w:kern w:val="28"/>
                <w:sz w:val="22"/>
                <w:szCs w:val="22"/>
              </w:rPr>
            </w:pPr>
            <w:r w:rsidRPr="004D0467">
              <w:rPr>
                <w:rFonts w:cs="Times New Roman"/>
                <w:kern w:val="28"/>
                <w:sz w:val="22"/>
                <w:szCs w:val="22"/>
              </w:rPr>
              <w:t>≥</w:t>
            </w:r>
            <w:r w:rsidRPr="004D0467">
              <w:rPr>
                <w:kern w:val="28"/>
                <w:sz w:val="22"/>
                <w:szCs w:val="22"/>
              </w:rPr>
              <w:t xml:space="preserve">3 </w:t>
            </w:r>
          </w:p>
        </w:tc>
        <w:tc>
          <w:tcPr>
            <w:tcW w:w="1620" w:type="dxa"/>
            <w:vAlign w:val="bottom"/>
          </w:tcPr>
          <w:p w:rsidR="006C2E16" w:rsidRPr="004D0467" w:rsidRDefault="006C2E16" w:rsidP="00A10D4B">
            <w:pPr>
              <w:pStyle w:val="BodyText2"/>
              <w:rPr>
                <w:kern w:val="28"/>
                <w:sz w:val="22"/>
                <w:szCs w:val="22"/>
              </w:rPr>
            </w:pPr>
            <w:r w:rsidRPr="004D0467">
              <w:rPr>
                <w:kern w:val="28"/>
                <w:sz w:val="22"/>
                <w:szCs w:val="22"/>
              </w:rPr>
              <w:t>SSD Burr III</w:t>
            </w:r>
          </w:p>
        </w:tc>
        <w:tc>
          <w:tcPr>
            <w:tcW w:w="2700" w:type="dxa"/>
            <w:vAlign w:val="bottom"/>
          </w:tcPr>
          <w:p w:rsidR="006C2E16" w:rsidRPr="004D0467" w:rsidRDefault="006C2E16" w:rsidP="00A10D4B">
            <w:pPr>
              <w:pStyle w:val="BodyText2"/>
              <w:rPr>
                <w:kern w:val="28"/>
                <w:sz w:val="22"/>
                <w:szCs w:val="22"/>
              </w:rPr>
            </w:pPr>
            <w:r w:rsidRPr="004D0467">
              <w:rPr>
                <w:kern w:val="28"/>
                <w:sz w:val="22"/>
                <w:szCs w:val="22"/>
              </w:rPr>
              <w:t>80%</w:t>
            </w:r>
            <w:r w:rsidRPr="004D0467">
              <w:rPr>
                <w:b/>
                <w:bCs/>
                <w:kern w:val="28"/>
                <w:sz w:val="22"/>
                <w:szCs w:val="22"/>
                <w:vertAlign w:val="superscript"/>
              </w:rPr>
              <w:t xml:space="preserve"> a</w:t>
            </w:r>
          </w:p>
        </w:tc>
      </w:tr>
      <w:tr w:rsidR="006C2E16" w:rsidRPr="004D0467" w:rsidTr="00A10D4B">
        <w:trPr>
          <w:trHeight w:val="340"/>
          <w:jc w:val="center"/>
        </w:trPr>
        <w:tc>
          <w:tcPr>
            <w:tcW w:w="2520" w:type="dxa"/>
            <w:vAlign w:val="bottom"/>
          </w:tcPr>
          <w:p w:rsidR="006C2E16" w:rsidRPr="004D0467" w:rsidRDefault="006C2E16" w:rsidP="00A10D4B">
            <w:pPr>
              <w:pStyle w:val="BodyText2"/>
              <w:rPr>
                <w:kern w:val="28"/>
                <w:sz w:val="22"/>
                <w:szCs w:val="22"/>
              </w:rPr>
            </w:pPr>
            <w:r w:rsidRPr="004D0467">
              <w:rPr>
                <w:kern w:val="28"/>
                <w:sz w:val="22"/>
                <w:szCs w:val="22"/>
              </w:rPr>
              <w:t>5</w:t>
            </w:r>
            <w:r w:rsidRPr="004D0467">
              <w:rPr>
                <w:kern w:val="28"/>
                <w:sz w:val="22"/>
                <w:szCs w:val="22"/>
              </w:rPr>
              <w:sym w:font="Symbol" w:char="F02D"/>
            </w:r>
            <w:r w:rsidRPr="004D0467">
              <w:rPr>
                <w:kern w:val="28"/>
                <w:sz w:val="22"/>
                <w:szCs w:val="22"/>
              </w:rPr>
              <w:t>8</w:t>
            </w:r>
          </w:p>
        </w:tc>
        <w:tc>
          <w:tcPr>
            <w:tcW w:w="2160" w:type="dxa"/>
            <w:vAlign w:val="bottom"/>
          </w:tcPr>
          <w:p w:rsidR="006C2E16" w:rsidRPr="004D0467" w:rsidRDefault="006C2E16" w:rsidP="00A10D4B">
            <w:pPr>
              <w:pStyle w:val="BodyText2"/>
              <w:rPr>
                <w:kern w:val="28"/>
                <w:sz w:val="22"/>
                <w:szCs w:val="22"/>
              </w:rPr>
            </w:pPr>
            <w:r w:rsidRPr="004D0467">
              <w:rPr>
                <w:rFonts w:cs="Times New Roman"/>
                <w:kern w:val="28"/>
                <w:sz w:val="22"/>
                <w:szCs w:val="22"/>
              </w:rPr>
              <w:t>≥</w:t>
            </w:r>
            <w:r w:rsidRPr="004D0467">
              <w:rPr>
                <w:kern w:val="28"/>
                <w:sz w:val="22"/>
                <w:szCs w:val="22"/>
              </w:rPr>
              <w:t xml:space="preserve">3 </w:t>
            </w:r>
          </w:p>
        </w:tc>
        <w:tc>
          <w:tcPr>
            <w:tcW w:w="1620" w:type="dxa"/>
            <w:vAlign w:val="bottom"/>
          </w:tcPr>
          <w:p w:rsidR="006C2E16" w:rsidRPr="004D0467" w:rsidRDefault="006C2E16" w:rsidP="00A10D4B">
            <w:pPr>
              <w:pStyle w:val="BodyText2"/>
              <w:rPr>
                <w:kern w:val="28"/>
                <w:sz w:val="22"/>
                <w:szCs w:val="22"/>
              </w:rPr>
            </w:pPr>
            <w:r w:rsidRPr="004D0467">
              <w:rPr>
                <w:kern w:val="28"/>
                <w:sz w:val="22"/>
                <w:szCs w:val="22"/>
              </w:rPr>
              <w:t>SSD Burr III</w:t>
            </w:r>
          </w:p>
        </w:tc>
        <w:tc>
          <w:tcPr>
            <w:tcW w:w="2700" w:type="dxa"/>
            <w:vAlign w:val="bottom"/>
          </w:tcPr>
          <w:p w:rsidR="006C2E16" w:rsidRPr="004D0467" w:rsidRDefault="006C2E16" w:rsidP="00A10D4B">
            <w:pPr>
              <w:pStyle w:val="BodyText2"/>
              <w:rPr>
                <w:kern w:val="28"/>
                <w:sz w:val="22"/>
                <w:szCs w:val="22"/>
              </w:rPr>
            </w:pPr>
            <w:r w:rsidRPr="004D0467">
              <w:rPr>
                <w:kern w:val="28"/>
                <w:sz w:val="22"/>
                <w:szCs w:val="22"/>
              </w:rPr>
              <w:t>85%</w:t>
            </w:r>
            <w:r w:rsidRPr="004D0467">
              <w:rPr>
                <w:b/>
                <w:bCs/>
                <w:kern w:val="28"/>
                <w:sz w:val="22"/>
                <w:szCs w:val="22"/>
                <w:vertAlign w:val="superscript"/>
              </w:rPr>
              <w:t xml:space="preserve"> a</w:t>
            </w:r>
          </w:p>
        </w:tc>
      </w:tr>
      <w:tr w:rsidR="006C2E16" w:rsidRPr="004D0467" w:rsidTr="00A10D4B">
        <w:trPr>
          <w:trHeight w:val="340"/>
          <w:jc w:val="center"/>
        </w:trPr>
        <w:tc>
          <w:tcPr>
            <w:tcW w:w="2520" w:type="dxa"/>
            <w:vAlign w:val="bottom"/>
          </w:tcPr>
          <w:p w:rsidR="006C2E16" w:rsidRPr="004D0467" w:rsidRDefault="006C2E16" w:rsidP="00A10D4B">
            <w:pPr>
              <w:pStyle w:val="BodyText2"/>
              <w:rPr>
                <w:kern w:val="28"/>
                <w:sz w:val="22"/>
                <w:szCs w:val="22"/>
              </w:rPr>
            </w:pPr>
            <w:r w:rsidRPr="004D0467">
              <w:rPr>
                <w:kern w:val="28"/>
                <w:sz w:val="22"/>
                <w:szCs w:val="22"/>
              </w:rPr>
              <w:t>3</w:t>
            </w:r>
            <w:r w:rsidRPr="004D0467">
              <w:rPr>
                <w:kern w:val="28"/>
                <w:sz w:val="22"/>
                <w:szCs w:val="22"/>
              </w:rPr>
              <w:sym w:font="Symbol" w:char="F02D"/>
            </w:r>
            <w:r w:rsidRPr="004D0467">
              <w:rPr>
                <w:kern w:val="28"/>
                <w:sz w:val="22"/>
                <w:szCs w:val="22"/>
              </w:rPr>
              <w:t>8</w:t>
            </w:r>
          </w:p>
        </w:tc>
        <w:tc>
          <w:tcPr>
            <w:tcW w:w="2160" w:type="dxa"/>
            <w:vAlign w:val="bottom"/>
          </w:tcPr>
          <w:p w:rsidR="006C2E16" w:rsidRPr="004D0467" w:rsidRDefault="006C2E16" w:rsidP="00A10D4B">
            <w:pPr>
              <w:pStyle w:val="BodyText2"/>
              <w:rPr>
                <w:kern w:val="28"/>
                <w:sz w:val="22"/>
                <w:szCs w:val="22"/>
              </w:rPr>
            </w:pPr>
            <w:r w:rsidRPr="004D0467">
              <w:rPr>
                <w:kern w:val="28"/>
                <w:sz w:val="22"/>
                <w:szCs w:val="22"/>
              </w:rPr>
              <w:t xml:space="preserve">&lt;3 </w:t>
            </w:r>
          </w:p>
        </w:tc>
        <w:tc>
          <w:tcPr>
            <w:tcW w:w="1620" w:type="dxa"/>
            <w:vAlign w:val="bottom"/>
          </w:tcPr>
          <w:p w:rsidR="006C2E16" w:rsidRPr="004D0467" w:rsidRDefault="006C2E16" w:rsidP="00A10D4B">
            <w:pPr>
              <w:pStyle w:val="BodyText2"/>
              <w:rPr>
                <w:kern w:val="28"/>
                <w:sz w:val="22"/>
                <w:szCs w:val="22"/>
              </w:rPr>
            </w:pPr>
            <w:r w:rsidRPr="004D0467">
              <w:rPr>
                <w:kern w:val="28"/>
                <w:sz w:val="22"/>
                <w:szCs w:val="22"/>
              </w:rPr>
              <w:t>AF</w:t>
            </w:r>
          </w:p>
        </w:tc>
        <w:tc>
          <w:tcPr>
            <w:tcW w:w="2700" w:type="dxa"/>
            <w:vAlign w:val="bottom"/>
          </w:tcPr>
          <w:p w:rsidR="006C2E16" w:rsidRPr="004D0467" w:rsidRDefault="006C2E16" w:rsidP="00A10D4B">
            <w:pPr>
              <w:pStyle w:val="BodyText2"/>
              <w:rPr>
                <w:kern w:val="28"/>
                <w:sz w:val="22"/>
                <w:szCs w:val="22"/>
              </w:rPr>
            </w:pPr>
            <w:r w:rsidRPr="004D0467">
              <w:rPr>
                <w:kern w:val="28"/>
                <w:sz w:val="22"/>
                <w:szCs w:val="22"/>
              </w:rPr>
              <w:t>Not relevant</w:t>
            </w:r>
            <w:r w:rsidRPr="004D0467">
              <w:rPr>
                <w:b/>
                <w:bCs/>
                <w:kern w:val="28"/>
                <w:sz w:val="22"/>
                <w:szCs w:val="22"/>
                <w:vertAlign w:val="superscript"/>
              </w:rPr>
              <w:t>b</w:t>
            </w:r>
          </w:p>
        </w:tc>
      </w:tr>
    </w:tbl>
    <w:p w:rsidR="006C2E16" w:rsidRPr="003B3736" w:rsidRDefault="006C2E16" w:rsidP="001C6BE7">
      <w:pPr>
        <w:pStyle w:val="text"/>
      </w:pPr>
      <w:r w:rsidRPr="003B3736">
        <w:rPr>
          <w:vertAlign w:val="superscript"/>
        </w:rPr>
        <w:t>a</w:t>
      </w:r>
      <w:r>
        <w:t xml:space="preserve"> </w:t>
      </w:r>
      <w:r w:rsidRPr="003B3736">
        <w:t>add 5% to the percentage of the species or soil processes to be protected if the contaminant is a biomagnifier</w:t>
      </w:r>
      <w:r>
        <w:t>.</w:t>
      </w:r>
      <w:r w:rsidRPr="003B3736">
        <w:t xml:space="preserve"> </w:t>
      </w:r>
    </w:p>
    <w:p w:rsidR="006C2E16" w:rsidRPr="003B3736" w:rsidRDefault="006C2E16" w:rsidP="001C6BE7">
      <w:pPr>
        <w:pStyle w:val="text"/>
      </w:pPr>
      <w:r w:rsidRPr="003B3736">
        <w:rPr>
          <w:vertAlign w:val="superscript"/>
        </w:rPr>
        <w:t>b</w:t>
      </w:r>
      <w:r w:rsidRPr="003B3736">
        <w:t xml:space="preserve"> The AF does not determine EILs based on protecting a certain percentage of species</w:t>
      </w:r>
      <w:r>
        <w:t>.</w:t>
      </w:r>
      <w:r w:rsidRPr="003B3736">
        <w:t xml:space="preserve"> </w:t>
      </w:r>
    </w:p>
    <w:p w:rsidR="006C2E16" w:rsidRDefault="006C2E16" w:rsidP="006C2E16"/>
    <w:p w:rsidR="006C2E16" w:rsidRDefault="006C2E16" w:rsidP="006C2E16">
      <w:r>
        <w:t xml:space="preserve">The decision by regulatory agencies about the minimum data requirements is often arbitrary (Pennington 2003) and is based on pragmatic considerations. The US EPA requires at least eight species (US EPA 1999), the Dutch suggests ten species for EQGs (van Vlaardingen &amp; Verbruggen 2007) although some studies have used five species </w:t>
      </w:r>
      <w:r w:rsidRPr="008D5F5D">
        <w:rPr>
          <w:kern w:val="28"/>
        </w:rPr>
        <w:t xml:space="preserve">(Van de Plassche et </w:t>
      </w:r>
      <w:r w:rsidRPr="009023FD">
        <w:rPr>
          <w:kern w:val="28"/>
        </w:rPr>
        <w:t>al. 1993</w:t>
      </w:r>
      <w:r>
        <w:rPr>
          <w:kern w:val="28"/>
        </w:rPr>
        <w:t>; ANZECC &amp; ARMCANZ 2000) and four</w:t>
      </w:r>
      <w:r>
        <w:t xml:space="preserve"> species (Crommentuijn 2000a), and</w:t>
      </w:r>
      <w:r w:rsidRPr="009023FD">
        <w:t xml:space="preserve"> </w:t>
      </w:r>
      <w:r>
        <w:t>between five and eight species (OECD 1992, 1994)</w:t>
      </w:r>
      <w:r>
        <w:rPr>
          <w:kern w:val="28"/>
        </w:rPr>
        <w:t xml:space="preserve">. Since 2000, a number of publications have shown the importance of having larger data sets. For example, </w:t>
      </w:r>
      <w:r>
        <w:t xml:space="preserve">Newman </w:t>
      </w:r>
      <w:r w:rsidRPr="00254DF8">
        <w:t>et al.</w:t>
      </w:r>
      <w:r>
        <w:t xml:space="preserve"> (2000) used non-parametric methods to estimate for 30 toxicants that approximately 15 to 55 (with a median of 30) species were needed per toxicant in order produce reliable EQGs. In another example, Wheeler </w:t>
      </w:r>
      <w:r w:rsidRPr="00254DF8">
        <w:t>et al.</w:t>
      </w:r>
      <w:r>
        <w:t xml:space="preserve"> (2002) estimated that a minimum of 10 to 15 species per toxicant are needed. Subsequently, the European Union (EU) has recommended in the technical guidance document on aquatic risk assessment (ECB 2003) that the minimum toxicity data requirement is ten species that belong to eight taxonomic groups. Thus, while it is preferable to use toxicity data sets containing more species and taxonomic groups (or more soil processes and nutrient groups), this must be weighed against the fact that for soil and terrestrial ecosystems there is a general lack of toxicity data. If it were decided to use the same minimum data requirements as the EU, then EILs could be derived for only a limited amount of contaminants using the preferred SSD method. </w:t>
      </w:r>
      <w:r>
        <w:lastRenderedPageBreak/>
        <w:t>Other contaminants would have to be derived using the second choice AF method, likely to generate highly conservative criteria. It is imperative to acknowledge the situation for terrestrial systems and to set reasonable minimum data requirements for the SSD method, in order that the majority of the EILs are derived by the preferred SSD method.</w:t>
      </w:r>
    </w:p>
    <w:p w:rsidR="00145F69" w:rsidRDefault="00145F69" w:rsidP="006C2E16">
      <w:pPr>
        <w:rPr>
          <w:kern w:val="28"/>
        </w:rPr>
      </w:pPr>
    </w:p>
    <w:p w:rsidR="006C2E16" w:rsidRDefault="006C2E16" w:rsidP="006C2E16">
      <w:pPr>
        <w:rPr>
          <w:kern w:val="28"/>
        </w:rPr>
      </w:pPr>
      <w:r>
        <w:t xml:space="preserve">Studies </w:t>
      </w:r>
      <w:r w:rsidRPr="005802FA">
        <w:t>by the Danish EPA (Pedersen et al</w:t>
      </w:r>
      <w:r>
        <w:t>.</w:t>
      </w:r>
      <w:r w:rsidRPr="005802FA">
        <w:t xml:space="preserve"> 1994) and the OECD (1995) indicated that WQGs derived using data</w:t>
      </w:r>
      <w:r>
        <w:t xml:space="preserve"> </w:t>
      </w:r>
      <w:r w:rsidRPr="005802FA">
        <w:t xml:space="preserve">sets containing less than </w:t>
      </w:r>
      <w:r>
        <w:t>five</w:t>
      </w:r>
      <w:r w:rsidRPr="005802FA">
        <w:t xml:space="preserve"> values were very dependent on the spread of the values, whereas for data</w:t>
      </w:r>
      <w:r>
        <w:t xml:space="preserve"> </w:t>
      </w:r>
      <w:r w:rsidRPr="005802FA">
        <w:t>sets containing five or more values</w:t>
      </w:r>
      <w:r>
        <w:t>,</w:t>
      </w:r>
      <w:r w:rsidRPr="005802FA">
        <w:t xml:space="preserve"> this effect was markedly reduced</w:t>
      </w:r>
      <w:r>
        <w:t xml:space="preserve">. Therefore, the recommended minimum number of species and/or soil processes required to use the SSD approach is five. The minimum number of taxonomic or nutrient groups for toxicity data required in order to use the SSD method was reduced to three. Between five and eight species and/or soil processes, the SSD approach still has a large variation and uncertainty and therefore </w:t>
      </w:r>
      <w:r w:rsidRPr="00704DF0">
        <w:rPr>
          <w:kern w:val="28"/>
        </w:rPr>
        <w:t xml:space="preserve">the </w:t>
      </w:r>
      <w:r>
        <w:rPr>
          <w:kern w:val="28"/>
        </w:rPr>
        <w:t xml:space="preserve">protection level should be increased by </w:t>
      </w:r>
      <w:r w:rsidRPr="00704DF0">
        <w:rPr>
          <w:kern w:val="28"/>
        </w:rPr>
        <w:t xml:space="preserve">5% </w:t>
      </w:r>
      <w:r>
        <w:rPr>
          <w:kern w:val="28"/>
        </w:rPr>
        <w:t xml:space="preserve">of species and/or soil processes in order to be more certain that the desired level of protection is achieved. </w:t>
      </w:r>
      <w:r>
        <w:t>I</w:t>
      </w:r>
      <w:r w:rsidRPr="00704DF0">
        <w:rPr>
          <w:kern w:val="28"/>
        </w:rPr>
        <w:t xml:space="preserve">f toxicity data </w:t>
      </w:r>
      <w:r>
        <w:rPr>
          <w:kern w:val="28"/>
        </w:rPr>
        <w:t>for</w:t>
      </w:r>
      <w:r w:rsidRPr="00704DF0">
        <w:rPr>
          <w:kern w:val="28"/>
        </w:rPr>
        <w:t xml:space="preserve"> more than </w:t>
      </w:r>
      <w:r>
        <w:rPr>
          <w:kern w:val="28"/>
        </w:rPr>
        <w:t>eight</w:t>
      </w:r>
      <w:r w:rsidRPr="00704DF0">
        <w:rPr>
          <w:kern w:val="28"/>
        </w:rPr>
        <w:t xml:space="preserve"> species </w:t>
      </w:r>
      <w:r>
        <w:rPr>
          <w:kern w:val="28"/>
        </w:rPr>
        <w:t>and/</w:t>
      </w:r>
      <w:r w:rsidRPr="00704DF0">
        <w:rPr>
          <w:kern w:val="28"/>
        </w:rPr>
        <w:t xml:space="preserve">or soil processes </w:t>
      </w:r>
      <w:r>
        <w:rPr>
          <w:kern w:val="28"/>
        </w:rPr>
        <w:t>is</w:t>
      </w:r>
      <w:r w:rsidRPr="00704DF0">
        <w:rPr>
          <w:kern w:val="28"/>
        </w:rPr>
        <w:t xml:space="preserve"> available, </w:t>
      </w:r>
      <w:r>
        <w:rPr>
          <w:kern w:val="28"/>
        </w:rPr>
        <w:t xml:space="preserve">the SSD approach is deemed to be sufficiently robust to set the </w:t>
      </w:r>
      <w:r w:rsidRPr="00704DF0">
        <w:rPr>
          <w:kern w:val="28"/>
        </w:rPr>
        <w:t>protection limit</w:t>
      </w:r>
      <w:r>
        <w:rPr>
          <w:kern w:val="28"/>
        </w:rPr>
        <w:t xml:space="preserve"> for the appropriate land use (Table 9 above)</w:t>
      </w:r>
      <w:r w:rsidRPr="00704DF0">
        <w:rPr>
          <w:kern w:val="28"/>
        </w:rPr>
        <w:t xml:space="preserve">. </w:t>
      </w:r>
    </w:p>
    <w:p w:rsidR="00145F69" w:rsidRDefault="00145F69" w:rsidP="006C2E16">
      <w:pPr>
        <w:rPr>
          <w:kern w:val="28"/>
        </w:rPr>
      </w:pPr>
    </w:p>
    <w:p w:rsidR="006C2E16" w:rsidRDefault="006C2E16" w:rsidP="006C2E16">
      <w:r w:rsidRPr="007531CF">
        <w:rPr>
          <w:kern w:val="28"/>
        </w:rPr>
        <w:t xml:space="preserve">In order to determine which method </w:t>
      </w:r>
      <w:r>
        <w:rPr>
          <w:kern w:val="28"/>
        </w:rPr>
        <w:t xml:space="preserve">(either the SSD method or the AF method) </w:t>
      </w:r>
      <w:r w:rsidRPr="007531CF">
        <w:rPr>
          <w:kern w:val="28"/>
        </w:rPr>
        <w:t xml:space="preserve">can be used to derive the EIL, </w:t>
      </w:r>
      <w:r w:rsidRPr="007531CF">
        <w:t xml:space="preserve">the screened toxicity data should firstly be grouped together on </w:t>
      </w:r>
      <w:r>
        <w:t xml:space="preserve">the basis of </w:t>
      </w:r>
      <w:r w:rsidRPr="007531CF">
        <w:t>species or soil process</w:t>
      </w:r>
      <w:r>
        <w:t xml:space="preserve">es. </w:t>
      </w:r>
      <w:r w:rsidRPr="007531CF">
        <w:t>Then</w:t>
      </w:r>
      <w:r>
        <w:t>,</w:t>
      </w:r>
      <w:r w:rsidRPr="007531CF">
        <w:t xml:space="preserve"> using the information presented</w:t>
      </w:r>
      <w:r>
        <w:t xml:space="preserve"> in Tables 10 and 11 below, the number of taxonomic groups and/or nutrient groups for which toxicity data is available can be determined. </w:t>
      </w:r>
    </w:p>
    <w:p w:rsidR="00145F69" w:rsidRDefault="00145F69" w:rsidP="006C2E16"/>
    <w:p w:rsidR="006C2E16" w:rsidRPr="003B3736" w:rsidRDefault="006C2E16" w:rsidP="006C2E16">
      <w:pPr>
        <w:rPr>
          <w:color w:val="0000FF"/>
          <w:kern w:val="28"/>
        </w:rPr>
      </w:pPr>
      <w:r w:rsidRPr="003B3736">
        <w:rPr>
          <w:kern w:val="28"/>
        </w:rPr>
        <w:t xml:space="preserve">If there </w:t>
      </w:r>
      <w:r>
        <w:rPr>
          <w:kern w:val="28"/>
        </w:rPr>
        <w:t>is</w:t>
      </w:r>
      <w:r w:rsidRPr="003B3736">
        <w:rPr>
          <w:kern w:val="28"/>
        </w:rPr>
        <w:t xml:space="preserve"> sufficient terrestrial toxicity data for a contaminant, toxicity data derived by models like QSARs or QAARs and the equilibrium partitioning </w:t>
      </w:r>
      <w:r w:rsidRPr="00704DF0">
        <w:t>approach</w:t>
      </w:r>
      <w:r w:rsidRPr="003B3736">
        <w:rPr>
          <w:kern w:val="28"/>
        </w:rPr>
        <w:t xml:space="preserve"> should not be used</w:t>
      </w:r>
      <w:r>
        <w:rPr>
          <w:kern w:val="28"/>
        </w:rPr>
        <w:t xml:space="preserve">. </w:t>
      </w:r>
      <w:r w:rsidRPr="003B3736">
        <w:rPr>
          <w:kern w:val="28"/>
        </w:rPr>
        <w:t xml:space="preserve">However, if there </w:t>
      </w:r>
      <w:r>
        <w:rPr>
          <w:kern w:val="28"/>
        </w:rPr>
        <w:t>is</w:t>
      </w:r>
      <w:r w:rsidRPr="003B3736">
        <w:rPr>
          <w:kern w:val="28"/>
        </w:rPr>
        <w:t xml:space="preserve"> insufficient terrestrial toxicity data available to meet the SSD requirements, the modelled data should be used in combination with measured toxicity data. The minimum data requirements to use the SSD and AF methods are the same when using a data</w:t>
      </w:r>
      <w:r>
        <w:rPr>
          <w:kern w:val="28"/>
        </w:rPr>
        <w:t xml:space="preserve"> </w:t>
      </w:r>
      <w:r w:rsidRPr="003B3736">
        <w:rPr>
          <w:kern w:val="28"/>
        </w:rPr>
        <w:t>set containing both measured and modelled toxicity data as when using only measured toxicity data</w:t>
      </w:r>
      <w:r>
        <w:rPr>
          <w:kern w:val="28"/>
        </w:rPr>
        <w:t xml:space="preserve">. </w:t>
      </w:r>
      <w:r w:rsidRPr="003B3736">
        <w:rPr>
          <w:kern w:val="28"/>
        </w:rPr>
        <w:t xml:space="preserve">However, </w:t>
      </w:r>
      <w:r>
        <w:rPr>
          <w:kern w:val="28"/>
        </w:rPr>
        <w:t xml:space="preserve">only low </w:t>
      </w:r>
      <w:r w:rsidRPr="003B3736">
        <w:rPr>
          <w:kern w:val="28"/>
        </w:rPr>
        <w:t xml:space="preserve">reliability EILs </w:t>
      </w:r>
      <w:r>
        <w:rPr>
          <w:kern w:val="28"/>
        </w:rPr>
        <w:t xml:space="preserve">can be generated using </w:t>
      </w:r>
      <w:r w:rsidRPr="003B3736">
        <w:rPr>
          <w:kern w:val="28"/>
        </w:rPr>
        <w:t>modelled toxicity data</w:t>
      </w:r>
      <w:r>
        <w:rPr>
          <w:kern w:val="28"/>
        </w:rPr>
        <w:t xml:space="preserve"> (Section 2.4.11)</w:t>
      </w:r>
      <w:r w:rsidRPr="003B3736">
        <w:rPr>
          <w:kern w:val="28"/>
        </w:rPr>
        <w:t>.</w:t>
      </w:r>
    </w:p>
    <w:p w:rsidR="006C2E16" w:rsidRDefault="006C2E16" w:rsidP="006C2E16">
      <w:pPr>
        <w:rPr>
          <w:kern w:val="28"/>
          <w:sz w:val="18"/>
          <w:szCs w:val="18"/>
        </w:rPr>
      </w:pPr>
    </w:p>
    <w:p w:rsidR="00875BD5" w:rsidRDefault="00875BD5">
      <w:pPr>
        <w:spacing w:line="240" w:lineRule="auto"/>
        <w:rPr>
          <w:rFonts w:ascii="Book Antiqua" w:eastAsia="Times New Roman" w:hAnsi="Book Antiqua" w:cs="Book Antiqua"/>
          <w:b/>
          <w:bCs/>
          <w:kern w:val="28"/>
          <w:szCs w:val="22"/>
          <w:lang w:eastAsia="en-AU"/>
        </w:rPr>
      </w:pPr>
      <w:r>
        <w:rPr>
          <w:kern w:val="28"/>
        </w:rPr>
        <w:br w:type="page"/>
      </w:r>
    </w:p>
    <w:p w:rsidR="006C2E16" w:rsidRPr="00597A5F" w:rsidRDefault="006C2E16" w:rsidP="006C2E16">
      <w:pPr>
        <w:pStyle w:val="Caption"/>
      </w:pPr>
      <w:r w:rsidRPr="00363524">
        <w:rPr>
          <w:kern w:val="28"/>
        </w:rPr>
        <w:lastRenderedPageBreak/>
        <w:t>T</w:t>
      </w:r>
      <w:r w:rsidRPr="00363524">
        <w:t>able 10. The taxonomic groups for terrestrial 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780"/>
      </w:tblGrid>
      <w:tr w:rsidR="006C2E16" w:rsidRPr="004D0467" w:rsidTr="00A10D4B">
        <w:trPr>
          <w:tblHeader/>
          <w:jc w:val="center"/>
        </w:trPr>
        <w:tc>
          <w:tcPr>
            <w:tcW w:w="3240" w:type="dxa"/>
            <w:shd w:val="clear" w:color="auto" w:fill="C6D9F1" w:themeFill="text2" w:themeFillTint="33"/>
          </w:tcPr>
          <w:p w:rsidR="006C2E16" w:rsidRPr="004D0467" w:rsidRDefault="006C2E16" w:rsidP="00A10D4B">
            <w:pPr>
              <w:jc w:val="center"/>
              <w:rPr>
                <w:b/>
                <w:bCs/>
                <w:szCs w:val="22"/>
              </w:rPr>
            </w:pPr>
            <w:r w:rsidRPr="004D0467">
              <w:rPr>
                <w:b/>
                <w:bCs/>
                <w:szCs w:val="22"/>
              </w:rPr>
              <w:t>Taxonomic group</w:t>
            </w:r>
          </w:p>
        </w:tc>
        <w:tc>
          <w:tcPr>
            <w:tcW w:w="3780" w:type="dxa"/>
            <w:shd w:val="clear" w:color="auto" w:fill="C6D9F1" w:themeFill="text2" w:themeFillTint="33"/>
          </w:tcPr>
          <w:p w:rsidR="006C2E16" w:rsidRPr="004D0467" w:rsidRDefault="006C2E16" w:rsidP="00A10D4B">
            <w:pPr>
              <w:jc w:val="center"/>
              <w:rPr>
                <w:b/>
                <w:bCs/>
                <w:szCs w:val="22"/>
              </w:rPr>
            </w:pPr>
            <w:r w:rsidRPr="004D0467">
              <w:rPr>
                <w:b/>
                <w:bCs/>
                <w:szCs w:val="22"/>
              </w:rPr>
              <w:t>Examples of species in this group</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Mollusca</w:t>
            </w:r>
          </w:p>
        </w:tc>
        <w:tc>
          <w:tcPr>
            <w:tcW w:w="3780" w:type="dxa"/>
          </w:tcPr>
          <w:p w:rsidR="006C2E16" w:rsidRPr="004D0467" w:rsidRDefault="006C2E16" w:rsidP="00A10D4B">
            <w:pPr>
              <w:rPr>
                <w:szCs w:val="22"/>
              </w:rPr>
            </w:pPr>
            <w:r w:rsidRPr="004D0467">
              <w:rPr>
                <w:szCs w:val="22"/>
              </w:rPr>
              <w:t>Snails, slugs</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Annelida</w:t>
            </w:r>
          </w:p>
        </w:tc>
        <w:tc>
          <w:tcPr>
            <w:tcW w:w="3780" w:type="dxa"/>
          </w:tcPr>
          <w:p w:rsidR="006C2E16" w:rsidRPr="004D0467" w:rsidRDefault="006C2E16" w:rsidP="00A10D4B">
            <w:pPr>
              <w:rPr>
                <w:szCs w:val="22"/>
              </w:rPr>
            </w:pPr>
            <w:r w:rsidRPr="004D0467">
              <w:rPr>
                <w:szCs w:val="22"/>
              </w:rPr>
              <w:t>Enchytraeids, earthworms</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Nematoda</w:t>
            </w:r>
          </w:p>
        </w:tc>
        <w:tc>
          <w:tcPr>
            <w:tcW w:w="3780" w:type="dxa"/>
          </w:tcPr>
          <w:p w:rsidR="006C2E16" w:rsidRPr="004D0467" w:rsidRDefault="006C2E16" w:rsidP="00A10D4B">
            <w:pPr>
              <w:rPr>
                <w:szCs w:val="22"/>
              </w:rPr>
            </w:pPr>
            <w:r w:rsidRPr="004D0467">
              <w:rPr>
                <w:szCs w:val="22"/>
              </w:rPr>
              <w:t>Nematodes</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Hexapoda</w:t>
            </w:r>
          </w:p>
        </w:tc>
        <w:tc>
          <w:tcPr>
            <w:tcW w:w="3780" w:type="dxa"/>
          </w:tcPr>
          <w:p w:rsidR="006C2E16" w:rsidRPr="004D0467" w:rsidRDefault="006C2E16" w:rsidP="00A10D4B">
            <w:pPr>
              <w:rPr>
                <w:szCs w:val="22"/>
              </w:rPr>
            </w:pPr>
            <w:r w:rsidRPr="004D0467">
              <w:rPr>
                <w:szCs w:val="22"/>
              </w:rPr>
              <w:t>Insects, springtails</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Myriapoda</w:t>
            </w:r>
          </w:p>
        </w:tc>
        <w:tc>
          <w:tcPr>
            <w:tcW w:w="3780" w:type="dxa"/>
          </w:tcPr>
          <w:p w:rsidR="006C2E16" w:rsidRPr="004D0467" w:rsidRDefault="006C2E16" w:rsidP="00A10D4B">
            <w:pPr>
              <w:rPr>
                <w:szCs w:val="22"/>
              </w:rPr>
            </w:pPr>
            <w:r w:rsidRPr="004D0467">
              <w:rPr>
                <w:szCs w:val="22"/>
              </w:rPr>
              <w:t>Centipedes, millipedes</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Chelicerata</w:t>
            </w:r>
          </w:p>
        </w:tc>
        <w:tc>
          <w:tcPr>
            <w:tcW w:w="3780" w:type="dxa"/>
          </w:tcPr>
          <w:p w:rsidR="006C2E16" w:rsidRPr="004D0467" w:rsidRDefault="006C2E16" w:rsidP="00A10D4B">
            <w:pPr>
              <w:rPr>
                <w:szCs w:val="22"/>
              </w:rPr>
            </w:pPr>
            <w:r w:rsidRPr="004D0467">
              <w:rPr>
                <w:szCs w:val="22"/>
              </w:rPr>
              <w:t>Mites, spiders</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Crustaceans</w:t>
            </w:r>
          </w:p>
        </w:tc>
        <w:tc>
          <w:tcPr>
            <w:tcW w:w="3780" w:type="dxa"/>
          </w:tcPr>
          <w:p w:rsidR="006C2E16" w:rsidRPr="004D0467" w:rsidRDefault="006C2E16" w:rsidP="00A10D4B">
            <w:pPr>
              <w:rPr>
                <w:szCs w:val="22"/>
              </w:rPr>
            </w:pPr>
            <w:r w:rsidRPr="004D0467">
              <w:rPr>
                <w:szCs w:val="22"/>
              </w:rPr>
              <w:t>Woodlice</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Algae</w:t>
            </w:r>
          </w:p>
        </w:tc>
        <w:tc>
          <w:tcPr>
            <w:tcW w:w="3780" w:type="dxa"/>
          </w:tcPr>
          <w:p w:rsidR="006C2E16" w:rsidRPr="004D0467" w:rsidRDefault="006C2E16" w:rsidP="00A10D4B">
            <w:pPr>
              <w:rPr>
                <w:szCs w:val="22"/>
              </w:rPr>
            </w:pPr>
            <w:r w:rsidRPr="004D0467">
              <w:rPr>
                <w:szCs w:val="22"/>
              </w:rPr>
              <w:t>Algae</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Plantae</w:t>
            </w:r>
          </w:p>
        </w:tc>
        <w:tc>
          <w:tcPr>
            <w:tcW w:w="3780" w:type="dxa"/>
          </w:tcPr>
          <w:p w:rsidR="006C2E16" w:rsidRPr="004D0467" w:rsidRDefault="006C2E16" w:rsidP="00A10D4B">
            <w:pPr>
              <w:rPr>
                <w:szCs w:val="22"/>
              </w:rPr>
            </w:pPr>
            <w:r w:rsidRPr="004D0467">
              <w:rPr>
                <w:szCs w:val="22"/>
              </w:rPr>
              <w:t>Plants</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Fungi</w:t>
            </w:r>
          </w:p>
        </w:tc>
        <w:tc>
          <w:tcPr>
            <w:tcW w:w="3780" w:type="dxa"/>
          </w:tcPr>
          <w:p w:rsidR="006C2E16" w:rsidRPr="004D0467" w:rsidRDefault="006C2E16" w:rsidP="00A10D4B">
            <w:pPr>
              <w:rPr>
                <w:szCs w:val="22"/>
              </w:rPr>
            </w:pPr>
            <w:r w:rsidRPr="004D0467">
              <w:rPr>
                <w:szCs w:val="22"/>
              </w:rPr>
              <w:t>Fungi</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Bacteria</w:t>
            </w:r>
          </w:p>
        </w:tc>
        <w:tc>
          <w:tcPr>
            <w:tcW w:w="3780" w:type="dxa"/>
          </w:tcPr>
          <w:p w:rsidR="006C2E16" w:rsidRPr="004D0467" w:rsidRDefault="006C2E16" w:rsidP="00A10D4B">
            <w:pPr>
              <w:rPr>
                <w:szCs w:val="22"/>
              </w:rPr>
            </w:pPr>
            <w:r w:rsidRPr="004D0467">
              <w:rPr>
                <w:szCs w:val="22"/>
              </w:rPr>
              <w:t>Bacteria</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Protozoa</w:t>
            </w:r>
          </w:p>
        </w:tc>
        <w:tc>
          <w:tcPr>
            <w:tcW w:w="3780" w:type="dxa"/>
          </w:tcPr>
          <w:p w:rsidR="006C2E16" w:rsidRPr="004D0467" w:rsidRDefault="006C2E16" w:rsidP="00A10D4B">
            <w:pPr>
              <w:rPr>
                <w:szCs w:val="22"/>
              </w:rPr>
            </w:pPr>
            <w:r w:rsidRPr="004D0467">
              <w:rPr>
                <w:szCs w:val="22"/>
              </w:rPr>
              <w:t xml:space="preserve">Amoebas, ciliates, flagellates </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Tardigrada</w:t>
            </w:r>
          </w:p>
        </w:tc>
        <w:tc>
          <w:tcPr>
            <w:tcW w:w="3780" w:type="dxa"/>
          </w:tcPr>
          <w:p w:rsidR="006C2E16" w:rsidRPr="004D0467" w:rsidRDefault="006C2E16" w:rsidP="00A10D4B">
            <w:pPr>
              <w:rPr>
                <w:szCs w:val="22"/>
              </w:rPr>
            </w:pPr>
            <w:r w:rsidRPr="004D0467">
              <w:rPr>
                <w:szCs w:val="22"/>
              </w:rPr>
              <w:t xml:space="preserve">Water bears </w:t>
            </w:r>
          </w:p>
        </w:tc>
      </w:tr>
      <w:tr w:rsidR="006C2E16" w:rsidRPr="004D0467" w:rsidTr="00A10D4B">
        <w:trPr>
          <w:jc w:val="center"/>
        </w:trPr>
        <w:tc>
          <w:tcPr>
            <w:tcW w:w="3240" w:type="dxa"/>
          </w:tcPr>
          <w:p w:rsidR="006C2E16" w:rsidRPr="004D0467" w:rsidRDefault="006C2E16" w:rsidP="00A10D4B">
            <w:pPr>
              <w:rPr>
                <w:szCs w:val="22"/>
              </w:rPr>
            </w:pPr>
            <w:r w:rsidRPr="004D0467">
              <w:rPr>
                <w:szCs w:val="22"/>
              </w:rPr>
              <w:t>Chordata</w:t>
            </w:r>
          </w:p>
        </w:tc>
        <w:tc>
          <w:tcPr>
            <w:tcW w:w="3780" w:type="dxa"/>
          </w:tcPr>
          <w:p w:rsidR="006C2E16" w:rsidRPr="004D0467" w:rsidRDefault="006C2E16" w:rsidP="00A10D4B">
            <w:pPr>
              <w:rPr>
                <w:szCs w:val="22"/>
              </w:rPr>
            </w:pPr>
            <w:r w:rsidRPr="004D0467">
              <w:rPr>
                <w:szCs w:val="22"/>
              </w:rPr>
              <w:t>Reptiles, mammals, birds</w:t>
            </w:r>
          </w:p>
        </w:tc>
      </w:tr>
    </w:tbl>
    <w:p w:rsidR="006C2E16" w:rsidRDefault="006C2E16" w:rsidP="006C2E16">
      <w:pPr>
        <w:pStyle w:val="BodyText2"/>
        <w:rPr>
          <w:kern w:val="28"/>
        </w:rPr>
      </w:pPr>
    </w:p>
    <w:p w:rsidR="006C2E16" w:rsidRPr="00597A5F" w:rsidRDefault="006C2E16" w:rsidP="006C2E16">
      <w:pPr>
        <w:pStyle w:val="Caption"/>
        <w:rPr>
          <w:kern w:val="28"/>
        </w:rPr>
      </w:pPr>
      <w:r w:rsidRPr="009A50F4">
        <w:t xml:space="preserve">Table 11. </w:t>
      </w:r>
      <w:r w:rsidRPr="00363524">
        <w:t>The nutrient groups for soil (i.e. microbial and fungal) processes</w:t>
      </w:r>
      <w:r w:rsidRPr="00363524">
        <w:rPr>
          <w:kern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3780"/>
        <w:gridCol w:w="3498"/>
      </w:tblGrid>
      <w:tr w:rsidR="006C2E16" w:rsidRPr="004D0467" w:rsidTr="00A10D4B">
        <w:trPr>
          <w:jc w:val="center"/>
        </w:trPr>
        <w:tc>
          <w:tcPr>
            <w:tcW w:w="2008" w:type="dxa"/>
            <w:shd w:val="clear" w:color="auto" w:fill="C6D9F1" w:themeFill="text2" w:themeFillTint="33"/>
          </w:tcPr>
          <w:p w:rsidR="006C2E16" w:rsidRPr="004D0467" w:rsidRDefault="006C2E16" w:rsidP="00A10D4B">
            <w:pPr>
              <w:jc w:val="center"/>
              <w:rPr>
                <w:b/>
                <w:bCs/>
                <w:kern w:val="28"/>
                <w:szCs w:val="22"/>
              </w:rPr>
            </w:pPr>
            <w:r w:rsidRPr="004D0467">
              <w:rPr>
                <w:b/>
                <w:bCs/>
                <w:kern w:val="28"/>
                <w:szCs w:val="22"/>
              </w:rPr>
              <w:t>Nutrient group</w:t>
            </w:r>
          </w:p>
        </w:tc>
        <w:tc>
          <w:tcPr>
            <w:tcW w:w="3780" w:type="dxa"/>
            <w:shd w:val="clear" w:color="auto" w:fill="C6D9F1" w:themeFill="text2" w:themeFillTint="33"/>
          </w:tcPr>
          <w:p w:rsidR="006C2E16" w:rsidRPr="004D0467" w:rsidRDefault="006C2E16" w:rsidP="00A10D4B">
            <w:pPr>
              <w:jc w:val="center"/>
              <w:rPr>
                <w:b/>
                <w:bCs/>
                <w:kern w:val="28"/>
                <w:szCs w:val="22"/>
              </w:rPr>
            </w:pPr>
            <w:r w:rsidRPr="004D0467">
              <w:rPr>
                <w:b/>
                <w:bCs/>
                <w:kern w:val="28"/>
                <w:szCs w:val="22"/>
              </w:rPr>
              <w:t>Soil process</w:t>
            </w:r>
          </w:p>
        </w:tc>
        <w:tc>
          <w:tcPr>
            <w:tcW w:w="3498" w:type="dxa"/>
            <w:shd w:val="clear" w:color="auto" w:fill="C6D9F1" w:themeFill="text2" w:themeFillTint="33"/>
          </w:tcPr>
          <w:p w:rsidR="006C2E16" w:rsidRPr="004D0467" w:rsidRDefault="006C2E16" w:rsidP="00A10D4B">
            <w:pPr>
              <w:jc w:val="center"/>
              <w:rPr>
                <w:b/>
                <w:bCs/>
                <w:kern w:val="28"/>
                <w:szCs w:val="22"/>
              </w:rPr>
            </w:pPr>
            <w:r w:rsidRPr="004D0467">
              <w:rPr>
                <w:b/>
                <w:bCs/>
                <w:kern w:val="28"/>
                <w:szCs w:val="22"/>
              </w:rPr>
              <w:t>Examples of end points</w:t>
            </w:r>
          </w:p>
        </w:tc>
      </w:tr>
      <w:tr w:rsidR="006C2E16" w:rsidRPr="004D0467" w:rsidTr="00A10D4B">
        <w:trPr>
          <w:jc w:val="center"/>
        </w:trPr>
        <w:tc>
          <w:tcPr>
            <w:tcW w:w="2008" w:type="dxa"/>
          </w:tcPr>
          <w:p w:rsidR="006C2E16" w:rsidRPr="004D0467" w:rsidRDefault="006C2E16" w:rsidP="00A10D4B">
            <w:pPr>
              <w:rPr>
                <w:kern w:val="28"/>
                <w:szCs w:val="22"/>
              </w:rPr>
            </w:pPr>
            <w:r w:rsidRPr="004D0467">
              <w:rPr>
                <w:kern w:val="28"/>
                <w:szCs w:val="22"/>
              </w:rPr>
              <w:t>C cycle</w:t>
            </w:r>
          </w:p>
        </w:tc>
        <w:tc>
          <w:tcPr>
            <w:tcW w:w="3780" w:type="dxa"/>
          </w:tcPr>
          <w:p w:rsidR="006C2E16" w:rsidRPr="004D0467" w:rsidRDefault="006C2E16" w:rsidP="00A10D4B">
            <w:pPr>
              <w:rPr>
                <w:kern w:val="28"/>
                <w:szCs w:val="22"/>
              </w:rPr>
            </w:pPr>
            <w:r w:rsidRPr="004D0467">
              <w:rPr>
                <w:kern w:val="28"/>
                <w:szCs w:val="22"/>
              </w:rPr>
              <w:t>Aerobic decomposition</w:t>
            </w:r>
          </w:p>
        </w:tc>
        <w:tc>
          <w:tcPr>
            <w:tcW w:w="3498" w:type="dxa"/>
          </w:tcPr>
          <w:p w:rsidR="006C2E16" w:rsidRPr="004D0467" w:rsidRDefault="006C2E16" w:rsidP="00A10D4B">
            <w:pPr>
              <w:rPr>
                <w:kern w:val="28"/>
                <w:szCs w:val="22"/>
              </w:rPr>
            </w:pPr>
            <w:r w:rsidRPr="004D0467">
              <w:rPr>
                <w:kern w:val="28"/>
                <w:szCs w:val="22"/>
              </w:rPr>
              <w:t>Basal respiration, substrate-induced respiration</w:t>
            </w:r>
          </w:p>
        </w:tc>
      </w:tr>
      <w:tr w:rsidR="006C2E16" w:rsidRPr="004D0467" w:rsidTr="00A10D4B">
        <w:trPr>
          <w:jc w:val="center"/>
        </w:trPr>
        <w:tc>
          <w:tcPr>
            <w:tcW w:w="2008" w:type="dxa"/>
          </w:tcPr>
          <w:p w:rsidR="006C2E16" w:rsidRPr="004D0467" w:rsidRDefault="006C2E16" w:rsidP="00A10D4B">
            <w:pPr>
              <w:rPr>
                <w:kern w:val="28"/>
                <w:szCs w:val="22"/>
              </w:rPr>
            </w:pPr>
            <w:r w:rsidRPr="004D0467">
              <w:rPr>
                <w:kern w:val="28"/>
                <w:szCs w:val="22"/>
              </w:rPr>
              <w:t>N cycle</w:t>
            </w:r>
          </w:p>
        </w:tc>
        <w:tc>
          <w:tcPr>
            <w:tcW w:w="3780" w:type="dxa"/>
          </w:tcPr>
          <w:p w:rsidR="006C2E16" w:rsidRPr="004D0467" w:rsidRDefault="006C2E16" w:rsidP="00A10D4B">
            <w:pPr>
              <w:rPr>
                <w:kern w:val="28"/>
                <w:szCs w:val="22"/>
              </w:rPr>
            </w:pPr>
            <w:r w:rsidRPr="004D0467">
              <w:rPr>
                <w:kern w:val="28"/>
                <w:szCs w:val="22"/>
              </w:rPr>
              <w:t>N mineralisation/ammonification</w:t>
            </w:r>
          </w:p>
        </w:tc>
        <w:tc>
          <w:tcPr>
            <w:tcW w:w="3498" w:type="dxa"/>
          </w:tcPr>
          <w:p w:rsidR="006C2E16" w:rsidRPr="004D0467" w:rsidRDefault="006C2E16" w:rsidP="00A10D4B">
            <w:pPr>
              <w:rPr>
                <w:kern w:val="28"/>
                <w:szCs w:val="22"/>
              </w:rPr>
            </w:pPr>
            <w:r w:rsidRPr="004D0467">
              <w:rPr>
                <w:kern w:val="28"/>
                <w:szCs w:val="22"/>
              </w:rPr>
              <w:t>Urease activity, NH</w:t>
            </w:r>
            <w:r w:rsidRPr="004D0467">
              <w:rPr>
                <w:kern w:val="28"/>
                <w:szCs w:val="22"/>
                <w:vertAlign w:val="subscript"/>
              </w:rPr>
              <w:t>4</w:t>
            </w:r>
            <w:r w:rsidRPr="004D0467">
              <w:rPr>
                <w:kern w:val="28"/>
                <w:szCs w:val="22"/>
              </w:rPr>
              <w:t xml:space="preserve"> production</w:t>
            </w:r>
          </w:p>
        </w:tc>
      </w:tr>
      <w:tr w:rsidR="006C2E16" w:rsidRPr="004D0467" w:rsidTr="00A10D4B">
        <w:trPr>
          <w:jc w:val="center"/>
        </w:trPr>
        <w:tc>
          <w:tcPr>
            <w:tcW w:w="2008" w:type="dxa"/>
          </w:tcPr>
          <w:p w:rsidR="006C2E16" w:rsidRPr="004D0467" w:rsidRDefault="006C2E16" w:rsidP="00A10D4B">
            <w:pPr>
              <w:rPr>
                <w:kern w:val="28"/>
                <w:szCs w:val="22"/>
              </w:rPr>
            </w:pPr>
          </w:p>
        </w:tc>
        <w:tc>
          <w:tcPr>
            <w:tcW w:w="3780" w:type="dxa"/>
          </w:tcPr>
          <w:p w:rsidR="006C2E16" w:rsidRPr="004D0467" w:rsidRDefault="006C2E16" w:rsidP="00A10D4B">
            <w:pPr>
              <w:rPr>
                <w:kern w:val="28"/>
                <w:szCs w:val="22"/>
              </w:rPr>
            </w:pPr>
            <w:r w:rsidRPr="004D0467">
              <w:rPr>
                <w:kern w:val="28"/>
                <w:szCs w:val="22"/>
              </w:rPr>
              <w:t>Nitrification</w:t>
            </w:r>
          </w:p>
        </w:tc>
        <w:tc>
          <w:tcPr>
            <w:tcW w:w="3498" w:type="dxa"/>
          </w:tcPr>
          <w:p w:rsidR="006C2E16" w:rsidRPr="004D0467" w:rsidRDefault="006C2E16" w:rsidP="00A10D4B">
            <w:pPr>
              <w:rPr>
                <w:kern w:val="28"/>
                <w:szCs w:val="22"/>
              </w:rPr>
            </w:pPr>
            <w:r w:rsidRPr="004D0467">
              <w:rPr>
                <w:kern w:val="28"/>
                <w:szCs w:val="22"/>
              </w:rPr>
              <w:t>NO</w:t>
            </w:r>
            <w:r w:rsidRPr="004D0467">
              <w:rPr>
                <w:kern w:val="28"/>
                <w:szCs w:val="22"/>
                <w:vertAlign w:val="subscript"/>
              </w:rPr>
              <w:t>3</w:t>
            </w:r>
            <w:r w:rsidRPr="004D0467">
              <w:rPr>
                <w:kern w:val="28"/>
                <w:szCs w:val="22"/>
              </w:rPr>
              <w:t xml:space="preserve"> production, substrate-induced respiration</w:t>
            </w:r>
          </w:p>
        </w:tc>
      </w:tr>
      <w:tr w:rsidR="006C2E16" w:rsidRPr="004D0467" w:rsidTr="00A10D4B">
        <w:trPr>
          <w:jc w:val="center"/>
        </w:trPr>
        <w:tc>
          <w:tcPr>
            <w:tcW w:w="2008" w:type="dxa"/>
          </w:tcPr>
          <w:p w:rsidR="006C2E16" w:rsidRPr="004D0467" w:rsidRDefault="006C2E16" w:rsidP="00A10D4B">
            <w:pPr>
              <w:rPr>
                <w:kern w:val="28"/>
                <w:szCs w:val="22"/>
              </w:rPr>
            </w:pPr>
          </w:p>
        </w:tc>
        <w:tc>
          <w:tcPr>
            <w:tcW w:w="3780" w:type="dxa"/>
          </w:tcPr>
          <w:p w:rsidR="006C2E16" w:rsidRPr="004D0467" w:rsidRDefault="006C2E16" w:rsidP="00A10D4B">
            <w:pPr>
              <w:rPr>
                <w:kern w:val="28"/>
                <w:szCs w:val="22"/>
              </w:rPr>
            </w:pPr>
            <w:r w:rsidRPr="004D0467">
              <w:rPr>
                <w:kern w:val="28"/>
                <w:szCs w:val="22"/>
              </w:rPr>
              <w:t>Denitrification</w:t>
            </w:r>
          </w:p>
        </w:tc>
        <w:tc>
          <w:tcPr>
            <w:tcW w:w="3498" w:type="dxa"/>
          </w:tcPr>
          <w:p w:rsidR="006C2E16" w:rsidRPr="004D0467" w:rsidRDefault="006C2E16" w:rsidP="00A10D4B">
            <w:pPr>
              <w:rPr>
                <w:kern w:val="28"/>
                <w:szCs w:val="22"/>
              </w:rPr>
            </w:pPr>
            <w:r w:rsidRPr="004D0467">
              <w:rPr>
                <w:kern w:val="28"/>
                <w:szCs w:val="22"/>
              </w:rPr>
              <w:t>Nitrate reductase</w:t>
            </w:r>
          </w:p>
        </w:tc>
      </w:tr>
      <w:tr w:rsidR="006C2E16" w:rsidRPr="004D0467" w:rsidTr="00A10D4B">
        <w:trPr>
          <w:jc w:val="center"/>
        </w:trPr>
        <w:tc>
          <w:tcPr>
            <w:tcW w:w="2008" w:type="dxa"/>
          </w:tcPr>
          <w:p w:rsidR="006C2E16" w:rsidRPr="004D0467" w:rsidRDefault="006C2E16" w:rsidP="00A10D4B">
            <w:pPr>
              <w:rPr>
                <w:kern w:val="28"/>
                <w:szCs w:val="22"/>
              </w:rPr>
            </w:pPr>
          </w:p>
        </w:tc>
        <w:tc>
          <w:tcPr>
            <w:tcW w:w="3780" w:type="dxa"/>
          </w:tcPr>
          <w:p w:rsidR="006C2E16" w:rsidRPr="004D0467" w:rsidRDefault="006C2E16" w:rsidP="00A10D4B">
            <w:pPr>
              <w:rPr>
                <w:kern w:val="28"/>
                <w:szCs w:val="22"/>
              </w:rPr>
            </w:pPr>
            <w:r w:rsidRPr="004D0467">
              <w:rPr>
                <w:kern w:val="28"/>
                <w:szCs w:val="22"/>
              </w:rPr>
              <w:t>Nitrogen fixation</w:t>
            </w:r>
          </w:p>
        </w:tc>
        <w:tc>
          <w:tcPr>
            <w:tcW w:w="3498" w:type="dxa"/>
          </w:tcPr>
          <w:p w:rsidR="006C2E16" w:rsidRPr="004D0467" w:rsidRDefault="006C2E16" w:rsidP="00A10D4B">
            <w:pPr>
              <w:rPr>
                <w:kern w:val="28"/>
                <w:szCs w:val="22"/>
              </w:rPr>
            </w:pPr>
            <w:r w:rsidRPr="004D0467">
              <w:rPr>
                <w:kern w:val="28"/>
                <w:szCs w:val="22"/>
              </w:rPr>
              <w:t>Nitrogenase activity</w:t>
            </w:r>
          </w:p>
        </w:tc>
      </w:tr>
      <w:tr w:rsidR="006C2E16" w:rsidRPr="004D0467" w:rsidTr="00A10D4B">
        <w:trPr>
          <w:jc w:val="center"/>
        </w:trPr>
        <w:tc>
          <w:tcPr>
            <w:tcW w:w="2008" w:type="dxa"/>
          </w:tcPr>
          <w:p w:rsidR="006C2E16" w:rsidRPr="004D0467" w:rsidRDefault="006C2E16" w:rsidP="00A10D4B">
            <w:pPr>
              <w:rPr>
                <w:kern w:val="28"/>
                <w:szCs w:val="22"/>
              </w:rPr>
            </w:pPr>
            <w:r w:rsidRPr="004D0467">
              <w:rPr>
                <w:kern w:val="28"/>
                <w:szCs w:val="22"/>
              </w:rPr>
              <w:t>P cycle</w:t>
            </w:r>
          </w:p>
        </w:tc>
        <w:tc>
          <w:tcPr>
            <w:tcW w:w="3780" w:type="dxa"/>
          </w:tcPr>
          <w:p w:rsidR="006C2E16" w:rsidRPr="004D0467" w:rsidRDefault="006C2E16" w:rsidP="00A10D4B">
            <w:pPr>
              <w:rPr>
                <w:kern w:val="28"/>
                <w:szCs w:val="22"/>
              </w:rPr>
            </w:pPr>
            <w:r w:rsidRPr="004D0467">
              <w:rPr>
                <w:kern w:val="28"/>
                <w:szCs w:val="22"/>
              </w:rPr>
              <w:t>P mineralisation</w:t>
            </w:r>
          </w:p>
        </w:tc>
        <w:tc>
          <w:tcPr>
            <w:tcW w:w="3498" w:type="dxa"/>
          </w:tcPr>
          <w:p w:rsidR="006C2E16" w:rsidRPr="004D0467" w:rsidRDefault="006C2E16" w:rsidP="00A10D4B">
            <w:pPr>
              <w:rPr>
                <w:kern w:val="28"/>
                <w:szCs w:val="22"/>
              </w:rPr>
            </w:pPr>
            <w:r w:rsidRPr="004D0467">
              <w:rPr>
                <w:kern w:val="28"/>
                <w:szCs w:val="22"/>
              </w:rPr>
              <w:t xml:space="preserve">Phosphatase, Py-phosphatase </w:t>
            </w:r>
          </w:p>
        </w:tc>
      </w:tr>
      <w:tr w:rsidR="006C2E16" w:rsidRPr="004D0467" w:rsidTr="00A10D4B">
        <w:trPr>
          <w:trHeight w:val="344"/>
          <w:jc w:val="center"/>
        </w:trPr>
        <w:tc>
          <w:tcPr>
            <w:tcW w:w="2008" w:type="dxa"/>
          </w:tcPr>
          <w:p w:rsidR="006C2E16" w:rsidRPr="004D0467" w:rsidRDefault="006C2E16" w:rsidP="00A10D4B">
            <w:pPr>
              <w:rPr>
                <w:kern w:val="28"/>
                <w:szCs w:val="22"/>
              </w:rPr>
            </w:pPr>
            <w:r w:rsidRPr="004D0467">
              <w:rPr>
                <w:kern w:val="28"/>
                <w:szCs w:val="22"/>
              </w:rPr>
              <w:t>S cycle</w:t>
            </w:r>
          </w:p>
        </w:tc>
        <w:tc>
          <w:tcPr>
            <w:tcW w:w="3780" w:type="dxa"/>
          </w:tcPr>
          <w:p w:rsidR="006C2E16" w:rsidRPr="004D0467" w:rsidRDefault="006C2E16" w:rsidP="00A10D4B">
            <w:pPr>
              <w:rPr>
                <w:kern w:val="28"/>
                <w:szCs w:val="22"/>
              </w:rPr>
            </w:pPr>
            <w:r w:rsidRPr="004D0467">
              <w:rPr>
                <w:kern w:val="28"/>
                <w:szCs w:val="22"/>
              </w:rPr>
              <w:t>S mineralisation</w:t>
            </w:r>
          </w:p>
        </w:tc>
        <w:tc>
          <w:tcPr>
            <w:tcW w:w="3498" w:type="dxa"/>
          </w:tcPr>
          <w:p w:rsidR="006C2E16" w:rsidRPr="004D0467" w:rsidRDefault="006C2E16" w:rsidP="00A10D4B">
            <w:pPr>
              <w:rPr>
                <w:kern w:val="28"/>
                <w:szCs w:val="22"/>
              </w:rPr>
            </w:pPr>
            <w:r w:rsidRPr="004D0467">
              <w:rPr>
                <w:kern w:val="28"/>
                <w:szCs w:val="22"/>
              </w:rPr>
              <w:t>Aryl-sulfatase</w:t>
            </w:r>
          </w:p>
        </w:tc>
      </w:tr>
    </w:tbl>
    <w:p w:rsidR="006C2E16" w:rsidRDefault="006C2E16" w:rsidP="006C2E16">
      <w:pPr>
        <w:pStyle w:val="BodyText2"/>
        <w:rPr>
          <w:kern w:val="28"/>
        </w:rPr>
      </w:pPr>
    </w:p>
    <w:p w:rsidR="006C2E16" w:rsidRDefault="006C2E16" w:rsidP="006C2E16">
      <w:pPr>
        <w:pStyle w:val="BodyText2"/>
        <w:rPr>
          <w:kern w:val="28"/>
        </w:rPr>
      </w:pPr>
    </w:p>
    <w:p w:rsidR="006C2E16" w:rsidRPr="00170FCF" w:rsidRDefault="006C2E16" w:rsidP="001C6BE7">
      <w:pPr>
        <w:pStyle w:val="Heading3"/>
      </w:pPr>
      <w:bookmarkStart w:id="94" w:name="_Toc255359976"/>
      <w:bookmarkStart w:id="95" w:name="_Toc269122450"/>
      <w:bookmarkStart w:id="96" w:name="_Toc351713146"/>
      <w:r>
        <w:t>Calculation of the added contaminant limit using a species sensitivity distribution approach</w:t>
      </w:r>
      <w:bookmarkEnd w:id="94"/>
      <w:bookmarkEnd w:id="95"/>
      <w:bookmarkEnd w:id="96"/>
    </w:p>
    <w:p w:rsidR="006C2E16" w:rsidRDefault="006C2E16" w:rsidP="006C2E16">
      <w:r w:rsidRPr="003B3736">
        <w:t xml:space="preserve">The SSD approach is a statistical method to calculate a soil concentration </w:t>
      </w:r>
      <w:r>
        <w:t>that</w:t>
      </w:r>
      <w:r w:rsidRPr="003B3736">
        <w:t xml:space="preserve"> theoretically protects a specified percentage of species and/or soil processes</w:t>
      </w:r>
      <w:r>
        <w:t xml:space="preserve">. </w:t>
      </w:r>
      <w:r w:rsidRPr="003B3736">
        <w:t xml:space="preserve">The SSD method used to derive the Australian and New Zealand WQGs (ANZECC </w:t>
      </w:r>
      <w:r>
        <w:t>&amp;</w:t>
      </w:r>
      <w:r w:rsidRPr="003B3736">
        <w:t xml:space="preserve"> ARMCANZ 2000) was the Burr Type III method (Shao 2000)</w:t>
      </w:r>
      <w:r>
        <w:t>,</w:t>
      </w:r>
      <w:r w:rsidRPr="003B3736">
        <w:t xml:space="preserve"> which was incorporated into the BurrliOZ program (Campbell et al. 2000)</w:t>
      </w:r>
      <w:r>
        <w:t xml:space="preserve"> </w:t>
      </w:r>
      <w:r w:rsidRPr="003B3736">
        <w:t>that is available from: www.cmis.csiro.au/Envir/burrlioz/</w:t>
      </w:r>
      <w:r>
        <w:br/>
      </w:r>
      <w:r w:rsidRPr="003B3736">
        <w:t>Download1.htm</w:t>
      </w:r>
      <w:r>
        <w:t>.</w:t>
      </w:r>
    </w:p>
    <w:p w:rsidR="00145F69" w:rsidRDefault="00145F69" w:rsidP="006C2E16"/>
    <w:p w:rsidR="006C2E16" w:rsidRDefault="006C2E16" w:rsidP="006C2E16">
      <w:pPr>
        <w:rPr>
          <w:kern w:val="28"/>
          <w:sz w:val="18"/>
          <w:szCs w:val="18"/>
        </w:rPr>
      </w:pPr>
      <w:r w:rsidRPr="003B3736">
        <w:t xml:space="preserve">If there are screened toxicity data values for a contaminant to at least </w:t>
      </w:r>
      <w:r>
        <w:t>five</w:t>
      </w:r>
      <w:r w:rsidRPr="003B3736">
        <w:t xml:space="preserve"> species or soil processes for </w:t>
      </w:r>
      <w:r>
        <w:t>three</w:t>
      </w:r>
      <w:r w:rsidRPr="003B3736">
        <w:t xml:space="preserve"> taxonomic or nutrient groups, then there </w:t>
      </w:r>
      <w:r>
        <w:t>is</w:t>
      </w:r>
      <w:r w:rsidRPr="003B3736">
        <w:t xml:space="preserve"> sufficient data to calculate an ACL using the Burr Type III SSD method</w:t>
      </w:r>
      <w:r w:rsidRPr="003B3736">
        <w:rPr>
          <w:kern w:val="28"/>
          <w:sz w:val="18"/>
          <w:szCs w:val="18"/>
        </w:rPr>
        <w:t>.</w:t>
      </w:r>
    </w:p>
    <w:p w:rsidR="00145F69" w:rsidRPr="003B3736" w:rsidRDefault="00145F69" w:rsidP="006C2E16">
      <w:pPr>
        <w:rPr>
          <w:kern w:val="28"/>
          <w:sz w:val="18"/>
          <w:szCs w:val="18"/>
        </w:rPr>
      </w:pPr>
    </w:p>
    <w:p w:rsidR="006C2E16" w:rsidRPr="003B3736" w:rsidRDefault="006C2E16" w:rsidP="006C2E16">
      <w:pPr>
        <w:rPr>
          <w:kern w:val="28"/>
        </w:rPr>
      </w:pPr>
      <w:r w:rsidRPr="003B3736">
        <w:rPr>
          <w:kern w:val="28"/>
        </w:rPr>
        <w:t xml:space="preserve">All SSD methods use a single numerical value to describe each species or soil process for which toxicity data </w:t>
      </w:r>
      <w:r>
        <w:rPr>
          <w:kern w:val="28"/>
        </w:rPr>
        <w:t>is</w:t>
      </w:r>
      <w:r w:rsidRPr="003B3736">
        <w:rPr>
          <w:kern w:val="28"/>
        </w:rPr>
        <w:t xml:space="preserve"> available</w:t>
      </w:r>
      <w:r>
        <w:rPr>
          <w:kern w:val="28"/>
        </w:rPr>
        <w:t xml:space="preserve">. </w:t>
      </w:r>
      <w:r w:rsidRPr="003B3736">
        <w:rPr>
          <w:kern w:val="28"/>
        </w:rPr>
        <w:t xml:space="preserve">The means by which a single value </w:t>
      </w:r>
      <w:r>
        <w:rPr>
          <w:kern w:val="28"/>
        </w:rPr>
        <w:t>was</w:t>
      </w:r>
      <w:r w:rsidRPr="003B3736">
        <w:rPr>
          <w:kern w:val="28"/>
        </w:rPr>
        <w:t xml:space="preserve"> obtained for </w:t>
      </w:r>
      <w:r>
        <w:t>each</w:t>
      </w:r>
      <w:r w:rsidRPr="003B3736">
        <w:rPr>
          <w:kern w:val="28"/>
        </w:rPr>
        <w:t xml:space="preserve"> species or soil process </w:t>
      </w:r>
      <w:r w:rsidRPr="003B3736">
        <w:t xml:space="preserve">(Van de Plassche et al. 1993) </w:t>
      </w:r>
      <w:r w:rsidRPr="003B3736">
        <w:rPr>
          <w:kern w:val="28"/>
        </w:rPr>
        <w:t>are set out below:</w:t>
      </w:r>
    </w:p>
    <w:p w:rsidR="006C2E16" w:rsidRDefault="006C2E16" w:rsidP="001C6BE7">
      <w:pPr>
        <w:pStyle w:val="Dot-points"/>
        <w:numPr>
          <w:ilvl w:val="0"/>
          <w:numId w:val="20"/>
        </w:numPr>
      </w:pPr>
      <w:r>
        <w:t xml:space="preserve">if there were only one toxicity datum, that was taken to represent the species or process </w:t>
      </w:r>
    </w:p>
    <w:p w:rsidR="006C2E16" w:rsidRDefault="006C2E16" w:rsidP="001C6BE7">
      <w:pPr>
        <w:pStyle w:val="Dot-points"/>
        <w:numPr>
          <w:ilvl w:val="0"/>
          <w:numId w:val="20"/>
        </w:numPr>
      </w:pPr>
      <w:r>
        <w:t xml:space="preserve">if there were several toxicity values for the same end point, the geometric mean of the values was calculated and was taken to represent the species or process </w:t>
      </w:r>
    </w:p>
    <w:p w:rsidR="006C2E16" w:rsidRDefault="006C2E16" w:rsidP="001C6BE7">
      <w:pPr>
        <w:pStyle w:val="Dot-points"/>
        <w:numPr>
          <w:ilvl w:val="0"/>
          <w:numId w:val="20"/>
        </w:numPr>
      </w:pPr>
      <w:r>
        <w:lastRenderedPageBreak/>
        <w:t>if there were several toxicity values for different end points (e.g. mortality or reproduction), the end point with the lowest geometric mean was taken to represent the species or process.</w:t>
      </w:r>
    </w:p>
    <w:p w:rsidR="00145F69" w:rsidRDefault="00145F69" w:rsidP="006C2E16">
      <w:pPr>
        <w:rPr>
          <w:kern w:val="28"/>
        </w:rPr>
      </w:pPr>
    </w:p>
    <w:p w:rsidR="006C2E16" w:rsidRDefault="006C2E16" w:rsidP="006C2E16">
      <w:pPr>
        <w:rPr>
          <w:kern w:val="28"/>
        </w:rPr>
      </w:pPr>
      <w:r>
        <w:rPr>
          <w:kern w:val="28"/>
        </w:rPr>
        <w:t xml:space="preserve">SSD methods require the toxicity data to have a uni-modal distribution. If the data set is not uni-modal (for example, insecticides are more toxic to insects than mammals), then the toxicity data belonging to the most sensitive distribution should be used for ACL derivation, as recommended by Warne (1998, 2001) when deriving WQGs. </w:t>
      </w:r>
    </w:p>
    <w:p w:rsidR="006C2E16" w:rsidRPr="001E57DD" w:rsidRDefault="006C2E16" w:rsidP="001C6BE7">
      <w:pPr>
        <w:pStyle w:val="Heading3"/>
      </w:pPr>
      <w:bookmarkStart w:id="97" w:name="_Toc255359977"/>
      <w:bookmarkStart w:id="98" w:name="_Toc269122451"/>
      <w:bookmarkStart w:id="99" w:name="_Toc351713147"/>
      <w:r w:rsidRPr="001E57DD">
        <w:t>Normalisation of toxicity data</w:t>
      </w:r>
      <w:r>
        <w:t xml:space="preserve"> to an Australian reference soil</w:t>
      </w:r>
      <w:bookmarkEnd w:id="97"/>
      <w:bookmarkEnd w:id="98"/>
      <w:bookmarkEnd w:id="99"/>
    </w:p>
    <w:p w:rsidR="006C2E16" w:rsidRDefault="006C2E16" w:rsidP="006C2E16">
      <w:r w:rsidRPr="005802FA">
        <w:t xml:space="preserve">The </w:t>
      </w:r>
      <w:r>
        <w:t xml:space="preserve">use of </w:t>
      </w:r>
      <w:r w:rsidRPr="005802FA">
        <w:t xml:space="preserve">normalisation </w:t>
      </w:r>
      <w:r>
        <w:t xml:space="preserve">relationships </w:t>
      </w:r>
      <w:r w:rsidRPr="005802FA">
        <w:t xml:space="preserve">is </w:t>
      </w:r>
      <w:r>
        <w:t xml:space="preserve">an attempt </w:t>
      </w:r>
      <w:r w:rsidRPr="005802FA">
        <w:t xml:space="preserve">to minimise the effect of soil </w:t>
      </w:r>
      <w:r>
        <w:t xml:space="preserve">characteristics </w:t>
      </w:r>
      <w:r w:rsidRPr="005802FA">
        <w:t>on the toxicity data so the resulting toxicity data will more closely reflect the inherent sensitivity of the test species</w:t>
      </w:r>
      <w:r>
        <w:t xml:space="preserve"> to the contaminant. </w:t>
      </w:r>
      <w:r w:rsidRPr="005802FA">
        <w:t>If toxicity data more closely reflect</w:t>
      </w:r>
      <w:r>
        <w:t>s</w:t>
      </w:r>
      <w:r w:rsidRPr="005802FA">
        <w:t xml:space="preserve"> species sensitivity, </w:t>
      </w:r>
      <w:r>
        <w:t>the</w:t>
      </w:r>
      <w:r w:rsidRPr="005802FA">
        <w:t xml:space="preserve">n </w:t>
      </w:r>
      <w:r>
        <w:t>a more accurate</w:t>
      </w:r>
      <w:r w:rsidRPr="005802FA">
        <w:t xml:space="preserve"> calculat</w:t>
      </w:r>
      <w:r>
        <w:t>ion of the</w:t>
      </w:r>
      <w:r w:rsidRPr="005802FA">
        <w:t xml:space="preserve"> soil concentration </w:t>
      </w:r>
      <w:r>
        <w:t>that</w:t>
      </w:r>
      <w:r w:rsidRPr="005802FA">
        <w:t xml:space="preserve"> should protect a certain percentage of species and soil processes</w:t>
      </w:r>
      <w:r>
        <w:t xml:space="preserve"> can be made. Derivation of soil-specific EILs and the use of normalisation relationships to normalise toxicity data can only be done if there is sufficient data to use the SSD method. Toxicity data should not be normalised if the available toxicity data is only sufficient to meet the minimum data requirements of the AF approach. </w:t>
      </w:r>
    </w:p>
    <w:p w:rsidR="00145F69" w:rsidRDefault="00145F69" w:rsidP="006C2E16"/>
    <w:p w:rsidR="006C2E16" w:rsidRDefault="006C2E16" w:rsidP="006C2E16">
      <w:pPr>
        <w:rPr>
          <w:kern w:val="28"/>
        </w:rPr>
      </w:pPr>
      <w:r>
        <w:rPr>
          <w:kern w:val="28"/>
        </w:rPr>
        <w:t xml:space="preserve">If the toxicity data for a contaminant has been demonstrated to be affected by soil characteristics, (that is, by statistically significant (p ≤ 0.05) normalisation relationships between toxicity data and soil characteristics), then the toxicity data must be normalised to the Australian reference soil (see Table 12 below). </w:t>
      </w:r>
    </w:p>
    <w:p w:rsidR="00875BD5" w:rsidRDefault="00875BD5">
      <w:pPr>
        <w:spacing w:line="240" w:lineRule="auto"/>
        <w:rPr>
          <w:rFonts w:ascii="Book Antiqua" w:eastAsia="Times New Roman" w:hAnsi="Book Antiqua" w:cs="Book Antiqua"/>
          <w:b/>
          <w:bCs/>
          <w:kern w:val="28"/>
          <w:szCs w:val="22"/>
          <w:lang w:eastAsia="en-AU"/>
        </w:rPr>
      </w:pPr>
      <w:r>
        <w:rPr>
          <w:kern w:val="28"/>
        </w:rPr>
        <w:br w:type="page"/>
      </w:r>
    </w:p>
    <w:p w:rsidR="006C2E16" w:rsidRDefault="006C2E16" w:rsidP="006C2E16">
      <w:pPr>
        <w:pStyle w:val="Caption"/>
        <w:rPr>
          <w:kern w:val="28"/>
        </w:rPr>
      </w:pPr>
      <w:r w:rsidRPr="003B3736">
        <w:rPr>
          <w:kern w:val="28"/>
        </w:rPr>
        <w:lastRenderedPageBreak/>
        <w:t>Table 12. Values of soil characteristics for the Australian reference soil to be used to normalise toxicity data</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140"/>
      </w:tblGrid>
      <w:tr w:rsidR="006C2E16" w:rsidRPr="004D0467" w:rsidTr="00A10D4B">
        <w:tc>
          <w:tcPr>
            <w:tcW w:w="2260" w:type="dxa"/>
            <w:shd w:val="clear" w:color="auto" w:fill="C6D9F1" w:themeFill="text2" w:themeFillTint="33"/>
          </w:tcPr>
          <w:p w:rsidR="006C2E16" w:rsidRPr="004D0467" w:rsidRDefault="006C2E16" w:rsidP="00A10D4B">
            <w:pPr>
              <w:jc w:val="center"/>
              <w:rPr>
                <w:b/>
                <w:bCs/>
                <w:szCs w:val="22"/>
              </w:rPr>
            </w:pPr>
            <w:r w:rsidRPr="004D0467">
              <w:rPr>
                <w:b/>
                <w:bCs/>
                <w:szCs w:val="22"/>
              </w:rPr>
              <w:t>Soil property</w:t>
            </w:r>
          </w:p>
        </w:tc>
        <w:tc>
          <w:tcPr>
            <w:tcW w:w="3140" w:type="dxa"/>
            <w:shd w:val="clear" w:color="auto" w:fill="C6D9F1" w:themeFill="text2" w:themeFillTint="33"/>
          </w:tcPr>
          <w:p w:rsidR="006C2E16" w:rsidRPr="004D0467" w:rsidRDefault="006C2E16" w:rsidP="00A10D4B">
            <w:pPr>
              <w:jc w:val="center"/>
              <w:rPr>
                <w:b/>
                <w:bCs/>
                <w:szCs w:val="22"/>
              </w:rPr>
            </w:pPr>
            <w:r w:rsidRPr="004D0467">
              <w:rPr>
                <w:b/>
                <w:bCs/>
                <w:szCs w:val="22"/>
              </w:rPr>
              <w:t>Value</w:t>
            </w:r>
          </w:p>
        </w:tc>
      </w:tr>
      <w:tr w:rsidR="006C2E16" w:rsidRPr="004D0467" w:rsidTr="00A10D4B">
        <w:tc>
          <w:tcPr>
            <w:tcW w:w="2260" w:type="dxa"/>
          </w:tcPr>
          <w:p w:rsidR="006C2E16" w:rsidRPr="004D0467" w:rsidRDefault="006C2E16" w:rsidP="00A10D4B">
            <w:pPr>
              <w:rPr>
                <w:szCs w:val="22"/>
              </w:rPr>
            </w:pPr>
            <w:r w:rsidRPr="004D0467">
              <w:rPr>
                <w:szCs w:val="22"/>
              </w:rPr>
              <w:t>pH:</w:t>
            </w:r>
            <w:r w:rsidRPr="004D0467">
              <w:rPr>
                <w:szCs w:val="22"/>
              </w:rPr>
              <w:tab/>
            </w:r>
          </w:p>
        </w:tc>
        <w:tc>
          <w:tcPr>
            <w:tcW w:w="3140" w:type="dxa"/>
          </w:tcPr>
          <w:p w:rsidR="006C2E16" w:rsidRPr="004D0467" w:rsidRDefault="006C2E16" w:rsidP="00A10D4B">
            <w:pPr>
              <w:tabs>
                <w:tab w:val="decimal" w:pos="672"/>
              </w:tabs>
              <w:rPr>
                <w:szCs w:val="22"/>
              </w:rPr>
            </w:pPr>
            <w:r w:rsidRPr="004D0467">
              <w:rPr>
                <w:szCs w:val="22"/>
              </w:rPr>
              <w:t>6</w:t>
            </w:r>
          </w:p>
        </w:tc>
      </w:tr>
      <w:tr w:rsidR="006C2E16" w:rsidRPr="004D0467" w:rsidTr="00A10D4B">
        <w:tc>
          <w:tcPr>
            <w:tcW w:w="2260" w:type="dxa"/>
          </w:tcPr>
          <w:p w:rsidR="006C2E16" w:rsidRPr="004D0467" w:rsidRDefault="006C2E16" w:rsidP="00A10D4B">
            <w:pPr>
              <w:rPr>
                <w:szCs w:val="22"/>
              </w:rPr>
            </w:pPr>
            <w:r w:rsidRPr="004D0467">
              <w:rPr>
                <w:szCs w:val="22"/>
              </w:rPr>
              <w:t>Clay:</w:t>
            </w:r>
            <w:r w:rsidRPr="004D0467">
              <w:rPr>
                <w:szCs w:val="22"/>
              </w:rPr>
              <w:tab/>
            </w:r>
          </w:p>
        </w:tc>
        <w:tc>
          <w:tcPr>
            <w:tcW w:w="3140" w:type="dxa"/>
          </w:tcPr>
          <w:p w:rsidR="006C2E16" w:rsidRPr="004D0467" w:rsidRDefault="006C2E16" w:rsidP="00A10D4B">
            <w:pPr>
              <w:tabs>
                <w:tab w:val="decimal" w:pos="672"/>
              </w:tabs>
              <w:rPr>
                <w:szCs w:val="22"/>
              </w:rPr>
            </w:pPr>
            <w:r w:rsidRPr="004D0467">
              <w:rPr>
                <w:szCs w:val="22"/>
              </w:rPr>
              <w:t>10%</w:t>
            </w:r>
          </w:p>
        </w:tc>
      </w:tr>
      <w:tr w:rsidR="006C2E16" w:rsidRPr="004D0467" w:rsidTr="00A10D4B">
        <w:tc>
          <w:tcPr>
            <w:tcW w:w="2260" w:type="dxa"/>
          </w:tcPr>
          <w:p w:rsidR="006C2E16" w:rsidRPr="004D0467" w:rsidRDefault="006C2E16" w:rsidP="00A10D4B">
            <w:pPr>
              <w:rPr>
                <w:szCs w:val="22"/>
              </w:rPr>
            </w:pPr>
            <w:r w:rsidRPr="004D0467">
              <w:rPr>
                <w:szCs w:val="22"/>
              </w:rPr>
              <w:t>CEC:</w:t>
            </w:r>
          </w:p>
        </w:tc>
        <w:tc>
          <w:tcPr>
            <w:tcW w:w="3140" w:type="dxa"/>
          </w:tcPr>
          <w:p w:rsidR="006C2E16" w:rsidRPr="004D0467" w:rsidRDefault="006C2E16" w:rsidP="00A10D4B">
            <w:pPr>
              <w:tabs>
                <w:tab w:val="decimal" w:pos="672"/>
              </w:tabs>
              <w:rPr>
                <w:szCs w:val="22"/>
              </w:rPr>
            </w:pPr>
            <w:r w:rsidRPr="004D0467">
              <w:rPr>
                <w:szCs w:val="22"/>
              </w:rPr>
              <w:t>10</w:t>
            </w:r>
            <w:r w:rsidRPr="004D0467">
              <w:rPr>
                <w:szCs w:val="22"/>
              </w:rPr>
              <w:tab/>
              <w:t xml:space="preserve">  cmol/kg</w:t>
            </w:r>
          </w:p>
        </w:tc>
      </w:tr>
      <w:tr w:rsidR="006C2E16" w:rsidRPr="004D0467" w:rsidTr="00A10D4B">
        <w:tc>
          <w:tcPr>
            <w:tcW w:w="2260" w:type="dxa"/>
          </w:tcPr>
          <w:p w:rsidR="006C2E16" w:rsidRPr="004D0467" w:rsidRDefault="006C2E16" w:rsidP="00A10D4B">
            <w:pPr>
              <w:rPr>
                <w:szCs w:val="22"/>
              </w:rPr>
            </w:pPr>
            <w:r w:rsidRPr="004D0467">
              <w:rPr>
                <w:szCs w:val="22"/>
              </w:rPr>
              <w:t>Org. Carbon:</w:t>
            </w:r>
          </w:p>
        </w:tc>
        <w:tc>
          <w:tcPr>
            <w:tcW w:w="3140" w:type="dxa"/>
          </w:tcPr>
          <w:p w:rsidR="006C2E16" w:rsidRPr="004D0467" w:rsidRDefault="006C2E16" w:rsidP="00A10D4B">
            <w:pPr>
              <w:tabs>
                <w:tab w:val="decimal" w:pos="672"/>
              </w:tabs>
              <w:rPr>
                <w:szCs w:val="22"/>
              </w:rPr>
            </w:pPr>
            <w:r w:rsidRPr="004D0467">
              <w:rPr>
                <w:szCs w:val="22"/>
              </w:rPr>
              <w:t>1% or equivalent OM</w:t>
            </w:r>
          </w:p>
        </w:tc>
      </w:tr>
    </w:tbl>
    <w:p w:rsidR="00875BD5" w:rsidRDefault="00875BD5" w:rsidP="006C2E16"/>
    <w:p w:rsidR="006C2E16" w:rsidRDefault="006C2E16" w:rsidP="006C2E16">
      <w:r>
        <w:t>Normalisation relationships are currently limited to a few combinations of contaminants, species and countries from which the soils are obtained (Smolders et al. 2004; Li et al. 2003; McLaughlin et al. 2006; Song et al. 2006; Broos et al. 2007; Warne et al. 2008a; 2008b). This is predominantly due to the concept of developing normalisation equations for terrestrial ecotoxicity data being relatively recent and the size of, and cost of conducting, such work.</w:t>
      </w:r>
    </w:p>
    <w:p w:rsidR="00145F69" w:rsidRDefault="00145F69" w:rsidP="006C2E16"/>
    <w:p w:rsidR="006C2E16" w:rsidRDefault="006C2E16" w:rsidP="006C2E16">
      <w:r>
        <w:t xml:space="preserve">The lack of normalisation equations for a wide variety of species can be overcome by applying the relationships across species within the following groupings of the taxonomic groups: </w:t>
      </w:r>
    </w:p>
    <w:p w:rsidR="006C2E16" w:rsidRDefault="006C2E16" w:rsidP="001C6BE7">
      <w:pPr>
        <w:pStyle w:val="Dot-points"/>
        <w:numPr>
          <w:ilvl w:val="0"/>
          <w:numId w:val="21"/>
        </w:numPr>
        <w:rPr>
          <w:lang w:val="es-ES_tradnl"/>
        </w:rPr>
      </w:pPr>
      <w:r>
        <w:rPr>
          <w:lang w:val="es-ES_tradnl"/>
        </w:rPr>
        <w:t>plants, algae</w:t>
      </w:r>
    </w:p>
    <w:p w:rsidR="006C2E16" w:rsidRDefault="006C2E16" w:rsidP="001C6BE7">
      <w:pPr>
        <w:pStyle w:val="Dot-points"/>
        <w:numPr>
          <w:ilvl w:val="0"/>
          <w:numId w:val="21"/>
        </w:numPr>
        <w:rPr>
          <w:lang w:val="es-ES_tradnl"/>
        </w:rPr>
      </w:pPr>
      <w:r>
        <w:rPr>
          <w:lang w:val="es-ES_tradnl"/>
        </w:rPr>
        <w:t>annelids, nematode, mollusca, protozoa</w:t>
      </w:r>
    </w:p>
    <w:p w:rsidR="006C2E16" w:rsidRDefault="006C2E16" w:rsidP="001C6BE7">
      <w:pPr>
        <w:pStyle w:val="Dot-points"/>
        <w:numPr>
          <w:ilvl w:val="0"/>
          <w:numId w:val="21"/>
        </w:numPr>
        <w:rPr>
          <w:lang w:val="es-ES_tradnl"/>
        </w:rPr>
      </w:pPr>
      <w:r>
        <w:rPr>
          <w:lang w:val="es-ES_tradnl"/>
        </w:rPr>
        <w:t>hexapoda, myriapoda, chelicerata, tardigrada</w:t>
      </w:r>
    </w:p>
    <w:p w:rsidR="006C2E16" w:rsidRDefault="006C2E16" w:rsidP="001C6BE7">
      <w:pPr>
        <w:pStyle w:val="Dot-points"/>
        <w:numPr>
          <w:ilvl w:val="0"/>
          <w:numId w:val="21"/>
        </w:numPr>
        <w:rPr>
          <w:kern w:val="28"/>
        </w:rPr>
      </w:pPr>
      <w:r>
        <w:t>microbial and fungal functional end points.</w:t>
      </w:r>
    </w:p>
    <w:p w:rsidR="006C2E16" w:rsidRDefault="006C2E16" w:rsidP="006C2E16">
      <w:r>
        <w:rPr>
          <w:kern w:val="28"/>
        </w:rPr>
        <w:t xml:space="preserve">These groupings are based on the basic body design of the organisms and the likely exposure route of organisms to the contaminant; that is, being exposed by the direct environment or through food. </w:t>
      </w:r>
      <w:r>
        <w:t>The following four derivation steps are listed in order of descending order of preference:</w:t>
      </w:r>
    </w:p>
    <w:p w:rsidR="006C2E16" w:rsidRDefault="006C2E16" w:rsidP="001C6BE7">
      <w:pPr>
        <w:pStyle w:val="text"/>
        <w:numPr>
          <w:ilvl w:val="0"/>
          <w:numId w:val="14"/>
        </w:numPr>
      </w:pPr>
      <w:r>
        <w:t>If normalisation relationships for all four taxonomic groupings are available and each grouping meets the minimum data requirements to use the SSD approach, derive a set of soil-specific ACL values for each grouping and then the lowest ACL for the soil in question is adopted.</w:t>
      </w:r>
    </w:p>
    <w:p w:rsidR="006C2E16" w:rsidRDefault="006C2E16" w:rsidP="001C6BE7">
      <w:pPr>
        <w:pStyle w:val="text"/>
        <w:numPr>
          <w:ilvl w:val="0"/>
          <w:numId w:val="14"/>
        </w:numPr>
      </w:pPr>
      <w:r>
        <w:t>If normalisation relationships for all four taxonomic groupings are available but at least one grouping does not meet the minimum data requirements to use the SSD approach, apply the normalisation relationships and combine all the data in one SSD calculation. Then use the normalisation relationships to derive a set of ACLs for each taxonomic grouping and the lowest ACL for the soil in question is adopted.</w:t>
      </w:r>
    </w:p>
    <w:p w:rsidR="006C2E16" w:rsidRDefault="006C2E16" w:rsidP="001C6BE7">
      <w:pPr>
        <w:pStyle w:val="text"/>
        <w:numPr>
          <w:ilvl w:val="0"/>
          <w:numId w:val="14"/>
        </w:numPr>
      </w:pPr>
      <w:r>
        <w:t>If normalisation relationships are available for some groupings then apply them to the appropriate data and combine all the data (including the non-normalised toxicity data) in one SSD calculation. Then use the normalisation relationships to derive a set of ACLs for each grouping of organisms that have a normalisation relationship and the lowest ACL for the soil in question is adopted.</w:t>
      </w:r>
    </w:p>
    <w:p w:rsidR="006C2E16" w:rsidRDefault="006C2E16" w:rsidP="001C6BE7">
      <w:pPr>
        <w:pStyle w:val="text"/>
        <w:numPr>
          <w:ilvl w:val="0"/>
          <w:numId w:val="14"/>
        </w:numPr>
      </w:pPr>
      <w:r>
        <w:t xml:space="preserve">If normalisation relationships are not available, then pool all data and derive one generic ACL. </w:t>
      </w:r>
    </w:p>
    <w:p w:rsidR="006C2E16" w:rsidRDefault="006C2E16" w:rsidP="006C2E16">
      <w:pPr>
        <w:rPr>
          <w:kern w:val="28"/>
        </w:rPr>
      </w:pPr>
      <w:r>
        <w:rPr>
          <w:kern w:val="28"/>
        </w:rPr>
        <w:t>The above steps are used to standardise the derivation of realistic EILs that are protective but at the same time ensure that the EILs do not become too conservative.</w:t>
      </w:r>
    </w:p>
    <w:p w:rsidR="00145F69" w:rsidRDefault="00145F69" w:rsidP="006C2E16">
      <w:pPr>
        <w:rPr>
          <w:kern w:val="28"/>
        </w:rPr>
      </w:pPr>
    </w:p>
    <w:p w:rsidR="00145F69" w:rsidRDefault="006C2E16" w:rsidP="006C2E16">
      <w:pPr>
        <w:rPr>
          <w:kern w:val="28"/>
        </w:rPr>
      </w:pPr>
      <w:r>
        <w:rPr>
          <w:kern w:val="28"/>
        </w:rPr>
        <w:t xml:space="preserve">If the toxicity data shows a </w:t>
      </w:r>
      <w:r w:rsidRPr="00B845AD">
        <w:rPr>
          <w:kern w:val="28"/>
        </w:rPr>
        <w:t>significant relationship with specific soil characteristics</w:t>
      </w:r>
      <w:r>
        <w:rPr>
          <w:kern w:val="28"/>
        </w:rPr>
        <w:t>;</w:t>
      </w:r>
      <w:r w:rsidRPr="00B845AD">
        <w:rPr>
          <w:kern w:val="28"/>
        </w:rPr>
        <w:t xml:space="preserve"> </w:t>
      </w:r>
      <w:r>
        <w:rPr>
          <w:kern w:val="28"/>
        </w:rPr>
        <w:t xml:space="preserve">for example, </w:t>
      </w:r>
      <w:r w:rsidRPr="00B845AD">
        <w:rPr>
          <w:kern w:val="28"/>
        </w:rPr>
        <w:t>soil pH, organic carbon or clay content, cation exchange capacity (CEC), soil-specific ACL values can be calculated using those relationships</w:t>
      </w:r>
      <w:r>
        <w:rPr>
          <w:kern w:val="28"/>
        </w:rPr>
        <w:t xml:space="preserve">. </w:t>
      </w:r>
      <w:r w:rsidRPr="00B845AD">
        <w:rPr>
          <w:kern w:val="28"/>
        </w:rPr>
        <w:t>T</w:t>
      </w:r>
      <w:r>
        <w:rPr>
          <w:kern w:val="28"/>
        </w:rPr>
        <w:t>he t</w:t>
      </w:r>
      <w:r w:rsidRPr="00B845AD">
        <w:rPr>
          <w:kern w:val="28"/>
        </w:rPr>
        <w:t xml:space="preserve">oxicity data </w:t>
      </w:r>
      <w:r>
        <w:rPr>
          <w:kern w:val="28"/>
        </w:rPr>
        <w:t>is</w:t>
      </w:r>
      <w:r w:rsidRPr="00B845AD">
        <w:rPr>
          <w:kern w:val="28"/>
        </w:rPr>
        <w:t xml:space="preserve"> first normalised</w:t>
      </w:r>
      <w:r>
        <w:rPr>
          <w:kern w:val="28"/>
        </w:rPr>
        <w:t xml:space="preserve"> to the reference Australian soil using the methods described above, and the ACL value derived using the SSD approach is valid for the Australian reference soil. Using the normalisation relationships, ACL values can then be </w:t>
      </w:r>
      <w:r>
        <w:rPr>
          <w:kern w:val="28"/>
        </w:rPr>
        <w:lastRenderedPageBreak/>
        <w:t>calculated for different soil types. For example, if toxicity data showed a relationship with pH, different ACL values can be calculated for a range of soil pH conditions.</w:t>
      </w:r>
    </w:p>
    <w:p w:rsidR="006C2E16" w:rsidRDefault="006C2E16" w:rsidP="006C2E16">
      <w:pPr>
        <w:rPr>
          <w:kern w:val="28"/>
        </w:rPr>
      </w:pPr>
      <w:r>
        <w:rPr>
          <w:kern w:val="28"/>
        </w:rPr>
        <w:t xml:space="preserve"> </w:t>
      </w:r>
    </w:p>
    <w:p w:rsidR="006C2E16" w:rsidRDefault="006C2E16" w:rsidP="006C2E16">
      <w:r w:rsidRPr="005802FA">
        <w:t xml:space="preserve">The lack of normalisation equations for </w:t>
      </w:r>
      <w:r>
        <w:t xml:space="preserve">soils from Australia can be overcome by using normalisation </w:t>
      </w:r>
      <w:r w:rsidRPr="005802FA">
        <w:t xml:space="preserve">relationships </w:t>
      </w:r>
      <w:r>
        <w:t xml:space="preserve">developed with soils </w:t>
      </w:r>
      <w:r w:rsidRPr="005802FA">
        <w:t xml:space="preserve">from </w:t>
      </w:r>
      <w:r>
        <w:t xml:space="preserve">other countries, particularly </w:t>
      </w:r>
      <w:r w:rsidRPr="005802FA">
        <w:t>Europe and America</w:t>
      </w:r>
      <w:r>
        <w:t xml:space="preserve">. </w:t>
      </w:r>
      <w:r w:rsidRPr="005802FA">
        <w:t>However, these normalisation relationships should only be used when they are derived from soils similar to Australian soils</w:t>
      </w:r>
      <w:r>
        <w:t xml:space="preserve"> and/or their validity for Australian soils has been assessed and found suitable. </w:t>
      </w:r>
      <w:r w:rsidRPr="005802FA">
        <w:t>The importance of this was shown by a study of Broos et al. (2007)</w:t>
      </w:r>
      <w:r>
        <w:t>, which</w:t>
      </w:r>
      <w:r w:rsidRPr="005802FA">
        <w:t xml:space="preserve"> assessed the normalisation relationships of Smolders et al</w:t>
      </w:r>
      <w:r>
        <w:t>.</w:t>
      </w:r>
      <w:r w:rsidRPr="005802FA">
        <w:t xml:space="preserve"> </w:t>
      </w:r>
      <w:r>
        <w:t>(</w:t>
      </w:r>
      <w:r w:rsidRPr="005802FA">
        <w:t>2004</w:t>
      </w:r>
      <w:r>
        <w:t>)</w:t>
      </w:r>
      <w:r w:rsidRPr="005802FA">
        <w:t xml:space="preserve"> and Oorts et al</w:t>
      </w:r>
      <w:r>
        <w:t>. (</w:t>
      </w:r>
      <w:r w:rsidRPr="005802FA">
        <w:t>2006</w:t>
      </w:r>
      <w:r>
        <w:t>)</w:t>
      </w:r>
      <w:r w:rsidRPr="005802FA">
        <w:t xml:space="preserve"> </w:t>
      </w:r>
      <w:r>
        <w:t xml:space="preserve">for microbial nitrification in soils. They </w:t>
      </w:r>
      <w:r w:rsidRPr="005802FA">
        <w:t>re</w:t>
      </w:r>
      <w:r>
        <w:t>-</w:t>
      </w:r>
      <w:r w:rsidRPr="005802FA">
        <w:t xml:space="preserve">analysed the </w:t>
      </w:r>
      <w:r>
        <w:t xml:space="preserve">overseas </w:t>
      </w:r>
      <w:r w:rsidRPr="005802FA">
        <w:t>data after removing microbial toxicity data for soils with</w:t>
      </w:r>
      <w:r>
        <w:t xml:space="preserve"> organic compound</w:t>
      </w:r>
      <w:r w:rsidRPr="005802FA">
        <w:t xml:space="preserve"> concentrations greater than those found in Australian soils</w:t>
      </w:r>
      <w:r>
        <w:t xml:space="preserve">. </w:t>
      </w:r>
      <w:r w:rsidRPr="005802FA">
        <w:t xml:space="preserve">This resulted in a change of </w:t>
      </w:r>
      <w:r>
        <w:t>soil characteristics,</w:t>
      </w:r>
      <w:r w:rsidRPr="005802FA">
        <w:t xml:space="preserve"> explaining the variance in the toxicity data. </w:t>
      </w:r>
    </w:p>
    <w:p w:rsidR="00145F69" w:rsidRDefault="00145F69" w:rsidP="006C2E16"/>
    <w:p w:rsidR="006C2E16" w:rsidRDefault="006C2E16" w:rsidP="006C2E16">
      <w:r>
        <w:t xml:space="preserve">A second option to overcome the lack of normalisation relationships in the literature is to examine the currently available toxicity data and use regression analyses on the collated data to determine if a significant relationship exists between toxicity and soil </w:t>
      </w:r>
      <w:r w:rsidRPr="00AA7762">
        <w:t xml:space="preserve">characteristics. </w:t>
      </w:r>
    </w:p>
    <w:p w:rsidR="00145F69" w:rsidRPr="00AA7762" w:rsidRDefault="00145F69" w:rsidP="006C2E16"/>
    <w:p w:rsidR="006C2E16" w:rsidRDefault="006C2E16" w:rsidP="006C2E16">
      <w:r w:rsidRPr="00AA7762">
        <w:t>Normalisation relationships from field</w:t>
      </w:r>
      <w:r w:rsidRPr="009B3145">
        <w:t xml:space="preserve"> studies are preferred over </w:t>
      </w:r>
      <w:r>
        <w:t xml:space="preserve">those from </w:t>
      </w:r>
      <w:r w:rsidRPr="009B3145">
        <w:t>laboratory studies</w:t>
      </w:r>
      <w:r>
        <w:t xml:space="preserve">. </w:t>
      </w:r>
      <w:r w:rsidRPr="009B3145">
        <w:t>All the normalisation relationships for toxicity</w:t>
      </w:r>
      <w:r>
        <w:t>,</w:t>
      </w:r>
      <w:r w:rsidRPr="009B3145">
        <w:t xml:space="preserve"> apart from those developed by Broos et al. (2007) and Warne et al. </w:t>
      </w:r>
      <w:r w:rsidRPr="00162DF5">
        <w:t>(2008b)</w:t>
      </w:r>
      <w:r>
        <w:t>,</w:t>
      </w:r>
      <w:r w:rsidRPr="00162DF5">
        <w:t xml:space="preserve"> model laboratory-based data (Rooney et al. 2006</w:t>
      </w:r>
      <w:r>
        <w:t>;</w:t>
      </w:r>
      <w:r w:rsidRPr="00162DF5">
        <w:t xml:space="preserve"> Smolders et al. 2003</w:t>
      </w:r>
      <w:r>
        <w:t>;</w:t>
      </w:r>
      <w:r w:rsidRPr="00162DF5">
        <w:t xml:space="preserve"> Smolders et al. 2004</w:t>
      </w:r>
      <w:r>
        <w:t>;</w:t>
      </w:r>
      <w:r w:rsidRPr="00162DF5">
        <w:t xml:space="preserve"> Oorts et al. 2006</w:t>
      </w:r>
      <w:r>
        <w:t>;</w:t>
      </w:r>
      <w:r w:rsidRPr="00162DF5">
        <w:t xml:space="preserve"> EU 2006</w:t>
      </w:r>
      <w:r>
        <w:t>b;</w:t>
      </w:r>
      <w:r w:rsidRPr="00162DF5">
        <w:t xml:space="preserve"> Song et al 2006</w:t>
      </w:r>
      <w:r>
        <w:t>,</w:t>
      </w:r>
      <w:r w:rsidRPr="00162DF5">
        <w:t xml:space="preserve"> Warne et al 2008a)</w:t>
      </w:r>
      <w:r>
        <w:t xml:space="preserve">. </w:t>
      </w:r>
      <w:r w:rsidRPr="009B3145">
        <w:t>Warne et al. (</w:t>
      </w:r>
      <w:r>
        <w:t>2008b</w:t>
      </w:r>
      <w:r w:rsidRPr="009B3145">
        <w:t>) found that field-based normalisation relationships gave much more accurate estimates of field phytotoxicity than laboratory-based normalisation equations</w:t>
      </w:r>
      <w:r>
        <w:t>. T</w:t>
      </w:r>
      <w:r w:rsidRPr="009B3145">
        <w:t>herefore</w:t>
      </w:r>
      <w:r>
        <w:t>,</w:t>
      </w:r>
      <w:r w:rsidRPr="009B3145">
        <w:t xml:space="preserve"> field-based normalisation relationships </w:t>
      </w:r>
      <w:r>
        <w:t xml:space="preserve">should </w:t>
      </w:r>
      <w:r w:rsidRPr="009B3145">
        <w:t>be used in preference to laboratory-based normalisation</w:t>
      </w:r>
      <w:r w:rsidRPr="005802FA">
        <w:t xml:space="preserve"> relationships</w:t>
      </w:r>
      <w:r>
        <w:t xml:space="preserve">. </w:t>
      </w:r>
      <w:r w:rsidRPr="005802FA">
        <w:t>It is</w:t>
      </w:r>
      <w:r>
        <w:t>,</w:t>
      </w:r>
      <w:r w:rsidRPr="005802FA">
        <w:t xml:space="preserve"> however, realised that the current lack of field-based normalisation relationships will </w:t>
      </w:r>
      <w:r>
        <w:t>unavoidably</w:t>
      </w:r>
      <w:r w:rsidRPr="005802FA">
        <w:t xml:space="preserve"> necessitate the use of laboratory-based relationships</w:t>
      </w:r>
      <w:r>
        <w:t>,</w:t>
      </w:r>
      <w:r w:rsidRPr="005802FA">
        <w:t xml:space="preserve"> despite their limitations. </w:t>
      </w:r>
    </w:p>
    <w:p w:rsidR="00145F69" w:rsidRPr="005802FA" w:rsidRDefault="00145F69" w:rsidP="006C2E16"/>
    <w:p w:rsidR="006C2E16" w:rsidRPr="009F374A" w:rsidRDefault="006C2E16" w:rsidP="006C2E16">
      <w:pPr>
        <w:rPr>
          <w:kern w:val="28"/>
        </w:rPr>
      </w:pPr>
      <w:r>
        <w:rPr>
          <w:kern w:val="28"/>
        </w:rPr>
        <w:t>If multiple normalisation relationships are available within a taxonomic group of organisms, then the most geographically appropriate normalisation relationship should be applied to the toxicity data. For example, a European normalisation relationship would be applied to European data and an Australian normalisation relationship would be applied to Australian data. If there are multiple geographically appropriate normalisation relationships for a group of organisms, then the relationship with the lowest slope should be used, as this will give the most conservative normalised toxicity data (EC 2008).</w:t>
      </w:r>
    </w:p>
    <w:p w:rsidR="006C2E16" w:rsidRPr="00170FCF" w:rsidRDefault="006C2E16" w:rsidP="001C6BE7">
      <w:pPr>
        <w:pStyle w:val="Heading3"/>
      </w:pPr>
      <w:bookmarkStart w:id="100" w:name="_Toc255359978"/>
      <w:bookmarkStart w:id="101" w:name="_Toc269122452"/>
      <w:bookmarkStart w:id="102" w:name="_Toc351713148"/>
      <w:r>
        <w:t>Calculation of the added contaminant level using an a</w:t>
      </w:r>
      <w:r w:rsidRPr="00170FCF">
        <w:t>ssessment factor approach</w:t>
      </w:r>
      <w:bookmarkEnd w:id="100"/>
      <w:bookmarkEnd w:id="101"/>
      <w:bookmarkEnd w:id="102"/>
    </w:p>
    <w:p w:rsidR="006C2E16" w:rsidRPr="0075030B" w:rsidRDefault="006C2E16" w:rsidP="006C2E16">
      <w:r w:rsidRPr="0075030B">
        <w:t>If the minimum data requirements for the SSD approach</w:t>
      </w:r>
      <w:r w:rsidRPr="00463A0E">
        <w:t xml:space="preserve"> </w:t>
      </w:r>
      <w:r w:rsidRPr="0075030B">
        <w:t xml:space="preserve">cannot be met, the </w:t>
      </w:r>
      <w:r>
        <w:t>AF</w:t>
      </w:r>
      <w:r w:rsidRPr="0075030B">
        <w:t xml:space="preserve"> approach </w:t>
      </w:r>
      <w:r>
        <w:t xml:space="preserve">should be used </w:t>
      </w:r>
      <w:r w:rsidRPr="0075030B">
        <w:t xml:space="preserve">to derive </w:t>
      </w:r>
      <w:r>
        <w:t xml:space="preserve">EILs. </w:t>
      </w:r>
      <w:r w:rsidRPr="005802FA">
        <w:t xml:space="preserve">The </w:t>
      </w:r>
      <w:r>
        <w:t>AF</w:t>
      </w:r>
      <w:r w:rsidRPr="005802FA">
        <w:t xml:space="preserve"> is </w:t>
      </w:r>
      <w:r>
        <w:t>a</w:t>
      </w:r>
      <w:r w:rsidRPr="005802FA">
        <w:t xml:space="preserve"> ‘</w:t>
      </w:r>
      <w:r>
        <w:t>worst-case scenario’ type of approach. In this approach the lowest toxicity value for a contaminant; that is, the most sensitive data point, is divided by an AF in order to derive an ACL.</w:t>
      </w:r>
    </w:p>
    <w:p w:rsidR="006C2E16" w:rsidRDefault="006C2E16" w:rsidP="006C2E16"/>
    <w:p w:rsidR="006C2E16" w:rsidRDefault="006C2E16" w:rsidP="006C2E16">
      <w:pPr>
        <w:ind w:left="720" w:firstLine="720"/>
      </w:pPr>
      <w:r w:rsidRPr="00DA698C">
        <w:rPr>
          <w:position w:val="-30"/>
        </w:rPr>
        <w:object w:dxaOrig="3100" w:dyaOrig="680">
          <v:shape id="_x0000_i1026" type="#_x0000_t75" style="width:152.25pt;height:33.75pt" o:ole="">
            <v:imagedata r:id="rId18" o:title=""/>
          </v:shape>
          <o:OLEObject Type="Embed" ProgID="Equation.3" ShapeID="_x0000_i1026" DrawAspect="Content" ObjectID="_1425460846" r:id="rId19"/>
        </w:object>
      </w:r>
      <w:r w:rsidR="00145F69">
        <w:tab/>
      </w:r>
      <w:r>
        <w:tab/>
      </w:r>
      <w:r>
        <w:tab/>
      </w:r>
      <w:r w:rsidRPr="00CB7129">
        <w:rPr>
          <w:i/>
          <w:iCs/>
        </w:rPr>
        <w:t>(</w:t>
      </w:r>
      <w:r>
        <w:rPr>
          <w:i/>
          <w:iCs/>
        </w:rPr>
        <w:t>equation 5</w:t>
      </w:r>
      <w:r w:rsidRPr="00CB7129">
        <w:rPr>
          <w:i/>
          <w:iCs/>
        </w:rPr>
        <w:t>)</w:t>
      </w:r>
      <w:r>
        <w:t xml:space="preserve"> </w:t>
      </w:r>
    </w:p>
    <w:p w:rsidR="006C2E16" w:rsidRDefault="006C2E16" w:rsidP="006C2E16">
      <w:pPr>
        <w:rPr>
          <w:kern w:val="28"/>
        </w:rPr>
      </w:pPr>
    </w:p>
    <w:p w:rsidR="006C2E16" w:rsidRPr="008701E2" w:rsidRDefault="006C2E16" w:rsidP="006C2E16">
      <w:pPr>
        <w:rPr>
          <w:kern w:val="28"/>
          <w:highlight w:val="yellow"/>
        </w:rPr>
      </w:pPr>
      <w:r w:rsidRPr="008701E2">
        <w:rPr>
          <w:kern w:val="28"/>
        </w:rPr>
        <w:t xml:space="preserve">Equation </w:t>
      </w:r>
      <w:r>
        <w:rPr>
          <w:kern w:val="28"/>
        </w:rPr>
        <w:t>5</w:t>
      </w:r>
      <w:r w:rsidRPr="008701E2">
        <w:rPr>
          <w:kern w:val="28"/>
        </w:rPr>
        <w:t xml:space="preserve"> applies to the derivation of EILs</w:t>
      </w:r>
      <w:r>
        <w:rPr>
          <w:kern w:val="28"/>
        </w:rPr>
        <w:t>;</w:t>
      </w:r>
      <w:r w:rsidRPr="008701E2">
        <w:rPr>
          <w:kern w:val="28"/>
        </w:rPr>
        <w:t xml:space="preserve"> if other </w:t>
      </w:r>
      <w:r>
        <w:rPr>
          <w:kern w:val="28"/>
        </w:rPr>
        <w:t>SQGs</w:t>
      </w:r>
      <w:r w:rsidRPr="008701E2">
        <w:rPr>
          <w:kern w:val="28"/>
        </w:rPr>
        <w:t xml:space="preserve"> were to be derived</w:t>
      </w:r>
      <w:r>
        <w:rPr>
          <w:kern w:val="28"/>
        </w:rPr>
        <w:t>,</w:t>
      </w:r>
      <w:r w:rsidRPr="008701E2">
        <w:rPr>
          <w:kern w:val="28"/>
        </w:rPr>
        <w:t xml:space="preserve"> then different toxicity data would be substituted in the equation</w:t>
      </w:r>
      <w:r>
        <w:rPr>
          <w:kern w:val="28"/>
        </w:rPr>
        <w:t xml:space="preserve">. </w:t>
      </w:r>
      <w:r w:rsidRPr="008701E2">
        <w:rPr>
          <w:kern w:val="28"/>
        </w:rPr>
        <w:t>T</w:t>
      </w:r>
      <w:r>
        <w:rPr>
          <w:kern w:val="28"/>
        </w:rPr>
        <w:t xml:space="preserve">he magnitudes of the AFs depend on the available toxicity data and are given in Table 13 below. If there is toxicity data for less than three species, the AF is 500, due to the lack of information and thereby the high uncertainty in estimating the risk posed by the contaminant in the soil. If there is toxicity data for more than three species the AF decreases, depending on how many taxonomic or nutrient groups are represented (see Tables 10 and 11 above for taxonomic and nutrient groups respectively). If field data or model ecosystems with multiple species tested are available, an assessment has to be made as to how well the study represents the field situation and how protective the toxicity data is. An AF of 10 should be used if the EIL is calculated using mesocosm or microcosm data. </w:t>
      </w:r>
    </w:p>
    <w:p w:rsidR="006C2E16" w:rsidRDefault="006C2E16" w:rsidP="006C2E16">
      <w:pPr>
        <w:rPr>
          <w:b/>
          <w:bCs/>
          <w:szCs w:val="22"/>
        </w:rPr>
      </w:pPr>
    </w:p>
    <w:p w:rsidR="00875BD5" w:rsidRDefault="00875BD5">
      <w:pPr>
        <w:spacing w:line="240" w:lineRule="auto"/>
        <w:rPr>
          <w:rFonts w:ascii="Book Antiqua" w:eastAsia="Times New Roman" w:hAnsi="Book Antiqua" w:cs="Book Antiqua"/>
          <w:b/>
          <w:bCs/>
          <w:szCs w:val="22"/>
          <w:lang w:eastAsia="en-AU"/>
        </w:rPr>
      </w:pPr>
      <w:r>
        <w:br w:type="page"/>
      </w:r>
    </w:p>
    <w:p w:rsidR="006C2E16" w:rsidRDefault="006C2E16" w:rsidP="006C2E16">
      <w:pPr>
        <w:pStyle w:val="Caption"/>
      </w:pPr>
      <w:r w:rsidRPr="00363524">
        <w:lastRenderedPageBreak/>
        <w:t>Table 13. Assessm</w:t>
      </w:r>
      <w:r w:rsidRPr="0050279E">
        <w:t>e</w:t>
      </w:r>
      <w:r w:rsidRPr="00363524">
        <w:t xml:space="preserve">nt factors to be used to derive ACL using the AF approach (adapted from ANZECC &amp; ARMCANZ 2000).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3240"/>
        <w:gridCol w:w="2520"/>
      </w:tblGrid>
      <w:tr w:rsidR="006C2E16" w:rsidRPr="0050279E" w:rsidTr="00A10D4B">
        <w:trPr>
          <w:jc w:val="center"/>
        </w:trPr>
        <w:tc>
          <w:tcPr>
            <w:tcW w:w="8720" w:type="dxa"/>
            <w:gridSpan w:val="3"/>
            <w:shd w:val="clear" w:color="auto" w:fill="C6D9F1" w:themeFill="text2" w:themeFillTint="33"/>
          </w:tcPr>
          <w:p w:rsidR="006C2E16" w:rsidRPr="0050279E" w:rsidRDefault="006C2E16" w:rsidP="00A10D4B">
            <w:pPr>
              <w:autoSpaceDE w:val="0"/>
              <w:autoSpaceDN w:val="0"/>
              <w:adjustRightInd w:val="0"/>
              <w:jc w:val="center"/>
              <w:rPr>
                <w:b/>
                <w:bCs/>
                <w:szCs w:val="22"/>
              </w:rPr>
            </w:pPr>
            <w:r w:rsidRPr="0050279E">
              <w:rPr>
                <w:b/>
                <w:bCs/>
                <w:szCs w:val="22"/>
              </w:rPr>
              <w:t>Toxicity data available for derivation of ACL</w:t>
            </w:r>
          </w:p>
        </w:tc>
      </w:tr>
      <w:tr w:rsidR="006C2E16" w:rsidRPr="0050279E" w:rsidTr="00A10D4B">
        <w:trPr>
          <w:jc w:val="center"/>
        </w:trPr>
        <w:tc>
          <w:tcPr>
            <w:tcW w:w="2960" w:type="dxa"/>
            <w:shd w:val="clear" w:color="auto" w:fill="C6D9F1" w:themeFill="text2" w:themeFillTint="33"/>
          </w:tcPr>
          <w:p w:rsidR="006C2E16" w:rsidRPr="0050279E" w:rsidRDefault="006C2E16" w:rsidP="00A10D4B">
            <w:pPr>
              <w:autoSpaceDE w:val="0"/>
              <w:autoSpaceDN w:val="0"/>
              <w:adjustRightInd w:val="0"/>
              <w:jc w:val="center"/>
              <w:rPr>
                <w:b/>
                <w:bCs/>
                <w:szCs w:val="22"/>
              </w:rPr>
            </w:pPr>
            <w:r w:rsidRPr="0050279E">
              <w:rPr>
                <w:b/>
                <w:bCs/>
                <w:szCs w:val="22"/>
              </w:rPr>
              <w:t>Number of species</w:t>
            </w:r>
          </w:p>
        </w:tc>
        <w:tc>
          <w:tcPr>
            <w:tcW w:w="3240" w:type="dxa"/>
            <w:shd w:val="clear" w:color="auto" w:fill="C6D9F1" w:themeFill="text2" w:themeFillTint="33"/>
          </w:tcPr>
          <w:p w:rsidR="006C2E16" w:rsidRPr="0050279E" w:rsidRDefault="006C2E16" w:rsidP="00A10D4B">
            <w:pPr>
              <w:autoSpaceDE w:val="0"/>
              <w:autoSpaceDN w:val="0"/>
              <w:adjustRightInd w:val="0"/>
              <w:jc w:val="center"/>
              <w:rPr>
                <w:b/>
                <w:bCs/>
                <w:szCs w:val="22"/>
              </w:rPr>
            </w:pPr>
            <w:r w:rsidRPr="0050279E">
              <w:rPr>
                <w:b/>
                <w:bCs/>
                <w:szCs w:val="22"/>
              </w:rPr>
              <w:t>Number of taxonomic or nutrient groups</w:t>
            </w:r>
          </w:p>
        </w:tc>
        <w:tc>
          <w:tcPr>
            <w:tcW w:w="2520" w:type="dxa"/>
            <w:shd w:val="clear" w:color="auto" w:fill="C6D9F1" w:themeFill="text2" w:themeFillTint="33"/>
          </w:tcPr>
          <w:p w:rsidR="006C2E16" w:rsidRPr="0050279E" w:rsidRDefault="006C2E16" w:rsidP="00A10D4B">
            <w:pPr>
              <w:autoSpaceDE w:val="0"/>
              <w:autoSpaceDN w:val="0"/>
              <w:adjustRightInd w:val="0"/>
              <w:jc w:val="center"/>
              <w:rPr>
                <w:b/>
                <w:bCs/>
                <w:szCs w:val="22"/>
              </w:rPr>
            </w:pPr>
            <w:r w:rsidRPr="0050279E">
              <w:rPr>
                <w:b/>
                <w:bCs/>
                <w:szCs w:val="22"/>
              </w:rPr>
              <w:t>Assessment factor</w:t>
            </w:r>
          </w:p>
        </w:tc>
      </w:tr>
      <w:tr w:rsidR="006C2E16" w:rsidRPr="0050279E" w:rsidTr="00A10D4B">
        <w:trPr>
          <w:trHeight w:val="454"/>
          <w:jc w:val="center"/>
        </w:trPr>
        <w:tc>
          <w:tcPr>
            <w:tcW w:w="2960" w:type="dxa"/>
            <w:vAlign w:val="center"/>
          </w:tcPr>
          <w:p w:rsidR="006C2E16" w:rsidRPr="0050279E" w:rsidRDefault="006C2E16" w:rsidP="00A10D4B">
            <w:pPr>
              <w:autoSpaceDE w:val="0"/>
              <w:autoSpaceDN w:val="0"/>
              <w:adjustRightInd w:val="0"/>
              <w:rPr>
                <w:szCs w:val="22"/>
              </w:rPr>
            </w:pPr>
            <w:r w:rsidRPr="0050279E">
              <w:rPr>
                <w:szCs w:val="22"/>
              </w:rPr>
              <w:t>&lt;3 species</w:t>
            </w:r>
          </w:p>
        </w:tc>
        <w:tc>
          <w:tcPr>
            <w:tcW w:w="3240" w:type="dxa"/>
          </w:tcPr>
          <w:p w:rsidR="006C2E16" w:rsidRPr="0050279E" w:rsidRDefault="006C2E16" w:rsidP="00A10D4B">
            <w:pPr>
              <w:autoSpaceDE w:val="0"/>
              <w:autoSpaceDN w:val="0"/>
              <w:adjustRightInd w:val="0"/>
              <w:rPr>
                <w:szCs w:val="22"/>
              </w:rPr>
            </w:pPr>
            <w:r w:rsidRPr="0050279E">
              <w:rPr>
                <w:szCs w:val="22"/>
              </w:rPr>
              <w:t>N/A</w:t>
            </w:r>
          </w:p>
        </w:tc>
        <w:tc>
          <w:tcPr>
            <w:tcW w:w="2520" w:type="dxa"/>
            <w:vAlign w:val="center"/>
          </w:tcPr>
          <w:p w:rsidR="006C2E16" w:rsidRPr="0050279E" w:rsidRDefault="006C2E16" w:rsidP="00A10D4B">
            <w:pPr>
              <w:autoSpaceDE w:val="0"/>
              <w:autoSpaceDN w:val="0"/>
              <w:adjustRightInd w:val="0"/>
              <w:rPr>
                <w:szCs w:val="22"/>
              </w:rPr>
            </w:pPr>
            <w:r w:rsidRPr="0050279E">
              <w:rPr>
                <w:szCs w:val="22"/>
              </w:rPr>
              <w:t>500</w:t>
            </w:r>
          </w:p>
        </w:tc>
      </w:tr>
      <w:tr w:rsidR="006C2E16" w:rsidRPr="0050279E" w:rsidTr="00A10D4B">
        <w:trPr>
          <w:jc w:val="center"/>
        </w:trPr>
        <w:tc>
          <w:tcPr>
            <w:tcW w:w="2960" w:type="dxa"/>
            <w:vMerge w:val="restart"/>
            <w:vAlign w:val="center"/>
          </w:tcPr>
          <w:p w:rsidR="006C2E16" w:rsidRPr="0050279E" w:rsidRDefault="006C2E16" w:rsidP="00A10D4B">
            <w:pPr>
              <w:autoSpaceDE w:val="0"/>
              <w:autoSpaceDN w:val="0"/>
              <w:adjustRightInd w:val="0"/>
              <w:rPr>
                <w:szCs w:val="22"/>
              </w:rPr>
            </w:pPr>
            <w:r w:rsidRPr="0050279E">
              <w:rPr>
                <w:szCs w:val="22"/>
              </w:rPr>
              <w:t xml:space="preserve">≥3 species </w:t>
            </w:r>
          </w:p>
        </w:tc>
        <w:tc>
          <w:tcPr>
            <w:tcW w:w="3240" w:type="dxa"/>
          </w:tcPr>
          <w:p w:rsidR="006C2E16" w:rsidRPr="0050279E" w:rsidRDefault="006C2E16" w:rsidP="00A10D4B">
            <w:pPr>
              <w:autoSpaceDE w:val="0"/>
              <w:autoSpaceDN w:val="0"/>
              <w:adjustRightInd w:val="0"/>
              <w:rPr>
                <w:szCs w:val="22"/>
              </w:rPr>
            </w:pPr>
            <w:r w:rsidRPr="0050279E">
              <w:rPr>
                <w:szCs w:val="22"/>
              </w:rPr>
              <w:t>1</w:t>
            </w:r>
          </w:p>
        </w:tc>
        <w:tc>
          <w:tcPr>
            <w:tcW w:w="2520" w:type="dxa"/>
            <w:vAlign w:val="center"/>
          </w:tcPr>
          <w:p w:rsidR="006C2E16" w:rsidRPr="0050279E" w:rsidRDefault="006C2E16" w:rsidP="00A10D4B">
            <w:pPr>
              <w:autoSpaceDE w:val="0"/>
              <w:autoSpaceDN w:val="0"/>
              <w:adjustRightInd w:val="0"/>
              <w:rPr>
                <w:szCs w:val="22"/>
              </w:rPr>
            </w:pPr>
            <w:r w:rsidRPr="0050279E">
              <w:rPr>
                <w:szCs w:val="22"/>
              </w:rPr>
              <w:t>100</w:t>
            </w:r>
          </w:p>
        </w:tc>
      </w:tr>
      <w:tr w:rsidR="006C2E16" w:rsidRPr="0050279E" w:rsidTr="00A10D4B">
        <w:trPr>
          <w:jc w:val="center"/>
        </w:trPr>
        <w:tc>
          <w:tcPr>
            <w:tcW w:w="2960" w:type="dxa"/>
            <w:vMerge/>
            <w:vAlign w:val="center"/>
          </w:tcPr>
          <w:p w:rsidR="006C2E16" w:rsidRPr="0050279E" w:rsidRDefault="006C2E16" w:rsidP="00A10D4B">
            <w:pPr>
              <w:autoSpaceDE w:val="0"/>
              <w:autoSpaceDN w:val="0"/>
              <w:adjustRightInd w:val="0"/>
              <w:rPr>
                <w:szCs w:val="22"/>
              </w:rPr>
            </w:pPr>
          </w:p>
        </w:tc>
        <w:tc>
          <w:tcPr>
            <w:tcW w:w="3240" w:type="dxa"/>
          </w:tcPr>
          <w:p w:rsidR="006C2E16" w:rsidRPr="0050279E" w:rsidRDefault="006C2E16" w:rsidP="00A10D4B">
            <w:pPr>
              <w:autoSpaceDE w:val="0"/>
              <w:autoSpaceDN w:val="0"/>
              <w:adjustRightInd w:val="0"/>
              <w:rPr>
                <w:szCs w:val="22"/>
              </w:rPr>
            </w:pPr>
            <w:r w:rsidRPr="0050279E">
              <w:rPr>
                <w:szCs w:val="22"/>
              </w:rPr>
              <w:t>2</w:t>
            </w:r>
          </w:p>
        </w:tc>
        <w:tc>
          <w:tcPr>
            <w:tcW w:w="2520" w:type="dxa"/>
            <w:vAlign w:val="center"/>
          </w:tcPr>
          <w:p w:rsidR="006C2E16" w:rsidRPr="0050279E" w:rsidRDefault="006C2E16" w:rsidP="00A10D4B">
            <w:pPr>
              <w:autoSpaceDE w:val="0"/>
              <w:autoSpaceDN w:val="0"/>
              <w:adjustRightInd w:val="0"/>
              <w:rPr>
                <w:szCs w:val="22"/>
              </w:rPr>
            </w:pPr>
            <w:r w:rsidRPr="0050279E">
              <w:rPr>
                <w:szCs w:val="22"/>
              </w:rPr>
              <w:t>50</w:t>
            </w:r>
          </w:p>
        </w:tc>
      </w:tr>
      <w:tr w:rsidR="006C2E16" w:rsidRPr="0050279E" w:rsidTr="00A10D4B">
        <w:trPr>
          <w:jc w:val="center"/>
        </w:trPr>
        <w:tc>
          <w:tcPr>
            <w:tcW w:w="2960" w:type="dxa"/>
            <w:vAlign w:val="center"/>
          </w:tcPr>
          <w:p w:rsidR="006C2E16" w:rsidRPr="0050279E" w:rsidRDefault="006C2E16" w:rsidP="00A10D4B">
            <w:pPr>
              <w:autoSpaceDE w:val="0"/>
              <w:autoSpaceDN w:val="0"/>
              <w:adjustRightInd w:val="0"/>
              <w:rPr>
                <w:szCs w:val="22"/>
              </w:rPr>
            </w:pPr>
            <w:r w:rsidRPr="0050279E">
              <w:rPr>
                <w:szCs w:val="22"/>
              </w:rPr>
              <w:t>&lt;5 species</w:t>
            </w:r>
          </w:p>
        </w:tc>
        <w:tc>
          <w:tcPr>
            <w:tcW w:w="3240" w:type="dxa"/>
          </w:tcPr>
          <w:p w:rsidR="006C2E16" w:rsidRPr="0050279E" w:rsidRDefault="006C2E16" w:rsidP="00A10D4B">
            <w:pPr>
              <w:autoSpaceDE w:val="0"/>
              <w:autoSpaceDN w:val="0"/>
              <w:adjustRightInd w:val="0"/>
              <w:rPr>
                <w:szCs w:val="22"/>
              </w:rPr>
            </w:pPr>
            <w:r w:rsidRPr="0050279E">
              <w:rPr>
                <w:szCs w:val="22"/>
              </w:rPr>
              <w:t>3</w:t>
            </w:r>
          </w:p>
        </w:tc>
        <w:tc>
          <w:tcPr>
            <w:tcW w:w="2520" w:type="dxa"/>
            <w:vAlign w:val="center"/>
          </w:tcPr>
          <w:p w:rsidR="006C2E16" w:rsidRPr="0050279E" w:rsidRDefault="006C2E16" w:rsidP="00A10D4B">
            <w:pPr>
              <w:autoSpaceDE w:val="0"/>
              <w:autoSpaceDN w:val="0"/>
              <w:adjustRightInd w:val="0"/>
              <w:rPr>
                <w:szCs w:val="22"/>
              </w:rPr>
            </w:pPr>
            <w:r w:rsidRPr="0050279E">
              <w:rPr>
                <w:szCs w:val="22"/>
              </w:rPr>
              <w:t>10</w:t>
            </w:r>
          </w:p>
        </w:tc>
      </w:tr>
      <w:tr w:rsidR="006C2E16" w:rsidRPr="0050279E" w:rsidTr="00A10D4B">
        <w:trPr>
          <w:trHeight w:val="469"/>
          <w:jc w:val="center"/>
        </w:trPr>
        <w:tc>
          <w:tcPr>
            <w:tcW w:w="2960" w:type="dxa"/>
            <w:vAlign w:val="center"/>
          </w:tcPr>
          <w:p w:rsidR="006C2E16" w:rsidRPr="0050279E" w:rsidRDefault="006C2E16" w:rsidP="00A10D4B">
            <w:pPr>
              <w:autoSpaceDE w:val="0"/>
              <w:autoSpaceDN w:val="0"/>
              <w:adjustRightInd w:val="0"/>
              <w:rPr>
                <w:szCs w:val="22"/>
              </w:rPr>
            </w:pPr>
            <w:r w:rsidRPr="0050279E">
              <w:rPr>
                <w:szCs w:val="22"/>
              </w:rPr>
              <w:t xml:space="preserve">Field data/data of model ecosystems </w:t>
            </w:r>
          </w:p>
        </w:tc>
        <w:tc>
          <w:tcPr>
            <w:tcW w:w="3240" w:type="dxa"/>
          </w:tcPr>
          <w:p w:rsidR="006C2E16" w:rsidRPr="0050279E" w:rsidRDefault="006C2E16" w:rsidP="00A10D4B">
            <w:pPr>
              <w:autoSpaceDE w:val="0"/>
              <w:autoSpaceDN w:val="0"/>
              <w:adjustRightInd w:val="0"/>
              <w:rPr>
                <w:szCs w:val="22"/>
              </w:rPr>
            </w:pPr>
          </w:p>
        </w:tc>
        <w:tc>
          <w:tcPr>
            <w:tcW w:w="2520" w:type="dxa"/>
            <w:vAlign w:val="center"/>
          </w:tcPr>
          <w:p w:rsidR="006C2E16" w:rsidRPr="0050279E" w:rsidRDefault="006C2E16" w:rsidP="00A10D4B">
            <w:pPr>
              <w:autoSpaceDE w:val="0"/>
              <w:autoSpaceDN w:val="0"/>
              <w:adjustRightInd w:val="0"/>
              <w:rPr>
                <w:szCs w:val="22"/>
              </w:rPr>
            </w:pPr>
            <w:r w:rsidRPr="0050279E">
              <w:rPr>
                <w:szCs w:val="22"/>
              </w:rPr>
              <w:t>10</w:t>
            </w:r>
          </w:p>
        </w:tc>
      </w:tr>
    </w:tbl>
    <w:p w:rsidR="006C2E16" w:rsidRPr="00A27951" w:rsidRDefault="006C2E16" w:rsidP="006C2E16">
      <w:pPr>
        <w:autoSpaceDE w:val="0"/>
        <w:autoSpaceDN w:val="0"/>
        <w:adjustRightInd w:val="0"/>
        <w:rPr>
          <w:sz w:val="18"/>
          <w:szCs w:val="18"/>
        </w:rPr>
      </w:pPr>
      <w:r>
        <w:rPr>
          <w:sz w:val="18"/>
          <w:szCs w:val="18"/>
          <w:vertAlign w:val="superscript"/>
        </w:rPr>
        <w:t xml:space="preserve">     </w:t>
      </w:r>
      <w:r w:rsidRPr="00A27951">
        <w:rPr>
          <w:sz w:val="18"/>
          <w:szCs w:val="18"/>
          <w:vertAlign w:val="superscript"/>
        </w:rPr>
        <w:t xml:space="preserve"> </w:t>
      </w:r>
      <w:r w:rsidRPr="00A27951">
        <w:rPr>
          <w:sz w:val="18"/>
          <w:szCs w:val="18"/>
        </w:rPr>
        <w:t>N</w:t>
      </w:r>
      <w:r>
        <w:rPr>
          <w:sz w:val="18"/>
          <w:szCs w:val="18"/>
        </w:rPr>
        <w:t>/</w:t>
      </w:r>
      <w:r w:rsidRPr="00A27951">
        <w:rPr>
          <w:sz w:val="18"/>
          <w:szCs w:val="18"/>
        </w:rPr>
        <w:t>A = not applicable</w:t>
      </w:r>
    </w:p>
    <w:p w:rsidR="006C2E16" w:rsidRDefault="006C2E16" w:rsidP="006C2E16">
      <w:pPr>
        <w:autoSpaceDE w:val="0"/>
        <w:autoSpaceDN w:val="0"/>
        <w:adjustRightInd w:val="0"/>
      </w:pPr>
    </w:p>
    <w:p w:rsidR="006C2E16" w:rsidRPr="005802FA" w:rsidRDefault="006C2E16" w:rsidP="001C6BE7">
      <w:pPr>
        <w:pStyle w:val="Heading3"/>
      </w:pPr>
      <w:bookmarkStart w:id="103" w:name="_Toc255359979"/>
      <w:bookmarkStart w:id="104" w:name="_Toc269122453"/>
      <w:bookmarkStart w:id="105" w:name="_Toc351713149"/>
      <w:r>
        <w:t>Accounting for s</w:t>
      </w:r>
      <w:r w:rsidRPr="005802FA">
        <w:t>econdary poisoning and biomagnification</w:t>
      </w:r>
      <w:bookmarkEnd w:id="103"/>
      <w:bookmarkEnd w:id="104"/>
      <w:bookmarkEnd w:id="105"/>
    </w:p>
    <w:p w:rsidR="006C2E16" w:rsidRDefault="006C2E16" w:rsidP="006C2E16">
      <w:r w:rsidRPr="005802FA">
        <w:t xml:space="preserve">Secondary poisoning can occur if </w:t>
      </w:r>
      <w:r>
        <w:t>contaminant</w:t>
      </w:r>
      <w:r w:rsidRPr="005802FA">
        <w:t>s accumulate from the ambient environment (</w:t>
      </w:r>
      <w:r>
        <w:t>for example,</w:t>
      </w:r>
      <w:r w:rsidRPr="005802FA">
        <w:t xml:space="preserve"> soil) into the tissue of organisms (bioaccumulation)</w:t>
      </w:r>
      <w:r>
        <w:t xml:space="preserve"> that </w:t>
      </w:r>
      <w:r w:rsidRPr="005802FA">
        <w:t xml:space="preserve">are then consumed by other organisms and the concentration in tissue increases </w:t>
      </w:r>
      <w:r>
        <w:t>in the journey</w:t>
      </w:r>
      <w:r w:rsidRPr="005802FA">
        <w:t xml:space="preserve"> </w:t>
      </w:r>
      <w:r>
        <w:t>up the</w:t>
      </w:r>
      <w:r w:rsidRPr="005802FA">
        <w:t xml:space="preserve"> food chain (</w:t>
      </w:r>
      <w:r>
        <w:t>for example,</w:t>
      </w:r>
      <w:r w:rsidRPr="005802FA">
        <w:t xml:space="preserve"> soil</w:t>
      </w:r>
      <w:r>
        <w:t xml:space="preserve">, </w:t>
      </w:r>
      <w:r w:rsidRPr="005802FA">
        <w:t>earthworms</w:t>
      </w:r>
      <w:r>
        <w:t xml:space="preserve">, </w:t>
      </w:r>
      <w:r w:rsidRPr="005802FA">
        <w:t>birds</w:t>
      </w:r>
      <w:r>
        <w:t xml:space="preserve"> and</w:t>
      </w:r>
      <w:r w:rsidRPr="005802FA">
        <w:t xml:space="preserve"> predatory birds)</w:t>
      </w:r>
      <w:r>
        <w:t>. In such a situation, t</w:t>
      </w:r>
      <w:r w:rsidRPr="005802FA">
        <w:t xml:space="preserve">he species at </w:t>
      </w:r>
      <w:r>
        <w:t xml:space="preserve">most </w:t>
      </w:r>
      <w:r w:rsidRPr="005802FA">
        <w:t>risk are the species high</w:t>
      </w:r>
      <w:r>
        <w:t>er</w:t>
      </w:r>
      <w:r w:rsidRPr="005802FA">
        <w:t xml:space="preserve"> in </w:t>
      </w:r>
      <w:r>
        <w:t xml:space="preserve">the </w:t>
      </w:r>
      <w:r w:rsidRPr="005802FA">
        <w:t>food web</w:t>
      </w:r>
      <w:r>
        <w:t xml:space="preserve"> (</w:t>
      </w:r>
      <w:r w:rsidRPr="005802FA">
        <w:t>the predators</w:t>
      </w:r>
      <w:r>
        <w:t xml:space="preserve">). </w:t>
      </w:r>
      <w:r w:rsidRPr="005802FA">
        <w:t xml:space="preserve">Examples of </w:t>
      </w:r>
      <w:r>
        <w:t>contaminant</w:t>
      </w:r>
      <w:r w:rsidRPr="005802FA">
        <w:t xml:space="preserve">s that biomagnify and have shown </w:t>
      </w:r>
      <w:r>
        <w:t xml:space="preserve">adverse </w:t>
      </w:r>
      <w:r w:rsidRPr="005802FA">
        <w:t>effect</w:t>
      </w:r>
      <w:r>
        <w:t>s</w:t>
      </w:r>
      <w:r w:rsidRPr="005802FA">
        <w:t xml:space="preserve"> on predators include DDT, </w:t>
      </w:r>
      <w:r>
        <w:t>cadmium</w:t>
      </w:r>
      <w:r w:rsidRPr="005802FA">
        <w:t xml:space="preserve"> and PCBs</w:t>
      </w:r>
      <w:r>
        <w:t xml:space="preserve"> (Morrissey et al. 2005; Jongbloed et al. 1996; Luoma &amp; Rainbow 2008). </w:t>
      </w:r>
      <w:r w:rsidRPr="00BF213A">
        <w:t xml:space="preserve">Biomagnification and secondary poisoning should only be addressed for </w:t>
      </w:r>
      <w:r>
        <w:t>contaminant</w:t>
      </w:r>
      <w:r w:rsidRPr="00BF213A">
        <w:t>s that show biomagnification potential</w:t>
      </w:r>
      <w:r w:rsidRPr="00AA7762">
        <w:t>.</w:t>
      </w:r>
      <w:r w:rsidRPr="00BF213A">
        <w:t xml:space="preserve"> </w:t>
      </w:r>
    </w:p>
    <w:p w:rsidR="00145F69" w:rsidRDefault="00145F69" w:rsidP="006C2E16"/>
    <w:p w:rsidR="006C2E16" w:rsidRDefault="006C2E16" w:rsidP="006C2E16">
      <w:r>
        <w:t>S</w:t>
      </w:r>
      <w:r w:rsidRPr="005802FA">
        <w:t xml:space="preserve">econdary poisoning </w:t>
      </w:r>
      <w:r>
        <w:t xml:space="preserve">should be addressed </w:t>
      </w:r>
      <w:r w:rsidRPr="005802FA">
        <w:t>fo</w:t>
      </w:r>
      <w:r>
        <w:t xml:space="preserve">r residential EILs. Residential areas cover a large area and can harbour many birds and small land species that can potentially </w:t>
      </w:r>
      <w:r w:rsidRPr="000F4C8F">
        <w:t xml:space="preserve">be at risk </w:t>
      </w:r>
      <w:r>
        <w:t>from</w:t>
      </w:r>
      <w:r w:rsidRPr="000F4C8F">
        <w:t xml:space="preserve"> </w:t>
      </w:r>
      <w:r>
        <w:t>contaminant</w:t>
      </w:r>
      <w:r w:rsidRPr="000F4C8F">
        <w:t>s that biomagnify</w:t>
      </w:r>
      <w:r>
        <w:t xml:space="preserve">. </w:t>
      </w:r>
      <w:r w:rsidRPr="000F4C8F">
        <w:t>For site</w:t>
      </w:r>
      <w:r>
        <w:t>-</w:t>
      </w:r>
      <w:r w:rsidRPr="000F4C8F">
        <w:t>specific risk assessment, secondary poisoning EILs may not be relevant for contaminated sites</w:t>
      </w:r>
      <w:r>
        <w:t xml:space="preserve"> of limited area</w:t>
      </w:r>
      <w:r w:rsidRPr="000F4C8F">
        <w:t>.</w:t>
      </w:r>
    </w:p>
    <w:p w:rsidR="00145F69" w:rsidRDefault="00145F69" w:rsidP="006C2E16"/>
    <w:p w:rsidR="006C2E16" w:rsidRDefault="006C2E16" w:rsidP="006C2E16">
      <w:r w:rsidRPr="005802FA">
        <w:t xml:space="preserve">The vast majority of ecotoxicological data </w:t>
      </w:r>
      <w:r>
        <w:t>is derived from</w:t>
      </w:r>
      <w:r w:rsidRPr="005802FA">
        <w:t xml:space="preserve"> direct exposure from the ambient environment and not from food</w:t>
      </w:r>
      <w:r>
        <w:t xml:space="preserve">. </w:t>
      </w:r>
      <w:r w:rsidRPr="005802FA">
        <w:t>Th</w:t>
      </w:r>
      <w:r>
        <w:t>us</w:t>
      </w:r>
      <w:r w:rsidRPr="005802FA">
        <w:t xml:space="preserve">, if </w:t>
      </w:r>
      <w:r>
        <w:t>a contaminant</w:t>
      </w:r>
      <w:r w:rsidRPr="005802FA">
        <w:t xml:space="preserve"> biomagnif</w:t>
      </w:r>
      <w:r>
        <w:t>ies,</w:t>
      </w:r>
      <w:r w:rsidRPr="005802FA">
        <w:t xml:space="preserve"> then normal toxicity data and EILs </w:t>
      </w:r>
      <w:r>
        <w:t xml:space="preserve">derived using such data </w:t>
      </w:r>
      <w:r w:rsidRPr="005802FA">
        <w:t xml:space="preserve">may underestimate the impact the </w:t>
      </w:r>
      <w:r>
        <w:t>contaminant</w:t>
      </w:r>
      <w:r w:rsidRPr="005802FA">
        <w:t xml:space="preserve"> has on the environment and </w:t>
      </w:r>
      <w:r w:rsidRPr="00BF213A">
        <w:t>communities</w:t>
      </w:r>
      <w:r>
        <w:t xml:space="preserve">. </w:t>
      </w:r>
      <w:r w:rsidRPr="00BF213A">
        <w:t>Therefore</w:t>
      </w:r>
      <w:r>
        <w:t>,</w:t>
      </w:r>
      <w:r w:rsidRPr="00BF213A">
        <w:t xml:space="preserve"> a more protective measure is needed for biomagnifying </w:t>
      </w:r>
      <w:r>
        <w:t>contaminant</w:t>
      </w:r>
      <w:r w:rsidRPr="00BF213A">
        <w:t xml:space="preserve">s. </w:t>
      </w:r>
    </w:p>
    <w:p w:rsidR="00145F69" w:rsidRPr="00BF213A" w:rsidRDefault="00145F69" w:rsidP="006C2E16"/>
    <w:p w:rsidR="006C2E16" w:rsidRDefault="006C2E16" w:rsidP="006C2E16">
      <w:r>
        <w:t>I</w:t>
      </w:r>
      <w:r w:rsidRPr="00BF213A">
        <w:t>f a</w:t>
      </w:r>
      <w:r>
        <w:t>n</w:t>
      </w:r>
      <w:r w:rsidRPr="00BF213A">
        <w:t xml:space="preserve"> SSD </w:t>
      </w:r>
      <w:r>
        <w:t xml:space="preserve">approach </w:t>
      </w:r>
      <w:r w:rsidRPr="00BF213A">
        <w:t>w</w:t>
      </w:r>
      <w:r>
        <w:t>ere</w:t>
      </w:r>
      <w:r w:rsidRPr="00BF213A">
        <w:t xml:space="preserve"> used to derive </w:t>
      </w:r>
      <w:r>
        <w:t xml:space="preserve">the EIL for contaminants that biomagnify, the level of protection (that is, percentage of species and/or soil processes to be protected) should be increased by 5%, i.e. to 85% (or to 90% if &lt;8 taxonomic species or functional processes are used). This approach is consistent with that used in the Australian and New Zealand WQGs (ANZECC &amp; ARMCANZ 2000) to deal with secondary poisoning. </w:t>
      </w:r>
    </w:p>
    <w:p w:rsidR="00145F69" w:rsidRDefault="00145F69" w:rsidP="006C2E16"/>
    <w:p w:rsidR="006C2E16" w:rsidRDefault="006C2E16" w:rsidP="006C2E16">
      <w:r>
        <w:t>If the EIL</w:t>
      </w:r>
      <w:r w:rsidRPr="00BF213A">
        <w:t xml:space="preserve"> w</w:t>
      </w:r>
      <w:r>
        <w:t>ere</w:t>
      </w:r>
      <w:r w:rsidRPr="00BF213A">
        <w:t xml:space="preserve"> derived using the </w:t>
      </w:r>
      <w:r>
        <w:t xml:space="preserve">AF </w:t>
      </w:r>
      <w:r w:rsidRPr="00BF213A">
        <w:t xml:space="preserve">approach, </w:t>
      </w:r>
      <w:r>
        <w:t xml:space="preserve">then </w:t>
      </w:r>
      <w:r w:rsidRPr="00BF213A">
        <w:t xml:space="preserve">a </w:t>
      </w:r>
      <w:r>
        <w:t xml:space="preserve">BMF </w:t>
      </w:r>
      <w:r w:rsidRPr="000F4C8F">
        <w:t xml:space="preserve">will have to be applied in order for the EIL to account for biomagnification. </w:t>
      </w:r>
    </w:p>
    <w:p w:rsidR="00145F69" w:rsidRDefault="00145F69" w:rsidP="006C2E16"/>
    <w:p w:rsidR="006C2E16" w:rsidRPr="000F4C8F" w:rsidRDefault="006C2E16" w:rsidP="006C2E16">
      <w:r w:rsidRPr="000F4C8F">
        <w:t xml:space="preserve">The ACL for biomagnification will be calculated by: </w:t>
      </w:r>
    </w:p>
    <w:p w:rsidR="006C2E16" w:rsidRPr="000F4C8F" w:rsidRDefault="006C2E16" w:rsidP="001C6BE7">
      <w:pPr>
        <w:pStyle w:val="text"/>
      </w:pPr>
      <w:r w:rsidRPr="007F1BB5">
        <w:object w:dxaOrig="2340" w:dyaOrig="620">
          <v:shape id="_x0000_i1027" type="#_x0000_t75" style="width:117pt;height:30.75pt" o:ole="">
            <v:imagedata r:id="rId20" o:title=""/>
          </v:shape>
          <o:OLEObject Type="Embed" ProgID="Equation.3" ShapeID="_x0000_i1027" DrawAspect="Content" ObjectID="_1425460847" r:id="rId21"/>
        </w:object>
      </w:r>
      <w:r>
        <w:tab/>
      </w:r>
      <w:r>
        <w:tab/>
      </w:r>
      <w:r>
        <w:tab/>
      </w:r>
      <w:r>
        <w:tab/>
      </w:r>
      <w:r w:rsidRPr="000F4C8F">
        <w:tab/>
        <w:t>(</w:t>
      </w:r>
      <w:r>
        <w:rPr>
          <w:i/>
          <w:iCs/>
        </w:rPr>
        <w:t>equation</w:t>
      </w:r>
      <w:r w:rsidRPr="00E063D3">
        <w:rPr>
          <w:i/>
          <w:iCs/>
        </w:rPr>
        <w:t xml:space="preserve"> </w:t>
      </w:r>
      <w:r>
        <w:rPr>
          <w:i/>
          <w:iCs/>
        </w:rPr>
        <w:t>6</w:t>
      </w:r>
      <w:r w:rsidRPr="000F4C8F">
        <w:t>)</w:t>
      </w:r>
    </w:p>
    <w:p w:rsidR="006C2E16" w:rsidRDefault="006C2E16" w:rsidP="006C2E16">
      <w:r>
        <w:t>If there is sufficient BMF data available for an organic contaminant, then the 80</w:t>
      </w:r>
      <w:r w:rsidRPr="00363524">
        <w:rPr>
          <w:vertAlign w:val="superscript"/>
        </w:rPr>
        <w:t>th</w:t>
      </w:r>
      <w:r>
        <w:t xml:space="preserve"> percentile of these values should be used in equation 6 above. </w:t>
      </w:r>
      <w:r w:rsidRPr="000F4C8F">
        <w:t xml:space="preserve">For </w:t>
      </w:r>
      <w:r>
        <w:t xml:space="preserve">those </w:t>
      </w:r>
      <w:r w:rsidRPr="000F4C8F">
        <w:t xml:space="preserve">organic </w:t>
      </w:r>
      <w:r>
        <w:t>contaminant</w:t>
      </w:r>
      <w:r w:rsidRPr="000F4C8F">
        <w:t>s</w:t>
      </w:r>
      <w:r>
        <w:t xml:space="preserve"> that have no BMF</w:t>
      </w:r>
      <w:r w:rsidRPr="000F4C8F">
        <w:t xml:space="preserve"> </w:t>
      </w:r>
      <w:r>
        <w:t>values, BMF</w:t>
      </w:r>
      <w:r w:rsidRPr="000F4C8F">
        <w:t xml:space="preserve"> values for organic </w:t>
      </w:r>
      <w:r>
        <w:t>contaminant</w:t>
      </w:r>
      <w:r w:rsidRPr="000F4C8F">
        <w:t xml:space="preserve">s </w:t>
      </w:r>
      <w:r>
        <w:t xml:space="preserve">with </w:t>
      </w:r>
      <w:r w:rsidRPr="000F4C8F">
        <w:t>similar chemical structure</w:t>
      </w:r>
      <w:r>
        <w:t>s</w:t>
      </w:r>
      <w:r w:rsidRPr="000F4C8F">
        <w:t xml:space="preserve"> </w:t>
      </w:r>
      <w:r>
        <w:t xml:space="preserve">should be collated </w:t>
      </w:r>
      <w:r w:rsidRPr="000F4C8F">
        <w:t xml:space="preserve">and then a specific </w:t>
      </w:r>
      <w:r>
        <w:t>percentile</w:t>
      </w:r>
      <w:r w:rsidRPr="000F4C8F">
        <w:t xml:space="preserve"> value could be adopted</w:t>
      </w:r>
      <w:r>
        <w:t>. T</w:t>
      </w:r>
      <w:r w:rsidRPr="000F4C8F">
        <w:t xml:space="preserve">he percentile of </w:t>
      </w:r>
      <w:r>
        <w:t xml:space="preserve">BMF values to be used is set at </w:t>
      </w:r>
      <w:r w:rsidRPr="000F4C8F">
        <w:t>80%</w:t>
      </w:r>
      <w:r>
        <w:t>.</w:t>
      </w:r>
    </w:p>
    <w:p w:rsidR="00145F69" w:rsidRDefault="00145F69" w:rsidP="006C2E16"/>
    <w:p w:rsidR="006C2E16" w:rsidRDefault="006C2E16" w:rsidP="006C2E16">
      <w:r>
        <w:t>For inorganic contaminants, grouping of BMF values is not recommended and biomagnification should be dealt with on an individual chemical basis.</w:t>
      </w:r>
    </w:p>
    <w:p w:rsidR="00145F69" w:rsidRDefault="00145F69" w:rsidP="006C2E16"/>
    <w:p w:rsidR="006C2E16" w:rsidRDefault="006C2E16" w:rsidP="006C2E16">
      <w:r>
        <w:t>For organic contaminants, the BMF values depend on the K</w:t>
      </w:r>
      <w:r w:rsidRPr="001A13BC">
        <w:rPr>
          <w:vertAlign w:val="subscript"/>
        </w:rPr>
        <w:t>ow</w:t>
      </w:r>
      <w:r>
        <w:t xml:space="preserve"> of the contaminant and increase to 10 for organic contaminants having a log K</w:t>
      </w:r>
      <w:r w:rsidRPr="001A13BC">
        <w:rPr>
          <w:vertAlign w:val="subscript"/>
        </w:rPr>
        <w:t>ow</w:t>
      </w:r>
      <w:r>
        <w:t xml:space="preserve"> of 5–8. For inorganic contaminants, the K</w:t>
      </w:r>
      <w:r w:rsidRPr="001A13BC">
        <w:rPr>
          <w:vertAlign w:val="subscript"/>
        </w:rPr>
        <w:t>ow</w:t>
      </w:r>
      <w:r>
        <w:t xml:space="preserve"> values of the contaminant should not be used but the literature should be searched for BAF or BMF for terrestrial species, or fish if no terrestrial data is available. </w:t>
      </w:r>
      <w:r w:rsidRPr="005802FA">
        <w:t xml:space="preserve">If </w:t>
      </w:r>
      <w:r>
        <w:t>BMF values are not available for an inorganic contaminant or a group of organic chemicals</w:t>
      </w:r>
      <w:r w:rsidRPr="005802FA">
        <w:t xml:space="preserve">, a conservative biomagnification factor </w:t>
      </w:r>
      <w:r>
        <w:t>should</w:t>
      </w:r>
      <w:r w:rsidRPr="005802FA">
        <w:t xml:space="preserve"> be </w:t>
      </w:r>
      <w:r>
        <w:t xml:space="preserve">used. The </w:t>
      </w:r>
      <w:r w:rsidRPr="00A24CB0">
        <w:t>biomagnification factor</w:t>
      </w:r>
      <w:r>
        <w:t xml:space="preserve">s for organic contaminants, from the European technical guidance for risk assessment (ECB 2003), which are shown in Table 14 below, should be used. </w:t>
      </w:r>
    </w:p>
    <w:p w:rsidR="006C2E16" w:rsidRDefault="006C2E16" w:rsidP="006C2E16">
      <w:pPr>
        <w:pStyle w:val="Caption"/>
      </w:pPr>
      <w:r w:rsidRPr="00363524">
        <w:t>Table 14. Default BMF values for organic substances that correspond to the logarithm of the octanol</w:t>
      </w:r>
      <w:r>
        <w:sym w:font="Symbol" w:char="F02D"/>
      </w:r>
      <w:r w:rsidRPr="00363524">
        <w:t>water coefficients and the BCFs adapted from ECB (2003).</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340"/>
        <w:gridCol w:w="1440"/>
      </w:tblGrid>
      <w:tr w:rsidR="006C2E16" w:rsidRPr="0050279E" w:rsidTr="00A10D4B">
        <w:tc>
          <w:tcPr>
            <w:tcW w:w="1980" w:type="dxa"/>
            <w:shd w:val="clear" w:color="auto" w:fill="C6D9F1" w:themeFill="text2" w:themeFillTint="33"/>
          </w:tcPr>
          <w:p w:rsidR="006C2E16" w:rsidRPr="0050279E" w:rsidRDefault="006C2E16" w:rsidP="00A10D4B">
            <w:pPr>
              <w:autoSpaceDE w:val="0"/>
              <w:autoSpaceDN w:val="0"/>
              <w:adjustRightInd w:val="0"/>
              <w:jc w:val="center"/>
              <w:rPr>
                <w:b/>
                <w:bCs/>
                <w:szCs w:val="22"/>
              </w:rPr>
            </w:pPr>
            <w:r w:rsidRPr="0050279E">
              <w:rPr>
                <w:b/>
                <w:bCs/>
                <w:szCs w:val="22"/>
              </w:rPr>
              <w:t>log K</w:t>
            </w:r>
            <w:r w:rsidRPr="0050279E">
              <w:rPr>
                <w:b/>
                <w:bCs/>
                <w:szCs w:val="22"/>
                <w:vertAlign w:val="subscript"/>
              </w:rPr>
              <w:t>ow</w:t>
            </w:r>
            <w:r w:rsidRPr="0050279E">
              <w:rPr>
                <w:b/>
                <w:bCs/>
                <w:szCs w:val="22"/>
              </w:rPr>
              <w:t xml:space="preserve"> of contaminant</w:t>
            </w:r>
          </w:p>
        </w:tc>
        <w:tc>
          <w:tcPr>
            <w:tcW w:w="2340" w:type="dxa"/>
            <w:shd w:val="clear" w:color="auto" w:fill="C6D9F1" w:themeFill="text2" w:themeFillTint="33"/>
          </w:tcPr>
          <w:p w:rsidR="006C2E16" w:rsidRPr="0050279E" w:rsidRDefault="006C2E16" w:rsidP="00A10D4B">
            <w:pPr>
              <w:autoSpaceDE w:val="0"/>
              <w:autoSpaceDN w:val="0"/>
              <w:adjustRightInd w:val="0"/>
              <w:jc w:val="center"/>
              <w:rPr>
                <w:b/>
                <w:bCs/>
                <w:szCs w:val="22"/>
              </w:rPr>
            </w:pPr>
            <w:r w:rsidRPr="0050279E">
              <w:rPr>
                <w:b/>
                <w:bCs/>
                <w:szCs w:val="22"/>
              </w:rPr>
              <w:t>BCF (fish)</w:t>
            </w:r>
          </w:p>
        </w:tc>
        <w:tc>
          <w:tcPr>
            <w:tcW w:w="1440" w:type="dxa"/>
            <w:shd w:val="clear" w:color="auto" w:fill="C6D9F1" w:themeFill="text2" w:themeFillTint="33"/>
          </w:tcPr>
          <w:p w:rsidR="006C2E16" w:rsidRPr="0050279E" w:rsidRDefault="006C2E16" w:rsidP="00A10D4B">
            <w:pPr>
              <w:autoSpaceDE w:val="0"/>
              <w:autoSpaceDN w:val="0"/>
              <w:adjustRightInd w:val="0"/>
              <w:jc w:val="center"/>
              <w:rPr>
                <w:b/>
                <w:bCs/>
                <w:szCs w:val="22"/>
              </w:rPr>
            </w:pPr>
            <w:r w:rsidRPr="0050279E">
              <w:rPr>
                <w:b/>
                <w:bCs/>
                <w:szCs w:val="22"/>
              </w:rPr>
              <w:t>BMF</w:t>
            </w:r>
          </w:p>
        </w:tc>
      </w:tr>
      <w:tr w:rsidR="006C2E16" w:rsidRPr="0050279E" w:rsidTr="00A10D4B">
        <w:tc>
          <w:tcPr>
            <w:tcW w:w="1980" w:type="dxa"/>
          </w:tcPr>
          <w:p w:rsidR="006C2E16" w:rsidRPr="0050279E" w:rsidRDefault="006C2E16" w:rsidP="00A10D4B">
            <w:pPr>
              <w:jc w:val="center"/>
              <w:rPr>
                <w:szCs w:val="22"/>
              </w:rPr>
            </w:pPr>
            <w:r w:rsidRPr="0050279E">
              <w:rPr>
                <w:szCs w:val="22"/>
              </w:rPr>
              <w:t>&lt;4.0</w:t>
            </w:r>
          </w:p>
        </w:tc>
        <w:tc>
          <w:tcPr>
            <w:tcW w:w="2340" w:type="dxa"/>
          </w:tcPr>
          <w:p w:rsidR="006C2E16" w:rsidRPr="0050279E" w:rsidRDefault="006C2E16" w:rsidP="00A10D4B">
            <w:pPr>
              <w:jc w:val="center"/>
              <w:rPr>
                <w:szCs w:val="22"/>
              </w:rPr>
            </w:pPr>
            <w:r w:rsidRPr="0050279E">
              <w:rPr>
                <w:szCs w:val="22"/>
              </w:rPr>
              <w:t>&lt;2,000</w:t>
            </w:r>
          </w:p>
        </w:tc>
        <w:tc>
          <w:tcPr>
            <w:tcW w:w="1440" w:type="dxa"/>
          </w:tcPr>
          <w:p w:rsidR="006C2E16" w:rsidRPr="0050279E" w:rsidRDefault="006C2E16" w:rsidP="00A10D4B">
            <w:pPr>
              <w:jc w:val="center"/>
              <w:rPr>
                <w:szCs w:val="22"/>
              </w:rPr>
            </w:pPr>
            <w:r w:rsidRPr="0050279E">
              <w:rPr>
                <w:szCs w:val="22"/>
              </w:rPr>
              <w:t>1</w:t>
            </w:r>
          </w:p>
        </w:tc>
      </w:tr>
      <w:tr w:rsidR="006C2E16" w:rsidRPr="0050279E" w:rsidTr="00A10D4B">
        <w:tc>
          <w:tcPr>
            <w:tcW w:w="1980" w:type="dxa"/>
          </w:tcPr>
          <w:p w:rsidR="006C2E16" w:rsidRPr="0050279E" w:rsidRDefault="006C2E16" w:rsidP="00A10D4B">
            <w:pPr>
              <w:jc w:val="center"/>
              <w:rPr>
                <w:szCs w:val="22"/>
              </w:rPr>
            </w:pPr>
            <w:r w:rsidRPr="0050279E">
              <w:rPr>
                <w:szCs w:val="22"/>
              </w:rPr>
              <w:t>4.0</w:t>
            </w:r>
            <w:r w:rsidRPr="0050279E">
              <w:rPr>
                <w:szCs w:val="22"/>
              </w:rPr>
              <w:sym w:font="Symbol" w:char="F02D"/>
            </w:r>
            <w:r w:rsidRPr="0050279E">
              <w:rPr>
                <w:szCs w:val="22"/>
              </w:rPr>
              <w:t>5</w:t>
            </w:r>
          </w:p>
        </w:tc>
        <w:tc>
          <w:tcPr>
            <w:tcW w:w="2340" w:type="dxa"/>
          </w:tcPr>
          <w:p w:rsidR="006C2E16" w:rsidRPr="0050279E" w:rsidRDefault="006C2E16" w:rsidP="00A10D4B">
            <w:pPr>
              <w:jc w:val="center"/>
              <w:rPr>
                <w:szCs w:val="22"/>
              </w:rPr>
            </w:pPr>
            <w:r w:rsidRPr="0050279E">
              <w:rPr>
                <w:szCs w:val="22"/>
              </w:rPr>
              <w:t>2,000</w:t>
            </w:r>
            <w:r w:rsidRPr="0050279E">
              <w:rPr>
                <w:szCs w:val="22"/>
              </w:rPr>
              <w:sym w:font="Symbol" w:char="F02D"/>
            </w:r>
            <w:r w:rsidRPr="0050279E">
              <w:rPr>
                <w:szCs w:val="22"/>
              </w:rPr>
              <w:t>5,000</w:t>
            </w:r>
          </w:p>
        </w:tc>
        <w:tc>
          <w:tcPr>
            <w:tcW w:w="1440" w:type="dxa"/>
          </w:tcPr>
          <w:p w:rsidR="006C2E16" w:rsidRPr="0050279E" w:rsidRDefault="006C2E16" w:rsidP="00A10D4B">
            <w:pPr>
              <w:jc w:val="center"/>
              <w:rPr>
                <w:szCs w:val="22"/>
              </w:rPr>
            </w:pPr>
            <w:r w:rsidRPr="0050279E">
              <w:rPr>
                <w:szCs w:val="22"/>
              </w:rPr>
              <w:t>2</w:t>
            </w:r>
          </w:p>
        </w:tc>
      </w:tr>
      <w:tr w:rsidR="006C2E16" w:rsidRPr="0050279E" w:rsidTr="00A10D4B">
        <w:tc>
          <w:tcPr>
            <w:tcW w:w="1980" w:type="dxa"/>
          </w:tcPr>
          <w:p w:rsidR="006C2E16" w:rsidRPr="0050279E" w:rsidRDefault="006C2E16" w:rsidP="00A10D4B">
            <w:pPr>
              <w:jc w:val="center"/>
              <w:rPr>
                <w:szCs w:val="22"/>
              </w:rPr>
            </w:pPr>
            <w:r w:rsidRPr="0050279E">
              <w:rPr>
                <w:szCs w:val="22"/>
              </w:rPr>
              <w:t>5</w:t>
            </w:r>
            <w:r w:rsidRPr="0050279E">
              <w:rPr>
                <w:szCs w:val="22"/>
              </w:rPr>
              <w:sym w:font="Symbol" w:char="F02D"/>
            </w:r>
            <w:r w:rsidRPr="0050279E">
              <w:rPr>
                <w:szCs w:val="22"/>
              </w:rPr>
              <w:t>8</w:t>
            </w:r>
          </w:p>
        </w:tc>
        <w:tc>
          <w:tcPr>
            <w:tcW w:w="2340" w:type="dxa"/>
          </w:tcPr>
          <w:p w:rsidR="006C2E16" w:rsidRPr="0050279E" w:rsidRDefault="006C2E16" w:rsidP="00A10D4B">
            <w:pPr>
              <w:jc w:val="center"/>
              <w:rPr>
                <w:szCs w:val="22"/>
              </w:rPr>
            </w:pPr>
            <w:r w:rsidRPr="0050279E">
              <w:rPr>
                <w:szCs w:val="22"/>
              </w:rPr>
              <w:t>&gt;5,000</w:t>
            </w:r>
          </w:p>
        </w:tc>
        <w:tc>
          <w:tcPr>
            <w:tcW w:w="1440" w:type="dxa"/>
          </w:tcPr>
          <w:p w:rsidR="006C2E16" w:rsidRPr="0050279E" w:rsidRDefault="006C2E16" w:rsidP="00A10D4B">
            <w:pPr>
              <w:jc w:val="center"/>
              <w:rPr>
                <w:szCs w:val="22"/>
              </w:rPr>
            </w:pPr>
            <w:r w:rsidRPr="0050279E">
              <w:rPr>
                <w:szCs w:val="22"/>
              </w:rPr>
              <w:t>10</w:t>
            </w:r>
          </w:p>
        </w:tc>
      </w:tr>
      <w:tr w:rsidR="006C2E16" w:rsidRPr="0050279E" w:rsidTr="00A10D4B">
        <w:tc>
          <w:tcPr>
            <w:tcW w:w="1980" w:type="dxa"/>
          </w:tcPr>
          <w:p w:rsidR="006C2E16" w:rsidRPr="0050279E" w:rsidRDefault="006C2E16" w:rsidP="00A10D4B">
            <w:pPr>
              <w:jc w:val="center"/>
              <w:rPr>
                <w:szCs w:val="22"/>
              </w:rPr>
            </w:pPr>
            <w:r w:rsidRPr="0050279E">
              <w:rPr>
                <w:szCs w:val="22"/>
              </w:rPr>
              <w:t>&gt;8</w:t>
            </w:r>
            <w:r w:rsidRPr="0050279E">
              <w:rPr>
                <w:szCs w:val="22"/>
              </w:rPr>
              <w:sym w:font="Symbol" w:char="F02D"/>
            </w:r>
            <w:r w:rsidRPr="0050279E">
              <w:rPr>
                <w:szCs w:val="22"/>
              </w:rPr>
              <w:t>9</w:t>
            </w:r>
          </w:p>
        </w:tc>
        <w:tc>
          <w:tcPr>
            <w:tcW w:w="2340" w:type="dxa"/>
          </w:tcPr>
          <w:p w:rsidR="006C2E16" w:rsidRPr="0050279E" w:rsidRDefault="006C2E16" w:rsidP="00A10D4B">
            <w:pPr>
              <w:jc w:val="center"/>
              <w:rPr>
                <w:szCs w:val="22"/>
              </w:rPr>
            </w:pPr>
            <w:r w:rsidRPr="0050279E">
              <w:rPr>
                <w:szCs w:val="22"/>
              </w:rPr>
              <w:t>2,000</w:t>
            </w:r>
            <w:r w:rsidRPr="0050279E">
              <w:rPr>
                <w:szCs w:val="22"/>
              </w:rPr>
              <w:sym w:font="Symbol" w:char="F02D"/>
            </w:r>
            <w:r w:rsidRPr="0050279E">
              <w:rPr>
                <w:szCs w:val="22"/>
              </w:rPr>
              <w:t>5,000</w:t>
            </w:r>
          </w:p>
        </w:tc>
        <w:tc>
          <w:tcPr>
            <w:tcW w:w="1440" w:type="dxa"/>
          </w:tcPr>
          <w:p w:rsidR="006C2E16" w:rsidRPr="0050279E" w:rsidRDefault="006C2E16" w:rsidP="00A10D4B">
            <w:pPr>
              <w:jc w:val="center"/>
              <w:rPr>
                <w:szCs w:val="22"/>
              </w:rPr>
            </w:pPr>
            <w:r w:rsidRPr="0050279E">
              <w:rPr>
                <w:szCs w:val="22"/>
              </w:rPr>
              <w:t>3</w:t>
            </w:r>
          </w:p>
        </w:tc>
      </w:tr>
      <w:tr w:rsidR="006C2E16" w:rsidRPr="0050279E" w:rsidTr="00A10D4B">
        <w:tc>
          <w:tcPr>
            <w:tcW w:w="1980" w:type="dxa"/>
          </w:tcPr>
          <w:p w:rsidR="006C2E16" w:rsidRPr="0050279E" w:rsidRDefault="006C2E16" w:rsidP="00A10D4B">
            <w:pPr>
              <w:jc w:val="center"/>
              <w:rPr>
                <w:szCs w:val="22"/>
              </w:rPr>
            </w:pPr>
            <w:r w:rsidRPr="0050279E">
              <w:rPr>
                <w:szCs w:val="22"/>
              </w:rPr>
              <w:t>&gt;9</w:t>
            </w:r>
          </w:p>
        </w:tc>
        <w:tc>
          <w:tcPr>
            <w:tcW w:w="2340" w:type="dxa"/>
          </w:tcPr>
          <w:p w:rsidR="006C2E16" w:rsidRPr="0050279E" w:rsidRDefault="006C2E16" w:rsidP="00A10D4B">
            <w:pPr>
              <w:jc w:val="center"/>
              <w:rPr>
                <w:szCs w:val="22"/>
              </w:rPr>
            </w:pPr>
            <w:r w:rsidRPr="0050279E">
              <w:rPr>
                <w:szCs w:val="22"/>
              </w:rPr>
              <w:t>&lt;2,000</w:t>
            </w:r>
          </w:p>
        </w:tc>
        <w:tc>
          <w:tcPr>
            <w:tcW w:w="1440" w:type="dxa"/>
          </w:tcPr>
          <w:p w:rsidR="006C2E16" w:rsidRPr="0050279E" w:rsidRDefault="006C2E16" w:rsidP="00A10D4B">
            <w:pPr>
              <w:jc w:val="center"/>
              <w:rPr>
                <w:szCs w:val="22"/>
              </w:rPr>
            </w:pPr>
            <w:r w:rsidRPr="0050279E">
              <w:rPr>
                <w:szCs w:val="22"/>
              </w:rPr>
              <w:t>1</w:t>
            </w:r>
          </w:p>
        </w:tc>
      </w:tr>
    </w:tbl>
    <w:p w:rsidR="006C2E16" w:rsidRDefault="006C2E16" w:rsidP="006C2E16"/>
    <w:p w:rsidR="006C2E16" w:rsidRPr="005802FA" w:rsidRDefault="006C2E16" w:rsidP="006C2E16"/>
    <w:p w:rsidR="006C2E16" w:rsidRPr="005802FA" w:rsidRDefault="006C2E16" w:rsidP="001C6BE7">
      <w:pPr>
        <w:pStyle w:val="Heading3"/>
      </w:pPr>
      <w:bookmarkStart w:id="106" w:name="_Toc255359980"/>
      <w:bookmarkStart w:id="107" w:name="_Toc269122454"/>
      <w:bookmarkStart w:id="108" w:name="_Toc351713150"/>
      <w:r>
        <w:t>Calculation of the</w:t>
      </w:r>
      <w:r w:rsidRPr="005802FA">
        <w:t xml:space="preserve"> </w:t>
      </w:r>
      <w:r>
        <w:t xml:space="preserve">ambient </w:t>
      </w:r>
      <w:r w:rsidRPr="005802FA">
        <w:t>background concentrations</w:t>
      </w:r>
      <w:bookmarkEnd w:id="106"/>
      <w:bookmarkEnd w:id="107"/>
      <w:bookmarkEnd w:id="108"/>
      <w:r w:rsidRPr="005802FA">
        <w:t xml:space="preserve"> </w:t>
      </w:r>
    </w:p>
    <w:p w:rsidR="006C2E16" w:rsidRDefault="006C2E16" w:rsidP="006C2E16">
      <w:r w:rsidRPr="005802FA">
        <w:t>To calculate a site</w:t>
      </w:r>
      <w:r>
        <w:t>-</w:t>
      </w:r>
      <w:r w:rsidRPr="005802FA">
        <w:t xml:space="preserve">specific EIL, </w:t>
      </w:r>
      <w:r>
        <w:t xml:space="preserve">ABCs </w:t>
      </w:r>
      <w:r w:rsidRPr="005802FA">
        <w:t xml:space="preserve">for soils </w:t>
      </w:r>
      <w:r>
        <w:t xml:space="preserve">should </w:t>
      </w:r>
      <w:r w:rsidRPr="005802FA">
        <w:t>be determined</w:t>
      </w:r>
      <w:r>
        <w:t>,</w:t>
      </w:r>
      <w:r w:rsidRPr="005802FA">
        <w:t xml:space="preserve"> as the ACL is based on added toxicity value</w:t>
      </w:r>
      <w:r>
        <w:t xml:space="preserve">s. </w:t>
      </w:r>
      <w:r w:rsidRPr="005802FA">
        <w:t xml:space="preserve">If possible, </w:t>
      </w:r>
      <w:r>
        <w:t>the ABCs</w:t>
      </w:r>
      <w:r w:rsidRPr="005802FA">
        <w:t xml:space="preserve"> should be directly measured at a clean reference site with </w:t>
      </w:r>
      <w:r>
        <w:t xml:space="preserve">a </w:t>
      </w:r>
      <w:r w:rsidRPr="005802FA">
        <w:t>comparable soil type</w:t>
      </w:r>
      <w:r>
        <w:t xml:space="preserve"> to the site being examined. </w:t>
      </w:r>
      <w:r w:rsidRPr="005802FA">
        <w:t xml:space="preserve">However, </w:t>
      </w:r>
      <w:r>
        <w:t xml:space="preserve">such sites are </w:t>
      </w:r>
      <w:r w:rsidRPr="005802FA">
        <w:t xml:space="preserve">not </w:t>
      </w:r>
      <w:r>
        <w:t>always available or easy to identify</w:t>
      </w:r>
      <w:r w:rsidRPr="005802FA">
        <w:t xml:space="preserve">. </w:t>
      </w:r>
    </w:p>
    <w:p w:rsidR="006C2E16" w:rsidRPr="0007207D" w:rsidRDefault="006C2E16" w:rsidP="006C2E16">
      <w:pPr>
        <w:pStyle w:val="Heading4"/>
      </w:pPr>
      <w:bookmarkStart w:id="109" w:name="_Toc351713151"/>
      <w:r w:rsidRPr="0007207D">
        <w:t>Inorganic contaminants</w:t>
      </w:r>
      <w:bookmarkEnd w:id="109"/>
    </w:p>
    <w:p w:rsidR="006C2E16" w:rsidRDefault="006C2E16" w:rsidP="006C2E16">
      <w:r w:rsidRPr="007E26E8">
        <w:t>For metal contaminants, if reliable ABCs cannot be measured</w:t>
      </w:r>
      <w:r>
        <w:t>,</w:t>
      </w:r>
      <w:r w:rsidRPr="007E26E8">
        <w:t xml:space="preserve"> then either the estimation method of Hamon et al. (2004) or collations of ABC values such as Olszowy et al. (1995) could be used</w:t>
      </w:r>
      <w:r>
        <w:t xml:space="preserve">. </w:t>
      </w:r>
      <w:r w:rsidRPr="007E26E8">
        <w:t>The equations for calculating ABC values are presented in Table 15</w:t>
      </w:r>
      <w:r>
        <w:t xml:space="preserve"> below</w:t>
      </w:r>
      <w:r w:rsidRPr="007E26E8">
        <w:t xml:space="preserve">. Estimates of ABCs for several metals based on example soil iron or manganese concentrations (determined by </w:t>
      </w:r>
      <w:r w:rsidRPr="00943F62">
        <w:t>aqua regia</w:t>
      </w:r>
      <w:r w:rsidRPr="007E26E8">
        <w:t xml:space="preserve"> digestion) are presented in Table 16</w:t>
      </w:r>
      <w:r>
        <w:t xml:space="preserve"> below. To use the Hamon et al. (2004) method, i</w:t>
      </w:r>
      <w:r w:rsidRPr="007E26E8">
        <w:t xml:space="preserve">t is necessary to ascertain </w:t>
      </w:r>
      <w:r>
        <w:t xml:space="preserve">that </w:t>
      </w:r>
      <w:r w:rsidRPr="007E26E8">
        <w:t>the iron and manganese concentrations of the soil at the site in question are not elevated by co-contamination</w:t>
      </w:r>
      <w:r>
        <w:t xml:space="preserve">—these elements are normally determined in chemical analysis of soils to determine total metal concentrations and therefore minimal extra cost is involved. </w:t>
      </w:r>
      <w:r w:rsidRPr="007E26E8">
        <w:t>These Hamon et al. (2004) relationships are based on soils from sites with no known history of contamination apart from farming</w:t>
      </w:r>
      <w:r>
        <w:t>.</w:t>
      </w:r>
    </w:p>
    <w:p w:rsidR="00145F69" w:rsidRDefault="00145F69" w:rsidP="006C2E16"/>
    <w:p w:rsidR="006C2E16" w:rsidRDefault="006C2E16" w:rsidP="006C2E16">
      <w:r w:rsidRPr="007E26E8">
        <w:t>Therefore, this approach would be suitable for predicting the ABC in otherwise uncontaminated areas including new suburbs</w:t>
      </w:r>
      <w:r>
        <w:t>; that is,</w:t>
      </w:r>
      <w:r w:rsidRPr="007E26E8">
        <w:t xml:space="preserve"> suburbs less than 20 years old </w:t>
      </w:r>
      <w:r>
        <w:t>(</w:t>
      </w:r>
      <w:r w:rsidRPr="007E26E8">
        <w:t>Olszowy et al. 1995)</w:t>
      </w:r>
      <w:r>
        <w:t xml:space="preserve">. </w:t>
      </w:r>
      <w:r w:rsidRPr="007E26E8">
        <w:t>In fact, for the inorganic contaminants where comparison is possible, the ABC values predicted by the Hamon et al. (2004) method are very similar to the 25</w:t>
      </w:r>
      <w:r w:rsidRPr="00432AFE">
        <w:rPr>
          <w:vertAlign w:val="superscript"/>
        </w:rPr>
        <w:t>th</w:t>
      </w:r>
      <w:r w:rsidRPr="007E26E8">
        <w:t xml:space="preserve"> percentile of the ABC values for new suburbs from Olszowy et al. (1995).</w:t>
      </w:r>
    </w:p>
    <w:p w:rsidR="00145F69" w:rsidRPr="007E26E8" w:rsidRDefault="00145F69" w:rsidP="006C2E16"/>
    <w:p w:rsidR="006C2E16" w:rsidRPr="007E26E8" w:rsidRDefault="006C2E16" w:rsidP="006C2E16">
      <w:pPr>
        <w:rPr>
          <w:kern w:val="28"/>
          <w:sz w:val="20"/>
        </w:rPr>
      </w:pPr>
      <w:r w:rsidRPr="007E26E8">
        <w:t xml:space="preserve">Olszowy et al. (1995) conducted a stratified random sampling study to determine the ABCs in residential areas of the capitals of </w:t>
      </w:r>
      <w:r>
        <w:t xml:space="preserve">New South Wales, Queensland, Victoria and South Australia. </w:t>
      </w:r>
      <w:r w:rsidRPr="007E26E8">
        <w:t>A total of 320 soil samples collected at 0</w:t>
      </w:r>
      <w:r>
        <w:sym w:font="Symbol" w:char="F02D"/>
      </w:r>
      <w:r w:rsidRPr="007E26E8">
        <w:t>150 mm depth were collected and analysed</w:t>
      </w:r>
      <w:r>
        <w:t xml:space="preserve">. </w:t>
      </w:r>
      <w:r w:rsidRPr="007E26E8">
        <w:t>If the Hamon et al. (2004) method cannot calculate an ABC</w:t>
      </w:r>
      <w:r>
        <w:t>,</w:t>
      </w:r>
      <w:r w:rsidRPr="007E26E8">
        <w:t xml:space="preserve"> then the Olszowy et al. (1995) values for new suburbs would be appropriate to use for new suburbs or areas with no known history of contamination</w:t>
      </w:r>
      <w:r>
        <w:t xml:space="preserve">. </w:t>
      </w:r>
      <w:r w:rsidRPr="007E26E8">
        <w:t>In old</w:t>
      </w:r>
      <w:r>
        <w:t>-</w:t>
      </w:r>
      <w:r w:rsidRPr="007E26E8">
        <w:lastRenderedPageBreak/>
        <w:t>established urban areas (i.e. suburbs more than 20 years old)</w:t>
      </w:r>
      <w:r>
        <w:t>,</w:t>
      </w:r>
      <w:r w:rsidRPr="007E26E8">
        <w:t xml:space="preserve"> it would be appropriate to use the 25</w:t>
      </w:r>
      <w:r w:rsidRPr="00432AFE">
        <w:rPr>
          <w:vertAlign w:val="superscript"/>
        </w:rPr>
        <w:t>th</w:t>
      </w:r>
      <w:r w:rsidRPr="007E26E8">
        <w:t xml:space="preserve"> percentile of the ABC values from Olszowy et al. (1995). </w:t>
      </w:r>
    </w:p>
    <w:p w:rsidR="00875BD5" w:rsidRDefault="00875BD5">
      <w:pPr>
        <w:spacing w:line="240" w:lineRule="auto"/>
        <w:rPr>
          <w:rFonts w:ascii="Book Antiqua" w:eastAsia="Times New Roman" w:hAnsi="Book Antiqua" w:cs="Book Antiqua"/>
          <w:b/>
          <w:bCs/>
          <w:kern w:val="28"/>
          <w:szCs w:val="22"/>
          <w:lang w:eastAsia="en-AU"/>
        </w:rPr>
      </w:pPr>
      <w:r>
        <w:rPr>
          <w:kern w:val="28"/>
        </w:rPr>
        <w:br w:type="page"/>
      </w:r>
    </w:p>
    <w:p w:rsidR="006C2E16" w:rsidRDefault="006C2E16" w:rsidP="006C2E16">
      <w:pPr>
        <w:pStyle w:val="Caption"/>
        <w:rPr>
          <w:kern w:val="28"/>
        </w:rPr>
      </w:pPr>
      <w:r w:rsidRPr="00363524">
        <w:rPr>
          <w:kern w:val="28"/>
        </w:rPr>
        <w:lastRenderedPageBreak/>
        <w:t>Table 15. Equations from Hamon et al. (2004) and the corresponding coefficient of determination (r</w:t>
      </w:r>
      <w:r w:rsidRPr="00363524">
        <w:rPr>
          <w:kern w:val="28"/>
          <w:vertAlign w:val="superscript"/>
        </w:rPr>
        <w:t>2</w:t>
      </w:r>
      <w:r w:rsidRPr="00363524">
        <w:rPr>
          <w:kern w:val="28"/>
        </w:rPr>
        <w:t>) used to estimate ABCs for arsenic (As), cobalt (Co), chromium (Cr), copper (Cu), nickel (Ni), lead (Pb) and and zinc (Zn)</w:t>
      </w:r>
    </w:p>
    <w:tbl>
      <w:tblPr>
        <w:tblW w:w="79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667"/>
        <w:gridCol w:w="1410"/>
        <w:gridCol w:w="1286"/>
        <w:gridCol w:w="1937"/>
        <w:gridCol w:w="1620"/>
      </w:tblGrid>
      <w:tr w:rsidR="006C2E16" w:rsidRPr="0050279E" w:rsidTr="00A10D4B">
        <w:trPr>
          <w:trHeight w:val="651"/>
          <w:jc w:val="center"/>
        </w:trPr>
        <w:tc>
          <w:tcPr>
            <w:tcW w:w="1667" w:type="dxa"/>
            <w:shd w:val="clear" w:color="auto" w:fill="C6D9F1" w:themeFill="text2" w:themeFillTint="33"/>
            <w:noWrap/>
          </w:tcPr>
          <w:p w:rsidR="006C2E16" w:rsidRPr="0050279E" w:rsidRDefault="006C2E16" w:rsidP="00A10D4B">
            <w:pPr>
              <w:ind w:right="32"/>
              <w:jc w:val="center"/>
              <w:rPr>
                <w:b/>
                <w:bCs/>
                <w:szCs w:val="22"/>
              </w:rPr>
            </w:pPr>
            <w:r w:rsidRPr="0050279E">
              <w:rPr>
                <w:b/>
                <w:bCs/>
                <w:szCs w:val="22"/>
              </w:rPr>
              <w:t>Element</w:t>
            </w:r>
          </w:p>
        </w:tc>
        <w:tc>
          <w:tcPr>
            <w:tcW w:w="1410" w:type="dxa"/>
            <w:shd w:val="clear" w:color="auto" w:fill="C6D9F1" w:themeFill="text2" w:themeFillTint="33"/>
          </w:tcPr>
          <w:p w:rsidR="006C2E16" w:rsidRPr="0050279E" w:rsidRDefault="006C2E16" w:rsidP="00A10D4B">
            <w:pPr>
              <w:ind w:right="32"/>
              <w:jc w:val="center"/>
              <w:rPr>
                <w:b/>
                <w:bCs/>
                <w:szCs w:val="22"/>
              </w:rPr>
            </w:pPr>
            <w:r w:rsidRPr="0050279E">
              <w:rPr>
                <w:b/>
                <w:bCs/>
                <w:szCs w:val="22"/>
              </w:rPr>
              <w:t>Normalising</w:t>
            </w:r>
            <w:r w:rsidRPr="0050279E">
              <w:rPr>
                <w:b/>
                <w:bCs/>
                <w:szCs w:val="22"/>
              </w:rPr>
              <w:br/>
              <w:t>element</w:t>
            </w:r>
          </w:p>
        </w:tc>
        <w:tc>
          <w:tcPr>
            <w:tcW w:w="1286" w:type="dxa"/>
            <w:shd w:val="clear" w:color="auto" w:fill="C6D9F1" w:themeFill="text2" w:themeFillTint="33"/>
            <w:noWrap/>
          </w:tcPr>
          <w:p w:rsidR="006C2E16" w:rsidRPr="0050279E" w:rsidRDefault="006C2E16" w:rsidP="00A10D4B">
            <w:pPr>
              <w:ind w:right="32"/>
              <w:jc w:val="center"/>
              <w:rPr>
                <w:b/>
                <w:bCs/>
                <w:szCs w:val="22"/>
              </w:rPr>
            </w:pPr>
            <w:r w:rsidRPr="0050279E">
              <w:rPr>
                <w:b/>
                <w:bCs/>
                <w:szCs w:val="22"/>
              </w:rPr>
              <w:t>Gradient</w:t>
            </w:r>
          </w:p>
        </w:tc>
        <w:tc>
          <w:tcPr>
            <w:tcW w:w="1937" w:type="dxa"/>
            <w:shd w:val="clear" w:color="auto" w:fill="C6D9F1" w:themeFill="text2" w:themeFillTint="33"/>
            <w:noWrap/>
          </w:tcPr>
          <w:p w:rsidR="006C2E16" w:rsidRPr="0050279E" w:rsidRDefault="006C2E16" w:rsidP="00A10D4B">
            <w:pPr>
              <w:ind w:right="32"/>
              <w:jc w:val="center"/>
              <w:rPr>
                <w:b/>
                <w:bCs/>
                <w:szCs w:val="22"/>
              </w:rPr>
            </w:pPr>
            <w:r w:rsidRPr="0050279E">
              <w:rPr>
                <w:b/>
                <w:bCs/>
                <w:szCs w:val="22"/>
              </w:rPr>
              <w:t>y intercept</w:t>
            </w:r>
          </w:p>
        </w:tc>
        <w:tc>
          <w:tcPr>
            <w:tcW w:w="1620" w:type="dxa"/>
            <w:shd w:val="clear" w:color="auto" w:fill="C6D9F1" w:themeFill="text2" w:themeFillTint="33"/>
            <w:noWrap/>
          </w:tcPr>
          <w:p w:rsidR="006C2E16" w:rsidRPr="0050279E" w:rsidRDefault="006C2E16" w:rsidP="00A10D4B">
            <w:pPr>
              <w:ind w:right="32"/>
              <w:jc w:val="center"/>
              <w:rPr>
                <w:b/>
                <w:bCs/>
                <w:szCs w:val="22"/>
              </w:rPr>
            </w:pPr>
            <w:r w:rsidRPr="0050279E">
              <w:rPr>
                <w:b/>
                <w:bCs/>
                <w:szCs w:val="22"/>
              </w:rPr>
              <w:t>r</w:t>
            </w:r>
            <w:r w:rsidRPr="0050279E">
              <w:rPr>
                <w:b/>
                <w:bCs/>
                <w:szCs w:val="22"/>
                <w:vertAlign w:val="superscript"/>
              </w:rPr>
              <w:t>2</w:t>
            </w:r>
          </w:p>
        </w:tc>
      </w:tr>
      <w:tr w:rsidR="006C2E16" w:rsidRPr="0050279E" w:rsidTr="00A10D4B">
        <w:trPr>
          <w:trHeight w:val="396"/>
          <w:jc w:val="center"/>
        </w:trPr>
        <w:tc>
          <w:tcPr>
            <w:tcW w:w="1667" w:type="dxa"/>
            <w:noWrap/>
          </w:tcPr>
          <w:p w:rsidR="006C2E16" w:rsidRPr="0050279E" w:rsidRDefault="006C2E16" w:rsidP="00A10D4B">
            <w:pPr>
              <w:ind w:right="32"/>
              <w:rPr>
                <w:szCs w:val="22"/>
              </w:rPr>
            </w:pPr>
            <w:r w:rsidRPr="0050279E">
              <w:rPr>
                <w:szCs w:val="22"/>
              </w:rPr>
              <w:t>As</w:t>
            </w:r>
          </w:p>
        </w:tc>
        <w:tc>
          <w:tcPr>
            <w:tcW w:w="1410" w:type="dxa"/>
          </w:tcPr>
          <w:p w:rsidR="006C2E16" w:rsidRPr="0050279E" w:rsidRDefault="006C2E16" w:rsidP="00A10D4B">
            <w:pPr>
              <w:ind w:right="32"/>
              <w:jc w:val="center"/>
              <w:rPr>
                <w:szCs w:val="22"/>
              </w:rPr>
            </w:pPr>
            <w:r w:rsidRPr="0050279E">
              <w:rPr>
                <w:szCs w:val="22"/>
              </w:rPr>
              <w:t>Fe</w:t>
            </w:r>
          </w:p>
        </w:tc>
        <w:tc>
          <w:tcPr>
            <w:tcW w:w="1286" w:type="dxa"/>
            <w:noWrap/>
          </w:tcPr>
          <w:p w:rsidR="006C2E16" w:rsidRPr="0050279E" w:rsidRDefault="006C2E16" w:rsidP="00A10D4B">
            <w:pPr>
              <w:ind w:right="32"/>
              <w:jc w:val="center"/>
              <w:rPr>
                <w:szCs w:val="22"/>
              </w:rPr>
            </w:pPr>
            <w:r w:rsidRPr="0050279E">
              <w:rPr>
                <w:szCs w:val="22"/>
              </w:rPr>
              <w:t>0.547</w:t>
            </w:r>
          </w:p>
        </w:tc>
        <w:tc>
          <w:tcPr>
            <w:tcW w:w="1937" w:type="dxa"/>
            <w:noWrap/>
          </w:tcPr>
          <w:p w:rsidR="006C2E16" w:rsidRPr="0050279E" w:rsidRDefault="006C2E16" w:rsidP="00A10D4B">
            <w:pPr>
              <w:ind w:right="32"/>
              <w:jc w:val="center"/>
              <w:rPr>
                <w:szCs w:val="22"/>
              </w:rPr>
            </w:pPr>
            <w:r w:rsidRPr="0050279E">
              <w:rPr>
                <w:szCs w:val="22"/>
              </w:rPr>
              <w:t>0.507</w:t>
            </w:r>
          </w:p>
        </w:tc>
        <w:tc>
          <w:tcPr>
            <w:tcW w:w="1620" w:type="dxa"/>
            <w:noWrap/>
          </w:tcPr>
          <w:p w:rsidR="006C2E16" w:rsidRPr="0050279E" w:rsidRDefault="006C2E16" w:rsidP="00A10D4B">
            <w:pPr>
              <w:ind w:right="32"/>
              <w:jc w:val="center"/>
              <w:rPr>
                <w:szCs w:val="22"/>
              </w:rPr>
            </w:pPr>
            <w:r w:rsidRPr="0050279E">
              <w:rPr>
                <w:szCs w:val="22"/>
              </w:rPr>
              <w:t>0.50</w:t>
            </w:r>
          </w:p>
        </w:tc>
      </w:tr>
      <w:tr w:rsidR="006C2E16" w:rsidRPr="0050279E" w:rsidTr="00A10D4B">
        <w:trPr>
          <w:trHeight w:val="396"/>
          <w:jc w:val="center"/>
        </w:trPr>
        <w:tc>
          <w:tcPr>
            <w:tcW w:w="1667" w:type="dxa"/>
            <w:noWrap/>
          </w:tcPr>
          <w:p w:rsidR="006C2E16" w:rsidRPr="0050279E" w:rsidRDefault="006C2E16" w:rsidP="00A10D4B">
            <w:pPr>
              <w:ind w:right="32"/>
              <w:rPr>
                <w:szCs w:val="22"/>
              </w:rPr>
            </w:pPr>
            <w:r w:rsidRPr="0050279E">
              <w:rPr>
                <w:szCs w:val="22"/>
              </w:rPr>
              <w:t>Co</w:t>
            </w:r>
          </w:p>
        </w:tc>
        <w:tc>
          <w:tcPr>
            <w:tcW w:w="1410" w:type="dxa"/>
          </w:tcPr>
          <w:p w:rsidR="006C2E16" w:rsidRPr="0050279E" w:rsidRDefault="006C2E16" w:rsidP="00A10D4B">
            <w:pPr>
              <w:ind w:right="32"/>
              <w:jc w:val="center"/>
              <w:rPr>
                <w:szCs w:val="22"/>
              </w:rPr>
            </w:pPr>
            <w:r w:rsidRPr="0050279E">
              <w:rPr>
                <w:szCs w:val="22"/>
              </w:rPr>
              <w:t>Mn</w:t>
            </w:r>
          </w:p>
        </w:tc>
        <w:tc>
          <w:tcPr>
            <w:tcW w:w="1286" w:type="dxa"/>
            <w:noWrap/>
          </w:tcPr>
          <w:p w:rsidR="006C2E16" w:rsidRPr="0050279E" w:rsidRDefault="006C2E16" w:rsidP="00A10D4B">
            <w:pPr>
              <w:ind w:right="32"/>
              <w:jc w:val="center"/>
              <w:rPr>
                <w:szCs w:val="22"/>
              </w:rPr>
            </w:pPr>
            <w:r w:rsidRPr="0050279E">
              <w:rPr>
                <w:szCs w:val="22"/>
              </w:rPr>
              <w:t>0.894</w:t>
            </w:r>
          </w:p>
        </w:tc>
        <w:tc>
          <w:tcPr>
            <w:tcW w:w="1937" w:type="dxa"/>
            <w:noWrap/>
          </w:tcPr>
          <w:p w:rsidR="006C2E16" w:rsidRPr="0050279E" w:rsidRDefault="006C2E16" w:rsidP="00A10D4B">
            <w:pPr>
              <w:ind w:right="32"/>
              <w:jc w:val="center"/>
              <w:rPr>
                <w:szCs w:val="22"/>
              </w:rPr>
            </w:pPr>
            <w:r w:rsidRPr="0050279E">
              <w:rPr>
                <w:szCs w:val="22"/>
              </w:rPr>
              <w:t>-1.409</w:t>
            </w:r>
          </w:p>
        </w:tc>
        <w:tc>
          <w:tcPr>
            <w:tcW w:w="1620" w:type="dxa"/>
            <w:noWrap/>
          </w:tcPr>
          <w:p w:rsidR="006C2E16" w:rsidRPr="0050279E" w:rsidRDefault="006C2E16" w:rsidP="00A10D4B">
            <w:pPr>
              <w:ind w:right="32"/>
              <w:jc w:val="center"/>
              <w:rPr>
                <w:szCs w:val="22"/>
              </w:rPr>
            </w:pPr>
            <w:r w:rsidRPr="0050279E">
              <w:rPr>
                <w:szCs w:val="22"/>
              </w:rPr>
              <w:t>0.71</w:t>
            </w:r>
          </w:p>
        </w:tc>
      </w:tr>
      <w:tr w:rsidR="006C2E16" w:rsidRPr="0050279E" w:rsidTr="00A10D4B">
        <w:trPr>
          <w:trHeight w:val="396"/>
          <w:jc w:val="center"/>
        </w:trPr>
        <w:tc>
          <w:tcPr>
            <w:tcW w:w="1667" w:type="dxa"/>
            <w:noWrap/>
          </w:tcPr>
          <w:p w:rsidR="006C2E16" w:rsidRPr="0050279E" w:rsidRDefault="006C2E16" w:rsidP="00A10D4B">
            <w:pPr>
              <w:ind w:right="32"/>
              <w:rPr>
                <w:szCs w:val="22"/>
              </w:rPr>
            </w:pPr>
            <w:r w:rsidRPr="0050279E">
              <w:rPr>
                <w:szCs w:val="22"/>
              </w:rPr>
              <w:t>Cr</w:t>
            </w:r>
          </w:p>
        </w:tc>
        <w:tc>
          <w:tcPr>
            <w:tcW w:w="1410" w:type="dxa"/>
          </w:tcPr>
          <w:p w:rsidR="006C2E16" w:rsidRPr="0050279E" w:rsidRDefault="006C2E16" w:rsidP="00A10D4B">
            <w:pPr>
              <w:ind w:right="32"/>
              <w:jc w:val="center"/>
              <w:rPr>
                <w:szCs w:val="22"/>
              </w:rPr>
            </w:pPr>
            <w:r w:rsidRPr="0050279E">
              <w:rPr>
                <w:szCs w:val="22"/>
              </w:rPr>
              <w:t>Fe</w:t>
            </w:r>
          </w:p>
        </w:tc>
        <w:tc>
          <w:tcPr>
            <w:tcW w:w="1286" w:type="dxa"/>
            <w:noWrap/>
          </w:tcPr>
          <w:p w:rsidR="006C2E16" w:rsidRPr="0050279E" w:rsidRDefault="006C2E16" w:rsidP="00A10D4B">
            <w:pPr>
              <w:ind w:right="32"/>
              <w:jc w:val="center"/>
              <w:rPr>
                <w:szCs w:val="22"/>
              </w:rPr>
            </w:pPr>
            <w:r w:rsidRPr="0050279E">
              <w:rPr>
                <w:szCs w:val="22"/>
              </w:rPr>
              <w:t>0.750</w:t>
            </w:r>
          </w:p>
        </w:tc>
        <w:tc>
          <w:tcPr>
            <w:tcW w:w="1937" w:type="dxa"/>
            <w:noWrap/>
          </w:tcPr>
          <w:p w:rsidR="006C2E16" w:rsidRPr="0050279E" w:rsidRDefault="006C2E16" w:rsidP="00A10D4B">
            <w:pPr>
              <w:ind w:right="32"/>
              <w:jc w:val="center"/>
              <w:rPr>
                <w:szCs w:val="22"/>
              </w:rPr>
            </w:pPr>
            <w:r w:rsidRPr="0050279E">
              <w:rPr>
                <w:szCs w:val="22"/>
              </w:rPr>
              <w:t>1.242</w:t>
            </w:r>
          </w:p>
        </w:tc>
        <w:tc>
          <w:tcPr>
            <w:tcW w:w="1620" w:type="dxa"/>
            <w:noWrap/>
          </w:tcPr>
          <w:p w:rsidR="006C2E16" w:rsidRPr="0050279E" w:rsidRDefault="006C2E16" w:rsidP="00A10D4B">
            <w:pPr>
              <w:ind w:right="32"/>
              <w:jc w:val="center"/>
              <w:rPr>
                <w:szCs w:val="22"/>
              </w:rPr>
            </w:pPr>
            <w:r w:rsidRPr="0050279E">
              <w:rPr>
                <w:szCs w:val="22"/>
              </w:rPr>
              <w:t>0.58</w:t>
            </w:r>
          </w:p>
        </w:tc>
      </w:tr>
      <w:tr w:rsidR="006C2E16" w:rsidRPr="0050279E" w:rsidTr="00A10D4B">
        <w:trPr>
          <w:trHeight w:val="396"/>
          <w:jc w:val="center"/>
        </w:trPr>
        <w:tc>
          <w:tcPr>
            <w:tcW w:w="1667" w:type="dxa"/>
            <w:noWrap/>
          </w:tcPr>
          <w:p w:rsidR="006C2E16" w:rsidRPr="0050279E" w:rsidRDefault="006C2E16" w:rsidP="00A10D4B">
            <w:pPr>
              <w:ind w:right="32"/>
              <w:rPr>
                <w:szCs w:val="22"/>
              </w:rPr>
            </w:pPr>
            <w:r w:rsidRPr="0050279E">
              <w:rPr>
                <w:szCs w:val="22"/>
              </w:rPr>
              <w:t>Cu</w:t>
            </w:r>
          </w:p>
        </w:tc>
        <w:tc>
          <w:tcPr>
            <w:tcW w:w="1410" w:type="dxa"/>
          </w:tcPr>
          <w:p w:rsidR="006C2E16" w:rsidRPr="0050279E" w:rsidRDefault="006C2E16" w:rsidP="00A10D4B">
            <w:pPr>
              <w:ind w:right="32"/>
              <w:jc w:val="center"/>
              <w:rPr>
                <w:szCs w:val="22"/>
              </w:rPr>
            </w:pPr>
            <w:r w:rsidRPr="0050279E">
              <w:rPr>
                <w:szCs w:val="22"/>
              </w:rPr>
              <w:t>Fe</w:t>
            </w:r>
          </w:p>
        </w:tc>
        <w:tc>
          <w:tcPr>
            <w:tcW w:w="1286" w:type="dxa"/>
            <w:noWrap/>
          </w:tcPr>
          <w:p w:rsidR="006C2E16" w:rsidRPr="0050279E" w:rsidRDefault="006C2E16" w:rsidP="00A10D4B">
            <w:pPr>
              <w:ind w:right="32"/>
              <w:jc w:val="center"/>
              <w:rPr>
                <w:szCs w:val="22"/>
              </w:rPr>
            </w:pPr>
            <w:r w:rsidRPr="0050279E">
              <w:rPr>
                <w:szCs w:val="22"/>
              </w:rPr>
              <w:t>0.612</w:t>
            </w:r>
          </w:p>
        </w:tc>
        <w:tc>
          <w:tcPr>
            <w:tcW w:w="1937" w:type="dxa"/>
            <w:noWrap/>
          </w:tcPr>
          <w:p w:rsidR="006C2E16" w:rsidRPr="0050279E" w:rsidRDefault="006C2E16" w:rsidP="00A10D4B">
            <w:pPr>
              <w:ind w:right="32"/>
              <w:jc w:val="center"/>
              <w:rPr>
                <w:szCs w:val="22"/>
              </w:rPr>
            </w:pPr>
            <w:r w:rsidRPr="0050279E">
              <w:rPr>
                <w:szCs w:val="22"/>
              </w:rPr>
              <w:t>0.808</w:t>
            </w:r>
          </w:p>
        </w:tc>
        <w:tc>
          <w:tcPr>
            <w:tcW w:w="1620" w:type="dxa"/>
            <w:noWrap/>
          </w:tcPr>
          <w:p w:rsidR="006C2E16" w:rsidRPr="0050279E" w:rsidRDefault="006C2E16" w:rsidP="00A10D4B">
            <w:pPr>
              <w:ind w:right="32"/>
              <w:jc w:val="center"/>
              <w:rPr>
                <w:szCs w:val="22"/>
              </w:rPr>
            </w:pPr>
            <w:r w:rsidRPr="0050279E">
              <w:rPr>
                <w:szCs w:val="22"/>
              </w:rPr>
              <w:t>0.61</w:t>
            </w:r>
          </w:p>
        </w:tc>
      </w:tr>
      <w:tr w:rsidR="006C2E16" w:rsidRPr="0050279E" w:rsidTr="00A10D4B">
        <w:trPr>
          <w:trHeight w:val="396"/>
          <w:jc w:val="center"/>
        </w:trPr>
        <w:tc>
          <w:tcPr>
            <w:tcW w:w="1667" w:type="dxa"/>
            <w:noWrap/>
          </w:tcPr>
          <w:p w:rsidR="006C2E16" w:rsidRPr="0050279E" w:rsidRDefault="006C2E16" w:rsidP="00A10D4B">
            <w:pPr>
              <w:ind w:right="32"/>
              <w:rPr>
                <w:szCs w:val="22"/>
              </w:rPr>
            </w:pPr>
            <w:r w:rsidRPr="0050279E">
              <w:rPr>
                <w:szCs w:val="22"/>
              </w:rPr>
              <w:t>Ni</w:t>
            </w:r>
          </w:p>
        </w:tc>
        <w:tc>
          <w:tcPr>
            <w:tcW w:w="1410" w:type="dxa"/>
          </w:tcPr>
          <w:p w:rsidR="006C2E16" w:rsidRPr="0050279E" w:rsidRDefault="006C2E16" w:rsidP="00A10D4B">
            <w:pPr>
              <w:ind w:right="32"/>
              <w:jc w:val="center"/>
              <w:rPr>
                <w:szCs w:val="22"/>
              </w:rPr>
            </w:pPr>
            <w:r w:rsidRPr="0050279E">
              <w:rPr>
                <w:szCs w:val="22"/>
              </w:rPr>
              <w:t>Fe</w:t>
            </w:r>
          </w:p>
        </w:tc>
        <w:tc>
          <w:tcPr>
            <w:tcW w:w="1286" w:type="dxa"/>
            <w:noWrap/>
          </w:tcPr>
          <w:p w:rsidR="006C2E16" w:rsidRPr="0050279E" w:rsidRDefault="006C2E16" w:rsidP="00A10D4B">
            <w:pPr>
              <w:ind w:right="32"/>
              <w:jc w:val="center"/>
              <w:rPr>
                <w:szCs w:val="22"/>
              </w:rPr>
            </w:pPr>
            <w:r w:rsidRPr="0050279E">
              <w:rPr>
                <w:szCs w:val="22"/>
              </w:rPr>
              <w:t>0.702</w:t>
            </w:r>
          </w:p>
        </w:tc>
        <w:tc>
          <w:tcPr>
            <w:tcW w:w="1937" w:type="dxa"/>
            <w:noWrap/>
          </w:tcPr>
          <w:p w:rsidR="006C2E16" w:rsidRPr="0050279E" w:rsidRDefault="006C2E16" w:rsidP="00A10D4B">
            <w:pPr>
              <w:ind w:right="32"/>
              <w:jc w:val="center"/>
              <w:rPr>
                <w:szCs w:val="22"/>
              </w:rPr>
            </w:pPr>
            <w:r w:rsidRPr="0050279E">
              <w:rPr>
                <w:szCs w:val="22"/>
              </w:rPr>
              <w:t>0.834</w:t>
            </w:r>
          </w:p>
        </w:tc>
        <w:tc>
          <w:tcPr>
            <w:tcW w:w="1620" w:type="dxa"/>
            <w:noWrap/>
          </w:tcPr>
          <w:p w:rsidR="006C2E16" w:rsidRPr="0050279E" w:rsidRDefault="006C2E16" w:rsidP="00A10D4B">
            <w:pPr>
              <w:ind w:right="32"/>
              <w:jc w:val="center"/>
              <w:rPr>
                <w:szCs w:val="22"/>
              </w:rPr>
            </w:pPr>
            <w:r w:rsidRPr="0050279E">
              <w:rPr>
                <w:szCs w:val="22"/>
              </w:rPr>
              <w:t>0.64</w:t>
            </w:r>
          </w:p>
        </w:tc>
      </w:tr>
      <w:tr w:rsidR="006C2E16" w:rsidRPr="0050279E" w:rsidTr="00A10D4B">
        <w:trPr>
          <w:trHeight w:val="396"/>
          <w:jc w:val="center"/>
        </w:trPr>
        <w:tc>
          <w:tcPr>
            <w:tcW w:w="1667" w:type="dxa"/>
            <w:noWrap/>
          </w:tcPr>
          <w:p w:rsidR="006C2E16" w:rsidRPr="0050279E" w:rsidRDefault="006C2E16" w:rsidP="00A10D4B">
            <w:pPr>
              <w:ind w:right="32"/>
              <w:rPr>
                <w:szCs w:val="22"/>
              </w:rPr>
            </w:pPr>
            <w:r w:rsidRPr="0050279E">
              <w:rPr>
                <w:szCs w:val="22"/>
              </w:rPr>
              <w:t>Pb</w:t>
            </w:r>
          </w:p>
        </w:tc>
        <w:tc>
          <w:tcPr>
            <w:tcW w:w="1410" w:type="dxa"/>
          </w:tcPr>
          <w:p w:rsidR="006C2E16" w:rsidRPr="0050279E" w:rsidRDefault="006C2E16" w:rsidP="00A10D4B">
            <w:pPr>
              <w:ind w:right="32"/>
              <w:jc w:val="center"/>
              <w:rPr>
                <w:szCs w:val="22"/>
              </w:rPr>
            </w:pPr>
            <w:r w:rsidRPr="0050279E">
              <w:rPr>
                <w:szCs w:val="22"/>
              </w:rPr>
              <w:t>Fe</w:t>
            </w:r>
          </w:p>
        </w:tc>
        <w:tc>
          <w:tcPr>
            <w:tcW w:w="1286" w:type="dxa"/>
            <w:noWrap/>
          </w:tcPr>
          <w:p w:rsidR="006C2E16" w:rsidRPr="0050279E" w:rsidRDefault="006C2E16" w:rsidP="00A10D4B">
            <w:pPr>
              <w:ind w:right="32"/>
              <w:jc w:val="center"/>
              <w:rPr>
                <w:szCs w:val="22"/>
              </w:rPr>
            </w:pPr>
            <w:r w:rsidRPr="0050279E">
              <w:rPr>
                <w:szCs w:val="22"/>
              </w:rPr>
              <w:t>1.039</w:t>
            </w:r>
          </w:p>
        </w:tc>
        <w:tc>
          <w:tcPr>
            <w:tcW w:w="1937" w:type="dxa"/>
            <w:noWrap/>
          </w:tcPr>
          <w:p w:rsidR="006C2E16" w:rsidRPr="0050279E" w:rsidRDefault="006C2E16" w:rsidP="00A10D4B">
            <w:pPr>
              <w:ind w:right="32"/>
              <w:jc w:val="center"/>
              <w:rPr>
                <w:szCs w:val="22"/>
              </w:rPr>
            </w:pPr>
            <w:r w:rsidRPr="0050279E">
              <w:rPr>
                <w:szCs w:val="22"/>
              </w:rPr>
              <w:t>0.118</w:t>
            </w:r>
          </w:p>
        </w:tc>
        <w:tc>
          <w:tcPr>
            <w:tcW w:w="1620" w:type="dxa"/>
            <w:noWrap/>
          </w:tcPr>
          <w:p w:rsidR="006C2E16" w:rsidRPr="0050279E" w:rsidRDefault="006C2E16" w:rsidP="00A10D4B">
            <w:pPr>
              <w:ind w:right="32"/>
              <w:jc w:val="center"/>
              <w:rPr>
                <w:szCs w:val="22"/>
              </w:rPr>
            </w:pPr>
            <w:r w:rsidRPr="0050279E">
              <w:rPr>
                <w:szCs w:val="22"/>
              </w:rPr>
              <w:t>0.66</w:t>
            </w:r>
          </w:p>
        </w:tc>
      </w:tr>
      <w:tr w:rsidR="006C2E16" w:rsidRPr="0050279E" w:rsidTr="00A10D4B">
        <w:trPr>
          <w:trHeight w:val="396"/>
          <w:jc w:val="center"/>
        </w:trPr>
        <w:tc>
          <w:tcPr>
            <w:tcW w:w="1667" w:type="dxa"/>
            <w:noWrap/>
          </w:tcPr>
          <w:p w:rsidR="006C2E16" w:rsidRPr="0050279E" w:rsidRDefault="006C2E16" w:rsidP="00A10D4B">
            <w:pPr>
              <w:ind w:right="32"/>
              <w:rPr>
                <w:szCs w:val="22"/>
              </w:rPr>
            </w:pPr>
            <w:r w:rsidRPr="0050279E">
              <w:rPr>
                <w:szCs w:val="22"/>
              </w:rPr>
              <w:t>Zn</w:t>
            </w:r>
          </w:p>
        </w:tc>
        <w:tc>
          <w:tcPr>
            <w:tcW w:w="1410" w:type="dxa"/>
          </w:tcPr>
          <w:p w:rsidR="006C2E16" w:rsidRPr="0050279E" w:rsidRDefault="006C2E16" w:rsidP="00A10D4B">
            <w:pPr>
              <w:ind w:right="32"/>
              <w:jc w:val="center"/>
              <w:rPr>
                <w:szCs w:val="22"/>
              </w:rPr>
            </w:pPr>
            <w:r w:rsidRPr="0050279E">
              <w:rPr>
                <w:szCs w:val="22"/>
              </w:rPr>
              <w:t>Fe</w:t>
            </w:r>
          </w:p>
        </w:tc>
        <w:tc>
          <w:tcPr>
            <w:tcW w:w="1286" w:type="dxa"/>
            <w:noWrap/>
          </w:tcPr>
          <w:p w:rsidR="006C2E16" w:rsidRPr="0050279E" w:rsidRDefault="006C2E16" w:rsidP="00A10D4B">
            <w:pPr>
              <w:ind w:right="32"/>
              <w:jc w:val="center"/>
              <w:rPr>
                <w:szCs w:val="22"/>
              </w:rPr>
            </w:pPr>
            <w:r w:rsidRPr="0050279E">
              <w:rPr>
                <w:szCs w:val="22"/>
              </w:rPr>
              <w:t>0.589</w:t>
            </w:r>
          </w:p>
        </w:tc>
        <w:tc>
          <w:tcPr>
            <w:tcW w:w="1937" w:type="dxa"/>
            <w:noWrap/>
          </w:tcPr>
          <w:p w:rsidR="006C2E16" w:rsidRPr="0050279E" w:rsidRDefault="006C2E16" w:rsidP="00A10D4B">
            <w:pPr>
              <w:ind w:right="32"/>
              <w:jc w:val="center"/>
              <w:rPr>
                <w:szCs w:val="22"/>
              </w:rPr>
            </w:pPr>
            <w:r w:rsidRPr="0050279E">
              <w:rPr>
                <w:szCs w:val="22"/>
              </w:rPr>
              <w:t>1.024</w:t>
            </w:r>
          </w:p>
        </w:tc>
        <w:tc>
          <w:tcPr>
            <w:tcW w:w="1620" w:type="dxa"/>
            <w:noWrap/>
          </w:tcPr>
          <w:p w:rsidR="006C2E16" w:rsidRPr="0050279E" w:rsidRDefault="006C2E16" w:rsidP="00A10D4B">
            <w:pPr>
              <w:ind w:right="32"/>
              <w:jc w:val="center"/>
              <w:rPr>
                <w:szCs w:val="22"/>
              </w:rPr>
            </w:pPr>
            <w:r w:rsidRPr="0050279E">
              <w:rPr>
                <w:szCs w:val="22"/>
              </w:rPr>
              <w:t>0.61</w:t>
            </w:r>
          </w:p>
        </w:tc>
      </w:tr>
    </w:tbl>
    <w:p w:rsidR="006C2E16" w:rsidRPr="007F3DF5" w:rsidRDefault="006C2E16" w:rsidP="006C2E16">
      <w:pPr>
        <w:rPr>
          <w:kern w:val="28"/>
        </w:rPr>
      </w:pPr>
    </w:p>
    <w:p w:rsidR="006C2E16" w:rsidRDefault="006C2E16" w:rsidP="006C2E16">
      <w:pPr>
        <w:pStyle w:val="Caption"/>
        <w:rPr>
          <w:kern w:val="28"/>
        </w:rPr>
      </w:pPr>
      <w:r w:rsidRPr="00363524">
        <w:t>Table 16. Predicted ambient background soil concentrations (mg/kg) for a</w:t>
      </w:r>
      <w:r w:rsidRPr="00363524">
        <w:rPr>
          <w:kern w:val="28"/>
        </w:rPr>
        <w:t xml:space="preserve">rsenic (As), cobalt (Co), chromium (Cr), copper (Cu), nickel (Ni), lead (Pb) and zinc (Zn) at different soil iron concentrations, </w:t>
      </w:r>
      <w:r w:rsidRPr="00363524">
        <w:t>based on the equations from Hamon et al. (2004)</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003"/>
        <w:gridCol w:w="1217"/>
        <w:gridCol w:w="1217"/>
        <w:gridCol w:w="1218"/>
        <w:gridCol w:w="1218"/>
        <w:gridCol w:w="1399"/>
      </w:tblGrid>
      <w:tr w:rsidR="006C2E16" w:rsidRPr="0050279E" w:rsidTr="00A10D4B">
        <w:trPr>
          <w:jc w:val="center"/>
        </w:trPr>
        <w:tc>
          <w:tcPr>
            <w:tcW w:w="1620" w:type="dxa"/>
            <w:shd w:val="clear" w:color="auto" w:fill="C6D9F1" w:themeFill="text2" w:themeFillTint="33"/>
          </w:tcPr>
          <w:p w:rsidR="006C2E16" w:rsidRPr="0050279E" w:rsidRDefault="006C2E16" w:rsidP="00A10D4B">
            <w:pPr>
              <w:jc w:val="center"/>
              <w:rPr>
                <w:b/>
                <w:bCs/>
                <w:szCs w:val="22"/>
              </w:rPr>
            </w:pPr>
            <w:r w:rsidRPr="0050279E">
              <w:rPr>
                <w:b/>
                <w:bCs/>
                <w:szCs w:val="22"/>
              </w:rPr>
              <w:t>Soil Fe%</w:t>
            </w:r>
          </w:p>
        </w:tc>
        <w:tc>
          <w:tcPr>
            <w:tcW w:w="1003" w:type="dxa"/>
            <w:shd w:val="clear" w:color="auto" w:fill="C6D9F1" w:themeFill="text2" w:themeFillTint="33"/>
          </w:tcPr>
          <w:p w:rsidR="006C2E16" w:rsidRPr="0050279E" w:rsidRDefault="006C2E16" w:rsidP="00A10D4B">
            <w:pPr>
              <w:jc w:val="center"/>
              <w:rPr>
                <w:b/>
                <w:bCs/>
                <w:szCs w:val="22"/>
              </w:rPr>
            </w:pPr>
            <w:r w:rsidRPr="0050279E">
              <w:rPr>
                <w:b/>
                <w:bCs/>
                <w:szCs w:val="22"/>
              </w:rPr>
              <w:t>As</w:t>
            </w:r>
          </w:p>
          <w:p w:rsidR="006C2E16" w:rsidRPr="0050279E" w:rsidRDefault="006C2E16" w:rsidP="00A10D4B">
            <w:pPr>
              <w:jc w:val="center"/>
              <w:rPr>
                <w:b/>
                <w:bCs/>
                <w:szCs w:val="22"/>
              </w:rPr>
            </w:pPr>
            <w:r w:rsidRPr="0050279E">
              <w:rPr>
                <w:b/>
                <w:bCs/>
                <w:szCs w:val="22"/>
              </w:rPr>
              <w:t>(mg/kg)</w:t>
            </w:r>
          </w:p>
        </w:tc>
        <w:tc>
          <w:tcPr>
            <w:tcW w:w="1217" w:type="dxa"/>
            <w:shd w:val="clear" w:color="auto" w:fill="C6D9F1" w:themeFill="text2" w:themeFillTint="33"/>
          </w:tcPr>
          <w:p w:rsidR="006C2E16" w:rsidRPr="0050279E" w:rsidRDefault="006C2E16" w:rsidP="00A10D4B">
            <w:pPr>
              <w:jc w:val="center"/>
              <w:rPr>
                <w:b/>
                <w:bCs/>
                <w:szCs w:val="22"/>
              </w:rPr>
            </w:pPr>
            <w:r w:rsidRPr="0050279E">
              <w:rPr>
                <w:b/>
                <w:bCs/>
                <w:szCs w:val="22"/>
              </w:rPr>
              <w:t>Cr</w:t>
            </w:r>
          </w:p>
          <w:p w:rsidR="006C2E16" w:rsidRPr="0050279E" w:rsidRDefault="006C2E16" w:rsidP="00A10D4B">
            <w:pPr>
              <w:jc w:val="center"/>
              <w:rPr>
                <w:b/>
                <w:bCs/>
                <w:szCs w:val="22"/>
              </w:rPr>
            </w:pPr>
            <w:r w:rsidRPr="0050279E">
              <w:rPr>
                <w:b/>
                <w:bCs/>
                <w:szCs w:val="22"/>
              </w:rPr>
              <w:t>(mg/kg)</w:t>
            </w:r>
          </w:p>
        </w:tc>
        <w:tc>
          <w:tcPr>
            <w:tcW w:w="1217" w:type="dxa"/>
            <w:shd w:val="clear" w:color="auto" w:fill="C6D9F1" w:themeFill="text2" w:themeFillTint="33"/>
          </w:tcPr>
          <w:p w:rsidR="006C2E16" w:rsidRPr="0050279E" w:rsidRDefault="006C2E16" w:rsidP="00A10D4B">
            <w:pPr>
              <w:jc w:val="center"/>
              <w:rPr>
                <w:b/>
                <w:bCs/>
                <w:szCs w:val="22"/>
              </w:rPr>
            </w:pPr>
            <w:r w:rsidRPr="0050279E">
              <w:rPr>
                <w:b/>
                <w:bCs/>
                <w:szCs w:val="22"/>
              </w:rPr>
              <w:t>Cu</w:t>
            </w:r>
          </w:p>
          <w:p w:rsidR="006C2E16" w:rsidRPr="0050279E" w:rsidRDefault="006C2E16" w:rsidP="00A10D4B">
            <w:pPr>
              <w:jc w:val="center"/>
              <w:rPr>
                <w:b/>
                <w:bCs/>
                <w:szCs w:val="22"/>
              </w:rPr>
            </w:pPr>
            <w:r w:rsidRPr="0050279E">
              <w:rPr>
                <w:b/>
                <w:bCs/>
                <w:szCs w:val="22"/>
              </w:rPr>
              <w:t>(mg/kg)</w:t>
            </w:r>
          </w:p>
        </w:tc>
        <w:tc>
          <w:tcPr>
            <w:tcW w:w="1218" w:type="dxa"/>
            <w:shd w:val="clear" w:color="auto" w:fill="C6D9F1" w:themeFill="text2" w:themeFillTint="33"/>
          </w:tcPr>
          <w:p w:rsidR="006C2E16" w:rsidRPr="0050279E" w:rsidRDefault="006C2E16" w:rsidP="00A10D4B">
            <w:pPr>
              <w:jc w:val="center"/>
              <w:rPr>
                <w:b/>
                <w:bCs/>
                <w:szCs w:val="22"/>
              </w:rPr>
            </w:pPr>
            <w:r w:rsidRPr="0050279E">
              <w:rPr>
                <w:b/>
                <w:bCs/>
                <w:szCs w:val="22"/>
              </w:rPr>
              <w:t>Ni</w:t>
            </w:r>
          </w:p>
          <w:p w:rsidR="006C2E16" w:rsidRPr="0050279E" w:rsidRDefault="006C2E16" w:rsidP="00A10D4B">
            <w:pPr>
              <w:jc w:val="center"/>
              <w:rPr>
                <w:b/>
                <w:bCs/>
                <w:szCs w:val="22"/>
              </w:rPr>
            </w:pPr>
            <w:r w:rsidRPr="0050279E">
              <w:rPr>
                <w:b/>
                <w:bCs/>
                <w:szCs w:val="22"/>
              </w:rPr>
              <w:t>(mg/kg)</w:t>
            </w:r>
          </w:p>
        </w:tc>
        <w:tc>
          <w:tcPr>
            <w:tcW w:w="1218" w:type="dxa"/>
            <w:shd w:val="clear" w:color="auto" w:fill="C6D9F1" w:themeFill="text2" w:themeFillTint="33"/>
          </w:tcPr>
          <w:p w:rsidR="006C2E16" w:rsidRPr="0050279E" w:rsidRDefault="006C2E16" w:rsidP="00A10D4B">
            <w:pPr>
              <w:jc w:val="center"/>
              <w:rPr>
                <w:b/>
                <w:bCs/>
                <w:szCs w:val="22"/>
              </w:rPr>
            </w:pPr>
            <w:r w:rsidRPr="0050279E">
              <w:rPr>
                <w:b/>
                <w:bCs/>
                <w:szCs w:val="22"/>
              </w:rPr>
              <w:t>Pb</w:t>
            </w:r>
          </w:p>
          <w:p w:rsidR="006C2E16" w:rsidRPr="0050279E" w:rsidRDefault="006C2E16" w:rsidP="00A10D4B">
            <w:pPr>
              <w:jc w:val="center"/>
              <w:rPr>
                <w:b/>
                <w:bCs/>
                <w:szCs w:val="22"/>
              </w:rPr>
            </w:pPr>
            <w:r w:rsidRPr="0050279E">
              <w:rPr>
                <w:b/>
                <w:bCs/>
                <w:szCs w:val="22"/>
              </w:rPr>
              <w:t>(mg/kg)</w:t>
            </w:r>
          </w:p>
        </w:tc>
        <w:tc>
          <w:tcPr>
            <w:tcW w:w="1399" w:type="dxa"/>
            <w:shd w:val="clear" w:color="auto" w:fill="C6D9F1" w:themeFill="text2" w:themeFillTint="33"/>
          </w:tcPr>
          <w:p w:rsidR="006C2E16" w:rsidRPr="0050279E" w:rsidRDefault="006C2E16" w:rsidP="00A10D4B">
            <w:pPr>
              <w:jc w:val="center"/>
              <w:rPr>
                <w:b/>
                <w:bCs/>
                <w:szCs w:val="22"/>
              </w:rPr>
            </w:pPr>
            <w:r w:rsidRPr="0050279E">
              <w:rPr>
                <w:b/>
                <w:bCs/>
                <w:szCs w:val="22"/>
              </w:rPr>
              <w:t>Zn</w:t>
            </w:r>
          </w:p>
          <w:p w:rsidR="006C2E16" w:rsidRPr="0050279E" w:rsidRDefault="006C2E16" w:rsidP="00A10D4B">
            <w:pPr>
              <w:jc w:val="center"/>
              <w:rPr>
                <w:b/>
                <w:bCs/>
                <w:szCs w:val="22"/>
              </w:rPr>
            </w:pPr>
            <w:r w:rsidRPr="0050279E">
              <w:rPr>
                <w:b/>
                <w:bCs/>
                <w:szCs w:val="22"/>
              </w:rPr>
              <w:t>(mg/kg)</w:t>
            </w:r>
          </w:p>
        </w:tc>
      </w:tr>
      <w:tr w:rsidR="006C2E16" w:rsidRPr="0050279E" w:rsidTr="00A10D4B">
        <w:trPr>
          <w:jc w:val="center"/>
        </w:trPr>
        <w:tc>
          <w:tcPr>
            <w:tcW w:w="1620" w:type="dxa"/>
          </w:tcPr>
          <w:p w:rsidR="006C2E16" w:rsidRPr="0050279E" w:rsidRDefault="006C2E16" w:rsidP="00A10D4B">
            <w:pPr>
              <w:rPr>
                <w:szCs w:val="22"/>
              </w:rPr>
            </w:pPr>
            <w:r w:rsidRPr="0050279E">
              <w:rPr>
                <w:szCs w:val="22"/>
              </w:rPr>
              <w:t>0.1</w:t>
            </w:r>
          </w:p>
        </w:tc>
        <w:tc>
          <w:tcPr>
            <w:tcW w:w="1003" w:type="dxa"/>
          </w:tcPr>
          <w:p w:rsidR="006C2E16" w:rsidRPr="0050279E" w:rsidRDefault="006C2E16" w:rsidP="00A10D4B">
            <w:pPr>
              <w:tabs>
                <w:tab w:val="decimal" w:pos="419"/>
              </w:tabs>
              <w:rPr>
                <w:szCs w:val="22"/>
              </w:rPr>
            </w:pPr>
            <w:r w:rsidRPr="0050279E">
              <w:rPr>
                <w:szCs w:val="22"/>
              </w:rPr>
              <w:t>&lt;1</w:t>
            </w:r>
          </w:p>
        </w:tc>
        <w:tc>
          <w:tcPr>
            <w:tcW w:w="1217" w:type="dxa"/>
          </w:tcPr>
          <w:p w:rsidR="006C2E16" w:rsidRPr="0050279E" w:rsidRDefault="006C2E16" w:rsidP="00A10D4B">
            <w:pPr>
              <w:tabs>
                <w:tab w:val="decimal" w:pos="662"/>
              </w:tabs>
              <w:rPr>
                <w:szCs w:val="22"/>
              </w:rPr>
            </w:pPr>
            <w:r w:rsidRPr="0050279E">
              <w:rPr>
                <w:szCs w:val="22"/>
              </w:rPr>
              <w:t>&lt;3</w:t>
            </w:r>
          </w:p>
        </w:tc>
        <w:tc>
          <w:tcPr>
            <w:tcW w:w="1217" w:type="dxa"/>
          </w:tcPr>
          <w:p w:rsidR="006C2E16" w:rsidRPr="0050279E" w:rsidRDefault="006C2E16" w:rsidP="00A10D4B">
            <w:pPr>
              <w:tabs>
                <w:tab w:val="decimal" w:pos="621"/>
              </w:tabs>
              <w:rPr>
                <w:szCs w:val="22"/>
              </w:rPr>
            </w:pPr>
            <w:r w:rsidRPr="0050279E">
              <w:rPr>
                <w:szCs w:val="22"/>
              </w:rPr>
              <w:t>&lt;2</w:t>
            </w:r>
          </w:p>
        </w:tc>
        <w:tc>
          <w:tcPr>
            <w:tcW w:w="1218" w:type="dxa"/>
          </w:tcPr>
          <w:p w:rsidR="006C2E16" w:rsidRPr="0050279E" w:rsidRDefault="006C2E16" w:rsidP="00A10D4B">
            <w:pPr>
              <w:tabs>
                <w:tab w:val="decimal" w:pos="635"/>
              </w:tabs>
              <w:rPr>
                <w:szCs w:val="22"/>
              </w:rPr>
            </w:pPr>
            <w:r w:rsidRPr="0050279E">
              <w:rPr>
                <w:szCs w:val="22"/>
              </w:rPr>
              <w:t>&lt;1</w:t>
            </w:r>
          </w:p>
        </w:tc>
        <w:tc>
          <w:tcPr>
            <w:tcW w:w="1218" w:type="dxa"/>
          </w:tcPr>
          <w:p w:rsidR="006C2E16" w:rsidRPr="0050279E" w:rsidRDefault="006C2E16" w:rsidP="00A10D4B">
            <w:pPr>
              <w:tabs>
                <w:tab w:val="decimal" w:pos="579"/>
              </w:tabs>
              <w:rPr>
                <w:szCs w:val="22"/>
              </w:rPr>
            </w:pPr>
            <w:r w:rsidRPr="0050279E">
              <w:rPr>
                <w:szCs w:val="22"/>
              </w:rPr>
              <w:t>&lt;0.1</w:t>
            </w:r>
          </w:p>
        </w:tc>
        <w:tc>
          <w:tcPr>
            <w:tcW w:w="1399" w:type="dxa"/>
          </w:tcPr>
          <w:p w:rsidR="006C2E16" w:rsidRPr="0050279E" w:rsidRDefault="006C2E16" w:rsidP="00A10D4B">
            <w:pPr>
              <w:tabs>
                <w:tab w:val="decimal" w:pos="607"/>
              </w:tabs>
              <w:rPr>
                <w:szCs w:val="22"/>
              </w:rPr>
            </w:pPr>
            <w:r w:rsidRPr="0050279E">
              <w:rPr>
                <w:szCs w:val="22"/>
              </w:rPr>
              <w:t>&lt;3</w:t>
            </w:r>
          </w:p>
        </w:tc>
      </w:tr>
      <w:tr w:rsidR="006C2E16" w:rsidRPr="0050279E" w:rsidTr="00A10D4B">
        <w:trPr>
          <w:jc w:val="center"/>
        </w:trPr>
        <w:tc>
          <w:tcPr>
            <w:tcW w:w="1620" w:type="dxa"/>
          </w:tcPr>
          <w:p w:rsidR="006C2E16" w:rsidRPr="0050279E" w:rsidRDefault="006C2E16" w:rsidP="00A10D4B">
            <w:pPr>
              <w:rPr>
                <w:szCs w:val="22"/>
              </w:rPr>
            </w:pPr>
            <w:r w:rsidRPr="0050279E">
              <w:rPr>
                <w:szCs w:val="22"/>
              </w:rPr>
              <w:t>1</w:t>
            </w:r>
          </w:p>
        </w:tc>
        <w:tc>
          <w:tcPr>
            <w:tcW w:w="1003" w:type="dxa"/>
          </w:tcPr>
          <w:p w:rsidR="006C2E16" w:rsidRPr="0050279E" w:rsidRDefault="006C2E16" w:rsidP="00A10D4B">
            <w:pPr>
              <w:tabs>
                <w:tab w:val="decimal" w:pos="419"/>
              </w:tabs>
              <w:rPr>
                <w:szCs w:val="22"/>
              </w:rPr>
            </w:pPr>
            <w:r w:rsidRPr="0050279E">
              <w:rPr>
                <w:szCs w:val="22"/>
              </w:rPr>
              <w:t>&lt;3</w:t>
            </w:r>
          </w:p>
        </w:tc>
        <w:tc>
          <w:tcPr>
            <w:tcW w:w="1217" w:type="dxa"/>
          </w:tcPr>
          <w:p w:rsidR="006C2E16" w:rsidRPr="0050279E" w:rsidRDefault="006C2E16" w:rsidP="00A10D4B">
            <w:pPr>
              <w:tabs>
                <w:tab w:val="decimal" w:pos="662"/>
              </w:tabs>
              <w:rPr>
                <w:szCs w:val="22"/>
              </w:rPr>
            </w:pPr>
            <w:r w:rsidRPr="0050279E">
              <w:rPr>
                <w:szCs w:val="22"/>
              </w:rPr>
              <w:t>&lt;17</w:t>
            </w:r>
          </w:p>
        </w:tc>
        <w:tc>
          <w:tcPr>
            <w:tcW w:w="1217" w:type="dxa"/>
          </w:tcPr>
          <w:p w:rsidR="006C2E16" w:rsidRPr="0050279E" w:rsidRDefault="006C2E16" w:rsidP="00A10D4B">
            <w:pPr>
              <w:tabs>
                <w:tab w:val="decimal" w:pos="621"/>
              </w:tabs>
              <w:rPr>
                <w:szCs w:val="22"/>
              </w:rPr>
            </w:pPr>
            <w:r w:rsidRPr="0050279E">
              <w:rPr>
                <w:szCs w:val="22"/>
              </w:rPr>
              <w:t>&lt;6</w:t>
            </w:r>
          </w:p>
        </w:tc>
        <w:tc>
          <w:tcPr>
            <w:tcW w:w="1218" w:type="dxa"/>
          </w:tcPr>
          <w:p w:rsidR="006C2E16" w:rsidRPr="0050279E" w:rsidRDefault="006C2E16" w:rsidP="00A10D4B">
            <w:pPr>
              <w:tabs>
                <w:tab w:val="decimal" w:pos="635"/>
              </w:tabs>
              <w:rPr>
                <w:szCs w:val="22"/>
              </w:rPr>
            </w:pPr>
            <w:r w:rsidRPr="0050279E">
              <w:rPr>
                <w:szCs w:val="22"/>
              </w:rPr>
              <w:t>&lt;7</w:t>
            </w:r>
          </w:p>
        </w:tc>
        <w:tc>
          <w:tcPr>
            <w:tcW w:w="1218" w:type="dxa"/>
          </w:tcPr>
          <w:p w:rsidR="006C2E16" w:rsidRPr="0050279E" w:rsidRDefault="006C2E16" w:rsidP="00A10D4B">
            <w:pPr>
              <w:tabs>
                <w:tab w:val="decimal" w:pos="579"/>
              </w:tabs>
              <w:rPr>
                <w:szCs w:val="22"/>
              </w:rPr>
            </w:pPr>
            <w:r w:rsidRPr="0050279E">
              <w:rPr>
                <w:szCs w:val="22"/>
              </w:rPr>
              <w:t>&lt;1</w:t>
            </w:r>
          </w:p>
        </w:tc>
        <w:tc>
          <w:tcPr>
            <w:tcW w:w="1399" w:type="dxa"/>
          </w:tcPr>
          <w:p w:rsidR="006C2E16" w:rsidRPr="0050279E" w:rsidRDefault="006C2E16" w:rsidP="00A10D4B">
            <w:pPr>
              <w:tabs>
                <w:tab w:val="decimal" w:pos="607"/>
              </w:tabs>
              <w:rPr>
                <w:szCs w:val="22"/>
              </w:rPr>
            </w:pPr>
            <w:r w:rsidRPr="0050279E">
              <w:rPr>
                <w:szCs w:val="22"/>
              </w:rPr>
              <w:t>&lt;11</w:t>
            </w:r>
          </w:p>
        </w:tc>
      </w:tr>
      <w:tr w:rsidR="006C2E16" w:rsidRPr="0050279E" w:rsidTr="00A10D4B">
        <w:trPr>
          <w:jc w:val="center"/>
        </w:trPr>
        <w:tc>
          <w:tcPr>
            <w:tcW w:w="1620" w:type="dxa"/>
          </w:tcPr>
          <w:p w:rsidR="006C2E16" w:rsidRPr="0050279E" w:rsidRDefault="006C2E16" w:rsidP="00A10D4B">
            <w:pPr>
              <w:rPr>
                <w:szCs w:val="22"/>
              </w:rPr>
            </w:pPr>
            <w:r w:rsidRPr="0050279E">
              <w:rPr>
                <w:szCs w:val="22"/>
              </w:rPr>
              <w:t>10</w:t>
            </w:r>
          </w:p>
        </w:tc>
        <w:tc>
          <w:tcPr>
            <w:tcW w:w="1003" w:type="dxa"/>
          </w:tcPr>
          <w:p w:rsidR="006C2E16" w:rsidRPr="0050279E" w:rsidRDefault="006C2E16" w:rsidP="00A10D4B">
            <w:pPr>
              <w:tabs>
                <w:tab w:val="decimal" w:pos="419"/>
              </w:tabs>
              <w:rPr>
                <w:szCs w:val="22"/>
              </w:rPr>
            </w:pPr>
            <w:r w:rsidRPr="0050279E">
              <w:rPr>
                <w:szCs w:val="22"/>
              </w:rPr>
              <w:t>&lt;12</w:t>
            </w:r>
          </w:p>
        </w:tc>
        <w:tc>
          <w:tcPr>
            <w:tcW w:w="1217" w:type="dxa"/>
          </w:tcPr>
          <w:p w:rsidR="006C2E16" w:rsidRPr="0050279E" w:rsidRDefault="006C2E16" w:rsidP="00A10D4B">
            <w:pPr>
              <w:tabs>
                <w:tab w:val="decimal" w:pos="662"/>
              </w:tabs>
              <w:rPr>
                <w:szCs w:val="22"/>
              </w:rPr>
            </w:pPr>
            <w:r w:rsidRPr="0050279E">
              <w:rPr>
                <w:szCs w:val="22"/>
              </w:rPr>
              <w:t>&lt;98</w:t>
            </w:r>
          </w:p>
        </w:tc>
        <w:tc>
          <w:tcPr>
            <w:tcW w:w="1217" w:type="dxa"/>
          </w:tcPr>
          <w:p w:rsidR="006C2E16" w:rsidRPr="0050279E" w:rsidRDefault="006C2E16" w:rsidP="00A10D4B">
            <w:pPr>
              <w:tabs>
                <w:tab w:val="decimal" w:pos="621"/>
              </w:tabs>
              <w:rPr>
                <w:szCs w:val="22"/>
              </w:rPr>
            </w:pPr>
            <w:r w:rsidRPr="0050279E">
              <w:rPr>
                <w:szCs w:val="22"/>
              </w:rPr>
              <w:t>&lt;26</w:t>
            </w:r>
          </w:p>
        </w:tc>
        <w:tc>
          <w:tcPr>
            <w:tcW w:w="1218" w:type="dxa"/>
          </w:tcPr>
          <w:p w:rsidR="006C2E16" w:rsidRPr="0050279E" w:rsidRDefault="006C2E16" w:rsidP="00A10D4B">
            <w:pPr>
              <w:tabs>
                <w:tab w:val="decimal" w:pos="635"/>
              </w:tabs>
              <w:rPr>
                <w:szCs w:val="22"/>
              </w:rPr>
            </w:pPr>
            <w:r w:rsidRPr="0050279E">
              <w:rPr>
                <w:szCs w:val="22"/>
              </w:rPr>
              <w:t>&lt;34</w:t>
            </w:r>
          </w:p>
        </w:tc>
        <w:tc>
          <w:tcPr>
            <w:tcW w:w="1218" w:type="dxa"/>
          </w:tcPr>
          <w:p w:rsidR="006C2E16" w:rsidRPr="0050279E" w:rsidRDefault="006C2E16" w:rsidP="00A10D4B">
            <w:pPr>
              <w:tabs>
                <w:tab w:val="decimal" w:pos="579"/>
              </w:tabs>
              <w:rPr>
                <w:szCs w:val="22"/>
              </w:rPr>
            </w:pPr>
            <w:r w:rsidRPr="0050279E">
              <w:rPr>
                <w:szCs w:val="22"/>
              </w:rPr>
              <w:t>&lt;14</w:t>
            </w:r>
          </w:p>
        </w:tc>
        <w:tc>
          <w:tcPr>
            <w:tcW w:w="1399" w:type="dxa"/>
          </w:tcPr>
          <w:p w:rsidR="006C2E16" w:rsidRPr="0050279E" w:rsidRDefault="006C2E16" w:rsidP="00A10D4B">
            <w:pPr>
              <w:tabs>
                <w:tab w:val="decimal" w:pos="607"/>
              </w:tabs>
              <w:rPr>
                <w:szCs w:val="22"/>
              </w:rPr>
            </w:pPr>
            <w:r w:rsidRPr="0050279E">
              <w:rPr>
                <w:szCs w:val="22"/>
              </w:rPr>
              <w:t>&lt;41</w:t>
            </w:r>
          </w:p>
        </w:tc>
      </w:tr>
      <w:tr w:rsidR="006C2E16" w:rsidRPr="0050279E" w:rsidTr="00A10D4B">
        <w:trPr>
          <w:jc w:val="center"/>
        </w:trPr>
        <w:tc>
          <w:tcPr>
            <w:tcW w:w="1620" w:type="dxa"/>
          </w:tcPr>
          <w:p w:rsidR="006C2E16" w:rsidRPr="0050279E" w:rsidRDefault="006C2E16" w:rsidP="00A10D4B">
            <w:pPr>
              <w:rPr>
                <w:szCs w:val="22"/>
              </w:rPr>
            </w:pPr>
            <w:r w:rsidRPr="0050279E">
              <w:rPr>
                <w:szCs w:val="22"/>
              </w:rPr>
              <w:t>20</w:t>
            </w:r>
          </w:p>
        </w:tc>
        <w:tc>
          <w:tcPr>
            <w:tcW w:w="1003" w:type="dxa"/>
          </w:tcPr>
          <w:p w:rsidR="006C2E16" w:rsidRPr="0050279E" w:rsidRDefault="006C2E16" w:rsidP="00A10D4B">
            <w:pPr>
              <w:tabs>
                <w:tab w:val="decimal" w:pos="419"/>
              </w:tabs>
              <w:rPr>
                <w:szCs w:val="22"/>
              </w:rPr>
            </w:pPr>
            <w:r w:rsidRPr="0050279E">
              <w:rPr>
                <w:szCs w:val="22"/>
              </w:rPr>
              <w:t>&lt;18</w:t>
            </w:r>
          </w:p>
        </w:tc>
        <w:tc>
          <w:tcPr>
            <w:tcW w:w="1217" w:type="dxa"/>
          </w:tcPr>
          <w:p w:rsidR="006C2E16" w:rsidRPr="0050279E" w:rsidRDefault="006C2E16" w:rsidP="00A10D4B">
            <w:pPr>
              <w:tabs>
                <w:tab w:val="decimal" w:pos="662"/>
              </w:tabs>
              <w:rPr>
                <w:szCs w:val="22"/>
              </w:rPr>
            </w:pPr>
            <w:r w:rsidRPr="0050279E">
              <w:rPr>
                <w:szCs w:val="22"/>
              </w:rPr>
              <w:t>&lt;165</w:t>
            </w:r>
          </w:p>
        </w:tc>
        <w:tc>
          <w:tcPr>
            <w:tcW w:w="1217" w:type="dxa"/>
          </w:tcPr>
          <w:p w:rsidR="006C2E16" w:rsidRPr="0050279E" w:rsidRDefault="006C2E16" w:rsidP="00A10D4B">
            <w:pPr>
              <w:tabs>
                <w:tab w:val="decimal" w:pos="621"/>
              </w:tabs>
              <w:rPr>
                <w:szCs w:val="22"/>
              </w:rPr>
            </w:pPr>
            <w:r w:rsidRPr="0050279E">
              <w:rPr>
                <w:szCs w:val="22"/>
              </w:rPr>
              <w:t>&lt;40</w:t>
            </w:r>
          </w:p>
        </w:tc>
        <w:tc>
          <w:tcPr>
            <w:tcW w:w="1218" w:type="dxa"/>
          </w:tcPr>
          <w:p w:rsidR="006C2E16" w:rsidRPr="0050279E" w:rsidRDefault="006C2E16" w:rsidP="00A10D4B">
            <w:pPr>
              <w:tabs>
                <w:tab w:val="decimal" w:pos="635"/>
              </w:tabs>
              <w:rPr>
                <w:szCs w:val="22"/>
              </w:rPr>
            </w:pPr>
            <w:r w:rsidRPr="0050279E">
              <w:rPr>
                <w:szCs w:val="22"/>
              </w:rPr>
              <w:t>&lt;56</w:t>
            </w:r>
          </w:p>
        </w:tc>
        <w:tc>
          <w:tcPr>
            <w:tcW w:w="1218" w:type="dxa"/>
          </w:tcPr>
          <w:p w:rsidR="006C2E16" w:rsidRPr="0050279E" w:rsidRDefault="006C2E16" w:rsidP="00A10D4B">
            <w:pPr>
              <w:tabs>
                <w:tab w:val="decimal" w:pos="579"/>
              </w:tabs>
              <w:rPr>
                <w:szCs w:val="22"/>
              </w:rPr>
            </w:pPr>
            <w:r w:rsidRPr="0050279E">
              <w:rPr>
                <w:szCs w:val="22"/>
              </w:rPr>
              <w:t>&lt;29</w:t>
            </w:r>
          </w:p>
        </w:tc>
        <w:tc>
          <w:tcPr>
            <w:tcW w:w="1399" w:type="dxa"/>
          </w:tcPr>
          <w:p w:rsidR="006C2E16" w:rsidRPr="0050279E" w:rsidRDefault="006C2E16" w:rsidP="00A10D4B">
            <w:pPr>
              <w:tabs>
                <w:tab w:val="decimal" w:pos="607"/>
              </w:tabs>
              <w:rPr>
                <w:szCs w:val="22"/>
              </w:rPr>
            </w:pPr>
            <w:r w:rsidRPr="0050279E">
              <w:rPr>
                <w:szCs w:val="22"/>
              </w:rPr>
              <w:t>&lt;62</w:t>
            </w:r>
          </w:p>
        </w:tc>
      </w:tr>
    </w:tbl>
    <w:p w:rsidR="006C2E16" w:rsidRDefault="006C2E16" w:rsidP="006C2E16">
      <w:pPr>
        <w:rPr>
          <w:i/>
          <w:iCs/>
        </w:rPr>
      </w:pPr>
    </w:p>
    <w:p w:rsidR="006C2E16" w:rsidRPr="0017555F" w:rsidRDefault="006C2E16" w:rsidP="006C2E16">
      <w:pPr>
        <w:pStyle w:val="Heading4"/>
      </w:pPr>
      <w:bookmarkStart w:id="110" w:name="_Toc351713152"/>
      <w:r w:rsidRPr="0017555F">
        <w:t xml:space="preserve">Organic </w:t>
      </w:r>
      <w:r>
        <w:t>contaminant</w:t>
      </w:r>
      <w:r w:rsidRPr="0017555F">
        <w:t>s</w:t>
      </w:r>
      <w:bookmarkEnd w:id="110"/>
    </w:p>
    <w:p w:rsidR="006C2E16" w:rsidRDefault="006C2E16" w:rsidP="006C2E16">
      <w:r w:rsidRPr="005802FA">
        <w:t xml:space="preserve">Most organic </w:t>
      </w:r>
      <w:r>
        <w:t>contaminant</w:t>
      </w:r>
      <w:r w:rsidRPr="005802FA">
        <w:t xml:space="preserve">s of interest </w:t>
      </w:r>
      <w:r>
        <w:t xml:space="preserve">to contaminated sites </w:t>
      </w:r>
      <w:r w:rsidRPr="005802FA">
        <w:t>are xenobiotics, hence they have no natural background concentration</w:t>
      </w:r>
      <w:r>
        <w:t xml:space="preserve">. </w:t>
      </w:r>
      <w:r w:rsidRPr="005802FA">
        <w:t>Notable exceptions to this include lipids and fats, hormones (</w:t>
      </w:r>
      <w:r>
        <w:t>for example,</w:t>
      </w:r>
      <w:r w:rsidRPr="005802FA">
        <w:t xml:space="preserve"> oestrogen, testosterone), fatty acids, alcohols, hydrocarbons, polycyclic aromatic hydrocarbons</w:t>
      </w:r>
      <w:r>
        <w:t xml:space="preserve"> (PAHs)</w:t>
      </w:r>
      <w:r w:rsidRPr="005802FA">
        <w:t xml:space="preserve"> and dioxins</w:t>
      </w:r>
      <w:r>
        <w:t xml:space="preserve">. </w:t>
      </w:r>
      <w:r w:rsidRPr="005802FA">
        <w:t>Therefore</w:t>
      </w:r>
      <w:r>
        <w:t>,</w:t>
      </w:r>
      <w:r w:rsidRPr="005802FA">
        <w:t xml:space="preserve"> </w:t>
      </w:r>
      <w:r>
        <w:t>ABCs</w:t>
      </w:r>
      <w:r w:rsidRPr="005802FA">
        <w:t xml:space="preserve"> will have to be generated by direct measurement or a default ABC </w:t>
      </w:r>
      <w:r w:rsidRPr="0079660F">
        <w:t>of zero could be assumed</w:t>
      </w:r>
      <w:r>
        <w:t xml:space="preserve"> </w:t>
      </w:r>
      <w:r w:rsidRPr="0079660F">
        <w:t>(Crommentuijn et al. 2000b)</w:t>
      </w:r>
      <w:r>
        <w:t xml:space="preserve">. </w:t>
      </w:r>
      <w:r w:rsidRPr="005802FA">
        <w:t xml:space="preserve">There are no equivalent models to that of Hamon et al. (2004) available for organic </w:t>
      </w:r>
      <w:r>
        <w:t>contaminant</w:t>
      </w:r>
      <w:r w:rsidRPr="005802FA">
        <w:t>s.</w:t>
      </w:r>
    </w:p>
    <w:p w:rsidR="00145F69" w:rsidRDefault="00145F69" w:rsidP="006C2E16"/>
    <w:p w:rsidR="006C2E16" w:rsidRPr="00360572" w:rsidRDefault="006C2E16" w:rsidP="006C2E16">
      <w:r w:rsidRPr="00360572">
        <w:t xml:space="preserve">For dioxins, regional ABC values are available (Muller et al. 2004) and could be used or, alternatively, site-specific assessments could be conducted. For other pyrogenic organic contamination (for example, PAHs), a site-specific assessment should be conducted to determine if the measured concentrations are background concentrations for that region. If a site-specific assessment is conducted, then the upper 80th percentile of the ABCs should be used as the background as per the Australian and New Zealand WQGs (ANZECC &amp; ARMCANZ 2000). However, even if they are considered ABCs, this does not imply that there is no risk to terrestrial biota. </w:t>
      </w:r>
    </w:p>
    <w:p w:rsidR="006C2E16" w:rsidRPr="005802FA" w:rsidRDefault="006C2E16" w:rsidP="001C6BE7">
      <w:pPr>
        <w:pStyle w:val="Heading3"/>
      </w:pPr>
      <w:bookmarkStart w:id="111" w:name="_Toc255359981"/>
      <w:bookmarkStart w:id="112" w:name="_Toc269122455"/>
      <w:bookmarkStart w:id="113" w:name="_Toc351713153"/>
      <w:r w:rsidRPr="005802FA">
        <w:t>Calculati</w:t>
      </w:r>
      <w:r>
        <w:t>o</w:t>
      </w:r>
      <w:r w:rsidRPr="005802FA">
        <w:t xml:space="preserve">n </w:t>
      </w:r>
      <w:r>
        <w:t xml:space="preserve">of </w:t>
      </w:r>
      <w:r w:rsidRPr="005802FA">
        <w:t>the EIL</w:t>
      </w:r>
      <w:bookmarkEnd w:id="111"/>
      <w:bookmarkEnd w:id="112"/>
      <w:bookmarkEnd w:id="113"/>
    </w:p>
    <w:p w:rsidR="006C2E16" w:rsidRPr="005802FA" w:rsidRDefault="006C2E16" w:rsidP="001C6BE7">
      <w:pPr>
        <w:pStyle w:val="text"/>
      </w:pPr>
      <w:r w:rsidRPr="005802FA">
        <w:t xml:space="preserve">If biomagnification </w:t>
      </w:r>
      <w:r>
        <w:t>is not considered,</w:t>
      </w:r>
      <w:r w:rsidRPr="005802FA">
        <w:t xml:space="preserve"> then the EIL </w:t>
      </w:r>
      <w:r>
        <w:t>for a contaminant is</w:t>
      </w:r>
      <w:r w:rsidRPr="005802FA">
        <w:t xml:space="preserve"> calculated </w:t>
      </w:r>
      <w:r>
        <w:t>as</w:t>
      </w:r>
      <w:r w:rsidRPr="005802FA">
        <w:t xml:space="preserve"> follow</w:t>
      </w:r>
      <w:r>
        <w:t>s</w:t>
      </w:r>
      <w:r w:rsidRPr="005802FA">
        <w:t>:</w:t>
      </w:r>
    </w:p>
    <w:p w:rsidR="006C2E16" w:rsidRPr="005802FA" w:rsidRDefault="006C2E16" w:rsidP="001C6BE7">
      <w:pPr>
        <w:pStyle w:val="text"/>
      </w:pPr>
      <w:r w:rsidRPr="005802FA">
        <w:t xml:space="preserve">EIL = </w:t>
      </w:r>
      <w:r>
        <w:t>ABC</w:t>
      </w:r>
      <w:r w:rsidRPr="005802FA">
        <w:t xml:space="preserve"> + ACL</w:t>
      </w:r>
      <w:r w:rsidR="00145F69">
        <w:tab/>
      </w:r>
      <w:r w:rsidR="00145F69">
        <w:tab/>
      </w:r>
      <w:r w:rsidR="00145F69">
        <w:tab/>
      </w:r>
      <w:r w:rsidR="00145F69">
        <w:tab/>
      </w:r>
      <w:r>
        <w:tab/>
      </w:r>
      <w:r>
        <w:tab/>
      </w:r>
      <w:r w:rsidRPr="0046703D">
        <w:rPr>
          <w:i/>
          <w:iCs/>
        </w:rPr>
        <w:t>(eq</w:t>
      </w:r>
      <w:r>
        <w:rPr>
          <w:i/>
          <w:iCs/>
        </w:rPr>
        <w:t>uation</w:t>
      </w:r>
      <w:r w:rsidRPr="0046703D">
        <w:rPr>
          <w:i/>
          <w:iCs/>
        </w:rPr>
        <w:t xml:space="preserve"> </w:t>
      </w:r>
      <w:r>
        <w:rPr>
          <w:i/>
          <w:iCs/>
        </w:rPr>
        <w:t>7</w:t>
      </w:r>
      <w:r w:rsidRPr="0046703D">
        <w:rPr>
          <w:i/>
          <w:iCs/>
        </w:rPr>
        <w:t>)</w:t>
      </w:r>
    </w:p>
    <w:p w:rsidR="006C2E16" w:rsidRDefault="006C2E16" w:rsidP="001C6BE7">
      <w:pPr>
        <w:pStyle w:val="text"/>
      </w:pPr>
      <w:r>
        <w:t xml:space="preserve">where ABC is the ambient background concentration (mg/kg) and ACL is the added contaminant limit (mg/kg). </w:t>
      </w:r>
    </w:p>
    <w:p w:rsidR="006C2E16" w:rsidRPr="005802FA" w:rsidRDefault="006C2E16" w:rsidP="001C6BE7">
      <w:pPr>
        <w:pStyle w:val="text"/>
      </w:pPr>
      <w:r w:rsidRPr="005802FA">
        <w:lastRenderedPageBreak/>
        <w:t xml:space="preserve">If biomagnification is </w:t>
      </w:r>
      <w:r>
        <w:t>considered and is significant for that contaminant,</w:t>
      </w:r>
      <w:r w:rsidRPr="005802FA">
        <w:t xml:space="preserve"> then the EIL </w:t>
      </w:r>
      <w:r>
        <w:t>is</w:t>
      </w:r>
      <w:r w:rsidRPr="005802FA">
        <w:t xml:space="preserve"> calculated </w:t>
      </w:r>
      <w:r>
        <w:t>as follows:</w:t>
      </w:r>
    </w:p>
    <w:p w:rsidR="006C2E16" w:rsidRPr="0046703D" w:rsidRDefault="006C2E16" w:rsidP="001C6BE7">
      <w:pPr>
        <w:pStyle w:val="text"/>
      </w:pPr>
      <w:r w:rsidRPr="005802FA">
        <w:t xml:space="preserve">EIL = </w:t>
      </w:r>
      <w:r>
        <w:t>ABC</w:t>
      </w:r>
      <w:r w:rsidRPr="005802FA">
        <w:t xml:space="preserve"> + ACL</w:t>
      </w:r>
      <w:r w:rsidRPr="005802FA">
        <w:rPr>
          <w:vertAlign w:val="subscript"/>
        </w:rPr>
        <w:t>BM</w:t>
      </w:r>
      <w:r>
        <w:t xml:space="preserve"> </w:t>
      </w:r>
      <w:r>
        <w:tab/>
      </w:r>
      <w:r>
        <w:tab/>
      </w:r>
      <w:r>
        <w:tab/>
      </w:r>
      <w:r>
        <w:tab/>
      </w:r>
      <w:r>
        <w:tab/>
      </w:r>
      <w:r>
        <w:tab/>
      </w:r>
      <w:r>
        <w:tab/>
      </w:r>
      <w:r w:rsidRPr="0046703D">
        <w:rPr>
          <w:i/>
          <w:iCs/>
        </w:rPr>
        <w:t>(</w:t>
      </w:r>
      <w:r>
        <w:rPr>
          <w:i/>
          <w:iCs/>
        </w:rPr>
        <w:t>equation</w:t>
      </w:r>
      <w:r w:rsidRPr="0046703D">
        <w:rPr>
          <w:i/>
          <w:iCs/>
        </w:rPr>
        <w:t xml:space="preserve"> </w:t>
      </w:r>
      <w:r>
        <w:rPr>
          <w:i/>
          <w:iCs/>
        </w:rPr>
        <w:t>8)</w:t>
      </w:r>
    </w:p>
    <w:p w:rsidR="006C2E16" w:rsidRPr="005802FA" w:rsidRDefault="006C2E16" w:rsidP="001C6BE7">
      <w:pPr>
        <w:pStyle w:val="text"/>
      </w:pPr>
      <w:r>
        <w:rPr>
          <w:kern w:val="28"/>
        </w:rPr>
        <w:t>where</w:t>
      </w:r>
      <w:r w:rsidRPr="005802FA">
        <w:rPr>
          <w:kern w:val="28"/>
        </w:rPr>
        <w:t xml:space="preserve"> </w:t>
      </w:r>
      <w:r w:rsidRPr="005802FA">
        <w:t>ACL</w:t>
      </w:r>
      <w:r w:rsidRPr="005802FA">
        <w:rPr>
          <w:vertAlign w:val="subscript"/>
        </w:rPr>
        <w:t>BM</w:t>
      </w:r>
      <w:r w:rsidRPr="005802FA">
        <w:t xml:space="preserve"> </w:t>
      </w:r>
      <w:r>
        <w:t xml:space="preserve">is </w:t>
      </w:r>
      <w:r w:rsidRPr="005802FA">
        <w:t xml:space="preserve">the contaminant added </w:t>
      </w:r>
      <w:r>
        <w:t>limit</w:t>
      </w:r>
      <w:r w:rsidRPr="005802FA">
        <w:t xml:space="preserve"> </w:t>
      </w:r>
      <w:r>
        <w:t xml:space="preserve">that </w:t>
      </w:r>
      <w:r w:rsidRPr="005802FA">
        <w:t>account</w:t>
      </w:r>
      <w:r>
        <w:t>s for biomagnification</w:t>
      </w:r>
      <w:r w:rsidRPr="005802FA">
        <w:t xml:space="preserve">. </w:t>
      </w:r>
    </w:p>
    <w:p w:rsidR="006C2E16" w:rsidRPr="005802FA" w:rsidRDefault="006C2E16" w:rsidP="001C6BE7">
      <w:pPr>
        <w:pStyle w:val="Heading3"/>
      </w:pPr>
      <w:bookmarkStart w:id="114" w:name="_Toc255359982"/>
      <w:bookmarkStart w:id="115" w:name="_Toc269122456"/>
      <w:bookmarkStart w:id="116" w:name="_Toc351713154"/>
      <w:r w:rsidRPr="005802FA">
        <w:t xml:space="preserve">The reliability of the </w:t>
      </w:r>
      <w:r>
        <w:t>EIL</w:t>
      </w:r>
      <w:bookmarkEnd w:id="114"/>
      <w:bookmarkEnd w:id="115"/>
      <w:bookmarkEnd w:id="116"/>
    </w:p>
    <w:p w:rsidR="006C2E16" w:rsidRDefault="006C2E16" w:rsidP="006C2E16">
      <w:r w:rsidRPr="005802FA">
        <w:t xml:space="preserve">Classifying </w:t>
      </w:r>
      <w:r>
        <w:t>the EIL based on the amount and type of toxicity data</w:t>
      </w:r>
      <w:r w:rsidRPr="005802FA">
        <w:t xml:space="preserve"> </w:t>
      </w:r>
      <w:r>
        <w:t>is important to provide users with an indication of the</w:t>
      </w:r>
      <w:r w:rsidRPr="005802FA">
        <w:t xml:space="preserve"> reliability </w:t>
      </w:r>
      <w:r>
        <w:t>of the EIL values and</w:t>
      </w:r>
      <w:r w:rsidRPr="005802FA">
        <w:t xml:space="preserve"> also for</w:t>
      </w:r>
      <w:r>
        <w:t xml:space="preserve"> prioritising</w:t>
      </w:r>
      <w:r w:rsidRPr="005802FA">
        <w:t xml:space="preserve"> future re-assessments of </w:t>
      </w:r>
      <w:r>
        <w:t>EIL</w:t>
      </w:r>
      <w:r w:rsidRPr="005802FA">
        <w:t>s</w:t>
      </w:r>
      <w:r>
        <w:t xml:space="preserve">. </w:t>
      </w:r>
      <w:r w:rsidRPr="005802FA">
        <w:t xml:space="preserve">Methods for determining the reliability of </w:t>
      </w:r>
      <w:r>
        <w:t>TVs</w:t>
      </w:r>
      <w:r w:rsidRPr="005802FA">
        <w:t xml:space="preserve"> were de</w:t>
      </w:r>
      <w:r>
        <w:t xml:space="preserve">veloped and used in the Australian and New Zealand </w:t>
      </w:r>
      <w:r w:rsidRPr="005802FA">
        <w:t>WQGs (</w:t>
      </w:r>
      <w:r>
        <w:t>ANZECC &amp; ARMCANZ 2000;</w:t>
      </w:r>
      <w:r w:rsidRPr="005802FA">
        <w:t xml:space="preserve"> Warne 2001) and this formed the basis of the soil </w:t>
      </w:r>
      <w:r>
        <w:t>EI</w:t>
      </w:r>
      <w:r w:rsidRPr="005802FA">
        <w:t xml:space="preserve">L </w:t>
      </w:r>
      <w:r>
        <w:t>reliability assessment</w:t>
      </w:r>
      <w:r w:rsidRPr="005802FA">
        <w:t xml:space="preserve"> system</w:t>
      </w:r>
      <w:r>
        <w:t xml:space="preserve">. </w:t>
      </w:r>
      <w:r w:rsidRPr="005802FA">
        <w:t>The number of data points, the type of toxicity data</w:t>
      </w:r>
      <w:r>
        <w:t xml:space="preserve">, </w:t>
      </w:r>
      <w:r w:rsidRPr="005802FA">
        <w:t>the number of species</w:t>
      </w:r>
      <w:r>
        <w:t>/soil processes</w:t>
      </w:r>
      <w:r w:rsidRPr="005802FA">
        <w:t xml:space="preserve"> for which there </w:t>
      </w:r>
      <w:r>
        <w:t>is</w:t>
      </w:r>
      <w:r w:rsidRPr="005802FA">
        <w:t xml:space="preserve"> data</w:t>
      </w:r>
      <w:r>
        <w:t>,</w:t>
      </w:r>
      <w:r w:rsidRPr="005802FA">
        <w:t xml:space="preserve"> </w:t>
      </w:r>
      <w:r>
        <w:t xml:space="preserve">and whether or not there are normalisation relationships </w:t>
      </w:r>
      <w:r w:rsidRPr="005802FA">
        <w:t xml:space="preserve">are </w:t>
      </w:r>
      <w:r>
        <w:t xml:space="preserve">all </w:t>
      </w:r>
      <w:r w:rsidRPr="005802FA">
        <w:t>used to assess the reliability</w:t>
      </w:r>
      <w:r>
        <w:t>. The three classes of EIL reliability are high, moderate and low. The requirements for an EIL to receive these classifications are provided below.</w:t>
      </w:r>
    </w:p>
    <w:p w:rsidR="00145F69" w:rsidRPr="005802FA" w:rsidRDefault="00145F69" w:rsidP="006C2E16"/>
    <w:p w:rsidR="006C2E16" w:rsidRPr="0050279E" w:rsidRDefault="006C2E16" w:rsidP="006C2E16">
      <w:r w:rsidRPr="0050279E">
        <w:t>High reliability:</w:t>
      </w:r>
    </w:p>
    <w:p w:rsidR="006C2E16" w:rsidRPr="0050279E" w:rsidRDefault="006C2E16" w:rsidP="001C6BE7">
      <w:pPr>
        <w:pStyle w:val="Dot-points"/>
        <w:numPr>
          <w:ilvl w:val="0"/>
          <w:numId w:val="41"/>
        </w:numPr>
      </w:pPr>
      <w:r w:rsidRPr="0050279E">
        <w:t>The toxicity database contains sufficient toxicity data for the SSD approach and at least one normalisation relationship (that is, relationships that describe the effects of soil characteristics on toxicity) is available.</w:t>
      </w:r>
    </w:p>
    <w:p w:rsidR="006C2E16" w:rsidRPr="0050279E" w:rsidRDefault="006C2E16" w:rsidP="006C2E16">
      <w:r w:rsidRPr="0050279E">
        <w:t>Moderate reliability:</w:t>
      </w:r>
    </w:p>
    <w:p w:rsidR="006C2E16" w:rsidRPr="0050279E" w:rsidRDefault="006C2E16" w:rsidP="001C6BE7">
      <w:pPr>
        <w:pStyle w:val="Dot-points"/>
        <w:numPr>
          <w:ilvl w:val="0"/>
          <w:numId w:val="41"/>
        </w:numPr>
      </w:pPr>
      <w:r w:rsidRPr="0050279E">
        <w:t xml:space="preserve">The toxicity database meets the minimum data requirements for the SSD approach but normalisation relationships are not available. </w:t>
      </w:r>
    </w:p>
    <w:p w:rsidR="006C2E16" w:rsidRPr="0050279E" w:rsidRDefault="006C2E16" w:rsidP="006C2E16">
      <w:r w:rsidRPr="0050279E">
        <w:t>Low reliability</w:t>
      </w:r>
    </w:p>
    <w:p w:rsidR="006C2E16" w:rsidRPr="0050279E" w:rsidRDefault="006C2E16" w:rsidP="001C6BE7">
      <w:pPr>
        <w:pStyle w:val="Dot-points"/>
        <w:numPr>
          <w:ilvl w:val="0"/>
          <w:numId w:val="41"/>
        </w:numPr>
      </w:pPr>
      <w:r w:rsidRPr="0050279E">
        <w:t xml:space="preserve">The toxicity database meets the minimum data requirements for the SSD approach but contains modelled toxicity data (that is, from QSARs, QAARs or the equilibrium partitioning method) or ecologically less relevant end points (e.g. biomarker end points). </w:t>
      </w:r>
    </w:p>
    <w:p w:rsidR="006C2E16" w:rsidRPr="0050279E" w:rsidRDefault="006C2E16" w:rsidP="006C2E16">
      <w:r w:rsidRPr="0050279E">
        <w:t>or</w:t>
      </w:r>
    </w:p>
    <w:p w:rsidR="006C2E16" w:rsidRPr="0050279E" w:rsidRDefault="006C2E16" w:rsidP="001C6BE7">
      <w:pPr>
        <w:pStyle w:val="Dot-points"/>
        <w:numPr>
          <w:ilvl w:val="0"/>
          <w:numId w:val="41"/>
        </w:numPr>
      </w:pPr>
      <w:r w:rsidRPr="0050279E">
        <w:t>The toxicity database meets the minimum data requirements for the AF approach.</w:t>
      </w:r>
    </w:p>
    <w:p w:rsidR="006C2E16" w:rsidRDefault="006C2E16" w:rsidP="006C2E16">
      <w:r w:rsidRPr="008D077D">
        <w:t xml:space="preserve">In the </w:t>
      </w:r>
      <w:r>
        <w:t>Australian and NZ WQGs (ANZECC &amp; ARMCANZ 2000)</w:t>
      </w:r>
      <w:r w:rsidRPr="008D077D">
        <w:t xml:space="preserve">, </w:t>
      </w:r>
      <w:r w:rsidRPr="005170F4">
        <w:t>low reliability</w:t>
      </w:r>
      <w:r>
        <w:t xml:space="preserve"> TVs</w:t>
      </w:r>
      <w:r w:rsidRPr="008D077D">
        <w:t xml:space="preserve"> </w:t>
      </w:r>
      <w:r>
        <w:t>were</w:t>
      </w:r>
      <w:r w:rsidRPr="008D077D">
        <w:t xml:space="preserve"> only used for interim guidance</w:t>
      </w:r>
      <w:r>
        <w:t>. A</w:t>
      </w:r>
      <w:r w:rsidRPr="008D077D">
        <w:t xml:space="preserve"> similar approach </w:t>
      </w:r>
      <w:r>
        <w:t xml:space="preserve">should be adopted regarding low reliability EILs—that such values should be considered to be a knowledge or data gap that requires further work to resolve. </w:t>
      </w:r>
    </w:p>
    <w:p w:rsidR="00145F69" w:rsidRDefault="00145F69" w:rsidP="006C2E16"/>
    <w:p w:rsidR="006C2E16" w:rsidRDefault="006C2E16" w:rsidP="006C2E16">
      <w:r w:rsidRPr="005802FA">
        <w:t xml:space="preserve">For organic </w:t>
      </w:r>
      <w:r>
        <w:t>contaminant</w:t>
      </w:r>
      <w:r w:rsidRPr="005802FA">
        <w:t xml:space="preserve">s </w:t>
      </w:r>
      <w:r>
        <w:t>with low reliability EILs</w:t>
      </w:r>
      <w:r w:rsidRPr="005802FA">
        <w:t xml:space="preserve">, the </w:t>
      </w:r>
      <w:r>
        <w:t>EI</w:t>
      </w:r>
      <w:r w:rsidRPr="005802FA">
        <w:t>L</w:t>
      </w:r>
      <w:r>
        <w:t>s</w:t>
      </w:r>
      <w:r w:rsidRPr="005802FA">
        <w:t xml:space="preserve"> </w:t>
      </w:r>
      <w:r>
        <w:t>are</w:t>
      </w:r>
      <w:r w:rsidRPr="005802FA">
        <w:t xml:space="preserve"> only as good as the QSARs</w:t>
      </w:r>
      <w:r>
        <w:t xml:space="preserve"> and QAARs</w:t>
      </w:r>
      <w:r w:rsidRPr="005802FA">
        <w:t xml:space="preserve"> the</w:t>
      </w:r>
      <w:r>
        <w:t xml:space="preserve">y were </w:t>
      </w:r>
      <w:r w:rsidRPr="005802FA">
        <w:t>derived from</w:t>
      </w:r>
      <w:r>
        <w:t xml:space="preserve">. </w:t>
      </w:r>
      <w:r w:rsidRPr="005802FA">
        <w:t xml:space="preserve">Therefore, further research is only necessary if the QSARs </w:t>
      </w:r>
      <w:r>
        <w:t xml:space="preserve">and QAARs </w:t>
      </w:r>
      <w:r w:rsidRPr="005802FA">
        <w:t xml:space="preserve">are </w:t>
      </w:r>
      <w:r>
        <w:t xml:space="preserve">of </w:t>
      </w:r>
      <w:r w:rsidRPr="005802FA">
        <w:t>relatively poor</w:t>
      </w:r>
      <w:r>
        <w:t xml:space="preserve"> quality</w:t>
      </w:r>
      <w:r w:rsidRPr="005802FA">
        <w:t xml:space="preserve">. </w:t>
      </w:r>
    </w:p>
    <w:p w:rsidR="006C2E16" w:rsidRDefault="006C2E16" w:rsidP="001C6BE7">
      <w:pPr>
        <w:pStyle w:val="Heading3"/>
      </w:pPr>
      <w:bookmarkStart w:id="117" w:name="_Toc255359983"/>
      <w:bookmarkStart w:id="118" w:name="_Toc269122457"/>
      <w:bookmarkStart w:id="119" w:name="_Toc351713155"/>
      <w:r>
        <w:t>Evaluation of the appropriateness of the derived EILs</w:t>
      </w:r>
      <w:bookmarkEnd w:id="117"/>
      <w:bookmarkEnd w:id="118"/>
      <w:bookmarkEnd w:id="119"/>
    </w:p>
    <w:p w:rsidR="006C2E16" w:rsidRPr="00183050" w:rsidRDefault="006C2E16" w:rsidP="006C2E16">
      <w:r w:rsidRPr="00183050">
        <w:t>Once the EILs have been derived</w:t>
      </w:r>
      <w:r>
        <w:t>,</w:t>
      </w:r>
      <w:r w:rsidRPr="00183050">
        <w:t xml:space="preserve"> their appropriateness should be evaluated</w:t>
      </w:r>
      <w:r>
        <w:t xml:space="preserve">. </w:t>
      </w:r>
      <w:r w:rsidRPr="00183050">
        <w:t xml:space="preserve">A similar process was also conducted as the last step in the derivation of the Australian and New Zealand </w:t>
      </w:r>
      <w:r>
        <w:t>WQGs</w:t>
      </w:r>
      <w:r w:rsidRPr="00183050">
        <w:t xml:space="preserve"> (Warne 2001)</w:t>
      </w:r>
      <w:r>
        <w:t xml:space="preserve">. </w:t>
      </w:r>
      <w:r w:rsidRPr="00183050">
        <w:t>The</w:t>
      </w:r>
      <w:r>
        <w:t>ir</w:t>
      </w:r>
      <w:r w:rsidRPr="00183050">
        <w:t xml:space="preserve"> appropriateness is determined by comparing each EIL with the toxicity data used to derive them</w:t>
      </w:r>
      <w:r>
        <w:t>,</w:t>
      </w:r>
      <w:r w:rsidRPr="00183050">
        <w:t xml:space="preserve"> any available field-, mesocosm- or microcosm-based toxicity data</w:t>
      </w:r>
      <w:r>
        <w:t>,</w:t>
      </w:r>
      <w:r w:rsidRPr="00183050">
        <w:t xml:space="preserve"> </w:t>
      </w:r>
      <w:r>
        <w:t xml:space="preserve">plant or crop nutritional requirements (for essential elements), and background concentrations. </w:t>
      </w:r>
      <w:r w:rsidRPr="00183050">
        <w:t>The aim of the comparison is to determine which species, if any, are likely to experience toxic effects if exposed to the EIL</w:t>
      </w:r>
      <w:r>
        <w:t xml:space="preserve">. </w:t>
      </w:r>
      <w:r w:rsidRPr="00183050">
        <w:t>If the species that potentially may be affected are considered rare or endangered, are keystone species</w:t>
      </w:r>
      <w:r>
        <w:t>,</w:t>
      </w:r>
      <w:r w:rsidRPr="00183050">
        <w:t xml:space="preserve"> or are commercially important</w:t>
      </w:r>
      <w:r>
        <w:t>,</w:t>
      </w:r>
      <w:r w:rsidRPr="00183050">
        <w:t xml:space="preserve"> then it may be appropriate to decrease the EIL (</w:t>
      </w:r>
      <w:r>
        <w:t>that is,</w:t>
      </w:r>
      <w:r w:rsidRPr="00183050">
        <w:t xml:space="preserve"> increase the level of protection being provided)</w:t>
      </w:r>
      <w:r>
        <w:t xml:space="preserve">. </w:t>
      </w:r>
      <w:r w:rsidRPr="00183050">
        <w:t>This evaluation or ‘ground-truthing’ process is</w:t>
      </w:r>
      <w:r>
        <w:t>,</w:t>
      </w:r>
      <w:r w:rsidRPr="00183050">
        <w:t xml:space="preserve"> by necessity</w:t>
      </w:r>
      <w:r>
        <w:t>,</w:t>
      </w:r>
      <w:r w:rsidRPr="00183050">
        <w:t xml:space="preserve"> done on a case</w:t>
      </w:r>
      <w:r>
        <w:t>-</w:t>
      </w:r>
      <w:r w:rsidRPr="00183050">
        <w:t>by</w:t>
      </w:r>
      <w:r>
        <w:t>-</w:t>
      </w:r>
      <w:r w:rsidRPr="00183050">
        <w:t>case basis.</w:t>
      </w:r>
    </w:p>
    <w:p w:rsidR="006C2E16" w:rsidRDefault="006C2E16" w:rsidP="001C6BE7">
      <w:pPr>
        <w:pStyle w:val="Heading3"/>
      </w:pPr>
      <w:bookmarkStart w:id="120" w:name="_Toc255359984"/>
      <w:bookmarkStart w:id="121" w:name="_Toc269122458"/>
      <w:bookmarkStart w:id="122" w:name="_Toc351713156"/>
      <w:r>
        <w:t xml:space="preserve">Strengths and limitations of EIL derivation </w:t>
      </w:r>
      <w:bookmarkEnd w:id="120"/>
      <w:bookmarkEnd w:id="121"/>
      <w:r>
        <w:t>methodology</w:t>
      </w:r>
      <w:bookmarkEnd w:id="122"/>
    </w:p>
    <w:p w:rsidR="006C2E16" w:rsidRDefault="006C2E16" w:rsidP="006C2E16">
      <w:r>
        <w:t>A discussion of the strengths and limitations of the methodology is presented below.</w:t>
      </w:r>
    </w:p>
    <w:p w:rsidR="006C2E16" w:rsidRPr="00B6696D" w:rsidRDefault="006C2E16" w:rsidP="006C2E16">
      <w:pPr>
        <w:pStyle w:val="Heading4"/>
      </w:pPr>
      <w:bookmarkStart w:id="123" w:name="_Toc351713157"/>
      <w:r w:rsidRPr="00B6696D">
        <w:lastRenderedPageBreak/>
        <w:t>Strengths</w:t>
      </w:r>
      <w:bookmarkEnd w:id="123"/>
    </w:p>
    <w:p w:rsidR="006C2E16" w:rsidRDefault="006C2E16" w:rsidP="006C2E16">
      <w:r>
        <w:t>The EIL derivation methodology:</w:t>
      </w:r>
    </w:p>
    <w:p w:rsidR="006C2E16" w:rsidRDefault="006C2E16" w:rsidP="001C6BE7">
      <w:pPr>
        <w:pStyle w:val="Dot-points"/>
        <w:numPr>
          <w:ilvl w:val="0"/>
          <w:numId w:val="22"/>
        </w:numPr>
      </w:pPr>
      <w:r>
        <w:t>is risk-based and enables protection of a selected percentage of species</w:t>
      </w:r>
    </w:p>
    <w:p w:rsidR="006C2E16" w:rsidRDefault="006C2E16" w:rsidP="001C6BE7">
      <w:pPr>
        <w:pStyle w:val="Dot-points"/>
        <w:numPr>
          <w:ilvl w:val="0"/>
          <w:numId w:val="22"/>
        </w:numPr>
      </w:pPr>
      <w:r>
        <w:t>incorporates assessment of all major exposure scenarios for terrestrial ecosystems, including secondary poisoning</w:t>
      </w:r>
    </w:p>
    <w:p w:rsidR="006C2E16" w:rsidRDefault="006C2E16" w:rsidP="001C6BE7">
      <w:pPr>
        <w:pStyle w:val="Dot-points"/>
        <w:numPr>
          <w:ilvl w:val="0"/>
          <w:numId w:val="22"/>
        </w:numPr>
      </w:pPr>
      <w:r>
        <w:t xml:space="preserve">can handle different types of </w:t>
      </w:r>
      <w:r w:rsidRPr="005802FA">
        <w:t>toxicity data</w:t>
      </w:r>
      <w:r>
        <w:t>, thereby maximising the number of EILs that can be derived for contaminants</w:t>
      </w:r>
    </w:p>
    <w:p w:rsidR="006C2E16" w:rsidRDefault="006C2E16" w:rsidP="001C6BE7">
      <w:pPr>
        <w:pStyle w:val="Dot-points"/>
        <w:numPr>
          <w:ilvl w:val="0"/>
          <w:numId w:val="22"/>
        </w:numPr>
      </w:pPr>
      <w:r>
        <w:t>can be used to derive SQGs for a variety of different land uses and purposes</w:t>
      </w:r>
    </w:p>
    <w:p w:rsidR="006C2E16" w:rsidRPr="009542A2" w:rsidRDefault="006C2E16" w:rsidP="001C6BE7">
      <w:pPr>
        <w:pStyle w:val="Dot-points"/>
        <w:numPr>
          <w:ilvl w:val="0"/>
          <w:numId w:val="22"/>
        </w:numPr>
      </w:pPr>
      <w:r>
        <w:t xml:space="preserve">considers </w:t>
      </w:r>
      <w:r w:rsidRPr="009542A2">
        <w:t>bioavailability and can therefore derive soil</w:t>
      </w:r>
      <w:r>
        <w:t>-</w:t>
      </w:r>
      <w:r w:rsidRPr="009542A2">
        <w:t>specific EILs if the necessary data is available for the contaminant to ensure a uniform protection lev</w:t>
      </w:r>
      <w:r>
        <w:t>el for different types of soils</w:t>
      </w:r>
    </w:p>
    <w:p w:rsidR="006C2E16" w:rsidRPr="009542A2" w:rsidRDefault="006C2E16" w:rsidP="001C6BE7">
      <w:pPr>
        <w:pStyle w:val="Dot-points"/>
        <w:numPr>
          <w:ilvl w:val="0"/>
          <w:numId w:val="22"/>
        </w:numPr>
      </w:pPr>
      <w:r>
        <w:t>c</w:t>
      </w:r>
      <w:r w:rsidRPr="009542A2">
        <w:t>onsiders ageing and leach</w:t>
      </w:r>
      <w:r>
        <w:t>ing for aged soil contamination</w:t>
      </w:r>
    </w:p>
    <w:p w:rsidR="006C2E16" w:rsidRPr="009542A2" w:rsidRDefault="006C2E16" w:rsidP="001C6BE7">
      <w:pPr>
        <w:pStyle w:val="Dot-points"/>
        <w:numPr>
          <w:ilvl w:val="0"/>
          <w:numId w:val="22"/>
        </w:numPr>
      </w:pPr>
      <w:r>
        <w:t>a</w:t>
      </w:r>
      <w:r w:rsidRPr="009542A2">
        <w:t>ccounts for the ambient</w:t>
      </w:r>
      <w:r>
        <w:t xml:space="preserve"> background concentration issue</w:t>
      </w:r>
    </w:p>
    <w:p w:rsidR="006C2E16" w:rsidRDefault="006C2E16" w:rsidP="001C6BE7">
      <w:pPr>
        <w:pStyle w:val="Dot-points"/>
        <w:numPr>
          <w:ilvl w:val="0"/>
          <w:numId w:val="22"/>
        </w:numPr>
      </w:pPr>
      <w:r>
        <w:t>i</w:t>
      </w:r>
      <w:r w:rsidRPr="009542A2">
        <w:t>s consistent and incorporates the most recent</w:t>
      </w:r>
      <w:r>
        <w:t xml:space="preserve"> advances in risk assessment, terrestrial toxicity and soil chemistry</w:t>
      </w:r>
    </w:p>
    <w:p w:rsidR="006C2E16" w:rsidRDefault="006C2E16" w:rsidP="001C6BE7">
      <w:pPr>
        <w:pStyle w:val="Dot-points"/>
        <w:numPr>
          <w:ilvl w:val="0"/>
          <w:numId w:val="22"/>
        </w:numPr>
      </w:pPr>
      <w:r>
        <w:t xml:space="preserve">is consistent with the Australian and NZ water quality guidelines. </w:t>
      </w:r>
    </w:p>
    <w:p w:rsidR="006C2E16" w:rsidRPr="002E7FB9" w:rsidRDefault="006C2E16" w:rsidP="006C2E16">
      <w:pPr>
        <w:pStyle w:val="Heading4"/>
      </w:pPr>
      <w:bookmarkStart w:id="124" w:name="_Toc351713158"/>
      <w:r>
        <w:t>Limitations</w:t>
      </w:r>
      <w:bookmarkEnd w:id="124"/>
    </w:p>
    <w:p w:rsidR="006C2E16" w:rsidRDefault="006C2E16" w:rsidP="006C2E16">
      <w:r>
        <w:t>The EIL derivation methodology:</w:t>
      </w:r>
    </w:p>
    <w:p w:rsidR="006C2E16" w:rsidRDefault="006C2E16" w:rsidP="001C6BE7">
      <w:pPr>
        <w:pStyle w:val="Dot-points"/>
        <w:numPr>
          <w:ilvl w:val="0"/>
          <w:numId w:val="23"/>
        </w:numPr>
      </w:pPr>
      <w:r>
        <w:t>does not incorporate the different sources and types of contamination, and the bioavailability of different sources of contamination</w:t>
      </w:r>
    </w:p>
    <w:p w:rsidR="006C2E16" w:rsidRDefault="006C2E16" w:rsidP="001C6BE7">
      <w:pPr>
        <w:pStyle w:val="Dot-points"/>
        <w:numPr>
          <w:ilvl w:val="0"/>
          <w:numId w:val="23"/>
        </w:numPr>
      </w:pPr>
      <w:r>
        <w:t>is relatively complex and will require researchers with expertise to derive reliable EILs</w:t>
      </w:r>
    </w:p>
    <w:p w:rsidR="006C2E16" w:rsidRPr="003A4FE7" w:rsidRDefault="006C2E16" w:rsidP="001C6BE7">
      <w:pPr>
        <w:pStyle w:val="Dot-points"/>
        <w:numPr>
          <w:ilvl w:val="0"/>
          <w:numId w:val="23"/>
        </w:numPr>
      </w:pPr>
      <w:r>
        <w:t>uses a secondary poisoning method that is not optimal and may require improving in the future. The methodology does not use complex secondary poisoning models due to a serious lack of data necessary for these models, especially a lack of Australian data. If, in the future, the data is available, it is recommended that these types of models for EIL derivation be considered for contaminants showing biomagnification potential.</w:t>
      </w:r>
    </w:p>
    <w:p w:rsidR="006C2E16" w:rsidRPr="0081122D" w:rsidRDefault="006C2E16" w:rsidP="001C6BE7">
      <w:pPr>
        <w:pStyle w:val="Heading1"/>
      </w:pPr>
      <w:bookmarkStart w:id="125" w:name="_Toc177977857"/>
      <w:bookmarkStart w:id="126" w:name="_Toc177978926"/>
      <w:bookmarkStart w:id="127" w:name="_Toc255359985"/>
      <w:bookmarkStart w:id="128" w:name="_Toc269122459"/>
      <w:bookmarkStart w:id="129" w:name="_Toc351713159"/>
      <w:r w:rsidRPr="0081122D">
        <w:lastRenderedPageBreak/>
        <w:t xml:space="preserve">Technical </w:t>
      </w:r>
      <w:r>
        <w:t>n</w:t>
      </w:r>
      <w:r w:rsidRPr="0081122D">
        <w:t xml:space="preserve">otes on </w:t>
      </w:r>
      <w:r>
        <w:t>m</w:t>
      </w:r>
      <w:r w:rsidRPr="0081122D">
        <w:t xml:space="preserve">ethods </w:t>
      </w:r>
      <w:r>
        <w:t>u</w:t>
      </w:r>
      <w:r w:rsidRPr="0081122D">
        <w:t xml:space="preserve">sed in the </w:t>
      </w:r>
      <w:r>
        <w:t xml:space="preserve">EIL derivation </w:t>
      </w:r>
      <w:bookmarkEnd w:id="125"/>
      <w:bookmarkEnd w:id="126"/>
      <w:bookmarkEnd w:id="127"/>
      <w:bookmarkEnd w:id="128"/>
      <w:r>
        <w:t>m</w:t>
      </w:r>
      <w:r w:rsidRPr="0081122D">
        <w:t>ethodology</w:t>
      </w:r>
      <w:bookmarkEnd w:id="129"/>
    </w:p>
    <w:p w:rsidR="006C2E16" w:rsidRPr="005802FA" w:rsidRDefault="006C2E16" w:rsidP="006C2E16">
      <w:r w:rsidRPr="005802FA">
        <w:t>In this section</w:t>
      </w:r>
      <w:r>
        <w:t>,</w:t>
      </w:r>
      <w:r w:rsidRPr="005802FA">
        <w:t xml:space="preserve"> </w:t>
      </w:r>
      <w:r>
        <w:t xml:space="preserve">the </w:t>
      </w:r>
      <w:r w:rsidRPr="005802FA">
        <w:t xml:space="preserve">various methods </w:t>
      </w:r>
      <w:r>
        <w:t xml:space="preserve">used in the EIL derivation methodology are more thoroughly </w:t>
      </w:r>
      <w:r w:rsidRPr="005802FA">
        <w:t>explained and their strengths and limitations discussed</w:t>
      </w:r>
      <w:r>
        <w:t xml:space="preserve">. </w:t>
      </w:r>
      <w:r w:rsidRPr="005802FA">
        <w:t>Recommendations on which methods should be used are also provided</w:t>
      </w:r>
      <w:r>
        <w:t>. The methods addressed in this section are:</w:t>
      </w:r>
    </w:p>
    <w:p w:rsidR="006C2E16" w:rsidRPr="005802FA" w:rsidRDefault="006C2E16" w:rsidP="001C6BE7">
      <w:pPr>
        <w:pStyle w:val="Dot-points"/>
        <w:numPr>
          <w:ilvl w:val="0"/>
          <w:numId w:val="24"/>
        </w:numPr>
      </w:pPr>
      <w:r>
        <w:t xml:space="preserve">to </w:t>
      </w:r>
      <w:r w:rsidRPr="005802FA">
        <w:t xml:space="preserve">account for the </w:t>
      </w:r>
      <w:r>
        <w:t>e</w:t>
      </w:r>
      <w:r w:rsidRPr="005802FA">
        <w:t xml:space="preserve">ffect that </w:t>
      </w:r>
      <w:r>
        <w:t>soil characteristics</w:t>
      </w:r>
      <w:r w:rsidRPr="005802FA">
        <w:t xml:space="preserve"> have on toxicity and bioavailability</w:t>
      </w:r>
    </w:p>
    <w:p w:rsidR="006C2E16" w:rsidRPr="005802FA" w:rsidRDefault="006C2E16" w:rsidP="001C6BE7">
      <w:pPr>
        <w:pStyle w:val="Dot-points"/>
        <w:numPr>
          <w:ilvl w:val="0"/>
          <w:numId w:val="24"/>
        </w:numPr>
      </w:pPr>
      <w:r>
        <w:t xml:space="preserve">for </w:t>
      </w:r>
      <w:r w:rsidRPr="005802FA">
        <w:t>calculat</w:t>
      </w:r>
      <w:r>
        <w:t>ing</w:t>
      </w:r>
      <w:r w:rsidRPr="005802FA">
        <w:t xml:space="preserve"> </w:t>
      </w:r>
      <w:r>
        <w:t>ACLs</w:t>
      </w:r>
    </w:p>
    <w:p w:rsidR="006C2E16" w:rsidRDefault="006C2E16" w:rsidP="001C6BE7">
      <w:pPr>
        <w:pStyle w:val="Dot-points"/>
        <w:numPr>
          <w:ilvl w:val="0"/>
          <w:numId w:val="24"/>
        </w:numPr>
      </w:pPr>
      <w:r>
        <w:t>for measuring and incorporating</w:t>
      </w:r>
      <w:r w:rsidRPr="005802FA">
        <w:t xml:space="preserve"> </w:t>
      </w:r>
      <w:r>
        <w:t>ABCs</w:t>
      </w:r>
    </w:p>
    <w:p w:rsidR="006C2E16" w:rsidRPr="005802FA" w:rsidRDefault="006C2E16" w:rsidP="001C6BE7">
      <w:pPr>
        <w:pStyle w:val="Dot-points"/>
        <w:numPr>
          <w:ilvl w:val="0"/>
          <w:numId w:val="24"/>
        </w:numPr>
      </w:pPr>
      <w:r>
        <w:t xml:space="preserve">to </w:t>
      </w:r>
      <w:r w:rsidRPr="005802FA">
        <w:t xml:space="preserve">account for bioaccumulation </w:t>
      </w:r>
      <w:r>
        <w:t xml:space="preserve">and secondary poisoning effects. </w:t>
      </w:r>
    </w:p>
    <w:p w:rsidR="006C2E16" w:rsidRPr="005802FA" w:rsidRDefault="006C2E16" w:rsidP="001C6BE7">
      <w:pPr>
        <w:pStyle w:val="Heading2"/>
      </w:pPr>
      <w:bookmarkStart w:id="130" w:name="_Toc177977860"/>
      <w:bookmarkStart w:id="131" w:name="_Toc177978929"/>
      <w:bookmarkStart w:id="132" w:name="_Toc255359986"/>
      <w:bookmarkStart w:id="133" w:name="_Toc269122460"/>
      <w:bookmarkStart w:id="134" w:name="_Toc351713160"/>
      <w:r w:rsidRPr="005802FA">
        <w:t xml:space="preserve">Methods to </w:t>
      </w:r>
      <w:r>
        <w:t>a</w:t>
      </w:r>
      <w:r w:rsidRPr="005802FA">
        <w:t xml:space="preserve">ccount for the </w:t>
      </w:r>
      <w:r>
        <w:t>e</w:t>
      </w:r>
      <w:r w:rsidRPr="005802FA">
        <w:t xml:space="preserve">ffect </w:t>
      </w:r>
      <w:r>
        <w:t>of</w:t>
      </w:r>
      <w:r w:rsidRPr="005802FA">
        <w:t xml:space="preserve"> </w:t>
      </w:r>
      <w:r>
        <w:t>s</w:t>
      </w:r>
      <w:r w:rsidRPr="005802FA">
        <w:t xml:space="preserve">oil </w:t>
      </w:r>
      <w:r>
        <w:t xml:space="preserve">characteristics </w:t>
      </w:r>
      <w:r w:rsidRPr="005802FA">
        <w:t xml:space="preserve">on </w:t>
      </w:r>
      <w:r>
        <w:t>t</w:t>
      </w:r>
      <w:r w:rsidRPr="005802FA">
        <w:t xml:space="preserve">oxicity and </w:t>
      </w:r>
      <w:bookmarkEnd w:id="130"/>
      <w:bookmarkEnd w:id="131"/>
      <w:bookmarkEnd w:id="132"/>
      <w:bookmarkEnd w:id="133"/>
      <w:r>
        <w:t>b</w:t>
      </w:r>
      <w:r w:rsidRPr="005802FA">
        <w:t>ioavailability</w:t>
      </w:r>
      <w:bookmarkEnd w:id="134"/>
      <w:r w:rsidRPr="005802FA">
        <w:t xml:space="preserve"> </w:t>
      </w:r>
    </w:p>
    <w:p w:rsidR="006C2E16" w:rsidRPr="005802FA" w:rsidRDefault="006C2E16" w:rsidP="006C2E16">
      <w:r>
        <w:t>Soil characteristics</w:t>
      </w:r>
      <w:r w:rsidRPr="005802FA">
        <w:t xml:space="preserve"> are known to affect bioavailability and therefore the toxicity of contaminants to </w:t>
      </w:r>
      <w:r>
        <w:t xml:space="preserve">organisms </w:t>
      </w:r>
      <w:r w:rsidRPr="0080418B">
        <w:t>(Lexmond 1980</w:t>
      </w:r>
      <w:r>
        <w:t>;</w:t>
      </w:r>
      <w:r w:rsidRPr="0080418B">
        <w:t xml:space="preserve"> McBride</w:t>
      </w:r>
      <w:r>
        <w:t xml:space="preserve"> </w:t>
      </w:r>
      <w:r w:rsidRPr="0080418B">
        <w:t>1989</w:t>
      </w:r>
      <w:r>
        <w:t>;</w:t>
      </w:r>
      <w:r w:rsidRPr="0080418B">
        <w:t xml:space="preserve"> Alloway 1995</w:t>
      </w:r>
      <w:r>
        <w:t>;</w:t>
      </w:r>
      <w:r w:rsidRPr="0080418B">
        <w:t xml:space="preserve"> Basta et al. 2005)</w:t>
      </w:r>
      <w:r w:rsidRPr="005802FA">
        <w:t xml:space="preserve">. </w:t>
      </w:r>
      <w:r>
        <w:t>A</w:t>
      </w:r>
      <w:r w:rsidRPr="005802FA">
        <w:t xml:space="preserve">n example </w:t>
      </w:r>
      <w:r>
        <w:t xml:space="preserve">of </w:t>
      </w:r>
      <w:r w:rsidRPr="005802FA">
        <w:t xml:space="preserve">the strong effects </w:t>
      </w:r>
      <w:r>
        <w:t>that</w:t>
      </w:r>
      <w:r w:rsidRPr="005802FA">
        <w:t xml:space="preserve"> </w:t>
      </w:r>
      <w:r>
        <w:t>soil characteristics</w:t>
      </w:r>
      <w:r w:rsidRPr="005802FA">
        <w:t xml:space="preserve"> </w:t>
      </w:r>
      <w:r>
        <w:t xml:space="preserve">have </w:t>
      </w:r>
      <w:r w:rsidRPr="005802FA">
        <w:t xml:space="preserve">on toxicity </w:t>
      </w:r>
      <w:r>
        <w:t>is provided in T</w:t>
      </w:r>
      <w:r w:rsidRPr="005802FA">
        <w:t xml:space="preserve">able </w:t>
      </w:r>
      <w:r>
        <w:t xml:space="preserve">17. This </w:t>
      </w:r>
      <w:r w:rsidRPr="005802FA">
        <w:t xml:space="preserve">shows </w:t>
      </w:r>
      <w:r>
        <w:t xml:space="preserve">laboratory-based </w:t>
      </w:r>
      <w:r w:rsidRPr="005802FA">
        <w:t xml:space="preserve">toxicity data </w:t>
      </w:r>
      <w:r>
        <w:t>(EC</w:t>
      </w:r>
      <w:r w:rsidRPr="00363524">
        <w:rPr>
          <w:vertAlign w:val="subscript"/>
        </w:rPr>
        <w:t>10</w:t>
      </w:r>
      <w:r>
        <w:t xml:space="preserve">) </w:t>
      </w:r>
      <w:r w:rsidRPr="005802FA">
        <w:t xml:space="preserve">for Cu and Zn </w:t>
      </w:r>
      <w:r>
        <w:t>to</w:t>
      </w:r>
      <w:r w:rsidRPr="005802FA">
        <w:t xml:space="preserve"> wheat grown in </w:t>
      </w:r>
      <w:r>
        <w:t>14</w:t>
      </w:r>
      <w:r w:rsidRPr="005802FA">
        <w:t xml:space="preserve"> different </w:t>
      </w:r>
      <w:r>
        <w:t xml:space="preserve">Australian </w:t>
      </w:r>
      <w:r w:rsidRPr="005802FA">
        <w:t>soils (</w:t>
      </w:r>
      <w:r>
        <w:t xml:space="preserve">Warne et al. </w:t>
      </w:r>
      <w:r w:rsidRPr="00162DF5">
        <w:t>2008a</w:t>
      </w:r>
      <w:r w:rsidRPr="005802FA">
        <w:t>)</w:t>
      </w:r>
      <w:r>
        <w:t xml:space="preserve">. </w:t>
      </w:r>
      <w:r w:rsidRPr="005802FA">
        <w:t xml:space="preserve">The </w:t>
      </w:r>
      <w:r>
        <w:t>lowest and highest EC</w:t>
      </w:r>
      <w:r w:rsidRPr="00363524">
        <w:rPr>
          <w:vertAlign w:val="subscript"/>
        </w:rPr>
        <w:t>10</w:t>
      </w:r>
      <w:r w:rsidRPr="005802FA">
        <w:t xml:space="preserve"> values vary </w:t>
      </w:r>
      <w:r>
        <w:t>2</w:t>
      </w:r>
      <w:r w:rsidRPr="005802FA">
        <w:t>0</w:t>
      </w:r>
      <w:r>
        <w:t>–3</w:t>
      </w:r>
      <w:r w:rsidRPr="005802FA">
        <w:t xml:space="preserve">0 fold </w:t>
      </w:r>
      <w:r>
        <w:t xml:space="preserve">for both Cu and Zn. As the conditions were standardised and only one test species was used, </w:t>
      </w:r>
      <w:r w:rsidRPr="005802FA">
        <w:t xml:space="preserve">the </w:t>
      </w:r>
      <w:r>
        <w:t xml:space="preserve">cause for the differences in toxicity can only be </w:t>
      </w:r>
      <w:r w:rsidRPr="005802FA">
        <w:t xml:space="preserve">soil type and </w:t>
      </w:r>
      <w:r>
        <w:t xml:space="preserve">soil </w:t>
      </w:r>
      <w:r w:rsidRPr="005802FA">
        <w:t xml:space="preserve">properties. </w:t>
      </w:r>
    </w:p>
    <w:p w:rsidR="006C2E16" w:rsidRDefault="006C2E16" w:rsidP="006C2E16">
      <w:pPr>
        <w:pStyle w:val="Caption"/>
      </w:pPr>
      <w:r w:rsidRPr="003B3736">
        <w:t>Table 17. Total added concentrations (mg metal/kg soil) of Cu and Zn that cause a 10% reduction in growth for wheat seedlings (EC</w:t>
      </w:r>
      <w:r w:rsidRPr="00363524">
        <w:rPr>
          <w:vertAlign w:val="subscript"/>
        </w:rPr>
        <w:t>10</w:t>
      </w:r>
      <w:r w:rsidRPr="003B3736">
        <w:t>) grown in 14 Australian soils (Warne et al</w:t>
      </w:r>
      <w:r>
        <w:t>.</w:t>
      </w:r>
      <w:r w:rsidRPr="003B3736">
        <w:t xml:space="preserve"> 2008a)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260"/>
        <w:gridCol w:w="1440"/>
      </w:tblGrid>
      <w:tr w:rsidR="006C2E16" w:rsidRPr="00CD6108" w:rsidTr="00A10D4B">
        <w:trPr>
          <w:trHeight w:hRule="exact" w:val="340"/>
          <w:jc w:val="center"/>
        </w:trPr>
        <w:tc>
          <w:tcPr>
            <w:tcW w:w="2160" w:type="dxa"/>
            <w:shd w:val="clear" w:color="auto" w:fill="C6D9F1" w:themeFill="text2" w:themeFillTint="33"/>
          </w:tcPr>
          <w:p w:rsidR="006C2E16" w:rsidRPr="00CD6108" w:rsidRDefault="006C2E16" w:rsidP="00A10D4B">
            <w:pPr>
              <w:jc w:val="center"/>
              <w:rPr>
                <w:b/>
                <w:bCs/>
                <w:szCs w:val="22"/>
              </w:rPr>
            </w:pPr>
            <w:r w:rsidRPr="00CD6108">
              <w:rPr>
                <w:b/>
                <w:bCs/>
                <w:szCs w:val="22"/>
              </w:rPr>
              <w:t>Site</w:t>
            </w:r>
          </w:p>
        </w:tc>
        <w:tc>
          <w:tcPr>
            <w:tcW w:w="1260" w:type="dxa"/>
            <w:shd w:val="clear" w:color="auto" w:fill="C6D9F1" w:themeFill="text2" w:themeFillTint="33"/>
          </w:tcPr>
          <w:p w:rsidR="006C2E16" w:rsidRPr="00CD6108" w:rsidRDefault="006C2E16" w:rsidP="00A10D4B">
            <w:pPr>
              <w:jc w:val="center"/>
              <w:rPr>
                <w:b/>
                <w:bCs/>
                <w:szCs w:val="22"/>
              </w:rPr>
            </w:pPr>
            <w:r w:rsidRPr="00CD6108">
              <w:rPr>
                <w:b/>
                <w:bCs/>
                <w:szCs w:val="22"/>
              </w:rPr>
              <w:t>Cu EC</w:t>
            </w:r>
            <w:r w:rsidRPr="00CD6108">
              <w:rPr>
                <w:b/>
                <w:bCs/>
                <w:szCs w:val="22"/>
                <w:vertAlign w:val="subscript"/>
              </w:rPr>
              <w:t>10</w:t>
            </w:r>
          </w:p>
        </w:tc>
        <w:tc>
          <w:tcPr>
            <w:tcW w:w="1440" w:type="dxa"/>
            <w:shd w:val="clear" w:color="auto" w:fill="C6D9F1" w:themeFill="text2" w:themeFillTint="33"/>
          </w:tcPr>
          <w:p w:rsidR="006C2E16" w:rsidRPr="00CD6108" w:rsidRDefault="006C2E16" w:rsidP="00A10D4B">
            <w:pPr>
              <w:jc w:val="center"/>
              <w:rPr>
                <w:b/>
                <w:bCs/>
                <w:szCs w:val="22"/>
              </w:rPr>
            </w:pPr>
            <w:r w:rsidRPr="00CD6108">
              <w:rPr>
                <w:b/>
                <w:bCs/>
                <w:szCs w:val="22"/>
              </w:rPr>
              <w:t>Zn EC</w:t>
            </w:r>
            <w:r w:rsidRPr="00CD6108">
              <w:rPr>
                <w:b/>
                <w:bCs/>
                <w:szCs w:val="22"/>
                <w:vertAlign w:val="subscript"/>
              </w:rPr>
              <w:t>10</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Avon</w:t>
            </w:r>
          </w:p>
        </w:tc>
        <w:tc>
          <w:tcPr>
            <w:tcW w:w="1260" w:type="dxa"/>
          </w:tcPr>
          <w:p w:rsidR="006C2E16" w:rsidRPr="00CD6108" w:rsidRDefault="006C2E16" w:rsidP="00A10D4B">
            <w:pPr>
              <w:tabs>
                <w:tab w:val="decimal" w:pos="674"/>
              </w:tabs>
              <w:rPr>
                <w:szCs w:val="22"/>
              </w:rPr>
            </w:pPr>
            <w:r w:rsidRPr="00CD6108">
              <w:rPr>
                <w:szCs w:val="22"/>
              </w:rPr>
              <w:t>945</w:t>
            </w:r>
          </w:p>
        </w:tc>
        <w:tc>
          <w:tcPr>
            <w:tcW w:w="1440" w:type="dxa"/>
          </w:tcPr>
          <w:p w:rsidR="006C2E16" w:rsidRPr="00CD6108" w:rsidRDefault="006C2E16" w:rsidP="00A10D4B">
            <w:pPr>
              <w:tabs>
                <w:tab w:val="decimal" w:pos="746"/>
              </w:tabs>
              <w:rPr>
                <w:szCs w:val="22"/>
              </w:rPr>
            </w:pPr>
            <w:r w:rsidRPr="00CD6108">
              <w:rPr>
                <w:szCs w:val="22"/>
              </w:rPr>
              <w:t>755</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Brennans</w:t>
            </w:r>
          </w:p>
        </w:tc>
        <w:tc>
          <w:tcPr>
            <w:tcW w:w="1260" w:type="dxa"/>
          </w:tcPr>
          <w:p w:rsidR="006C2E16" w:rsidRPr="00CD6108" w:rsidRDefault="006C2E16" w:rsidP="00A10D4B">
            <w:pPr>
              <w:tabs>
                <w:tab w:val="decimal" w:pos="674"/>
              </w:tabs>
              <w:rPr>
                <w:szCs w:val="22"/>
              </w:rPr>
            </w:pPr>
            <w:r w:rsidRPr="00CD6108">
              <w:rPr>
                <w:szCs w:val="22"/>
              </w:rPr>
              <w:t>205</w:t>
            </w:r>
          </w:p>
        </w:tc>
        <w:tc>
          <w:tcPr>
            <w:tcW w:w="1440" w:type="dxa"/>
          </w:tcPr>
          <w:p w:rsidR="006C2E16" w:rsidRPr="00CD6108" w:rsidRDefault="006C2E16" w:rsidP="00A10D4B">
            <w:pPr>
              <w:tabs>
                <w:tab w:val="decimal" w:pos="746"/>
              </w:tabs>
              <w:rPr>
                <w:szCs w:val="22"/>
              </w:rPr>
            </w:pPr>
            <w:r w:rsidRPr="00CD6108">
              <w:rPr>
                <w:szCs w:val="22"/>
              </w:rPr>
              <w:t>275</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Bundaberg</w:t>
            </w:r>
          </w:p>
        </w:tc>
        <w:tc>
          <w:tcPr>
            <w:tcW w:w="1260" w:type="dxa"/>
          </w:tcPr>
          <w:p w:rsidR="006C2E16" w:rsidRPr="00CD6108" w:rsidRDefault="006C2E16" w:rsidP="00A10D4B">
            <w:pPr>
              <w:tabs>
                <w:tab w:val="decimal" w:pos="674"/>
              </w:tabs>
              <w:rPr>
                <w:szCs w:val="22"/>
              </w:rPr>
            </w:pPr>
            <w:r w:rsidRPr="00CD6108">
              <w:rPr>
                <w:szCs w:val="22"/>
              </w:rPr>
              <w:t>260</w:t>
            </w:r>
          </w:p>
        </w:tc>
        <w:tc>
          <w:tcPr>
            <w:tcW w:w="1440" w:type="dxa"/>
          </w:tcPr>
          <w:p w:rsidR="006C2E16" w:rsidRPr="00CD6108" w:rsidRDefault="006C2E16" w:rsidP="00A10D4B">
            <w:pPr>
              <w:tabs>
                <w:tab w:val="decimal" w:pos="746"/>
              </w:tabs>
              <w:rPr>
                <w:szCs w:val="22"/>
              </w:rPr>
            </w:pPr>
            <w:r w:rsidRPr="00CD6108">
              <w:rPr>
                <w:szCs w:val="22"/>
              </w:rPr>
              <w:t>235</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Cecil Plains</w:t>
            </w:r>
          </w:p>
        </w:tc>
        <w:tc>
          <w:tcPr>
            <w:tcW w:w="1260" w:type="dxa"/>
          </w:tcPr>
          <w:p w:rsidR="006C2E16" w:rsidRPr="00CD6108" w:rsidRDefault="006C2E16" w:rsidP="00A10D4B">
            <w:pPr>
              <w:tabs>
                <w:tab w:val="decimal" w:pos="674"/>
              </w:tabs>
              <w:rPr>
                <w:szCs w:val="22"/>
              </w:rPr>
            </w:pPr>
            <w:r w:rsidRPr="00CD6108">
              <w:rPr>
                <w:szCs w:val="22"/>
              </w:rPr>
              <w:t>3,300</w:t>
            </w:r>
          </w:p>
        </w:tc>
        <w:tc>
          <w:tcPr>
            <w:tcW w:w="1440" w:type="dxa"/>
          </w:tcPr>
          <w:p w:rsidR="006C2E16" w:rsidRPr="00CD6108" w:rsidRDefault="006C2E16" w:rsidP="00A10D4B">
            <w:pPr>
              <w:tabs>
                <w:tab w:val="decimal" w:pos="746"/>
              </w:tabs>
              <w:rPr>
                <w:szCs w:val="22"/>
              </w:rPr>
            </w:pPr>
            <w:r w:rsidRPr="00CD6108">
              <w:rPr>
                <w:szCs w:val="22"/>
              </w:rPr>
              <w:t>5,855</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Dalby</w:t>
            </w:r>
          </w:p>
        </w:tc>
        <w:tc>
          <w:tcPr>
            <w:tcW w:w="1260" w:type="dxa"/>
          </w:tcPr>
          <w:p w:rsidR="006C2E16" w:rsidRPr="00CD6108" w:rsidRDefault="006C2E16" w:rsidP="00A10D4B">
            <w:pPr>
              <w:tabs>
                <w:tab w:val="decimal" w:pos="674"/>
              </w:tabs>
              <w:rPr>
                <w:szCs w:val="22"/>
              </w:rPr>
            </w:pPr>
            <w:r w:rsidRPr="00CD6108">
              <w:rPr>
                <w:szCs w:val="22"/>
              </w:rPr>
              <w:t>885</w:t>
            </w:r>
          </w:p>
        </w:tc>
        <w:tc>
          <w:tcPr>
            <w:tcW w:w="1440" w:type="dxa"/>
          </w:tcPr>
          <w:p w:rsidR="006C2E16" w:rsidRPr="00CD6108" w:rsidRDefault="006C2E16" w:rsidP="00A10D4B">
            <w:pPr>
              <w:tabs>
                <w:tab w:val="decimal" w:pos="746"/>
              </w:tabs>
              <w:rPr>
                <w:szCs w:val="22"/>
              </w:rPr>
            </w:pPr>
            <w:r w:rsidRPr="00CD6108">
              <w:rPr>
                <w:szCs w:val="22"/>
              </w:rPr>
              <w:t>655</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Dookie</w:t>
            </w:r>
          </w:p>
        </w:tc>
        <w:tc>
          <w:tcPr>
            <w:tcW w:w="1260" w:type="dxa"/>
          </w:tcPr>
          <w:p w:rsidR="006C2E16" w:rsidRPr="00CD6108" w:rsidRDefault="006C2E16" w:rsidP="00A10D4B">
            <w:pPr>
              <w:tabs>
                <w:tab w:val="decimal" w:pos="674"/>
              </w:tabs>
              <w:rPr>
                <w:szCs w:val="22"/>
              </w:rPr>
            </w:pPr>
            <w:r w:rsidRPr="00CD6108">
              <w:rPr>
                <w:szCs w:val="22"/>
              </w:rPr>
              <w:t>490</w:t>
            </w:r>
          </w:p>
        </w:tc>
        <w:tc>
          <w:tcPr>
            <w:tcW w:w="1440" w:type="dxa"/>
          </w:tcPr>
          <w:p w:rsidR="006C2E16" w:rsidRPr="00CD6108" w:rsidRDefault="006C2E16" w:rsidP="00A10D4B">
            <w:pPr>
              <w:tabs>
                <w:tab w:val="decimal" w:pos="746"/>
              </w:tabs>
              <w:rPr>
                <w:szCs w:val="22"/>
              </w:rPr>
            </w:pPr>
            <w:r w:rsidRPr="00CD6108">
              <w:rPr>
                <w:szCs w:val="22"/>
              </w:rPr>
              <w:t>965</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Dutson Downs</w:t>
            </w:r>
          </w:p>
        </w:tc>
        <w:tc>
          <w:tcPr>
            <w:tcW w:w="1260" w:type="dxa"/>
          </w:tcPr>
          <w:p w:rsidR="006C2E16" w:rsidRPr="00CD6108" w:rsidRDefault="006C2E16" w:rsidP="00A10D4B">
            <w:pPr>
              <w:tabs>
                <w:tab w:val="decimal" w:pos="512"/>
              </w:tabs>
              <w:rPr>
                <w:szCs w:val="22"/>
              </w:rPr>
            </w:pPr>
            <w:r w:rsidRPr="00CD6108">
              <w:rPr>
                <w:szCs w:val="22"/>
              </w:rPr>
              <w:t>-</w:t>
            </w:r>
          </w:p>
        </w:tc>
        <w:tc>
          <w:tcPr>
            <w:tcW w:w="1440" w:type="dxa"/>
          </w:tcPr>
          <w:p w:rsidR="006C2E16" w:rsidRPr="00CD6108" w:rsidRDefault="006C2E16" w:rsidP="00A10D4B">
            <w:pPr>
              <w:tabs>
                <w:tab w:val="decimal" w:pos="746"/>
              </w:tabs>
              <w:rPr>
                <w:szCs w:val="22"/>
              </w:rPr>
            </w:pPr>
            <w:r w:rsidRPr="00CD6108">
              <w:rPr>
                <w:szCs w:val="22"/>
              </w:rPr>
              <w:t>875</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Esk</w:t>
            </w:r>
          </w:p>
        </w:tc>
        <w:tc>
          <w:tcPr>
            <w:tcW w:w="1260" w:type="dxa"/>
          </w:tcPr>
          <w:p w:rsidR="006C2E16" w:rsidRPr="00CD6108" w:rsidRDefault="006C2E16" w:rsidP="00A10D4B">
            <w:pPr>
              <w:tabs>
                <w:tab w:val="decimal" w:pos="674"/>
              </w:tabs>
              <w:rPr>
                <w:szCs w:val="22"/>
              </w:rPr>
            </w:pPr>
            <w:r w:rsidRPr="00CD6108">
              <w:rPr>
                <w:szCs w:val="22"/>
              </w:rPr>
              <w:t>465</w:t>
            </w:r>
          </w:p>
        </w:tc>
        <w:tc>
          <w:tcPr>
            <w:tcW w:w="1440" w:type="dxa"/>
          </w:tcPr>
          <w:p w:rsidR="006C2E16" w:rsidRPr="00CD6108" w:rsidRDefault="006C2E16" w:rsidP="00A10D4B">
            <w:pPr>
              <w:tabs>
                <w:tab w:val="decimal" w:pos="746"/>
              </w:tabs>
              <w:rPr>
                <w:szCs w:val="22"/>
              </w:rPr>
            </w:pPr>
            <w:r w:rsidRPr="00CD6108">
              <w:rPr>
                <w:szCs w:val="22"/>
              </w:rPr>
              <w:t>565</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Flat Paddock</w:t>
            </w:r>
          </w:p>
        </w:tc>
        <w:tc>
          <w:tcPr>
            <w:tcW w:w="1260" w:type="dxa"/>
          </w:tcPr>
          <w:p w:rsidR="006C2E16" w:rsidRPr="00CD6108" w:rsidRDefault="006C2E16" w:rsidP="00A10D4B">
            <w:pPr>
              <w:tabs>
                <w:tab w:val="decimal" w:pos="674"/>
              </w:tabs>
              <w:rPr>
                <w:szCs w:val="22"/>
              </w:rPr>
            </w:pPr>
            <w:r w:rsidRPr="00CD6108">
              <w:rPr>
                <w:szCs w:val="22"/>
              </w:rPr>
              <w:t>115</w:t>
            </w:r>
          </w:p>
        </w:tc>
        <w:tc>
          <w:tcPr>
            <w:tcW w:w="1440" w:type="dxa"/>
          </w:tcPr>
          <w:p w:rsidR="006C2E16" w:rsidRPr="00CD6108" w:rsidRDefault="006C2E16" w:rsidP="00A10D4B">
            <w:pPr>
              <w:tabs>
                <w:tab w:val="decimal" w:pos="746"/>
              </w:tabs>
              <w:rPr>
                <w:szCs w:val="22"/>
              </w:rPr>
            </w:pPr>
            <w:r w:rsidRPr="00CD6108">
              <w:rPr>
                <w:szCs w:val="22"/>
              </w:rPr>
              <w:t>250</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Kingaroy</w:t>
            </w:r>
          </w:p>
        </w:tc>
        <w:tc>
          <w:tcPr>
            <w:tcW w:w="1260" w:type="dxa"/>
          </w:tcPr>
          <w:p w:rsidR="006C2E16" w:rsidRPr="00CD6108" w:rsidRDefault="006C2E16" w:rsidP="00A10D4B">
            <w:pPr>
              <w:tabs>
                <w:tab w:val="decimal" w:pos="674"/>
              </w:tabs>
              <w:rPr>
                <w:szCs w:val="22"/>
              </w:rPr>
            </w:pPr>
            <w:r w:rsidRPr="00CD6108">
              <w:rPr>
                <w:szCs w:val="22"/>
              </w:rPr>
              <w:t>810</w:t>
            </w:r>
          </w:p>
        </w:tc>
        <w:tc>
          <w:tcPr>
            <w:tcW w:w="1440" w:type="dxa"/>
          </w:tcPr>
          <w:p w:rsidR="006C2E16" w:rsidRPr="00CD6108" w:rsidRDefault="006C2E16" w:rsidP="00A10D4B">
            <w:pPr>
              <w:tabs>
                <w:tab w:val="decimal" w:pos="746"/>
              </w:tabs>
              <w:rPr>
                <w:szCs w:val="22"/>
              </w:rPr>
            </w:pPr>
            <w:r w:rsidRPr="00CD6108">
              <w:rPr>
                <w:szCs w:val="22"/>
              </w:rPr>
              <w:t>505</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Night Paddock</w:t>
            </w:r>
          </w:p>
        </w:tc>
        <w:tc>
          <w:tcPr>
            <w:tcW w:w="1260" w:type="dxa"/>
          </w:tcPr>
          <w:p w:rsidR="006C2E16" w:rsidRPr="00CD6108" w:rsidRDefault="006C2E16" w:rsidP="00A10D4B">
            <w:pPr>
              <w:tabs>
                <w:tab w:val="decimal" w:pos="674"/>
              </w:tabs>
              <w:rPr>
                <w:szCs w:val="22"/>
              </w:rPr>
            </w:pPr>
            <w:r w:rsidRPr="00CD6108">
              <w:rPr>
                <w:szCs w:val="22"/>
              </w:rPr>
              <w:t>110</w:t>
            </w:r>
          </w:p>
        </w:tc>
        <w:tc>
          <w:tcPr>
            <w:tcW w:w="1440" w:type="dxa"/>
          </w:tcPr>
          <w:p w:rsidR="006C2E16" w:rsidRPr="00CD6108" w:rsidRDefault="006C2E16" w:rsidP="00A10D4B">
            <w:pPr>
              <w:tabs>
                <w:tab w:val="decimal" w:pos="746"/>
              </w:tabs>
              <w:rPr>
                <w:szCs w:val="22"/>
              </w:rPr>
            </w:pPr>
            <w:r w:rsidRPr="00CD6108">
              <w:rPr>
                <w:szCs w:val="22"/>
              </w:rPr>
              <w:t>530</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Spalding</w:t>
            </w:r>
          </w:p>
        </w:tc>
        <w:tc>
          <w:tcPr>
            <w:tcW w:w="1260" w:type="dxa"/>
          </w:tcPr>
          <w:p w:rsidR="006C2E16" w:rsidRPr="00CD6108" w:rsidRDefault="006C2E16" w:rsidP="00A10D4B">
            <w:pPr>
              <w:tabs>
                <w:tab w:val="decimal" w:pos="674"/>
              </w:tabs>
              <w:rPr>
                <w:szCs w:val="22"/>
              </w:rPr>
            </w:pPr>
            <w:r w:rsidRPr="00CD6108">
              <w:rPr>
                <w:szCs w:val="22"/>
              </w:rPr>
              <w:t>930</w:t>
            </w:r>
          </w:p>
        </w:tc>
        <w:tc>
          <w:tcPr>
            <w:tcW w:w="1440" w:type="dxa"/>
          </w:tcPr>
          <w:p w:rsidR="006C2E16" w:rsidRPr="00CD6108" w:rsidRDefault="006C2E16" w:rsidP="00A10D4B">
            <w:pPr>
              <w:tabs>
                <w:tab w:val="decimal" w:pos="746"/>
              </w:tabs>
              <w:rPr>
                <w:szCs w:val="22"/>
              </w:rPr>
            </w:pPr>
            <w:r w:rsidRPr="00CD6108">
              <w:rPr>
                <w:szCs w:val="22"/>
              </w:rPr>
              <w:t>620</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Tintinara</w:t>
            </w:r>
          </w:p>
        </w:tc>
        <w:tc>
          <w:tcPr>
            <w:tcW w:w="1260" w:type="dxa"/>
          </w:tcPr>
          <w:p w:rsidR="006C2E16" w:rsidRPr="00CD6108" w:rsidRDefault="006C2E16" w:rsidP="00A10D4B">
            <w:pPr>
              <w:tabs>
                <w:tab w:val="decimal" w:pos="674"/>
              </w:tabs>
              <w:rPr>
                <w:szCs w:val="22"/>
              </w:rPr>
            </w:pPr>
            <w:r w:rsidRPr="00CD6108">
              <w:rPr>
                <w:szCs w:val="22"/>
              </w:rPr>
              <w:t>430</w:t>
            </w:r>
          </w:p>
        </w:tc>
        <w:tc>
          <w:tcPr>
            <w:tcW w:w="1440" w:type="dxa"/>
          </w:tcPr>
          <w:p w:rsidR="006C2E16" w:rsidRPr="00CD6108" w:rsidRDefault="006C2E16" w:rsidP="00A10D4B">
            <w:pPr>
              <w:tabs>
                <w:tab w:val="decimal" w:pos="746"/>
              </w:tabs>
              <w:rPr>
                <w:szCs w:val="22"/>
              </w:rPr>
            </w:pPr>
            <w:r w:rsidRPr="00CD6108">
              <w:rPr>
                <w:szCs w:val="22"/>
              </w:rPr>
              <w:t>430</w:t>
            </w:r>
          </w:p>
        </w:tc>
      </w:tr>
      <w:tr w:rsidR="006C2E16" w:rsidRPr="00CD6108" w:rsidTr="00A10D4B">
        <w:trPr>
          <w:trHeight w:hRule="exact" w:val="397"/>
          <w:jc w:val="center"/>
        </w:trPr>
        <w:tc>
          <w:tcPr>
            <w:tcW w:w="2160" w:type="dxa"/>
          </w:tcPr>
          <w:p w:rsidR="006C2E16" w:rsidRPr="00CD6108" w:rsidRDefault="006C2E16" w:rsidP="00A10D4B">
            <w:pPr>
              <w:rPr>
                <w:szCs w:val="22"/>
              </w:rPr>
            </w:pPr>
            <w:r w:rsidRPr="00CD6108">
              <w:rPr>
                <w:szCs w:val="22"/>
              </w:rPr>
              <w:t>Wilsons</w:t>
            </w:r>
          </w:p>
        </w:tc>
        <w:tc>
          <w:tcPr>
            <w:tcW w:w="1260" w:type="dxa"/>
          </w:tcPr>
          <w:p w:rsidR="006C2E16" w:rsidRPr="00CD6108" w:rsidRDefault="006C2E16" w:rsidP="00A10D4B">
            <w:pPr>
              <w:tabs>
                <w:tab w:val="decimal" w:pos="674"/>
              </w:tabs>
              <w:rPr>
                <w:szCs w:val="22"/>
              </w:rPr>
            </w:pPr>
            <w:r w:rsidRPr="00CD6108">
              <w:rPr>
                <w:szCs w:val="22"/>
              </w:rPr>
              <w:t>465</w:t>
            </w:r>
          </w:p>
        </w:tc>
        <w:tc>
          <w:tcPr>
            <w:tcW w:w="1440" w:type="dxa"/>
          </w:tcPr>
          <w:p w:rsidR="006C2E16" w:rsidRPr="00CD6108" w:rsidRDefault="006C2E16" w:rsidP="00A10D4B">
            <w:pPr>
              <w:tabs>
                <w:tab w:val="decimal" w:pos="746"/>
              </w:tabs>
              <w:rPr>
                <w:szCs w:val="22"/>
              </w:rPr>
            </w:pPr>
            <w:r w:rsidRPr="00CD6108">
              <w:rPr>
                <w:szCs w:val="22"/>
              </w:rPr>
              <w:t>335</w:t>
            </w:r>
          </w:p>
        </w:tc>
      </w:tr>
    </w:tbl>
    <w:p w:rsidR="006C2E16" w:rsidRDefault="006C2E16" w:rsidP="006C2E16"/>
    <w:p w:rsidR="006C2E16" w:rsidRDefault="006C2E16" w:rsidP="006C2E16">
      <w:r>
        <w:t xml:space="preserve">There are two methods that attempt to address the issue of the effects of soil characteristics. These are to express toxicity data in terms of a contaminant estimate of the bioavailable fraction of a contaminant and to express toxicity data in terms of total concentrations and develop relationships </w:t>
      </w:r>
      <w:r>
        <w:lastRenderedPageBreak/>
        <w:t xml:space="preserve">(termed normalisation relationships) between toxicity and soil characteristics that account for bioavailability (see McLaughlin et al. 2000a for a discussion of these two philosophies). </w:t>
      </w:r>
    </w:p>
    <w:p w:rsidR="006C2E16" w:rsidRPr="0081122D" w:rsidRDefault="006C2E16" w:rsidP="001C6BE7">
      <w:pPr>
        <w:pStyle w:val="Heading3"/>
      </w:pPr>
      <w:bookmarkStart w:id="135" w:name="_Toc255359987"/>
      <w:bookmarkStart w:id="136" w:name="_Toc269122461"/>
      <w:bookmarkStart w:id="137" w:name="_Toc351713161"/>
      <w:r w:rsidRPr="0081122D">
        <w:t>Chemical estimates of bioavailability</w:t>
      </w:r>
      <w:bookmarkEnd w:id="135"/>
      <w:bookmarkEnd w:id="136"/>
      <w:bookmarkEnd w:id="137"/>
    </w:p>
    <w:p w:rsidR="006C2E16" w:rsidRDefault="006C2E16" w:rsidP="006C2E16">
      <w:r>
        <w:t>A number of soil extraction methods have been developed with the aim of providing a better estimate of the bioavailable fraction than total concentrations. These include calcium chloride (CaCl</w:t>
      </w:r>
      <w:r w:rsidRPr="00D349F4">
        <w:rPr>
          <w:vertAlign w:val="subscript"/>
        </w:rPr>
        <w:t>2</w:t>
      </w:r>
      <w:r>
        <w:t>) extracts, ammonium nitrate (NH</w:t>
      </w:r>
      <w:r w:rsidRPr="0080418B">
        <w:rPr>
          <w:vertAlign w:val="subscript"/>
        </w:rPr>
        <w:t>4</w:t>
      </w:r>
      <w:r>
        <w:t>NO</w:t>
      </w:r>
      <w:r w:rsidRPr="0080418B">
        <w:rPr>
          <w:vertAlign w:val="subscript"/>
        </w:rPr>
        <w:t>3</w:t>
      </w:r>
      <w:r>
        <w:t>) extracts, soil solution and other extracts and diffusion-based methods (for a review, see McLaughlin et al. 2000b). The extraction methods assume that they only extract that portion of the total amount of a chemical that is biologically available. This is a chemical approach to estimating the bioavailable fraction.</w:t>
      </w:r>
    </w:p>
    <w:p w:rsidR="00145F69" w:rsidRDefault="00145F69" w:rsidP="006C2E16"/>
    <w:p w:rsidR="006C2E16" w:rsidRDefault="006C2E16" w:rsidP="006C2E16">
      <w:r>
        <w:t>Available information suggests that only Germany (BBodSchV 1999) and Switzerland (Gupta et al. 1996) use a measure of chemical concentration other than the total contaminant concentration in soil. The German guidelines (BBodSchV 1999) have some soil TVs based on concentrations in NH</w:t>
      </w:r>
      <w:r w:rsidRPr="0080418B">
        <w:rPr>
          <w:vertAlign w:val="subscript"/>
        </w:rPr>
        <w:t>4</w:t>
      </w:r>
      <w:r>
        <w:t>NO</w:t>
      </w:r>
      <w:r w:rsidRPr="0080418B">
        <w:rPr>
          <w:vertAlign w:val="subscript"/>
        </w:rPr>
        <w:t>3</w:t>
      </w:r>
      <w:r>
        <w:t xml:space="preserve"> extracts for some inorganic contaminants (that is, TVs for cadmium) in the soil-to-plant pathway. This was only done if NH</w:t>
      </w:r>
      <w:r w:rsidRPr="0080418B">
        <w:rPr>
          <w:vertAlign w:val="subscript"/>
        </w:rPr>
        <w:t>4</w:t>
      </w:r>
      <w:r>
        <w:t>NO</w:t>
      </w:r>
      <w:r w:rsidRPr="0080418B">
        <w:rPr>
          <w:vertAlign w:val="subscript"/>
        </w:rPr>
        <w:t>3</w:t>
      </w:r>
      <w:r>
        <w:t xml:space="preserve"> extracts were better predictors (that is, showed better correlations) for internal plant concentrations from soil than the total soil concentration. The ammonium nitrate extract is considered by the German guidelines to be the bioavailable concentration of inorganics in soil. </w:t>
      </w:r>
    </w:p>
    <w:p w:rsidR="00145F69" w:rsidRDefault="00145F69" w:rsidP="006C2E16"/>
    <w:p w:rsidR="006C2E16" w:rsidRDefault="006C2E16" w:rsidP="006C2E16">
      <w:r>
        <w:t>The perfect chemical measure of bioavailability should give very similar toxicity values (for example, LC</w:t>
      </w:r>
      <w:r w:rsidRPr="00363524">
        <w:rPr>
          <w:vertAlign w:val="subscript"/>
        </w:rPr>
        <w:t>50</w:t>
      </w:r>
      <w:r>
        <w:t>) in a range of different soils for a given chemical tested on a given species. For soils, the perfect measure of bioavailability should overcome the effects that different soil characteristics have on toxicity and truly reflect the available fraction of the contaminant that causes the toxicity to the organism. Therefore, the ability of techniques to determine the bioavailable fraction can be assessed by comparing the variability of the toxicity values for one species across different soils—the measure with the smallest variability in toxicity values being the best measure of the bioavailable fraction (</w:t>
      </w:r>
      <w:r w:rsidRPr="00564931">
        <w:t>McLaughlin et al. 2000</w:t>
      </w:r>
      <w:r>
        <w:t>b). This approach was adopted by Broos et al. (2007) and Warne et al. (2008b) using microbial and plant toxicity data for Cu and Zn in 14 different Australian soils (field-based) using one source of contamination (soluble metal salts). In both cases, the variation in toxicity values based on total concentrations was smaller than or as small as those based on soil solution and CaCl</w:t>
      </w:r>
      <w:r w:rsidRPr="00641527">
        <w:rPr>
          <w:vertAlign w:val="subscript"/>
        </w:rPr>
        <w:t>2</w:t>
      </w:r>
      <w:r>
        <w:t xml:space="preserve"> extracts. Unpublished work from the Australian National Biosolids Research Program (NBRP) showed that the concentrations in ammonium nitrate and calcium chloride extracts were very highly related with coefficients of determination (r</w:t>
      </w:r>
      <w:r w:rsidRPr="00731ED1">
        <w:rPr>
          <w:vertAlign w:val="superscript"/>
        </w:rPr>
        <w:t>2</w:t>
      </w:r>
      <w:r>
        <w:t>) greater than 0.9. Therefore, although it is untested, it is highly likely that the data from the NBRP would reveal that variation in toxicity values across soils based on total concentrations would be lower than those based on ammonium nitrate.</w:t>
      </w:r>
    </w:p>
    <w:p w:rsidR="00145F69" w:rsidRDefault="00145F69" w:rsidP="006C2E16"/>
    <w:p w:rsidR="006C2E16" w:rsidRDefault="006C2E16" w:rsidP="006C2E16">
      <w:r w:rsidRPr="0030236D">
        <w:t xml:space="preserve">A number of authors </w:t>
      </w:r>
      <w:r>
        <w:t xml:space="preserve">from Europe </w:t>
      </w:r>
      <w:r w:rsidRPr="0030236D">
        <w:t>(Smolders et al. 2003</w:t>
      </w:r>
      <w:r>
        <w:t>;</w:t>
      </w:r>
      <w:r w:rsidRPr="0030236D">
        <w:t xml:space="preserve"> Smolders et al. 2004</w:t>
      </w:r>
      <w:r>
        <w:t>;</w:t>
      </w:r>
      <w:r w:rsidRPr="0030236D">
        <w:t xml:space="preserve"> Oorts </w:t>
      </w:r>
      <w:r>
        <w:t xml:space="preserve">et al. </w:t>
      </w:r>
      <w:r w:rsidRPr="00C47059">
        <w:t>2006</w:t>
      </w:r>
      <w:r>
        <w:t>;</w:t>
      </w:r>
      <w:r w:rsidRPr="00C47059">
        <w:t xml:space="preserve"> Zhao et al. 2006) have also found </w:t>
      </w:r>
      <w:r>
        <w:t xml:space="preserve">that </w:t>
      </w:r>
      <w:r w:rsidRPr="00C47059">
        <w:t xml:space="preserve">extractable or soil solution measurements were not useful predictors of plant and microbial toxicity in soils and thus used total metal concentrations to develop normalisation relationships. </w:t>
      </w:r>
      <w:r>
        <w:t>In contrast, a number of other studies have reported various extractable measures to be better than total concentrations ( Posthuma &amp; Notenboom 1996; Vijver et al. 2001; Nolan et al. 2005; Menzies et al. 2007).</w:t>
      </w:r>
    </w:p>
    <w:p w:rsidR="00145F69" w:rsidRPr="00C47059" w:rsidRDefault="00145F69" w:rsidP="006C2E16"/>
    <w:p w:rsidR="006C2E16" w:rsidRDefault="006C2E16" w:rsidP="006C2E16">
      <w:r>
        <w:t xml:space="preserve">McLaughlin et al. (2010) in a review of how to derive soil standards for trace elements concluded ‘it is difficult to conclude that one particular extractant or type of extractant is superior to others in predicting the trace element bioaccumulation and toxicity across a range of soils or organism endpoints’. </w:t>
      </w:r>
      <w:r w:rsidRPr="00C47059">
        <w:t xml:space="preserve">There </w:t>
      </w:r>
      <w:r>
        <w:t>is</w:t>
      </w:r>
      <w:r w:rsidRPr="00C47059">
        <w:t xml:space="preserve"> also considerably more </w:t>
      </w:r>
      <w:r>
        <w:t xml:space="preserve">toxicity data expressed as </w:t>
      </w:r>
      <w:r w:rsidRPr="00C47059">
        <w:t>total metal concentration</w:t>
      </w:r>
      <w:r>
        <w:t>. A further issue to be considered in development of EILs using extractable concentrations of contaminants would be the significant analytical challenge for many laboratories to consistently extract and accurately determine the low concentrations of contaminants found in partial extracts of soil.</w:t>
      </w:r>
    </w:p>
    <w:p w:rsidR="00145F69" w:rsidRDefault="00145F69" w:rsidP="006C2E16"/>
    <w:p w:rsidR="006C2E16" w:rsidRDefault="006C2E16" w:rsidP="006C2E16">
      <w:r>
        <w:lastRenderedPageBreak/>
        <w:t xml:space="preserve">One disadvantage of using total contaminant concentrations instead of a partial extract of soil designed to measure bioavailability is that different sources of contamination, having differing bioavailability, are not differentiated. However, for a screening level risk assessment such as the use of EILs, use of total concentrations is protective. </w:t>
      </w:r>
    </w:p>
    <w:p w:rsidR="00875BD5" w:rsidRDefault="00875BD5" w:rsidP="006C2E16"/>
    <w:p w:rsidR="006C2E16" w:rsidRDefault="006C2E16" w:rsidP="006C2E16">
      <w:r w:rsidRPr="002C2CF9">
        <w:t xml:space="preserve">For the purposes of developing EILs (which are used across soils with a wide range of properties), there is some evidence from both overseas and Australia that, at least for metals, extractable concentrations in soil may not necessarily be better measures of bioavailability than total concentrations. </w:t>
      </w:r>
    </w:p>
    <w:p w:rsidR="006C2E16" w:rsidRPr="0081122D" w:rsidRDefault="006C2E16" w:rsidP="001C6BE7">
      <w:pPr>
        <w:pStyle w:val="Heading3"/>
      </w:pPr>
      <w:bookmarkStart w:id="138" w:name="_Toc183340907"/>
      <w:bookmarkStart w:id="139" w:name="_Toc255359988"/>
      <w:bookmarkStart w:id="140" w:name="_Toc269122462"/>
      <w:bookmarkStart w:id="141" w:name="_Toc351713162"/>
      <w:r w:rsidRPr="0081122D">
        <w:t>Normalisation relationships</w:t>
      </w:r>
      <w:bookmarkEnd w:id="138"/>
      <w:bookmarkEnd w:id="139"/>
      <w:bookmarkEnd w:id="140"/>
      <w:bookmarkEnd w:id="141"/>
    </w:p>
    <w:p w:rsidR="006C2E16" w:rsidRDefault="006C2E16" w:rsidP="006C2E16">
      <w:r w:rsidRPr="005802FA">
        <w:t xml:space="preserve">The </w:t>
      </w:r>
      <w:r>
        <w:t xml:space="preserve">use of </w:t>
      </w:r>
      <w:r w:rsidRPr="005802FA">
        <w:t xml:space="preserve">normalisation </w:t>
      </w:r>
      <w:r>
        <w:t xml:space="preserve">relationships </w:t>
      </w:r>
      <w:r w:rsidRPr="005802FA">
        <w:t xml:space="preserve">is </w:t>
      </w:r>
      <w:r>
        <w:t xml:space="preserve">an attempt </w:t>
      </w:r>
      <w:r w:rsidRPr="005802FA">
        <w:t xml:space="preserve">to minimise the effect of soil </w:t>
      </w:r>
      <w:r>
        <w:t xml:space="preserve">characteristics </w:t>
      </w:r>
      <w:r w:rsidRPr="005802FA">
        <w:t>on the toxicity data so the resulting toxicity data will more closely reflect the inherent sensitivity of the test species</w:t>
      </w:r>
      <w:r>
        <w:t xml:space="preserve">. </w:t>
      </w:r>
      <w:r w:rsidRPr="005802FA">
        <w:t>If toxicity data more closely reflect</w:t>
      </w:r>
      <w:r>
        <w:t>s</w:t>
      </w:r>
      <w:r w:rsidRPr="005802FA">
        <w:t xml:space="preserve"> species sensitivity, </w:t>
      </w:r>
      <w:r>
        <w:t xml:space="preserve">then a </w:t>
      </w:r>
      <w:r w:rsidRPr="005802FA">
        <w:t xml:space="preserve">more accurate </w:t>
      </w:r>
      <w:r>
        <w:t>estimate of the</w:t>
      </w:r>
      <w:r w:rsidRPr="005802FA">
        <w:t xml:space="preserve"> soil concentration </w:t>
      </w:r>
      <w:r>
        <w:t>that</w:t>
      </w:r>
      <w:r w:rsidRPr="005802FA">
        <w:t xml:space="preserve"> should protect a certain percentage of species and soil processes</w:t>
      </w:r>
      <w:r>
        <w:t xml:space="preserve"> can be derived. Normalisation relationships are also used to extrapolate ACL values determined for the Australian reference soil out to soils with a range of physicochemical properties (that is, different soils). To normalise toxicity data</w:t>
      </w:r>
      <w:r w:rsidRPr="005802FA">
        <w:t xml:space="preserve">, empirical relationships are needed between </w:t>
      </w:r>
      <w:r>
        <w:t xml:space="preserve">soil characteristics and toxicity data. </w:t>
      </w:r>
      <w:r w:rsidRPr="005802FA">
        <w:t xml:space="preserve">An example </w:t>
      </w:r>
      <w:r>
        <w:t xml:space="preserve">of a relationship between toxicity and a soil property </w:t>
      </w:r>
      <w:r w:rsidRPr="005802FA">
        <w:t xml:space="preserve">is given in </w:t>
      </w:r>
      <w:r>
        <w:t>F</w:t>
      </w:r>
      <w:r w:rsidRPr="005802FA">
        <w:t xml:space="preserve">igure </w:t>
      </w:r>
      <w:r>
        <w:t>3,</w:t>
      </w:r>
      <w:r w:rsidRPr="005802FA">
        <w:t xml:space="preserve"> which shows how toxicity values increas</w:t>
      </w:r>
      <w:r>
        <w:t>e</w:t>
      </w:r>
      <w:r w:rsidRPr="005802FA">
        <w:t xml:space="preserve"> with increasing </w:t>
      </w:r>
      <w:r>
        <w:t xml:space="preserve">soil </w:t>
      </w:r>
      <w:r w:rsidRPr="005802FA">
        <w:t xml:space="preserve">pH. </w:t>
      </w:r>
    </w:p>
    <w:p w:rsidR="00145F69" w:rsidRPr="005802FA" w:rsidRDefault="00145F69" w:rsidP="006C2E16"/>
    <w:p w:rsidR="006C2E16" w:rsidRDefault="006C2E16" w:rsidP="006C2E16">
      <w:r w:rsidRPr="005802FA">
        <w:t xml:space="preserve">Normalisation relationships are relatively simple empirical relationships between the toxicity or plant uptake data for a single </w:t>
      </w:r>
      <w:r>
        <w:t>contaminant</w:t>
      </w:r>
      <w:r w:rsidRPr="005802FA">
        <w:t xml:space="preserve"> to one species and the physicochemical properties of the soils where the tests were conducted</w:t>
      </w:r>
      <w:r>
        <w:t xml:space="preserve">. </w:t>
      </w:r>
      <w:r w:rsidRPr="005802FA">
        <w:t xml:space="preserve">These empirical relationships are usually obtained </w:t>
      </w:r>
      <w:r>
        <w:t>using data from</w:t>
      </w:r>
      <w:r w:rsidRPr="005802FA">
        <w:t xml:space="preserve"> laboratory studies in which a single species is </w:t>
      </w:r>
      <w:r>
        <w:t>exposed to</w:t>
      </w:r>
      <w:r w:rsidRPr="005802FA">
        <w:t xml:space="preserve"> a </w:t>
      </w:r>
      <w:r>
        <w:t xml:space="preserve">single </w:t>
      </w:r>
      <w:r w:rsidRPr="005802FA">
        <w:t>contaminant in different soils</w:t>
      </w:r>
      <w:r>
        <w:t xml:space="preserve">. </w:t>
      </w:r>
      <w:r w:rsidRPr="005802FA">
        <w:t xml:space="preserve">Normalisation relationships have generally been developed using linear regression analysis </w:t>
      </w:r>
      <w:r w:rsidRPr="007E0FDD">
        <w:t>techniques including forward and backward step-wise regression (Smolders et al. 2004</w:t>
      </w:r>
      <w:r>
        <w:t>;</w:t>
      </w:r>
      <w:r w:rsidRPr="007E0FDD">
        <w:t xml:space="preserve"> Rooney et al. 2006</w:t>
      </w:r>
      <w:r>
        <w:t>;</w:t>
      </w:r>
      <w:r w:rsidRPr="007E0FDD">
        <w:t xml:space="preserve"> Broos et al. 2007</w:t>
      </w:r>
      <w:r>
        <w:t>;</w:t>
      </w:r>
      <w:r w:rsidRPr="007E0FDD">
        <w:t xml:space="preserve"> Warne et al. </w:t>
      </w:r>
      <w:r>
        <w:t>2008a</w:t>
      </w:r>
      <w:r w:rsidRPr="007E0FDD">
        <w:t xml:space="preserve">) or partial least squares (PLS) regression (Lock </w:t>
      </w:r>
      <w:r>
        <w:t>&amp;</w:t>
      </w:r>
      <w:r w:rsidRPr="007E0FDD">
        <w:t xml:space="preserve"> Janssen 2001)</w:t>
      </w:r>
      <w:r>
        <w:t xml:space="preserve">. </w:t>
      </w:r>
      <w:r w:rsidRPr="007E0FDD">
        <w:t>It is important that only soil physicochemical properties that are not significantly correlated to each other are used to develop normalisation equations</w:t>
      </w:r>
      <w:r>
        <w:t xml:space="preserve">. </w:t>
      </w:r>
      <w:r w:rsidRPr="007E0FDD">
        <w:t>Although there are no generally</w:t>
      </w:r>
      <w:r w:rsidRPr="005802FA">
        <w:t xml:space="preserve"> accepted rules, researchers have generally only reported or recommended the use of normalisation equations that have coefficients of determination (r</w:t>
      </w:r>
      <w:r w:rsidRPr="005802FA">
        <w:rPr>
          <w:vertAlign w:val="superscript"/>
        </w:rPr>
        <w:t>2</w:t>
      </w:r>
      <w:r w:rsidRPr="005802FA">
        <w:t>) or adjusted coefficients of determination (adj r</w:t>
      </w:r>
      <w:r w:rsidRPr="005802FA">
        <w:rPr>
          <w:vertAlign w:val="superscript"/>
        </w:rPr>
        <w:t>2</w:t>
      </w:r>
      <w:r w:rsidRPr="005802FA">
        <w:t>) greater than 0.5 (</w:t>
      </w:r>
      <w:r>
        <w:t>that is,</w:t>
      </w:r>
      <w:r w:rsidRPr="005802FA">
        <w:t xml:space="preserve"> they explain more than 50% of the variation in toxicity values)</w:t>
      </w:r>
      <w:r>
        <w:t xml:space="preserve">. </w:t>
      </w:r>
      <w:r w:rsidRPr="005802FA">
        <w:t>This is quite reasonable as</w:t>
      </w:r>
      <w:r>
        <w:t>,</w:t>
      </w:r>
      <w:r w:rsidRPr="005802FA">
        <w:t xml:space="preserve"> if a relationship does not explain at least 50% of the variation</w:t>
      </w:r>
      <w:r>
        <w:t>,</w:t>
      </w:r>
      <w:r w:rsidRPr="005802FA">
        <w:t xml:space="preserve"> then using it to normalise other toxicity data could introduce considerable error.</w:t>
      </w:r>
    </w:p>
    <w:p w:rsidR="00145F69" w:rsidRPr="005802FA" w:rsidRDefault="00145F69" w:rsidP="006C2E16"/>
    <w:p w:rsidR="006C2E16" w:rsidRDefault="006C2E16" w:rsidP="006C2E16">
      <w:r w:rsidRPr="005802FA">
        <w:t xml:space="preserve">A </w:t>
      </w:r>
      <w:r>
        <w:t>number</w:t>
      </w:r>
      <w:r w:rsidRPr="005802FA">
        <w:t xml:space="preserve"> of studies have </w:t>
      </w:r>
      <w:r>
        <w:t xml:space="preserve">successfully developed normalisation relationships </w:t>
      </w:r>
      <w:r w:rsidRPr="005802FA">
        <w:t>for plants, microbial processes and soil invertebrates</w:t>
      </w:r>
      <w:r>
        <w:t xml:space="preserve">. </w:t>
      </w:r>
      <w:r w:rsidRPr="005802FA">
        <w:t xml:space="preserve">The main </w:t>
      </w:r>
      <w:r>
        <w:t>soil characteristics</w:t>
      </w:r>
      <w:r w:rsidRPr="005802FA">
        <w:t xml:space="preserve"> affecting the toxicity </w:t>
      </w:r>
      <w:r>
        <w:t>of inorganic contaminants appear to be</w:t>
      </w:r>
      <w:r w:rsidRPr="005802FA">
        <w:t xml:space="preserve"> pH, clay</w:t>
      </w:r>
      <w:r>
        <w:t xml:space="preserve"> content</w:t>
      </w:r>
      <w:r w:rsidRPr="005802FA">
        <w:t>, cation exchange capacity and organic matter</w:t>
      </w:r>
      <w:r>
        <w:t xml:space="preserve"> content </w:t>
      </w:r>
      <w:r w:rsidRPr="007E0FDD">
        <w:t xml:space="preserve">(Lock </w:t>
      </w:r>
      <w:r>
        <w:t>&amp;</w:t>
      </w:r>
      <w:r w:rsidRPr="007E0FDD">
        <w:t xml:space="preserve"> Janssen 2001</w:t>
      </w:r>
      <w:r>
        <w:t xml:space="preserve">; Smolders et al. 2003; </w:t>
      </w:r>
      <w:r w:rsidRPr="007E0FDD">
        <w:t>Smolders et al. 2004</w:t>
      </w:r>
      <w:r>
        <w:t>;</w:t>
      </w:r>
      <w:r w:rsidRPr="007E0FDD">
        <w:t xml:space="preserve"> Rooney et al. 2006</w:t>
      </w:r>
      <w:r>
        <w:t>;</w:t>
      </w:r>
      <w:r w:rsidRPr="007E0FDD">
        <w:t xml:space="preserve"> </w:t>
      </w:r>
      <w:r>
        <w:t xml:space="preserve">Song et al. 2006; </w:t>
      </w:r>
      <w:r w:rsidRPr="007E0FDD">
        <w:t>Broos et al. 2007</w:t>
      </w:r>
      <w:r>
        <w:t xml:space="preserve">; </w:t>
      </w:r>
      <w:r w:rsidRPr="007E0FDD">
        <w:t>Warne et al</w:t>
      </w:r>
      <w:r>
        <w:t>. 2008a, 2008b</w:t>
      </w:r>
      <w:r w:rsidRPr="007E0FDD">
        <w:t>)</w:t>
      </w:r>
      <w:r>
        <w:t>.</w:t>
      </w:r>
      <w:r w:rsidRPr="007E0FDD">
        <w:t xml:space="preserve"> </w:t>
      </w:r>
    </w:p>
    <w:p w:rsidR="006C2E16" w:rsidRDefault="006C2E16" w:rsidP="001C6BE7">
      <w:pPr>
        <w:pStyle w:val="text"/>
      </w:pPr>
      <w:r>
        <w:rPr>
          <w:noProof/>
        </w:rPr>
        <w:lastRenderedPageBreak/>
        <mc:AlternateContent>
          <mc:Choice Requires="wps">
            <w:drawing>
              <wp:anchor distT="0" distB="0" distL="114300" distR="114300" simplePos="0" relativeHeight="251665408" behindDoc="0" locked="1" layoutInCell="1" allowOverlap="1" wp14:anchorId="4DD443C2" wp14:editId="63385047">
                <wp:simplePos x="0" y="0"/>
                <wp:positionH relativeFrom="column">
                  <wp:posOffset>-34290</wp:posOffset>
                </wp:positionH>
                <wp:positionV relativeFrom="paragraph">
                  <wp:posOffset>307340</wp:posOffset>
                </wp:positionV>
                <wp:extent cx="330200" cy="1998980"/>
                <wp:effectExtent l="0" t="127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99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BE7" w:rsidRPr="004823DE" w:rsidRDefault="001C6BE7" w:rsidP="006C2E16">
                            <w:pPr>
                              <w:jc w:val="center"/>
                              <w:rPr>
                                <w:rFonts w:ascii="Arial" w:hAnsi="Arial" w:cs="Arial"/>
                                <w:b/>
                                <w:bCs/>
                                <w:sz w:val="18"/>
                                <w:szCs w:val="18"/>
                              </w:rPr>
                            </w:pPr>
                            <w:r>
                              <w:rPr>
                                <w:rFonts w:ascii="Arial" w:hAnsi="Arial" w:cs="Arial"/>
                                <w:b/>
                                <w:bCs/>
                                <w:sz w:val="18"/>
                                <w:szCs w:val="18"/>
                              </w:rPr>
                              <w:t>zinc concentration in soil (mg/kg)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428" type="#_x0000_t202" style="position:absolute;left:0;text-align:left;margin-left:-2.7pt;margin-top:24.2pt;width:26pt;height:15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" stroked="f">
                <v:textbox style="layout-flow:vertical;mso-layout-flow-alt:bottom-to-top">
                  <w:txbxContent>
                    <w:p w:rsidR="001C6BE7" w:rsidRPr="004823DE" w:rsidRDefault="001C6BE7" w:rsidP="006C2E16">
                      <w:pPr>
                        <w:jc w:val="center"/>
                        <w:rPr>
                          <w:rFonts w:ascii="Arial" w:hAnsi="Arial" w:cs="Arial"/>
                          <w:b/>
                          <w:bCs/>
                          <w:sz w:val="18"/>
                          <w:szCs w:val="18"/>
                        </w:rPr>
                      </w:pPr>
                      <w:r>
                        <w:rPr>
                          <w:rFonts w:ascii="Arial" w:hAnsi="Arial" w:cs="Arial"/>
                          <w:b/>
                          <w:bCs/>
                          <w:sz w:val="18"/>
                          <w:szCs w:val="18"/>
                        </w:rPr>
                        <w:t>zinc concentration in soil (mg/kg)</w:t>
                      </w:r>
                    </w:p>
                  </w:txbxContent>
                </v:textbox>
                <w10:anchorlock/>
              </v:shape>
            </w:pict>
          </mc:Fallback>
        </mc:AlternateContent>
      </w:r>
      <w:r>
        <w:rPr>
          <w:noProof/>
        </w:rPr>
        <w:drawing>
          <wp:inline distT="0" distB="0" distL="0" distR="0" wp14:anchorId="026C95BA" wp14:editId="1AB8C38F">
            <wp:extent cx="5282998" cy="4124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294270" cy="4133125"/>
                    </a:xfrm>
                    <a:prstGeom prst="rect">
                      <a:avLst/>
                    </a:prstGeom>
                    <a:noFill/>
                    <a:ln w="9525">
                      <a:noFill/>
                      <a:miter lim="800000"/>
                      <a:headEnd/>
                      <a:tailEnd/>
                    </a:ln>
                  </pic:spPr>
                </pic:pic>
              </a:graphicData>
            </a:graphic>
          </wp:inline>
        </w:drawing>
      </w:r>
    </w:p>
    <w:p w:rsidR="006C2E16" w:rsidRPr="00411E8D" w:rsidRDefault="006C2E16" w:rsidP="006C2E16">
      <w:pPr>
        <w:pStyle w:val="Caption"/>
      </w:pPr>
      <w:r w:rsidRPr="00411E8D">
        <w:t xml:space="preserve">Figure 3. An example of the effect that soil pH can have on toxicity values (shaded diamonds). Toxicity data shown are SIN EC 10 from the NBRP program. </w:t>
      </w:r>
    </w:p>
    <w:p w:rsidR="006C2E16" w:rsidRPr="00BE548F" w:rsidRDefault="006C2E16" w:rsidP="006C2E16">
      <w:r w:rsidRPr="00BE548F">
        <w:t xml:space="preserve">Normalisation equations can, in principle, be developed for any combination of contaminant, species, and toxicity </w:t>
      </w:r>
      <w:r>
        <w:t xml:space="preserve">end point. </w:t>
      </w:r>
      <w:r w:rsidRPr="00BE548F">
        <w:t xml:space="preserve">However, they should only be developed using ecologically relevant species, measures and toxicity </w:t>
      </w:r>
      <w:r>
        <w:t>end point</w:t>
      </w:r>
      <w:r w:rsidRPr="00BE548F">
        <w:t>s for the ecosystem that is being protected. In addition, it is preferable from an implementation point of view, that relatively easy and relatively cheap-to-measure, accurate, repeatable soil characteristics are used to derive normalisation relationships</w:t>
      </w:r>
      <w:r>
        <w:t xml:space="preserve">. </w:t>
      </w:r>
      <w:r w:rsidRPr="00BE548F">
        <w:t>Otherwise, the costs and difficulty of determining unusual soil characteristics will inhibit application of the relationships.</w:t>
      </w:r>
    </w:p>
    <w:p w:rsidR="00875BD5" w:rsidRDefault="00875BD5" w:rsidP="006C2E16"/>
    <w:p w:rsidR="006C2E16" w:rsidRPr="00BE548F" w:rsidRDefault="006C2E16" w:rsidP="006C2E16">
      <w:r w:rsidRPr="00BE548F">
        <w:t xml:space="preserve">In Australia, empirical relationships have been obtained between soil characteristics and toxicity data for a limited set of contaminants and </w:t>
      </w:r>
      <w:r>
        <w:t>end point</w:t>
      </w:r>
      <w:r w:rsidRPr="00BE548F">
        <w:t>s to date</w:t>
      </w:r>
      <w:r>
        <w:t xml:space="preserve">. </w:t>
      </w:r>
      <w:r w:rsidRPr="00BE548F">
        <w:t xml:space="preserve">Examples of relationships between toxicity and soil characteristics from </w:t>
      </w:r>
      <w:r>
        <w:t xml:space="preserve">the </w:t>
      </w:r>
      <w:r w:rsidRPr="00BE548F">
        <w:t>NBRP program are:</w:t>
      </w:r>
    </w:p>
    <w:p w:rsidR="006C2E16" w:rsidRPr="00BE548F" w:rsidRDefault="006C2E16" w:rsidP="006C2E16">
      <w:pPr>
        <w:rPr>
          <w:i/>
          <w:iCs/>
        </w:rPr>
      </w:pPr>
      <w:r w:rsidRPr="00BE548F">
        <w:t xml:space="preserve">Microbial (substrate induced nitrification </w:t>
      </w:r>
      <w:r>
        <w:sym w:font="Symbol" w:char="F02D"/>
      </w:r>
      <w:r w:rsidRPr="00BE548F">
        <w:t xml:space="preserve"> SIN) </w:t>
      </w:r>
      <w:r w:rsidRPr="00BE548F">
        <w:rPr>
          <w:i/>
          <w:iCs/>
        </w:rPr>
        <w:t>see also Figure 3</w:t>
      </w:r>
    </w:p>
    <w:p w:rsidR="006C2E16" w:rsidRPr="00BE548F" w:rsidRDefault="006C2E16" w:rsidP="006C2E16">
      <w:pPr>
        <w:rPr>
          <w:i/>
          <w:iCs/>
          <w:lang w:val="sv-SE"/>
        </w:rPr>
      </w:pPr>
      <w:r w:rsidRPr="00BE548F">
        <w:rPr>
          <w:lang w:val="sv-SE"/>
        </w:rPr>
        <w:t>SIN log EC</w:t>
      </w:r>
      <w:r w:rsidRPr="00363524">
        <w:rPr>
          <w:vertAlign w:val="subscript"/>
          <w:lang w:val="sv-SE"/>
        </w:rPr>
        <w:t>10</w:t>
      </w:r>
      <w:r w:rsidRPr="00BE548F">
        <w:rPr>
          <w:lang w:val="sv-SE"/>
        </w:rPr>
        <w:t xml:space="preserve">  Zn = 0.55*pH – 0.55</w:t>
      </w:r>
      <w:r w:rsidRPr="00BE548F">
        <w:rPr>
          <w:lang w:val="sv-SE"/>
        </w:rPr>
        <w:tab/>
      </w:r>
      <w:r w:rsidRPr="00BE548F">
        <w:rPr>
          <w:lang w:val="sv-SE"/>
        </w:rPr>
        <w:tab/>
      </w:r>
      <w:r w:rsidRPr="00BE548F">
        <w:rPr>
          <w:lang w:val="sv-SE"/>
        </w:rPr>
        <w:tab/>
        <w:t>R</w:t>
      </w:r>
      <w:r w:rsidRPr="00BE548F">
        <w:rPr>
          <w:vertAlign w:val="superscript"/>
          <w:lang w:val="sv-SE"/>
        </w:rPr>
        <w:t>2</w:t>
      </w:r>
      <w:r w:rsidR="00145F69">
        <w:rPr>
          <w:lang w:val="sv-SE"/>
        </w:rPr>
        <w:t xml:space="preserve"> = 0.74</w:t>
      </w:r>
      <w:r>
        <w:rPr>
          <w:lang w:val="sv-SE"/>
        </w:rPr>
        <w:tab/>
      </w:r>
      <w:r w:rsidRPr="00BE548F">
        <w:rPr>
          <w:i/>
          <w:iCs/>
          <w:lang w:val="sv-SE"/>
        </w:rPr>
        <w:t>(eq</w:t>
      </w:r>
      <w:r>
        <w:rPr>
          <w:i/>
          <w:iCs/>
          <w:lang w:val="sv-SE"/>
        </w:rPr>
        <w:t>uation</w:t>
      </w:r>
      <w:r w:rsidRPr="00BE548F">
        <w:rPr>
          <w:i/>
          <w:iCs/>
          <w:lang w:val="sv-SE"/>
        </w:rPr>
        <w:t xml:space="preserve"> 9)</w:t>
      </w:r>
    </w:p>
    <w:p w:rsidR="006C2E16" w:rsidRDefault="006C2E16" w:rsidP="006C2E16">
      <w:r w:rsidRPr="00BE548F">
        <w:t xml:space="preserve">Plant (toxicity) </w:t>
      </w:r>
    </w:p>
    <w:p w:rsidR="006C2E16" w:rsidRPr="00BE548F" w:rsidRDefault="006C2E16" w:rsidP="006C2E16">
      <w:pPr>
        <w:rPr>
          <w:i/>
          <w:iCs/>
        </w:rPr>
      </w:pPr>
      <w:r w:rsidRPr="00BE548F">
        <w:t>log EC</w:t>
      </w:r>
      <w:r w:rsidRPr="00363524">
        <w:rPr>
          <w:vertAlign w:val="subscript"/>
        </w:rPr>
        <w:t>10</w:t>
      </w:r>
      <w:r w:rsidRPr="00BE548F">
        <w:t xml:space="preserve">  Zn  = 0.271 * pH + 0.702 * log CEC</w:t>
      </w:r>
      <w:r w:rsidRPr="00BE548F">
        <w:tab/>
      </w:r>
      <w:r w:rsidRPr="00BE548F">
        <w:rPr>
          <w:i/>
          <w:iCs/>
        </w:rPr>
        <w:t>adj.</w:t>
      </w:r>
      <w:r w:rsidRPr="00BE548F">
        <w:t xml:space="preserve"> </w:t>
      </w:r>
      <w:r>
        <w:tab/>
      </w:r>
      <w:r w:rsidRPr="00BE548F">
        <w:t>R</w:t>
      </w:r>
      <w:r w:rsidRPr="00BE548F">
        <w:rPr>
          <w:vertAlign w:val="superscript"/>
        </w:rPr>
        <w:t>2</w:t>
      </w:r>
      <w:r w:rsidR="00145F69">
        <w:t xml:space="preserve"> = 0.66  </w:t>
      </w:r>
      <w:r w:rsidRPr="00BE548F">
        <w:rPr>
          <w:i/>
          <w:iCs/>
        </w:rPr>
        <w:t>(eq</w:t>
      </w:r>
      <w:r>
        <w:rPr>
          <w:i/>
          <w:iCs/>
        </w:rPr>
        <w:t>uation</w:t>
      </w:r>
      <w:r w:rsidRPr="00BE548F">
        <w:rPr>
          <w:i/>
          <w:iCs/>
        </w:rPr>
        <w:t xml:space="preserve"> 10)</w:t>
      </w:r>
    </w:p>
    <w:p w:rsidR="0003580B" w:rsidRDefault="0003580B" w:rsidP="006C2E16"/>
    <w:p w:rsidR="006C2E16" w:rsidRDefault="006C2E16" w:rsidP="006C2E16">
      <w:r w:rsidRPr="00BE548F">
        <w:t>where pH is the soil pH (0.01 M CaCl</w:t>
      </w:r>
      <w:r w:rsidRPr="00BE548F">
        <w:rPr>
          <w:vertAlign w:val="subscript"/>
        </w:rPr>
        <w:t>2</w:t>
      </w:r>
      <w:r w:rsidRPr="00BE548F">
        <w:t>), CEC is the cation exchange capacity, EC</w:t>
      </w:r>
      <w:r w:rsidRPr="00363524">
        <w:rPr>
          <w:vertAlign w:val="subscript"/>
        </w:rPr>
        <w:t>10</w:t>
      </w:r>
      <w:r w:rsidRPr="00BE548F">
        <w:t xml:space="preserve"> is the concentration that causes  a 10% effect</w:t>
      </w:r>
      <w:r>
        <w:t>.</w:t>
      </w:r>
    </w:p>
    <w:p w:rsidR="00145F69" w:rsidRPr="00BE548F" w:rsidRDefault="00145F69" w:rsidP="006C2E16"/>
    <w:p w:rsidR="006C2E16" w:rsidRDefault="006C2E16" w:rsidP="006C2E16">
      <w:r w:rsidRPr="00BE548F">
        <w:t>Normalisation relationships are currently limited to a few combinations of contaminants, species and countries from which the soils are obtained</w:t>
      </w:r>
      <w:r>
        <w:t xml:space="preserve">. </w:t>
      </w:r>
      <w:r w:rsidRPr="00BE548F">
        <w:t xml:space="preserve">The lack of normalisation equations for a wide variety of species can be overcome by applying the relationships to species other </w:t>
      </w:r>
      <w:r>
        <w:t>than</w:t>
      </w:r>
      <w:r w:rsidRPr="00BE548F">
        <w:t xml:space="preserve"> those for which they were derived (EU 2006</w:t>
      </w:r>
      <w:r>
        <w:t>b</w:t>
      </w:r>
      <w:r w:rsidRPr="00BE548F">
        <w:t>)</w:t>
      </w:r>
      <w:r>
        <w:t xml:space="preserve">. </w:t>
      </w:r>
      <w:r w:rsidRPr="00BE548F">
        <w:t xml:space="preserve">However, this practice should only be conducted if it could be expected that the contaminant would exert its toxicity in the same manner </w:t>
      </w:r>
      <w:r>
        <w:t xml:space="preserve">as </w:t>
      </w:r>
      <w:r w:rsidRPr="00BE548F">
        <w:t xml:space="preserve">to the other species and the application of the normalisation relationship leads to a decrease in the range of toxicity values for the other </w:t>
      </w:r>
      <w:r w:rsidRPr="006665E0">
        <w:t>species (EU 2006b).</w:t>
      </w:r>
    </w:p>
    <w:p w:rsidR="00145F69" w:rsidRDefault="00145F69" w:rsidP="006C2E16"/>
    <w:p w:rsidR="006C2E16" w:rsidRDefault="006C2E16" w:rsidP="006C2E16">
      <w:r w:rsidRPr="00BE548F">
        <w:t>The lack of normalisation equations for Australian soils can be overcome by using relationships developed with soils from other countries</w:t>
      </w:r>
      <w:r>
        <w:t>,</w:t>
      </w:r>
      <w:r w:rsidRPr="00BE548F">
        <w:t xml:space="preserve"> particularly Europe and America</w:t>
      </w:r>
      <w:r>
        <w:t xml:space="preserve">. </w:t>
      </w:r>
      <w:r w:rsidRPr="00BE548F">
        <w:t>However, these normalisation relationships should only be used when they are derived from soils similar to Australian soils and/or if their validity for Australian soils has been assessed and found suitable</w:t>
      </w:r>
      <w:r w:rsidRPr="00BE548F">
        <w:rPr>
          <w:rStyle w:val="FootnoteReference"/>
        </w:rPr>
        <w:footnoteReference w:id="6"/>
      </w:r>
      <w:r>
        <w:t xml:space="preserve">. </w:t>
      </w:r>
      <w:r w:rsidRPr="00BE548F">
        <w:t>The importance of this was shown by a study of Broos et al. (2007)</w:t>
      </w:r>
      <w:r>
        <w:t xml:space="preserve">. </w:t>
      </w:r>
      <w:r w:rsidRPr="00BE548F">
        <w:t>This study assessed the normalisation relationships of Smolders et al. (2004) and Oorts et al. (2006) and re</w:t>
      </w:r>
      <w:r>
        <w:t>-</w:t>
      </w:r>
      <w:r w:rsidRPr="00BE548F">
        <w:t>analysed the data after removing microbial toxicity data for soils with OC concentrations greater than those found in Australian soils</w:t>
      </w:r>
      <w:r>
        <w:t xml:space="preserve">. </w:t>
      </w:r>
      <w:r w:rsidRPr="00BE548F">
        <w:t>This resulted in a change of soil characteristics</w:t>
      </w:r>
      <w:r>
        <w:t>,</w:t>
      </w:r>
      <w:r w:rsidRPr="00BE548F">
        <w:t xml:space="preserve"> mainly explaining the variance in the toxicity data</w:t>
      </w:r>
      <w:r>
        <w:t xml:space="preserve">. </w:t>
      </w:r>
      <w:r w:rsidRPr="00BE548F">
        <w:t xml:space="preserve">For the initial data set, OC was the most important factor explaining the toxicity of Zn and Cu to nitrifying </w:t>
      </w:r>
      <w:r>
        <w:t>microorganism</w:t>
      </w:r>
      <w:r w:rsidRPr="00BE548F">
        <w:t xml:space="preserve">s but without the high OC soils, pH became the main explanatory soil property. </w:t>
      </w:r>
    </w:p>
    <w:p w:rsidR="00145F69" w:rsidRPr="00BE548F" w:rsidRDefault="00145F69" w:rsidP="006C2E16"/>
    <w:p w:rsidR="006C2E16" w:rsidRPr="00BE548F" w:rsidRDefault="006C2E16" w:rsidP="006C2E16">
      <w:r w:rsidRPr="00BE548F">
        <w:t>Normalisation relationships usually take the form of:</w:t>
      </w:r>
    </w:p>
    <w:p w:rsidR="006C2E16" w:rsidRPr="00653177" w:rsidRDefault="006C2E16" w:rsidP="006C2E16">
      <w:pPr>
        <w:rPr>
          <w:i/>
          <w:iCs/>
        </w:rPr>
      </w:pPr>
      <w:r w:rsidRPr="00653177">
        <w:rPr>
          <w:i/>
          <w:iCs/>
        </w:rPr>
        <w:t>Toxicity data = a * soil property ± b</w:t>
      </w:r>
      <w:r w:rsidR="00145F69">
        <w:rPr>
          <w:i/>
          <w:iCs/>
        </w:rPr>
        <w:tab/>
      </w:r>
      <w:r w:rsidR="00145F69">
        <w:rPr>
          <w:i/>
          <w:iCs/>
        </w:rPr>
        <w:tab/>
      </w:r>
      <w:r w:rsidR="00145F69">
        <w:rPr>
          <w:i/>
          <w:iCs/>
        </w:rPr>
        <w:tab/>
      </w:r>
      <w:r w:rsidR="00145F69">
        <w:rPr>
          <w:i/>
          <w:iCs/>
        </w:rPr>
        <w:tab/>
      </w:r>
      <w:r w:rsidR="00145F69">
        <w:rPr>
          <w:i/>
          <w:iCs/>
        </w:rPr>
        <w:tab/>
      </w:r>
      <w:r w:rsidRPr="00653177">
        <w:rPr>
          <w:i/>
          <w:iCs/>
        </w:rPr>
        <w:t xml:space="preserve"> </w:t>
      </w:r>
      <w:r>
        <w:rPr>
          <w:i/>
          <w:iCs/>
        </w:rPr>
        <w:t xml:space="preserve">        </w:t>
      </w:r>
      <w:r w:rsidRPr="00653177">
        <w:rPr>
          <w:i/>
          <w:iCs/>
        </w:rPr>
        <w:t>(</w:t>
      </w:r>
      <w:r>
        <w:rPr>
          <w:i/>
          <w:iCs/>
        </w:rPr>
        <w:t>equation</w:t>
      </w:r>
      <w:r w:rsidRPr="00653177">
        <w:rPr>
          <w:i/>
          <w:iCs/>
        </w:rPr>
        <w:t xml:space="preserve"> 11)</w:t>
      </w:r>
    </w:p>
    <w:p w:rsidR="00145F69" w:rsidRDefault="00145F69" w:rsidP="006C2E16"/>
    <w:p w:rsidR="006C2E16" w:rsidRDefault="006C2E16" w:rsidP="006C2E16">
      <w:r w:rsidRPr="00BE548F">
        <w:t xml:space="preserve">where </w:t>
      </w:r>
      <w:r w:rsidRPr="00BE548F">
        <w:rPr>
          <w:i/>
          <w:iCs/>
        </w:rPr>
        <w:t>a</w:t>
      </w:r>
      <w:r w:rsidRPr="00BE548F">
        <w:t xml:space="preserve"> is the gradient of the regression and </w:t>
      </w:r>
      <w:r w:rsidRPr="00BE548F">
        <w:rPr>
          <w:i/>
          <w:iCs/>
        </w:rPr>
        <w:t>b</w:t>
      </w:r>
      <w:r w:rsidRPr="00BE548F">
        <w:t xml:space="preserve"> is the y-intercept</w:t>
      </w:r>
      <w:r>
        <w:t xml:space="preserve">. </w:t>
      </w:r>
      <w:r w:rsidRPr="00BE548F">
        <w:t>The y-intercept is a measure of the inherent sensitivity of the test species used to derive the normalisation relationship</w:t>
      </w:r>
      <w:r>
        <w:t>—</w:t>
      </w:r>
      <w:r w:rsidRPr="00BE548F">
        <w:t>and each species will have a unique y-intercept</w:t>
      </w:r>
      <w:r>
        <w:t xml:space="preserve">. </w:t>
      </w:r>
      <w:r w:rsidRPr="00BE548F">
        <w:t>Thus, when applying normalisation relationships to other species</w:t>
      </w:r>
      <w:r>
        <w:t>,</w:t>
      </w:r>
      <w:r w:rsidRPr="00BE548F">
        <w:t xml:space="preserve"> the toxicity data should only be transformed using the gradient (</w:t>
      </w:r>
      <w:r>
        <w:t>that is,</w:t>
      </w:r>
      <w:r w:rsidRPr="00BE548F">
        <w:t xml:space="preserve"> </w:t>
      </w:r>
      <w:r w:rsidRPr="00BE548F">
        <w:rPr>
          <w:i/>
          <w:iCs/>
        </w:rPr>
        <w:t>a</w:t>
      </w:r>
      <w:r w:rsidRPr="00BE548F">
        <w:t xml:space="preserve"> in eq</w:t>
      </w:r>
      <w:r>
        <w:t>uation</w:t>
      </w:r>
      <w:r w:rsidRPr="00BE548F">
        <w:t xml:space="preserve"> 11) of the normalisation relationship (EU 2006). </w:t>
      </w:r>
    </w:p>
    <w:p w:rsidR="00145F69" w:rsidRPr="00BE548F" w:rsidRDefault="00145F69" w:rsidP="006C2E16"/>
    <w:p w:rsidR="006C2E16" w:rsidRDefault="006C2E16" w:rsidP="006C2E16">
      <w:r w:rsidRPr="00BE548F">
        <w:t>A second option to overcome the lack of normalisation relationships in the literature is to examine the currently available toxicity data, and use regression analyses on the collated data to determine if a significant relationship exists between toxicity thresholds and soil characteristics</w:t>
      </w:r>
      <w:r>
        <w:t xml:space="preserve">. </w:t>
      </w:r>
    </w:p>
    <w:p w:rsidR="00145F69" w:rsidRPr="00BE548F" w:rsidRDefault="00145F69" w:rsidP="006C2E16"/>
    <w:p w:rsidR="006C2E16" w:rsidRPr="00BE548F" w:rsidRDefault="006C2E16" w:rsidP="006C2E16">
      <w:r w:rsidRPr="00BE548F">
        <w:t>Normalisation relationships from field studies are preferred over those from laboratory studies</w:t>
      </w:r>
      <w:r>
        <w:t xml:space="preserve">. </w:t>
      </w:r>
      <w:r w:rsidRPr="00BE548F">
        <w:t>All the normalisation relationships for toxicity apart from those developed by Broos et al. (2007) and Warne et al. (2008b) model laboratory-based data (Rooney et al. 2006</w:t>
      </w:r>
      <w:r>
        <w:t>;</w:t>
      </w:r>
      <w:r w:rsidRPr="00BE548F">
        <w:t xml:space="preserve"> Smolders et al. 2003</w:t>
      </w:r>
      <w:r>
        <w:t>;</w:t>
      </w:r>
      <w:r w:rsidRPr="00BE548F">
        <w:t xml:space="preserve"> Smolders et al. 2004</w:t>
      </w:r>
      <w:r>
        <w:t>;</w:t>
      </w:r>
      <w:r w:rsidRPr="00BE548F">
        <w:t xml:space="preserve"> Oorts et al. 2006</w:t>
      </w:r>
      <w:r>
        <w:t>;</w:t>
      </w:r>
      <w:r w:rsidRPr="00BE548F">
        <w:t xml:space="preserve"> EU 2006</w:t>
      </w:r>
      <w:r>
        <w:t>;</w:t>
      </w:r>
      <w:r w:rsidRPr="00BE548F">
        <w:t xml:space="preserve"> Song et al. 2006</w:t>
      </w:r>
      <w:r>
        <w:t>;</w:t>
      </w:r>
      <w:r w:rsidRPr="00BE548F">
        <w:t xml:space="preserve"> Warne et al. 2008a)</w:t>
      </w:r>
      <w:r>
        <w:t xml:space="preserve">. </w:t>
      </w:r>
      <w:r w:rsidRPr="00BE548F">
        <w:t>Warne et al. (2008b) found that field-based normalisation relationships gave much more accurate estimates of field phytotoxicity than laboratory-based normalisation equations</w:t>
      </w:r>
      <w:r>
        <w:t xml:space="preserve">. </w:t>
      </w:r>
      <w:r w:rsidRPr="00BE548F">
        <w:t>Therefore</w:t>
      </w:r>
      <w:r>
        <w:t>,</w:t>
      </w:r>
      <w:r w:rsidRPr="00BE548F">
        <w:t xml:space="preserve"> field-based normalisation relationships should be used to model field-based phytotoxicity data in preference to laboratory-based normalisation relationships</w:t>
      </w:r>
      <w:r>
        <w:t xml:space="preserve">. </w:t>
      </w:r>
      <w:r w:rsidRPr="00BE548F">
        <w:t>It is</w:t>
      </w:r>
      <w:r>
        <w:t>,</w:t>
      </w:r>
      <w:r w:rsidRPr="00BE548F">
        <w:t xml:space="preserve"> however, realised that the current lack of the field-based normalisation relationships will unavoidably necessitate the use of laboratory-based relationships</w:t>
      </w:r>
      <w:r>
        <w:t>,</w:t>
      </w:r>
      <w:r w:rsidRPr="00BE548F">
        <w:t xml:space="preserve"> despite their limitations. </w:t>
      </w:r>
    </w:p>
    <w:p w:rsidR="006C2E16" w:rsidRPr="00BE548F" w:rsidRDefault="006C2E16" w:rsidP="001C6BE7">
      <w:pPr>
        <w:pStyle w:val="Heading3"/>
      </w:pPr>
      <w:bookmarkStart w:id="142" w:name="_Toc255359989"/>
      <w:bookmarkStart w:id="143" w:name="_Toc269122463"/>
      <w:bookmarkStart w:id="144" w:name="_Toc351713163"/>
      <w:r w:rsidRPr="00BE548F">
        <w:t xml:space="preserve">Normalisation of toxicity data to a </w:t>
      </w:r>
      <w:r>
        <w:t>reference</w:t>
      </w:r>
      <w:r w:rsidRPr="00BE548F">
        <w:t xml:space="preserve"> soil</w:t>
      </w:r>
      <w:bookmarkEnd w:id="142"/>
      <w:bookmarkEnd w:id="143"/>
      <w:bookmarkEnd w:id="144"/>
    </w:p>
    <w:p w:rsidR="006C2E16" w:rsidRDefault="006C2E16" w:rsidP="00F972AA">
      <w:r w:rsidRPr="00F972AA">
        <w:t xml:space="preserve">If there are normalisation relationships for a toxicant, then the toxicity data should be normalised to a reference soil with a specified set of soil characteristics before the data is used in the SSD to derive the ACL value. Therefore, a reference soil for Australia should be used to normalise all the toxicity data (see Table 12). The specific setting of the Australian reference soil does not affect the EILs; however, all data should be normalised to the same chosen setting. Furthermore, it does not matter if all data is normalised to different settings and then an ACL value is calculated using the SSD method, or if one Australian setting is used, an ACL value is calculated and then the normalisation equation is used to calculate ACLs for different soil settings. This is because of the statistical methodology behind the SSD and normalisation approach. </w:t>
      </w:r>
    </w:p>
    <w:p w:rsidR="00F972AA" w:rsidRPr="00F972AA" w:rsidRDefault="00F972AA" w:rsidP="00F972AA"/>
    <w:p w:rsidR="006C2E16" w:rsidRPr="00F972AA" w:rsidRDefault="006C2E16" w:rsidP="00F972AA">
      <w:r w:rsidRPr="00F972AA">
        <w:t xml:space="preserve">Figure 4 shows how normalisation of toxicity data leads to a significant decrease in variation in toxicity values for a species (from the blue to the purple points in the figure). Therefore, the normalised toxicity data more accurately reflects the inherent sensitivity of each species. </w:t>
      </w:r>
    </w:p>
    <w:p w:rsidR="006C2E16" w:rsidRPr="00BE548F" w:rsidRDefault="006C2E16" w:rsidP="006C2E16">
      <w:r>
        <w:rPr>
          <w:noProof/>
          <w:lang w:eastAsia="en-AU"/>
        </w:rPr>
        <w:lastRenderedPageBreak/>
        <mc:AlternateContent>
          <mc:Choice Requires="wps">
            <w:drawing>
              <wp:anchor distT="0" distB="0" distL="114300" distR="114300" simplePos="0" relativeHeight="251666432" behindDoc="0" locked="1" layoutInCell="1" allowOverlap="1" wp14:anchorId="344EB745" wp14:editId="4AD99820">
                <wp:simplePos x="0" y="0"/>
                <wp:positionH relativeFrom="column">
                  <wp:posOffset>287655</wp:posOffset>
                </wp:positionH>
                <wp:positionV relativeFrom="paragraph">
                  <wp:posOffset>362585</wp:posOffset>
                </wp:positionV>
                <wp:extent cx="330200" cy="199898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99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BE7" w:rsidRPr="004823DE" w:rsidRDefault="001C6BE7" w:rsidP="006C2E16">
                            <w:pPr>
                              <w:jc w:val="center"/>
                              <w:rPr>
                                <w:rFonts w:ascii="Arial" w:hAnsi="Arial" w:cs="Arial"/>
                                <w:b/>
                                <w:bCs/>
                                <w:sz w:val="18"/>
                                <w:szCs w:val="18"/>
                              </w:rPr>
                            </w:pPr>
                            <w:r>
                              <w:rPr>
                                <w:rFonts w:ascii="Arial" w:hAnsi="Arial" w:cs="Arial"/>
                                <w:b/>
                                <w:bCs/>
                                <w:sz w:val="18"/>
                                <w:szCs w:val="18"/>
                              </w:rPr>
                              <w:t>zinc concentration in soil (mg/kg)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429" type="#_x0000_t202" style="position:absolute;margin-left:22.65pt;margin-top:28.55pt;width:26pt;height:15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" stroked="f">
                <v:textbox style="layout-flow:vertical;mso-layout-flow-alt:bottom-to-top">
                  <w:txbxContent>
                    <w:p w:rsidR="001C6BE7" w:rsidRPr="004823DE" w:rsidRDefault="001C6BE7" w:rsidP="006C2E16">
                      <w:pPr>
                        <w:jc w:val="center"/>
                        <w:rPr>
                          <w:rFonts w:ascii="Arial" w:hAnsi="Arial" w:cs="Arial"/>
                          <w:b/>
                          <w:bCs/>
                          <w:sz w:val="18"/>
                          <w:szCs w:val="18"/>
                        </w:rPr>
                      </w:pPr>
                      <w:r>
                        <w:rPr>
                          <w:rFonts w:ascii="Arial" w:hAnsi="Arial" w:cs="Arial"/>
                          <w:b/>
                          <w:bCs/>
                          <w:sz w:val="18"/>
                          <w:szCs w:val="18"/>
                        </w:rPr>
                        <w:t>zinc concentration in soil (mg/kg)</w:t>
                      </w:r>
                    </w:p>
                  </w:txbxContent>
                </v:textbox>
                <w10:anchorlock/>
              </v:shape>
            </w:pict>
          </mc:Fallback>
        </mc:AlternateContent>
      </w:r>
      <w:r>
        <w:rPr>
          <w:noProof/>
          <w:lang w:eastAsia="en-AU"/>
        </w:rPr>
        <w:drawing>
          <wp:inline distT="0" distB="0" distL="0" distR="0" wp14:anchorId="18ADD719" wp14:editId="60219AE5">
            <wp:extent cx="531495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320326" cy="3051083"/>
                    </a:xfrm>
                    <a:prstGeom prst="rect">
                      <a:avLst/>
                    </a:prstGeom>
                    <a:noFill/>
                    <a:ln w="9525">
                      <a:noFill/>
                      <a:miter lim="800000"/>
                      <a:headEnd/>
                      <a:tailEnd/>
                    </a:ln>
                  </pic:spPr>
                </pic:pic>
              </a:graphicData>
            </a:graphic>
          </wp:inline>
        </w:drawing>
      </w:r>
    </w:p>
    <w:p w:rsidR="006C2E16" w:rsidRDefault="006C2E16" w:rsidP="006C2E16">
      <w:pPr>
        <w:pStyle w:val="Caption"/>
      </w:pPr>
      <w:r w:rsidRPr="00CD6108">
        <w:t>Figure 4. Example of the effect of normalising using microbial toxicity data from the National Biosolids Research Program. The red arrows show how each toxicity value was normalised. The blue and pink arrows show the variation in toxicity values for the non-normalised and normalised data respectively. In this case the toxicity data was normalised to a pH of 6</w:t>
      </w:r>
      <w:r w:rsidRPr="009F6096">
        <w:t xml:space="preserve">. </w:t>
      </w:r>
    </w:p>
    <w:p w:rsidR="006C2E16" w:rsidRPr="00BE548F" w:rsidRDefault="006C2E16" w:rsidP="001C6BE7">
      <w:pPr>
        <w:pStyle w:val="Heading2"/>
      </w:pPr>
      <w:bookmarkStart w:id="145" w:name="_Toc269122464"/>
      <w:bookmarkStart w:id="146" w:name="_Toc255359990"/>
      <w:bookmarkStart w:id="147" w:name="_Toc351713164"/>
      <w:r w:rsidRPr="00BE548F">
        <w:t xml:space="preserve">Methods to </w:t>
      </w:r>
      <w:r>
        <w:t>c</w:t>
      </w:r>
      <w:r w:rsidRPr="00BE548F">
        <w:t xml:space="preserve">alculate </w:t>
      </w:r>
      <w:r>
        <w:t>s</w:t>
      </w:r>
      <w:r w:rsidRPr="00BE548F">
        <w:t xml:space="preserve">oil </w:t>
      </w:r>
      <w:r>
        <w:t>q</w:t>
      </w:r>
      <w:r w:rsidRPr="00BE548F">
        <w:t xml:space="preserve">uality </w:t>
      </w:r>
      <w:bookmarkEnd w:id="145"/>
      <w:bookmarkEnd w:id="146"/>
      <w:r>
        <w:t>g</w:t>
      </w:r>
      <w:r w:rsidRPr="00BE548F">
        <w:t>uidelines</w:t>
      </w:r>
      <w:bookmarkEnd w:id="147"/>
    </w:p>
    <w:p w:rsidR="006C2E16" w:rsidRPr="00BE548F" w:rsidRDefault="006C2E16" w:rsidP="006C2E16">
      <w:r w:rsidRPr="00BE548F">
        <w:t>In general, there are three main methods to derive SQGs</w:t>
      </w:r>
      <w:r>
        <w:t xml:space="preserve">. </w:t>
      </w:r>
      <w:r w:rsidRPr="00BE548F">
        <w:t>These are in order of increasing complexity</w:t>
      </w:r>
      <w:r>
        <w:t>:</w:t>
      </w:r>
      <w:r w:rsidRPr="00BE548F">
        <w:t xml:space="preserve"> the geometric mean method, AF methods and SSD methods</w:t>
      </w:r>
      <w:r>
        <w:t>. They are discussed below.</w:t>
      </w:r>
    </w:p>
    <w:p w:rsidR="006C2E16" w:rsidRPr="00BE548F" w:rsidRDefault="006C2E16" w:rsidP="001C6BE7">
      <w:pPr>
        <w:pStyle w:val="Heading3"/>
      </w:pPr>
      <w:bookmarkStart w:id="148" w:name="_Toc255359991"/>
      <w:bookmarkStart w:id="149" w:name="_Toc269122465"/>
      <w:bookmarkStart w:id="150" w:name="_Toc351713165"/>
      <w:r w:rsidRPr="00BE548F">
        <w:t>Species sensitivity distribution methods</w:t>
      </w:r>
      <w:bookmarkEnd w:id="148"/>
      <w:bookmarkEnd w:id="149"/>
      <w:bookmarkEnd w:id="150"/>
    </w:p>
    <w:p w:rsidR="006C2E16" w:rsidRDefault="006C2E16" w:rsidP="006C2E16">
      <w:r w:rsidRPr="00BE548F">
        <w:rPr>
          <w:kern w:val="28"/>
        </w:rPr>
        <w:t xml:space="preserve">The SSD methods are statistical methods to calculate a soil concentration </w:t>
      </w:r>
      <w:r>
        <w:rPr>
          <w:kern w:val="28"/>
        </w:rPr>
        <w:t>that</w:t>
      </w:r>
      <w:r w:rsidRPr="00BE548F">
        <w:rPr>
          <w:kern w:val="28"/>
        </w:rPr>
        <w:t xml:space="preserve"> protects a specified number of species and/or soil processes</w:t>
      </w:r>
      <w:r>
        <w:rPr>
          <w:kern w:val="28"/>
        </w:rPr>
        <w:t xml:space="preserve">. </w:t>
      </w:r>
      <w:r w:rsidRPr="00BE548F">
        <w:t xml:space="preserve">Briefly, all SSD methods use toxicity data obtained from tests on individual species and fit a statistical distribution to the data to derive a concentration that should protect any selected percentage of species in the ecosystem being considered. </w:t>
      </w:r>
    </w:p>
    <w:p w:rsidR="00145F69" w:rsidRPr="00BE548F" w:rsidRDefault="00145F69" w:rsidP="006C2E16"/>
    <w:p w:rsidR="006C2E16" w:rsidRPr="00BE548F" w:rsidRDefault="006C2E16" w:rsidP="00145F69">
      <w:pPr>
        <w:keepNext/>
      </w:pPr>
      <w:r w:rsidRPr="00BE548F">
        <w:t xml:space="preserve">There are essentially four different SSD methods that have been used to derive EQGs: </w:t>
      </w:r>
    </w:p>
    <w:p w:rsidR="006C2E16" w:rsidRPr="00BE548F" w:rsidRDefault="006C2E16" w:rsidP="001C6BE7">
      <w:pPr>
        <w:pStyle w:val="Dot-points"/>
        <w:numPr>
          <w:ilvl w:val="0"/>
          <w:numId w:val="25"/>
        </w:numPr>
      </w:pPr>
      <w:r w:rsidRPr="00BE548F">
        <w:t>the Stephan et al. (1985) method</w:t>
      </w:r>
      <w:r>
        <w:t>,</w:t>
      </w:r>
      <w:r w:rsidRPr="00BE548F">
        <w:t xml:space="preserve"> which fits a log-triangular distribution to the data </w:t>
      </w:r>
    </w:p>
    <w:p w:rsidR="006C2E16" w:rsidRPr="00BE548F" w:rsidRDefault="006C2E16" w:rsidP="001C6BE7">
      <w:pPr>
        <w:pStyle w:val="Dot-points"/>
        <w:numPr>
          <w:ilvl w:val="0"/>
          <w:numId w:val="25"/>
        </w:numPr>
      </w:pPr>
      <w:r w:rsidRPr="00BE548F">
        <w:t>the Aldenberg and Slob (1993) method</w:t>
      </w:r>
      <w:r>
        <w:t>,</w:t>
      </w:r>
      <w:r w:rsidRPr="00BE548F">
        <w:t xml:space="preserve"> which is an enhancement of the Kooijman (1987) and Van Straalen and Denneman (1989) methods</w:t>
      </w:r>
      <w:r>
        <w:t>,</w:t>
      </w:r>
      <w:r w:rsidRPr="00BE548F">
        <w:t xml:space="preserve"> which fits a log-logistic distribution to the data </w:t>
      </w:r>
    </w:p>
    <w:p w:rsidR="006C2E16" w:rsidRPr="00BE548F" w:rsidRDefault="006C2E16" w:rsidP="001C6BE7">
      <w:pPr>
        <w:pStyle w:val="Dot-points"/>
        <w:numPr>
          <w:ilvl w:val="0"/>
          <w:numId w:val="25"/>
        </w:numPr>
      </w:pPr>
      <w:r w:rsidRPr="00BE548F">
        <w:t>the Wagner and Løkke (1991) and Aldenberg and Jaworska (2000) methods</w:t>
      </w:r>
      <w:r>
        <w:t>,</w:t>
      </w:r>
      <w:r w:rsidRPr="00BE548F">
        <w:t xml:space="preserve"> which fit a log-normal distribution to the data </w:t>
      </w:r>
    </w:p>
    <w:p w:rsidR="00145F69" w:rsidRPr="00BE548F" w:rsidRDefault="006C2E16" w:rsidP="001C6BE7">
      <w:pPr>
        <w:pStyle w:val="Dot-points"/>
        <w:numPr>
          <w:ilvl w:val="0"/>
          <w:numId w:val="25"/>
        </w:numPr>
      </w:pPr>
      <w:r w:rsidRPr="00BE548F">
        <w:t xml:space="preserve">the Burr </w:t>
      </w:r>
      <w:r>
        <w:t>t</w:t>
      </w:r>
      <w:r w:rsidRPr="00BE548F">
        <w:t>ype III (Shao 2000</w:t>
      </w:r>
      <w:r>
        <w:t>;</w:t>
      </w:r>
      <w:r w:rsidRPr="00BE548F">
        <w:t xml:space="preserve"> Campbell et al. 2000)</w:t>
      </w:r>
      <w:r>
        <w:t xml:space="preserve"> method,</w:t>
      </w:r>
      <w:r w:rsidRPr="00BE548F">
        <w:t xml:space="preserve"> which fits the best of the Burr type III family of distributions to the data. </w:t>
      </w:r>
    </w:p>
    <w:p w:rsidR="0003580B" w:rsidRDefault="0003580B" w:rsidP="006C2E16"/>
    <w:p w:rsidR="006C2E16" w:rsidRDefault="006C2E16" w:rsidP="006C2E16">
      <w:r w:rsidRPr="00BE548F">
        <w:t>The Stephan et al. (1985) method was the first SSD method developed</w:t>
      </w:r>
      <w:r>
        <w:t xml:space="preserve">. </w:t>
      </w:r>
      <w:r w:rsidRPr="00BE548F">
        <w:t xml:space="preserve">It is used by the USA to derive </w:t>
      </w:r>
      <w:r>
        <w:t>its</w:t>
      </w:r>
      <w:r w:rsidRPr="00BE548F">
        <w:t xml:space="preserve"> WQGs (US</w:t>
      </w:r>
      <w:r>
        <w:t xml:space="preserve"> </w:t>
      </w:r>
      <w:r w:rsidRPr="00BE548F">
        <w:t>EPA 1986) and was adopted by South Africa to derive freshwater guidelines (Roux et al. 1996)</w:t>
      </w:r>
      <w:r>
        <w:t>.</w:t>
      </w:r>
    </w:p>
    <w:p w:rsidR="00145F69" w:rsidRDefault="00145F69" w:rsidP="006C2E16"/>
    <w:p w:rsidR="006C2E16" w:rsidRDefault="006C2E16" w:rsidP="006C2E16">
      <w:r w:rsidRPr="00BE548F">
        <w:t xml:space="preserve">Limitations of this method are </w:t>
      </w:r>
      <w:r>
        <w:t xml:space="preserve">that </w:t>
      </w:r>
      <w:r w:rsidRPr="00BE548F">
        <w:t>by using a log-triangular distribution it assumes there is a threshold toxicity value</w:t>
      </w:r>
      <w:r>
        <w:t>,</w:t>
      </w:r>
      <w:r w:rsidRPr="00BE548F">
        <w:t xml:space="preserve"> below which no detrimental effects will occur</w:t>
      </w:r>
      <w:r>
        <w:t>,</w:t>
      </w:r>
      <w:r w:rsidRPr="00BE548F">
        <w:t xml:space="preserve"> and the scientific literature and risk </w:t>
      </w:r>
      <w:r w:rsidRPr="00BE548F">
        <w:lastRenderedPageBreak/>
        <w:t>assessment theory does not support such an concept (Okkerman et al. 1991</w:t>
      </w:r>
      <w:r>
        <w:t>;</w:t>
      </w:r>
      <w:r w:rsidRPr="00BE548F">
        <w:t xml:space="preserve"> OECD 1992</w:t>
      </w:r>
      <w:r>
        <w:t>;</w:t>
      </w:r>
      <w:r w:rsidRPr="00BE548F">
        <w:t xml:space="preserve"> Emans et al. 1993</w:t>
      </w:r>
      <w:r>
        <w:t>;</w:t>
      </w:r>
      <w:r w:rsidRPr="00BE548F">
        <w:t xml:space="preserve"> Pedersen et al. 1994</w:t>
      </w:r>
      <w:r>
        <w:t>;</w:t>
      </w:r>
      <w:r w:rsidRPr="00BE548F">
        <w:t xml:space="preserve"> NZ Ministry of the Environment 1996) and it uses an arbitrary AF of two without any justification (Hart et al. 1995</w:t>
      </w:r>
      <w:r>
        <w:t>;</w:t>
      </w:r>
      <w:r w:rsidRPr="00BE548F">
        <w:t xml:space="preserve"> NZ Ministry of the Environment 1996)</w:t>
      </w:r>
      <w:r>
        <w:t xml:space="preserve">. </w:t>
      </w:r>
      <w:r w:rsidRPr="00BE548F">
        <w:t>As early as 1995</w:t>
      </w:r>
      <w:r>
        <w:t>,</w:t>
      </w:r>
      <w:r w:rsidRPr="00BE548F">
        <w:t xml:space="preserve"> the US</w:t>
      </w:r>
      <w:r>
        <w:t xml:space="preserve"> </w:t>
      </w:r>
      <w:r w:rsidRPr="00BE548F">
        <w:t>EPA recognised that the method required updating (Delos 1995)</w:t>
      </w:r>
      <w:r>
        <w:t xml:space="preserve">. </w:t>
      </w:r>
      <w:r w:rsidRPr="00BE548F">
        <w:t>For the above reasons</w:t>
      </w:r>
      <w:r>
        <w:t>,</w:t>
      </w:r>
      <w:r w:rsidRPr="00BE548F">
        <w:t xml:space="preserve"> this method was not considered for the derivation of the Australian and New Zealand WQGs (Warne 1998)</w:t>
      </w:r>
      <w:r>
        <w:t xml:space="preserve">. </w:t>
      </w:r>
      <w:r w:rsidRPr="00BE548F">
        <w:t>At least partially due to the limitations of the Stephan et al. (1985) method, South Africa ha</w:t>
      </w:r>
      <w:r>
        <w:t>s</w:t>
      </w:r>
      <w:r w:rsidRPr="00BE548F">
        <w:t xml:space="preserve"> adopted the more advanced Burr type III SSD method (Shao 2000) for </w:t>
      </w:r>
      <w:r>
        <w:t xml:space="preserve">its </w:t>
      </w:r>
      <w:r w:rsidRPr="00BE548F">
        <w:t>marine water quality guidelines (Warne et al. 2004a</w:t>
      </w:r>
      <w:r>
        <w:t>, 2004</w:t>
      </w:r>
      <w:r w:rsidRPr="00BE548F">
        <w:t xml:space="preserve">b). </w:t>
      </w:r>
    </w:p>
    <w:p w:rsidR="00145F69" w:rsidRPr="00BE548F" w:rsidRDefault="00145F69" w:rsidP="006C2E16"/>
    <w:p w:rsidR="006C2E16" w:rsidRDefault="006C2E16" w:rsidP="006C2E16">
      <w:r w:rsidRPr="00BE548F">
        <w:t>In the late 1990s</w:t>
      </w:r>
      <w:r>
        <w:t>,</w:t>
      </w:r>
      <w:r w:rsidRPr="00BE548F">
        <w:t xml:space="preserve"> the Aldenberg and Slob </w:t>
      </w:r>
      <w:r>
        <w:t xml:space="preserve">(1993) </w:t>
      </w:r>
      <w:r w:rsidRPr="00BE548F">
        <w:t>method was viewed as the preferred and most scientifically defensible SSD method</w:t>
      </w:r>
      <w:r>
        <w:t xml:space="preserve">. </w:t>
      </w:r>
      <w:r w:rsidRPr="00BE548F">
        <w:t>It was recommended over the Wagner and Løkke method by the OECD and subsequently adopted (OECD 1995)</w:t>
      </w:r>
      <w:r>
        <w:t xml:space="preserve">. </w:t>
      </w:r>
      <w:r w:rsidRPr="00BE548F">
        <w:t>The Dutch used the Aldenberg and Slob method to derive their WQGs and SQGs</w:t>
      </w:r>
      <w:r>
        <w:t xml:space="preserve">. </w:t>
      </w:r>
      <w:r w:rsidRPr="00BE548F">
        <w:t>This reflected the research that the Dutch had undertaken to assess the scientific validity of this method (Emans et al. 1993</w:t>
      </w:r>
      <w:r>
        <w:t>;</w:t>
      </w:r>
      <w:r w:rsidRPr="00BE548F">
        <w:t xml:space="preserve"> Okkerman et al. 1991,</w:t>
      </w:r>
      <w:r>
        <w:t xml:space="preserve"> </w:t>
      </w:r>
      <w:r w:rsidRPr="00BE548F">
        <w:t>1993)</w:t>
      </w:r>
      <w:r>
        <w:t xml:space="preserve">. </w:t>
      </w:r>
      <w:r w:rsidRPr="00BE548F">
        <w:t>One drawback of the Aldenberg and Slob method compared to the Wagner and Løkke method was its use of the log-logistic distribution</w:t>
      </w:r>
      <w:r>
        <w:t xml:space="preserve">. </w:t>
      </w:r>
      <w:r w:rsidRPr="00BE548F">
        <w:t xml:space="preserve">There is no theoretical basis for the sensitivity of species to conform to a logistic distribution (Forbes </w:t>
      </w:r>
      <w:r>
        <w:t>&amp;</w:t>
      </w:r>
      <w:r w:rsidRPr="00BE548F">
        <w:t xml:space="preserve"> Forbes 1993)</w:t>
      </w:r>
      <w:r>
        <w:t xml:space="preserve">. </w:t>
      </w:r>
      <w:r w:rsidRPr="00BE548F">
        <w:t>In fact, Aldenberg and Slob (1993) stated that the log-logistic distribution was chosen because it has ‘practical mathematical features that make the calculations of statistical confidence intervals relatively easy’</w:t>
      </w:r>
      <w:r>
        <w:t xml:space="preserve">. </w:t>
      </w:r>
      <w:r w:rsidRPr="00BE548F">
        <w:t>Aldenberg and Jaworska (2000) overcame the mathematical difficulties associated with using the normal distribution to develop a log-normal equivalent method to the Aldenberg and Slob method</w:t>
      </w:r>
      <w:r>
        <w:t xml:space="preserve">. </w:t>
      </w:r>
      <w:r w:rsidRPr="00BE548F">
        <w:t>The Aldenberg and Jaworska method has since been adopted by the Dutch to derive their WQGs and SQGs (Crommentuijn 2000a</w:t>
      </w:r>
      <w:r>
        <w:t>, 2000</w:t>
      </w:r>
      <w:r w:rsidRPr="00BE548F">
        <w:t>b)</w:t>
      </w:r>
      <w:r>
        <w:t xml:space="preserve">. </w:t>
      </w:r>
      <w:r w:rsidRPr="00BE548F">
        <w:t>All of the above methods attempt to fit a single statistical distribution to the toxicity data.</w:t>
      </w:r>
    </w:p>
    <w:p w:rsidR="00145F69" w:rsidRPr="00BE548F" w:rsidRDefault="00145F69" w:rsidP="006C2E16"/>
    <w:p w:rsidR="006C2E16" w:rsidRDefault="006C2E16" w:rsidP="006C2E16">
      <w:r w:rsidRPr="00BE548F">
        <w:t xml:space="preserve">The draft Australian and New Zealand WQGs (ANZECC </w:t>
      </w:r>
      <w:r>
        <w:t>&amp;</w:t>
      </w:r>
      <w:r w:rsidRPr="00BE548F">
        <w:t xml:space="preserve"> ARMCANZ 1999) adopted the Aldenberg and Slob SSD method</w:t>
      </w:r>
      <w:r>
        <w:t xml:space="preserve">. </w:t>
      </w:r>
      <w:r w:rsidRPr="00BE548F">
        <w:t>However, during the derivation of the TVs it was found that in more than 33% of cases where the Aldenberg and Slob method could be used</w:t>
      </w:r>
      <w:r>
        <w:t>,</w:t>
      </w:r>
      <w:r w:rsidRPr="00BE548F">
        <w:t xml:space="preserve"> based on meeting the minimum data requirements of the method, the data did not have a log-logistic distribution</w:t>
      </w:r>
      <w:r>
        <w:t xml:space="preserve">. </w:t>
      </w:r>
      <w:r w:rsidRPr="00BE548F">
        <w:t>Therefore, strictly speaking</w:t>
      </w:r>
      <w:r>
        <w:t>,</w:t>
      </w:r>
      <w:r w:rsidRPr="00BE548F">
        <w:t xml:space="preserve"> it was invalid to use </w:t>
      </w:r>
      <w:r>
        <w:t xml:space="preserve">the </w:t>
      </w:r>
      <w:r w:rsidRPr="00BE548F">
        <w:t>Aldenberg and Slob SSD method</w:t>
      </w:r>
      <w:r>
        <w:t xml:space="preserve">. </w:t>
      </w:r>
      <w:r w:rsidRPr="00BE548F">
        <w:t>This meant that for many contaminants an AF method had to be used</w:t>
      </w:r>
      <w:r>
        <w:t xml:space="preserve">. </w:t>
      </w:r>
      <w:r w:rsidRPr="00BE548F">
        <w:t xml:space="preserve">As there is no theoretical reason </w:t>
      </w:r>
      <w:r>
        <w:t>why</w:t>
      </w:r>
      <w:r w:rsidRPr="00BE548F">
        <w:t xml:space="preserve"> species sensitivity must conform to a logistic distribution</w:t>
      </w:r>
      <w:r>
        <w:t>,</w:t>
      </w:r>
      <w:r w:rsidRPr="00BE548F">
        <w:t xml:space="preserve"> there is no reason why other distributions cannot be considered</w:t>
      </w:r>
      <w:r>
        <w:t xml:space="preserve">. </w:t>
      </w:r>
      <w:r w:rsidRPr="00BE548F">
        <w:t>This issue was first realised by Shao (2000) and he therefore recommended that a family of distributions, the Burr type III (BT III) be used to fit to the toxicity data, rather than a single distribution as with the other SSD methods</w:t>
      </w:r>
      <w:r>
        <w:t xml:space="preserve">. </w:t>
      </w:r>
      <w:r w:rsidRPr="00BE548F">
        <w:t>Other authors (Maltby et al. 2003</w:t>
      </w:r>
      <w:r>
        <w:t>;</w:t>
      </w:r>
      <w:r w:rsidRPr="00BE548F">
        <w:t xml:space="preserve"> Kwok et al. 2007) have since also adopted a more flexible approach to the statistical distributions being fitted to the data, whereby the distribution that best fits the data is used to derive the EQG or to determine the ecological risk</w:t>
      </w:r>
      <w:r>
        <w:t xml:space="preserve">. </w:t>
      </w:r>
    </w:p>
    <w:p w:rsidR="00145F69" w:rsidRDefault="00145F69" w:rsidP="006C2E16"/>
    <w:p w:rsidR="006C2E16" w:rsidRDefault="006C2E16" w:rsidP="006C2E16">
      <w:r w:rsidRPr="00BE548F">
        <w:t>The variety of shapes that BT III distributions can have is large (Shao 2000)</w:t>
      </w:r>
      <w:r>
        <w:t>,</w:t>
      </w:r>
      <w:r w:rsidRPr="00BE548F">
        <w:t xml:space="preserve"> including the log-logistic </w:t>
      </w:r>
      <w:r>
        <w:t xml:space="preserve">distribution and approximations of the </w:t>
      </w:r>
      <w:r w:rsidRPr="00BE548F">
        <w:t>log-normal and log-triangular distributions</w:t>
      </w:r>
      <w:r>
        <w:t xml:space="preserve">. </w:t>
      </w:r>
      <w:r w:rsidRPr="00BE548F">
        <w:t>Thus, attempting to fit a BT III distribution to any given toxicity data set has a greater probability of success than attempting to fit only the log-logistic distribution</w:t>
      </w:r>
      <w:r>
        <w:t>.</w:t>
      </w:r>
    </w:p>
    <w:p w:rsidR="00145F69" w:rsidRDefault="00145F69" w:rsidP="006C2E16"/>
    <w:p w:rsidR="006C2E16" w:rsidRPr="00BE548F" w:rsidRDefault="006C2E16" w:rsidP="006C2E16">
      <w:r w:rsidRPr="00BE548F">
        <w:t>This method is guaranteed to fit a statistical distribution to the toxicity data at least as well as the Aldenberg and Slob method because the log-logistic distribution is a BT III distribution (Shao 2000)</w:t>
      </w:r>
      <w:r>
        <w:t xml:space="preserve">. </w:t>
      </w:r>
      <w:r w:rsidRPr="00BE548F">
        <w:t xml:space="preserve">Greater detail </w:t>
      </w:r>
      <w:r>
        <w:t xml:space="preserve">about </w:t>
      </w:r>
      <w:r w:rsidRPr="00BE548F">
        <w:t>the BT III method is provided in Shao (2000)</w:t>
      </w:r>
      <w:r>
        <w:t xml:space="preserve">. </w:t>
      </w:r>
    </w:p>
    <w:p w:rsidR="006C2E16" w:rsidRPr="00BE548F" w:rsidRDefault="006C2E16" w:rsidP="001C6BE7">
      <w:pPr>
        <w:pStyle w:val="Heading3"/>
      </w:pPr>
      <w:bookmarkStart w:id="151" w:name="_Toc255359992"/>
      <w:bookmarkStart w:id="152" w:name="_Toc269122466"/>
      <w:bookmarkStart w:id="153" w:name="_Toc351713166"/>
      <w:r w:rsidRPr="00BE548F">
        <w:t>How do SSD methods work?</w:t>
      </w:r>
      <w:bookmarkEnd w:id="151"/>
      <w:bookmarkEnd w:id="152"/>
      <w:bookmarkEnd w:id="153"/>
    </w:p>
    <w:p w:rsidR="006C2E16" w:rsidRDefault="006C2E16" w:rsidP="006C2E16">
      <w:r w:rsidRPr="00BE548F">
        <w:t>The main difference between the various SSD methods is the statistical distribution that they fit to the data</w:t>
      </w:r>
      <w:r>
        <w:t>. For that reason</w:t>
      </w:r>
      <w:r w:rsidRPr="00BE548F">
        <w:t xml:space="preserve">, the </w:t>
      </w:r>
      <w:r>
        <w:t xml:space="preserve">following </w:t>
      </w:r>
      <w:r w:rsidRPr="00BE548F">
        <w:t xml:space="preserve">explanation of how SSDs work </w:t>
      </w:r>
      <w:r>
        <w:t>is</w:t>
      </w:r>
      <w:r w:rsidRPr="00BE548F">
        <w:t xml:space="preserve"> generic. </w:t>
      </w:r>
    </w:p>
    <w:p w:rsidR="00145F69" w:rsidRPr="00BE548F" w:rsidRDefault="00145F69" w:rsidP="006C2E16"/>
    <w:p w:rsidR="006C2E16" w:rsidRPr="00BE548F" w:rsidRDefault="006C2E16" w:rsidP="006C2E16">
      <w:r w:rsidRPr="00BE548F">
        <w:t>In SSD methods, each species is given equal weighting and a single value is used to represent the sensitivity of each species</w:t>
      </w:r>
      <w:r>
        <w:t xml:space="preserve">. </w:t>
      </w:r>
      <w:r w:rsidRPr="00BE548F">
        <w:t xml:space="preserve">However, there </w:t>
      </w:r>
      <w:r>
        <w:t>is</w:t>
      </w:r>
      <w:r w:rsidRPr="00BE548F">
        <w:t xml:space="preserve"> usually multiple toxicity data for each species which </w:t>
      </w:r>
      <w:r w:rsidRPr="00BE548F">
        <w:lastRenderedPageBreak/>
        <w:t>require</w:t>
      </w:r>
      <w:r>
        <w:t>s</w:t>
      </w:r>
      <w:r w:rsidRPr="00BE548F">
        <w:t xml:space="preserve"> some manipulation</w:t>
      </w:r>
      <w:r>
        <w:t xml:space="preserve">. </w:t>
      </w:r>
      <w:r w:rsidRPr="00BE548F">
        <w:t xml:space="preserve">The rules governing this manipulation were presented </w:t>
      </w:r>
      <w:r>
        <w:t xml:space="preserve">earlier in this Schedule. </w:t>
      </w:r>
      <w:r w:rsidRPr="00BE548F">
        <w:t xml:space="preserve">The data </w:t>
      </w:r>
      <w:r>
        <w:t>is</w:t>
      </w:r>
      <w:r w:rsidRPr="00BE548F">
        <w:t xml:space="preserve"> then entered into SSD software such as ETx (Aldenberg </w:t>
      </w:r>
      <w:r>
        <w:t>&amp;</w:t>
      </w:r>
      <w:r w:rsidRPr="00BE548F">
        <w:t xml:space="preserve"> Jaworska 2000) or BurrliOZ (Campbell et al. 2000)</w:t>
      </w:r>
      <w:r>
        <w:t xml:space="preserve">. </w:t>
      </w:r>
      <w:r w:rsidRPr="00BE548F">
        <w:t>The SSD calculates the cumulative frequency of the species sensitivity data by ranking the data from lowest to highest and then using the formula:</w:t>
      </w:r>
    </w:p>
    <w:p w:rsidR="006C2E16" w:rsidRPr="00BE548F" w:rsidRDefault="006C2E16" w:rsidP="006C2E16">
      <w:r w:rsidRPr="00BE548F">
        <w:t>cumulative frequency = rank * [100/(n + 1)]</w:t>
      </w:r>
      <w:r w:rsidR="00145F69">
        <w:tab/>
      </w:r>
      <w:r w:rsidR="00145F69">
        <w:tab/>
      </w:r>
      <w:r w:rsidR="00145F69">
        <w:tab/>
      </w:r>
      <w:r>
        <w:tab/>
        <w:t xml:space="preserve">         </w:t>
      </w:r>
      <w:r w:rsidRPr="00BE548F">
        <w:t>(</w:t>
      </w:r>
      <w:r>
        <w:rPr>
          <w:i/>
          <w:iCs/>
        </w:rPr>
        <w:t>equation 12</w:t>
      </w:r>
      <w:r w:rsidRPr="00BE548F">
        <w:t>)</w:t>
      </w:r>
    </w:p>
    <w:p w:rsidR="00145F69" w:rsidRDefault="00145F69" w:rsidP="006C2E16"/>
    <w:p w:rsidR="006C2E16" w:rsidRPr="00BE548F" w:rsidRDefault="006C2E16" w:rsidP="006C2E16">
      <w:r w:rsidRPr="00BE548F">
        <w:t>The cumulative frequency for each species is then plotted against the concentration that represents the sensitivity of each species</w:t>
      </w:r>
      <w:r>
        <w:t xml:space="preserve">. </w:t>
      </w:r>
      <w:r w:rsidRPr="00BE548F">
        <w:t>A typical SSD plot is shown in Figure 5</w:t>
      </w:r>
      <w:r>
        <w:t xml:space="preserve"> below. </w:t>
      </w:r>
      <w:r w:rsidRPr="00BE548F">
        <w:t>In the case of the Stephan et al. (1985), Wagner and Løkke (1991), Aldenberg and Slob (1993), and Aldenberg and Jaworska (2000) methods that fit one specific distribution to the toxicity data, statistical tests (</w:t>
      </w:r>
      <w:r>
        <w:t>for example,</w:t>
      </w:r>
      <w:r w:rsidRPr="00BE548F">
        <w:t xml:space="preserve"> the Kolmorogorov Smirnov test or the Anderson-Darling test) are used to determine if the toxicity data fit</w:t>
      </w:r>
      <w:r>
        <w:t>s</w:t>
      </w:r>
      <w:r w:rsidRPr="00BE548F">
        <w:t xml:space="preserve"> the selected distribution</w:t>
      </w:r>
      <w:r>
        <w:t xml:space="preserve">. </w:t>
      </w:r>
      <w:r w:rsidRPr="00BE548F">
        <w:t>The more flexible SSD methods</w:t>
      </w:r>
      <w:r>
        <w:t>, for example,</w:t>
      </w:r>
      <w:r w:rsidRPr="00BE548F">
        <w:t xml:space="preserve">  </w:t>
      </w:r>
      <w:r>
        <w:t>BT</w:t>
      </w:r>
      <w:r w:rsidRPr="00BE548F">
        <w:t xml:space="preserve"> III and the approach adopted by Maltby et al. (2003) and Kwok et al. (2007)</w:t>
      </w:r>
      <w:r>
        <w:t>,</w:t>
      </w:r>
      <w:r w:rsidRPr="00BE548F">
        <w:t xml:space="preserve"> use statistical methods (</w:t>
      </w:r>
      <w:r>
        <w:t>for example,</w:t>
      </w:r>
      <w:r w:rsidRPr="00BE548F">
        <w:t xml:space="preserve"> maximum likelihood methods, Anderson-Darling test) to determine which particular statistical distribution best fits the toxicity data</w:t>
      </w:r>
      <w:r>
        <w:t xml:space="preserve">. </w:t>
      </w:r>
      <w:r w:rsidRPr="00BE548F">
        <w:t>In doing this</w:t>
      </w:r>
      <w:r>
        <w:t>,</w:t>
      </w:r>
      <w:r w:rsidRPr="00BE548F">
        <w:t xml:space="preserve"> the SSD methods estimate the parameters that mathematically describe the selected distribution</w:t>
      </w:r>
      <w:r>
        <w:t xml:space="preserve">. </w:t>
      </w:r>
      <w:r w:rsidRPr="00BE548F">
        <w:t>Because the equation that describes the selected distribution is known, it is very simple to calculate the concentration that should theoretically protect any chosen percentage of species or permit any chosen percentage of species to experience toxic effects</w:t>
      </w:r>
      <w:r>
        <w:t xml:space="preserve">. </w:t>
      </w:r>
      <w:r w:rsidRPr="00BE548F">
        <w:t>To do this, the cumulative frequency that corresponds to the percentage of species to be protected is entered into the equation for the distribution that best fitted the toxicity data</w:t>
      </w:r>
      <w:r>
        <w:t xml:space="preserve">. </w:t>
      </w:r>
      <w:r w:rsidRPr="00BE548F">
        <w:t>Thus, the 5th percentile of the selected distribution becomes the concentration that</w:t>
      </w:r>
      <w:r>
        <w:t>,</w:t>
      </w:r>
      <w:r w:rsidRPr="00BE548F">
        <w:t xml:space="preserve"> if not exceeded</w:t>
      </w:r>
      <w:r>
        <w:t>,</w:t>
      </w:r>
      <w:r w:rsidRPr="00BE548F">
        <w:t xml:space="preserve"> will protect 95% of species and the 10th percentile will protect 90% of species</w:t>
      </w:r>
      <w:r>
        <w:t>,</w:t>
      </w:r>
      <w:r w:rsidRPr="00BE548F">
        <w:t xml:space="preserve"> and so on</w:t>
      </w:r>
      <w:r>
        <w:t xml:space="preserve">. </w:t>
      </w:r>
      <w:r w:rsidRPr="00BE548F">
        <w:t>The resulting concentrations are generally referred to in Europe as hazardous concentration (HC) values</w:t>
      </w:r>
      <w:r>
        <w:t>,</w:t>
      </w:r>
      <w:r w:rsidRPr="00BE548F">
        <w:t xml:space="preserve"> while in Australia and NZ, Hong Kong and South Africa they are termed protective concentration (PC) values</w:t>
      </w:r>
      <w:r>
        <w:t xml:space="preserve">. </w:t>
      </w:r>
      <w:r w:rsidRPr="00BE548F">
        <w:t>The number following HC or PC indicates the percentage of species that should be harmed or should be protected respectively</w:t>
      </w:r>
      <w:r>
        <w:t xml:space="preserve">. </w:t>
      </w:r>
      <w:r w:rsidRPr="00BE548F">
        <w:t>More detailed information on each SSD method can be obtained from the original documents cited above and in the thorough review of SSD methods by Posthuma et al. (2002).</w:t>
      </w:r>
    </w:p>
    <w:p w:rsidR="006C2E16" w:rsidRDefault="006C2E16" w:rsidP="001C6BE7">
      <w:pPr>
        <w:pStyle w:val="text"/>
      </w:pPr>
      <w:r>
        <w:rPr>
          <w:noProof/>
        </w:rPr>
        <mc:AlternateContent>
          <mc:Choice Requires="wpc">
            <w:drawing>
              <wp:inline distT="0" distB="0" distL="0" distR="0" wp14:anchorId="0EF3164B" wp14:editId="1EAB0368">
                <wp:extent cx="5810250" cy="369570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5" name="Picture 415"/>
                          <pic:cNvPicPr>
                            <a:picLocks noChangeAspect="1"/>
                          </pic:cNvPicPr>
                        </pic:nvPicPr>
                        <pic:blipFill>
                          <a:blip r:embed="rId24"/>
                          <a:stretch>
                            <a:fillRect/>
                          </a:stretch>
                        </pic:blipFill>
                        <pic:spPr>
                          <a:xfrm>
                            <a:off x="-3810" y="-3810"/>
                            <a:ext cx="5772150" cy="3613537"/>
                          </a:xfrm>
                          <a:prstGeom prst="rect">
                            <a:avLst/>
                          </a:prstGeom>
                        </pic:spPr>
                      </pic:pic>
                    </wpc:wpc>
                  </a:graphicData>
                </a:graphic>
              </wp:inline>
            </w:drawing>
          </mc:Choice>
          <mc:Fallback>
            <w:pict>
              <v:group id="Canvas 10" o:spid="_x0000_s1026" editas="canvas" style="width:457.5pt;height:291pt;mso-position-horizontal-relative:char;mso-position-vertical-relative:line" coordsize="58102,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">
                <v:shape id="_x0000_s1027" type="#_x0000_t75" style="position:absolute;width:58102;height:36957;visibility:visible;mso-wrap-style:square">
                  <v:fill o:detectmouseclick="t"/>
                  <v:path o:connecttype="none"/>
                </v:shape>
                <v:shape id="Picture 415" o:spid="_x0000_s1028" type="#_x0000_t75" style="position:absolute;left:-38;top:-38;width:57721;height:3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IXLFAAAA3AAAAA8AAABkcnMvZG93bnJldi54bWxEj0Frg0AUhO+F/oflFXKrqyUNYrMJbUHw&#10;ktBoL729ui8qcd+KuzHm32cLhRyHmfmGWW9n04uJRtdZVpBEMQji2uqOGwXfVf6cgnAeWWNvmRRc&#10;ycF28/iwxkzbCx9oKn0jAoRdhgpa74dMSle3ZNBFdiAO3tGOBn2QYyP1iJcAN718ieOVNNhxWGhx&#10;oM+W6lN5Ngp+yl2yivPpKy1+rx+7aq/3SFqpxdP8/gbC0+zv4f92oRUsk1f4OxOOgN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2SFyxQAAANwAAAAPAAAAAAAAAAAAAAAA&#10;AJ8CAABkcnMvZG93bnJldi54bWxQSwUGAAAAAAQABAD3AAAAkQMAAAAA&#10;">
                  <v:imagedata r:id="rId25" o:title=""/>
                  <v:path arrowok="t"/>
                </v:shape>
                <w10:anchorlock/>
              </v:group>
            </w:pict>
          </mc:Fallback>
        </mc:AlternateContent>
      </w:r>
    </w:p>
    <w:p w:rsidR="006C2E16" w:rsidRDefault="006C2E16" w:rsidP="006C2E16">
      <w:pPr>
        <w:pStyle w:val="Caption"/>
      </w:pPr>
      <w:r w:rsidRPr="00363524">
        <w:t>Figure 5. A typical SSD plot. The example provided is output from the BurrliOZ program using EC</w:t>
      </w:r>
      <w:r w:rsidRPr="00363524">
        <w:rPr>
          <w:vertAlign w:val="subscript"/>
        </w:rPr>
        <w:t>10</w:t>
      </w:r>
      <w:r w:rsidRPr="00363524">
        <w:t xml:space="preserve"> values for plants (field data NBRP)</w:t>
      </w:r>
    </w:p>
    <w:p w:rsidR="006C2E16" w:rsidRPr="00BE548F" w:rsidRDefault="006C2E16" w:rsidP="006C2E16">
      <w:r w:rsidRPr="00BE548F">
        <w:lastRenderedPageBreak/>
        <w:t xml:space="preserve">The toxicity data used to derive a PC value </w:t>
      </w:r>
      <w:r>
        <w:t>is</w:t>
      </w:r>
      <w:r w:rsidRPr="00BE548F">
        <w:t xml:space="preserve"> only a sample of the total species in the ecosystem being protected</w:t>
      </w:r>
      <w:r>
        <w:t>. A</w:t>
      </w:r>
      <w:r w:rsidRPr="00BE548F">
        <w:t>s with any sampling program, different distributions could be obtained depending on the species that form the sample</w:t>
      </w:r>
      <w:r>
        <w:t xml:space="preserve">. </w:t>
      </w:r>
      <w:r w:rsidRPr="00BE548F">
        <w:t>Therefore</w:t>
      </w:r>
      <w:r>
        <w:t>,</w:t>
      </w:r>
      <w:r w:rsidRPr="00BE548F">
        <w:t xml:space="preserve"> different samples could lead to different PC values for the same contaminant being calculated</w:t>
      </w:r>
      <w:r>
        <w:t xml:space="preserve">. </w:t>
      </w:r>
      <w:r w:rsidRPr="00BE548F">
        <w:t>Aldenberg and Slob (1993) overcame this problem by developing two confidence limits: 95% and 50% for the HC or PC values respectively</w:t>
      </w:r>
      <w:r>
        <w:t xml:space="preserve">. </w:t>
      </w:r>
      <w:r w:rsidRPr="00BE548F">
        <w:t>These confidence limits indicate the degree of certainty that the calculated HC value will protect the selected percentage of species</w:t>
      </w:r>
      <w:r>
        <w:t xml:space="preserve">. </w:t>
      </w:r>
      <w:r w:rsidRPr="00BE548F">
        <w:t>Thus, a HC</w:t>
      </w:r>
      <w:r w:rsidRPr="00363524">
        <w:rPr>
          <w:vertAlign w:val="subscript"/>
        </w:rPr>
        <w:t>5</w:t>
      </w:r>
      <w:r w:rsidRPr="00BE548F">
        <w:t xml:space="preserve"> 95 value means that there is a 95% certainty that the concentration will protect at least 95% of species in an ecosystem</w:t>
      </w:r>
      <w:r>
        <w:t xml:space="preserve">. </w:t>
      </w:r>
      <w:r w:rsidRPr="00BE548F">
        <w:t>The Dutch used the HC</w:t>
      </w:r>
      <w:r w:rsidRPr="00363524">
        <w:rPr>
          <w:vertAlign w:val="subscript"/>
        </w:rPr>
        <w:t>5</w:t>
      </w:r>
      <w:r w:rsidRPr="00BE548F">
        <w:t xml:space="preserve"> 95 values as their long-term aspirational goal for water quality</w:t>
      </w:r>
      <w:r>
        <w:t xml:space="preserve">. </w:t>
      </w:r>
      <w:r w:rsidRPr="00BE548F">
        <w:t xml:space="preserve">In the Australian and New Zealand WQGs (ANZECC </w:t>
      </w:r>
      <w:r>
        <w:t>&amp;</w:t>
      </w:r>
      <w:r w:rsidRPr="00BE548F">
        <w:t xml:space="preserve"> ARMCANZ 2000) and in </w:t>
      </w:r>
      <w:r>
        <w:t>jurisdictions</w:t>
      </w:r>
      <w:r w:rsidRPr="00BE548F">
        <w:t xml:space="preserve"> that have adopted their methodologies (</w:t>
      </w:r>
      <w:r>
        <w:t>that is,</w:t>
      </w:r>
      <w:r w:rsidRPr="00BE548F">
        <w:t xml:space="preserve"> Hong Kong and </w:t>
      </w:r>
      <w:smartTag w:uri="urn:schemas-microsoft-com:office:smarttags" w:element="country-region">
        <w:smartTag w:uri="urn:schemas-microsoft-com:office:smarttags" w:element="place">
          <w:r>
            <w:t>South Africa</w:t>
          </w:r>
        </w:smartTag>
      </w:smartTag>
      <w:r>
        <w:t xml:space="preserve"> in its </w:t>
      </w:r>
      <w:r w:rsidRPr="00BE548F">
        <w:t>marine water quality guidelines) confidence intervals</w:t>
      </w:r>
      <w:r>
        <w:t xml:space="preserve"> are not used. </w:t>
      </w:r>
      <w:r w:rsidRPr="00BE548F">
        <w:t>This was developed because the 95% confidence limits were not deemed to be statistically robust (Fox 1999)</w:t>
      </w:r>
      <w:r>
        <w:t xml:space="preserve">. </w:t>
      </w:r>
      <w:r w:rsidRPr="00BE548F">
        <w:t>Additionally, if the sample size is large, the 50</w:t>
      </w:r>
      <w:r w:rsidRPr="00BE548F">
        <w:rPr>
          <w:vertAlign w:val="superscript"/>
        </w:rPr>
        <w:t>th</w:t>
      </w:r>
      <w:r w:rsidRPr="00BE548F">
        <w:t xml:space="preserve"> percentile will approximate the median of estimates of the PC value</w:t>
      </w:r>
      <w:r>
        <w:t xml:space="preserve">. </w:t>
      </w:r>
      <w:r w:rsidRPr="00BE548F">
        <w:t>Thus, the 50</w:t>
      </w:r>
      <w:r w:rsidRPr="00BE548F">
        <w:rPr>
          <w:vertAlign w:val="superscript"/>
        </w:rPr>
        <w:t>th</w:t>
      </w:r>
      <w:r w:rsidRPr="00BE548F">
        <w:t xml:space="preserve"> percentile should equal the HC</w:t>
      </w:r>
      <w:r w:rsidRPr="00363524">
        <w:rPr>
          <w:vertAlign w:val="subscript"/>
        </w:rPr>
        <w:t>5</w:t>
      </w:r>
      <w:r w:rsidRPr="00BE548F">
        <w:t xml:space="preserve"> 50. </w:t>
      </w:r>
    </w:p>
    <w:p w:rsidR="006C2E16" w:rsidRPr="00BE548F" w:rsidRDefault="006C2E16" w:rsidP="006C2E16">
      <w:pPr>
        <w:pStyle w:val="Heading4"/>
      </w:pPr>
      <w:bookmarkStart w:id="154" w:name="_Toc351713167"/>
      <w:r w:rsidRPr="00BE548F">
        <w:t>Criticisms</w:t>
      </w:r>
      <w:bookmarkEnd w:id="154"/>
    </w:p>
    <w:p w:rsidR="006C2E16" w:rsidRDefault="006C2E16" w:rsidP="006C2E16">
      <w:r w:rsidRPr="00BE548F">
        <w:t>All SSD methods make a series of assumptions</w:t>
      </w:r>
      <w:r>
        <w:t xml:space="preserve">. </w:t>
      </w:r>
      <w:r w:rsidRPr="00BE548F">
        <w:t>In the early 1990s</w:t>
      </w:r>
      <w:r>
        <w:t>,</w:t>
      </w:r>
      <w:r w:rsidRPr="00BE548F">
        <w:t xml:space="preserve"> the SSD methods received considerable criticism from Calabrese and Baldwin (1993), Forbes and Forbes (1993), Schudoma (1994)</w:t>
      </w:r>
      <w:r>
        <w:t>,</w:t>
      </w:r>
      <w:r w:rsidRPr="00BE548F">
        <w:t xml:space="preserve"> and Smith and </w:t>
      </w:r>
      <w:smartTag w:uri="urn:schemas-microsoft-com:office:smarttags" w:element="City">
        <w:smartTag w:uri="urn:schemas-microsoft-com:office:smarttags" w:element="place">
          <w:r w:rsidRPr="00BE548F">
            <w:t>Cairns</w:t>
          </w:r>
        </w:smartTag>
      </w:smartTag>
      <w:r w:rsidRPr="00BE548F">
        <w:t xml:space="preserve"> (1993)</w:t>
      </w:r>
      <w:r>
        <w:t>,</w:t>
      </w:r>
      <w:r w:rsidRPr="00BE548F">
        <w:t xml:space="preserve"> and some doubted whether the SSD methods were in fact better than the AF methods</w:t>
      </w:r>
      <w:r>
        <w:t>.</w:t>
      </w:r>
    </w:p>
    <w:p w:rsidR="009F182B" w:rsidRDefault="009F182B" w:rsidP="006C2E16"/>
    <w:p w:rsidR="006C2E16" w:rsidRPr="00BE548F" w:rsidRDefault="006C2E16" w:rsidP="006C2E16">
      <w:r w:rsidRPr="00BE548F">
        <w:t>The key criticisms were:</w:t>
      </w:r>
    </w:p>
    <w:p w:rsidR="006C2E16" w:rsidRPr="00BE548F" w:rsidRDefault="006C2E16" w:rsidP="001C6BE7">
      <w:pPr>
        <w:pStyle w:val="Dot-points"/>
        <w:numPr>
          <w:ilvl w:val="0"/>
          <w:numId w:val="26"/>
        </w:numPr>
      </w:pPr>
      <w:r w:rsidRPr="00BE548F">
        <w:t>whether ecosystems are sufficiently protected by protecting a given percentage of the species compr</w:t>
      </w:r>
      <w:r>
        <w:t>ising that particular ecosystem</w:t>
      </w:r>
    </w:p>
    <w:p w:rsidR="006C2E16" w:rsidRPr="00BE548F" w:rsidRDefault="006C2E16" w:rsidP="001C6BE7">
      <w:pPr>
        <w:pStyle w:val="Dot-points"/>
        <w:numPr>
          <w:ilvl w:val="0"/>
          <w:numId w:val="26"/>
        </w:numPr>
      </w:pPr>
      <w:r w:rsidRPr="00BE548F">
        <w:t>whether t</w:t>
      </w:r>
      <w:r w:rsidRPr="00F01ED2">
        <w:t>he distribution of species sensitivities in ecosystems is closely approximated</w:t>
      </w:r>
      <w:r w:rsidRPr="00BE548F">
        <w:t xml:space="preserve"> by the distributions used in the various SSD methods</w:t>
      </w:r>
    </w:p>
    <w:p w:rsidR="009F182B" w:rsidRPr="00BE548F" w:rsidRDefault="006C2E16" w:rsidP="001C6BE7">
      <w:pPr>
        <w:pStyle w:val="Dot-points"/>
        <w:numPr>
          <w:ilvl w:val="0"/>
          <w:numId w:val="26"/>
        </w:numPr>
      </w:pPr>
      <w:r w:rsidRPr="00BE548F">
        <w:t>whether the SSD methods yield environmental quality guidelines that are conservative by nature.</w:t>
      </w:r>
    </w:p>
    <w:p w:rsidR="0003580B" w:rsidRDefault="0003580B" w:rsidP="006C2E16"/>
    <w:p w:rsidR="006C2E16" w:rsidRDefault="006C2E16" w:rsidP="006C2E16">
      <w:r w:rsidRPr="00BE548F">
        <w:t>A number of the other assumptions made by SSD methods were also attacked by these authors</w:t>
      </w:r>
      <w:r>
        <w:t>;</w:t>
      </w:r>
      <w:r w:rsidRPr="00BE548F">
        <w:t xml:space="preserve"> however, these were assumptions made by all methods of deriving EQGs</w:t>
      </w:r>
      <w:r>
        <w:t xml:space="preserve">. </w:t>
      </w:r>
      <w:r w:rsidRPr="00BE548F">
        <w:t>There is considerable experimental support for the SSD methods (Emans et al. 1993</w:t>
      </w:r>
      <w:r>
        <w:t>;</w:t>
      </w:r>
      <w:r w:rsidRPr="00BE548F">
        <w:t xml:space="preserve"> Okkerman et al. 1991, 1993)</w:t>
      </w:r>
      <w:r>
        <w:t xml:space="preserve">. </w:t>
      </w:r>
      <w:r w:rsidRPr="00BE548F">
        <w:t>In addition</w:t>
      </w:r>
      <w:r>
        <w:t>,</w:t>
      </w:r>
      <w:r w:rsidRPr="00BE548F">
        <w:t xml:space="preserve"> organisations such as the OECD compared both the SSD methods and AF methods and concluded by recommending the SSD methods (OECD 1995)</w:t>
      </w:r>
      <w:r>
        <w:t xml:space="preserve">. </w:t>
      </w:r>
      <w:r w:rsidRPr="00BE548F">
        <w:t>An overview of the criticisms and support for the SSDs is provided in Warne (1996) and a more condensed version in Warne (1998)</w:t>
      </w:r>
      <w:r>
        <w:t xml:space="preserve">. </w:t>
      </w:r>
      <w:r w:rsidRPr="00BE548F">
        <w:t xml:space="preserve">Several authors </w:t>
      </w:r>
      <w:r>
        <w:t xml:space="preserve">including </w:t>
      </w:r>
      <w:r w:rsidRPr="00BE548F">
        <w:t xml:space="preserve">Forbes </w:t>
      </w:r>
      <w:r>
        <w:t>and</w:t>
      </w:r>
      <w:r w:rsidRPr="00BE548F">
        <w:t xml:space="preserve"> Calow</w:t>
      </w:r>
      <w:r>
        <w:t xml:space="preserve"> (</w:t>
      </w:r>
      <w:r w:rsidRPr="00BE548F">
        <w:t>2002</w:t>
      </w:r>
      <w:r>
        <w:t>a</w:t>
      </w:r>
      <w:r w:rsidRPr="00BE548F">
        <w:t>) have now changed their position considerably and support SSDs while acknowledging their limitations</w:t>
      </w:r>
      <w:r>
        <w:t>. SSD</w:t>
      </w:r>
      <w:r w:rsidRPr="00BE548F">
        <w:t xml:space="preserve"> methods are now well established and widely used in deriving </w:t>
      </w:r>
      <w:r>
        <w:t>EQGs</w:t>
      </w:r>
      <w:r w:rsidRPr="00BE548F">
        <w:t xml:space="preserve"> and conducting </w:t>
      </w:r>
      <w:r>
        <w:t xml:space="preserve">ERAs. </w:t>
      </w:r>
      <w:r w:rsidRPr="00BE548F">
        <w:t>For example</w:t>
      </w:r>
      <w:r>
        <w:t>,</w:t>
      </w:r>
      <w:r w:rsidRPr="00BE548F">
        <w:t xml:space="preserve"> SSD methods are the preferred method of deriving the EU soil and water quality guidelines (EC</w:t>
      </w:r>
      <w:r>
        <w:t>B</w:t>
      </w:r>
      <w:r w:rsidRPr="00BE548F">
        <w:t xml:space="preserve"> 200</w:t>
      </w:r>
      <w:r>
        <w:t>3; EU 2006b</w:t>
      </w:r>
      <w:r w:rsidRPr="00BE548F">
        <w:t>)</w:t>
      </w:r>
      <w:r>
        <w:t>.</w:t>
      </w:r>
      <w:r w:rsidRPr="00BE548F">
        <w:t xml:space="preserve"> </w:t>
      </w:r>
    </w:p>
    <w:p w:rsidR="009F182B" w:rsidRPr="00BE548F" w:rsidRDefault="009F182B" w:rsidP="006C2E16"/>
    <w:p w:rsidR="006C2E16" w:rsidRDefault="006C2E16" w:rsidP="006C2E16">
      <w:r w:rsidRPr="00BE548F">
        <w:t>A potential weakness of SSD methods</w:t>
      </w:r>
      <w:r>
        <w:t>,</w:t>
      </w:r>
      <w:r w:rsidRPr="00BE548F">
        <w:t xml:space="preserve"> and indeed of all modelling methods</w:t>
      </w:r>
      <w:r>
        <w:t>,</w:t>
      </w:r>
      <w:r w:rsidRPr="00BE548F">
        <w:t xml:space="preserve"> is that as the </w:t>
      </w:r>
      <w:r>
        <w:t>quantity</w:t>
      </w:r>
      <w:r w:rsidRPr="00BE548F">
        <w:t xml:space="preserve"> of data used decreases the effect of the sample used increases dramatically</w:t>
      </w:r>
      <w:r>
        <w:t xml:space="preserve">. </w:t>
      </w:r>
      <w:r w:rsidRPr="00BE548F">
        <w:t xml:space="preserve">Initial studies by the Danish EPA (Pedersen et al. 1994) and the OECD (1995) indicated that WQGs derived using data sets containing less than </w:t>
      </w:r>
      <w:r>
        <w:t>five</w:t>
      </w:r>
      <w:r w:rsidRPr="00BE548F">
        <w:t xml:space="preserve"> values were very dependent on the spread of the values, whereas for data</w:t>
      </w:r>
      <w:r>
        <w:t xml:space="preserve"> </w:t>
      </w:r>
      <w:r w:rsidRPr="00BE548F">
        <w:t>sets containing five or more values this effect was markedly reduced</w:t>
      </w:r>
      <w:r>
        <w:t xml:space="preserve">. </w:t>
      </w:r>
      <w:r w:rsidRPr="00BE548F">
        <w:t>Subsequent more rigorous work by Newman et al. (2000), Forbes and Calow (2002</w:t>
      </w:r>
      <w:r>
        <w:t>b</w:t>
      </w:r>
      <w:r w:rsidRPr="00BE548F">
        <w:t xml:space="preserve">) and Wheeler et al. (2002) indicated that toxicity </w:t>
      </w:r>
      <w:r>
        <w:t xml:space="preserve">data </w:t>
      </w:r>
      <w:r w:rsidRPr="00BE548F">
        <w:t>for between 10</w:t>
      </w:r>
      <w:r>
        <w:t xml:space="preserve"> and </w:t>
      </w:r>
      <w:r w:rsidRPr="00BE548F">
        <w:t>30 species w</w:t>
      </w:r>
      <w:r>
        <w:t>as</w:t>
      </w:r>
      <w:r w:rsidRPr="00BE548F">
        <w:t xml:space="preserve"> necessary for the resulting limit values to be stable irrespective of the sample</w:t>
      </w:r>
      <w:r>
        <w:t xml:space="preserve">. </w:t>
      </w:r>
      <w:r w:rsidRPr="00BE548F">
        <w:t>To calculate an HC</w:t>
      </w:r>
      <w:r w:rsidRPr="00363524">
        <w:rPr>
          <w:vertAlign w:val="subscript"/>
        </w:rPr>
        <w:t>5</w:t>
      </w:r>
      <w:r w:rsidRPr="00BE548F">
        <w:t>/PC</w:t>
      </w:r>
      <w:r w:rsidRPr="00363524">
        <w:rPr>
          <w:vertAlign w:val="subscript"/>
        </w:rPr>
        <w:t>95</w:t>
      </w:r>
      <w:r w:rsidRPr="00BE548F">
        <w:t xml:space="preserve"> value using empirical methods</w:t>
      </w:r>
      <w:r>
        <w:t>,</w:t>
      </w:r>
      <w:r w:rsidRPr="00BE548F">
        <w:t xml:space="preserve"> at least 20 species are needed</w:t>
      </w:r>
      <w:r>
        <w:t>,</w:t>
      </w:r>
      <w:r w:rsidRPr="00BE548F">
        <w:t xml:space="preserve"> and 100 species are needed for an HC</w:t>
      </w:r>
      <w:r w:rsidRPr="009A50F4">
        <w:rPr>
          <w:vertAlign w:val="subscript"/>
        </w:rPr>
        <w:t>1</w:t>
      </w:r>
      <w:r w:rsidRPr="00BE548F">
        <w:t>/PC</w:t>
      </w:r>
      <w:r w:rsidRPr="009A50F4">
        <w:rPr>
          <w:vertAlign w:val="subscript"/>
        </w:rPr>
        <w:t>99</w:t>
      </w:r>
      <w:r w:rsidRPr="00BE548F">
        <w:t xml:space="preserve"> value (Forbes </w:t>
      </w:r>
      <w:r>
        <w:t>&amp;</w:t>
      </w:r>
      <w:r w:rsidRPr="00BE548F">
        <w:t xml:space="preserve"> Calow 2002</w:t>
      </w:r>
      <w:r>
        <w:t>b</w:t>
      </w:r>
      <w:r w:rsidRPr="00BE548F">
        <w:t>)</w:t>
      </w:r>
      <w:r>
        <w:t xml:space="preserve">. </w:t>
      </w:r>
      <w:r w:rsidRPr="00BE548F">
        <w:t xml:space="preserve">Using non-parametric methods, Newman et al. (2000) estimated for 30 toxicants that between 15 </w:t>
      </w:r>
      <w:r>
        <w:t>and</w:t>
      </w:r>
      <w:r w:rsidRPr="00BE548F">
        <w:t xml:space="preserve"> 55 (median of 30) species per toxicant were needed</w:t>
      </w:r>
      <w:r>
        <w:t>,</w:t>
      </w:r>
      <w:r w:rsidRPr="00BE548F">
        <w:t xml:space="preserve"> </w:t>
      </w:r>
      <w:r>
        <w:t>w</w:t>
      </w:r>
      <w:r w:rsidRPr="00BE548F">
        <w:t xml:space="preserve">hile Wheeler et al. (2002) estimated a minimum of 10 to 15 species per toxicant </w:t>
      </w:r>
      <w:r>
        <w:t>we</w:t>
      </w:r>
      <w:r w:rsidRPr="00BE548F">
        <w:t>re needed</w:t>
      </w:r>
      <w:r>
        <w:t xml:space="preserve">. </w:t>
      </w:r>
      <w:r w:rsidRPr="00BE548F">
        <w:t xml:space="preserve">The decision by the regulating agency about </w:t>
      </w:r>
      <w:r>
        <w:t xml:space="preserve">the </w:t>
      </w:r>
      <w:r w:rsidRPr="00BE548F">
        <w:t xml:space="preserve">appropriate number </w:t>
      </w:r>
      <w:r w:rsidRPr="00BE548F">
        <w:lastRenderedPageBreak/>
        <w:t>of species is often arbitrary (Pennington 2003): US</w:t>
      </w:r>
      <w:r>
        <w:t xml:space="preserve"> </w:t>
      </w:r>
      <w:r w:rsidRPr="00BE548F">
        <w:t>EPA requires at least eight species (US</w:t>
      </w:r>
      <w:r>
        <w:t xml:space="preserve"> </w:t>
      </w:r>
      <w:r w:rsidRPr="00BE548F">
        <w:t>EPA 1999), the Dutch suggest ten (</w:t>
      </w:r>
      <w:r>
        <w:t xml:space="preserve">van </w:t>
      </w:r>
      <w:r w:rsidRPr="00BE548F">
        <w:t xml:space="preserve">Vlaardingen </w:t>
      </w:r>
      <w:r>
        <w:t>&amp;</w:t>
      </w:r>
      <w:r w:rsidRPr="00BE548F">
        <w:t xml:space="preserve"> Verbruggen </w:t>
      </w:r>
      <w:r>
        <w:t>2007</w:t>
      </w:r>
      <w:r w:rsidRPr="00BE548F">
        <w:t>), the OECD between five and eight (OECD 1992, 1994) and Australia and New Zealand</w:t>
      </w:r>
      <w:r>
        <w:t>—</w:t>
      </w:r>
      <w:r w:rsidRPr="00BE548F">
        <w:t>five species (Warne 2001)</w:t>
      </w:r>
      <w:r>
        <w:t xml:space="preserve">. </w:t>
      </w:r>
      <w:r w:rsidRPr="00BE548F">
        <w:t>It is worth remembering that the above estimates are based on available SSDs that tend to include data from only a small fraction of taxonomic and other groups present in nature</w:t>
      </w:r>
      <w:r>
        <w:t xml:space="preserve">. </w:t>
      </w:r>
      <w:r w:rsidRPr="00BE548F">
        <w:t xml:space="preserve">If data were available for a larger range of organisms, the number of species for which data </w:t>
      </w:r>
      <w:r>
        <w:t>is</w:t>
      </w:r>
      <w:r w:rsidRPr="00BE548F">
        <w:t xml:space="preserve"> required may increase</w:t>
      </w:r>
      <w:r>
        <w:t xml:space="preserve">. </w:t>
      </w:r>
      <w:r w:rsidRPr="00BE548F">
        <w:t>If this occurred</w:t>
      </w:r>
      <w:r>
        <w:t>,</w:t>
      </w:r>
      <w:r w:rsidRPr="00BE548F">
        <w:t xml:space="preserve"> then the findings of Newman et al. (2000), Wheeler et al. (2002), and others would have underestimated the number of species required for estimating the SSDs</w:t>
      </w:r>
      <w:r>
        <w:t xml:space="preserve">. </w:t>
      </w:r>
      <w:r w:rsidRPr="00BE548F">
        <w:t>Reflecting these findings</w:t>
      </w:r>
      <w:r>
        <w:t>,</w:t>
      </w:r>
      <w:r w:rsidRPr="00BE548F">
        <w:t xml:space="preserve"> the EU has required that future WQGs </w:t>
      </w:r>
      <w:r>
        <w:t>need</w:t>
      </w:r>
      <w:r w:rsidRPr="00BE548F">
        <w:t xml:space="preserve"> toxicity data for at least ten species that belong to at least eight taxonomic groups and an additional assessment factor of 1</w:t>
      </w:r>
      <w:r>
        <w:sym w:font="Symbol" w:char="F02D"/>
      </w:r>
      <w:r w:rsidRPr="00BE548F">
        <w:t>5 to the PC</w:t>
      </w:r>
      <w:r w:rsidRPr="00363524">
        <w:rPr>
          <w:vertAlign w:val="subscript"/>
        </w:rPr>
        <w:t>95</w:t>
      </w:r>
      <w:r w:rsidRPr="00BE548F">
        <w:t xml:space="preserve"> should be considered (ECB 2003).</w:t>
      </w:r>
    </w:p>
    <w:p w:rsidR="009F182B" w:rsidRPr="00BE548F" w:rsidRDefault="009F182B" w:rsidP="006C2E16"/>
    <w:p w:rsidR="006C2E16" w:rsidRPr="00BE548F" w:rsidRDefault="006C2E16" w:rsidP="006C2E16">
      <w:pPr>
        <w:pStyle w:val="Heading4"/>
      </w:pPr>
      <w:bookmarkStart w:id="155" w:name="_Toc351713168"/>
      <w:r w:rsidRPr="00BE548F">
        <w:t>Strengths and limitations</w:t>
      </w:r>
      <w:bookmarkEnd w:id="155"/>
    </w:p>
    <w:p w:rsidR="006C2E16" w:rsidRPr="00BE548F" w:rsidRDefault="006C2E16" w:rsidP="001C6BE7">
      <w:pPr>
        <w:pStyle w:val="text"/>
      </w:pPr>
      <w:r>
        <w:t>SSD</w:t>
      </w:r>
      <w:r w:rsidRPr="00BE548F">
        <w:t xml:space="preserve"> methods have a number of strengths:</w:t>
      </w:r>
    </w:p>
    <w:p w:rsidR="006C2E16" w:rsidRPr="00BE548F" w:rsidRDefault="006C2E16" w:rsidP="001C6BE7">
      <w:pPr>
        <w:pStyle w:val="Dot-points"/>
        <w:numPr>
          <w:ilvl w:val="0"/>
          <w:numId w:val="27"/>
        </w:numPr>
      </w:pPr>
      <w:r>
        <w:t>t</w:t>
      </w:r>
      <w:r w:rsidRPr="00BE548F">
        <w:t xml:space="preserve">hey use toxicity data for all species </w:t>
      </w:r>
      <w:r>
        <w:t>that is</w:t>
      </w:r>
      <w:r w:rsidRPr="00BE548F">
        <w:t xml:space="preserve"> available, thus conforming to risk</w:t>
      </w:r>
      <w:r>
        <w:t>-</w:t>
      </w:r>
      <w:r w:rsidRPr="00BE548F">
        <w:t>assessment principles</w:t>
      </w:r>
    </w:p>
    <w:p w:rsidR="006C2E16" w:rsidRPr="00BE548F" w:rsidRDefault="006C2E16" w:rsidP="001C6BE7">
      <w:pPr>
        <w:pStyle w:val="Dot-points"/>
        <w:numPr>
          <w:ilvl w:val="0"/>
          <w:numId w:val="27"/>
        </w:numPr>
      </w:pPr>
      <w:r>
        <w:t>t</w:t>
      </w:r>
      <w:r w:rsidRPr="00BE548F">
        <w:t>hey have a sound statistical basis providing the as</w:t>
      </w:r>
      <w:r>
        <w:t>sumptions of the method are met</w:t>
      </w:r>
    </w:p>
    <w:p w:rsidR="006C2E16" w:rsidRPr="00BE548F" w:rsidRDefault="006C2E16" w:rsidP="001C6BE7">
      <w:pPr>
        <w:pStyle w:val="Dot-points"/>
        <w:numPr>
          <w:ilvl w:val="0"/>
          <w:numId w:val="27"/>
        </w:numPr>
      </w:pPr>
      <w:r>
        <w:t>t</w:t>
      </w:r>
      <w:r w:rsidRPr="00BE548F">
        <w:t>hey are flexible methods, can use any measure of toxicity</w:t>
      </w:r>
      <w:r>
        <w:t>,</w:t>
      </w:r>
      <w:r w:rsidRPr="00BE548F">
        <w:t xml:space="preserve"> and can calculate HC or PC values to protect any chosen percentag</w:t>
      </w:r>
      <w:r>
        <w:t>e of species except 0% and 100%</w:t>
      </w:r>
    </w:p>
    <w:p w:rsidR="006C2E16" w:rsidRPr="00BE548F" w:rsidRDefault="006C2E16" w:rsidP="001C6BE7">
      <w:pPr>
        <w:pStyle w:val="Dot-points"/>
        <w:numPr>
          <w:ilvl w:val="0"/>
          <w:numId w:val="27"/>
        </w:numPr>
      </w:pPr>
      <w:r>
        <w:t>t</w:t>
      </w:r>
      <w:r w:rsidRPr="00BE548F">
        <w:t>he methods are transparent and allow the level of protection to be chosen</w:t>
      </w:r>
      <w:r>
        <w:t xml:space="preserve">. </w:t>
      </w:r>
      <w:r w:rsidRPr="00BE548F">
        <w:t xml:space="preserve">The approach also enables a more informed debate to occur over the level of protection </w:t>
      </w:r>
      <w:r>
        <w:t>to be offered</w:t>
      </w:r>
    </w:p>
    <w:p w:rsidR="006C2E16" w:rsidRPr="00BE548F" w:rsidRDefault="006C2E16" w:rsidP="001C6BE7">
      <w:pPr>
        <w:pStyle w:val="Dot-points"/>
        <w:numPr>
          <w:ilvl w:val="0"/>
          <w:numId w:val="27"/>
        </w:numPr>
      </w:pPr>
      <w:r>
        <w:t>t</w:t>
      </w:r>
      <w:r w:rsidRPr="00BE548F">
        <w:t>hey can be used in the reverse manner to determine what level of protection (i.e. percentage of species) is offered when a certain concentration of a contaminant occurs in the environment</w:t>
      </w:r>
      <w:r>
        <w:t xml:space="preserve">. </w:t>
      </w:r>
      <w:r w:rsidRPr="00BE548F">
        <w:t xml:space="preserve">This should be useful in </w:t>
      </w:r>
      <w:r>
        <w:t>ERAs</w:t>
      </w:r>
      <w:r w:rsidRPr="00BE548F">
        <w:t xml:space="preserve"> and site</w:t>
      </w:r>
      <w:r>
        <w:t>-</w:t>
      </w:r>
      <w:r w:rsidRPr="00BE548F">
        <w:t>specific investigations</w:t>
      </w:r>
    </w:p>
    <w:p w:rsidR="006C2E16" w:rsidRPr="00BE548F" w:rsidRDefault="006C2E16" w:rsidP="001C6BE7">
      <w:pPr>
        <w:pStyle w:val="Dot-points"/>
        <w:numPr>
          <w:ilvl w:val="0"/>
          <w:numId w:val="27"/>
        </w:numPr>
      </w:pPr>
      <w:r>
        <w:t>s</w:t>
      </w:r>
      <w:r w:rsidRPr="00BE548F">
        <w:t>everal aspects of the methodology have been validated.</w:t>
      </w:r>
    </w:p>
    <w:p w:rsidR="009F182B" w:rsidRDefault="009F182B" w:rsidP="006C2E16"/>
    <w:p w:rsidR="006C2E16" w:rsidRPr="00BE548F" w:rsidRDefault="006C2E16" w:rsidP="006C2E16">
      <w:r w:rsidRPr="00BE548F">
        <w:t>The limitations of the methods include:</w:t>
      </w:r>
    </w:p>
    <w:p w:rsidR="006C2E16" w:rsidRPr="00BE548F" w:rsidRDefault="006C2E16" w:rsidP="001C6BE7">
      <w:pPr>
        <w:pStyle w:val="Dot-points"/>
        <w:numPr>
          <w:ilvl w:val="0"/>
          <w:numId w:val="28"/>
        </w:numPr>
      </w:pPr>
      <w:r>
        <w:t>t</w:t>
      </w:r>
      <w:r w:rsidRPr="00BE548F">
        <w:t>he data requirements may limit the number of guide</w:t>
      </w:r>
      <w:r>
        <w:t>line values that can be derived</w:t>
      </w:r>
    </w:p>
    <w:p w:rsidR="006C2E16" w:rsidRPr="00BE548F" w:rsidRDefault="006C2E16" w:rsidP="001C6BE7">
      <w:pPr>
        <w:pStyle w:val="Dot-points"/>
        <w:numPr>
          <w:ilvl w:val="0"/>
          <w:numId w:val="28"/>
        </w:numPr>
      </w:pPr>
      <w:r>
        <w:t>i</w:t>
      </w:r>
      <w:r w:rsidRPr="00BE548F">
        <w:t>t is more complex to understand how the guideline values are derived than with the AF or geometric mean methods</w:t>
      </w:r>
    </w:p>
    <w:p w:rsidR="006C2E16" w:rsidRPr="00BE548F" w:rsidRDefault="006C2E16" w:rsidP="001C6BE7">
      <w:pPr>
        <w:pStyle w:val="Dot-points"/>
        <w:numPr>
          <w:ilvl w:val="0"/>
          <w:numId w:val="28"/>
        </w:numPr>
      </w:pPr>
      <w:r>
        <w:t>s</w:t>
      </w:r>
      <w:r w:rsidRPr="00BE548F">
        <w:t>everal of the assumptions made by SSD methods may be compromised. For instance, SSD assume</w:t>
      </w:r>
      <w:r>
        <w:t>s</w:t>
      </w:r>
      <w:r w:rsidRPr="00BE548F">
        <w:t xml:space="preserve"> that the species are representative of the totality of the ecosystem and all species are equal</w:t>
      </w:r>
      <w:r>
        <w:t>ly</w:t>
      </w:r>
      <w:r w:rsidRPr="00BE548F">
        <w:t xml:space="preserve"> as important to ecosystem functioning (</w:t>
      </w:r>
      <w:r>
        <w:t>that is,</w:t>
      </w:r>
      <w:r w:rsidRPr="00BE548F">
        <w:t xml:space="preserve"> no consideration is given to keystone species). </w:t>
      </w:r>
    </w:p>
    <w:p w:rsidR="006C2E16" w:rsidRPr="00BE548F" w:rsidRDefault="006C2E16" w:rsidP="001C6BE7">
      <w:pPr>
        <w:pStyle w:val="Heading3"/>
      </w:pPr>
      <w:bookmarkStart w:id="156" w:name="_Toc255359993"/>
      <w:bookmarkStart w:id="157" w:name="_Toc269122467"/>
      <w:bookmarkStart w:id="158" w:name="_Toc351713169"/>
      <w:r w:rsidRPr="00BE548F">
        <w:t>Assessment factor methods</w:t>
      </w:r>
      <w:bookmarkEnd w:id="156"/>
      <w:bookmarkEnd w:id="157"/>
      <w:bookmarkEnd w:id="158"/>
    </w:p>
    <w:p w:rsidR="006C2E16" w:rsidRDefault="006C2E16" w:rsidP="006C2E16">
      <w:r w:rsidRPr="00BE548F">
        <w:t>In AF methods, all available toxicity data for a contaminant is collated</w:t>
      </w:r>
      <w:r>
        <w:t xml:space="preserve">. </w:t>
      </w:r>
      <w:r w:rsidRPr="00BE548F">
        <w:t>Then the lowest toxicity value is divided by a constant that is variously called an assessment factor</w:t>
      </w:r>
      <w:r>
        <w:t>,</w:t>
      </w:r>
      <w:r w:rsidRPr="00BE548F">
        <w:t xml:space="preserve"> uncertainty, application or safety factor</w:t>
      </w:r>
      <w:r>
        <w:t xml:space="preserve">. </w:t>
      </w:r>
      <w:r w:rsidRPr="00BE548F">
        <w:t>Typically the AFs are 10, 100 or 1000</w:t>
      </w:r>
      <w:r>
        <w:t xml:space="preserve">. </w:t>
      </w:r>
      <w:r w:rsidRPr="00BE548F">
        <w:t>The magnitude of the AF used to derive a</w:t>
      </w:r>
      <w:r>
        <w:t>n</w:t>
      </w:r>
      <w:r w:rsidRPr="00BE548F">
        <w:t xml:space="preserve"> EQG is inversely related to the perceived environmental relevance of the toxicity data; </w:t>
      </w:r>
      <w:r>
        <w:t>that is,</w:t>
      </w:r>
      <w:r w:rsidRPr="00BE548F">
        <w:t xml:space="preserve"> the more environmentally realistic the toxicity data</w:t>
      </w:r>
      <w:r>
        <w:t>,</w:t>
      </w:r>
      <w:r w:rsidRPr="00BE548F">
        <w:t xml:space="preserve"> the smaller the AF and vice-versa</w:t>
      </w:r>
      <w:r>
        <w:t xml:space="preserve">. </w:t>
      </w:r>
      <w:r w:rsidRPr="00BE548F">
        <w:t>This approach for deriving EQGs was first proposed by Hart et al. (</w:t>
      </w:r>
      <w:r>
        <w:t>1995</w:t>
      </w:r>
      <w:r w:rsidRPr="00BE548F">
        <w:t>) and was adopted from methods used in human health to derive average daily intakes (Cotruvo 1988</w:t>
      </w:r>
      <w:r>
        <w:t>;</w:t>
      </w:r>
      <w:r w:rsidRPr="00BE548F">
        <w:t xml:space="preserve"> Calabrese </w:t>
      </w:r>
      <w:r>
        <w:t>&amp;</w:t>
      </w:r>
      <w:r w:rsidRPr="00BE548F">
        <w:t xml:space="preserve"> Baldwin 1993)</w:t>
      </w:r>
      <w:r>
        <w:t xml:space="preserve">. </w:t>
      </w:r>
      <w:r w:rsidRPr="00BE548F">
        <w:t xml:space="preserve">The AF method is used to derive both soil and water quality guidelines in numerous countries. </w:t>
      </w:r>
    </w:p>
    <w:p w:rsidR="009F182B" w:rsidRPr="00BE548F" w:rsidRDefault="009F182B" w:rsidP="006C2E16"/>
    <w:p w:rsidR="006C2E16" w:rsidRDefault="006C2E16" w:rsidP="006C2E16">
      <w:r w:rsidRPr="00BE548F">
        <w:t>Depending on the toxicity data available, up to three extrapolations can be made by AF methods</w:t>
      </w:r>
      <w:r>
        <w:t>,</w:t>
      </w:r>
      <w:r w:rsidRPr="00BE548F">
        <w:t xml:space="preserve"> with each extrapolation typically given an AF of 10</w:t>
      </w:r>
      <w:r>
        <w:t xml:space="preserve">. </w:t>
      </w:r>
      <w:r w:rsidRPr="00BE548F">
        <w:t>The extrapolations are laboratory</w:t>
      </w:r>
      <w:r>
        <w:t>-</w:t>
      </w:r>
      <w:r w:rsidRPr="00BE548F">
        <w:t>to</w:t>
      </w:r>
      <w:r>
        <w:t>-</w:t>
      </w:r>
      <w:r w:rsidRPr="00BE548F">
        <w:t>field, acute</w:t>
      </w:r>
      <w:r>
        <w:t>-</w:t>
      </w:r>
      <w:r w:rsidRPr="00BE548F">
        <w:t>to</w:t>
      </w:r>
      <w:r>
        <w:t>-</w:t>
      </w:r>
      <w:r w:rsidRPr="00BE548F">
        <w:lastRenderedPageBreak/>
        <w:t>chronic</w:t>
      </w:r>
      <w:r>
        <w:t>,</w:t>
      </w:r>
      <w:r w:rsidRPr="00BE548F">
        <w:t xml:space="preserve"> and interspecies</w:t>
      </w:r>
      <w:r>
        <w:t>,</w:t>
      </w:r>
      <w:r w:rsidRPr="00BE548F">
        <w:t xml:space="preserve"> and are designed to compensate for inadequacies in the available toxicity data</w:t>
      </w:r>
      <w:r>
        <w:t xml:space="preserve">. </w:t>
      </w:r>
      <w:r w:rsidRPr="00BE548F">
        <w:t>The magnitude of the various AFs and the type and magnitude of the extrapolations that are inherently assumed by the AFs used in the modified US</w:t>
      </w:r>
      <w:r>
        <w:t xml:space="preserve"> </w:t>
      </w:r>
      <w:r w:rsidRPr="00BE548F">
        <w:t>EPA (OECD 1992) and CCME (1991) methods are presented in Table 18</w:t>
      </w:r>
      <w:r>
        <w:t xml:space="preserve"> below</w:t>
      </w:r>
      <w:r w:rsidRPr="00BE548F">
        <w:t>.</w:t>
      </w:r>
    </w:p>
    <w:p w:rsidR="009F182B" w:rsidRPr="00BE548F" w:rsidRDefault="009F182B" w:rsidP="006C2E16"/>
    <w:p w:rsidR="006C2E16" w:rsidRDefault="006C2E16" w:rsidP="006C2E16">
      <w:r w:rsidRPr="00BE548F">
        <w:t>The field</w:t>
      </w:r>
      <w:r>
        <w:t>-</w:t>
      </w:r>
      <w:r w:rsidRPr="00BE548F">
        <w:t>to</w:t>
      </w:r>
      <w:r>
        <w:t>-</w:t>
      </w:r>
      <w:r w:rsidRPr="00BE548F">
        <w:t>laboratory extrapolation accounts for the supposition that laboratory studies tend to underestimate the toxicity in the field</w:t>
      </w:r>
      <w:r>
        <w:t xml:space="preserve">. </w:t>
      </w:r>
      <w:r w:rsidRPr="00BE548F">
        <w:t>Proposed reasons for this include: laboratory tests being conducted on animals that are robust and easily bred/maintained in the laboratory rather than ‘sensitive’ species</w:t>
      </w:r>
      <w:r>
        <w:t>,</w:t>
      </w:r>
      <w:r w:rsidRPr="00BE548F">
        <w:t xml:space="preserve"> life stages </w:t>
      </w:r>
      <w:r>
        <w:t xml:space="preserve">that are </w:t>
      </w:r>
      <w:r w:rsidRPr="00BE548F">
        <w:t>not tested in the laboratory may be more sensitive to toxicants (Hart 1996)</w:t>
      </w:r>
      <w:r>
        <w:t>,</w:t>
      </w:r>
      <w:r w:rsidRPr="00BE548F">
        <w:t xml:space="preserve"> and all the limitations associated with single species toxicity tests that are discussed in Warne (1998)</w:t>
      </w:r>
      <w:r>
        <w:t>.</w:t>
      </w:r>
    </w:p>
    <w:p w:rsidR="009F182B" w:rsidRDefault="009F182B" w:rsidP="006C2E16"/>
    <w:p w:rsidR="006C2E16" w:rsidRDefault="006C2E16" w:rsidP="006C2E16">
      <w:r>
        <w:t>I</w:t>
      </w:r>
      <w:r w:rsidRPr="00BE548F">
        <w:t>t is also possible for laboratory</w:t>
      </w:r>
      <w:r>
        <w:t>-</w:t>
      </w:r>
      <w:r w:rsidRPr="00BE548F">
        <w:t>based experiments to overestimate the toxicity in field situations</w:t>
      </w:r>
      <w:r>
        <w:t xml:space="preserve">. </w:t>
      </w:r>
      <w:r w:rsidRPr="00BE548F">
        <w:t>This can arise if laboratory experiments use freshly spiked soils with minimal ageing period</w:t>
      </w:r>
      <w:r>
        <w:t>,</w:t>
      </w:r>
      <w:r w:rsidRPr="00BE548F">
        <w:t xml:space="preserve"> which overestimates the bioavailability compared to field bioavailability. </w:t>
      </w:r>
    </w:p>
    <w:p w:rsidR="009F182B" w:rsidRPr="00BE548F" w:rsidRDefault="009F182B" w:rsidP="006C2E16"/>
    <w:p w:rsidR="006C2E16" w:rsidRDefault="006C2E16" w:rsidP="006C2E16">
      <w:r w:rsidRPr="00BE548F">
        <w:t>The acute</w:t>
      </w:r>
      <w:r>
        <w:t>-</w:t>
      </w:r>
      <w:r w:rsidRPr="00BE548F">
        <w:t>to</w:t>
      </w:r>
      <w:r>
        <w:t>-</w:t>
      </w:r>
      <w:r w:rsidRPr="00BE548F">
        <w:t xml:space="preserve">chronic extrapolation is extensively used to derive WQGs because the vast majority of toxicity data </w:t>
      </w:r>
      <w:r>
        <w:t>is</w:t>
      </w:r>
      <w:r w:rsidRPr="00BE548F">
        <w:t xml:space="preserve"> acute whereas chronic data </w:t>
      </w:r>
      <w:r>
        <w:t>is</w:t>
      </w:r>
      <w:r w:rsidRPr="00BE548F">
        <w:t xml:space="preserve"> preferred for environmental protection</w:t>
      </w:r>
      <w:r>
        <w:t xml:space="preserve">. </w:t>
      </w:r>
      <w:r w:rsidRPr="00BE548F">
        <w:t>The CCME method (CCME 1991), like the original US</w:t>
      </w:r>
      <w:r>
        <w:t xml:space="preserve"> </w:t>
      </w:r>
      <w:r w:rsidRPr="00BE548F">
        <w:t>EPA method (US</w:t>
      </w:r>
      <w:r>
        <w:t xml:space="preserve"> </w:t>
      </w:r>
      <w:r w:rsidRPr="00BE548F">
        <w:t>EPA 1986), uses an ACR derived from another species for the same contaminant in preference to a generic ACR</w:t>
      </w:r>
      <w:r>
        <w:t xml:space="preserve">. </w:t>
      </w:r>
      <w:r w:rsidRPr="00BE548F">
        <w:t>When a contaminant</w:t>
      </w:r>
      <w:r>
        <w:t>-</w:t>
      </w:r>
      <w:r w:rsidRPr="00BE548F">
        <w:t>specific ACR is not available</w:t>
      </w:r>
      <w:r>
        <w:t>,</w:t>
      </w:r>
      <w:r w:rsidRPr="00BE548F">
        <w:t xml:space="preserve"> then CCME (1991) and the US</w:t>
      </w:r>
      <w:r>
        <w:t xml:space="preserve"> </w:t>
      </w:r>
      <w:r w:rsidRPr="00BE548F">
        <w:t>EPA (1986) use a generic ACR</w:t>
      </w:r>
      <w:r>
        <w:t xml:space="preserve">. </w:t>
      </w:r>
      <w:r w:rsidRPr="00BE548F">
        <w:t>CCME (1991) uses an ACR of 2 or 10 depending on the environmental persistence of the contaminant</w:t>
      </w:r>
      <w:r>
        <w:t>,</w:t>
      </w:r>
      <w:r w:rsidRPr="00BE548F">
        <w:t xml:space="preserve"> </w:t>
      </w:r>
      <w:r>
        <w:t>w</w:t>
      </w:r>
      <w:r w:rsidRPr="00BE548F">
        <w:t>hile the modified (OECD 1995) and unmodified US</w:t>
      </w:r>
      <w:r>
        <w:t xml:space="preserve"> </w:t>
      </w:r>
      <w:r w:rsidRPr="00BE548F">
        <w:t>EPA (1986) methods use one generic ACR of 10.</w:t>
      </w:r>
    </w:p>
    <w:p w:rsidR="009F182B" w:rsidRPr="00BE548F" w:rsidRDefault="009F182B" w:rsidP="006C2E16"/>
    <w:p w:rsidR="006C2E16" w:rsidRDefault="006C2E16" w:rsidP="006C2E16">
      <w:r w:rsidRPr="00BE548F">
        <w:t>However, an acute</w:t>
      </w:r>
      <w:r>
        <w:t>-</w:t>
      </w:r>
      <w:r w:rsidRPr="00BE548F">
        <w:t>to</w:t>
      </w:r>
      <w:r>
        <w:t>-</w:t>
      </w:r>
      <w:r w:rsidRPr="00BE548F">
        <w:t>chronic extrapolation is not used in soil guideline value derivation</w:t>
      </w:r>
      <w:r>
        <w:t xml:space="preserve">. </w:t>
      </w:r>
      <w:r w:rsidRPr="00BE548F">
        <w:t>An acute</w:t>
      </w:r>
      <w:r>
        <w:t>-</w:t>
      </w:r>
      <w:r w:rsidRPr="00BE548F">
        <w:t>to</w:t>
      </w:r>
      <w:r>
        <w:t>-</w:t>
      </w:r>
      <w:r w:rsidRPr="00BE548F">
        <w:t>chronic extrapolation should only be used for short</w:t>
      </w:r>
      <w:r>
        <w:t>-</w:t>
      </w:r>
      <w:r w:rsidRPr="00BE548F">
        <w:t>term contact exposure studies. Such tests are a very short-term acute toxicity test performed on direct dermal contact using earthworms</w:t>
      </w:r>
      <w:r>
        <w:t>,</w:t>
      </w:r>
      <w:r w:rsidRPr="00BE548F">
        <w:t xml:space="preserve"> which might not represent exposure in soils accurately</w:t>
      </w:r>
      <w:r>
        <w:t xml:space="preserve">. </w:t>
      </w:r>
      <w:r w:rsidRPr="00BE548F">
        <w:t xml:space="preserve">The test will very likely give toxicity values </w:t>
      </w:r>
      <w:r>
        <w:t xml:space="preserve">that </w:t>
      </w:r>
      <w:r w:rsidRPr="00BE548F">
        <w:t xml:space="preserve">are an underestimation of chronic exposure toxicity data. </w:t>
      </w:r>
    </w:p>
    <w:p w:rsidR="009F182B" w:rsidRPr="00BE548F" w:rsidRDefault="009F182B" w:rsidP="006C2E16"/>
    <w:p w:rsidR="006C2E16" w:rsidRDefault="006C2E16" w:rsidP="006C2E16">
      <w:r w:rsidRPr="00BE548F">
        <w:t>Most AF methods used in most jurisdictions have minimum data requirements</w:t>
      </w:r>
      <w:r>
        <w:t xml:space="preserve">. </w:t>
      </w:r>
      <w:r w:rsidRPr="00BE548F">
        <w:t>When these are not met then an interspecies extrapolation is used</w:t>
      </w:r>
      <w:r>
        <w:t xml:space="preserve">. </w:t>
      </w:r>
      <w:r w:rsidRPr="00BE548F">
        <w:t xml:space="preserve">This is used because there is increased uncertainty in deriving guideline values from such a small sample size. </w:t>
      </w:r>
    </w:p>
    <w:p w:rsidR="006C2E16" w:rsidRDefault="006C2E16" w:rsidP="006C2E16">
      <w:pPr>
        <w:pStyle w:val="Caption"/>
      </w:pPr>
      <w:r w:rsidRPr="00363524">
        <w:t>Table 18. The assessment factors, types and magnitudes of the extrapolations used in the modified US EPA and CCME methods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5" w:type="dxa"/>
          <w:right w:w="145" w:type="dxa"/>
        </w:tblCellMar>
        <w:tblLook w:val="0000" w:firstRow="0" w:lastRow="0" w:firstColumn="0" w:lastColumn="0" w:noHBand="0" w:noVBand="0"/>
      </w:tblPr>
      <w:tblGrid>
        <w:gridCol w:w="3543"/>
        <w:gridCol w:w="1980"/>
        <w:gridCol w:w="2160"/>
        <w:gridCol w:w="1260"/>
      </w:tblGrid>
      <w:tr w:rsidR="006C2E16" w:rsidRPr="006700D5" w:rsidTr="00A10D4B">
        <w:trPr>
          <w:jc w:val="center"/>
        </w:trPr>
        <w:tc>
          <w:tcPr>
            <w:tcW w:w="3543" w:type="dxa"/>
            <w:shd w:val="clear" w:color="auto" w:fill="C6D9F1" w:themeFill="text2" w:themeFillTint="33"/>
            <w:noWrap/>
          </w:tcPr>
          <w:p w:rsidR="006C2E16" w:rsidRPr="00A32B74" w:rsidRDefault="006C2E16" w:rsidP="001C6BE7">
            <w:pPr>
              <w:pStyle w:val="text"/>
            </w:pPr>
            <w:r w:rsidRPr="00A32B74">
              <w:t>Available toxicity data</w:t>
            </w:r>
          </w:p>
        </w:tc>
        <w:tc>
          <w:tcPr>
            <w:tcW w:w="1980" w:type="dxa"/>
            <w:shd w:val="clear" w:color="auto" w:fill="C6D9F1" w:themeFill="text2" w:themeFillTint="33"/>
            <w:noWrap/>
          </w:tcPr>
          <w:p w:rsidR="006C2E16" w:rsidRPr="00A32B74" w:rsidRDefault="006C2E16" w:rsidP="00A10D4B">
            <w:pPr>
              <w:jc w:val="center"/>
              <w:rPr>
                <w:b/>
              </w:rPr>
            </w:pPr>
            <w:r w:rsidRPr="00A32B74">
              <w:rPr>
                <w:b/>
              </w:rPr>
              <w:t>Type of extrapolation</w:t>
            </w:r>
          </w:p>
        </w:tc>
        <w:tc>
          <w:tcPr>
            <w:tcW w:w="2160" w:type="dxa"/>
            <w:shd w:val="clear" w:color="auto" w:fill="C6D9F1" w:themeFill="text2" w:themeFillTint="33"/>
            <w:noWrap/>
          </w:tcPr>
          <w:p w:rsidR="006C2E16" w:rsidRPr="00A32B74" w:rsidRDefault="006C2E16" w:rsidP="00A10D4B">
            <w:pPr>
              <w:jc w:val="center"/>
              <w:rPr>
                <w:b/>
              </w:rPr>
            </w:pPr>
            <w:r w:rsidRPr="00A32B74">
              <w:rPr>
                <w:b/>
              </w:rPr>
              <w:t>Modified US EPA method</w:t>
            </w:r>
            <w:r w:rsidRPr="00A32B74">
              <w:rPr>
                <w:b/>
                <w:vertAlign w:val="superscript"/>
              </w:rPr>
              <w:t>a</w:t>
            </w:r>
          </w:p>
        </w:tc>
        <w:tc>
          <w:tcPr>
            <w:tcW w:w="1260" w:type="dxa"/>
            <w:shd w:val="clear" w:color="auto" w:fill="C6D9F1" w:themeFill="text2" w:themeFillTint="33"/>
            <w:noWrap/>
          </w:tcPr>
          <w:p w:rsidR="006C2E16" w:rsidRPr="00A32B74" w:rsidRDefault="006C2E16" w:rsidP="00A10D4B">
            <w:pPr>
              <w:jc w:val="center"/>
              <w:rPr>
                <w:b/>
              </w:rPr>
            </w:pPr>
            <w:r w:rsidRPr="00A32B74">
              <w:rPr>
                <w:b/>
              </w:rPr>
              <w:t>CCME method</w:t>
            </w:r>
            <w:r w:rsidRPr="00A32B74">
              <w:rPr>
                <w:b/>
                <w:vertAlign w:val="superscript"/>
              </w:rPr>
              <w:t>b</w:t>
            </w:r>
          </w:p>
        </w:tc>
      </w:tr>
      <w:tr w:rsidR="006C2E16" w:rsidRPr="006700D5" w:rsidTr="00A10D4B">
        <w:trPr>
          <w:jc w:val="center"/>
        </w:trPr>
        <w:tc>
          <w:tcPr>
            <w:tcW w:w="3543" w:type="dxa"/>
            <w:noWrap/>
          </w:tcPr>
          <w:p w:rsidR="006C2E16" w:rsidRPr="006700D5" w:rsidRDefault="006C2E16" w:rsidP="001C6BE7">
            <w:pPr>
              <w:pStyle w:val="text"/>
            </w:pPr>
            <w:r w:rsidRPr="006700D5">
              <w:t>Chronic NOEC (for the US EPA)</w:t>
            </w:r>
            <w:r w:rsidRPr="006700D5">
              <w:br/>
              <w:t>or LOEC (for CCME)</w:t>
            </w:r>
          </w:p>
        </w:tc>
        <w:tc>
          <w:tcPr>
            <w:tcW w:w="1980" w:type="dxa"/>
            <w:noWrap/>
          </w:tcPr>
          <w:p w:rsidR="006C2E16" w:rsidRPr="00A32B74" w:rsidRDefault="006C2E16" w:rsidP="00A10D4B">
            <w:r w:rsidRPr="00A32B74">
              <w:t>Field-to-laboratory</w:t>
            </w:r>
          </w:p>
        </w:tc>
        <w:tc>
          <w:tcPr>
            <w:tcW w:w="2160" w:type="dxa"/>
            <w:noWrap/>
          </w:tcPr>
          <w:p w:rsidR="006C2E16" w:rsidRPr="00A32B74" w:rsidRDefault="006C2E16" w:rsidP="00A10D4B">
            <w:pPr>
              <w:jc w:val="center"/>
            </w:pPr>
            <w:r w:rsidRPr="00A32B74">
              <w:t>10</w:t>
            </w:r>
          </w:p>
        </w:tc>
        <w:tc>
          <w:tcPr>
            <w:tcW w:w="1260" w:type="dxa"/>
            <w:noWrap/>
          </w:tcPr>
          <w:p w:rsidR="006C2E16" w:rsidRPr="00A32B74" w:rsidRDefault="006C2E16" w:rsidP="00A10D4B">
            <w:r w:rsidRPr="00A32B74">
              <w:t>10</w:t>
            </w:r>
          </w:p>
        </w:tc>
      </w:tr>
      <w:tr w:rsidR="006C2E16" w:rsidRPr="006700D5" w:rsidTr="00A10D4B">
        <w:trPr>
          <w:jc w:val="center"/>
        </w:trPr>
        <w:tc>
          <w:tcPr>
            <w:tcW w:w="3543" w:type="dxa"/>
            <w:noWrap/>
          </w:tcPr>
          <w:p w:rsidR="006C2E16" w:rsidRPr="006700D5" w:rsidRDefault="006C2E16" w:rsidP="001C6BE7">
            <w:pPr>
              <w:pStyle w:val="text"/>
            </w:pPr>
            <w:r w:rsidRPr="006700D5">
              <w:t>Acute LC</w:t>
            </w:r>
            <w:r w:rsidRPr="00A32B74">
              <w:rPr>
                <w:vertAlign w:val="subscript"/>
              </w:rPr>
              <w:t>50</w:t>
            </w:r>
            <w:r w:rsidRPr="006700D5">
              <w:t xml:space="preserve"> or EC</w:t>
            </w:r>
            <w:r w:rsidRPr="00A32B74">
              <w:rPr>
                <w:vertAlign w:val="subscript"/>
              </w:rPr>
              <w:t>50</w:t>
            </w:r>
          </w:p>
        </w:tc>
        <w:tc>
          <w:tcPr>
            <w:tcW w:w="1980" w:type="dxa"/>
            <w:noWrap/>
          </w:tcPr>
          <w:p w:rsidR="006C2E16" w:rsidRPr="00A32B74" w:rsidRDefault="006C2E16" w:rsidP="00A10D4B">
            <w:r w:rsidRPr="00A32B74">
              <w:t>Field-to-laboratory and acute-to-chronic</w:t>
            </w:r>
          </w:p>
        </w:tc>
        <w:tc>
          <w:tcPr>
            <w:tcW w:w="2160" w:type="dxa"/>
            <w:noWrap/>
          </w:tcPr>
          <w:p w:rsidR="006C2E16" w:rsidRPr="00A32B74" w:rsidRDefault="006C2E16" w:rsidP="00A10D4B">
            <w:pPr>
              <w:jc w:val="center"/>
            </w:pPr>
            <w:r w:rsidRPr="00A32B74">
              <w:t>100</w:t>
            </w:r>
            <w:r w:rsidRPr="00A32B74">
              <w:br/>
              <w:t>(10 x 10)</w:t>
            </w:r>
          </w:p>
        </w:tc>
        <w:tc>
          <w:tcPr>
            <w:tcW w:w="1260" w:type="dxa"/>
            <w:noWrap/>
          </w:tcPr>
          <w:p w:rsidR="006C2E16" w:rsidRPr="00A32B74" w:rsidRDefault="006C2E16" w:rsidP="00A10D4B">
            <w:r w:rsidRPr="00A32B74">
              <w:t>ACR or</w:t>
            </w:r>
            <w:r w:rsidRPr="00A32B74">
              <w:br/>
              <w:t>20 or 100</w:t>
            </w:r>
            <w:r w:rsidRPr="00A32B74">
              <w:rPr>
                <w:vertAlign w:val="superscript"/>
              </w:rPr>
              <w:t>c</w:t>
            </w:r>
          </w:p>
        </w:tc>
      </w:tr>
      <w:tr w:rsidR="006C2E16" w:rsidRPr="006700D5" w:rsidTr="00A10D4B">
        <w:trPr>
          <w:jc w:val="center"/>
        </w:trPr>
        <w:tc>
          <w:tcPr>
            <w:tcW w:w="3543" w:type="dxa"/>
            <w:noWrap/>
          </w:tcPr>
          <w:p w:rsidR="006C2E16" w:rsidRPr="006700D5" w:rsidRDefault="006C2E16" w:rsidP="001C6BE7">
            <w:pPr>
              <w:pStyle w:val="text"/>
            </w:pPr>
            <w:r w:rsidRPr="006700D5">
              <w:t>Acute LC</w:t>
            </w:r>
            <w:r w:rsidRPr="00A32B74">
              <w:rPr>
                <w:vertAlign w:val="subscript"/>
              </w:rPr>
              <w:t>50</w:t>
            </w:r>
            <w:r w:rsidRPr="006700D5">
              <w:t xml:space="preserve"> or EC</w:t>
            </w:r>
            <w:r w:rsidRPr="00A32B74">
              <w:rPr>
                <w:vertAlign w:val="subscript"/>
              </w:rPr>
              <w:t>50</w:t>
            </w:r>
            <w:r w:rsidRPr="006700D5">
              <w:t xml:space="preserve"> for one </w:t>
            </w:r>
            <w:r w:rsidRPr="006700D5">
              <w:br/>
              <w:t>or two species</w:t>
            </w:r>
          </w:p>
        </w:tc>
        <w:tc>
          <w:tcPr>
            <w:tcW w:w="1980" w:type="dxa"/>
            <w:noWrap/>
          </w:tcPr>
          <w:p w:rsidR="006C2E16" w:rsidRPr="00A32B74" w:rsidRDefault="006C2E16" w:rsidP="00A10D4B">
            <w:r w:rsidRPr="00A32B74">
              <w:t>Field-to-laboratory and acute-to-chronic and interspecies</w:t>
            </w:r>
          </w:p>
        </w:tc>
        <w:tc>
          <w:tcPr>
            <w:tcW w:w="2160" w:type="dxa"/>
            <w:noWrap/>
          </w:tcPr>
          <w:p w:rsidR="006C2E16" w:rsidRPr="00A32B74" w:rsidRDefault="006C2E16" w:rsidP="00A10D4B">
            <w:pPr>
              <w:jc w:val="center"/>
            </w:pPr>
            <w:r w:rsidRPr="00A32B74">
              <w:t>1000</w:t>
            </w:r>
            <w:r w:rsidRPr="00A32B74">
              <w:br/>
              <w:t>(10 x 10 x</w:t>
            </w:r>
            <w:r>
              <w:t xml:space="preserve"> </w:t>
            </w:r>
            <w:r w:rsidRPr="00A32B74">
              <w:t>10)</w:t>
            </w:r>
          </w:p>
        </w:tc>
        <w:tc>
          <w:tcPr>
            <w:tcW w:w="1260" w:type="dxa"/>
            <w:noWrap/>
          </w:tcPr>
          <w:p w:rsidR="006C2E16" w:rsidRPr="00A32B74" w:rsidRDefault="006C2E16" w:rsidP="00A10D4B">
            <w:r w:rsidRPr="00A32B74">
              <w:t>ACR or</w:t>
            </w:r>
            <w:r w:rsidRPr="00A32B74">
              <w:br/>
              <w:t>20 or 100</w:t>
            </w:r>
            <w:r w:rsidRPr="00A32B74">
              <w:rPr>
                <w:vertAlign w:val="superscript"/>
              </w:rPr>
              <w:t>d</w:t>
            </w:r>
          </w:p>
        </w:tc>
      </w:tr>
    </w:tbl>
    <w:p w:rsidR="006C2E16" w:rsidRPr="00A32B74" w:rsidRDefault="006C2E16" w:rsidP="006C2E16">
      <w:pPr>
        <w:rPr>
          <w:sz w:val="18"/>
          <w:szCs w:val="18"/>
        </w:rPr>
      </w:pPr>
      <w:r w:rsidRPr="00A32B74">
        <w:rPr>
          <w:sz w:val="18"/>
          <w:szCs w:val="18"/>
          <w:vertAlign w:val="superscript"/>
        </w:rPr>
        <w:t>a</w:t>
      </w:r>
      <w:r w:rsidRPr="00A32B74">
        <w:rPr>
          <w:sz w:val="18"/>
          <w:szCs w:val="18"/>
        </w:rPr>
        <w:t xml:space="preserve"> It is assumed toxicity data is available for at least an algae, a crustacean and a fish (OECD 1992).</w:t>
      </w:r>
    </w:p>
    <w:p w:rsidR="006C2E16" w:rsidRPr="00A32B74" w:rsidRDefault="006C2E16" w:rsidP="006C2E16">
      <w:pPr>
        <w:rPr>
          <w:sz w:val="18"/>
          <w:szCs w:val="18"/>
        </w:rPr>
      </w:pPr>
      <w:r w:rsidRPr="00A32B74">
        <w:rPr>
          <w:sz w:val="18"/>
          <w:szCs w:val="18"/>
          <w:vertAlign w:val="superscript"/>
        </w:rPr>
        <w:t>b</w:t>
      </w:r>
      <w:r w:rsidRPr="00A32B74">
        <w:rPr>
          <w:sz w:val="18"/>
          <w:szCs w:val="18"/>
        </w:rPr>
        <w:t xml:space="preserve"> Assumes that toxicity data is available for at least three species of fish, of which two must be chronic; two invertebrates, one of which should be planktonic; and a freshwater vascular plant or algae (CCME 1991). </w:t>
      </w:r>
    </w:p>
    <w:p w:rsidR="006C2E16" w:rsidRPr="00A32B74" w:rsidRDefault="006C2E16" w:rsidP="006C2E16">
      <w:pPr>
        <w:rPr>
          <w:sz w:val="18"/>
          <w:szCs w:val="18"/>
        </w:rPr>
      </w:pPr>
      <w:r w:rsidRPr="00A32B74">
        <w:rPr>
          <w:sz w:val="18"/>
          <w:szCs w:val="18"/>
          <w:vertAlign w:val="superscript"/>
        </w:rPr>
        <w:t>c</w:t>
      </w:r>
      <w:r w:rsidRPr="00A32B74">
        <w:rPr>
          <w:sz w:val="18"/>
          <w:szCs w:val="18"/>
        </w:rPr>
        <w:t xml:space="preserve"> An AF of 50 is used for non-persistent contaminants while 100 is used for persistent contaminants when no ACR is available.</w:t>
      </w:r>
    </w:p>
    <w:p w:rsidR="006C2E16" w:rsidRPr="00A32B74" w:rsidRDefault="006C2E16" w:rsidP="006C2E16">
      <w:pPr>
        <w:rPr>
          <w:sz w:val="18"/>
          <w:szCs w:val="18"/>
        </w:rPr>
      </w:pPr>
      <w:r w:rsidRPr="00A32B74">
        <w:rPr>
          <w:sz w:val="18"/>
          <w:szCs w:val="18"/>
          <w:vertAlign w:val="superscript"/>
        </w:rPr>
        <w:lastRenderedPageBreak/>
        <w:t>d</w:t>
      </w:r>
      <w:r w:rsidRPr="00A32B74">
        <w:rPr>
          <w:sz w:val="18"/>
          <w:szCs w:val="18"/>
        </w:rPr>
        <w:t xml:space="preserve"> Where data is not sufficient to meet the requirements set in b, then interim WQGs are derived (CCME, 1991). </w:t>
      </w:r>
    </w:p>
    <w:p w:rsidR="006C2E16" w:rsidRPr="00BE548F" w:rsidRDefault="006C2E16" w:rsidP="006C2E16">
      <w:pPr>
        <w:pStyle w:val="Heading4"/>
      </w:pPr>
      <w:bookmarkStart w:id="159" w:name="_Toc351713170"/>
      <w:r w:rsidRPr="00BE548F">
        <w:t>Criticisms</w:t>
      </w:r>
      <w:bookmarkEnd w:id="159"/>
    </w:p>
    <w:p w:rsidR="006C2E16" w:rsidRDefault="006C2E16" w:rsidP="006C2E16">
      <w:r w:rsidRPr="00BE548F">
        <w:t>Criticisms of the AF approach revolve around the scientific validity of AFs, the magnitude of the AFs, and whether or not the method is consistent with a risk framework and the principle of ecologically sustainable development</w:t>
      </w:r>
      <w:r>
        <w:t xml:space="preserve">. </w:t>
      </w:r>
      <w:r w:rsidRPr="00BE548F">
        <w:t>Many scientists and organisations have acknowledged the arbitrary nature of AFs, that they have no theoretical scientific basis and are purely empirical (Hart 1974</w:t>
      </w:r>
      <w:r>
        <w:t>;</w:t>
      </w:r>
      <w:r w:rsidRPr="00BE548F">
        <w:t xml:space="preserve"> Nicholson 1984</w:t>
      </w:r>
      <w:r>
        <w:t>;</w:t>
      </w:r>
      <w:r w:rsidRPr="00BE548F">
        <w:t xml:space="preserve"> Kooijman</w:t>
      </w:r>
      <w:r>
        <w:t>d</w:t>
      </w:r>
      <w:r w:rsidRPr="00BE548F">
        <w:t xml:space="preserve"> 1987</w:t>
      </w:r>
      <w:r>
        <w:t>;</w:t>
      </w:r>
      <w:r w:rsidRPr="00BE548F">
        <w:t xml:space="preserve"> Okkerman et al. 1991</w:t>
      </w:r>
      <w:r>
        <w:t>;</w:t>
      </w:r>
      <w:r w:rsidRPr="00BE548F">
        <w:t xml:space="preserve"> OECD 1992</w:t>
      </w:r>
      <w:r>
        <w:t>;</w:t>
      </w:r>
      <w:r w:rsidRPr="00BE548F">
        <w:t xml:space="preserve"> Schudoma 1994</w:t>
      </w:r>
      <w:r>
        <w:t>;</w:t>
      </w:r>
      <w:r w:rsidRPr="00BE548F">
        <w:t xml:space="preserve"> Rand et al. 1995</w:t>
      </w:r>
      <w:r>
        <w:t>;</w:t>
      </w:r>
      <w:r w:rsidRPr="00BE548F">
        <w:t xml:space="preserve"> OECD 1995</w:t>
      </w:r>
      <w:r>
        <w:t>;</w:t>
      </w:r>
      <w:r w:rsidRPr="00BE548F">
        <w:t xml:space="preserve"> Warne 1998)</w:t>
      </w:r>
      <w:r>
        <w:t xml:space="preserve">. </w:t>
      </w:r>
      <w:r w:rsidRPr="00BE548F">
        <w:t>Goldberg (1975) asserted that using AFs was tantamount to admitting that information essential for risk assessments w</w:t>
      </w:r>
      <w:r>
        <w:t>as</w:t>
      </w:r>
      <w:r w:rsidRPr="00BE548F">
        <w:t xml:space="preserve"> lacking</w:t>
      </w:r>
      <w:r>
        <w:t>.</w:t>
      </w:r>
    </w:p>
    <w:p w:rsidR="009F182B" w:rsidRDefault="009F182B" w:rsidP="006C2E16"/>
    <w:p w:rsidR="006C2E16" w:rsidRPr="00BE548F" w:rsidRDefault="006C2E16" w:rsidP="006C2E16">
      <w:r w:rsidRPr="00BE548F">
        <w:t>Nicholson (1984) considered that:</w:t>
      </w:r>
    </w:p>
    <w:p w:rsidR="006C2E16" w:rsidRDefault="006C2E16" w:rsidP="006C2E16">
      <w:r w:rsidRPr="006E677A">
        <w:t>’There is little scientific basis for application factors except that they are the result of careful judgement</w:t>
      </w:r>
      <w:r>
        <w:t xml:space="preserve"> </w:t>
      </w:r>
      <w:r w:rsidRPr="006E677A">
        <w:sym w:font="Symbol" w:char="F0BC"/>
      </w:r>
      <w:r w:rsidRPr="006E677A">
        <w:t xml:space="preserve"> </w:t>
      </w:r>
      <w:r>
        <w:t>t</w:t>
      </w:r>
      <w:r w:rsidRPr="006E677A">
        <w:t>here is little evidence, in most cases, that the arbitrary value chosen is indeed the best choice, i.e. whether a particular value for an application factor will provide ‘adequate’ protection and whether a less (or more) stringent value would be more appropriate.’</w:t>
      </w:r>
    </w:p>
    <w:p w:rsidR="009F182B" w:rsidRPr="006E677A" w:rsidRDefault="009F182B" w:rsidP="006C2E16"/>
    <w:p w:rsidR="006C2E16" w:rsidRDefault="006C2E16" w:rsidP="006C2E16">
      <w:r w:rsidRPr="00BE548F">
        <w:t>The fact that there is no universally accepted magnitude for AFs (as seen in Table 18) confirms their arbitrary nature</w:t>
      </w:r>
      <w:r>
        <w:t xml:space="preserve">. </w:t>
      </w:r>
      <w:r w:rsidRPr="00BE548F">
        <w:t>The AF method ignores all other data except the lowest and is therefore an example of the ‘worst</w:t>
      </w:r>
      <w:r>
        <w:t>-</w:t>
      </w:r>
      <w:r w:rsidRPr="00BE548F">
        <w:t>case scenario’ type of approach</w:t>
      </w:r>
      <w:r>
        <w:t xml:space="preserve">. </w:t>
      </w:r>
      <w:r w:rsidRPr="00BE548F">
        <w:t>Such a procedure is at odds with a risk-based approach, which requires an array of data in order to derive estimates of the probability of certain toxicological events occurring</w:t>
      </w:r>
      <w:r>
        <w:t xml:space="preserve">. </w:t>
      </w:r>
      <w:r w:rsidRPr="00BE548F">
        <w:t>Risk</w:t>
      </w:r>
      <w:r>
        <w:t>-</w:t>
      </w:r>
      <w:r w:rsidRPr="00BE548F">
        <w:t xml:space="preserve">based concepts and procedures are central to many of the more recently adopted scientific, social and political paradigms within Australia including the current Australian and New Zealand </w:t>
      </w:r>
      <w:r w:rsidRPr="002217C1">
        <w:rPr>
          <w:i/>
          <w:iCs/>
        </w:rPr>
        <w:t>Guidelines for fresh and marine water quality</w:t>
      </w:r>
      <w:r w:rsidRPr="00BE548F">
        <w:t xml:space="preserve"> (ANZECC </w:t>
      </w:r>
      <w:r>
        <w:t>&amp;</w:t>
      </w:r>
      <w:r w:rsidRPr="00BE548F">
        <w:t xml:space="preserve"> ARMCANZ 2000). </w:t>
      </w:r>
    </w:p>
    <w:p w:rsidR="009F182B" w:rsidRPr="00BE548F" w:rsidRDefault="009F182B" w:rsidP="006C2E16"/>
    <w:p w:rsidR="006C2E16" w:rsidRPr="00BE548F" w:rsidRDefault="006C2E16" w:rsidP="006C2E16">
      <w:r w:rsidRPr="00BE548F">
        <w:t>There has been considerable discussion in the scientific literature about the appropriate size of AFs</w:t>
      </w:r>
      <w:r>
        <w:t xml:space="preserve">. </w:t>
      </w:r>
      <w:r w:rsidRPr="00BE548F">
        <w:t xml:space="preserve">There are numerous examples </w:t>
      </w:r>
      <w:r>
        <w:t xml:space="preserve">of </w:t>
      </w:r>
      <w:r w:rsidRPr="00BE548F">
        <w:t xml:space="preserve">where AFs should be less than 10 and equally numerous examples </w:t>
      </w:r>
      <w:r>
        <w:t xml:space="preserve">of </w:t>
      </w:r>
      <w:r w:rsidRPr="00BE548F">
        <w:t xml:space="preserve">where they should be considerably larger (refer to Warne </w:t>
      </w:r>
      <w:r>
        <w:t>(</w:t>
      </w:r>
      <w:r w:rsidRPr="00BE548F">
        <w:t>1998</w:t>
      </w:r>
      <w:r>
        <w:t>)</w:t>
      </w:r>
      <w:r w:rsidRPr="00BE548F">
        <w:t xml:space="preserve"> and Chapman et al. </w:t>
      </w:r>
      <w:r>
        <w:t>(</w:t>
      </w:r>
      <w:r w:rsidRPr="00BE548F">
        <w:t>1998</w:t>
      </w:r>
      <w:r>
        <w:t>)</w:t>
      </w:r>
      <w:r w:rsidRPr="00BE548F">
        <w:t xml:space="preserve"> for detail)</w:t>
      </w:r>
      <w:r>
        <w:t xml:space="preserve">. </w:t>
      </w:r>
      <w:r w:rsidRPr="00BE548F">
        <w:t xml:space="preserve">Chapman et al. (1998) concluded that the discussion about the size of the AFs is </w:t>
      </w:r>
      <w:r>
        <w:t>’</w:t>
      </w:r>
      <w:r w:rsidRPr="00BE548F">
        <w:t>to some extent futile … because no one set of factors has universal applicability</w:t>
      </w:r>
      <w:r>
        <w:t xml:space="preserve">’. </w:t>
      </w:r>
      <w:r w:rsidRPr="00BE548F">
        <w:t>Ultimately, AFs are a measure to address a lack of knowledge and as soon as that knowledge is available</w:t>
      </w:r>
      <w:r>
        <w:t>,</w:t>
      </w:r>
      <w:r w:rsidRPr="00BE548F">
        <w:t xml:space="preserve"> AFs should no longer be used.</w:t>
      </w:r>
    </w:p>
    <w:p w:rsidR="006C2E16" w:rsidRPr="00BE548F" w:rsidRDefault="006C2E16" w:rsidP="006C2E16">
      <w:pPr>
        <w:pStyle w:val="Heading4"/>
      </w:pPr>
      <w:bookmarkStart w:id="160" w:name="_Toc351713171"/>
      <w:r w:rsidRPr="00BE548F">
        <w:t>Strengths and weaknesses</w:t>
      </w:r>
      <w:bookmarkEnd w:id="160"/>
    </w:p>
    <w:p w:rsidR="006C2E16" w:rsidRDefault="006C2E16" w:rsidP="006C2E16">
      <w:r w:rsidRPr="00BE548F">
        <w:t>The strengths of AF methods are</w:t>
      </w:r>
      <w:r>
        <w:t xml:space="preserve"> that</w:t>
      </w:r>
      <w:r w:rsidRPr="00BE548F">
        <w:t>:</w:t>
      </w:r>
    </w:p>
    <w:p w:rsidR="006C2E16" w:rsidRPr="00BE548F" w:rsidRDefault="006C2E16" w:rsidP="001C6BE7">
      <w:pPr>
        <w:pStyle w:val="Dot-points"/>
        <w:numPr>
          <w:ilvl w:val="0"/>
          <w:numId w:val="29"/>
        </w:numPr>
      </w:pPr>
      <w:r>
        <w:t>they are simple to use</w:t>
      </w:r>
    </w:p>
    <w:p w:rsidR="006C2E16" w:rsidRPr="00BE548F" w:rsidRDefault="006C2E16" w:rsidP="001C6BE7">
      <w:pPr>
        <w:pStyle w:val="Dot-points"/>
        <w:numPr>
          <w:ilvl w:val="0"/>
          <w:numId w:val="29"/>
        </w:numPr>
      </w:pPr>
      <w:r>
        <w:t>t</w:t>
      </w:r>
      <w:r w:rsidRPr="00BE548F">
        <w:t xml:space="preserve">hey </w:t>
      </w:r>
      <w:r>
        <w:t>are easily understood</w:t>
      </w:r>
    </w:p>
    <w:p w:rsidR="006C2E16" w:rsidRPr="00BE548F" w:rsidRDefault="006C2E16" w:rsidP="001C6BE7">
      <w:pPr>
        <w:pStyle w:val="Dot-points"/>
        <w:numPr>
          <w:ilvl w:val="0"/>
          <w:numId w:val="29"/>
        </w:numPr>
      </w:pPr>
      <w:r w:rsidRPr="00BE548F">
        <w:t>EILs can be derived with a</w:t>
      </w:r>
      <w:r>
        <w:t>s little as one toxicity value</w:t>
      </w:r>
    </w:p>
    <w:p w:rsidR="006C2E16" w:rsidRPr="00BE548F" w:rsidRDefault="006C2E16" w:rsidP="001C6BE7">
      <w:pPr>
        <w:pStyle w:val="Dot-points"/>
        <w:numPr>
          <w:ilvl w:val="0"/>
          <w:numId w:val="29"/>
        </w:numPr>
      </w:pPr>
      <w:r>
        <w:t>t</w:t>
      </w:r>
      <w:r w:rsidRPr="00BE548F">
        <w:t>he more unreliable the data the larger the AF becomes – thus taking into account the increased uncertainty</w:t>
      </w:r>
    </w:p>
    <w:p w:rsidR="006C2E16" w:rsidRPr="00BE548F" w:rsidRDefault="006C2E16" w:rsidP="001C6BE7">
      <w:pPr>
        <w:pStyle w:val="Dot-points"/>
        <w:numPr>
          <w:ilvl w:val="0"/>
          <w:numId w:val="29"/>
        </w:numPr>
      </w:pPr>
      <w:r>
        <w:t>t</w:t>
      </w:r>
      <w:r w:rsidRPr="00BE548F">
        <w:t>he magnitude of the AFs can easily b</w:t>
      </w:r>
      <w:r>
        <w:t>e</w:t>
      </w:r>
      <w:r w:rsidRPr="00BE548F">
        <w:t xml:space="preserve"> modified to reflect new toxicological findings but this is invariably not done.</w:t>
      </w:r>
    </w:p>
    <w:p w:rsidR="009F182B" w:rsidRDefault="009F182B" w:rsidP="006C2E16"/>
    <w:p w:rsidR="006C2E16" w:rsidRPr="00BE548F" w:rsidRDefault="006C2E16" w:rsidP="006C2E16">
      <w:r w:rsidRPr="00BE548F">
        <w:t>The weaknesses of AF methods are</w:t>
      </w:r>
      <w:r>
        <w:t xml:space="preserve"> that</w:t>
      </w:r>
      <w:r w:rsidRPr="00BE548F">
        <w:t>:</w:t>
      </w:r>
    </w:p>
    <w:p w:rsidR="006C2E16" w:rsidRPr="00BE548F" w:rsidRDefault="006C2E16" w:rsidP="001C6BE7">
      <w:pPr>
        <w:pStyle w:val="Dot-points"/>
        <w:numPr>
          <w:ilvl w:val="0"/>
          <w:numId w:val="30"/>
        </w:numPr>
      </w:pPr>
      <w:r>
        <w:t>t</w:t>
      </w:r>
      <w:r w:rsidRPr="00BE548F">
        <w:t>he AFs have no theoretical basis</w:t>
      </w:r>
      <w:r>
        <w:t>;</w:t>
      </w:r>
      <w:r w:rsidRPr="00BE548F">
        <w:t xml:space="preserve"> t</w:t>
      </w:r>
      <w:r>
        <w:t>hey are purely empirical</w:t>
      </w:r>
    </w:p>
    <w:p w:rsidR="006C2E16" w:rsidRPr="00BE548F" w:rsidRDefault="006C2E16" w:rsidP="001C6BE7">
      <w:pPr>
        <w:pStyle w:val="Dot-points"/>
        <w:numPr>
          <w:ilvl w:val="0"/>
          <w:numId w:val="30"/>
        </w:numPr>
      </w:pPr>
      <w:r>
        <w:t>t</w:t>
      </w:r>
      <w:r w:rsidRPr="00BE548F">
        <w:t>here is debate over the scientific vali</w:t>
      </w:r>
      <w:r>
        <w:t>dity of acute-to-chronic ratios</w:t>
      </w:r>
    </w:p>
    <w:p w:rsidR="006C2E16" w:rsidRPr="00BE548F" w:rsidRDefault="006C2E16" w:rsidP="001C6BE7">
      <w:pPr>
        <w:pStyle w:val="Dot-points"/>
        <w:numPr>
          <w:ilvl w:val="0"/>
          <w:numId w:val="30"/>
        </w:numPr>
      </w:pPr>
      <w:r>
        <w:t>t</w:t>
      </w:r>
      <w:r w:rsidRPr="00BE548F">
        <w:t>he method is at odds with risk assessment principles</w:t>
      </w:r>
    </w:p>
    <w:p w:rsidR="006C2E16" w:rsidRPr="00BE548F" w:rsidRDefault="006C2E16" w:rsidP="001C6BE7">
      <w:pPr>
        <w:pStyle w:val="Dot-points"/>
        <w:numPr>
          <w:ilvl w:val="0"/>
          <w:numId w:val="30"/>
        </w:numPr>
      </w:pPr>
      <w:r>
        <w:t>t</w:t>
      </w:r>
      <w:r w:rsidRPr="00BE548F">
        <w:t>he method is not transparent</w:t>
      </w:r>
      <w:r>
        <w:t>,</w:t>
      </w:r>
      <w:r w:rsidRPr="00BE548F">
        <w:t xml:space="preserve"> as it does not state the degree of protection provided by an AF of a certain magnitude and thus does not permit informed decisions and debate over the level of protection to occur</w:t>
      </w:r>
      <w:r>
        <w:t>.</w:t>
      </w:r>
    </w:p>
    <w:p w:rsidR="006C2E16" w:rsidRPr="00F972AA" w:rsidRDefault="006C2E16" w:rsidP="00F972AA">
      <w:r w:rsidRPr="00F972AA">
        <w:lastRenderedPageBreak/>
        <w:t>Reflecting the above limitations, many countries only use AF methods to derive SQGs and/or WQGs when SSD methods cannot be used. For example, the Australian and New Zealand (ANZECC &amp; ARMCANZ 2000),  OECD (1995), the Netherlands (Crommentuijn 2000), Canadian (CCME 2006), Danish (Bro-Rasmussen et al. 1994) and South African (Roux et al. 1996) guidelines all now use a statistical extrapolation method in preference to an AF method, which is only used when there is insufficient data.</w:t>
      </w:r>
    </w:p>
    <w:p w:rsidR="006C2E16" w:rsidRPr="00BE548F" w:rsidRDefault="006C2E16" w:rsidP="001C6BE7">
      <w:pPr>
        <w:pStyle w:val="Heading3"/>
      </w:pPr>
      <w:bookmarkStart w:id="161" w:name="_Toc255359994"/>
      <w:bookmarkStart w:id="162" w:name="_Toc269122468"/>
      <w:bookmarkStart w:id="163" w:name="_Toc351713172"/>
      <w:r w:rsidRPr="00BE548F">
        <w:t>Geometric mean methodology of the US</w:t>
      </w:r>
      <w:r>
        <w:t xml:space="preserve"> </w:t>
      </w:r>
      <w:r w:rsidRPr="00BE548F">
        <w:t>EPA</w:t>
      </w:r>
      <w:bookmarkEnd w:id="161"/>
      <w:bookmarkEnd w:id="162"/>
      <w:bookmarkEnd w:id="163"/>
    </w:p>
    <w:p w:rsidR="006C2E16" w:rsidRDefault="006C2E16" w:rsidP="006C2E16">
      <w:r w:rsidRPr="00BE548F">
        <w:t>The US</w:t>
      </w:r>
      <w:r>
        <w:t xml:space="preserve"> </w:t>
      </w:r>
      <w:r w:rsidRPr="00BE548F">
        <w:t>EPA ha</w:t>
      </w:r>
      <w:r>
        <w:t>s</w:t>
      </w:r>
      <w:r w:rsidRPr="00BE548F">
        <w:t xml:space="preserve"> developed ecological soil screening levels (Eco-SSLs) for sites where terrestrial organisms may be exposed directly or indirectly to contaminated soil</w:t>
      </w:r>
      <w:r>
        <w:t>,</w:t>
      </w:r>
      <w:r w:rsidRPr="00BE548F">
        <w:t xml:space="preserve"> using the geometric mean method</w:t>
      </w:r>
      <w:r>
        <w:t xml:space="preserve">. </w:t>
      </w:r>
      <w:r w:rsidRPr="00BE548F">
        <w:t>The geometric mean</w:t>
      </w:r>
      <w:r w:rsidRPr="00BE548F">
        <w:rPr>
          <w:rStyle w:val="FootnoteReference"/>
        </w:rPr>
        <w:footnoteReference w:id="7"/>
      </w:r>
      <w:r w:rsidRPr="00BE548F">
        <w:t xml:space="preserve"> method uses all the toxicity values at the highest relative bioavailability score for which sufficient data existed (</w:t>
      </w:r>
      <w:r>
        <w:t>that is,</w:t>
      </w:r>
      <w:r w:rsidRPr="00BE548F">
        <w:t xml:space="preserve"> ≥3 data points)</w:t>
      </w:r>
      <w:r>
        <w:t xml:space="preserve">. </w:t>
      </w:r>
      <w:r w:rsidRPr="00BE548F">
        <w:t xml:space="preserve">Thus, the Eco-SSL is really the geometric mean of the sensitivities of all organisms for which there </w:t>
      </w:r>
      <w:r>
        <w:t>is</w:t>
      </w:r>
      <w:r w:rsidRPr="00BE548F">
        <w:t xml:space="preserve"> toxicity data in the most bioavailable situation</w:t>
      </w:r>
      <w:r>
        <w:t xml:space="preserve">. </w:t>
      </w:r>
      <w:r w:rsidRPr="00BE548F">
        <w:t>By using the geometric mean approach, there is no consistent level of protection being provided (</w:t>
      </w:r>
      <w:r>
        <w:t>that is,</w:t>
      </w:r>
      <w:r w:rsidRPr="00BE548F">
        <w:t xml:space="preserve"> different percentages of species will be protected)</w:t>
      </w:r>
      <w:r>
        <w:t xml:space="preserve">. </w:t>
      </w:r>
      <w:r w:rsidRPr="00BE548F">
        <w:t>This is not a particularly conservative approach for the soil ecosystems where the contaminant is most bioavailable</w:t>
      </w:r>
      <w:r>
        <w:t>. H</w:t>
      </w:r>
      <w:r w:rsidRPr="00BE548F">
        <w:t xml:space="preserve">owever, the percentage of species that could experience toxic effects will be less and the degree of conservatism greater in the soils where the contaminant is less bioavailable. </w:t>
      </w:r>
    </w:p>
    <w:p w:rsidR="009F182B" w:rsidRPr="00BE548F" w:rsidRDefault="009F182B" w:rsidP="006C2E16">
      <w:pPr>
        <w:rPr>
          <w:b/>
          <w:bCs/>
        </w:rPr>
      </w:pPr>
    </w:p>
    <w:p w:rsidR="006C2E16" w:rsidRDefault="006C2E16" w:rsidP="006C2E16">
      <w:r w:rsidRPr="00BE548F">
        <w:t>Geometric means are also used in the manipulation of toxicity data prior to use within SSD methods</w:t>
      </w:r>
      <w:r>
        <w:t xml:space="preserve">. </w:t>
      </w:r>
      <w:r w:rsidRPr="00BE548F">
        <w:t xml:space="preserve">However, the manner in which the geometric </w:t>
      </w:r>
      <w:r w:rsidRPr="00D16B85">
        <w:t>means</w:t>
      </w:r>
      <w:r w:rsidRPr="00BE548F">
        <w:t xml:space="preserve"> are implemented is quite different to that of the US</w:t>
      </w:r>
      <w:r>
        <w:t xml:space="preserve"> </w:t>
      </w:r>
      <w:r w:rsidRPr="00BE548F">
        <w:t>EPA Eco-SSLs</w:t>
      </w:r>
      <w:r>
        <w:t xml:space="preserve">. </w:t>
      </w:r>
      <w:r w:rsidRPr="00BE548F">
        <w:t>The geometric mean approach is a combination of the worst</w:t>
      </w:r>
      <w:r>
        <w:t>-</w:t>
      </w:r>
      <w:r w:rsidRPr="00BE548F">
        <w:t xml:space="preserve">case </w:t>
      </w:r>
      <w:r>
        <w:t xml:space="preserve">scenario </w:t>
      </w:r>
      <w:r w:rsidRPr="00BE548F">
        <w:t>and risk-based approaches</w:t>
      </w:r>
      <w:r>
        <w:t xml:space="preserve">. </w:t>
      </w:r>
      <w:r w:rsidRPr="00BE548F">
        <w:t>It is a worst-</w:t>
      </w:r>
      <w:r>
        <w:t>case scenario</w:t>
      </w:r>
      <w:r w:rsidRPr="00BE548F">
        <w:t xml:space="preserve"> as it derives Eco-SSLs for the soil in which the contaminant is most bioavailable</w:t>
      </w:r>
      <w:r>
        <w:t xml:space="preserve">. </w:t>
      </w:r>
      <w:r w:rsidRPr="00BE548F">
        <w:t>It is consistent with risk-based approaches as it does not attempt to protect all species.</w:t>
      </w:r>
    </w:p>
    <w:p w:rsidR="006C2E16" w:rsidRPr="00BE548F" w:rsidRDefault="006C2E16" w:rsidP="006C2E16">
      <w:pPr>
        <w:pStyle w:val="Heading4"/>
      </w:pPr>
      <w:bookmarkStart w:id="164" w:name="_Toc351713173"/>
      <w:r w:rsidRPr="00BE548F">
        <w:t>Strengths and limitations</w:t>
      </w:r>
      <w:bookmarkEnd w:id="164"/>
    </w:p>
    <w:p w:rsidR="006C2E16" w:rsidRPr="00BE548F" w:rsidRDefault="006C2E16" w:rsidP="006C2E16">
      <w:r w:rsidRPr="00BE548F">
        <w:t xml:space="preserve">The strengths of </w:t>
      </w:r>
      <w:r>
        <w:t xml:space="preserve">the </w:t>
      </w:r>
      <w:r w:rsidRPr="00BE548F">
        <w:t>geometric mean method are</w:t>
      </w:r>
      <w:r>
        <w:t xml:space="preserve"> that</w:t>
      </w:r>
      <w:r w:rsidRPr="00BE548F">
        <w:t>:</w:t>
      </w:r>
    </w:p>
    <w:p w:rsidR="006C2E16" w:rsidRPr="00BE548F" w:rsidRDefault="006C2E16" w:rsidP="001C6BE7">
      <w:pPr>
        <w:pStyle w:val="Dot-points"/>
        <w:numPr>
          <w:ilvl w:val="0"/>
          <w:numId w:val="31"/>
        </w:numPr>
      </w:pPr>
      <w:r>
        <w:t>it is simple to use</w:t>
      </w:r>
    </w:p>
    <w:p w:rsidR="006C2E16" w:rsidRPr="00BE548F" w:rsidRDefault="006C2E16" w:rsidP="001C6BE7">
      <w:pPr>
        <w:pStyle w:val="Dot-points"/>
        <w:numPr>
          <w:ilvl w:val="0"/>
          <w:numId w:val="31"/>
        </w:numPr>
      </w:pPr>
      <w:r>
        <w:t>i</w:t>
      </w:r>
      <w:r w:rsidRPr="00BE548F">
        <w:t>t is easil</w:t>
      </w:r>
      <w:r>
        <w:t>y understood</w:t>
      </w:r>
    </w:p>
    <w:p w:rsidR="006C2E16" w:rsidRDefault="006C2E16" w:rsidP="001C6BE7">
      <w:pPr>
        <w:pStyle w:val="Dot-points"/>
        <w:numPr>
          <w:ilvl w:val="0"/>
          <w:numId w:val="31"/>
        </w:numPr>
      </w:pPr>
      <w:r>
        <w:t>l</w:t>
      </w:r>
      <w:r w:rsidRPr="00BE548F">
        <w:t>imit values can be derived with as little as three toxicity values</w:t>
      </w:r>
    </w:p>
    <w:p w:rsidR="006C2E16" w:rsidRPr="00BE548F" w:rsidRDefault="006C2E16" w:rsidP="001C6BE7">
      <w:pPr>
        <w:pStyle w:val="Dot-points"/>
        <w:numPr>
          <w:ilvl w:val="0"/>
          <w:numId w:val="31"/>
        </w:numPr>
      </w:pPr>
      <w:r>
        <w:t>i</w:t>
      </w:r>
      <w:r w:rsidRPr="00BE548F">
        <w:t>t is at least partially consistent with risk-based concepts.</w:t>
      </w:r>
    </w:p>
    <w:p w:rsidR="009F182B" w:rsidRDefault="009F182B" w:rsidP="006C2E16"/>
    <w:p w:rsidR="006C2E16" w:rsidRPr="00BE548F" w:rsidRDefault="006C2E16" w:rsidP="006C2E16">
      <w:r w:rsidRPr="00BE548F">
        <w:t>The limitations of the method are</w:t>
      </w:r>
      <w:r>
        <w:t xml:space="preserve"> that</w:t>
      </w:r>
      <w:r w:rsidRPr="00BE548F">
        <w:t>:</w:t>
      </w:r>
    </w:p>
    <w:p w:rsidR="006C2E16" w:rsidRPr="00BE548F" w:rsidRDefault="006C2E16" w:rsidP="001C6BE7">
      <w:pPr>
        <w:pStyle w:val="Dot-points"/>
        <w:numPr>
          <w:ilvl w:val="0"/>
          <w:numId w:val="32"/>
        </w:numPr>
      </w:pPr>
      <w:r>
        <w:t>the</w:t>
      </w:r>
      <w:r w:rsidRPr="00BE548F">
        <w:t xml:space="preserve"> resulting limit does not reflect the uncertainty in the toxicity data used in deriving the limit</w:t>
      </w:r>
      <w:r>
        <w:t>, e.g.</w:t>
      </w:r>
      <w:r w:rsidRPr="00BE548F">
        <w:t xml:space="preserve"> a limit based on </w:t>
      </w:r>
      <w:r>
        <w:t>three</w:t>
      </w:r>
      <w:r w:rsidRPr="00BE548F">
        <w:t xml:space="preserve"> acute laboratory</w:t>
      </w:r>
      <w:r>
        <w:t>-</w:t>
      </w:r>
      <w:r w:rsidRPr="00BE548F">
        <w:t>based toxicity data is treated the same as 25 field-based chronic toxicity data</w:t>
      </w:r>
      <w:r>
        <w:t>—</w:t>
      </w:r>
      <w:r w:rsidRPr="00BE548F">
        <w:t>whereas the latter data</w:t>
      </w:r>
      <w:r>
        <w:t xml:space="preserve"> </w:t>
      </w:r>
      <w:r w:rsidRPr="00BE548F">
        <w:t>set is considerably more environmentally relevant than the former</w:t>
      </w:r>
    </w:p>
    <w:p w:rsidR="006C2E16" w:rsidRPr="00BE548F" w:rsidRDefault="006C2E16" w:rsidP="001C6BE7">
      <w:pPr>
        <w:pStyle w:val="Dot-points"/>
        <w:numPr>
          <w:ilvl w:val="0"/>
          <w:numId w:val="32"/>
        </w:numPr>
      </w:pPr>
      <w:r>
        <w:lastRenderedPageBreak/>
        <w:t>the</w:t>
      </w:r>
      <w:r w:rsidRPr="00BE548F">
        <w:t xml:space="preserve"> resulting limit is not transparent as it does not state the degree of protection and thus does not permit informed decisions and debate over the level of protection to occur.</w:t>
      </w:r>
    </w:p>
    <w:p w:rsidR="006C2E16" w:rsidRPr="00BE548F" w:rsidRDefault="006C2E16" w:rsidP="001C6BE7">
      <w:pPr>
        <w:pStyle w:val="Heading3"/>
      </w:pPr>
      <w:bookmarkStart w:id="165" w:name="_Toc255359995"/>
      <w:bookmarkStart w:id="166" w:name="_Toc269122469"/>
      <w:bookmarkStart w:id="167" w:name="_Toc351713174"/>
      <w:r w:rsidRPr="00BE548F">
        <w:t>Methods for calculating EILs</w:t>
      </w:r>
      <w:bookmarkEnd w:id="165"/>
      <w:bookmarkEnd w:id="166"/>
      <w:bookmarkEnd w:id="167"/>
    </w:p>
    <w:p w:rsidR="006C2E16" w:rsidRPr="00BE548F" w:rsidRDefault="006C2E16" w:rsidP="006C2E16">
      <w:r w:rsidRPr="00BE548F">
        <w:t>In deciding which of the above methods would be best to derive EILs, it is important to recognise the role of EILs</w:t>
      </w:r>
      <w:r>
        <w:t xml:space="preserve">. </w:t>
      </w:r>
      <w:r w:rsidRPr="00BE548F">
        <w:t>They are a concentration above which further investigation should be conducted</w:t>
      </w:r>
      <w:r>
        <w:t xml:space="preserve">. </w:t>
      </w:r>
      <w:r w:rsidRPr="00BE548F">
        <w:t>Therefore</w:t>
      </w:r>
      <w:r>
        <w:t>,</w:t>
      </w:r>
      <w:r w:rsidRPr="00BE548F">
        <w:t xml:space="preserve"> if the contaminant concentration does not exceed the EIL</w:t>
      </w:r>
      <w:r>
        <w:t>,</w:t>
      </w:r>
      <w:r w:rsidRPr="00BE548F">
        <w:t xml:space="preserve"> then it is assumed that the situation does not warrant further investigation and is</w:t>
      </w:r>
      <w:r>
        <w:t>,</w:t>
      </w:r>
      <w:r w:rsidRPr="00BE548F">
        <w:t xml:space="preserve"> in fact</w:t>
      </w:r>
      <w:r>
        <w:t>,</w:t>
      </w:r>
      <w:r w:rsidRPr="00BE548F">
        <w:t xml:space="preserve"> safe</w:t>
      </w:r>
      <w:r>
        <w:t xml:space="preserve">. </w:t>
      </w:r>
      <w:r w:rsidRPr="00BE548F">
        <w:t>Therefore, EILs need to be reasonably conservative</w:t>
      </w:r>
      <w:r>
        <w:t xml:space="preserve">. </w:t>
      </w:r>
      <w:r w:rsidRPr="00BE548F">
        <w:t>Other considerations are scientific validity, ease of use and interpretation and consistency with existing Australian environmental management systems.</w:t>
      </w:r>
    </w:p>
    <w:p w:rsidR="006C2E16" w:rsidRPr="00BE548F" w:rsidRDefault="006C2E16" w:rsidP="001C6BE7">
      <w:pPr>
        <w:pStyle w:val="Heading3"/>
      </w:pPr>
      <w:bookmarkStart w:id="168" w:name="_Toc269122470"/>
      <w:bookmarkStart w:id="169" w:name="_Toc189889069"/>
      <w:bookmarkStart w:id="170" w:name="_Toc255359996"/>
      <w:bookmarkStart w:id="171" w:name="_Toc351713175"/>
      <w:r w:rsidRPr="00BE548F">
        <w:t xml:space="preserve">Secondary </w:t>
      </w:r>
      <w:r>
        <w:t>p</w:t>
      </w:r>
      <w:r w:rsidRPr="00BE548F">
        <w:t xml:space="preserve">oisoning and </w:t>
      </w:r>
      <w:bookmarkEnd w:id="168"/>
      <w:bookmarkEnd w:id="169"/>
      <w:bookmarkEnd w:id="170"/>
      <w:r>
        <w:t>b</w:t>
      </w:r>
      <w:r w:rsidRPr="00BE548F">
        <w:t>iomagnification</w:t>
      </w:r>
      <w:bookmarkEnd w:id="171"/>
    </w:p>
    <w:p w:rsidR="006C2E16" w:rsidRPr="00BE548F" w:rsidRDefault="006C2E16" w:rsidP="006C2E16">
      <w:r w:rsidRPr="00BE548F">
        <w:t xml:space="preserve">Secondary poisoning can occur if a contaminant biomagnifies, </w:t>
      </w:r>
      <w:r>
        <w:t>that is,</w:t>
      </w:r>
      <w:r w:rsidRPr="00BE548F">
        <w:t xml:space="preserve"> it accumulates in organisms</w:t>
      </w:r>
      <w:r>
        <w:t>’</w:t>
      </w:r>
      <w:r w:rsidRPr="00BE548F">
        <w:t xml:space="preserve"> tissue and the concentration increases with each trophic level in a food web (</w:t>
      </w:r>
      <w:r>
        <w:t>for example,</w:t>
      </w:r>
      <w:r w:rsidRPr="00BE548F">
        <w:t xml:space="preserve"> soil</w:t>
      </w:r>
      <w:r>
        <w:t>—</w:t>
      </w:r>
      <w:r w:rsidRPr="00BE548F">
        <w:t>earthworms</w:t>
      </w:r>
      <w:r>
        <w:t>—</w:t>
      </w:r>
      <w:r w:rsidRPr="00BE548F">
        <w:t>birds</w:t>
      </w:r>
      <w:r>
        <w:t>—</w:t>
      </w:r>
      <w:r w:rsidRPr="00BE548F">
        <w:t>predatory birds)</w:t>
      </w:r>
      <w:r>
        <w:t xml:space="preserve">. </w:t>
      </w:r>
      <w:r w:rsidRPr="00BE548F">
        <w:t>The species most at risk are those in the higher trophic levels in a food web, i.e. the predators. Examples of contaminants that biomagnify and have deleterious effects on predators include DDT, Cd and PCBs (Morrissey et al. 2005</w:t>
      </w:r>
      <w:r>
        <w:t>;</w:t>
      </w:r>
      <w:r w:rsidRPr="00BE548F">
        <w:t xml:space="preserve"> Jongbloed et al. 1996). </w:t>
      </w:r>
    </w:p>
    <w:p w:rsidR="009F182B" w:rsidRDefault="009F182B" w:rsidP="006C2E16"/>
    <w:p w:rsidR="006C2E16" w:rsidRPr="00BE548F" w:rsidRDefault="006C2E16" w:rsidP="006C2E16">
      <w:r w:rsidRPr="00BE548F">
        <w:t xml:space="preserve">The vast majority of environmental toxicity data </w:t>
      </w:r>
      <w:r>
        <w:t>is</w:t>
      </w:r>
      <w:r w:rsidRPr="00BE548F">
        <w:t xml:space="preserve"> on direct exposure to contaminants from the ambient environment (</w:t>
      </w:r>
      <w:r>
        <w:t>that is,</w:t>
      </w:r>
      <w:r w:rsidRPr="00BE548F">
        <w:t xml:space="preserve"> soil, water or air) and not from food</w:t>
      </w:r>
      <w:r>
        <w:t xml:space="preserve">. </w:t>
      </w:r>
      <w:r w:rsidRPr="00BE548F">
        <w:t>Therefore, if contaminants are biomagnified</w:t>
      </w:r>
      <w:r>
        <w:t>,</w:t>
      </w:r>
      <w:r w:rsidRPr="00BE548F">
        <w:t xml:space="preserve"> then normal toxicity data and EILs based on such data may underestimate the impact the contaminant has on the environment and communities</w:t>
      </w:r>
      <w:r>
        <w:t xml:space="preserve">. </w:t>
      </w:r>
      <w:r w:rsidRPr="00BE548F">
        <w:t xml:space="preserve">To overcome this problem, contaminants that biomagnify need to be identified and biomagnification needs to be considered in deriving the EIL for those contaminants. </w:t>
      </w:r>
    </w:p>
    <w:p w:rsidR="006C2E16" w:rsidRPr="00BE548F" w:rsidRDefault="006C2E16" w:rsidP="001C6BE7">
      <w:pPr>
        <w:pStyle w:val="Heading3"/>
      </w:pPr>
      <w:bookmarkStart w:id="172" w:name="_Toc255359997"/>
      <w:bookmarkStart w:id="173" w:name="_Toc269122471"/>
      <w:bookmarkStart w:id="174" w:name="_Toc351713176"/>
      <w:r w:rsidRPr="00BE548F">
        <w:t>Methods for accounting for secondary poisoning</w:t>
      </w:r>
      <w:bookmarkEnd w:id="172"/>
      <w:bookmarkEnd w:id="173"/>
      <w:bookmarkEnd w:id="174"/>
      <w:r w:rsidRPr="00BE548F">
        <w:t xml:space="preserve"> </w:t>
      </w:r>
    </w:p>
    <w:p w:rsidR="006C2E16" w:rsidRPr="00BE548F" w:rsidRDefault="006C2E16" w:rsidP="006C2E16">
      <w:r w:rsidRPr="00BE548F">
        <w:t xml:space="preserve">Secondary poisoning is taken into account in the soil quality guidelines of several countries, including </w:t>
      </w:r>
      <w:smartTag w:uri="urn:schemas-microsoft-com:office:smarttags" w:element="country-region">
        <w:r w:rsidRPr="00BE548F">
          <w:t>Canada</w:t>
        </w:r>
      </w:smartTag>
      <w:r w:rsidRPr="00BE548F">
        <w:t xml:space="preserve"> (CCME 2006)</w:t>
      </w:r>
      <w:r>
        <w:t>,</w:t>
      </w:r>
      <w:r w:rsidRPr="00BE548F">
        <w:t xml:space="preserve"> </w:t>
      </w:r>
      <w:smartTag w:uri="urn:schemas-microsoft-com:office:smarttags" w:element="country-region">
        <w:r w:rsidRPr="00BE548F">
          <w:t>USA</w:t>
        </w:r>
      </w:smartTag>
      <w:r w:rsidRPr="00BE548F">
        <w:t xml:space="preserve"> (US</w:t>
      </w:r>
      <w:r>
        <w:t xml:space="preserve"> </w:t>
      </w:r>
      <w:r w:rsidRPr="00BE548F">
        <w:t xml:space="preserve">EPA 1996) and </w:t>
      </w:r>
      <w:r>
        <w:t xml:space="preserve">the </w:t>
      </w:r>
      <w:smartTag w:uri="urn:schemas-microsoft-com:office:smarttags" w:element="country-region">
        <w:smartTag w:uri="urn:schemas-microsoft-com:office:smarttags" w:element="place">
          <w:r>
            <w:t>Netherlands</w:t>
          </w:r>
        </w:smartTag>
      </w:smartTag>
      <w:r w:rsidRPr="00BE548F">
        <w:t xml:space="preserve"> (Van de Plassche 1994)</w:t>
      </w:r>
      <w:r>
        <w:t xml:space="preserve">. </w:t>
      </w:r>
      <w:r w:rsidRPr="00BE548F">
        <w:t xml:space="preserve">However, not all countries consider secondary poisoning in their SQGs, </w:t>
      </w:r>
      <w:r>
        <w:t>for example,</w:t>
      </w:r>
      <w:r w:rsidRPr="00BE548F">
        <w:t xml:space="preserve"> </w:t>
      </w:r>
      <w:smartTag w:uri="urn:schemas-microsoft-com:office:smarttags" w:element="country-region">
        <w:smartTag w:uri="urn:schemas-microsoft-com:office:smarttags" w:element="place">
          <w:r w:rsidRPr="00BE548F">
            <w:t>Germany</w:t>
          </w:r>
        </w:smartTag>
      </w:smartTag>
      <w:r w:rsidRPr="00BE548F">
        <w:t xml:space="preserve"> (BBodSchV 1999).</w:t>
      </w:r>
    </w:p>
    <w:p w:rsidR="009F182B" w:rsidRDefault="009F182B" w:rsidP="006C2E16"/>
    <w:p w:rsidR="006C2E16" w:rsidRPr="00BE548F" w:rsidRDefault="006C2E16" w:rsidP="006C2E16">
      <w:r w:rsidRPr="00BE548F">
        <w:t xml:space="preserve">There are three methods for deriving EILs </w:t>
      </w:r>
      <w:r>
        <w:t>that</w:t>
      </w:r>
      <w:r w:rsidRPr="00BE548F">
        <w:t xml:space="preserve"> account for biomagnification:</w:t>
      </w:r>
    </w:p>
    <w:p w:rsidR="006C2E16" w:rsidRDefault="006C2E16" w:rsidP="001C6BE7">
      <w:pPr>
        <w:pStyle w:val="text"/>
        <w:numPr>
          <w:ilvl w:val="0"/>
          <w:numId w:val="33"/>
        </w:numPr>
      </w:pPr>
      <w:r>
        <w:t>b</w:t>
      </w:r>
      <w:r w:rsidRPr="00BE548F">
        <w:t xml:space="preserve">iomagnification </w:t>
      </w:r>
      <w:r>
        <w:t>algorithms</w:t>
      </w:r>
    </w:p>
    <w:p w:rsidR="006C2E16" w:rsidRDefault="006C2E16" w:rsidP="001C6BE7">
      <w:pPr>
        <w:pStyle w:val="text"/>
        <w:numPr>
          <w:ilvl w:val="0"/>
          <w:numId w:val="33"/>
        </w:numPr>
      </w:pPr>
      <w:r>
        <w:t>d</w:t>
      </w:r>
      <w:r w:rsidRPr="00BE548F">
        <w:t>efault biomagnifi</w:t>
      </w:r>
      <w:r>
        <w:t>cation factors</w:t>
      </w:r>
    </w:p>
    <w:p w:rsidR="006C2E16" w:rsidRDefault="006C2E16" w:rsidP="001C6BE7">
      <w:pPr>
        <w:pStyle w:val="text"/>
        <w:numPr>
          <w:ilvl w:val="0"/>
          <w:numId w:val="33"/>
        </w:numPr>
      </w:pPr>
      <w:r>
        <w:t>i</w:t>
      </w:r>
      <w:r w:rsidRPr="00BE548F">
        <w:t xml:space="preserve">ncreasing the </w:t>
      </w:r>
      <w:r>
        <w:t>percentage</w:t>
      </w:r>
      <w:r w:rsidRPr="00BE548F">
        <w:t xml:space="preserve"> of species to be protected</w:t>
      </w:r>
      <w:r>
        <w:t>.</w:t>
      </w:r>
    </w:p>
    <w:p w:rsidR="006C2E16" w:rsidRDefault="006C2E16" w:rsidP="006C2E16">
      <w:r w:rsidRPr="00BE548F">
        <w:t xml:space="preserve">These </w:t>
      </w:r>
      <w:r>
        <w:t xml:space="preserve">methods are </w:t>
      </w:r>
      <w:r w:rsidRPr="00BE548F">
        <w:t xml:space="preserve">critically assessed </w:t>
      </w:r>
      <w:r>
        <w:t xml:space="preserve">below. </w:t>
      </w:r>
    </w:p>
    <w:p w:rsidR="006C2E16" w:rsidRPr="00BE548F" w:rsidRDefault="006C2E16" w:rsidP="001C6BE7">
      <w:pPr>
        <w:pStyle w:val="Heading3"/>
      </w:pPr>
      <w:bookmarkStart w:id="175" w:name="_Toc269122472"/>
      <w:bookmarkStart w:id="176" w:name="_Toc351713177"/>
      <w:r w:rsidRPr="00BE548F">
        <w:t>Using biomagnification algorithms</w:t>
      </w:r>
      <w:bookmarkEnd w:id="175"/>
      <w:bookmarkEnd w:id="176"/>
    </w:p>
    <w:p w:rsidR="006C2E16" w:rsidRPr="00BE548F" w:rsidRDefault="006C2E16" w:rsidP="006C2E16">
      <w:r w:rsidRPr="00BE548F">
        <w:t>There are three slightly different biomagnification algorithms</w:t>
      </w:r>
      <w:r>
        <w:t xml:space="preserve">. </w:t>
      </w:r>
      <w:r w:rsidRPr="00BE548F">
        <w:t>The main difference between them is whether ingestion of soil is considered (the US</w:t>
      </w:r>
      <w:r>
        <w:t xml:space="preserve"> </w:t>
      </w:r>
      <w:r w:rsidRPr="00BE548F">
        <w:t>EPA and Canadian methods) or not (</w:t>
      </w:r>
      <w:r>
        <w:t>t</w:t>
      </w:r>
      <w:r w:rsidRPr="00BE548F">
        <w:t xml:space="preserve">he Dutch method). </w:t>
      </w:r>
    </w:p>
    <w:p w:rsidR="009F182B" w:rsidRDefault="009F182B" w:rsidP="006C2E16"/>
    <w:p w:rsidR="006C2E16" w:rsidRPr="00BE548F" w:rsidRDefault="006C2E16" w:rsidP="006C2E16">
      <w:r w:rsidRPr="00BE548F">
        <w:t>The US</w:t>
      </w:r>
      <w:r>
        <w:t xml:space="preserve"> </w:t>
      </w:r>
      <w:r w:rsidRPr="00BE548F">
        <w:t>EPA methodology (US</w:t>
      </w:r>
      <w:r>
        <w:t xml:space="preserve"> </w:t>
      </w:r>
      <w:r w:rsidRPr="00BE548F">
        <w:t>EPA 1996)</w:t>
      </w:r>
      <w:r>
        <w:t xml:space="preserve">, </w:t>
      </w:r>
      <w:r w:rsidRPr="00BE548F">
        <w:t xml:space="preserve">which accounts for soil ingestion, calculates the secondary poisoning SQG (SQGsp) by: </w:t>
      </w:r>
    </w:p>
    <w:p w:rsidR="006C2E16" w:rsidRPr="00D16B85" w:rsidRDefault="006C2E16" w:rsidP="006C2E16">
      <w:pPr>
        <w:rPr>
          <w:szCs w:val="22"/>
        </w:rPr>
      </w:pPr>
    </w:p>
    <w:p w:rsidR="006C2E16" w:rsidRPr="00D16B85" w:rsidRDefault="006C2E16" w:rsidP="006C2E16">
      <w:pPr>
        <w:ind w:left="720" w:firstLine="720"/>
        <w:rPr>
          <w:i/>
          <w:iCs/>
          <w:szCs w:val="22"/>
        </w:rPr>
      </w:pPr>
      <w:r w:rsidRPr="00D16B85">
        <w:rPr>
          <w:position w:val="-32"/>
          <w:szCs w:val="22"/>
        </w:rPr>
        <w:object w:dxaOrig="3440" w:dyaOrig="700">
          <v:shape id="_x0000_i1028" type="#_x0000_t75" style="width:170.25pt;height:35.25pt" o:ole="">
            <v:imagedata r:id="rId26" o:title=""/>
          </v:shape>
          <o:OLEObject Type="Embed" ProgID="Equation.3" ShapeID="_x0000_i1028" DrawAspect="Content" ObjectID="_1425460848" r:id="rId27"/>
        </w:object>
      </w:r>
      <w:r w:rsidR="009F182B">
        <w:rPr>
          <w:szCs w:val="22"/>
        </w:rPr>
        <w:tab/>
      </w:r>
      <w:r w:rsidR="009F182B">
        <w:rPr>
          <w:szCs w:val="22"/>
        </w:rPr>
        <w:tab/>
      </w:r>
      <w:r w:rsidRPr="00D16B85">
        <w:rPr>
          <w:szCs w:val="22"/>
        </w:rPr>
        <w:tab/>
      </w:r>
      <w:r>
        <w:rPr>
          <w:szCs w:val="22"/>
        </w:rPr>
        <w:t xml:space="preserve">        </w:t>
      </w:r>
      <w:r w:rsidRPr="00D16B85">
        <w:rPr>
          <w:i/>
          <w:iCs/>
          <w:szCs w:val="22"/>
        </w:rPr>
        <w:t>(</w:t>
      </w:r>
      <w:r>
        <w:rPr>
          <w:i/>
          <w:iCs/>
          <w:szCs w:val="22"/>
        </w:rPr>
        <w:t xml:space="preserve">equation </w:t>
      </w:r>
      <w:r w:rsidRPr="00D16B85">
        <w:rPr>
          <w:i/>
          <w:iCs/>
          <w:szCs w:val="22"/>
        </w:rPr>
        <w:t>14)</w:t>
      </w:r>
    </w:p>
    <w:p w:rsidR="006C2E16" w:rsidRPr="00BE548F" w:rsidRDefault="006C2E16" w:rsidP="006C2E16"/>
    <w:p w:rsidR="006C2E16" w:rsidRDefault="006C2E16" w:rsidP="006C2E16">
      <w:r>
        <w:t>w</w:t>
      </w:r>
      <w:r w:rsidRPr="00BE548F">
        <w:t xml:space="preserve">here SQGsp is the soil quality guideline that accounts for secondary poisoning and is expressed in mg/kg, the toxicity reference value is expressed in mg contaminant/kg prey tissue, FIR is food intake </w:t>
      </w:r>
      <w:r w:rsidRPr="00BE548F">
        <w:lastRenderedPageBreak/>
        <w:t>rate (kg food [dry weight]/ kg body weight [wet weight] /day), Ps</w:t>
      </w:r>
      <w:r w:rsidRPr="00BE548F">
        <w:rPr>
          <w:vertAlign w:val="subscript"/>
        </w:rPr>
        <w:t xml:space="preserve"> </w:t>
      </w:r>
      <w:r w:rsidRPr="00BE548F">
        <w:t>is the proportion of the diet that is soil (%) and BAFij is the bioaccumulation factor for contaminant ‘i’ by species ‘j’ (unitless)</w:t>
      </w:r>
      <w:r>
        <w:t xml:space="preserve">. </w:t>
      </w:r>
    </w:p>
    <w:p w:rsidR="009F182B" w:rsidRPr="00BE548F" w:rsidRDefault="009F182B" w:rsidP="006C2E16"/>
    <w:p w:rsidR="006C2E16" w:rsidRDefault="006C2E16" w:rsidP="006C2E16">
      <w:pPr>
        <w:rPr>
          <w:lang w:val="en-GB"/>
        </w:rPr>
      </w:pPr>
      <w:r w:rsidRPr="00BE548F">
        <w:rPr>
          <w:lang w:val="en-GB"/>
        </w:rPr>
        <w:t>The Canadian methodology (CCME 2006) i</w:t>
      </w:r>
      <w:r w:rsidRPr="00D16B85">
        <w:t>s</w:t>
      </w:r>
      <w:r w:rsidRPr="00BE548F">
        <w:rPr>
          <w:lang w:val="en-GB"/>
        </w:rPr>
        <w:t xml:space="preserve"> based on daily intake models similar to derivation of maximum human daily uptake models</w:t>
      </w:r>
      <w:r>
        <w:rPr>
          <w:lang w:val="en-GB"/>
        </w:rPr>
        <w:t xml:space="preserve">. </w:t>
      </w:r>
      <w:r w:rsidRPr="00BE548F">
        <w:rPr>
          <w:lang w:val="en-GB"/>
        </w:rPr>
        <w:t xml:space="preserve">The Canadian methodology takes into account direct soil ingestion and bioaccumulation through the food chain. </w:t>
      </w:r>
    </w:p>
    <w:p w:rsidR="009F182B" w:rsidRPr="00BE548F" w:rsidRDefault="009F182B" w:rsidP="006C2E16">
      <w:pPr>
        <w:rPr>
          <w:lang w:val="en-GB"/>
        </w:rPr>
      </w:pPr>
    </w:p>
    <w:p w:rsidR="006C2E16" w:rsidRPr="00BE548F" w:rsidRDefault="006C2E16" w:rsidP="006C2E16">
      <w:pPr>
        <w:rPr>
          <w:lang w:val="en-GB"/>
        </w:rPr>
      </w:pPr>
      <w:r>
        <w:rPr>
          <w:lang w:val="en-GB"/>
        </w:rPr>
        <w:t>SQGs</w:t>
      </w:r>
      <w:r w:rsidRPr="00BE548F">
        <w:rPr>
          <w:lang w:val="en-GB"/>
        </w:rPr>
        <w:t xml:space="preserve"> are thereby calculated using the following equation:</w:t>
      </w:r>
    </w:p>
    <w:p w:rsidR="006C2E16" w:rsidRPr="00D16B85" w:rsidRDefault="006C2E16" w:rsidP="006C2E16">
      <w:pPr>
        <w:rPr>
          <w:color w:val="000000"/>
          <w:szCs w:val="22"/>
          <w:lang w:val="en-GB"/>
        </w:rPr>
      </w:pPr>
    </w:p>
    <w:p w:rsidR="006C2E16" w:rsidRPr="00D16B85" w:rsidRDefault="006C2E16" w:rsidP="006C2E16">
      <w:pPr>
        <w:ind w:firstLine="720"/>
        <w:jc w:val="right"/>
        <w:rPr>
          <w:szCs w:val="22"/>
        </w:rPr>
      </w:pPr>
      <w:r w:rsidRPr="00D16B85">
        <w:rPr>
          <w:color w:val="000000"/>
          <w:position w:val="-30"/>
          <w:szCs w:val="22"/>
        </w:rPr>
        <w:object w:dxaOrig="3860" w:dyaOrig="700">
          <v:shape id="_x0000_i1029" type="#_x0000_t75" style="width:191.25pt;height:35.25pt" o:ole="">
            <v:imagedata r:id="rId28" o:title=""/>
          </v:shape>
          <o:OLEObject Type="Embed" ProgID="Equation.3" ShapeID="_x0000_i1029" DrawAspect="Content" ObjectID="_1425460849" r:id="rId29"/>
        </w:object>
      </w:r>
      <w:r w:rsidRPr="00D16B85">
        <w:rPr>
          <w:color w:val="000000"/>
          <w:szCs w:val="22"/>
        </w:rPr>
        <w:tab/>
      </w:r>
      <w:r w:rsidRPr="00D16B85">
        <w:rPr>
          <w:color w:val="000000"/>
          <w:szCs w:val="22"/>
        </w:rPr>
        <w:tab/>
      </w:r>
      <w:r w:rsidRPr="00D16B85">
        <w:rPr>
          <w:color w:val="000000"/>
          <w:szCs w:val="22"/>
        </w:rPr>
        <w:tab/>
      </w:r>
      <w:r w:rsidRPr="00D16B85">
        <w:rPr>
          <w:i/>
          <w:iCs/>
          <w:position w:val="-30"/>
          <w:szCs w:val="22"/>
        </w:rPr>
        <w:t>(</w:t>
      </w:r>
      <w:r>
        <w:rPr>
          <w:i/>
          <w:iCs/>
          <w:position w:val="-30"/>
          <w:szCs w:val="22"/>
        </w:rPr>
        <w:t>equation 15)</w:t>
      </w:r>
    </w:p>
    <w:p w:rsidR="009F182B" w:rsidRDefault="009F182B" w:rsidP="006C2E16"/>
    <w:p w:rsidR="006C2E16" w:rsidRDefault="006C2E16" w:rsidP="006C2E16">
      <w:r>
        <w:t>w</w:t>
      </w:r>
      <w:r w:rsidRPr="00BE548F">
        <w:t>here SQG</w:t>
      </w:r>
      <w:r w:rsidRPr="00BE548F">
        <w:rPr>
          <w:sz w:val="16"/>
          <w:szCs w:val="16"/>
        </w:rPr>
        <w:t xml:space="preserve">2C </w:t>
      </w:r>
      <w:r w:rsidRPr="00BE548F">
        <w:t>refers to the soil quality guideline for soil and food ingestion for the secondary consumer (mg/kg dry weight soil), DTED</w:t>
      </w:r>
      <w:r w:rsidRPr="00BE548F">
        <w:rPr>
          <w:sz w:val="16"/>
          <w:szCs w:val="16"/>
        </w:rPr>
        <w:t xml:space="preserve">2C </w:t>
      </w:r>
      <w:r w:rsidRPr="00BE548F">
        <w:t>is the daily threshold effects dose for the secondary consumer (mg/kg body weight-day), BW</w:t>
      </w:r>
      <w:r w:rsidRPr="00BE548F">
        <w:rPr>
          <w:sz w:val="16"/>
          <w:szCs w:val="16"/>
        </w:rPr>
        <w:t xml:space="preserve">2C </w:t>
      </w:r>
      <w:r w:rsidRPr="00BE548F">
        <w:t>is the body weight of the species used in the DTED</w:t>
      </w:r>
      <w:r w:rsidRPr="00BE548F">
        <w:rPr>
          <w:sz w:val="16"/>
          <w:szCs w:val="16"/>
        </w:rPr>
        <w:t xml:space="preserve">2C </w:t>
      </w:r>
      <w:r w:rsidRPr="00BE548F">
        <w:t>(kg), SIR</w:t>
      </w:r>
      <w:r w:rsidRPr="00BE548F">
        <w:rPr>
          <w:sz w:val="16"/>
          <w:szCs w:val="16"/>
        </w:rPr>
        <w:t xml:space="preserve">2C </w:t>
      </w:r>
      <w:r w:rsidRPr="00BE548F">
        <w:t>is the soil ingestion rate for the species used in the DTED</w:t>
      </w:r>
      <w:r w:rsidRPr="00BE548F">
        <w:rPr>
          <w:sz w:val="16"/>
          <w:szCs w:val="16"/>
        </w:rPr>
        <w:t xml:space="preserve">2C </w:t>
      </w:r>
      <w:r w:rsidRPr="00BE548F">
        <w:t>(kg dry weight soil/day), BF is the bioavailability factor (unitless), FIR</w:t>
      </w:r>
      <w:r w:rsidRPr="00BE548F">
        <w:rPr>
          <w:sz w:val="16"/>
          <w:szCs w:val="16"/>
        </w:rPr>
        <w:t xml:space="preserve">2C </w:t>
      </w:r>
      <w:r w:rsidRPr="00BE548F">
        <w:t>is the food ingestion rate for the species used in the DTED</w:t>
      </w:r>
      <w:r w:rsidRPr="00BE548F">
        <w:rPr>
          <w:sz w:val="16"/>
          <w:szCs w:val="16"/>
        </w:rPr>
        <w:t xml:space="preserve">2C </w:t>
      </w:r>
      <w:r w:rsidRPr="00BE548F">
        <w:t>(kg dw food/day) and BAF</w:t>
      </w:r>
      <w:r w:rsidRPr="00BE548F">
        <w:rPr>
          <w:sz w:val="16"/>
          <w:szCs w:val="16"/>
        </w:rPr>
        <w:t>2</w:t>
      </w:r>
      <w:r w:rsidRPr="00BE548F">
        <w:t xml:space="preserve"> is the bioaccumulation factor (unitless) </w:t>
      </w:r>
      <w:r w:rsidRPr="00BE548F">
        <w:rPr>
          <w:color w:val="000000"/>
          <w:lang w:val="en-GB"/>
        </w:rPr>
        <w:t>(CCME 2006)</w:t>
      </w:r>
      <w:r w:rsidRPr="00BE548F">
        <w:t xml:space="preserve">. </w:t>
      </w:r>
    </w:p>
    <w:p w:rsidR="00F972AA" w:rsidRPr="00BE548F" w:rsidRDefault="00F972AA" w:rsidP="006C2E16">
      <w:pPr>
        <w:rPr>
          <w:color w:val="000000"/>
        </w:rPr>
      </w:pPr>
    </w:p>
    <w:p w:rsidR="006C2E16" w:rsidRPr="00F972AA" w:rsidRDefault="006C2E16" w:rsidP="00F972AA">
      <w:r w:rsidRPr="00F972AA">
        <w:t xml:space="preserve">The Dutch methodology developed by Van der Plassche (1994) or Romijn et al. (1991) does not account for soil ingestion and calculates the SQG by: </w:t>
      </w:r>
    </w:p>
    <w:p w:rsidR="006C2E16" w:rsidRPr="00D16B85" w:rsidRDefault="006C2E16" w:rsidP="006C2E16">
      <w:pPr>
        <w:rPr>
          <w:szCs w:val="22"/>
        </w:rPr>
      </w:pPr>
    </w:p>
    <w:p w:rsidR="006C2E16" w:rsidRPr="00D16B85" w:rsidRDefault="006C2E16" w:rsidP="006C2E16">
      <w:pPr>
        <w:ind w:firstLine="720"/>
        <w:jc w:val="right"/>
        <w:rPr>
          <w:i/>
          <w:iCs/>
          <w:szCs w:val="22"/>
        </w:rPr>
      </w:pPr>
      <w:r w:rsidRPr="00D16B85">
        <w:rPr>
          <w:position w:val="-28"/>
          <w:szCs w:val="22"/>
        </w:rPr>
        <w:object w:dxaOrig="2740" w:dyaOrig="660">
          <v:shape id="_x0000_i1030" type="#_x0000_t75" style="width:137.25pt;height:33pt" o:ole="">
            <v:imagedata r:id="rId30" o:title=""/>
          </v:shape>
          <o:OLEObject Type="Embed" ProgID="Equation.3" ShapeID="_x0000_i1030" DrawAspect="Content" ObjectID="_1425460850" r:id="rId31"/>
        </w:object>
      </w:r>
      <w:r w:rsidR="009F182B">
        <w:rPr>
          <w:position w:val="-30"/>
          <w:szCs w:val="22"/>
        </w:rPr>
        <w:tab/>
      </w:r>
      <w:r w:rsidR="009F182B">
        <w:rPr>
          <w:position w:val="-30"/>
          <w:szCs w:val="22"/>
        </w:rPr>
        <w:tab/>
      </w:r>
      <w:r w:rsidR="009F182B">
        <w:rPr>
          <w:position w:val="-30"/>
          <w:szCs w:val="22"/>
        </w:rPr>
        <w:tab/>
      </w:r>
      <w:r w:rsidR="009F182B">
        <w:rPr>
          <w:position w:val="-30"/>
          <w:szCs w:val="22"/>
        </w:rPr>
        <w:tab/>
      </w:r>
      <w:r w:rsidRPr="00D16B85">
        <w:rPr>
          <w:position w:val="-30"/>
          <w:szCs w:val="22"/>
        </w:rPr>
        <w:tab/>
      </w:r>
      <w:r w:rsidRPr="00D16B85">
        <w:rPr>
          <w:i/>
          <w:iCs/>
          <w:position w:val="-30"/>
          <w:szCs w:val="22"/>
        </w:rPr>
        <w:t>(eq</w:t>
      </w:r>
      <w:r>
        <w:rPr>
          <w:i/>
          <w:iCs/>
          <w:position w:val="-30"/>
          <w:szCs w:val="22"/>
        </w:rPr>
        <w:t>uation</w:t>
      </w:r>
      <w:r w:rsidRPr="00D16B85">
        <w:rPr>
          <w:i/>
          <w:iCs/>
          <w:position w:val="-30"/>
          <w:szCs w:val="22"/>
        </w:rPr>
        <w:t xml:space="preserve"> 16)</w:t>
      </w:r>
    </w:p>
    <w:p w:rsidR="009F182B" w:rsidRDefault="009F182B" w:rsidP="006C2E16"/>
    <w:p w:rsidR="006C2E16" w:rsidRPr="00BE548F" w:rsidRDefault="006C2E16" w:rsidP="006C2E16">
      <w:r>
        <w:t>w</w:t>
      </w:r>
      <w:r w:rsidRPr="00BE548F">
        <w:t>here SQGsp is the soil quality guideline that accounts for secondary poisoning expressed in mg/kg, NOEC predator is the NOEC for a predator expressed as mg contaminant/kg prey tissue, BCF</w:t>
      </w:r>
      <w:r w:rsidRPr="00BE548F">
        <w:rPr>
          <w:sz w:val="20"/>
        </w:rPr>
        <w:t>prey</w:t>
      </w:r>
      <w:r w:rsidRPr="00BE548F">
        <w:t xml:space="preserve"> is the bioconcentration factor of the contaminant for a prey species expressed as a ratio of concentration in the prey and in the soil</w:t>
      </w:r>
      <w:r>
        <w:t xml:space="preserve">. </w:t>
      </w:r>
      <w:r w:rsidRPr="00BE548F">
        <w:t>If the BCF</w:t>
      </w:r>
      <w:r w:rsidRPr="00BE548F">
        <w:rPr>
          <w:sz w:val="20"/>
        </w:rPr>
        <w:t>prey</w:t>
      </w:r>
      <w:r w:rsidRPr="00BE548F">
        <w:t xml:space="preserve"> is unknown, the BCF was predicted based on the log Kow of the contaminant using QSARs. </w:t>
      </w:r>
    </w:p>
    <w:p w:rsidR="009F182B" w:rsidRDefault="009F182B" w:rsidP="006C2E16"/>
    <w:p w:rsidR="006C2E16" w:rsidRDefault="006C2E16" w:rsidP="006C2E16">
      <w:r w:rsidRPr="00BE548F">
        <w:t xml:space="preserve">The above methods were not adopted in the Australian and </w:t>
      </w:r>
      <w:r>
        <w:t>NZ</w:t>
      </w:r>
      <w:r w:rsidRPr="00BE548F">
        <w:t xml:space="preserve"> WQGs because of ‘the lack of relevant data’ and as there is ‘no formal and specific guidance on how to take information on bioaccumulation into account when deriving water quality guidelines’ (ANZECC </w:t>
      </w:r>
      <w:r>
        <w:t>&amp;</w:t>
      </w:r>
      <w:r w:rsidRPr="00BE548F">
        <w:t xml:space="preserve"> ARMCANZ 2000)</w:t>
      </w:r>
      <w:r>
        <w:t xml:space="preserve">. </w:t>
      </w:r>
      <w:r w:rsidRPr="00BE548F">
        <w:t>Food web approaches were not advocated because they are ‘very complex and require extensive data</w:t>
      </w:r>
      <w:r>
        <w:t xml:space="preserve"> </w:t>
      </w:r>
      <w:r w:rsidRPr="00BE548F">
        <w:t xml:space="preserve">sets, which are not available for the majority of contaminants’ (ANZECC </w:t>
      </w:r>
      <w:r>
        <w:t>&amp;</w:t>
      </w:r>
      <w:r w:rsidRPr="00BE548F">
        <w:t xml:space="preserve"> ARMCANZ 2000)</w:t>
      </w:r>
      <w:r>
        <w:t xml:space="preserve">. </w:t>
      </w:r>
      <w:r w:rsidRPr="00BE548F">
        <w:t>These data</w:t>
      </w:r>
      <w:r>
        <w:t xml:space="preserve"> </w:t>
      </w:r>
      <w:r w:rsidRPr="00BE548F">
        <w:t xml:space="preserve">sets include toxicity data for top predators, biomagnification and bioaccumulation data and dietary information </w:t>
      </w:r>
      <w:r>
        <w:t>for</w:t>
      </w:r>
      <w:r w:rsidRPr="00BE548F">
        <w:t xml:space="preserve"> the species. For terrestrial ecosystems, Australian data needed for </w:t>
      </w:r>
      <w:r>
        <w:t xml:space="preserve">a </w:t>
      </w:r>
      <w:r w:rsidRPr="00BE548F">
        <w:t xml:space="preserve">food web modelling approach </w:t>
      </w:r>
      <w:r>
        <w:t>is</w:t>
      </w:r>
      <w:r w:rsidRPr="00BE548F">
        <w:t xml:space="preserve"> even scarcer</w:t>
      </w:r>
      <w:r>
        <w:t xml:space="preserve">. </w:t>
      </w:r>
      <w:r w:rsidRPr="00BE548F">
        <w:t xml:space="preserve">The paucity of Australian data was the main reason why a proposed food web methodology for deriving EILs was not incorporated into </w:t>
      </w:r>
      <w:r>
        <w:t>this guideline</w:t>
      </w:r>
      <w:r w:rsidRPr="00BE548F">
        <w:t>.</w:t>
      </w:r>
    </w:p>
    <w:p w:rsidR="009F182B" w:rsidRDefault="009F182B" w:rsidP="006C2E16"/>
    <w:p w:rsidR="006C2E16" w:rsidRPr="00BE548F" w:rsidRDefault="006C2E16" w:rsidP="006C2E16">
      <w:r w:rsidRPr="00BE548F">
        <w:t>However, biomagnification algorithms are currently the best available methodology to set EILs that protect top predators if the necessary data</w:t>
      </w:r>
      <w:r>
        <w:t xml:space="preserve"> </w:t>
      </w:r>
      <w:r w:rsidRPr="00BE548F">
        <w:t xml:space="preserve">sets are available. </w:t>
      </w:r>
    </w:p>
    <w:p w:rsidR="006C2E16" w:rsidRPr="00BE548F" w:rsidRDefault="006C2E16" w:rsidP="001C6BE7">
      <w:pPr>
        <w:pStyle w:val="Heading3"/>
      </w:pPr>
      <w:bookmarkStart w:id="177" w:name="_Toc269122473"/>
      <w:bookmarkStart w:id="178" w:name="_Toc351713178"/>
      <w:r w:rsidRPr="00BE548F">
        <w:t>Using a default biomagnification factor</w:t>
      </w:r>
      <w:bookmarkEnd w:id="177"/>
      <w:bookmarkEnd w:id="178"/>
    </w:p>
    <w:p w:rsidR="006C2E16" w:rsidRPr="00BE548F" w:rsidRDefault="006C2E16" w:rsidP="006C2E16">
      <w:pPr>
        <w:rPr>
          <w:b/>
          <w:bCs/>
        </w:rPr>
      </w:pPr>
      <w:r w:rsidRPr="00BE548F">
        <w:t>The biomagnification default factor method refers to dividing the normal SGQ by a biomagnification factor to protect the higher predators</w:t>
      </w:r>
      <w:r>
        <w:t xml:space="preserve">. </w:t>
      </w:r>
      <w:r w:rsidRPr="00BE548F">
        <w:t>Predators are assumed to have the same sensitivity to the contaminant as other species, but as biomagnification occurs in the food web</w:t>
      </w:r>
      <w:r>
        <w:t>,</w:t>
      </w:r>
      <w:r w:rsidRPr="00BE548F">
        <w:t xml:space="preserve"> the SQG is divided by a default biomagnification factor to protect the predators. This default biomagnification factor could be derived by collating biomagnification values for similar contaminants and then a specific percentile value on a log-normal basis could be adopted as the default BMF</w:t>
      </w:r>
      <w:r>
        <w:t xml:space="preserve">. </w:t>
      </w:r>
      <w:r w:rsidRPr="00BE548F">
        <w:t>If biomagnification values are not known, a conservative default biomagnification factor could be set (</w:t>
      </w:r>
      <w:r>
        <w:t xml:space="preserve">for example, </w:t>
      </w:r>
      <w:r w:rsidRPr="00BE548F">
        <w:t>10)</w:t>
      </w:r>
      <w:r>
        <w:t xml:space="preserve">. </w:t>
      </w:r>
      <w:r w:rsidRPr="00BE548F">
        <w:t xml:space="preserve">This is a simple </w:t>
      </w:r>
      <w:r w:rsidRPr="00BE548F">
        <w:lastRenderedPageBreak/>
        <w:t>and easily understood method but it could under-protect for some combinations of species and contaminants and over-protect for others</w:t>
      </w:r>
      <w:r>
        <w:t xml:space="preserve">. </w:t>
      </w:r>
      <w:r w:rsidRPr="00BE548F">
        <w:t>This methodology can also result in very conservative limit values</w:t>
      </w:r>
      <w:r>
        <w:t xml:space="preserve">. </w:t>
      </w:r>
    </w:p>
    <w:p w:rsidR="006C2E16" w:rsidRPr="00BE548F" w:rsidRDefault="006C2E16" w:rsidP="001C6BE7">
      <w:pPr>
        <w:pStyle w:val="Heading3"/>
      </w:pPr>
      <w:bookmarkStart w:id="179" w:name="_Toc269122474"/>
      <w:bookmarkStart w:id="180" w:name="_Toc351713179"/>
      <w:r w:rsidRPr="00BE548F">
        <w:t>Increasing the percentage of species to be protected</w:t>
      </w:r>
      <w:bookmarkEnd w:id="179"/>
      <w:bookmarkEnd w:id="180"/>
    </w:p>
    <w:p w:rsidR="006C2E16" w:rsidRPr="00BE548F" w:rsidRDefault="006C2E16" w:rsidP="006C2E16">
      <w:r w:rsidRPr="00BE548F">
        <w:t xml:space="preserve">Increasing the percentage of species to be protected is an indirect way of addressing biomagnification and was used in the Australian and New Zealand WQGs (ANZECC </w:t>
      </w:r>
      <w:r>
        <w:t>&amp;</w:t>
      </w:r>
      <w:r w:rsidRPr="00BE548F">
        <w:t xml:space="preserve"> ARMCANZ 2000)</w:t>
      </w:r>
      <w:r>
        <w:t xml:space="preserve">. </w:t>
      </w:r>
      <w:r w:rsidRPr="00BE548F">
        <w:t>For example, the level of protection was raised from 95% to 99% for slightly to moderately modified ecosystems</w:t>
      </w:r>
      <w:r>
        <w:t xml:space="preserve">. </w:t>
      </w:r>
      <w:r w:rsidRPr="00BE548F">
        <w:t>It is a simple method but not necessarily scientifically rigorous</w:t>
      </w:r>
      <w:r>
        <w:t xml:space="preserve">. </w:t>
      </w:r>
      <w:r w:rsidRPr="00BE548F">
        <w:t>As it does not directly address biomagnification, it cannot be guaranteed that the resulting limit values will provide sufficient protection</w:t>
      </w:r>
      <w:r>
        <w:t xml:space="preserve">. </w:t>
      </w:r>
      <w:r w:rsidRPr="00BE548F">
        <w:t>Furthermore, this methodology might give very conservative limit values which in some cases could be lower than background concentrations</w:t>
      </w:r>
      <w:r>
        <w:t xml:space="preserve">. </w:t>
      </w:r>
      <w:r w:rsidRPr="00BE548F">
        <w:t>This occurred when PC</w:t>
      </w:r>
      <w:r w:rsidRPr="00363524">
        <w:rPr>
          <w:vertAlign w:val="subscript"/>
        </w:rPr>
        <w:t>99</w:t>
      </w:r>
      <w:r w:rsidRPr="00BE548F">
        <w:t xml:space="preserve"> values were derived for some metals (Warne </w:t>
      </w:r>
      <w:r w:rsidRPr="00363524">
        <w:rPr>
          <w:i/>
        </w:rPr>
        <w:t>pers. comm.</w:t>
      </w:r>
      <w:r w:rsidRPr="00BE548F">
        <w:t>).</w:t>
      </w:r>
    </w:p>
    <w:p w:rsidR="006C2E16" w:rsidRPr="00BE548F" w:rsidRDefault="006C2E16" w:rsidP="001C6BE7">
      <w:pPr>
        <w:pStyle w:val="Heading2"/>
      </w:pPr>
      <w:bookmarkStart w:id="181" w:name="_Toc177977862"/>
      <w:bookmarkStart w:id="182" w:name="_Toc177978931"/>
      <w:bookmarkStart w:id="183" w:name="_Toc269122475"/>
      <w:bookmarkStart w:id="184" w:name="_Toc255359998"/>
      <w:bookmarkStart w:id="185" w:name="_Toc351713180"/>
      <w:r w:rsidRPr="00BE548F">
        <w:t xml:space="preserve">Determining </w:t>
      </w:r>
      <w:r>
        <w:t>a</w:t>
      </w:r>
      <w:r w:rsidRPr="00BE548F">
        <w:t xml:space="preserve">mbient </w:t>
      </w:r>
      <w:bookmarkEnd w:id="181"/>
      <w:bookmarkEnd w:id="182"/>
      <w:r>
        <w:t>b</w:t>
      </w:r>
      <w:r w:rsidRPr="00BE548F">
        <w:t xml:space="preserve">ackground </w:t>
      </w:r>
      <w:bookmarkEnd w:id="183"/>
      <w:bookmarkEnd w:id="184"/>
      <w:r>
        <w:t>c</w:t>
      </w:r>
      <w:r w:rsidRPr="00BE548F">
        <w:t>oncentrations</w:t>
      </w:r>
      <w:bookmarkEnd w:id="185"/>
    </w:p>
    <w:p w:rsidR="006C2E16" w:rsidRPr="00BE548F" w:rsidRDefault="006C2E16" w:rsidP="001C6BE7">
      <w:pPr>
        <w:pStyle w:val="Heading3"/>
      </w:pPr>
      <w:bookmarkStart w:id="186" w:name="_Toc255359999"/>
      <w:bookmarkStart w:id="187" w:name="_Toc269122476"/>
      <w:bookmarkStart w:id="188" w:name="_Toc351713181"/>
      <w:r w:rsidRPr="00D16B85">
        <w:t>Inorganics</w:t>
      </w:r>
      <w:bookmarkEnd w:id="186"/>
      <w:bookmarkEnd w:id="187"/>
      <w:bookmarkEnd w:id="188"/>
    </w:p>
    <w:p w:rsidR="006C2E16" w:rsidRDefault="006C2E16" w:rsidP="006C2E16">
      <w:r w:rsidRPr="00BE548F">
        <w:t>Metals and metalloids are naturally present in soils</w:t>
      </w:r>
      <w:r>
        <w:t xml:space="preserve">. </w:t>
      </w:r>
      <w:r w:rsidRPr="00BE548F">
        <w:t>Natural (background) concentrations of metals in soils depend on the parent rock from which the soil originated and are highly variable</w:t>
      </w:r>
      <w:r>
        <w:t xml:space="preserve">. </w:t>
      </w:r>
      <w:r w:rsidRPr="00BE548F">
        <w:t xml:space="preserve">Some authors (Reimann </w:t>
      </w:r>
      <w:r>
        <w:t>&amp;</w:t>
      </w:r>
      <w:r w:rsidRPr="00BE548F">
        <w:t xml:space="preserve"> Garrett 2005) argue that natural background concentrations no longer exist anywhere in the world due to man</w:t>
      </w:r>
      <w:r>
        <w:t>-</w:t>
      </w:r>
      <w:r w:rsidRPr="00BE548F">
        <w:t>made activities and global transport of contaminants</w:t>
      </w:r>
      <w:r>
        <w:t xml:space="preserve">. </w:t>
      </w:r>
      <w:r w:rsidRPr="00BE548F">
        <w:t xml:space="preserve">Therefore, the term ambient background concentration (ABC) as suggested by Zhao et al. (2007) </w:t>
      </w:r>
      <w:r>
        <w:t>is</w:t>
      </w:r>
      <w:r w:rsidRPr="00BE548F">
        <w:t xml:space="preserve"> used rather than background concentration</w:t>
      </w:r>
      <w:r>
        <w:t xml:space="preserve">. </w:t>
      </w:r>
    </w:p>
    <w:p w:rsidR="009F182B" w:rsidRPr="00BE548F" w:rsidRDefault="009F182B" w:rsidP="006C2E16"/>
    <w:p w:rsidR="006C2E16" w:rsidRPr="00BE548F" w:rsidRDefault="006C2E16" w:rsidP="006C2E16">
      <w:r w:rsidRPr="00BE548F">
        <w:t>Metal concentrations in soils are easily and quickly measured</w:t>
      </w:r>
      <w:r>
        <w:t>;</w:t>
      </w:r>
      <w:r w:rsidRPr="00BE548F">
        <w:t xml:space="preserve"> therefore</w:t>
      </w:r>
      <w:r>
        <w:t>,</w:t>
      </w:r>
      <w:r w:rsidRPr="00BE548F">
        <w:t xml:space="preserve"> the preference is to directly measure the ABC in known unpolluted reference soils</w:t>
      </w:r>
      <w:r>
        <w:t xml:space="preserve">. </w:t>
      </w:r>
      <w:r w:rsidRPr="00BE548F">
        <w:t>However, finding a similar unpolluted reference soil to the contaminated soil is not always possible for a wide variety of reasons</w:t>
      </w:r>
      <w:r>
        <w:t xml:space="preserve">. </w:t>
      </w:r>
      <w:r w:rsidRPr="00BE548F">
        <w:t xml:space="preserve">The complexity and problems associated with measuring the ABC are discussed in a series of papers in </w:t>
      </w:r>
      <w:r w:rsidRPr="00877E7F">
        <w:rPr>
          <w:i/>
          <w:iCs/>
        </w:rPr>
        <w:t>Human and Ecological Risk Assessment</w:t>
      </w:r>
      <w:r>
        <w:t>, v</w:t>
      </w:r>
      <w:r w:rsidRPr="00BE548F">
        <w:t xml:space="preserve">ol. 9 </w:t>
      </w:r>
      <w:r>
        <w:t>(</w:t>
      </w:r>
      <w:r w:rsidRPr="00BE548F">
        <w:t>2003</w:t>
      </w:r>
      <w:r>
        <w:t xml:space="preserve">) </w:t>
      </w:r>
      <w:r w:rsidRPr="00BE548F">
        <w:t>and by Reimann and Garrett (2005)</w:t>
      </w:r>
      <w:r>
        <w:t xml:space="preserve">. </w:t>
      </w:r>
      <w:r w:rsidRPr="00BE548F">
        <w:t>Reliable ABC values for a soil with similar physicochemical and structural properties to the soil being investigated cannot always be obtained or the measured values are compromised in one or more ways</w:t>
      </w:r>
      <w:r>
        <w:t xml:space="preserve">. </w:t>
      </w:r>
      <w:r w:rsidRPr="00BE548F">
        <w:t>If reliable background concentrations cannot be obtained</w:t>
      </w:r>
      <w:r>
        <w:t>,</w:t>
      </w:r>
      <w:r w:rsidRPr="00BE548F">
        <w:t xml:space="preserve"> then a modelling method should be used.</w:t>
      </w:r>
    </w:p>
    <w:p w:rsidR="006C2E16" w:rsidRPr="00BE548F" w:rsidRDefault="006C2E16" w:rsidP="001C6BE7">
      <w:pPr>
        <w:pStyle w:val="Heading3"/>
      </w:pPr>
      <w:bookmarkStart w:id="189" w:name="_Toc269122477"/>
      <w:bookmarkStart w:id="190" w:name="_Toc351713182"/>
      <w:r w:rsidRPr="00BE548F">
        <w:t>Background concentration models</w:t>
      </w:r>
      <w:bookmarkEnd w:id="189"/>
      <w:bookmarkEnd w:id="190"/>
      <w:r w:rsidRPr="00BE548F">
        <w:t xml:space="preserve"> </w:t>
      </w:r>
    </w:p>
    <w:p w:rsidR="006C2E16" w:rsidRPr="00BE548F" w:rsidRDefault="006C2E16" w:rsidP="006C2E16">
      <w:r w:rsidRPr="00BE548F">
        <w:t>A model able to predict the background concentrations of metals in Australian soils was developed by Hamon et al. (2004)</w:t>
      </w:r>
      <w:r>
        <w:t xml:space="preserve">. </w:t>
      </w:r>
      <w:r w:rsidRPr="00BE548F">
        <w:t xml:space="preserve">In this study, a large number of remote sites in Australia and </w:t>
      </w:r>
      <w:r>
        <w:t>S</w:t>
      </w:r>
      <w:r w:rsidRPr="00BE548F">
        <w:t>outh-</w:t>
      </w:r>
      <w:r>
        <w:t>E</w:t>
      </w:r>
      <w:r w:rsidRPr="00BE548F">
        <w:t>ast Asia were surveyed for metal concentrations in soil</w:t>
      </w:r>
      <w:r>
        <w:t xml:space="preserve">. </w:t>
      </w:r>
      <w:r w:rsidRPr="00BE548F">
        <w:t>Principal component analysis revealed strong associations of many metals (</w:t>
      </w:r>
      <w:r>
        <w:t>for example,</w:t>
      </w:r>
      <w:r w:rsidRPr="00BE548F">
        <w:t xml:space="preserve"> As, Co, Cr, Cu, Ni, Pb) with structural elements of soil minerals (Fe and Mn)</w:t>
      </w:r>
      <w:r>
        <w:t xml:space="preserve">. </w:t>
      </w:r>
      <w:r w:rsidRPr="00BE548F">
        <w:t xml:space="preserve">Linear regressions were developed that permit the prediction of background soil metal concentrations using only Fe or Mn concentrations (Figure 6). </w:t>
      </w:r>
    </w:p>
    <w:p w:rsidR="006C2E16" w:rsidRDefault="006C2E16" w:rsidP="001C6BE7">
      <w:pPr>
        <w:pStyle w:val="text"/>
      </w:pPr>
      <w:r>
        <w:rPr>
          <w:noProof/>
        </w:rPr>
        <w:lastRenderedPageBreak/>
        <mc:AlternateContent>
          <mc:Choice Requires="wpc">
            <w:drawing>
              <wp:inline distT="0" distB="0" distL="0" distR="0" wp14:anchorId="292C4B8E" wp14:editId="235B4C6C">
                <wp:extent cx="5902756" cy="311219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6" name="Picture 416"/>
                          <pic:cNvPicPr>
                            <a:picLocks noChangeAspect="1"/>
                          </pic:cNvPicPr>
                        </pic:nvPicPr>
                        <pic:blipFill>
                          <a:blip r:embed="rId32"/>
                          <a:stretch>
                            <a:fillRect/>
                          </a:stretch>
                        </pic:blipFill>
                        <pic:spPr>
                          <a:xfrm>
                            <a:off x="179987" y="158463"/>
                            <a:ext cx="5258788" cy="2884012"/>
                          </a:xfrm>
                          <a:prstGeom prst="rect">
                            <a:avLst/>
                          </a:prstGeom>
                        </pic:spPr>
                      </pic:pic>
                    </wpc:wpc>
                  </a:graphicData>
                </a:graphic>
              </wp:inline>
            </w:drawing>
          </mc:Choice>
          <mc:Fallback>
            <w:pict>
              <v:group id="Canvas 6" o:spid="_x0000_s1026" editas="canvas" style="width:464.8pt;height:245.05pt;mso-position-horizontal-relative:char;mso-position-vertical-relative:line" coordsize="59023,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">
                <v:shape id="_x0000_s1027" type="#_x0000_t75" style="position:absolute;width:59023;height:31121;visibility:visible;mso-wrap-style:square">
                  <v:fill o:detectmouseclick="t"/>
                  <v:path o:connecttype="none"/>
                </v:shape>
                <v:shape id="Picture 416" o:spid="_x0000_s1028" type="#_x0000_t75" style="position:absolute;left:1799;top:1584;width:52588;height:28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3b67EAAAA3AAAAA8AAABkcnMvZG93bnJldi54bWxEj0FrAjEUhO8F/0N4gpeiWaVdZDWKCAXb&#10;U6sePD43z83i5mU3SXX775tCweMwM98wy3VvG3EjH2rHCqaTDARx6XTNlYLj4W08BxEissbGMSn4&#10;oQDr1eBpiYV2d/6i2z5WIkE4FKjAxNgWUobSkMUwcS1x8i7OW4xJ+kpqj/cEt42cZVkuLdacFgy2&#10;tDVUXvffVsHr6ezrHXbvwRw/8k4+dx4/c6VGw36zABGpj4/wf3unFbxMc/g7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3b67EAAAA3AAAAA8AAAAAAAAAAAAAAAAA&#10;nwIAAGRycy9kb3ducmV2LnhtbFBLBQYAAAAABAAEAPcAAACQAwAAAAA=&#10;">
                  <v:imagedata r:id="rId33" o:title=""/>
                  <v:path arrowok="t"/>
                </v:shape>
                <w10:anchorlock/>
              </v:group>
            </w:pict>
          </mc:Fallback>
        </mc:AlternateContent>
      </w:r>
    </w:p>
    <w:p w:rsidR="006C2E16" w:rsidRDefault="006C2E16" w:rsidP="006C2E16">
      <w:pPr>
        <w:pStyle w:val="Caption"/>
      </w:pPr>
      <w:r w:rsidRPr="004A651A">
        <w:t>Figure 6. Example relationships between the logarithm of iron concentration of soil and background Cu and Ni concentrations (modified from Hamon et al. 2004). The red and black lines are the 95</w:t>
      </w:r>
      <w:r w:rsidRPr="004A651A">
        <w:rPr>
          <w:vertAlign w:val="superscript"/>
        </w:rPr>
        <w:t>th</w:t>
      </w:r>
      <w:r w:rsidRPr="004A651A">
        <w:t xml:space="preserve"> and 50</w:t>
      </w:r>
      <w:r w:rsidRPr="004A651A">
        <w:rPr>
          <w:vertAlign w:val="superscript"/>
        </w:rPr>
        <w:t>th</w:t>
      </w:r>
      <w:r w:rsidRPr="004A651A">
        <w:t xml:space="preserve"> percentile of the relationships respectively.</w:t>
      </w:r>
      <w:r w:rsidRPr="009F6096">
        <w:t xml:space="preserve"> </w:t>
      </w:r>
    </w:p>
    <w:p w:rsidR="006C2E16" w:rsidRDefault="006C2E16" w:rsidP="006C2E16"/>
    <w:p w:rsidR="006C2E16" w:rsidRPr="00BE548F" w:rsidRDefault="006C2E16" w:rsidP="006C2E16">
      <w:r w:rsidRPr="00BE548F">
        <w:t>The equations developed by Hamon et al. (2004</w:t>
      </w:r>
      <w:r>
        <w:t xml:space="preserve"> [</w:t>
      </w:r>
      <w:r w:rsidRPr="00BE548F">
        <w:t xml:space="preserve">Table 15, Section </w:t>
      </w:r>
      <w:r>
        <w:t>2.4.9.1]</w:t>
      </w:r>
      <w:r w:rsidRPr="00BE548F">
        <w:t>) can be used to estimate the background concentration</w:t>
      </w:r>
      <w:r>
        <w:t xml:space="preserve">. </w:t>
      </w:r>
      <w:r w:rsidRPr="00BE548F">
        <w:t>Hamon et al. (2004) calculated the ‘background concentrations’ using the equation that encompassed the upper 95</w:t>
      </w:r>
      <w:r w:rsidRPr="00BE548F">
        <w:rPr>
          <w:vertAlign w:val="superscript"/>
        </w:rPr>
        <w:t>th</w:t>
      </w:r>
      <w:r w:rsidRPr="00BE548F">
        <w:t xml:space="preserve"> percentile of the data. However, Zhao et al (2007) argued that this approach is not conservative as the poorer the relationships</w:t>
      </w:r>
      <w:r>
        <w:t>,</w:t>
      </w:r>
      <w:r w:rsidRPr="00BE548F">
        <w:t xml:space="preserve"> the larger the 95</w:t>
      </w:r>
      <w:r w:rsidRPr="00BE548F">
        <w:rPr>
          <w:vertAlign w:val="superscript"/>
        </w:rPr>
        <w:t>th</w:t>
      </w:r>
      <w:r w:rsidRPr="00BE548F">
        <w:t xml:space="preserve"> percentile will be and hence the larger the estimates of ABC will be</w:t>
      </w:r>
      <w:r>
        <w:t xml:space="preserve">. </w:t>
      </w:r>
      <w:r w:rsidRPr="00BE548F">
        <w:t>They argue that this may lead to under-protection of soils (by deriving larger ABCs which are added to limit values base on added metal concentrations)</w:t>
      </w:r>
      <w:r>
        <w:t xml:space="preserve">. </w:t>
      </w:r>
      <w:r w:rsidRPr="00BE548F">
        <w:t>Given the above and the purpose of EILs, the 50</w:t>
      </w:r>
      <w:r w:rsidRPr="00BE548F">
        <w:rPr>
          <w:vertAlign w:val="superscript"/>
        </w:rPr>
        <w:t>th</w:t>
      </w:r>
      <w:r w:rsidRPr="00BE548F">
        <w:t xml:space="preserve"> percentile of the data (</w:t>
      </w:r>
      <w:r>
        <w:t xml:space="preserve">that is, </w:t>
      </w:r>
      <w:r w:rsidRPr="00BE548F">
        <w:t xml:space="preserve">the regression equation) should be used to estimate ABC values. </w:t>
      </w:r>
    </w:p>
    <w:p w:rsidR="0003580B" w:rsidRDefault="0003580B" w:rsidP="006C2E16"/>
    <w:p w:rsidR="006C2E16" w:rsidRPr="00BE548F" w:rsidRDefault="006C2E16" w:rsidP="006C2E16">
      <w:r w:rsidRPr="00BE548F">
        <w:t xml:space="preserve">The relationships developed by Hamon et al. (2004) take the form </w:t>
      </w:r>
    </w:p>
    <w:p w:rsidR="006C2E16" w:rsidRPr="003A1F70" w:rsidRDefault="009F182B" w:rsidP="006C2E16">
      <w:pPr>
        <w:ind w:left="720"/>
        <w:rPr>
          <w:szCs w:val="22"/>
        </w:rPr>
      </w:pPr>
      <w:r>
        <w:rPr>
          <w:szCs w:val="22"/>
        </w:rPr>
        <w:t>ABC  = a* log Fe or Mn + b</w:t>
      </w:r>
      <w:r>
        <w:rPr>
          <w:szCs w:val="22"/>
        </w:rPr>
        <w:tab/>
      </w:r>
      <w:r>
        <w:rPr>
          <w:szCs w:val="22"/>
        </w:rPr>
        <w:tab/>
      </w:r>
      <w:r>
        <w:rPr>
          <w:szCs w:val="22"/>
        </w:rPr>
        <w:tab/>
      </w:r>
      <w:r>
        <w:rPr>
          <w:szCs w:val="22"/>
        </w:rPr>
        <w:tab/>
      </w:r>
      <w:r w:rsidR="006C2E16" w:rsidRPr="003A1F70">
        <w:rPr>
          <w:szCs w:val="22"/>
        </w:rPr>
        <w:tab/>
      </w:r>
      <w:r w:rsidR="006C2E16" w:rsidRPr="003A1F70">
        <w:rPr>
          <w:i/>
          <w:iCs/>
          <w:szCs w:val="22"/>
        </w:rPr>
        <w:t>(eq</w:t>
      </w:r>
      <w:r w:rsidR="006C2E16">
        <w:rPr>
          <w:i/>
          <w:iCs/>
          <w:szCs w:val="22"/>
        </w:rPr>
        <w:t>uation</w:t>
      </w:r>
      <w:r w:rsidR="006C2E16" w:rsidRPr="003A1F70">
        <w:rPr>
          <w:i/>
          <w:iCs/>
          <w:szCs w:val="22"/>
        </w:rPr>
        <w:t xml:space="preserve"> 17)</w:t>
      </w:r>
    </w:p>
    <w:p w:rsidR="006C2E16" w:rsidRPr="00BE548F" w:rsidRDefault="006C2E16" w:rsidP="006C2E16"/>
    <w:p w:rsidR="006C2E16" w:rsidRPr="00BE548F" w:rsidRDefault="006C2E16" w:rsidP="006C2E16">
      <w:r w:rsidRPr="00BE548F">
        <w:t xml:space="preserve">To calculate the ABC, measure the Fe and Mn concentration in the soil (expressed in %) using </w:t>
      </w:r>
      <w:r w:rsidRPr="00363524">
        <w:rPr>
          <w:iCs/>
        </w:rPr>
        <w:t>aqua regia</w:t>
      </w:r>
      <w:r w:rsidRPr="00BE548F">
        <w:t xml:space="preserve"> digestion (Hamon et al. 2004), and substitute the appropriate metal concentration into the appropriate equation</w:t>
      </w:r>
      <w:r>
        <w:t xml:space="preserve">. </w:t>
      </w:r>
      <w:r w:rsidRPr="00BE548F">
        <w:t>It is</w:t>
      </w:r>
      <w:r>
        <w:t>,</w:t>
      </w:r>
      <w:r w:rsidRPr="00BE548F">
        <w:t xml:space="preserve"> however, necessary to ascertain that the Fe and Mn content of the soil at the site in question is not elevated by contamination</w:t>
      </w:r>
      <w:r>
        <w:t xml:space="preserve">. </w:t>
      </w:r>
      <w:r w:rsidRPr="00BE548F">
        <w:t>These elements are normally determined in chemical analysis of soils to determine total metal concentrations and therefore minimal extra cost is involved.</w:t>
      </w:r>
    </w:p>
    <w:p w:rsidR="006C2E16" w:rsidRPr="00BE548F" w:rsidRDefault="006C2E16" w:rsidP="001C6BE7">
      <w:pPr>
        <w:pStyle w:val="Heading3"/>
      </w:pPr>
      <w:bookmarkStart w:id="191" w:name="_Toc255360000"/>
      <w:bookmarkStart w:id="192" w:name="_Toc269122478"/>
      <w:bookmarkStart w:id="193" w:name="_Toc351713183"/>
      <w:r w:rsidRPr="00BE548F">
        <w:t>Organics</w:t>
      </w:r>
      <w:bookmarkEnd w:id="191"/>
      <w:bookmarkEnd w:id="192"/>
      <w:bookmarkEnd w:id="193"/>
    </w:p>
    <w:p w:rsidR="006C2E16" w:rsidRDefault="006C2E16" w:rsidP="006C2E16">
      <w:r w:rsidRPr="00940FB4">
        <w:t>Most organic contaminants of interest to contaminated sites are xenobiotics, hence they have no natural background concentration. Notable exceptions to this include lipids and fats, hormones (for example, oestrogen, testosterone), fatty acids, alcohols, hydrocarbons, polycyclic aromatic hydrocarbons and dioxins. Therefore, ABCs will have to be generated by direct measurement or a default ABC of zero (Crommentuijn et al. 2000b) could be assumed. There are no equivalent models to that of Hamon et al. (2004) available for organic contaminants.</w:t>
      </w:r>
    </w:p>
    <w:p w:rsidR="009F182B" w:rsidRPr="00BE548F" w:rsidRDefault="009F182B" w:rsidP="006C2E16"/>
    <w:p w:rsidR="006C2E16" w:rsidRDefault="006C2E16" w:rsidP="006C2E16">
      <w:r w:rsidRPr="00BE548F">
        <w:t>For pyrogenic and naturally occurring organic contamination, a site-specific assessment should be conducted to determine if the measured concentrations are background concentrations for that region</w:t>
      </w:r>
      <w:r>
        <w:t xml:space="preserve">. </w:t>
      </w:r>
      <w:r w:rsidRPr="00BE548F">
        <w:t>If a site-specific assessment is conducted</w:t>
      </w:r>
      <w:r>
        <w:t>,</w:t>
      </w:r>
      <w:r w:rsidRPr="00BE548F">
        <w:t xml:space="preserve"> then the upper 80th percentile of the ABCs should be used as the background as per the Australian and New Zealand WQGs (ANZECC </w:t>
      </w:r>
      <w:r>
        <w:t>&amp;</w:t>
      </w:r>
      <w:r w:rsidRPr="00BE548F">
        <w:t xml:space="preserve"> ARMCANZ 2000)</w:t>
      </w:r>
      <w:r>
        <w:t xml:space="preserve">. </w:t>
      </w:r>
      <w:r w:rsidRPr="00BE548F">
        <w:lastRenderedPageBreak/>
        <w:t xml:space="preserve">However, even if they are considered </w:t>
      </w:r>
      <w:r>
        <w:t>ABCs</w:t>
      </w:r>
      <w:r w:rsidRPr="00BE548F">
        <w:t>, this does not imply that there is no risk to terrestrial biota.</w:t>
      </w:r>
    </w:p>
    <w:p w:rsidR="006C2E16" w:rsidRDefault="006C2E16" w:rsidP="001C6BE7">
      <w:pPr>
        <w:pStyle w:val="Heading1"/>
      </w:pPr>
      <w:bookmarkStart w:id="194" w:name="_Toc232412941"/>
      <w:bookmarkStart w:id="195" w:name="_Toc351713184"/>
      <w:bookmarkStart w:id="196" w:name="_Toc246321289"/>
      <w:bookmarkStart w:id="197" w:name="_Toc264017562"/>
      <w:bookmarkStart w:id="198" w:name="_Toc264556161"/>
      <w:bookmarkStart w:id="199" w:name="_Toc269122479"/>
      <w:r w:rsidRPr="00C30ABA">
        <w:lastRenderedPageBreak/>
        <w:t>Bibliography</w:t>
      </w:r>
      <w:bookmarkEnd w:id="194"/>
      <w:bookmarkEnd w:id="195"/>
      <w:r w:rsidRPr="00C30ABA">
        <w:t xml:space="preserve"> </w:t>
      </w:r>
      <w:bookmarkEnd w:id="196"/>
      <w:bookmarkEnd w:id="197"/>
      <w:bookmarkEnd w:id="198"/>
      <w:bookmarkEnd w:id="199"/>
    </w:p>
    <w:p w:rsidR="006C2E16" w:rsidRPr="000D7F0B" w:rsidRDefault="006C2E16" w:rsidP="001C6BE7">
      <w:pPr>
        <w:pStyle w:val="text"/>
      </w:pPr>
      <w:r w:rsidRPr="000D7F0B">
        <w:t xml:space="preserve">Aldenberg, T &amp; Jaworksa, JS 2000, ‘Uncertainty of the hazardous concentrations and fraction affected for normal species sensitivity distributions’, </w:t>
      </w:r>
      <w:r w:rsidRPr="000D7F0B">
        <w:rPr>
          <w:i/>
          <w:iCs/>
        </w:rPr>
        <w:t>Ecotoxicology and Environmental Safety,</w:t>
      </w:r>
      <w:r w:rsidRPr="000D7F0B">
        <w:t xml:space="preserve"> vol. 46, pp. 1</w:t>
      </w:r>
      <w:r>
        <w:sym w:font="Symbol" w:char="F02D"/>
      </w:r>
      <w:r w:rsidRPr="000D7F0B">
        <w:t>18.</w:t>
      </w:r>
    </w:p>
    <w:p w:rsidR="006C2E16" w:rsidRPr="000D7F0B" w:rsidRDefault="006C2E16" w:rsidP="001C6BE7">
      <w:pPr>
        <w:pStyle w:val="text"/>
      </w:pPr>
      <w:r w:rsidRPr="000D7F0B">
        <w:t xml:space="preserve">Aldenberg, T &amp; Slob, W 1993, ‘Confidence limits for hazardous concentrations based on logistically distributed NOEC toxicity data’, </w:t>
      </w:r>
      <w:r w:rsidRPr="000D7F0B">
        <w:rPr>
          <w:i/>
          <w:iCs/>
        </w:rPr>
        <w:t>Ecotoxicology and Environmental Safet</w:t>
      </w:r>
      <w:r w:rsidRPr="000D7F0B">
        <w:t>y, vol. 25, pp. 48</w:t>
      </w:r>
      <w:r w:rsidRPr="000D7F0B">
        <w:sym w:font="Symbol" w:char="F02D"/>
      </w:r>
      <w:r w:rsidRPr="000D7F0B">
        <w:t>63.</w:t>
      </w:r>
    </w:p>
    <w:p w:rsidR="006C2E16" w:rsidRPr="000D7F0B" w:rsidRDefault="006C2E16" w:rsidP="001C6BE7">
      <w:pPr>
        <w:pStyle w:val="text"/>
      </w:pPr>
      <w:r w:rsidRPr="000D7F0B">
        <w:t xml:space="preserve">Alloway, BJ 1995, </w:t>
      </w:r>
      <w:r w:rsidRPr="000D7F0B">
        <w:rPr>
          <w:i/>
          <w:iCs/>
        </w:rPr>
        <w:t>Heavy metals in soils</w:t>
      </w:r>
      <w:r w:rsidRPr="000D7F0B">
        <w:t>, 2</w:t>
      </w:r>
      <w:r w:rsidRPr="008C50AA">
        <w:rPr>
          <w:vertAlign w:val="superscript"/>
        </w:rPr>
        <w:t>nd</w:t>
      </w:r>
      <w:r w:rsidRPr="000D7F0B">
        <w:t xml:space="preserve"> edn, Blackie Academic and Professional, London, UK.</w:t>
      </w:r>
    </w:p>
    <w:p w:rsidR="006C2E16" w:rsidRPr="000D7F0B" w:rsidRDefault="006C2E16" w:rsidP="001C6BE7">
      <w:pPr>
        <w:pStyle w:val="text"/>
      </w:pPr>
      <w:r w:rsidRPr="000D7F0B">
        <w:t xml:space="preserve">ANZECC &amp; ARMCANZ 1999, </w:t>
      </w:r>
      <w:r w:rsidRPr="000D7F0B">
        <w:rPr>
          <w:i/>
          <w:iCs/>
        </w:rPr>
        <w:t>National water quality management strategy, Draft Australian and New Zealand guidelines for fresh and marine water quality</w:t>
      </w:r>
      <w:r w:rsidRPr="000D7F0B">
        <w:t>. Australian and New Zealand Environment and Conservation Council &amp; Agriculture and Resource Management Council of Australia and New Zealand, Canberra, Australia.</w:t>
      </w:r>
    </w:p>
    <w:p w:rsidR="006C2E16" w:rsidRPr="000D7F0B" w:rsidRDefault="006C2E16" w:rsidP="001C6BE7">
      <w:pPr>
        <w:pStyle w:val="text"/>
      </w:pPr>
      <w:r w:rsidRPr="000D7F0B">
        <w:t xml:space="preserve">ANZECC &amp; ARMCANZ 2000, </w:t>
      </w:r>
      <w:r w:rsidRPr="000D7F0B">
        <w:rPr>
          <w:i/>
          <w:iCs/>
        </w:rPr>
        <w:t>National water quality management strategy.</w:t>
      </w:r>
      <w:r w:rsidRPr="000D7F0B">
        <w:t xml:space="preserve"> </w:t>
      </w:r>
      <w:r w:rsidRPr="000D7F0B">
        <w:rPr>
          <w:i/>
          <w:iCs/>
        </w:rPr>
        <w:t>Australian and New Zealand guidelines for fresh and marine water quality</w:t>
      </w:r>
      <w:r w:rsidRPr="000D7F0B">
        <w:t>, Australian and New Zealand Conservation Council &amp; Agriculture, and Resource Management Council of Australia and New Zealand</w:t>
      </w:r>
      <w:r>
        <w:t>, Canberra, Australia</w:t>
      </w:r>
      <w:r w:rsidRPr="000D7F0B">
        <w:t>.</w:t>
      </w:r>
    </w:p>
    <w:p w:rsidR="006C2E16" w:rsidRDefault="006C2E16" w:rsidP="001C6BE7">
      <w:pPr>
        <w:pStyle w:val="text"/>
      </w:pPr>
      <w:r>
        <w:t xml:space="preserve">Bääth, E, Diaz-Ravina, M &amp; Frostegard, A 1998, ‘Effect of metal-rich sludge amendments on the soil microbial community’, </w:t>
      </w:r>
      <w:r w:rsidRPr="00CE4254">
        <w:rPr>
          <w:i/>
          <w:iCs/>
        </w:rPr>
        <w:t>Applied and Environmental Microbiology</w:t>
      </w:r>
      <w:r>
        <w:t>, vol. 64, pp. 238</w:t>
      </w:r>
      <w:r>
        <w:sym w:font="Symbol" w:char="F02D"/>
      </w:r>
      <w:r>
        <w:t>245.</w:t>
      </w:r>
    </w:p>
    <w:p w:rsidR="006C2E16" w:rsidRPr="000D7F0B" w:rsidRDefault="006C2E16" w:rsidP="001C6BE7">
      <w:pPr>
        <w:pStyle w:val="text"/>
      </w:pPr>
      <w:r w:rsidRPr="000D7F0B">
        <w:t xml:space="preserve">Barrow, NJ 1986, ‘Testing a mechanistic model, IV, Describing the effects of pH on zinc retention by soils’, </w:t>
      </w:r>
      <w:r w:rsidRPr="000D7F0B">
        <w:rPr>
          <w:i/>
          <w:iCs/>
        </w:rPr>
        <w:t>Journal of Soil Science</w:t>
      </w:r>
      <w:r w:rsidRPr="000D7F0B">
        <w:t>, vol. 37, pp. 295</w:t>
      </w:r>
      <w:r>
        <w:sym w:font="Symbol" w:char="F02D"/>
      </w:r>
      <w:r w:rsidRPr="000D7F0B">
        <w:t>302.</w:t>
      </w:r>
    </w:p>
    <w:p w:rsidR="006C2E16" w:rsidRPr="000D7F0B" w:rsidRDefault="006C2E16" w:rsidP="001C6BE7">
      <w:pPr>
        <w:pStyle w:val="text"/>
      </w:pPr>
      <w:r w:rsidRPr="000D7F0B">
        <w:t xml:space="preserve">Basta, NT, Ryan, JA &amp; Chaney, RL 2005, ‘Trace element chemistry in residual-treated soil: key concepts and metal bioavailability’, </w:t>
      </w:r>
      <w:r w:rsidRPr="000D7F0B">
        <w:rPr>
          <w:i/>
          <w:iCs/>
        </w:rPr>
        <w:t>Journal of Environmental Quality</w:t>
      </w:r>
      <w:r w:rsidRPr="000D7F0B">
        <w:t>, vol. 34, pp. 49</w:t>
      </w:r>
      <w:r>
        <w:sym w:font="Symbol" w:char="F02D"/>
      </w:r>
      <w:r w:rsidRPr="000D7F0B">
        <w:t>63.</w:t>
      </w:r>
    </w:p>
    <w:p w:rsidR="006C2E16" w:rsidRPr="000D7F0B" w:rsidRDefault="006C2E16" w:rsidP="001C6BE7">
      <w:pPr>
        <w:pStyle w:val="text"/>
      </w:pPr>
      <w:r w:rsidRPr="001536ED">
        <w:rPr>
          <w:lang w:val="de-DE"/>
        </w:rPr>
        <w:t xml:space="preserve">BBodSchV 1999, Bundes-Bodenschutz und Altlastenverordnung (BBodSchV), vom 12. </w:t>
      </w:r>
      <w:r w:rsidRPr="000D7F0B">
        <w:t>Juli 1999</w:t>
      </w:r>
      <w:r>
        <w:t>,</w:t>
      </w:r>
      <w:r w:rsidRPr="000D7F0B">
        <w:t xml:space="preserve"> (</w:t>
      </w:r>
      <w:r w:rsidRPr="000D7F0B">
        <w:rPr>
          <w:i/>
          <w:iCs/>
        </w:rPr>
        <w:t>Federal soil protection and contaminated sites ordinance</w:t>
      </w:r>
      <w:r w:rsidRPr="000D7F0B">
        <w:t>, dated 12 July 1999)</w:t>
      </w:r>
      <w:r>
        <w:t>,</w:t>
      </w:r>
      <w:r w:rsidRPr="000D7F0B">
        <w:t xml:space="preserve"> Bundesgesetzblatt I, 1554.</w:t>
      </w:r>
    </w:p>
    <w:p w:rsidR="006C2E16" w:rsidRPr="000D7F0B" w:rsidRDefault="006C2E16" w:rsidP="001C6BE7">
      <w:pPr>
        <w:pStyle w:val="text"/>
      </w:pPr>
      <w:r w:rsidRPr="000D7F0B">
        <w:t>Briggs, GG 1981, ‘Theoretical and experimental relationships between soil adsorption, octanol</w:t>
      </w:r>
      <w:r>
        <w:sym w:font="Symbol" w:char="F02D"/>
      </w:r>
      <w:r w:rsidRPr="000D7F0B">
        <w:t xml:space="preserve">water partition coefficients, water solubilities, bioconcentration factors, and the parachor’, </w:t>
      </w:r>
      <w:r w:rsidRPr="000D7F0B">
        <w:rPr>
          <w:i/>
          <w:iCs/>
        </w:rPr>
        <w:t>Journal of Agricultural and Food Chemistry</w:t>
      </w:r>
      <w:r w:rsidRPr="000D7F0B">
        <w:t>, vol. 29, pp. 1050</w:t>
      </w:r>
      <w:r>
        <w:sym w:font="Symbol" w:char="F02D"/>
      </w:r>
      <w:r w:rsidRPr="000D7F0B">
        <w:t>1059.</w:t>
      </w:r>
    </w:p>
    <w:p w:rsidR="006C2E16" w:rsidRPr="000D7F0B" w:rsidRDefault="006C2E16" w:rsidP="001C6BE7">
      <w:pPr>
        <w:pStyle w:val="text"/>
      </w:pPr>
      <w:r w:rsidRPr="000D7F0B">
        <w:t xml:space="preserve">Brix, KV, DeForest, DK &amp; Adams, WJ 2001, ‘Assessing acute and chronic copper risks to freshwater aquatic life using species sensitivity distributions for different taxonomic groups’, </w:t>
      </w:r>
      <w:r w:rsidRPr="000D7F0B">
        <w:rPr>
          <w:i/>
          <w:iCs/>
        </w:rPr>
        <w:t>Environmental Toxicology and Chemistry</w:t>
      </w:r>
      <w:r w:rsidRPr="000D7F0B">
        <w:t xml:space="preserve">  vol. 20, no. 8, pp. 1846</w:t>
      </w:r>
      <w:r>
        <w:sym w:font="Symbol" w:char="F02D"/>
      </w:r>
      <w:r w:rsidRPr="000D7F0B">
        <w:t>1856.</w:t>
      </w:r>
    </w:p>
    <w:p w:rsidR="006C2E16" w:rsidRPr="000D7F0B" w:rsidRDefault="006C2E16" w:rsidP="001C6BE7">
      <w:pPr>
        <w:pStyle w:val="text"/>
      </w:pPr>
      <w:r w:rsidRPr="000D7F0B">
        <w:t>Bro-Rasmussen, F, Calow, P, Canton, JH, Chambers, PL, Silva Fernandes</w:t>
      </w:r>
      <w:r>
        <w:t xml:space="preserve">, </w:t>
      </w:r>
      <w:r w:rsidRPr="000D7F0B">
        <w:t>A, Hoffmann</w:t>
      </w:r>
      <w:r>
        <w:t xml:space="preserve">, </w:t>
      </w:r>
      <w:r w:rsidRPr="000D7F0B">
        <w:t>L, Jouany et al</w:t>
      </w:r>
      <w:r>
        <w:t xml:space="preserve">. </w:t>
      </w:r>
      <w:r w:rsidRPr="000D7F0B">
        <w:t xml:space="preserve">1994, ‘EEC water quality objectives for chemicals dangerous to aquatic environments (List 1)’, </w:t>
      </w:r>
      <w:r w:rsidRPr="000D7F0B">
        <w:rPr>
          <w:i/>
          <w:iCs/>
        </w:rPr>
        <w:t>Reviews of Environmental Contaminants and Toxicology</w:t>
      </w:r>
      <w:r w:rsidRPr="000D7F0B">
        <w:t>, vol. 137, pp. 83</w:t>
      </w:r>
      <w:r>
        <w:sym w:font="Symbol" w:char="F02D"/>
      </w:r>
      <w:r w:rsidRPr="000D7F0B">
        <w:t>110.</w:t>
      </w:r>
    </w:p>
    <w:p w:rsidR="006C2E16" w:rsidRPr="000D7F0B" w:rsidRDefault="006C2E16" w:rsidP="001C6BE7">
      <w:pPr>
        <w:pStyle w:val="text"/>
      </w:pPr>
      <w:r w:rsidRPr="000D7F0B">
        <w:t xml:space="preserve">Broos, K, Warne, MStJ, Heemsbergen, DA, Stevens, D, Barnes, MB, Correll, RL et al. 2007, ‘Soil factors controlling the toxicity of Cu and Zn to microbial processes in Australian soils’, </w:t>
      </w:r>
      <w:r w:rsidRPr="000D7F0B">
        <w:rPr>
          <w:i/>
          <w:iCs/>
        </w:rPr>
        <w:t>Environmental Toxicology and Chemistry</w:t>
      </w:r>
      <w:r w:rsidRPr="000D7F0B">
        <w:t xml:space="preserve"> vol. 26, pp. 583</w:t>
      </w:r>
      <w:r>
        <w:sym w:font="Symbol" w:char="F02D"/>
      </w:r>
      <w:r w:rsidRPr="000D7F0B">
        <w:t>590.</w:t>
      </w:r>
    </w:p>
    <w:p w:rsidR="006C2E16" w:rsidRPr="000D7F0B" w:rsidRDefault="006C2E16" w:rsidP="001C6BE7">
      <w:pPr>
        <w:pStyle w:val="text"/>
      </w:pPr>
      <w:r w:rsidRPr="000D7F0B">
        <w:t>Calabrese, EJ &amp; Baldwin, LA 1993,</w:t>
      </w:r>
      <w:r>
        <w:t xml:space="preserve"> </w:t>
      </w:r>
      <w:r w:rsidRPr="000D7F0B">
        <w:t xml:space="preserve">’Chemical-specific ecosystem MATC’, </w:t>
      </w:r>
      <w:r w:rsidRPr="000D7F0B">
        <w:rPr>
          <w:i/>
          <w:iCs/>
        </w:rPr>
        <w:t>Performing ecological risk assessments</w:t>
      </w:r>
      <w:r w:rsidRPr="000D7F0B">
        <w:t xml:space="preserve">, Lewis Publishers, </w:t>
      </w:r>
      <w:r>
        <w:t>pp. 165</w:t>
      </w:r>
      <w:r>
        <w:sym w:font="Symbol" w:char="F02D"/>
      </w:r>
      <w:r>
        <w:t xml:space="preserve">183, </w:t>
      </w:r>
      <w:r w:rsidRPr="000D7F0B">
        <w:t>Boca Raton, USA.</w:t>
      </w:r>
      <w:r>
        <w:t xml:space="preserve"> </w:t>
      </w:r>
    </w:p>
    <w:p w:rsidR="006C2E16" w:rsidRPr="000D7F0B" w:rsidRDefault="006C2E16" w:rsidP="001C6BE7">
      <w:pPr>
        <w:pStyle w:val="text"/>
      </w:pPr>
      <w:r w:rsidRPr="000D7F0B">
        <w:lastRenderedPageBreak/>
        <w:t>Campbell, E, Palmer, MJ, Shao, Q, Warne, MStJ &amp; Wilson, D 2000</w:t>
      </w:r>
      <w:r>
        <w:t xml:space="preserve">, </w:t>
      </w:r>
      <w:r w:rsidRPr="000D7F0B">
        <w:t xml:space="preserve">‘BurrliOZ: A computer program for the estimation of the trigger values for the ANZECC and ARMCANZ water quality guidelines’, in </w:t>
      </w:r>
      <w:r w:rsidRPr="000D7F0B">
        <w:rPr>
          <w:i/>
          <w:iCs/>
        </w:rPr>
        <w:t>National water quality management strategy.</w:t>
      </w:r>
      <w:r w:rsidRPr="000D7F0B">
        <w:t xml:space="preserve"> </w:t>
      </w:r>
      <w:r w:rsidRPr="000D7F0B">
        <w:rPr>
          <w:i/>
          <w:iCs/>
        </w:rPr>
        <w:t>Australian and New Zealand guidelines for fresh and marine water quality</w:t>
      </w:r>
      <w:r w:rsidRPr="000D7F0B">
        <w:t>, Australian and New Zealand Conservation Council and Agriculture, &amp; Resource Management Council of Australia and New Zealand</w:t>
      </w:r>
      <w:r>
        <w:t>, Canberra, Australia</w:t>
      </w:r>
      <w:r w:rsidRPr="000D7F0B">
        <w:t>.</w:t>
      </w:r>
    </w:p>
    <w:p w:rsidR="006C2E16" w:rsidRPr="000D7F0B" w:rsidRDefault="006C2E16" w:rsidP="001C6BE7">
      <w:pPr>
        <w:pStyle w:val="text"/>
      </w:pPr>
      <w:r w:rsidRPr="000D7F0B">
        <w:t xml:space="preserve">Carlon, C 2007 (ed.), Derivation methods of soil screening values in Europe. A review and evaluation of national procedures towards harmonization. European Commission, Joint Research Centre, ISPRA, EUR 22805-EN. </w:t>
      </w:r>
    </w:p>
    <w:p w:rsidR="006C2E16" w:rsidRPr="000D7F0B" w:rsidRDefault="006C2E16" w:rsidP="001C6BE7">
      <w:pPr>
        <w:pStyle w:val="text"/>
      </w:pPr>
      <w:r w:rsidRPr="000D7F0B">
        <w:t xml:space="preserve">CCME 1991, ‘Appendix IX’, </w:t>
      </w:r>
      <w:r w:rsidRPr="000D7F0B">
        <w:rPr>
          <w:i/>
          <w:iCs/>
        </w:rPr>
        <w:t xml:space="preserve">Canadian water quality guidelines, </w:t>
      </w:r>
      <w:r>
        <w:rPr>
          <w:iCs/>
        </w:rPr>
        <w:t>pp. IX-1</w:t>
      </w:r>
      <w:r>
        <w:rPr>
          <w:iCs/>
        </w:rPr>
        <w:sym w:font="Symbol" w:char="F02D"/>
      </w:r>
      <w:r>
        <w:rPr>
          <w:iCs/>
        </w:rPr>
        <w:t xml:space="preserve">IX-8, </w:t>
      </w:r>
      <w:r w:rsidRPr="000D7F0B">
        <w:t>Canadian Council of Ministers for the Environment, Inland Water Directorate, Environment Canada, Ottawa, Canada.</w:t>
      </w:r>
    </w:p>
    <w:p w:rsidR="006C2E16" w:rsidRPr="000D7F0B" w:rsidRDefault="006C2E16" w:rsidP="001C6BE7">
      <w:pPr>
        <w:pStyle w:val="text"/>
      </w:pPr>
      <w:r w:rsidRPr="000D7F0B">
        <w:t xml:space="preserve">CCME 1999, </w:t>
      </w:r>
      <w:r w:rsidRPr="000D7F0B">
        <w:rPr>
          <w:i/>
          <w:iCs/>
        </w:rPr>
        <w:t>Canadian environmental quality guidelines</w:t>
      </w:r>
      <w:r w:rsidRPr="000D7F0B">
        <w:t xml:space="preserve">, available online at: </w:t>
      </w:r>
      <w:hyperlink r:id="rId34" w:history="1">
        <w:r w:rsidRPr="000D7F0B">
          <w:t>http://www.ccme.ca/publications/can_guidelines.html</w:t>
        </w:r>
      </w:hyperlink>
      <w:r w:rsidRPr="000D7F0B">
        <w:t>.</w:t>
      </w:r>
    </w:p>
    <w:p w:rsidR="006C2E16" w:rsidRPr="000D7F0B" w:rsidRDefault="006C2E16" w:rsidP="001C6BE7">
      <w:pPr>
        <w:pStyle w:val="text"/>
      </w:pPr>
      <w:r w:rsidRPr="000D7F0B">
        <w:t xml:space="preserve">CCME 2006, </w:t>
      </w:r>
      <w:r w:rsidRPr="000D7F0B">
        <w:rPr>
          <w:i/>
          <w:iCs/>
        </w:rPr>
        <w:t>A protocol for the derivation of environmental and human health soil quality guidelines</w:t>
      </w:r>
      <w:r w:rsidRPr="000D7F0B">
        <w:t xml:space="preserve">, available online at: </w:t>
      </w:r>
      <w:hyperlink r:id="rId35" w:history="1">
        <w:r w:rsidRPr="000D7F0B">
          <w:t>http://www.ccme.ca/assets/pdf/sg_protocol_1332_e.pdf</w:t>
        </w:r>
      </w:hyperlink>
      <w:r w:rsidRPr="000D7F0B">
        <w:t>.</w:t>
      </w:r>
    </w:p>
    <w:p w:rsidR="006C2E16" w:rsidRPr="000D7F0B" w:rsidRDefault="006C2E16" w:rsidP="001C6BE7">
      <w:pPr>
        <w:pStyle w:val="text"/>
      </w:pPr>
      <w:r w:rsidRPr="000D7F0B">
        <w:t xml:space="preserve">Chapman, PM, Cardwell, RS &amp; Chapman, PF 1996, ‘A warning: NOECs are inappropriate for regulatory use’, </w:t>
      </w:r>
      <w:r w:rsidRPr="000D7F0B">
        <w:rPr>
          <w:i/>
          <w:iCs/>
        </w:rPr>
        <w:t>Environmental Toxicology and Chemistry</w:t>
      </w:r>
      <w:r w:rsidRPr="000D7F0B">
        <w:t>, vol. 15, pp. 77</w:t>
      </w:r>
      <w:r>
        <w:sym w:font="Symbol" w:char="F02D"/>
      </w:r>
      <w:r w:rsidRPr="000D7F0B">
        <w:t>79.</w:t>
      </w:r>
    </w:p>
    <w:p w:rsidR="006C2E16" w:rsidRPr="000D7F0B" w:rsidRDefault="006C2E16" w:rsidP="001C6BE7">
      <w:pPr>
        <w:pStyle w:val="text"/>
      </w:pPr>
      <w:r w:rsidRPr="000D7F0B">
        <w:t xml:space="preserve">Chapman, PM, Fairbrother, A &amp; Brown, D 1998, ‘A critical evaluation of safety uncertainty factors for ecological risk assessment’, </w:t>
      </w:r>
      <w:r w:rsidRPr="000D7F0B">
        <w:rPr>
          <w:i/>
          <w:iCs/>
        </w:rPr>
        <w:t>Environmental Toxicology and Chemistry</w:t>
      </w:r>
      <w:r w:rsidRPr="000D7F0B">
        <w:t>, vol. 17, pp</w:t>
      </w:r>
      <w:r>
        <w:t xml:space="preserve">. </w:t>
      </w:r>
      <w:r w:rsidRPr="000D7F0B">
        <w:t>99</w:t>
      </w:r>
      <w:r>
        <w:sym w:font="Symbol" w:char="F02D"/>
      </w:r>
      <w:r w:rsidRPr="000D7F0B">
        <w:t>108.</w:t>
      </w:r>
    </w:p>
    <w:p w:rsidR="006C2E16" w:rsidRPr="000D7F0B" w:rsidRDefault="006C2E16" w:rsidP="001C6BE7">
      <w:pPr>
        <w:pStyle w:val="text"/>
      </w:pPr>
      <w:r w:rsidRPr="000D7F0B">
        <w:t xml:space="preserve">Chapman, PM, McDonald, BG, Kickham, PE &amp; McKinnon, S 2006, ‘Global geographic differences in marine metals toxicity’, </w:t>
      </w:r>
      <w:r w:rsidRPr="000D7F0B">
        <w:rPr>
          <w:i/>
          <w:iCs/>
        </w:rPr>
        <w:t>Marine Pollution Bulletin</w:t>
      </w:r>
      <w:r w:rsidRPr="000D7F0B">
        <w:t>, vol. 52, no. 9, pp. 1081</w:t>
      </w:r>
      <w:r>
        <w:sym w:font="Symbol" w:char="F02D"/>
      </w:r>
      <w:r w:rsidRPr="000D7F0B">
        <w:t>1084.</w:t>
      </w:r>
    </w:p>
    <w:p w:rsidR="006C2E16" w:rsidRPr="000D7F0B" w:rsidRDefault="006C2E16" w:rsidP="001C6BE7">
      <w:pPr>
        <w:pStyle w:val="text"/>
      </w:pPr>
      <w:r w:rsidRPr="000D7F0B">
        <w:t>Connell, DW 1989, ‘Bioconcentration of lipophilic and hydrophobic contaminants by aquatic organisms’, in Connell</w:t>
      </w:r>
      <w:r>
        <w:t>, DW</w:t>
      </w:r>
      <w:r w:rsidRPr="000D7F0B">
        <w:t xml:space="preserve"> (ed.), </w:t>
      </w:r>
      <w:r w:rsidRPr="000D7F0B">
        <w:rPr>
          <w:i/>
          <w:iCs/>
        </w:rPr>
        <w:t>Bioaccumulation of xenobiotic contaminants</w:t>
      </w:r>
      <w:r w:rsidRPr="000D7F0B">
        <w:t>, CRC Press, Boca Raton, Fl</w:t>
      </w:r>
      <w:r>
        <w:t>orida</w:t>
      </w:r>
      <w:r w:rsidRPr="000D7F0B">
        <w:t>, USA.</w:t>
      </w:r>
    </w:p>
    <w:p w:rsidR="006C2E16" w:rsidRPr="000D7F0B" w:rsidRDefault="006C2E16" w:rsidP="001C6BE7">
      <w:pPr>
        <w:pStyle w:val="text"/>
      </w:pPr>
      <w:r w:rsidRPr="000D7F0B">
        <w:t xml:space="preserve">Cotruvo, JA 1988, ‘Risk assessment of carcinogenic and noncarcinogenic chemicals’, </w:t>
      </w:r>
      <w:r w:rsidRPr="000D7F0B">
        <w:rPr>
          <w:i/>
          <w:iCs/>
        </w:rPr>
        <w:t>Critical Reviews in Toxicology</w:t>
      </w:r>
      <w:r w:rsidRPr="000D7F0B">
        <w:t>, vol. 20, pp. 341</w:t>
      </w:r>
      <w:r>
        <w:sym w:font="Symbol" w:char="F02D"/>
      </w:r>
      <w:r w:rsidRPr="000D7F0B">
        <w:t>367.</w:t>
      </w:r>
    </w:p>
    <w:p w:rsidR="006C2E16" w:rsidRPr="00F8541F" w:rsidRDefault="006C2E16" w:rsidP="001C6BE7">
      <w:pPr>
        <w:pStyle w:val="text"/>
      </w:pPr>
      <w:r w:rsidRPr="00C13F41">
        <w:t xml:space="preserve">Crommentuijn, T, Polder, M &amp; van de Plassche, E 1997, </w:t>
      </w:r>
      <w:r w:rsidRPr="00C13F41">
        <w:rPr>
          <w:i/>
        </w:rPr>
        <w:t>Maximum permissible concentrations and negligible concentrations for metals taking background concentrations into account</w:t>
      </w:r>
      <w:r>
        <w:rPr>
          <w:i/>
        </w:rPr>
        <w:t>,</w:t>
      </w:r>
      <w:r>
        <w:t xml:space="preserve"> RIVM report number 601501 001,</w:t>
      </w:r>
      <w:r w:rsidRPr="00C13F41">
        <w:t xml:space="preserve"> National Institute of Public Health and the Environment, Bilthoven, </w:t>
      </w:r>
      <w:r>
        <w:t>Netherlands</w:t>
      </w:r>
      <w:r w:rsidRPr="00C13F41">
        <w:t>.</w:t>
      </w:r>
    </w:p>
    <w:p w:rsidR="006C2E16" w:rsidRPr="000D7F0B" w:rsidRDefault="006C2E16" w:rsidP="001C6BE7">
      <w:pPr>
        <w:pStyle w:val="text"/>
      </w:pPr>
      <w:r w:rsidRPr="000D7F0B">
        <w:t xml:space="preserve">Crommentuijn, T, Sijm, D, de Bruijn, J, van den Hoop, M, van Leeuwen, K &amp; van de Plassche, E 2000a, ‘Maximum permissible and negligible concentrations for metals and metalloids in the Netherlands, taking into account background concentrations’,  </w:t>
      </w:r>
      <w:r w:rsidRPr="000D7F0B">
        <w:rPr>
          <w:i/>
          <w:iCs/>
        </w:rPr>
        <w:t>Journal of Environmental Management</w:t>
      </w:r>
      <w:r w:rsidRPr="000D7F0B">
        <w:t>, vol</w:t>
      </w:r>
      <w:r>
        <w:t xml:space="preserve">. </w:t>
      </w:r>
      <w:r w:rsidRPr="000D7F0B">
        <w:t>60, pp. 121</w:t>
      </w:r>
      <w:r>
        <w:sym w:font="Symbol" w:char="F02D"/>
      </w:r>
      <w:r w:rsidRPr="000D7F0B">
        <w:t>143.</w:t>
      </w:r>
    </w:p>
    <w:p w:rsidR="006C2E16" w:rsidRPr="000D7F0B" w:rsidRDefault="006C2E16" w:rsidP="001C6BE7">
      <w:pPr>
        <w:pStyle w:val="text"/>
      </w:pPr>
      <w:r w:rsidRPr="000D7F0B">
        <w:t xml:space="preserve">Crommentuijn, T, Polder, M, Sijm, D, de Bruijn, J, van den Hoop, M &amp; van de Plassche, E 2000b, ‘Evaluation of the Dutch environmental risk limits for metals by application of the added risk approach’, </w:t>
      </w:r>
      <w:r w:rsidRPr="000D7F0B">
        <w:rPr>
          <w:i/>
          <w:iCs/>
        </w:rPr>
        <w:t>Environmental Toxicology and Chemistry</w:t>
      </w:r>
      <w:r w:rsidRPr="000D7F0B">
        <w:t>, vol. 19, pp. 1692</w:t>
      </w:r>
      <w:r>
        <w:sym w:font="Symbol" w:char="F02D"/>
      </w:r>
      <w:r w:rsidRPr="000D7F0B">
        <w:t>1701.</w:t>
      </w:r>
    </w:p>
    <w:p w:rsidR="006C2E16" w:rsidRPr="000D7F0B" w:rsidRDefault="006C2E16" w:rsidP="001C6BE7">
      <w:pPr>
        <w:pStyle w:val="text"/>
      </w:pPr>
      <w:r w:rsidRPr="000D7F0B">
        <w:t xml:space="preserve">Dean, JR &amp; Scott, WC 2004, ‘Recent developments in assessing the bioavailability of persistent organic pollutants in the environment’, </w:t>
      </w:r>
      <w:r w:rsidRPr="000D7F0B">
        <w:rPr>
          <w:i/>
          <w:iCs/>
        </w:rPr>
        <w:t>Trac-Trends in Analytical Chemistry</w:t>
      </w:r>
      <w:r w:rsidRPr="000D7F0B">
        <w:t>, vol. 23, pp. 609</w:t>
      </w:r>
      <w:r>
        <w:sym w:font="Symbol" w:char="F02D"/>
      </w:r>
      <w:r w:rsidRPr="000D7F0B">
        <w:t>618.</w:t>
      </w:r>
    </w:p>
    <w:p w:rsidR="006C2E16" w:rsidRPr="000D7F0B" w:rsidRDefault="006C2E16" w:rsidP="001C6BE7">
      <w:pPr>
        <w:pStyle w:val="text"/>
      </w:pPr>
      <w:r w:rsidRPr="000D7F0B">
        <w:lastRenderedPageBreak/>
        <w:t xml:space="preserve">Delos, CG 1995, ‘Possible revisions to EPA’s procedure for deriving aquatic life criteria‘, </w:t>
      </w:r>
      <w:r w:rsidRPr="000D7F0B">
        <w:rPr>
          <w:i/>
          <w:iCs/>
        </w:rPr>
        <w:t>Proceedings of the Water Environment Federation</w:t>
      </w:r>
      <w:r w:rsidRPr="000D7F0B">
        <w:t xml:space="preserve">, </w:t>
      </w:r>
      <w:r w:rsidRPr="000D7F0B">
        <w:rPr>
          <w:i/>
          <w:iCs/>
        </w:rPr>
        <w:t>67th Conference and Exposition</w:t>
      </w:r>
      <w:r w:rsidRPr="000D7F0B">
        <w:t>, vol. 4, Chicago, Illinois, USA, pp. 661</w:t>
      </w:r>
      <w:r>
        <w:sym w:font="Symbol" w:char="F02D"/>
      </w:r>
      <w:r w:rsidRPr="000D7F0B">
        <w:t>667.</w:t>
      </w:r>
    </w:p>
    <w:p w:rsidR="006C2E16" w:rsidRDefault="006C2E16" w:rsidP="001C6BE7">
      <w:pPr>
        <w:pStyle w:val="text"/>
      </w:pPr>
      <w:r>
        <w:t xml:space="preserve">Diaz-Ravina, M &amp; Bääth E 1996, ‘Development of metal tolerance in soil bacterial communities exposed to experimentally increased metal levels’, </w:t>
      </w:r>
      <w:r w:rsidRPr="00CE4254">
        <w:rPr>
          <w:i/>
          <w:iCs/>
        </w:rPr>
        <w:t>Applied and Environmental Microbiology</w:t>
      </w:r>
      <w:r>
        <w:t>, vol 62, pp. 2970</w:t>
      </w:r>
      <w:r>
        <w:sym w:font="Symbol" w:char="F02D"/>
      </w:r>
      <w:r>
        <w:t>2977.</w:t>
      </w:r>
    </w:p>
    <w:p w:rsidR="006C2E16" w:rsidRPr="000D7F0B" w:rsidRDefault="006C2E16" w:rsidP="001C6BE7">
      <w:pPr>
        <w:pStyle w:val="text"/>
      </w:pPr>
      <w:r w:rsidRPr="000D7F0B">
        <w:t xml:space="preserve">Dyer, SD, Belanger, SE &amp; Carr, GJ 1997, An initial evaluation of the use of Euro/North American fish species for tropical effects assessments’, </w:t>
      </w:r>
      <w:r w:rsidRPr="000D7F0B">
        <w:rPr>
          <w:i/>
          <w:iCs/>
        </w:rPr>
        <w:t>Chemosphere</w:t>
      </w:r>
      <w:r w:rsidRPr="000D7F0B">
        <w:t>, vol. 35, no. 11, pp. 2767</w:t>
      </w:r>
      <w:r>
        <w:sym w:font="Symbol" w:char="F02D"/>
      </w:r>
      <w:r w:rsidRPr="000D7F0B">
        <w:t>2781.</w:t>
      </w:r>
    </w:p>
    <w:p w:rsidR="006C2E16" w:rsidRPr="000D7F0B" w:rsidRDefault="006C2E16" w:rsidP="001C6BE7">
      <w:pPr>
        <w:pStyle w:val="text"/>
      </w:pPr>
      <w:r w:rsidRPr="00771F10">
        <w:rPr>
          <w:lang w:val="nl-NL"/>
        </w:rPr>
        <w:t xml:space="preserve">Emans, HJB, </w:t>
      </w:r>
      <w:r>
        <w:rPr>
          <w:lang w:val="nl-NL"/>
        </w:rPr>
        <w:t>v</w:t>
      </w:r>
      <w:r w:rsidRPr="00771F10">
        <w:rPr>
          <w:lang w:val="nl-NL"/>
        </w:rPr>
        <w:t>an de Plassche, EJ, Canton, JH, Okkerman, PC &amp; Sparenburgs, PM 1993</w:t>
      </w:r>
      <w:r>
        <w:rPr>
          <w:lang w:val="nl-NL"/>
        </w:rPr>
        <w:t>,</w:t>
      </w:r>
      <w:r w:rsidRPr="00771F10">
        <w:rPr>
          <w:lang w:val="nl-NL"/>
        </w:rPr>
        <w:t xml:space="preserve"> </w:t>
      </w:r>
      <w:r w:rsidRPr="000D7F0B">
        <w:t xml:space="preserve">‘Validation of some extrapolation methods for effects assessment‘, </w:t>
      </w:r>
      <w:r w:rsidRPr="000D7F0B">
        <w:rPr>
          <w:i/>
          <w:iCs/>
        </w:rPr>
        <w:t>Environmental Toxicology and Chemistry</w:t>
      </w:r>
      <w:r w:rsidRPr="000D7F0B">
        <w:t>, vol. 12, pp. 2139</w:t>
      </w:r>
      <w:r>
        <w:sym w:font="Symbol" w:char="F02D"/>
      </w:r>
      <w:r w:rsidRPr="000D7F0B">
        <w:t>2154.</w:t>
      </w:r>
    </w:p>
    <w:p w:rsidR="006C2E16" w:rsidRPr="000D7F0B" w:rsidRDefault="006C2E16" w:rsidP="001C6BE7">
      <w:pPr>
        <w:pStyle w:val="text"/>
      </w:pPr>
      <w:r w:rsidRPr="000D7F0B">
        <w:t xml:space="preserve">EC 2008, ‘Environmental effects’, European Union voluntary risk assessment report: copper, copper II sulphate pentahydrate, copper(I)oxide, copper(II)oxide, copper chloride trihydroxide, European Commission, Brussels, Belgium, available online at </w:t>
      </w:r>
      <w:hyperlink r:id="rId36" w:history="1">
        <w:r w:rsidRPr="000D7F0B">
          <w:t>http://echa.europa.eu/chem_data/transit_measures/vrar_en.asp</w:t>
        </w:r>
      </w:hyperlink>
      <w:r w:rsidRPr="000D7F0B">
        <w:t>.</w:t>
      </w:r>
    </w:p>
    <w:p w:rsidR="006C2E16" w:rsidRPr="000D7F0B" w:rsidRDefault="006C2E16" w:rsidP="001C6BE7">
      <w:pPr>
        <w:pStyle w:val="text"/>
      </w:pPr>
      <w:r w:rsidRPr="000D7F0B">
        <w:t xml:space="preserve">ECB 2003, </w:t>
      </w:r>
      <w:r w:rsidRPr="000D7F0B">
        <w:rPr>
          <w:i/>
          <w:iCs/>
        </w:rPr>
        <w:t>Technical guidance document on risk assessment</w:t>
      </w:r>
      <w:r w:rsidRPr="000D7F0B">
        <w:t>, EUR 20418 EN/1, European Chemicals Bureau, Office for Official Publications of the European Community, Luxembourg.</w:t>
      </w:r>
    </w:p>
    <w:p w:rsidR="006C2E16" w:rsidRPr="000D7F0B" w:rsidRDefault="006C2E16" w:rsidP="001C6BE7">
      <w:pPr>
        <w:pStyle w:val="text"/>
      </w:pPr>
      <w:r w:rsidRPr="000D7F0B">
        <w:t xml:space="preserve">ECETOC 1993, </w:t>
      </w:r>
      <w:r w:rsidRPr="000D7F0B">
        <w:rPr>
          <w:i/>
          <w:iCs/>
        </w:rPr>
        <w:t>Aquatic toxicity database evaluation</w:t>
      </w:r>
      <w:r w:rsidRPr="000D7F0B">
        <w:t>, ECETOC Technical report no. 56, European Centre for Toxicology of Chemicals, Brussels, Belgium.</w:t>
      </w:r>
    </w:p>
    <w:p w:rsidR="006C2E16" w:rsidRPr="000D7F0B" w:rsidRDefault="006C2E16" w:rsidP="001C6BE7">
      <w:pPr>
        <w:pStyle w:val="text"/>
      </w:pPr>
      <w:r w:rsidRPr="000D7F0B">
        <w:t xml:space="preserve">EU 2006a, ‘Directive 2000/60/EC of the European Parliament and of the Council establishing a framework for community action in the field of water policy’, </w:t>
      </w:r>
      <w:r w:rsidRPr="000D7F0B">
        <w:rPr>
          <w:i/>
          <w:iCs/>
        </w:rPr>
        <w:t>Official Journal of the European Communities</w:t>
      </w:r>
      <w:r w:rsidRPr="000D7F0B">
        <w:t>, L327/1-72, European Union</w:t>
      </w:r>
      <w:r>
        <w:t>, Brussels, Belgium</w:t>
      </w:r>
      <w:r w:rsidRPr="000D7F0B">
        <w:t>.</w:t>
      </w:r>
    </w:p>
    <w:p w:rsidR="006C2E16" w:rsidRPr="000D7F0B" w:rsidRDefault="006C2E16" w:rsidP="001C6BE7">
      <w:pPr>
        <w:pStyle w:val="text"/>
      </w:pPr>
      <w:r w:rsidRPr="000D7F0B">
        <w:t xml:space="preserve">EU 2006b, ‘Terrestrial effects assessment’, </w:t>
      </w:r>
      <w:r w:rsidRPr="000D7F0B">
        <w:rPr>
          <w:i/>
          <w:iCs/>
        </w:rPr>
        <w:t>Draft risk assessment report for nickel and nickel compounds</w:t>
      </w:r>
      <w:r w:rsidRPr="000D7F0B">
        <w:t>, Section 3.1, Draft of May 11, 2006, European Union, Brussels</w:t>
      </w:r>
      <w:r>
        <w:t>, Belgium</w:t>
      </w:r>
      <w:r w:rsidRPr="000D7F0B">
        <w:t xml:space="preserve">. </w:t>
      </w:r>
    </w:p>
    <w:p w:rsidR="006C2E16" w:rsidRDefault="006C2E16" w:rsidP="001C6BE7">
      <w:pPr>
        <w:pStyle w:val="text"/>
      </w:pPr>
      <w:r>
        <w:t xml:space="preserve">Fait, G, Broos, K, Zrna, S, Lombi, E &amp; Hamon, R 2006, ‘Tolerance of nitrifying bacteria to copper and nickel’, </w:t>
      </w:r>
      <w:r w:rsidRPr="006A67A4">
        <w:rPr>
          <w:i/>
          <w:iCs/>
        </w:rPr>
        <w:t>Environmental Toxicology and Chemistry</w:t>
      </w:r>
      <w:r>
        <w:t>, vol 25, pp. 2000</w:t>
      </w:r>
      <w:r>
        <w:sym w:font="Symbol" w:char="F02D"/>
      </w:r>
      <w:r>
        <w:t>2005.</w:t>
      </w:r>
    </w:p>
    <w:p w:rsidR="006C2E16" w:rsidRPr="000D7F0B" w:rsidRDefault="006C2E16" w:rsidP="001C6BE7">
      <w:pPr>
        <w:pStyle w:val="text"/>
      </w:pPr>
      <w:r w:rsidRPr="000D7F0B">
        <w:t xml:space="preserve">Forbes, TL &amp; Forbes, VE 1993, ‘A critique of the use of distribution-based extrapolation models in ecotoxicology’, </w:t>
      </w:r>
      <w:r w:rsidRPr="000D7F0B">
        <w:rPr>
          <w:i/>
          <w:iCs/>
        </w:rPr>
        <w:t>Functional Ecology</w:t>
      </w:r>
      <w:r w:rsidRPr="000D7F0B">
        <w:t>, vol. 7, pp. 249</w:t>
      </w:r>
      <w:r>
        <w:sym w:font="Symbol" w:char="F02D"/>
      </w:r>
      <w:r w:rsidRPr="000D7F0B">
        <w:t>254.</w:t>
      </w:r>
    </w:p>
    <w:p w:rsidR="006C2E16" w:rsidRPr="000D7F0B" w:rsidRDefault="006C2E16" w:rsidP="001C6BE7">
      <w:pPr>
        <w:pStyle w:val="text"/>
      </w:pPr>
      <w:r w:rsidRPr="000D7F0B">
        <w:t>Forbes, VE, Calow, P 2002</w:t>
      </w:r>
      <w:r>
        <w:t>a</w:t>
      </w:r>
      <w:r w:rsidRPr="000D7F0B">
        <w:t xml:space="preserve">, ‘Species sensitivity distributions revisited: a critical appraisal’, </w:t>
      </w:r>
      <w:r w:rsidRPr="000D7F0B">
        <w:rPr>
          <w:i/>
          <w:iCs/>
        </w:rPr>
        <w:t>Human and Ecological Risk Assessment</w:t>
      </w:r>
      <w:r w:rsidRPr="000D7F0B">
        <w:t>, vol 8, pp. 473</w:t>
      </w:r>
      <w:r>
        <w:sym w:font="Symbol" w:char="F02D"/>
      </w:r>
      <w:r w:rsidRPr="000D7F0B">
        <w:t>492.</w:t>
      </w:r>
    </w:p>
    <w:p w:rsidR="006C2E16" w:rsidRPr="000D7F0B" w:rsidRDefault="006C2E16" w:rsidP="001C6BE7">
      <w:pPr>
        <w:pStyle w:val="text"/>
      </w:pPr>
      <w:r w:rsidRPr="000D7F0B">
        <w:t>Forbes, VE, Calow, P 2002</w:t>
      </w:r>
      <w:r>
        <w:t>b</w:t>
      </w:r>
      <w:r w:rsidRPr="000D7F0B">
        <w:t xml:space="preserve">, ‘Extrapolation in ecological risk assessment: balancing pragmatism and precaution in chemical controls legislation‘, </w:t>
      </w:r>
      <w:r w:rsidRPr="000D7F0B">
        <w:rPr>
          <w:i/>
          <w:iCs/>
        </w:rPr>
        <w:t>BioScience</w:t>
      </w:r>
      <w:r w:rsidRPr="000D7F0B">
        <w:t>, vol. 5, pp. 249</w:t>
      </w:r>
      <w:r>
        <w:sym w:font="Symbol" w:char="F02D"/>
      </w:r>
      <w:r w:rsidRPr="000D7F0B">
        <w:t>257.</w:t>
      </w:r>
    </w:p>
    <w:p w:rsidR="006C2E16" w:rsidRPr="000D7F0B" w:rsidRDefault="006C2E16" w:rsidP="001C6BE7">
      <w:pPr>
        <w:pStyle w:val="text"/>
      </w:pPr>
      <w:r w:rsidRPr="000D7F0B">
        <w:t xml:space="preserve">Fox, DR 1999, ‘Setting water quality guidelines: a statistician’s perspective’, </w:t>
      </w:r>
      <w:r w:rsidRPr="000D7F0B">
        <w:rPr>
          <w:i/>
          <w:iCs/>
        </w:rPr>
        <w:t>SETAC News</w:t>
      </w:r>
      <w:r w:rsidRPr="000D7F0B">
        <w:t>, May, pp. 17</w:t>
      </w:r>
      <w:r>
        <w:sym w:font="Symbol" w:char="F02D"/>
      </w:r>
      <w:r w:rsidRPr="000D7F0B">
        <w:t>18.</w:t>
      </w:r>
    </w:p>
    <w:p w:rsidR="006C2E16" w:rsidRPr="000D7F0B" w:rsidRDefault="006C2E16" w:rsidP="001C6BE7">
      <w:pPr>
        <w:pStyle w:val="text"/>
      </w:pPr>
      <w:r w:rsidRPr="000D7F0B">
        <w:t xml:space="preserve">Fox, DR 2008, ‘Opinion. NECs, NOECs and ECx’, </w:t>
      </w:r>
      <w:r w:rsidRPr="000D7F0B">
        <w:rPr>
          <w:i/>
          <w:iCs/>
        </w:rPr>
        <w:t>Australasian Journal of Ecotoxicology</w:t>
      </w:r>
      <w:r w:rsidRPr="000D7F0B">
        <w:t>, vol. 14, no. 1, pp</w:t>
      </w:r>
      <w:r>
        <w:t xml:space="preserve">. </w:t>
      </w:r>
      <w:r w:rsidRPr="000D7F0B">
        <w:t>6</w:t>
      </w:r>
      <w:r>
        <w:sym w:font="Symbol" w:char="F02D"/>
      </w:r>
      <w:r w:rsidRPr="000D7F0B">
        <w:t xml:space="preserve">10. </w:t>
      </w:r>
    </w:p>
    <w:p w:rsidR="006C2E16" w:rsidRPr="000D7F0B" w:rsidRDefault="006C2E16" w:rsidP="001C6BE7">
      <w:pPr>
        <w:pStyle w:val="text"/>
      </w:pPr>
      <w:r w:rsidRPr="000D7F0B">
        <w:t xml:space="preserve">Goldberg, L 1975, ‘Safety evaluation concepts’, </w:t>
      </w:r>
      <w:r w:rsidRPr="000D7F0B">
        <w:rPr>
          <w:i/>
          <w:iCs/>
        </w:rPr>
        <w:t xml:space="preserve">Journal </w:t>
      </w:r>
      <w:r>
        <w:rPr>
          <w:i/>
          <w:iCs/>
        </w:rPr>
        <w:t xml:space="preserve">of the </w:t>
      </w:r>
      <w:r w:rsidRPr="000D7F0B">
        <w:rPr>
          <w:i/>
          <w:iCs/>
        </w:rPr>
        <w:t>Association of Official Analytical Chemists</w:t>
      </w:r>
      <w:r w:rsidRPr="000D7F0B">
        <w:t>, vol. 58, pp. 635</w:t>
      </w:r>
      <w:r>
        <w:sym w:font="Symbol" w:char="F02D"/>
      </w:r>
      <w:r w:rsidRPr="000D7F0B">
        <w:t>644.</w:t>
      </w:r>
    </w:p>
    <w:p w:rsidR="006C2E16" w:rsidRPr="000D7F0B" w:rsidRDefault="006C2E16" w:rsidP="001C6BE7">
      <w:pPr>
        <w:pStyle w:val="text"/>
      </w:pPr>
      <w:r w:rsidRPr="000D7F0B">
        <w:lastRenderedPageBreak/>
        <w:t xml:space="preserve">Gupta, SK, Vollmer, MK &amp; Krebs, R 1996, ‘The importance of mobile, mobilisable and pseudo total heavy metal fractions in soil for three-level risk assessment and risk management’, </w:t>
      </w:r>
      <w:r w:rsidRPr="000D7F0B">
        <w:rPr>
          <w:i/>
          <w:iCs/>
        </w:rPr>
        <w:t>Science of the Total Environment</w:t>
      </w:r>
      <w:r w:rsidRPr="000D7F0B">
        <w:t>, vol. 178, pp. 11</w:t>
      </w:r>
      <w:r>
        <w:sym w:font="Symbol" w:char="F02D"/>
      </w:r>
      <w:r w:rsidRPr="000D7F0B">
        <w:t>20.</w:t>
      </w:r>
    </w:p>
    <w:p w:rsidR="006C2E16" w:rsidRPr="000D7F0B" w:rsidRDefault="006C2E16" w:rsidP="001C6BE7">
      <w:pPr>
        <w:pStyle w:val="text"/>
      </w:pPr>
      <w:r w:rsidRPr="000D7F0B">
        <w:t xml:space="preserve">Hamon, RE, McLaughlin, MJ, Gilkes, RJ, Rate, AW, Zarcinas, B, Robertson et al. 2004, ‘Geochemical indices allow estimation of heavy metal background concentrations in soils‘, </w:t>
      </w:r>
      <w:r w:rsidRPr="000D7F0B">
        <w:rPr>
          <w:i/>
          <w:iCs/>
        </w:rPr>
        <w:t>Global Biogeochemical Cycles</w:t>
      </w:r>
      <w:r w:rsidRPr="000D7F0B">
        <w:t>, vol. 18, GB1014, doi:10.1029/2003GB002063</w:t>
      </w:r>
      <w:r>
        <w:t xml:space="preserve">. </w:t>
      </w:r>
    </w:p>
    <w:p w:rsidR="006C2E16" w:rsidRPr="000D7F0B" w:rsidRDefault="006C2E16" w:rsidP="001C6BE7">
      <w:pPr>
        <w:pStyle w:val="text"/>
      </w:pPr>
      <w:r w:rsidRPr="000D7F0B">
        <w:t xml:space="preserve">Hamon, RE, McLaughlin, MJ &amp; Lombi, E 2007 (eds), </w:t>
      </w:r>
      <w:r w:rsidRPr="000D7F0B">
        <w:rPr>
          <w:i/>
          <w:iCs/>
        </w:rPr>
        <w:t>Natural attenuation of trace element availability in soils</w:t>
      </w:r>
      <w:r w:rsidRPr="000D7F0B">
        <w:t>, SETAC Press, Pensacola/Taylor and Francis, Boca Raton, Fl</w:t>
      </w:r>
      <w:r>
        <w:t>orida</w:t>
      </w:r>
      <w:r w:rsidRPr="000D7F0B">
        <w:t xml:space="preserve">, USA. </w:t>
      </w:r>
    </w:p>
    <w:p w:rsidR="006C2E16" w:rsidRPr="006665E0" w:rsidRDefault="006C2E16" w:rsidP="001C6BE7">
      <w:pPr>
        <w:pStyle w:val="text"/>
      </w:pPr>
      <w:r w:rsidRPr="006665E0">
        <w:t>Hart,</w:t>
      </w:r>
      <w:r>
        <w:t xml:space="preserve"> BT 1974,</w:t>
      </w:r>
      <w:r w:rsidRPr="006665E0">
        <w:t xml:space="preserve"> </w:t>
      </w:r>
      <w:r w:rsidRPr="006665E0">
        <w:rPr>
          <w:i/>
        </w:rPr>
        <w:t>A Compilation of Australian Water Quality Criteria.</w:t>
      </w:r>
      <w:r w:rsidRPr="006665E0">
        <w:t xml:space="preserve"> Australia Water Resources Council, Technical Paper 7, Australian Government Publishing Service, Canberra, Australia.</w:t>
      </w:r>
    </w:p>
    <w:p w:rsidR="006C2E16" w:rsidRPr="000D7F0B" w:rsidRDefault="006C2E16" w:rsidP="001C6BE7">
      <w:pPr>
        <w:pStyle w:val="text"/>
      </w:pPr>
      <w:r w:rsidRPr="006665E0">
        <w:t xml:space="preserve">Hart, BT, Jones, MJ &amp; Chapman, JC 1995, </w:t>
      </w:r>
      <w:r w:rsidRPr="006665E0">
        <w:rPr>
          <w:i/>
          <w:iCs/>
        </w:rPr>
        <w:t>A process for the development of guidelines for the</w:t>
      </w:r>
      <w:r w:rsidRPr="000D7F0B">
        <w:rPr>
          <w:i/>
          <w:iCs/>
        </w:rPr>
        <w:t xml:space="preserve"> protection of aquatic life in New Zealand</w:t>
      </w:r>
      <w:r w:rsidRPr="000D7F0B">
        <w:t>, Report to the New Zealand Ministry for the Environment, Water Studies Centre, Monash University, Melbourne, Australia.</w:t>
      </w:r>
    </w:p>
    <w:p w:rsidR="006C2E16" w:rsidRPr="000D7F0B" w:rsidRDefault="006C2E16" w:rsidP="001C6BE7">
      <w:pPr>
        <w:pStyle w:val="text"/>
      </w:pPr>
      <w:r w:rsidRPr="000D7F0B">
        <w:t xml:space="preserve">Hart, BT 1996, </w:t>
      </w:r>
      <w:r w:rsidRPr="000D7F0B">
        <w:rPr>
          <w:i/>
          <w:iCs/>
        </w:rPr>
        <w:t>A methodology for deriving aquatic guideline values for toxic contaminants, first draft</w:t>
      </w:r>
      <w:r w:rsidRPr="000D7F0B">
        <w:t>, Report to the New Zealand Ministry for the Environment, Water Studies Centre, Monash University, Melbourne, Australia.</w:t>
      </w:r>
    </w:p>
    <w:p w:rsidR="006C2E16" w:rsidRPr="000D7F0B" w:rsidRDefault="006C2E16" w:rsidP="001C6BE7">
      <w:pPr>
        <w:pStyle w:val="text"/>
      </w:pPr>
      <w:r w:rsidRPr="000D7F0B">
        <w:t xml:space="preserve">Heemsbergen, DA, Warne, MStJ, Broos, K, Bell, M, Nash, D, McLaughlin, MJ et al. 2009, ‘Application of phytotoxicity data to a new Australian soil quality guideline framework for biosolids‘, </w:t>
      </w:r>
      <w:r w:rsidRPr="000D7F0B">
        <w:rPr>
          <w:i/>
          <w:iCs/>
        </w:rPr>
        <w:t>Science of the Total Environment</w:t>
      </w:r>
      <w:r w:rsidRPr="000D7F0B">
        <w:t>, vol. 407, pp. 2546</w:t>
      </w:r>
      <w:r>
        <w:sym w:font="Symbol" w:char="F02D"/>
      </w:r>
      <w:r w:rsidRPr="000D7F0B">
        <w:t>2556.</w:t>
      </w:r>
    </w:p>
    <w:p w:rsidR="006C2E16" w:rsidRPr="000D7F0B" w:rsidRDefault="006C2E16" w:rsidP="001C6BE7">
      <w:pPr>
        <w:pStyle w:val="text"/>
      </w:pPr>
      <w:r w:rsidRPr="000D7F0B">
        <w:t xml:space="preserve">Hobbs, DA, Warne, MStJ &amp; Markich, SJ, 2004, ‘Utility of northern hemisphere metal toxicity data in Australasia‘, </w:t>
      </w:r>
      <w:r w:rsidRPr="000D7F0B">
        <w:rPr>
          <w:i/>
          <w:iCs/>
        </w:rPr>
        <w:t>Setac Globe</w:t>
      </w:r>
      <w:r w:rsidRPr="000D7F0B">
        <w:t>, vol. 5, no. 2, pp. 38</w:t>
      </w:r>
      <w:r>
        <w:sym w:font="Symbol" w:char="F02D"/>
      </w:r>
      <w:r w:rsidRPr="000D7F0B">
        <w:t>39.</w:t>
      </w:r>
    </w:p>
    <w:p w:rsidR="006C2E16" w:rsidRPr="000D7F0B" w:rsidRDefault="006C2E16" w:rsidP="001C6BE7">
      <w:pPr>
        <w:pStyle w:val="text"/>
      </w:pPr>
      <w:r w:rsidRPr="000D7F0B">
        <w:t xml:space="preserve">Hobbs, DA, Warne, MStJ &amp; Markich, SJ, 2005, ‘Evaluation of criteria used to assess the quality of aquatic toxicity data‘, </w:t>
      </w:r>
      <w:r w:rsidRPr="000D7F0B">
        <w:rPr>
          <w:i/>
          <w:iCs/>
        </w:rPr>
        <w:t>Integrated Environmental Assessment and Management</w:t>
      </w:r>
      <w:r w:rsidRPr="000D7F0B">
        <w:t>, vol. 1, pp. 174</w:t>
      </w:r>
      <w:r>
        <w:sym w:font="Symbol" w:char="F02D"/>
      </w:r>
      <w:r w:rsidRPr="000D7F0B">
        <w:t>180.</w:t>
      </w:r>
    </w:p>
    <w:p w:rsidR="006C2E16" w:rsidRPr="000D7F0B" w:rsidRDefault="006C2E16" w:rsidP="001C6BE7">
      <w:pPr>
        <w:pStyle w:val="text"/>
      </w:pPr>
      <w:r w:rsidRPr="000D7F0B">
        <w:t>Hobbs, DA 2006, ‘Comparison of the sensitivity of Australasian and non-Australasian aquatic organisms to selected metals‘, MSc thesis, University of Technology Sydney, Australia.</w:t>
      </w:r>
    </w:p>
    <w:p w:rsidR="006C2E16" w:rsidRPr="000D7F0B" w:rsidRDefault="006C2E16" w:rsidP="001C6BE7">
      <w:pPr>
        <w:pStyle w:val="text"/>
      </w:pPr>
      <w:r w:rsidRPr="000D7F0B">
        <w:t xml:space="preserve">Hoekstra, JA &amp; </w:t>
      </w:r>
      <w:r>
        <w:t>v</w:t>
      </w:r>
      <w:r w:rsidRPr="000D7F0B">
        <w:t xml:space="preserve">an Ewijk, PH 1993, ‘Alternatives for the no-observed effect level‘, </w:t>
      </w:r>
      <w:r w:rsidRPr="000D7F0B">
        <w:rPr>
          <w:i/>
          <w:iCs/>
        </w:rPr>
        <w:t>Environmental Toxicology and Chemistry</w:t>
      </w:r>
      <w:r w:rsidRPr="000D7F0B">
        <w:t>, vol. 12, pp. 187</w:t>
      </w:r>
      <w:r>
        <w:sym w:font="Symbol" w:char="F02D"/>
      </w:r>
      <w:r w:rsidRPr="000D7F0B">
        <w:t>194.</w:t>
      </w:r>
    </w:p>
    <w:p w:rsidR="006C2E16" w:rsidRPr="000D7F0B" w:rsidRDefault="006C2E16" w:rsidP="001C6BE7">
      <w:pPr>
        <w:pStyle w:val="text"/>
      </w:pPr>
      <w:r w:rsidRPr="000D7F0B">
        <w:t xml:space="preserve">Hose, GC &amp; </w:t>
      </w:r>
      <w:r>
        <w:t>v</w:t>
      </w:r>
      <w:r w:rsidRPr="000D7F0B">
        <w:t xml:space="preserve">an den Brink, PJ 2004, ‘Confirming the species-sensitivity distribution concept for endosulfan using laboratory, mesocosm, and field data’,  </w:t>
      </w:r>
      <w:r w:rsidRPr="000D7F0B">
        <w:rPr>
          <w:i/>
          <w:iCs/>
        </w:rPr>
        <w:t>Archives of Environmental Contamination and Toxicology</w:t>
      </w:r>
      <w:r w:rsidRPr="000D7F0B">
        <w:t>, vol. 47, no. 4, pp</w:t>
      </w:r>
      <w:r>
        <w:t xml:space="preserve">. </w:t>
      </w:r>
      <w:r w:rsidRPr="000D7F0B">
        <w:t>511</w:t>
      </w:r>
      <w:r>
        <w:sym w:font="Symbol" w:char="F02D"/>
      </w:r>
      <w:r w:rsidRPr="000D7F0B">
        <w:t>520.</w:t>
      </w:r>
    </w:p>
    <w:p w:rsidR="006C2E16" w:rsidRPr="000D7F0B" w:rsidRDefault="006C2E16" w:rsidP="001C6BE7">
      <w:pPr>
        <w:pStyle w:val="text"/>
      </w:pPr>
      <w:r w:rsidRPr="000D7F0B">
        <w:t xml:space="preserve">Hulzebos, EM, Adema, DMM, Dirven-van Breemen, EM, Henzen, L &amp; van Gestel,  CAM 1991, ‘QSARs in phytotoxicity’, </w:t>
      </w:r>
      <w:r w:rsidRPr="000D7F0B">
        <w:rPr>
          <w:i/>
          <w:iCs/>
        </w:rPr>
        <w:t>Science of the Total Environment</w:t>
      </w:r>
      <w:r w:rsidRPr="000D7F0B">
        <w:t xml:space="preserve">  vol. 109</w:t>
      </w:r>
      <w:r>
        <w:sym w:font="Symbol" w:char="F02D"/>
      </w:r>
      <w:r w:rsidRPr="000D7F0B">
        <w:t>110, pp. 493</w:t>
      </w:r>
      <w:r>
        <w:sym w:font="Symbol" w:char="F02D"/>
      </w:r>
      <w:r w:rsidRPr="000D7F0B">
        <w:t>497.</w:t>
      </w:r>
    </w:p>
    <w:p w:rsidR="006C2E16" w:rsidRPr="000D7F0B" w:rsidRDefault="006C2E16" w:rsidP="001C6BE7">
      <w:pPr>
        <w:pStyle w:val="text"/>
      </w:pPr>
      <w:r w:rsidRPr="000D7F0B">
        <w:t xml:space="preserve">Jongbloed, RH, Traas, TP &amp; Luttik, R 1996, ‘A probabilistic model for deriving soil quality criteria based on secondary poisoning of top predators’, </w:t>
      </w:r>
      <w:r w:rsidRPr="000D7F0B">
        <w:rPr>
          <w:i/>
          <w:iCs/>
        </w:rPr>
        <w:t>Ecotoxicology and Environmental Safety</w:t>
      </w:r>
      <w:r w:rsidRPr="000D7F0B">
        <w:t>, vol. 34, pp. 279</w:t>
      </w:r>
      <w:r>
        <w:sym w:font="Symbol" w:char="F02D"/>
      </w:r>
      <w:r w:rsidRPr="000D7F0B">
        <w:t>306.</w:t>
      </w:r>
    </w:p>
    <w:p w:rsidR="006C2E16" w:rsidRPr="000D7F0B" w:rsidRDefault="006C2E16" w:rsidP="001C6BE7">
      <w:pPr>
        <w:pStyle w:val="text"/>
      </w:pPr>
      <w:r w:rsidRPr="000D7F0B">
        <w:t>Jury, WA, Farmer, WJ &amp; Spencer, WF 1983, ‘Use of models for assessing relative volatility, mobility, and persistence of pesticides and other trace organics in soil systems‘, in Saxena</w:t>
      </w:r>
      <w:r>
        <w:t>, J</w:t>
      </w:r>
      <w:r w:rsidRPr="000D7F0B">
        <w:t xml:space="preserve"> (ed</w:t>
      </w:r>
      <w:r>
        <w:t>.</w:t>
      </w:r>
      <w:r w:rsidRPr="000D7F0B">
        <w:t xml:space="preserve">), </w:t>
      </w:r>
      <w:r w:rsidRPr="000D7F0B">
        <w:rPr>
          <w:i/>
          <w:iCs/>
        </w:rPr>
        <w:t>Hazard assessment of chemicals</w:t>
      </w:r>
      <w:r w:rsidRPr="000D7F0B">
        <w:t>, vol. 2, Academic Press, New York,</w:t>
      </w:r>
      <w:r w:rsidRPr="000D7F0B" w:rsidDel="00FA6450">
        <w:t xml:space="preserve"> </w:t>
      </w:r>
      <w:r w:rsidRPr="000D7F0B">
        <w:t>pp 1</w:t>
      </w:r>
      <w:r>
        <w:sym w:font="Symbol" w:char="F02D"/>
      </w:r>
      <w:r w:rsidRPr="000D7F0B">
        <w:t>43.</w:t>
      </w:r>
    </w:p>
    <w:p w:rsidR="006C2E16" w:rsidRPr="000D7F0B" w:rsidRDefault="006C2E16" w:rsidP="001C6BE7">
      <w:pPr>
        <w:pStyle w:val="text"/>
      </w:pPr>
      <w:r w:rsidRPr="000D7F0B">
        <w:lastRenderedPageBreak/>
        <w:t xml:space="preserve">Jury, WA, Farmer, WJ &amp; Spencer, WF 1984, ‘Behavior assessment model for trace organics in soil: II, chemical classification and parameter sensitivity’, </w:t>
      </w:r>
      <w:r w:rsidRPr="000D7F0B">
        <w:rPr>
          <w:i/>
          <w:iCs/>
        </w:rPr>
        <w:t>Journal of Environmental Quality</w:t>
      </w:r>
      <w:r w:rsidRPr="000D7F0B">
        <w:t>, vol. 13, pp. 567</w:t>
      </w:r>
      <w:r>
        <w:sym w:font="Symbol" w:char="F02D"/>
      </w:r>
      <w:r w:rsidRPr="000D7F0B">
        <w:t>587.</w:t>
      </w:r>
    </w:p>
    <w:p w:rsidR="006C2E16" w:rsidRPr="000D7F0B" w:rsidRDefault="006C2E16" w:rsidP="001C6BE7">
      <w:pPr>
        <w:pStyle w:val="text"/>
      </w:pPr>
      <w:r w:rsidRPr="000D7F0B">
        <w:t>Kooijmand</w:t>
      </w:r>
      <w:r>
        <w:t>,</w:t>
      </w:r>
      <w:r w:rsidRPr="000D7F0B">
        <w:t xml:space="preserve"> SALM 1987, ‘A safety factor for LC</w:t>
      </w:r>
      <w:r w:rsidRPr="00A11C0E">
        <w:rPr>
          <w:vertAlign w:val="subscript"/>
        </w:rPr>
        <w:t>50</w:t>
      </w:r>
      <w:r w:rsidRPr="000D7F0B">
        <w:t xml:space="preserve"> values allowing for differences in sensitivity among species’, </w:t>
      </w:r>
      <w:r w:rsidRPr="000D7F0B">
        <w:rPr>
          <w:i/>
          <w:iCs/>
        </w:rPr>
        <w:t>Water Research</w:t>
      </w:r>
      <w:r w:rsidRPr="000D7F0B">
        <w:t>, vol. 21, pp. 269</w:t>
      </w:r>
      <w:r>
        <w:sym w:font="Symbol" w:char="F02D"/>
      </w:r>
      <w:r w:rsidRPr="000D7F0B">
        <w:t>276.</w:t>
      </w:r>
    </w:p>
    <w:p w:rsidR="006C2E16" w:rsidRPr="000D7F0B" w:rsidRDefault="006C2E16" w:rsidP="001C6BE7">
      <w:pPr>
        <w:pStyle w:val="text"/>
      </w:pPr>
      <w:r w:rsidRPr="000D7F0B">
        <w:t xml:space="preserve">Kwok, KWH, Leung, KMY, Chu, VKH, Lam, PKS, Morritt, D, Maltby, L et al. 2007, ‘Comparison of tropical and temperate freshwater species sensitivities to chemicals: implications for deriving safe extrapolation factors‘, </w:t>
      </w:r>
      <w:r w:rsidRPr="000D7F0B">
        <w:rPr>
          <w:i/>
          <w:iCs/>
        </w:rPr>
        <w:t>Integrated Environmental Assessment and Management</w:t>
      </w:r>
      <w:r w:rsidRPr="000D7F0B">
        <w:t>, vol. 3, pp.49</w:t>
      </w:r>
      <w:r>
        <w:sym w:font="Symbol" w:char="F02D"/>
      </w:r>
      <w:r w:rsidRPr="000D7F0B">
        <w:t>67.</w:t>
      </w:r>
    </w:p>
    <w:p w:rsidR="006C2E16" w:rsidRPr="0044399A" w:rsidRDefault="006C2E16" w:rsidP="001C6BE7">
      <w:pPr>
        <w:pStyle w:val="text"/>
      </w:pPr>
      <w:r w:rsidRPr="00242294">
        <w:t>Langdon</w:t>
      </w:r>
      <w:r>
        <w:t>,</w:t>
      </w:r>
      <w:r w:rsidRPr="00242294">
        <w:t xml:space="preserve"> K, </w:t>
      </w:r>
      <w:r w:rsidRPr="00245043">
        <w:t>Warne</w:t>
      </w:r>
      <w:r>
        <w:t>,</w:t>
      </w:r>
      <w:r w:rsidRPr="00245043">
        <w:t xml:space="preserve"> MStJ</w:t>
      </w:r>
      <w:r>
        <w:t xml:space="preserve"> &amp; </w:t>
      </w:r>
      <w:r w:rsidRPr="00242294">
        <w:t>Sunderam</w:t>
      </w:r>
      <w:r>
        <w:t>,</w:t>
      </w:r>
      <w:r w:rsidRPr="00242294">
        <w:t xml:space="preserve"> RIM</w:t>
      </w:r>
      <w:r>
        <w:t>,</w:t>
      </w:r>
      <w:r w:rsidRPr="00242294">
        <w:t xml:space="preserve"> </w:t>
      </w:r>
      <w:r>
        <w:t>2009,</w:t>
      </w:r>
      <w:r w:rsidRPr="00242294">
        <w:t xml:space="preserve"> A compilation of data on the toxicity of chemicals to species in Australasia. Part 4: Metals (2002</w:t>
      </w:r>
      <w:r>
        <w:sym w:font="Symbol" w:char="F02D"/>
      </w:r>
      <w:r w:rsidRPr="00242294">
        <w:t>2009)</w:t>
      </w:r>
      <w:r>
        <w:t>,</w:t>
      </w:r>
      <w:r w:rsidRPr="00242294">
        <w:t xml:space="preserve"> </w:t>
      </w:r>
      <w:r w:rsidRPr="00245043">
        <w:rPr>
          <w:i/>
          <w:iCs/>
        </w:rPr>
        <w:t>Australasian Journal of Ecotoxicology</w:t>
      </w:r>
      <w:r>
        <w:t>, vol. 15, pp. 51</w:t>
      </w:r>
      <w:r>
        <w:sym w:font="Symbol" w:char="F02D"/>
      </w:r>
      <w:r>
        <w:t>184.</w:t>
      </w:r>
    </w:p>
    <w:p w:rsidR="006C2E16" w:rsidRPr="000D7F0B" w:rsidRDefault="006C2E16" w:rsidP="001C6BE7">
      <w:pPr>
        <w:pStyle w:val="text"/>
      </w:pPr>
      <w:r w:rsidRPr="000D7F0B">
        <w:t xml:space="preserve">Lexmond, TM 1980, The effect of soil-pH on copper toxicity to forage maize grown under field conditions’, </w:t>
      </w:r>
      <w:r w:rsidRPr="000D7F0B">
        <w:rPr>
          <w:i/>
          <w:iCs/>
        </w:rPr>
        <w:t>Netherlands Journal of Agricultural Science</w:t>
      </w:r>
      <w:r w:rsidRPr="000D7F0B">
        <w:t>, vol. 28, pp. 164</w:t>
      </w:r>
      <w:r>
        <w:sym w:font="Symbol" w:char="F02D"/>
      </w:r>
      <w:r w:rsidRPr="000D7F0B">
        <w:t>183.</w:t>
      </w:r>
    </w:p>
    <w:p w:rsidR="006C2E16" w:rsidRPr="00771F10" w:rsidRDefault="006C2E16" w:rsidP="001C6BE7">
      <w:pPr>
        <w:pStyle w:val="text"/>
        <w:rPr>
          <w:lang w:val="nl-NL"/>
        </w:rPr>
      </w:pPr>
      <w:r w:rsidRPr="00771F10">
        <w:rPr>
          <w:lang w:val="nl-NL"/>
        </w:rPr>
        <w:t xml:space="preserve">Lexmond, TM, Edelman T &amp; </w:t>
      </w:r>
      <w:r>
        <w:rPr>
          <w:lang w:val="nl-NL"/>
        </w:rPr>
        <w:t>v</w:t>
      </w:r>
      <w:r w:rsidRPr="00771F10">
        <w:rPr>
          <w:lang w:val="nl-NL"/>
        </w:rPr>
        <w:t xml:space="preserve">an Driel, W 1986, ‘Voorlopige referentiewaarden en huidige achtergrondgehalten voor een antal zware metalen en arseen in de bovengrond van natuurterreinen en landbouwgronden’, </w:t>
      </w:r>
      <w:r w:rsidRPr="00771F10">
        <w:rPr>
          <w:i/>
          <w:iCs/>
          <w:lang w:val="nl-NL"/>
        </w:rPr>
        <w:t>Advies Bodemkwaliteit</w:t>
      </w:r>
      <w:r w:rsidRPr="00771F10">
        <w:rPr>
          <w:lang w:val="nl-NL"/>
        </w:rPr>
        <w:t xml:space="preserve">, VTCB A86/02, Ministerie van Volkshuisvesting, Ruimtelijke Ordening en Milieubeheer, Leidschendam. </w:t>
      </w:r>
    </w:p>
    <w:p w:rsidR="006C2E16" w:rsidRPr="000D7F0B" w:rsidRDefault="006C2E16" w:rsidP="001C6BE7">
      <w:pPr>
        <w:pStyle w:val="text"/>
      </w:pPr>
      <w:r w:rsidRPr="000D7F0B">
        <w:t xml:space="preserve">Li, F, Okazaki, M &amp; Zhou, Q 2003, ‘Evaluation of Cd uptake by plants estimated from total Cd, pH and organic matter’, </w:t>
      </w:r>
      <w:r w:rsidRPr="000D7F0B">
        <w:rPr>
          <w:i/>
          <w:iCs/>
        </w:rPr>
        <w:t>Bulletin of Environmental Contamination and Toxicology</w:t>
      </w:r>
      <w:r w:rsidRPr="000D7F0B">
        <w:t>, vol</w:t>
      </w:r>
      <w:r>
        <w:t xml:space="preserve">. </w:t>
      </w:r>
      <w:r w:rsidRPr="000D7F0B">
        <w:t>71, pp. 714</w:t>
      </w:r>
      <w:r>
        <w:sym w:font="Symbol" w:char="F02D"/>
      </w:r>
      <w:r w:rsidRPr="000D7F0B">
        <w:t>721.</w:t>
      </w:r>
    </w:p>
    <w:p w:rsidR="006C2E16" w:rsidRPr="00C13F41" w:rsidRDefault="006C2E16" w:rsidP="001C6BE7">
      <w:pPr>
        <w:pStyle w:val="text"/>
      </w:pPr>
      <w:r w:rsidRPr="00C13F41">
        <w:t xml:space="preserve">Lock, K &amp; Janssen, CR 2001, ‘Modelling zinc toxicity for terrestrial invertebrates’, </w:t>
      </w:r>
      <w:r w:rsidRPr="00C13F41">
        <w:rPr>
          <w:i/>
          <w:iCs/>
        </w:rPr>
        <w:t>Environmental Toxicology and Chemistry</w:t>
      </w:r>
      <w:r w:rsidRPr="00C13F41">
        <w:t>, vol. 9, pp. 1901</w:t>
      </w:r>
      <w:r w:rsidRPr="00C13F41">
        <w:sym w:font="Symbol" w:char="F02D"/>
      </w:r>
      <w:r w:rsidRPr="00C13F41">
        <w:t>1908.</w:t>
      </w:r>
    </w:p>
    <w:p w:rsidR="006C2E16" w:rsidRDefault="006C2E16" w:rsidP="001C6BE7">
      <w:pPr>
        <w:pStyle w:val="text"/>
      </w:pPr>
      <w:r>
        <w:t>Luoma, SN &amp; R</w:t>
      </w:r>
      <w:r w:rsidRPr="00C13F41">
        <w:t>ainbow</w:t>
      </w:r>
      <w:r>
        <w:t>,</w:t>
      </w:r>
      <w:r w:rsidRPr="00C13F41">
        <w:t xml:space="preserve"> PS 2008, </w:t>
      </w:r>
      <w:r w:rsidRPr="00C13F41">
        <w:rPr>
          <w:i/>
        </w:rPr>
        <w:t>Metal contamination in aquatic environments</w:t>
      </w:r>
      <w:r>
        <w:t>,</w:t>
      </w:r>
      <w:r w:rsidRPr="00C13F41">
        <w:t xml:space="preserve"> Cambridge University Press, Cambridge, UK.</w:t>
      </w:r>
      <w:r>
        <w:t xml:space="preserve"> </w:t>
      </w:r>
    </w:p>
    <w:p w:rsidR="006C2E16" w:rsidRPr="000D7F0B" w:rsidRDefault="006C2E16" w:rsidP="001C6BE7">
      <w:pPr>
        <w:pStyle w:val="text"/>
      </w:pPr>
      <w:r w:rsidRPr="000D7F0B">
        <w:t xml:space="preserve">Maltby, L, Blake, N, Brock, TCM &amp; </w:t>
      </w:r>
      <w:r>
        <w:t>v</w:t>
      </w:r>
      <w:r w:rsidRPr="000D7F0B">
        <w:t>an den Brink, PJ 2003, Addressing interspecific variation in sensitivity and the potential to reduce this source of uncertainty in ecotoxicological assessments, Science and Research Report PN0932, Department for Environment, Food and Rural Affairs (DEFRA), London, UK</w:t>
      </w:r>
      <w:r>
        <w:t xml:space="preserve">. </w:t>
      </w:r>
      <w:r w:rsidRPr="000D7F0B">
        <w:t xml:space="preserve">(Available online at  </w:t>
      </w:r>
      <w:hyperlink r:id="rId37" w:history="1">
        <w:r w:rsidRPr="000D7F0B">
          <w:t>www.defra.gov.uk/science</w:t>
        </w:r>
      </w:hyperlink>
      <w:r w:rsidRPr="000D7F0B">
        <w:t>.</w:t>
      </w:r>
    </w:p>
    <w:p w:rsidR="006C2E16" w:rsidRPr="000D7F0B" w:rsidRDefault="006C2E16" w:rsidP="001C6BE7">
      <w:pPr>
        <w:pStyle w:val="text"/>
      </w:pPr>
      <w:r w:rsidRPr="000D7F0B">
        <w:t xml:space="preserve">Maltby, L, Blake, N, Brock, TCM &amp; </w:t>
      </w:r>
      <w:r>
        <w:t>v</w:t>
      </w:r>
      <w:r w:rsidRPr="000D7F0B">
        <w:t xml:space="preserve">an den Brink, PJ 2005, ‘Insecticide species sensitivity distributions: importance of test species selection and relevance to aquatic ecosystems’, </w:t>
      </w:r>
      <w:r w:rsidRPr="000D7F0B">
        <w:rPr>
          <w:i/>
          <w:iCs/>
        </w:rPr>
        <w:t>Environmental Toxicology and Chemistry</w:t>
      </w:r>
      <w:r w:rsidRPr="000D7F0B">
        <w:t>, vol. 24, no. 2, pp. 379</w:t>
      </w:r>
      <w:r>
        <w:sym w:font="Symbol" w:char="F02D"/>
      </w:r>
      <w:r w:rsidRPr="000D7F0B">
        <w:t>388.</w:t>
      </w:r>
    </w:p>
    <w:p w:rsidR="006C2E16" w:rsidRPr="000D7F0B" w:rsidRDefault="006C2E16" w:rsidP="001C6BE7">
      <w:pPr>
        <w:pStyle w:val="text"/>
      </w:pPr>
      <w:r w:rsidRPr="000D7F0B">
        <w:t xml:space="preserve">Markich, SJ &amp; Camilleri, C 1997, ‘Investigation of metal toxicity to tropical biota: recommendations for revision of the Australian water quality guidelines, </w:t>
      </w:r>
      <w:r w:rsidRPr="000D7F0B">
        <w:rPr>
          <w:i/>
          <w:iCs/>
        </w:rPr>
        <w:t>Report Number 127, Supervising Scientist</w:t>
      </w:r>
      <w:r w:rsidRPr="000D7F0B">
        <w:t>, Canberra</w:t>
      </w:r>
      <w:r>
        <w:t>, Australia</w:t>
      </w:r>
      <w:r w:rsidRPr="000D7F0B">
        <w:t>.</w:t>
      </w:r>
    </w:p>
    <w:p w:rsidR="006C2E16" w:rsidRPr="000D7F0B" w:rsidRDefault="006C2E16" w:rsidP="001C6BE7">
      <w:pPr>
        <w:pStyle w:val="text"/>
      </w:pPr>
      <w:r w:rsidRPr="000D7F0B">
        <w:t xml:space="preserve">Markich, SJ, Warne, MStJ, Westbury, A-M and Roberts, CJ 2002, A compilation of data on the toxicity of chemicals to species in Australia, part 3: metals‘, </w:t>
      </w:r>
      <w:r w:rsidRPr="000D7F0B">
        <w:rPr>
          <w:i/>
          <w:iCs/>
        </w:rPr>
        <w:t>Australasian Journal of Ecotoxicology</w:t>
      </w:r>
      <w:r w:rsidRPr="000D7F0B">
        <w:t>, vol. 8, pp. 1</w:t>
      </w:r>
      <w:r>
        <w:sym w:font="Symbol" w:char="F02D"/>
      </w:r>
      <w:r w:rsidRPr="000D7F0B">
        <w:t>138.</w:t>
      </w:r>
    </w:p>
    <w:p w:rsidR="006C2E16" w:rsidRPr="001536ED" w:rsidRDefault="006C2E16" w:rsidP="001C6BE7">
      <w:pPr>
        <w:pStyle w:val="text"/>
        <w:rPr>
          <w:lang w:val="de-DE"/>
        </w:rPr>
      </w:pPr>
      <w:r w:rsidRPr="001536ED">
        <w:rPr>
          <w:lang w:val="de-DE"/>
        </w:rPr>
        <w:t xml:space="preserve">Marschner, P, Rengel, Z 2007, </w:t>
      </w:r>
      <w:r w:rsidRPr="001536ED">
        <w:rPr>
          <w:i/>
          <w:iCs/>
          <w:lang w:val="de-DE"/>
        </w:rPr>
        <w:t>Nutrient cycling in terrestrial ecosystems</w:t>
      </w:r>
      <w:r w:rsidRPr="001536ED">
        <w:rPr>
          <w:lang w:val="de-DE"/>
        </w:rPr>
        <w:t>, Springer Verlag, Berlin, Heidelberg</w:t>
      </w:r>
      <w:r>
        <w:rPr>
          <w:lang w:val="de-DE"/>
        </w:rPr>
        <w:t>.</w:t>
      </w:r>
    </w:p>
    <w:p w:rsidR="006C2E16" w:rsidRPr="000D7F0B" w:rsidRDefault="006C2E16" w:rsidP="001C6BE7">
      <w:pPr>
        <w:pStyle w:val="text"/>
      </w:pPr>
      <w:r w:rsidRPr="000D7F0B">
        <w:t xml:space="preserve">McBride, MB 1989, ‘Reactions controlling heavy metal solubility in soils‘, </w:t>
      </w:r>
      <w:r w:rsidRPr="000D7F0B">
        <w:rPr>
          <w:i/>
          <w:iCs/>
        </w:rPr>
        <w:t>Advances in Agronomy</w:t>
      </w:r>
      <w:r w:rsidRPr="000D7F0B">
        <w:t>, vol. 10, pp. 1</w:t>
      </w:r>
      <w:r>
        <w:sym w:font="Symbol" w:char="F02D"/>
      </w:r>
      <w:r w:rsidRPr="000D7F0B">
        <w:t>56.</w:t>
      </w:r>
    </w:p>
    <w:p w:rsidR="006C2E16" w:rsidRPr="000D7F0B" w:rsidRDefault="006C2E16" w:rsidP="001C6BE7">
      <w:pPr>
        <w:pStyle w:val="text"/>
      </w:pPr>
      <w:r w:rsidRPr="000D7F0B">
        <w:lastRenderedPageBreak/>
        <w:t xml:space="preserve">McLaughlin, MJ, Hamon, RE, McLaren, RG, Speir, TW &amp; Rogers, SL 2000a, ‘Review: a bioavailability-based rationale for controlling metal and metalloid contamination of agricultural land in Australia and New Zealand‘, </w:t>
      </w:r>
      <w:r w:rsidRPr="000D7F0B">
        <w:rPr>
          <w:i/>
          <w:iCs/>
        </w:rPr>
        <w:t>Australian Journal of Soil Research</w:t>
      </w:r>
      <w:r w:rsidRPr="000D7F0B">
        <w:t>, vol. 38, pp. 1037</w:t>
      </w:r>
      <w:r>
        <w:sym w:font="Symbol" w:char="F02D"/>
      </w:r>
      <w:r w:rsidRPr="000D7F0B">
        <w:t>1086.</w:t>
      </w:r>
    </w:p>
    <w:p w:rsidR="006C2E16" w:rsidRPr="000D7F0B" w:rsidRDefault="006C2E16" w:rsidP="001C6BE7">
      <w:pPr>
        <w:pStyle w:val="text"/>
      </w:pPr>
      <w:r w:rsidRPr="000D7F0B">
        <w:t xml:space="preserve">McLaughlin, MJ, Stevens, DP, Zarcinas, BA &amp; Cook, N 2000b, ‘Soil testing for heavy metals’, </w:t>
      </w:r>
      <w:r w:rsidRPr="000D7F0B">
        <w:rPr>
          <w:i/>
          <w:iCs/>
        </w:rPr>
        <w:t>Communications in Soil Science and Plant Analysis</w:t>
      </w:r>
      <w:r w:rsidRPr="000D7F0B">
        <w:t>, vol. 31, pp. 1661</w:t>
      </w:r>
      <w:r>
        <w:sym w:font="Symbol" w:char="F02D"/>
      </w:r>
      <w:r w:rsidRPr="000D7F0B">
        <w:t>1700.</w:t>
      </w:r>
    </w:p>
    <w:p w:rsidR="006C2E16" w:rsidRDefault="006C2E16" w:rsidP="001C6BE7">
      <w:pPr>
        <w:pStyle w:val="text"/>
      </w:pPr>
      <w:r>
        <w:t xml:space="preserve">McLaughlin, MJ &amp; Smolders, E 2001, ‘Background concentrations in soil affect the zinc sensitivity of soil microbial processes – A rationale for a metalloregion approach to risk assessments’, </w:t>
      </w:r>
      <w:r w:rsidRPr="006A67A4">
        <w:rPr>
          <w:i/>
          <w:iCs/>
        </w:rPr>
        <w:t>Environmental Toxicology and Chemistry</w:t>
      </w:r>
      <w:r>
        <w:t>, vol 20, pp. 2639</w:t>
      </w:r>
      <w:r>
        <w:sym w:font="Symbol" w:char="F02D"/>
      </w:r>
      <w:r>
        <w:t>2643.</w:t>
      </w:r>
    </w:p>
    <w:p w:rsidR="006C2E16" w:rsidRPr="000D7F0B" w:rsidRDefault="006C2E16" w:rsidP="001C6BE7">
      <w:pPr>
        <w:pStyle w:val="text"/>
      </w:pPr>
      <w:r w:rsidRPr="000D7F0B">
        <w:t xml:space="preserve">McLaughlin, MJ, Whatmuff, M, Warne, MStJ, Heemsbergen, D, Barry, G, Bell, M, Nash, D &amp; Pritchard, D 2006, ‘A field investigation of solubility and food chain accumulation of biosolid-cadmium across diverse soil types’, </w:t>
      </w:r>
      <w:r w:rsidRPr="000D7F0B">
        <w:rPr>
          <w:i/>
          <w:iCs/>
        </w:rPr>
        <w:t>Environmental Chemistry</w:t>
      </w:r>
      <w:r w:rsidRPr="000D7F0B">
        <w:t>, vol. 3, pp. 428</w:t>
      </w:r>
      <w:r>
        <w:sym w:font="Symbol" w:char="F02D"/>
      </w:r>
      <w:r w:rsidRPr="000D7F0B">
        <w:t>432.</w:t>
      </w:r>
    </w:p>
    <w:p w:rsidR="006C2E16" w:rsidRPr="00B11C1C" w:rsidRDefault="006C2E16" w:rsidP="001C6BE7">
      <w:pPr>
        <w:pStyle w:val="text"/>
      </w:pPr>
      <w:r w:rsidRPr="00B11C1C">
        <w:t>McLaughlin</w:t>
      </w:r>
      <w:r>
        <w:t>,</w:t>
      </w:r>
      <w:r w:rsidRPr="00B11C1C">
        <w:t xml:space="preserve"> MJ, Lofts</w:t>
      </w:r>
      <w:r>
        <w:t>,</w:t>
      </w:r>
      <w:r w:rsidRPr="00B11C1C">
        <w:t xml:space="preserve"> S, </w:t>
      </w:r>
      <w:r w:rsidRPr="00B24498">
        <w:t>Warne</w:t>
      </w:r>
      <w:r>
        <w:t>,</w:t>
      </w:r>
      <w:r w:rsidRPr="00B24498">
        <w:t xml:space="preserve"> MStJ</w:t>
      </w:r>
      <w:r w:rsidRPr="00B11C1C">
        <w:t>, Amorim</w:t>
      </w:r>
      <w:r>
        <w:t>,</w:t>
      </w:r>
      <w:r w:rsidRPr="00B11C1C">
        <w:t xml:space="preserve"> AJM, Fairbrother</w:t>
      </w:r>
      <w:r>
        <w:t>,</w:t>
      </w:r>
      <w:r w:rsidRPr="00B11C1C">
        <w:t xml:space="preserve"> A, Lanno</w:t>
      </w:r>
      <w:r>
        <w:t>,</w:t>
      </w:r>
      <w:r w:rsidRPr="00B11C1C">
        <w:t xml:space="preserve"> R, Hendershot</w:t>
      </w:r>
      <w:r>
        <w:t>,</w:t>
      </w:r>
      <w:r w:rsidRPr="00B11C1C">
        <w:t xml:space="preserve"> W, Schlekat</w:t>
      </w:r>
      <w:r>
        <w:t>,</w:t>
      </w:r>
      <w:r w:rsidRPr="00B11C1C">
        <w:t xml:space="preserve"> CE, Ma</w:t>
      </w:r>
      <w:r>
        <w:t xml:space="preserve">, Y &amp; </w:t>
      </w:r>
      <w:r w:rsidRPr="00B11C1C">
        <w:t>Paton GI 2010</w:t>
      </w:r>
      <w:r>
        <w:t>,</w:t>
      </w:r>
      <w:r w:rsidRPr="00B11C1C">
        <w:t xml:space="preserve"> </w:t>
      </w:r>
      <w:r>
        <w:t>‘</w:t>
      </w:r>
      <w:r w:rsidRPr="00B11C1C">
        <w:t>Derivation of ecologically-based soil standards for trace elements</w:t>
      </w:r>
      <w:r>
        <w:t>’,</w:t>
      </w:r>
      <w:r w:rsidRPr="00B11C1C">
        <w:t xml:space="preserve"> </w:t>
      </w:r>
      <w:r>
        <w:t>i</w:t>
      </w:r>
      <w:r w:rsidRPr="00B11C1C">
        <w:t>n Merrington</w:t>
      </w:r>
      <w:r>
        <w:t>,</w:t>
      </w:r>
      <w:r w:rsidRPr="00B11C1C">
        <w:t xml:space="preserve"> G and Schoeters</w:t>
      </w:r>
      <w:r>
        <w:t>,</w:t>
      </w:r>
      <w:r w:rsidRPr="00B11C1C">
        <w:t xml:space="preserve"> I (eds), </w:t>
      </w:r>
      <w:r w:rsidRPr="00A11C0E">
        <w:rPr>
          <w:i/>
        </w:rPr>
        <w:t>Soil Quality Standards for Trace Elements: Derivation, Implementation And Interpretation,</w:t>
      </w:r>
      <w:r w:rsidRPr="00B11C1C">
        <w:t xml:space="preserve"> </w:t>
      </w:r>
      <w:r>
        <w:t>pp. 7</w:t>
      </w:r>
      <w:r>
        <w:sym w:font="Symbol" w:char="F02D"/>
      </w:r>
      <w:r>
        <w:t xml:space="preserve">80, </w:t>
      </w:r>
      <w:r w:rsidRPr="00B11C1C">
        <w:t>Society of Environmental Toxicology and Chemistry (SETAC) jointly published with Taylor and Francis, Pensacola, Florida, USA</w:t>
      </w:r>
      <w:r>
        <w:t>,</w:t>
      </w:r>
      <w:r w:rsidRPr="00B11C1C">
        <w:t xml:space="preserve"> ISBN 978-1-4398-3023-9.</w:t>
      </w:r>
    </w:p>
    <w:p w:rsidR="006C2E16" w:rsidRPr="00B24498" w:rsidRDefault="006C2E16" w:rsidP="001C6BE7">
      <w:pPr>
        <w:pStyle w:val="text"/>
      </w:pPr>
      <w:r w:rsidRPr="00B24498">
        <w:t>Menzies</w:t>
      </w:r>
      <w:r>
        <w:t>,</w:t>
      </w:r>
      <w:r w:rsidRPr="00B24498">
        <w:t xml:space="preserve"> NW, Donn</w:t>
      </w:r>
      <w:r>
        <w:t xml:space="preserve">, MJ &amp; </w:t>
      </w:r>
      <w:r w:rsidRPr="00B24498">
        <w:t>Kopittke PM</w:t>
      </w:r>
      <w:r>
        <w:t xml:space="preserve">, </w:t>
      </w:r>
      <w:r w:rsidRPr="00B24498">
        <w:t>2007</w:t>
      </w:r>
      <w:r>
        <w:t xml:space="preserve">, </w:t>
      </w:r>
      <w:r w:rsidRPr="00B24498">
        <w:t xml:space="preserve"> </w:t>
      </w:r>
      <w:r>
        <w:t>‘</w:t>
      </w:r>
      <w:r w:rsidRPr="00B24498">
        <w:t>Evaluation of extractants for estimation of the phytoavailable trace metals in soils</w:t>
      </w:r>
      <w:r>
        <w:t xml:space="preserve">’, </w:t>
      </w:r>
      <w:r w:rsidRPr="00B24498">
        <w:rPr>
          <w:i/>
          <w:iCs/>
        </w:rPr>
        <w:t>Environmental Pollution</w:t>
      </w:r>
      <w:r w:rsidRPr="00B24498">
        <w:t xml:space="preserve"> </w:t>
      </w:r>
      <w:r>
        <w:t>vol. 145, pp.</w:t>
      </w:r>
      <w:r w:rsidRPr="00B24498">
        <w:t xml:space="preserve"> 121–130.</w:t>
      </w:r>
    </w:p>
    <w:p w:rsidR="006C2E16" w:rsidRPr="000D7F0B" w:rsidRDefault="006C2E16" w:rsidP="001C6BE7">
      <w:pPr>
        <w:pStyle w:val="text"/>
      </w:pPr>
      <w:r w:rsidRPr="000D7F0B">
        <w:t xml:space="preserve">Ministry for the Environment 1996, A proposed methodology for deriving aquatic guideline values for toxic contaminants </w:t>
      </w:r>
      <w:r>
        <w:sym w:font="Symbol" w:char="F02D"/>
      </w:r>
      <w:r w:rsidRPr="000D7F0B">
        <w:t xml:space="preserve"> document for public comment, New Zealand Ministry of the Environment.</w:t>
      </w:r>
    </w:p>
    <w:p w:rsidR="006C2E16" w:rsidRPr="000D7F0B" w:rsidRDefault="006C2E16" w:rsidP="001C6BE7">
      <w:pPr>
        <w:pStyle w:val="text"/>
      </w:pPr>
      <w:r w:rsidRPr="000D7F0B">
        <w:t xml:space="preserve">Moore, DRJ &amp; Caux, PY 1997, ‘Estimating low toxic effects’, </w:t>
      </w:r>
      <w:r w:rsidRPr="000D7F0B">
        <w:rPr>
          <w:i/>
          <w:iCs/>
        </w:rPr>
        <w:t>Environmental Toxicology and Chemistry</w:t>
      </w:r>
      <w:r w:rsidRPr="000D7F0B">
        <w:t>, vol. 16, pp. 794</w:t>
      </w:r>
      <w:r>
        <w:sym w:font="Symbol" w:char="F02D"/>
      </w:r>
      <w:r w:rsidRPr="000D7F0B">
        <w:t>801.</w:t>
      </w:r>
    </w:p>
    <w:p w:rsidR="006C2E16" w:rsidRPr="000D7F0B" w:rsidRDefault="006C2E16" w:rsidP="001C6BE7">
      <w:pPr>
        <w:pStyle w:val="text"/>
      </w:pPr>
      <w:r w:rsidRPr="000D7F0B">
        <w:t xml:space="preserve">Morrissey, CA, Bendell-Young, LI &amp; Elliott, JE 2005, ‘Identifying sources and biomagnification of persistent organic contaminants in biota from mountain streams of south-western British Columbia’, </w:t>
      </w:r>
      <w:r w:rsidRPr="000D7F0B">
        <w:rPr>
          <w:i/>
          <w:iCs/>
        </w:rPr>
        <w:t>Canada Environmental Science and Technology</w:t>
      </w:r>
      <w:r w:rsidRPr="000D7F0B">
        <w:t>, vol. 39, pp. 8090</w:t>
      </w:r>
      <w:r>
        <w:sym w:font="Symbol" w:char="F02D"/>
      </w:r>
      <w:r w:rsidRPr="000D7F0B">
        <w:t>8098.</w:t>
      </w:r>
    </w:p>
    <w:p w:rsidR="006C2E16" w:rsidRPr="000D7F0B" w:rsidRDefault="006C2E16" w:rsidP="001C6BE7">
      <w:pPr>
        <w:pStyle w:val="text"/>
      </w:pPr>
      <w:r w:rsidRPr="000D7F0B">
        <w:t xml:space="preserve">Morton, R, Warne, MStJ &amp; Correll, RL 2008, ‘Simultaneous prediction of toxicity of multiple chemicals to multiple species using multivariate functional relationships’, </w:t>
      </w:r>
      <w:r w:rsidRPr="000D7F0B">
        <w:rPr>
          <w:i/>
          <w:iCs/>
        </w:rPr>
        <w:t>Environmetrics</w:t>
      </w:r>
      <w:r w:rsidRPr="000D7F0B">
        <w:t>, vol. 19, pp. 765</w:t>
      </w:r>
      <w:r>
        <w:sym w:font="Symbol" w:char="F02D"/>
      </w:r>
      <w:r w:rsidRPr="000D7F0B">
        <w:t>784.</w:t>
      </w:r>
    </w:p>
    <w:p w:rsidR="006C2E16" w:rsidRPr="000D7F0B" w:rsidRDefault="006C2E16" w:rsidP="001C6BE7">
      <w:pPr>
        <w:pStyle w:val="text"/>
      </w:pPr>
      <w:r w:rsidRPr="000D7F0B">
        <w:t xml:space="preserve">Muller, J, Muller, R, Goudkamp, K, Shaw, M, Mortimer, M, Haynes, D et al. 2004, </w:t>
      </w:r>
      <w:r w:rsidRPr="000D7F0B">
        <w:rPr>
          <w:i/>
          <w:iCs/>
        </w:rPr>
        <w:t>Dioxins in soils in Australia</w:t>
      </w:r>
      <w:r w:rsidRPr="000D7F0B">
        <w:t>, National Dioxins Program, Technical report no. 5, Department of the Environment and Heritage, Canberra, Australia.</w:t>
      </w:r>
    </w:p>
    <w:p w:rsidR="006C2E16" w:rsidRPr="000D7F0B" w:rsidRDefault="006C2E16" w:rsidP="001C6BE7">
      <w:pPr>
        <w:pStyle w:val="text"/>
      </w:pPr>
      <w:r w:rsidRPr="000D7F0B">
        <w:t>Newman, MC</w:t>
      </w:r>
      <w:r>
        <w:t>,</w:t>
      </w:r>
      <w:r w:rsidRPr="000D7F0B">
        <w:t xml:space="preserve"> Ownby, DR, Mezin, LCA, Powell, DC, Christensen, TRL, Lerberg, SB et al. 2000, ‘Applying species sensitivity distributions in ecological risk assessment: assumptions of distribution type and sufficient number of species’, </w:t>
      </w:r>
      <w:r w:rsidRPr="000D7F0B">
        <w:rPr>
          <w:i/>
          <w:iCs/>
        </w:rPr>
        <w:t>Environmental Toxicology and Chemistry</w:t>
      </w:r>
      <w:r w:rsidRPr="000D7F0B">
        <w:t>, vol. 19, pp. 508</w:t>
      </w:r>
      <w:r>
        <w:sym w:font="Symbol" w:char="F02D"/>
      </w:r>
      <w:r w:rsidRPr="000D7F0B">
        <w:t>515.</w:t>
      </w:r>
    </w:p>
    <w:p w:rsidR="006C2E16" w:rsidRPr="000D7F0B" w:rsidRDefault="006C2E16" w:rsidP="001C6BE7">
      <w:pPr>
        <w:pStyle w:val="text"/>
      </w:pPr>
      <w:r w:rsidRPr="000D7F0B">
        <w:t xml:space="preserve">Newman, MC 2008, ‘What exactly are you inferring? A closer look at hypothesis testing‘, </w:t>
      </w:r>
      <w:r w:rsidRPr="000D7F0B">
        <w:rPr>
          <w:i/>
          <w:iCs/>
        </w:rPr>
        <w:t>Environmental Toxicology and Chemistry</w:t>
      </w:r>
      <w:r w:rsidRPr="000D7F0B">
        <w:t>, vol. 27, pp. 1013</w:t>
      </w:r>
      <w:r>
        <w:sym w:font="Symbol" w:char="F02D"/>
      </w:r>
      <w:r w:rsidRPr="000D7F0B">
        <w:t>1019.</w:t>
      </w:r>
    </w:p>
    <w:p w:rsidR="006C2E16" w:rsidRPr="000D7F0B" w:rsidRDefault="006C2E16" w:rsidP="001C6BE7">
      <w:pPr>
        <w:pStyle w:val="text"/>
      </w:pPr>
      <w:r w:rsidRPr="000D7F0B">
        <w:t xml:space="preserve">Nicholson, BC 1984, </w:t>
      </w:r>
      <w:r w:rsidRPr="000D7F0B">
        <w:rPr>
          <w:i/>
          <w:iCs/>
        </w:rPr>
        <w:t>Water quality criteria for organic compounds</w:t>
      </w:r>
      <w:r w:rsidRPr="000D7F0B">
        <w:t>, Australian Water Resources Council, Technical paper 82, Australian Government Publishing Service, Canberra, Australia.</w:t>
      </w:r>
    </w:p>
    <w:p w:rsidR="006C2E16" w:rsidRDefault="006C2E16" w:rsidP="001C6BE7">
      <w:pPr>
        <w:pStyle w:val="text"/>
      </w:pPr>
      <w:r w:rsidRPr="00292E98">
        <w:rPr>
          <w:lang w:val="nl-NL"/>
        </w:rPr>
        <w:lastRenderedPageBreak/>
        <w:t>Nolan, AL, Zhang, H &amp; McLaughlin MJ 2005</w:t>
      </w:r>
      <w:r>
        <w:rPr>
          <w:lang w:val="nl-NL"/>
        </w:rPr>
        <w:t>,</w:t>
      </w:r>
      <w:r w:rsidRPr="00292E98">
        <w:rPr>
          <w:lang w:val="nl-NL"/>
        </w:rPr>
        <w:t xml:space="preserve"> </w:t>
      </w:r>
      <w:r>
        <w:rPr>
          <w:lang w:val="nl-NL"/>
        </w:rPr>
        <w:t>‘</w:t>
      </w:r>
      <w:r w:rsidRPr="00B24498">
        <w:t>Prediction of zinc, cadmium, lead, and copper availability to wheat in contaminated soils using chemical speciation, diffusive gradients in thin films, extraction, and isotopic dilution techniques</w:t>
      </w:r>
      <w:r>
        <w:t>’,</w:t>
      </w:r>
      <w:r w:rsidRPr="00B24498">
        <w:t xml:space="preserve"> </w:t>
      </w:r>
      <w:r w:rsidRPr="00B24498">
        <w:rPr>
          <w:i/>
          <w:iCs/>
        </w:rPr>
        <w:t>Journal of Environmental Quality</w:t>
      </w:r>
      <w:r>
        <w:t>, vol.</w:t>
      </w:r>
      <w:r w:rsidRPr="00B24498">
        <w:t xml:space="preserve"> 34</w:t>
      </w:r>
      <w:r>
        <w:t xml:space="preserve">, pp. </w:t>
      </w:r>
      <w:r w:rsidRPr="00B24498">
        <w:t>496–507.</w:t>
      </w:r>
    </w:p>
    <w:p w:rsidR="006C2E16" w:rsidRPr="000D7F0B" w:rsidRDefault="006C2E16" w:rsidP="001C6BE7">
      <w:pPr>
        <w:pStyle w:val="text"/>
      </w:pPr>
      <w:r w:rsidRPr="000D7F0B">
        <w:t xml:space="preserve">OECD 1992, </w:t>
      </w:r>
      <w:r w:rsidRPr="000D7F0B">
        <w:rPr>
          <w:i/>
          <w:iCs/>
        </w:rPr>
        <w:t>Report of the OECD workshop on extrapolation of laboratory aquatic toxicity data to the real environment</w:t>
      </w:r>
      <w:r w:rsidRPr="000D7F0B">
        <w:t>, OECD Environment monographs, no. 59, Organisation for Economic Cooperation and Development, Paris, France.</w:t>
      </w:r>
    </w:p>
    <w:p w:rsidR="006C2E16" w:rsidRPr="000D7F0B" w:rsidRDefault="006C2E16" w:rsidP="001C6BE7">
      <w:pPr>
        <w:pStyle w:val="text"/>
      </w:pPr>
      <w:r w:rsidRPr="000D7F0B">
        <w:t xml:space="preserve">OECD 1994, </w:t>
      </w:r>
      <w:r w:rsidRPr="000D7F0B">
        <w:rPr>
          <w:i/>
          <w:iCs/>
        </w:rPr>
        <w:t>Draft guidance document for aquatic effects assessment</w:t>
      </w:r>
      <w:r w:rsidRPr="000D7F0B">
        <w:t>, OECD Environment Monographs, no. 92, Organisation for Economic Cooperation and Development, Paris, France.</w:t>
      </w:r>
    </w:p>
    <w:p w:rsidR="006C2E16" w:rsidRPr="000D7F0B" w:rsidRDefault="006C2E16" w:rsidP="001C6BE7">
      <w:pPr>
        <w:pStyle w:val="text"/>
      </w:pPr>
      <w:r w:rsidRPr="000D7F0B">
        <w:t xml:space="preserve">OECD 1995, </w:t>
      </w:r>
      <w:r w:rsidRPr="000D7F0B">
        <w:rPr>
          <w:i/>
          <w:iCs/>
        </w:rPr>
        <w:t>Guidance document for aquatic effects assessment</w:t>
      </w:r>
      <w:r w:rsidRPr="000D7F0B">
        <w:t>, OECD Environment Monographs, no. 92, Organisation for Economic Cooperation and Development, Paris, France.</w:t>
      </w:r>
    </w:p>
    <w:p w:rsidR="006C2E16" w:rsidRPr="000D7F0B" w:rsidRDefault="006C2E16" w:rsidP="001C6BE7">
      <w:pPr>
        <w:pStyle w:val="text"/>
      </w:pPr>
      <w:r w:rsidRPr="000D7F0B">
        <w:t xml:space="preserve">Okkerman, PC, </w:t>
      </w:r>
      <w:r>
        <w:t>v</w:t>
      </w:r>
      <w:r w:rsidRPr="000D7F0B">
        <w:t xml:space="preserve">an de Plassche, EJ, Emans, HJB &amp; Canton JH 1993, ‘Validation of some extrapolation methods with toxicity data derived from multiple species experiments‘, </w:t>
      </w:r>
      <w:r w:rsidRPr="000D7F0B">
        <w:rPr>
          <w:i/>
          <w:iCs/>
        </w:rPr>
        <w:t>Ecotoxicology Environmental Safety</w:t>
      </w:r>
      <w:r w:rsidRPr="000D7F0B">
        <w:t>, vol. 25, pp. 341</w:t>
      </w:r>
      <w:r>
        <w:t>-</w:t>
      </w:r>
      <w:r w:rsidRPr="000D7F0B">
        <w:t>359.</w:t>
      </w:r>
    </w:p>
    <w:p w:rsidR="006C2E16" w:rsidRPr="000D7F0B" w:rsidRDefault="006C2E16" w:rsidP="001C6BE7">
      <w:pPr>
        <w:pStyle w:val="text"/>
      </w:pPr>
      <w:r w:rsidRPr="000D7F0B">
        <w:t xml:space="preserve">Okkerman, PC, </w:t>
      </w:r>
      <w:r>
        <w:t>v</w:t>
      </w:r>
      <w:r w:rsidRPr="000D7F0B">
        <w:t xml:space="preserve">an de Plassche, EJ, Slooff, W, </w:t>
      </w:r>
      <w:r>
        <w:t>v</w:t>
      </w:r>
      <w:r w:rsidRPr="000D7F0B">
        <w:t xml:space="preserve">an Leeuwen, CJ &amp; Canton, JH 1991, ‘Ecotoxicological effects assessment: a comparison of several extrapolation procedures‘, </w:t>
      </w:r>
      <w:r w:rsidRPr="000D7F0B">
        <w:rPr>
          <w:i/>
          <w:iCs/>
        </w:rPr>
        <w:t>Ecotoxicology Environmental Safety</w:t>
      </w:r>
      <w:r w:rsidRPr="000D7F0B">
        <w:t>, vol. 21, pp. 182</w:t>
      </w:r>
      <w:r>
        <w:sym w:font="Symbol" w:char="F02D"/>
      </w:r>
      <w:r w:rsidRPr="000D7F0B">
        <w:t>191.</w:t>
      </w:r>
    </w:p>
    <w:p w:rsidR="006C2E16" w:rsidRPr="000D7F0B" w:rsidRDefault="006C2E16" w:rsidP="001C6BE7">
      <w:pPr>
        <w:pStyle w:val="text"/>
      </w:pPr>
      <w:r w:rsidRPr="000D7F0B">
        <w:t xml:space="preserve">Olszowy, H, Torr, P, Imray, P, Smith, P, Hegarty, J &amp; Hastie, G 1995, </w:t>
      </w:r>
      <w:r w:rsidRPr="000D7F0B">
        <w:rPr>
          <w:i/>
          <w:iCs/>
        </w:rPr>
        <w:t>Trace element concentrations in soils from rural and urban areas of Australia</w:t>
      </w:r>
      <w:r w:rsidRPr="000D7F0B">
        <w:t xml:space="preserve">, Contaminated Sites monograph no. 4,  South Australian Health Commission, Adelaide, Australia. </w:t>
      </w:r>
    </w:p>
    <w:p w:rsidR="006C2E16" w:rsidRPr="000D7F0B" w:rsidRDefault="006C2E16" w:rsidP="001C6BE7">
      <w:pPr>
        <w:pStyle w:val="text"/>
      </w:pPr>
      <w:r w:rsidRPr="000D7F0B">
        <w:t>Oorts, K, Ghesquiere, U, Swinnen, K &amp; Smolders, E 2006, ‘Soil properties affecting the toxicity of CuCl</w:t>
      </w:r>
      <w:r w:rsidRPr="001159BD">
        <w:rPr>
          <w:vertAlign w:val="subscript"/>
        </w:rPr>
        <w:t>2</w:t>
      </w:r>
      <w:r w:rsidRPr="000D7F0B">
        <w:t xml:space="preserve"> and NiCl</w:t>
      </w:r>
      <w:r w:rsidRPr="001159BD">
        <w:rPr>
          <w:vertAlign w:val="subscript"/>
        </w:rPr>
        <w:t>2</w:t>
      </w:r>
      <w:r w:rsidRPr="000D7F0B">
        <w:t xml:space="preserve"> for soil microbial processes in freshly spiked soils’, </w:t>
      </w:r>
      <w:r w:rsidRPr="000D7F0B">
        <w:rPr>
          <w:i/>
          <w:iCs/>
        </w:rPr>
        <w:t>Environmental Toxicology and Chemistry</w:t>
      </w:r>
      <w:r w:rsidRPr="000D7F0B">
        <w:t>, vol. 25, pp. 836</w:t>
      </w:r>
      <w:r>
        <w:sym w:font="Symbol" w:char="F02D"/>
      </w:r>
      <w:r w:rsidRPr="000D7F0B">
        <w:t>844.</w:t>
      </w:r>
    </w:p>
    <w:p w:rsidR="006C2E16" w:rsidRPr="000D7F0B" w:rsidRDefault="006C2E16" w:rsidP="001C6BE7">
      <w:pPr>
        <w:pStyle w:val="text"/>
      </w:pPr>
      <w:r w:rsidRPr="000D7F0B">
        <w:t xml:space="preserve">Pedersen, F, Kristensen, P, Damborg, A &amp; Christensen, HW 1994, ‘Ecotoxicological evaluation of industrial wastewater‘, </w:t>
      </w:r>
      <w:r w:rsidRPr="000D7F0B">
        <w:rPr>
          <w:i/>
          <w:iCs/>
        </w:rPr>
        <w:t>Miljøprojekt no. 254,</w:t>
      </w:r>
      <w:r w:rsidRPr="000D7F0B">
        <w:t xml:space="preserve"> Ministry of Environment, Copenhagen, Denmark. </w:t>
      </w:r>
    </w:p>
    <w:p w:rsidR="006C2E16" w:rsidRPr="000D7F0B" w:rsidRDefault="006C2E16" w:rsidP="001C6BE7">
      <w:pPr>
        <w:pStyle w:val="text"/>
      </w:pPr>
      <w:r w:rsidRPr="000D7F0B">
        <w:t xml:space="preserve">Pennington, DW 2003, ‘Extrapolating ecotoxicological measures from small data sets‘, </w:t>
      </w:r>
      <w:r w:rsidRPr="000D7F0B">
        <w:rPr>
          <w:i/>
          <w:iCs/>
        </w:rPr>
        <w:t>Ecotoxicology Environmental Safety</w:t>
      </w:r>
      <w:r w:rsidRPr="000D7F0B">
        <w:t>, vol. 56, pp 238</w:t>
      </w:r>
      <w:r>
        <w:sym w:font="Symbol" w:char="F02D"/>
      </w:r>
      <w:r w:rsidRPr="000D7F0B">
        <w:t>250.</w:t>
      </w:r>
    </w:p>
    <w:p w:rsidR="006C2E16" w:rsidRPr="000D7F0B" w:rsidRDefault="006C2E16" w:rsidP="001C6BE7">
      <w:pPr>
        <w:pStyle w:val="text"/>
      </w:pPr>
      <w:r w:rsidRPr="000D7F0B">
        <w:t xml:space="preserve">Posthumus, R &amp; Slooff, W 2001, </w:t>
      </w:r>
      <w:r w:rsidRPr="000D7F0B">
        <w:rPr>
          <w:i/>
          <w:iCs/>
        </w:rPr>
        <w:t>Implementation of QSARs in ecotoxicological risk assessment</w:t>
      </w:r>
      <w:r w:rsidRPr="000D7F0B">
        <w:t xml:space="preserve">, RIVM report 601516003, Bilthoven, Netherlands. </w:t>
      </w:r>
    </w:p>
    <w:p w:rsidR="006C2E16" w:rsidRDefault="006C2E16" w:rsidP="001C6BE7">
      <w:pPr>
        <w:pStyle w:val="text"/>
      </w:pPr>
      <w:r>
        <w:t xml:space="preserve">Posthuma, L 1997, ‘Effects of toxicants on population and community parameters in field conditions, and their potential use in the validation of risk assessment methods’, </w:t>
      </w:r>
      <w:r w:rsidRPr="00B03B17">
        <w:rPr>
          <w:i/>
          <w:iCs/>
        </w:rPr>
        <w:t>Ecological Risk Assessment of Contaminants in Soils</w:t>
      </w:r>
      <w:r>
        <w:t>, vol 5, pp.85</w:t>
      </w:r>
      <w:r>
        <w:sym w:font="Symbol" w:char="F02D"/>
      </w:r>
      <w:r>
        <w:t>123.</w:t>
      </w:r>
    </w:p>
    <w:p w:rsidR="006C2E16" w:rsidRPr="001A5C40" w:rsidRDefault="006C2E16" w:rsidP="001C6BE7">
      <w:pPr>
        <w:pStyle w:val="text"/>
      </w:pPr>
      <w:r w:rsidRPr="001A5C40">
        <w:t>Posthuma</w:t>
      </w:r>
      <w:r>
        <w:t>,</w:t>
      </w:r>
      <w:r w:rsidRPr="001A5C40">
        <w:t xml:space="preserve"> L, Notenboom</w:t>
      </w:r>
      <w:r>
        <w:t>,</w:t>
      </w:r>
      <w:r w:rsidRPr="001A5C40">
        <w:t xml:space="preserve"> J 1996</w:t>
      </w:r>
      <w:r>
        <w:t xml:space="preserve">, </w:t>
      </w:r>
      <w:r w:rsidRPr="00B24498">
        <w:t>Toxic effects of heavy metals in three worm species exposed in artificially contaminated soil substrates and contaminated field soils</w:t>
      </w:r>
      <w:r>
        <w:t>,</w:t>
      </w:r>
      <w:r w:rsidRPr="001A5C40">
        <w:t xml:space="preserve"> Bilthoven: RIVM. Report no. 719102048</w:t>
      </w:r>
      <w:r>
        <w:t>,</w:t>
      </w:r>
      <w:r w:rsidRPr="001A5C40">
        <w:t xml:space="preserve"> 79pp.</w:t>
      </w:r>
    </w:p>
    <w:p w:rsidR="006C2E16" w:rsidRPr="000D7F0B" w:rsidRDefault="006C2E16" w:rsidP="001C6BE7">
      <w:pPr>
        <w:pStyle w:val="text"/>
      </w:pPr>
      <w:r w:rsidRPr="000D7F0B">
        <w:t>Post</w:t>
      </w:r>
      <w:r>
        <w:t>h</w:t>
      </w:r>
      <w:r w:rsidRPr="000D7F0B">
        <w:t>uma, L, Suter, G</w:t>
      </w:r>
      <w:r>
        <w:t>W</w:t>
      </w:r>
      <w:r w:rsidRPr="000D7F0B">
        <w:t xml:space="preserve"> II &amp; Traas, T 2002, </w:t>
      </w:r>
      <w:r w:rsidRPr="000D7F0B">
        <w:rPr>
          <w:i/>
          <w:iCs/>
        </w:rPr>
        <w:t>Species sensitivity distributions in ecotoxicology</w:t>
      </w:r>
      <w:r w:rsidRPr="000D7F0B">
        <w:t>, Lewis Publishers, Boca Raton, Fl</w:t>
      </w:r>
      <w:r>
        <w:t>orida</w:t>
      </w:r>
      <w:r w:rsidRPr="000D7F0B">
        <w:t>, USA.</w:t>
      </w:r>
    </w:p>
    <w:p w:rsidR="006C2E16" w:rsidRPr="000D7F0B" w:rsidRDefault="006C2E16" w:rsidP="001C6BE7">
      <w:pPr>
        <w:pStyle w:val="text"/>
      </w:pPr>
      <w:r w:rsidRPr="000D7F0B">
        <w:t xml:space="preserve">Raimondo, S, Vivian, DN &amp; Barron, MG 2007, </w:t>
      </w:r>
      <w:r w:rsidRPr="000D7F0B">
        <w:rPr>
          <w:i/>
          <w:iCs/>
        </w:rPr>
        <w:t>Web-based interspecies correlation estimation (Web-ICE) for acute toxicity: user manual</w:t>
      </w:r>
      <w:r w:rsidRPr="000D7F0B">
        <w:t xml:space="preserve">, </w:t>
      </w:r>
      <w:r w:rsidRPr="000D7F0B">
        <w:rPr>
          <w:i/>
          <w:iCs/>
        </w:rPr>
        <w:t>version 2,</w:t>
      </w:r>
      <w:r w:rsidRPr="000D7F0B">
        <w:t xml:space="preserve"> EPA/600/R-07/071, US EPA, Office of Research and Development, National Health and Environmental Effects Research Laboratory, Gulf Ecology Division, Gulf Breeze, FL 32561</w:t>
      </w:r>
      <w:r>
        <w:t>, USA</w:t>
      </w:r>
      <w:r w:rsidRPr="000D7F0B">
        <w:t>.</w:t>
      </w:r>
    </w:p>
    <w:p w:rsidR="006C2E16" w:rsidRPr="000D7F0B" w:rsidRDefault="006C2E16" w:rsidP="001C6BE7">
      <w:pPr>
        <w:pStyle w:val="text"/>
      </w:pPr>
      <w:r w:rsidRPr="000D7F0B">
        <w:lastRenderedPageBreak/>
        <w:t>Rand, GM, Wells, PG &amp; McCarty, LS 1995, ‘Introduction to aquatic toxicology’, in Rand</w:t>
      </w:r>
      <w:r>
        <w:t>, GM</w:t>
      </w:r>
      <w:r w:rsidRPr="000D7F0B">
        <w:t xml:space="preserve"> (ed</w:t>
      </w:r>
      <w:r>
        <w:t>.</w:t>
      </w:r>
      <w:r w:rsidRPr="000D7F0B">
        <w:t xml:space="preserve">) </w:t>
      </w:r>
      <w:r w:rsidRPr="000D7F0B">
        <w:rPr>
          <w:i/>
          <w:iCs/>
        </w:rPr>
        <w:t>Fundamentals of aquatic toxicology: effects, environmental fate and risk assessment</w:t>
      </w:r>
      <w:r w:rsidRPr="000D7F0B">
        <w:t xml:space="preserve">, </w:t>
      </w:r>
      <w:r>
        <w:t>pp. 3</w:t>
      </w:r>
      <w:r>
        <w:sym w:font="Symbol" w:char="F02D"/>
      </w:r>
      <w:r>
        <w:t xml:space="preserve">67, </w:t>
      </w:r>
      <w:r w:rsidRPr="000D7F0B">
        <w:t>2</w:t>
      </w:r>
      <w:r w:rsidRPr="001159BD">
        <w:rPr>
          <w:vertAlign w:val="superscript"/>
        </w:rPr>
        <w:t xml:space="preserve">nd </w:t>
      </w:r>
      <w:r w:rsidRPr="000D7F0B">
        <w:t>edn, Taylor and Francis, Washington DC, USA.</w:t>
      </w:r>
    </w:p>
    <w:p w:rsidR="006C2E16" w:rsidRPr="000D7F0B" w:rsidRDefault="006C2E16" w:rsidP="001C6BE7">
      <w:pPr>
        <w:pStyle w:val="text"/>
      </w:pPr>
      <w:r w:rsidRPr="000D7F0B">
        <w:t>Reimann, C &amp; Garrett, RG 2005, ‘Geochemical background — concept and reality’,</w:t>
      </w:r>
      <w:r w:rsidRPr="000D7F0B">
        <w:rPr>
          <w:i/>
          <w:iCs/>
        </w:rPr>
        <w:t>Science of the Total Environment</w:t>
      </w:r>
      <w:r w:rsidRPr="000D7F0B">
        <w:t>, vol. 350, pp. 12</w:t>
      </w:r>
      <w:r>
        <w:sym w:font="Symbol" w:char="F02D"/>
      </w:r>
      <w:r w:rsidRPr="000D7F0B">
        <w:t>27.</w:t>
      </w:r>
    </w:p>
    <w:p w:rsidR="006C2E16" w:rsidRPr="000D7F0B" w:rsidRDefault="006C2E16" w:rsidP="001C6BE7">
      <w:pPr>
        <w:pStyle w:val="text"/>
      </w:pPr>
      <w:r w:rsidRPr="000D7F0B">
        <w:t xml:space="preserve">Romijn, CAFM, Luttik, R, Slooff, W &amp; Canton, JH 1991, </w:t>
      </w:r>
      <w:r w:rsidRPr="000D7F0B">
        <w:rPr>
          <w:i/>
          <w:iCs/>
        </w:rPr>
        <w:t>Presentation of a general algorithm for effect-assessment on secondary poisoning, II, Terrestrial food chains</w:t>
      </w:r>
      <w:r w:rsidRPr="000D7F0B">
        <w:t xml:space="preserve">, Report no. 679102007, National Institute of Public Health and Environmental Protection, Bilthoven, Netherlands. </w:t>
      </w:r>
    </w:p>
    <w:p w:rsidR="006C2E16" w:rsidRPr="000D7F0B" w:rsidRDefault="006C2E16" w:rsidP="001C6BE7">
      <w:pPr>
        <w:pStyle w:val="text"/>
      </w:pPr>
      <w:r w:rsidRPr="000D7F0B">
        <w:t xml:space="preserve">Rooney, C, Zhao, FJ, McGrath, SP 2006, ‘Soil factors controlling the expression of copper toxicity to plants in a wide range of European soils‘, </w:t>
      </w:r>
      <w:r w:rsidRPr="000D7F0B">
        <w:rPr>
          <w:i/>
          <w:iCs/>
        </w:rPr>
        <w:t>Environmental Toxicology and Chemistry</w:t>
      </w:r>
      <w:r w:rsidRPr="000D7F0B">
        <w:t>, vol. 25, pp. 726</w:t>
      </w:r>
      <w:r>
        <w:sym w:font="Symbol" w:char="F02D"/>
      </w:r>
      <w:r w:rsidRPr="000D7F0B">
        <w:t>732.</w:t>
      </w:r>
    </w:p>
    <w:p w:rsidR="006C2E16" w:rsidRPr="000D7F0B" w:rsidRDefault="006C2E16" w:rsidP="001C6BE7">
      <w:pPr>
        <w:pStyle w:val="text"/>
      </w:pPr>
      <w:r w:rsidRPr="000D7F0B">
        <w:t xml:space="preserve">Roux, DJ, Jooste, SHJ &amp; MacKay, HM 1996, ‘Substance-specific water quality criteria for the protection of South African freshwater ecosystems: methods for the derivation and initial results for some inorganic toxic substances, </w:t>
      </w:r>
      <w:r w:rsidRPr="000D7F0B">
        <w:rPr>
          <w:i/>
          <w:iCs/>
        </w:rPr>
        <w:t>South African Journal of Science</w:t>
      </w:r>
      <w:r w:rsidRPr="000D7F0B">
        <w:t>, vol. 92, pp. 198</w:t>
      </w:r>
      <w:r>
        <w:sym w:font="Symbol" w:char="F02D"/>
      </w:r>
      <w:r w:rsidRPr="000D7F0B">
        <w:t>206.</w:t>
      </w:r>
    </w:p>
    <w:p w:rsidR="006C2E16" w:rsidRDefault="006C2E16" w:rsidP="001C6BE7">
      <w:pPr>
        <w:pStyle w:val="text"/>
      </w:pPr>
      <w:r>
        <w:t xml:space="preserve">Rusk, JA, Hamon, RE, Stevens, DP &amp; McLaughlin MJ 2004, ‘Adaption of soil biological nitrification to heavy metals’, </w:t>
      </w:r>
      <w:r w:rsidRPr="00CE4254">
        <w:rPr>
          <w:i/>
          <w:iCs/>
        </w:rPr>
        <w:t>Environmental Science and Technology</w:t>
      </w:r>
      <w:r>
        <w:t>, vol 38, pp.3092</w:t>
      </w:r>
      <w:r>
        <w:sym w:font="Symbol" w:char="F02D"/>
      </w:r>
      <w:r>
        <w:t>2097.</w:t>
      </w:r>
    </w:p>
    <w:p w:rsidR="006C2E16" w:rsidRDefault="006C2E16" w:rsidP="001C6BE7">
      <w:pPr>
        <w:pStyle w:val="text"/>
      </w:pPr>
      <w:r>
        <w:t xml:space="preserve">Rutgers, M, Sweegers, BMC, Wind, BS, van Veen, RPM, Folkerts, AJ, Posthuma L &amp; Breure, AM 1998, ‘Pollution induced community tolerance in terrestrial microbial communities’, </w:t>
      </w:r>
      <w:r w:rsidRPr="006A67A4">
        <w:rPr>
          <w:i/>
          <w:iCs/>
        </w:rPr>
        <w:t>Contaminated Soil</w:t>
      </w:r>
      <w:r>
        <w:t>, vol. 1 &amp; 2, pp. 337</w:t>
      </w:r>
      <w:r>
        <w:sym w:font="Symbol" w:char="F02D"/>
      </w:r>
      <w:r>
        <w:t>343.</w:t>
      </w:r>
    </w:p>
    <w:p w:rsidR="006C2E16" w:rsidRPr="000D7F0B" w:rsidRDefault="006C2E16" w:rsidP="001C6BE7">
      <w:pPr>
        <w:pStyle w:val="text"/>
      </w:pPr>
      <w:r w:rsidRPr="000D7F0B">
        <w:t xml:space="preserve">Schudoma, D 1994, ‘Derivation of water quality objectives for hazardous substances to protect aquatic ecosystems: single-species test approach’, </w:t>
      </w:r>
      <w:r w:rsidRPr="000D7F0B">
        <w:rPr>
          <w:i/>
          <w:iCs/>
        </w:rPr>
        <w:t>Environmental Toxicology and Water Quality</w:t>
      </w:r>
      <w:r w:rsidRPr="000D7F0B">
        <w:t>, vol. 9, pp. 263</w:t>
      </w:r>
      <w:r>
        <w:sym w:font="Symbol" w:char="F02D"/>
      </w:r>
      <w:r w:rsidRPr="000D7F0B">
        <w:t>272.</w:t>
      </w:r>
    </w:p>
    <w:p w:rsidR="006C2E16" w:rsidRPr="000D7F0B" w:rsidRDefault="006C2E16" w:rsidP="001C6BE7">
      <w:pPr>
        <w:pStyle w:val="text"/>
      </w:pPr>
      <w:r w:rsidRPr="000D7F0B">
        <w:t xml:space="preserve">Shao, Q 2000, ‘Estimation for hazardous concentrations based on NOEC data: an alternative approach’, </w:t>
      </w:r>
      <w:r w:rsidRPr="000D7F0B">
        <w:rPr>
          <w:i/>
          <w:iCs/>
        </w:rPr>
        <w:t>Envirometrics</w:t>
      </w:r>
      <w:r w:rsidRPr="000D7F0B">
        <w:t>, vol. 11, pp. 583</w:t>
      </w:r>
      <w:r>
        <w:sym w:font="Symbol" w:char="F02D"/>
      </w:r>
      <w:r w:rsidRPr="000D7F0B">
        <w:t>595.</w:t>
      </w:r>
    </w:p>
    <w:p w:rsidR="006C2E16" w:rsidRPr="000D7F0B" w:rsidRDefault="006C2E16" w:rsidP="001C6BE7">
      <w:pPr>
        <w:pStyle w:val="text"/>
      </w:pPr>
      <w:r w:rsidRPr="000D7F0B">
        <w:t xml:space="preserve">Simpson, SL, Batley, G, Chariton, A, Stauber, JL, King, CK, Chapman, JC et al. 2005, </w:t>
      </w:r>
      <w:r w:rsidRPr="000D7F0B">
        <w:rPr>
          <w:i/>
          <w:iCs/>
        </w:rPr>
        <w:t>Handbook for sediment quality assessment,</w:t>
      </w:r>
      <w:r w:rsidRPr="000D7F0B">
        <w:t xml:space="preserve">  Centre for Environmental Contaminants Research, CSIRO, Bangor, NSW, available online at </w:t>
      </w:r>
      <w:hyperlink r:id="rId38" w:history="1">
        <w:r w:rsidRPr="000D7F0B">
          <w:t>http://www.clw.csiro.au/cecr/sedimenthandbook</w:t>
        </w:r>
      </w:hyperlink>
      <w:r w:rsidRPr="000D7F0B">
        <w:t>.</w:t>
      </w:r>
    </w:p>
    <w:p w:rsidR="006C2E16" w:rsidRPr="000D7F0B" w:rsidRDefault="006C2E16" w:rsidP="001C6BE7">
      <w:pPr>
        <w:pStyle w:val="text"/>
      </w:pPr>
      <w:r w:rsidRPr="000D7F0B">
        <w:t xml:space="preserve">Simpson, SL &amp; Batley, GE 2007, </w:t>
      </w:r>
      <w:r w:rsidRPr="000D7F0B">
        <w:rPr>
          <w:i/>
          <w:iCs/>
        </w:rPr>
        <w:t>Revision of the ANZECC/ARMCANZ sediment quality guidelines</w:t>
      </w:r>
      <w:r w:rsidRPr="000D7F0B">
        <w:t xml:space="preserve">, CLW science report, prepared for the Department of Agriculture, Fisheries and Forestry, Sydney, Australia. </w:t>
      </w:r>
    </w:p>
    <w:p w:rsidR="006C2E16" w:rsidRPr="000D7F0B" w:rsidRDefault="006C2E16" w:rsidP="001C6BE7">
      <w:pPr>
        <w:pStyle w:val="text"/>
      </w:pPr>
      <w:r w:rsidRPr="000D7F0B">
        <w:t xml:space="preserve">Smith, EP &amp; Cairns, JJr 1993, ‘Extrapolation methods for setting ecological standards for water quality: statistical and ecological concerns‘, </w:t>
      </w:r>
      <w:r w:rsidRPr="000D7F0B">
        <w:rPr>
          <w:i/>
          <w:iCs/>
        </w:rPr>
        <w:t>Ecotoxicolog</w:t>
      </w:r>
      <w:r w:rsidRPr="000D7F0B">
        <w:t>y, vol. 2, pp. 203</w:t>
      </w:r>
      <w:r>
        <w:sym w:font="Symbol" w:char="F02D"/>
      </w:r>
      <w:r w:rsidRPr="000D7F0B">
        <w:t>219.</w:t>
      </w:r>
    </w:p>
    <w:p w:rsidR="006C2E16" w:rsidRPr="000D7F0B" w:rsidRDefault="006C2E16" w:rsidP="001C6BE7">
      <w:pPr>
        <w:pStyle w:val="text"/>
      </w:pPr>
      <w:r w:rsidRPr="000D7F0B">
        <w:t xml:space="preserve">Smolders, E, Buekers, J, Waegeneers, N, Oliver, I &amp; McLaughlin, MJ 2003, </w:t>
      </w:r>
      <w:r w:rsidRPr="000D7F0B">
        <w:rPr>
          <w:i/>
          <w:iCs/>
        </w:rPr>
        <w:t xml:space="preserve">Effects of field and laboratory Zn contamination on soil microbial processes and plant growth, </w:t>
      </w:r>
      <w:r w:rsidRPr="000D7F0B">
        <w:t>Final report to the International Lead and Zinc Research Organisation (ILZRO)</w:t>
      </w:r>
      <w:r w:rsidRPr="000D7F0B">
        <w:rPr>
          <w:i/>
          <w:iCs/>
        </w:rPr>
        <w:t>,</w:t>
      </w:r>
      <w:r w:rsidRPr="000D7F0B">
        <w:t xml:space="preserve"> Katholieke Universiteit Leuven &amp; CSIRO.</w:t>
      </w:r>
    </w:p>
    <w:p w:rsidR="006C2E16" w:rsidRPr="000D7F0B" w:rsidRDefault="006C2E16" w:rsidP="001C6BE7">
      <w:pPr>
        <w:pStyle w:val="text"/>
      </w:pPr>
      <w:r w:rsidRPr="000D7F0B">
        <w:t xml:space="preserve">Smolders, E, Buekers, J, Oliver, I &amp; McLaughlin, MJ 2004, ‘Soil properties affecting toxicity of zinc to soil microbial properties in laboratory-spiked and field-contaminated soils’, </w:t>
      </w:r>
      <w:r w:rsidRPr="000D7F0B">
        <w:rPr>
          <w:i/>
          <w:iCs/>
        </w:rPr>
        <w:t>Environmental Toxicology Chemistry</w:t>
      </w:r>
      <w:r w:rsidRPr="000D7F0B">
        <w:t>, vol. 23, pp. 2633</w:t>
      </w:r>
      <w:r>
        <w:sym w:font="Symbol" w:char="F02D"/>
      </w:r>
      <w:r w:rsidRPr="000D7F0B">
        <w:t>2640.</w:t>
      </w:r>
    </w:p>
    <w:p w:rsidR="006C2E16" w:rsidRPr="000D7F0B" w:rsidRDefault="006C2E16" w:rsidP="001C6BE7">
      <w:pPr>
        <w:pStyle w:val="text"/>
      </w:pPr>
      <w:r w:rsidRPr="000D7F0B">
        <w:lastRenderedPageBreak/>
        <w:t xml:space="preserve">Smolders, E &amp; Degryse, F 2007, ‘Fixation of cadmium and zinc in soils: implications for risk assessment’, in Hamon, </w:t>
      </w:r>
      <w:r>
        <w:t xml:space="preserve">R, </w:t>
      </w:r>
      <w:r w:rsidRPr="000D7F0B">
        <w:t>McLaughlin</w:t>
      </w:r>
      <w:r>
        <w:t>, M</w:t>
      </w:r>
      <w:r w:rsidRPr="000D7F0B">
        <w:t xml:space="preserve"> &amp; Lombi</w:t>
      </w:r>
      <w:r>
        <w:t>, E</w:t>
      </w:r>
      <w:r w:rsidRPr="000D7F0B">
        <w:t xml:space="preserve"> (eds), </w:t>
      </w:r>
      <w:r w:rsidRPr="000D7F0B">
        <w:rPr>
          <w:i/>
          <w:iCs/>
        </w:rPr>
        <w:t>Natural attenuation of trace element availability in soils</w:t>
      </w:r>
      <w:r w:rsidRPr="000D7F0B">
        <w:t xml:space="preserve">, </w:t>
      </w:r>
      <w:r>
        <w:t>pp. 157</w:t>
      </w:r>
      <w:r>
        <w:sym w:font="Symbol" w:char="F02D"/>
      </w:r>
      <w:r w:rsidRPr="000D7F0B">
        <w:t>171</w:t>
      </w:r>
      <w:r>
        <w:t xml:space="preserve">, </w:t>
      </w:r>
      <w:r w:rsidRPr="000D7F0B">
        <w:t>SETAC Press, Florida.</w:t>
      </w:r>
    </w:p>
    <w:p w:rsidR="006C2E16" w:rsidRPr="00FC6FEB" w:rsidRDefault="006C2E16" w:rsidP="001C6BE7">
      <w:pPr>
        <w:pStyle w:val="text"/>
      </w:pPr>
      <w:r w:rsidRPr="00505C3D">
        <w:rPr>
          <w:lang w:val="nl-NL"/>
        </w:rPr>
        <w:t>Smolders, E, Oorts, K, van Sprang, P, Schoeters, I, Janssen, C, McGrath, S &amp; McLaughlin</w:t>
      </w:r>
      <w:r>
        <w:rPr>
          <w:lang w:val="nl-NL"/>
        </w:rPr>
        <w:t>, M 2009,</w:t>
      </w:r>
      <w:r w:rsidRPr="00505C3D">
        <w:rPr>
          <w:lang w:val="nl-NL"/>
        </w:rPr>
        <w:t xml:space="preserve"> </w:t>
      </w:r>
      <w:r>
        <w:rPr>
          <w:lang w:val="nl-NL"/>
        </w:rPr>
        <w:t>‘</w:t>
      </w:r>
      <w:r w:rsidRPr="00505C3D">
        <w:t>Toxicity of trace metals in soil as affected by soil type and aging after contamination using calibrated bioavailability models to set ecological soil standards</w:t>
      </w:r>
      <w:r>
        <w:t>’,</w:t>
      </w:r>
      <w:r w:rsidRPr="00505C3D">
        <w:t xml:space="preserve"> </w:t>
      </w:r>
      <w:r w:rsidRPr="00505C3D">
        <w:rPr>
          <w:i/>
        </w:rPr>
        <w:t>Environmental Toxicology and Chemistry</w:t>
      </w:r>
      <w:r>
        <w:t>, vol. 28, pp. 1633</w:t>
      </w:r>
      <w:r>
        <w:sym w:font="Symbol" w:char="F02D"/>
      </w:r>
      <w:r w:rsidRPr="00505C3D">
        <w:t>1642.</w:t>
      </w:r>
    </w:p>
    <w:p w:rsidR="006C2E16" w:rsidRPr="000D7F0B" w:rsidRDefault="006C2E16" w:rsidP="001C6BE7">
      <w:pPr>
        <w:pStyle w:val="text"/>
      </w:pPr>
      <w:r w:rsidRPr="000D7F0B">
        <w:t xml:space="preserve">Song, J, Zhao, F-J, McGrath, SP &amp; Luo, Y-M 2006, ‘Influence of soil properties and aging on arsenic phytotoxicity’, </w:t>
      </w:r>
      <w:r w:rsidRPr="000D7F0B">
        <w:rPr>
          <w:i/>
          <w:iCs/>
        </w:rPr>
        <w:t>Environmental Toxicology Chemistry</w:t>
      </w:r>
      <w:r w:rsidRPr="000D7F0B">
        <w:t>, vol. 25, pp. 1663</w:t>
      </w:r>
      <w:r>
        <w:sym w:font="Symbol" w:char="F02D"/>
      </w:r>
      <w:r w:rsidRPr="000D7F0B">
        <w:t>1670.</w:t>
      </w:r>
    </w:p>
    <w:p w:rsidR="006C2E16" w:rsidRPr="000D7F0B" w:rsidRDefault="006C2E16" w:rsidP="001C6BE7">
      <w:pPr>
        <w:pStyle w:val="text"/>
      </w:pPr>
      <w:r w:rsidRPr="000D7F0B">
        <w:t xml:space="preserve">Staudinger, J &amp; Roberts, PV 1996, ‘A critical review of Henry's law constants for environmental applications’, </w:t>
      </w:r>
      <w:r w:rsidRPr="000D7F0B">
        <w:rPr>
          <w:i/>
          <w:iCs/>
        </w:rPr>
        <w:t>Critical Reviews in Environmental Science and Technology</w:t>
      </w:r>
      <w:r w:rsidRPr="000D7F0B">
        <w:t>, vol. 26, pp. 205</w:t>
      </w:r>
      <w:r>
        <w:sym w:font="Symbol" w:char="F02D"/>
      </w:r>
      <w:r w:rsidRPr="000D7F0B">
        <w:t xml:space="preserve">297. </w:t>
      </w:r>
    </w:p>
    <w:p w:rsidR="006C2E16" w:rsidRPr="000D7F0B" w:rsidRDefault="006C2E16" w:rsidP="001C6BE7">
      <w:pPr>
        <w:pStyle w:val="text"/>
      </w:pPr>
      <w:r w:rsidRPr="000D7F0B">
        <w:t xml:space="preserve">Stephan, CE, Mount, DI, Hansen, DJ, Gentile, JH, Chapman, GA &amp; Brungs, WA 1985, </w:t>
      </w:r>
      <w:r w:rsidRPr="000D7F0B">
        <w:rPr>
          <w:i/>
          <w:iCs/>
        </w:rPr>
        <w:t>Guidelines for deriving numerical national water quality criteria for the protection of aquatic organisms and their uses</w:t>
      </w:r>
      <w:r w:rsidRPr="000D7F0B">
        <w:t>, EPA/PB-85/227049,</w:t>
      </w:r>
      <w:r w:rsidRPr="000D7F0B" w:rsidDel="006D7A42">
        <w:t xml:space="preserve"> </w:t>
      </w:r>
      <w:r w:rsidRPr="000D7F0B">
        <w:t>Washington</w:t>
      </w:r>
      <w:r>
        <w:t>,</w:t>
      </w:r>
      <w:r w:rsidRPr="000D7F0B">
        <w:t xml:space="preserve"> DC, USA. </w:t>
      </w:r>
    </w:p>
    <w:p w:rsidR="006C2E16" w:rsidRPr="000D7F0B" w:rsidRDefault="006C2E16" w:rsidP="001C6BE7">
      <w:pPr>
        <w:pStyle w:val="text"/>
      </w:pPr>
      <w:r w:rsidRPr="000D7F0B">
        <w:t xml:space="preserve">Stevens, DP, McLaughlin, MJ, &amp; Heinrich, T 2003, ‘Determining toxicity of lead and zinc runoff in soils: salinity effects on metal partitioning and on phytotoxicity’, </w:t>
      </w:r>
      <w:r w:rsidRPr="000D7F0B">
        <w:rPr>
          <w:i/>
          <w:iCs/>
        </w:rPr>
        <w:t>Environmental Toxicology Chemistry</w:t>
      </w:r>
      <w:r w:rsidRPr="000D7F0B">
        <w:t>, vol. 22, pp. 3017</w:t>
      </w:r>
      <w:r>
        <w:sym w:font="Symbol" w:char="F02D"/>
      </w:r>
      <w:r w:rsidRPr="000D7F0B">
        <w:t>3024.</w:t>
      </w:r>
    </w:p>
    <w:p w:rsidR="006C2E16" w:rsidRPr="0044399A" w:rsidRDefault="006C2E16" w:rsidP="001C6BE7">
      <w:pPr>
        <w:pStyle w:val="text"/>
      </w:pPr>
      <w:r w:rsidRPr="000D7F0B">
        <w:t xml:space="preserve">Stokes, JD, Paton, GI, Semple, KT 2005, ‘Behaviour and assessment of bioavailability of organic contaminants in soil: relevance for risk assessment and remediation‘, </w:t>
      </w:r>
      <w:r w:rsidRPr="000D7F0B">
        <w:rPr>
          <w:i/>
          <w:iCs/>
        </w:rPr>
        <w:t xml:space="preserve">Soil Use </w:t>
      </w:r>
      <w:r w:rsidRPr="0044399A">
        <w:rPr>
          <w:i/>
          <w:iCs/>
        </w:rPr>
        <w:t>and Management</w:t>
      </w:r>
      <w:r w:rsidRPr="0044399A">
        <w:t>, vol. 21, pp. 475</w:t>
      </w:r>
      <w:r w:rsidRPr="0044399A">
        <w:sym w:font="Symbol" w:char="F02D"/>
      </w:r>
      <w:r w:rsidRPr="0044399A">
        <w:t>486.</w:t>
      </w:r>
    </w:p>
    <w:p w:rsidR="006C2E16" w:rsidRPr="0044399A" w:rsidRDefault="006C2E16" w:rsidP="001C6BE7">
      <w:pPr>
        <w:pStyle w:val="text"/>
      </w:pPr>
      <w:r w:rsidRPr="0044399A">
        <w:rPr>
          <w:lang w:val="nl-NL"/>
        </w:rPr>
        <w:t>Stru</w:t>
      </w:r>
      <w:r>
        <w:rPr>
          <w:lang w:val="nl-NL"/>
        </w:rPr>
        <w:t>ijs, J</w:t>
      </w:r>
      <w:r w:rsidRPr="0044399A">
        <w:rPr>
          <w:lang w:val="nl-NL"/>
        </w:rPr>
        <w:t>, van den Meent, D, Peijnenburg, WJGM, van den Hoop, MAGT &amp; Crommentuijn</w:t>
      </w:r>
      <w:r>
        <w:rPr>
          <w:lang w:val="nl-NL"/>
        </w:rPr>
        <w:t>, T 1997,</w:t>
      </w:r>
      <w:r w:rsidRPr="0044399A">
        <w:rPr>
          <w:lang w:val="nl-NL"/>
        </w:rPr>
        <w:t xml:space="preserve"> </w:t>
      </w:r>
      <w:r>
        <w:rPr>
          <w:lang w:val="nl-NL"/>
        </w:rPr>
        <w:t>‘</w:t>
      </w:r>
      <w:r w:rsidRPr="0044399A">
        <w:t>Added risk approach to derived maximum permissible concentrations of heavy metals: How to take natural background levels into account</w:t>
      </w:r>
      <w:r>
        <w:t>’,</w:t>
      </w:r>
      <w:r w:rsidRPr="0044399A">
        <w:t xml:space="preserve"> </w:t>
      </w:r>
      <w:r w:rsidRPr="0044399A">
        <w:rPr>
          <w:i/>
        </w:rPr>
        <w:t>Ecotoxicology and Environmental Safety</w:t>
      </w:r>
      <w:r>
        <w:t>, vol. 37, pp. 112</w:t>
      </w:r>
      <w:r>
        <w:sym w:font="Symbol" w:char="F02D"/>
      </w:r>
      <w:r w:rsidRPr="0044399A">
        <w:t>118.</w:t>
      </w:r>
    </w:p>
    <w:p w:rsidR="006C2E16" w:rsidRPr="0044399A" w:rsidRDefault="006C2E16" w:rsidP="001C6BE7">
      <w:pPr>
        <w:pStyle w:val="text"/>
      </w:pPr>
      <w:r>
        <w:t>Taylor, RM 1983,</w:t>
      </w:r>
      <w:r w:rsidRPr="0044399A">
        <w:t xml:space="preserve"> </w:t>
      </w:r>
      <w:r w:rsidRPr="0044399A">
        <w:rPr>
          <w:i/>
        </w:rPr>
        <w:t>Soils: An Australian perspective</w:t>
      </w:r>
      <w:r>
        <w:t>, s</w:t>
      </w:r>
      <w:r w:rsidRPr="0044399A">
        <w:t xml:space="preserve">ponsored by the Division of Soils, Commonwelath Scientific and Industrial Research </w:t>
      </w:r>
      <w:r>
        <w:t>Organisation, Australia (CSIRO),</w:t>
      </w:r>
      <w:r w:rsidRPr="0044399A">
        <w:t xml:space="preserve"> Academic Press, London, UK.</w:t>
      </w:r>
    </w:p>
    <w:p w:rsidR="006C2E16" w:rsidRPr="00B90585" w:rsidRDefault="006C2E16" w:rsidP="001C6BE7">
      <w:pPr>
        <w:pStyle w:val="text"/>
        <w:rPr>
          <w:lang w:val="nl-NL"/>
        </w:rPr>
      </w:pPr>
      <w:r>
        <w:t>Traas, TP 2001,</w:t>
      </w:r>
      <w:r w:rsidRPr="0044399A">
        <w:t xml:space="preserve"> </w:t>
      </w:r>
      <w:r w:rsidRPr="0044399A">
        <w:rPr>
          <w:i/>
        </w:rPr>
        <w:t>Guidance document on deriving environmental risk limits</w:t>
      </w:r>
      <w:r>
        <w:rPr>
          <w:i/>
        </w:rPr>
        <w:t>,</w:t>
      </w:r>
      <w:r w:rsidRPr="0044399A">
        <w:t xml:space="preserve"> RIV</w:t>
      </w:r>
      <w:r w:rsidRPr="0044399A">
        <w:rPr>
          <w:lang w:val="nl-NL"/>
        </w:rPr>
        <w:t>M report number 601501 012. Rijks Instituut Voor Volksgezondheid En Milieu, Bilthoven, Netherlands.</w:t>
      </w:r>
    </w:p>
    <w:p w:rsidR="006C2E16" w:rsidRPr="000D7F0B" w:rsidRDefault="006C2E16" w:rsidP="001C6BE7">
      <w:pPr>
        <w:pStyle w:val="text"/>
      </w:pPr>
      <w:r w:rsidRPr="000D7F0B">
        <w:t xml:space="preserve">US EPA 1986, </w:t>
      </w:r>
      <w:r w:rsidRPr="000D7F0B">
        <w:rPr>
          <w:i/>
          <w:iCs/>
        </w:rPr>
        <w:t>Quality criteria for water</w:t>
      </w:r>
      <w:r w:rsidRPr="000D7F0B">
        <w:t>, EPA 440/5-86</w:t>
      </w:r>
      <w:r>
        <w:t>/</w:t>
      </w:r>
      <w:r w:rsidRPr="000D7F0B">
        <w:t>001, US Environmental Protection Agency, US Department of Commerce, Virginia, USA.</w:t>
      </w:r>
    </w:p>
    <w:p w:rsidR="006C2E16" w:rsidRPr="000D7F0B" w:rsidRDefault="006C2E16" w:rsidP="001C6BE7">
      <w:pPr>
        <w:pStyle w:val="text"/>
      </w:pPr>
      <w:r w:rsidRPr="000D7F0B">
        <w:t xml:space="preserve">US EPA 1991, </w:t>
      </w:r>
      <w:r w:rsidRPr="00D02BBD">
        <w:rPr>
          <w:i/>
        </w:rPr>
        <w:t>Technical support document for water quality-based toxics control,</w:t>
      </w:r>
      <w:r w:rsidRPr="000D7F0B">
        <w:t xml:space="preserve"> EPA 505/2-90</w:t>
      </w:r>
      <w:r>
        <w:t>/</w:t>
      </w:r>
      <w:r w:rsidRPr="000D7F0B">
        <w:t>001, US Environmental Protection Agency, US Department of Commerce, Virginia, USA.</w:t>
      </w:r>
    </w:p>
    <w:p w:rsidR="006C2E16" w:rsidRPr="000D7F0B" w:rsidRDefault="006C2E16" w:rsidP="001C6BE7">
      <w:pPr>
        <w:pStyle w:val="text"/>
      </w:pPr>
      <w:r w:rsidRPr="000D7F0B">
        <w:t xml:space="preserve">US EPA 1994, </w:t>
      </w:r>
      <w:r w:rsidRPr="000D7F0B">
        <w:rPr>
          <w:i/>
          <w:iCs/>
        </w:rPr>
        <w:t>AQUIRE (Aquatic toxicity information retrieval),</w:t>
      </w:r>
      <w:r w:rsidRPr="000D7F0B">
        <w:t xml:space="preserve"> Office of Research and Development, National Health and Environmental Effects Research Laboratory, Mid-Contintental Ecology Division, Duluth, Minnesota, USA.</w:t>
      </w:r>
    </w:p>
    <w:p w:rsidR="006C2E16" w:rsidRPr="000D7F0B" w:rsidRDefault="006C2E16" w:rsidP="001C6BE7">
      <w:pPr>
        <w:pStyle w:val="text"/>
      </w:pPr>
      <w:r w:rsidRPr="000D7F0B">
        <w:t xml:space="preserve">US EPA 1996, </w:t>
      </w:r>
      <w:r w:rsidRPr="00D02BBD">
        <w:rPr>
          <w:i/>
        </w:rPr>
        <w:t>Soil screening guidance: technical background,</w:t>
      </w:r>
      <w:r w:rsidRPr="000D7F0B">
        <w:t xml:space="preserve"> EPA/540/R-95/128, US Environmental Protection Agency, US Department of Commerce, Virginia, USA. </w:t>
      </w:r>
    </w:p>
    <w:p w:rsidR="006C2E16" w:rsidRPr="000D7F0B" w:rsidRDefault="006C2E16" w:rsidP="001C6BE7">
      <w:pPr>
        <w:pStyle w:val="text"/>
      </w:pPr>
      <w:r w:rsidRPr="000D7F0B">
        <w:t xml:space="preserve">US EPA 1999, </w:t>
      </w:r>
      <w:r w:rsidRPr="000D7F0B">
        <w:rPr>
          <w:i/>
          <w:iCs/>
        </w:rPr>
        <w:t>Water quality guidance for the Great Lakes system</w:t>
      </w:r>
      <w:r w:rsidRPr="000D7F0B">
        <w:t>, Federal register, 40 CFR, part 142, July 1, US Environmental Protection Agency, US Department of Commerce, Virginia, USA.</w:t>
      </w:r>
    </w:p>
    <w:p w:rsidR="006C2E16" w:rsidRPr="000D7F0B" w:rsidRDefault="006C2E16" w:rsidP="001C6BE7">
      <w:pPr>
        <w:pStyle w:val="text"/>
      </w:pPr>
      <w:r w:rsidRPr="000D7F0B">
        <w:lastRenderedPageBreak/>
        <w:t xml:space="preserve">US EPA 2004, </w:t>
      </w:r>
      <w:r w:rsidRPr="000D7F0B">
        <w:rPr>
          <w:i/>
          <w:iCs/>
        </w:rPr>
        <w:t>Ecotox database</w:t>
      </w:r>
      <w:r w:rsidRPr="000D7F0B">
        <w:t xml:space="preserve">, US Environmental Protection Authority, available online at </w:t>
      </w:r>
      <w:hyperlink r:id="rId39" w:history="1">
        <w:r w:rsidRPr="000D7F0B">
          <w:t>www.epa.gov/ecotox</w:t>
        </w:r>
      </w:hyperlink>
      <w:r w:rsidRPr="000D7F0B">
        <w:t>.</w:t>
      </w:r>
    </w:p>
    <w:p w:rsidR="006C2E16" w:rsidRPr="00974EDD" w:rsidRDefault="006C2E16" w:rsidP="001C6BE7">
      <w:pPr>
        <w:pStyle w:val="text"/>
      </w:pPr>
      <w:r>
        <w:rPr>
          <w:lang w:val="nl-NL"/>
        </w:rPr>
        <w:t>v</w:t>
      </w:r>
      <w:r w:rsidRPr="00505C3D">
        <w:rPr>
          <w:lang w:val="nl-NL"/>
        </w:rPr>
        <w:t>an Beelen, P, Verbruggen, EMJ &amp; Peijnenburg</w:t>
      </w:r>
      <w:r>
        <w:rPr>
          <w:lang w:val="nl-NL"/>
        </w:rPr>
        <w:t>, WJGM 2003,</w:t>
      </w:r>
      <w:r w:rsidRPr="00505C3D">
        <w:rPr>
          <w:lang w:val="nl-NL"/>
        </w:rPr>
        <w:t xml:space="preserve"> </w:t>
      </w:r>
      <w:r>
        <w:rPr>
          <w:lang w:val="nl-NL"/>
        </w:rPr>
        <w:t>‘</w:t>
      </w:r>
      <w:r w:rsidRPr="00505C3D">
        <w:t>The evaluation of the equilibiurm partitioning method using species sensitivity distributions of species in water and soil</w:t>
      </w:r>
      <w:r>
        <w:t>’,</w:t>
      </w:r>
      <w:r w:rsidRPr="00505C3D">
        <w:t xml:space="preserve"> </w:t>
      </w:r>
      <w:r w:rsidRPr="00505C3D">
        <w:rPr>
          <w:i/>
        </w:rPr>
        <w:t>Chemosphere</w:t>
      </w:r>
      <w:r>
        <w:t>, vol. 52, pp. 1153</w:t>
      </w:r>
      <w:r>
        <w:sym w:font="Symbol" w:char="F02D"/>
      </w:r>
      <w:r w:rsidRPr="00505C3D">
        <w:t>1162.</w:t>
      </w:r>
    </w:p>
    <w:p w:rsidR="006C2E16" w:rsidRPr="000D7F0B" w:rsidRDefault="006C2E16" w:rsidP="001C6BE7">
      <w:pPr>
        <w:pStyle w:val="text"/>
      </w:pPr>
      <w:r>
        <w:t>v</w:t>
      </w:r>
      <w:r w:rsidRPr="000D7F0B">
        <w:t xml:space="preserve">an de Plassche, EJ, Polder, MD &amp; Canton, JH 1993, </w:t>
      </w:r>
      <w:r w:rsidRPr="000D7F0B">
        <w:rPr>
          <w:i/>
          <w:iCs/>
        </w:rPr>
        <w:t>Derivation of maximum permissible concentrations for several volatile compounds for water and soil</w:t>
      </w:r>
      <w:r w:rsidRPr="000D7F0B">
        <w:t xml:space="preserve">,  Report no. 679101008, National Institute of Public Health and Environment Protection, Bilthoven, Netherlands. </w:t>
      </w:r>
    </w:p>
    <w:p w:rsidR="006C2E16" w:rsidRPr="000D7F0B" w:rsidRDefault="006C2E16" w:rsidP="001C6BE7">
      <w:pPr>
        <w:pStyle w:val="text"/>
      </w:pPr>
      <w:r>
        <w:t>v</w:t>
      </w:r>
      <w:r w:rsidRPr="000D7F0B">
        <w:t xml:space="preserve">an de Plassche, EJ 1994, </w:t>
      </w:r>
      <w:r w:rsidRPr="000D7F0B">
        <w:rPr>
          <w:i/>
          <w:iCs/>
        </w:rPr>
        <w:t>Towards integrated environmental quality objectives for several compounds with a potential for secondary poisoning</w:t>
      </w:r>
      <w:r w:rsidRPr="000D7F0B">
        <w:t>, Report no. 679101012, National Institute of Public Health and Environment Protection, Bilthoven, Netherlands.</w:t>
      </w:r>
    </w:p>
    <w:p w:rsidR="006C2E16" w:rsidRPr="000D7F0B" w:rsidRDefault="006C2E16" w:rsidP="001C6BE7">
      <w:pPr>
        <w:pStyle w:val="text"/>
      </w:pPr>
      <w:r>
        <w:t>v</w:t>
      </w:r>
      <w:r w:rsidRPr="000D7F0B">
        <w:t xml:space="preserve">an Gestel, CAM, Ma, WC &amp; Smit, CE 1991, ‘Development of QSARs in terrestrial ecotoxicology: earthworm toxicity and soil sorption of cholorophenols, chlorobenzenes and dichloroaniline’, </w:t>
      </w:r>
      <w:r w:rsidRPr="000D7F0B">
        <w:rPr>
          <w:i/>
          <w:iCs/>
        </w:rPr>
        <w:t>Science of the Total Environment</w:t>
      </w:r>
      <w:r w:rsidRPr="000D7F0B">
        <w:t>, vol. 109</w:t>
      </w:r>
      <w:r>
        <w:sym w:font="Symbol" w:char="F02D"/>
      </w:r>
      <w:r w:rsidRPr="000D7F0B">
        <w:t>110, pp. 589</w:t>
      </w:r>
      <w:r>
        <w:sym w:font="Symbol" w:char="F02D"/>
      </w:r>
      <w:r w:rsidRPr="000D7F0B">
        <w:t>604.</w:t>
      </w:r>
    </w:p>
    <w:p w:rsidR="006C2E16" w:rsidRPr="000D7F0B" w:rsidRDefault="006C2E16" w:rsidP="001C6BE7">
      <w:pPr>
        <w:pStyle w:val="text"/>
      </w:pPr>
      <w:r>
        <w:t>v</w:t>
      </w:r>
      <w:r w:rsidRPr="000D7F0B">
        <w:t>an Gestel, CAM 1992, The influence of soil characteristics on the toxicity of chemicals for earthworms: a review, in Becker</w:t>
      </w:r>
      <w:r>
        <w:t>, H</w:t>
      </w:r>
      <w:r w:rsidRPr="000D7F0B">
        <w:t xml:space="preserve"> (ed.), </w:t>
      </w:r>
      <w:r w:rsidRPr="000D7F0B">
        <w:rPr>
          <w:i/>
          <w:iCs/>
        </w:rPr>
        <w:t>Ecotoxicology of earthworms,</w:t>
      </w:r>
      <w:r w:rsidRPr="000D7F0B">
        <w:t xml:space="preserve"> </w:t>
      </w:r>
      <w:r>
        <w:t>pp. 44</w:t>
      </w:r>
      <w:r>
        <w:sym w:font="Symbol" w:char="F02D"/>
      </w:r>
      <w:r w:rsidRPr="000D7F0B">
        <w:t>54</w:t>
      </w:r>
      <w:r>
        <w:t xml:space="preserve">, </w:t>
      </w:r>
      <w:r w:rsidRPr="000D7F0B">
        <w:t xml:space="preserve">Intercept, Andover, UK. </w:t>
      </w:r>
    </w:p>
    <w:p w:rsidR="006C2E16" w:rsidRPr="000D7F0B" w:rsidRDefault="006C2E16" w:rsidP="001C6BE7">
      <w:pPr>
        <w:pStyle w:val="text"/>
      </w:pPr>
      <w:r>
        <w:t>v</w:t>
      </w:r>
      <w:r w:rsidRPr="000D7F0B">
        <w:t xml:space="preserve">an Straalen, NM &amp; Denneman, CAJ 1989, ‘Ecotoxicological evaluation of soil quality criteria’, </w:t>
      </w:r>
      <w:r w:rsidRPr="000D7F0B">
        <w:rPr>
          <w:i/>
          <w:iCs/>
        </w:rPr>
        <w:t>Ecotoxicology Environmental Safety</w:t>
      </w:r>
      <w:r w:rsidRPr="000D7F0B">
        <w:t>, vol. 18, pp. 241</w:t>
      </w:r>
      <w:r>
        <w:sym w:font="Symbol" w:char="F02D"/>
      </w:r>
      <w:r w:rsidRPr="000D7F0B">
        <w:t>251.</w:t>
      </w:r>
    </w:p>
    <w:p w:rsidR="006C2E16" w:rsidRPr="00505C3D" w:rsidRDefault="006C2E16" w:rsidP="001C6BE7">
      <w:pPr>
        <w:pStyle w:val="text"/>
      </w:pPr>
      <w:r>
        <w:rPr>
          <w:lang w:val="nl-NL"/>
        </w:rPr>
        <w:t>v</w:t>
      </w:r>
      <w:r w:rsidRPr="00505C3D">
        <w:rPr>
          <w:lang w:val="nl-NL"/>
        </w:rPr>
        <w:t>an Vlaardingen, PLA &amp; Verbruggen</w:t>
      </w:r>
      <w:r>
        <w:rPr>
          <w:lang w:val="nl-NL"/>
        </w:rPr>
        <w:t>, EMJ 2007,</w:t>
      </w:r>
      <w:r w:rsidRPr="00505C3D">
        <w:rPr>
          <w:lang w:val="nl-NL"/>
        </w:rPr>
        <w:t xml:space="preserve"> </w:t>
      </w:r>
      <w:r w:rsidRPr="00505C3D">
        <w:t>Guidance for the derivation of environmental risk limits within the framework of the project “Inter</w:t>
      </w:r>
      <w:r>
        <w:t>national and National Environme</w:t>
      </w:r>
      <w:r w:rsidRPr="00505C3D">
        <w:t>n</w:t>
      </w:r>
      <w:r>
        <w:t>t</w:t>
      </w:r>
      <w:r w:rsidRPr="00505C3D">
        <w:t>al Quality Standards in the Netherlands”</w:t>
      </w:r>
      <w:r>
        <w:t>, RIVM report number 601501 031,</w:t>
      </w:r>
      <w:r w:rsidRPr="00505C3D">
        <w:t xml:space="preserve"> National Institute for Public Health and the Environment (RI</w:t>
      </w:r>
      <w:r>
        <w:t xml:space="preserve">VM), Bilthoven, </w:t>
      </w:r>
      <w:r w:rsidRPr="00505C3D">
        <w:t xml:space="preserve">Netherlands. </w:t>
      </w:r>
    </w:p>
    <w:p w:rsidR="006C2E16" w:rsidRDefault="006C2E16" w:rsidP="001C6BE7">
      <w:pPr>
        <w:pStyle w:val="text"/>
      </w:pPr>
      <w:r w:rsidRPr="00505C3D">
        <w:t xml:space="preserve">Vijver, M, Jager, T, Posthuma, L, &amp; Peijnenburg, W 2001, ‘Impact of metal pools and soil properties on metal accumulation in </w:t>
      </w:r>
      <w:r w:rsidRPr="00505C3D">
        <w:rPr>
          <w:i/>
          <w:iCs/>
        </w:rPr>
        <w:t>Folsomia candida</w:t>
      </w:r>
      <w:r w:rsidRPr="00505C3D">
        <w:t xml:space="preserve"> (Collembola), </w:t>
      </w:r>
      <w:r w:rsidRPr="00505C3D">
        <w:rPr>
          <w:i/>
          <w:iCs/>
        </w:rPr>
        <w:t>Environmental Toxicology and Chemistry</w:t>
      </w:r>
      <w:r w:rsidRPr="00505C3D">
        <w:t>, vol. 20, pp. 712–720.</w:t>
      </w:r>
    </w:p>
    <w:p w:rsidR="006C2E16" w:rsidRPr="000D7F0B" w:rsidRDefault="006C2E16" w:rsidP="001C6BE7">
      <w:pPr>
        <w:pStyle w:val="text"/>
      </w:pPr>
      <w:r w:rsidRPr="000D7F0B">
        <w:t>VLAREBO 2008, Flemish soil remediation decree, Vlaams Reglement Bodemsanering ratified 14 December 2007, published 22 April.</w:t>
      </w:r>
    </w:p>
    <w:p w:rsidR="006C2E16" w:rsidRPr="000D7F0B" w:rsidRDefault="006C2E16" w:rsidP="001C6BE7">
      <w:pPr>
        <w:pStyle w:val="text"/>
      </w:pPr>
      <w:r w:rsidRPr="000D7F0B">
        <w:t xml:space="preserve">VROM 2000, </w:t>
      </w:r>
      <w:r w:rsidRPr="000D7F0B">
        <w:rPr>
          <w:i/>
          <w:iCs/>
        </w:rPr>
        <w:t>Circular on target values and intervention values for soil remediation</w:t>
      </w:r>
      <w:r w:rsidRPr="000D7F0B">
        <w:t xml:space="preserve">, reference DBO/1999226863, Ministry of Housing, Spatial Planning and the Environment, Bilthoven, Netherlands. </w:t>
      </w:r>
    </w:p>
    <w:p w:rsidR="006C2E16" w:rsidRPr="000D7F0B" w:rsidRDefault="006C2E16" w:rsidP="001C6BE7">
      <w:pPr>
        <w:pStyle w:val="text"/>
      </w:pPr>
      <w:r w:rsidRPr="000D7F0B">
        <w:t xml:space="preserve">Wagner, C &amp; Løkke, H 1991, ‘Estimation of ecotoxicology protection levels from NOEC toxicity data’, </w:t>
      </w:r>
      <w:r w:rsidRPr="000D7F0B">
        <w:rPr>
          <w:i/>
          <w:iCs/>
        </w:rPr>
        <w:t>Water Research</w:t>
      </w:r>
      <w:r w:rsidRPr="000D7F0B">
        <w:t>, vol. 25, pp. 1237</w:t>
      </w:r>
      <w:r>
        <w:sym w:font="Symbol" w:char="F02D"/>
      </w:r>
      <w:r w:rsidRPr="000D7F0B">
        <w:t>1242.</w:t>
      </w:r>
    </w:p>
    <w:p w:rsidR="006C2E16" w:rsidRPr="000D7F0B" w:rsidRDefault="006C2E16" w:rsidP="001C6BE7">
      <w:pPr>
        <w:pStyle w:val="text"/>
      </w:pPr>
      <w:r w:rsidRPr="000D7F0B">
        <w:t xml:space="preserve">Warne, MStJ 1996, ‘The theory and practice of extrapolation techniques to derive environmental quality criteria: the Dutch approach‘, in </w:t>
      </w:r>
      <w:r w:rsidRPr="000D7F0B">
        <w:rPr>
          <w:i/>
          <w:iCs/>
        </w:rPr>
        <w:t>Proceedings of the third national workshop on the health risk assessment and management of contaminated sites</w:t>
      </w:r>
      <w:r w:rsidRPr="000D7F0B">
        <w:t>, pp. 402</w:t>
      </w:r>
      <w:r>
        <w:sym w:font="Symbol" w:char="F02D"/>
      </w:r>
      <w:r w:rsidRPr="000D7F0B">
        <w:t>416.</w:t>
      </w:r>
    </w:p>
    <w:p w:rsidR="006C2E16" w:rsidRPr="000D7F0B" w:rsidRDefault="006C2E16" w:rsidP="001C6BE7">
      <w:pPr>
        <w:pStyle w:val="text"/>
      </w:pPr>
      <w:r w:rsidRPr="000D7F0B">
        <w:t xml:space="preserve">Warne, MStJ 1998, ‘Critical review of methods to derive water quality guidelines for toxicants and a proposal for a new framework’, </w:t>
      </w:r>
      <w:r w:rsidRPr="000D7F0B">
        <w:rPr>
          <w:i/>
          <w:iCs/>
        </w:rPr>
        <w:t>Supervising Scientist Report 135</w:t>
      </w:r>
      <w:r w:rsidRPr="000D7F0B">
        <w:t xml:space="preserve">, Supervising Scientist, Canberra, Australia. </w:t>
      </w:r>
    </w:p>
    <w:p w:rsidR="006C2E16" w:rsidRPr="000D7F0B" w:rsidRDefault="006C2E16" w:rsidP="001C6BE7">
      <w:pPr>
        <w:pStyle w:val="text"/>
      </w:pPr>
      <w:r w:rsidRPr="000D7F0B">
        <w:lastRenderedPageBreak/>
        <w:t xml:space="preserve">Warne, MStJ, Westbury, A-M &amp; Sunderam, RIM 1998, ‘A compilation of data on the toxicity of chemicals to species in Australasia, part 1: pesticides’, </w:t>
      </w:r>
      <w:r w:rsidRPr="000D7F0B">
        <w:rPr>
          <w:i/>
          <w:iCs/>
        </w:rPr>
        <w:t>Australasian Journal of Ecotoxicology</w:t>
      </w:r>
      <w:r w:rsidRPr="000D7F0B">
        <w:t>, vol. 4, pp. 93</w:t>
      </w:r>
      <w:r>
        <w:sym w:font="Symbol" w:char="F02D"/>
      </w:r>
      <w:r w:rsidRPr="000D7F0B">
        <w:t>144.</w:t>
      </w:r>
    </w:p>
    <w:p w:rsidR="006C2E16" w:rsidRPr="000D7F0B" w:rsidRDefault="006C2E16" w:rsidP="001C6BE7">
      <w:pPr>
        <w:pStyle w:val="text"/>
      </w:pPr>
      <w:r w:rsidRPr="000D7F0B">
        <w:t xml:space="preserve">Warne, MStJ, Westbury, A-M 1999, ‘A compilation of toxicity data for chemicals to Australasian species, part II: organic chemicals’, </w:t>
      </w:r>
      <w:r w:rsidRPr="000D7F0B">
        <w:rPr>
          <w:i/>
          <w:iCs/>
        </w:rPr>
        <w:t>Australasian Journal of Ecotoxicology</w:t>
      </w:r>
      <w:r w:rsidRPr="000D7F0B">
        <w:t>, vol. 5, pp. 21</w:t>
      </w:r>
      <w:r>
        <w:sym w:font="Symbol" w:char="F02D"/>
      </w:r>
      <w:r w:rsidRPr="000D7F0B">
        <w:t>85.</w:t>
      </w:r>
    </w:p>
    <w:p w:rsidR="006C2E16" w:rsidRPr="000D7F0B" w:rsidRDefault="006C2E16" w:rsidP="001C6BE7">
      <w:pPr>
        <w:pStyle w:val="text"/>
      </w:pPr>
      <w:r w:rsidRPr="000D7F0B">
        <w:t>Warne, MStJ 2001</w:t>
      </w:r>
      <w:r>
        <w:t>,</w:t>
      </w:r>
      <w:r w:rsidRPr="000D7F0B">
        <w:t xml:space="preserve"> ‘Derivation of the ANZECC and ARMCANZ water quality guidelines for toxicants, </w:t>
      </w:r>
      <w:r w:rsidRPr="000D7F0B">
        <w:rPr>
          <w:i/>
          <w:iCs/>
        </w:rPr>
        <w:t>Australasian Journal of Ecotoxicology</w:t>
      </w:r>
      <w:r w:rsidRPr="000D7F0B">
        <w:t>, vol.7, pp. 123</w:t>
      </w:r>
      <w:r>
        <w:sym w:font="Symbol" w:char="F02D"/>
      </w:r>
      <w:r w:rsidRPr="000D7F0B">
        <w:t>136.</w:t>
      </w:r>
    </w:p>
    <w:p w:rsidR="006C2E16" w:rsidRPr="000D7F0B" w:rsidRDefault="006C2E16" w:rsidP="001C6BE7">
      <w:pPr>
        <w:pStyle w:val="text"/>
      </w:pPr>
      <w:r w:rsidRPr="000D7F0B">
        <w:t>Warne, MStJ, Palmer, CG &amp; Muller, WJ, 2004</w:t>
      </w:r>
      <w:r>
        <w:t>a</w:t>
      </w:r>
      <w:r w:rsidRPr="000D7F0B">
        <w:t xml:space="preserve">, Water quality guideline development programme (WQGD), development of pilot guidelines for selected organic toxicants/toxicity effects,I. Protocol for aquatic ecosystem guideline development,  Client report to the South African Department of Department of Water Affairs and Forestry. </w:t>
      </w:r>
    </w:p>
    <w:p w:rsidR="006C2E16" w:rsidRPr="000D7F0B" w:rsidRDefault="006C2E16" w:rsidP="001C6BE7">
      <w:pPr>
        <w:pStyle w:val="text"/>
      </w:pPr>
      <w:r w:rsidRPr="000D7F0B">
        <w:t>Warne, MStJ, Palmer, CG &amp; Muller, WJ, 2004</w:t>
      </w:r>
      <w:r>
        <w:t>b</w:t>
      </w:r>
      <w:r w:rsidRPr="000D7F0B">
        <w:t xml:space="preserve">, Water quality guideline development programme (WQGD), development of pilot guidelines for selected organic toxicants/toxicity effects, II. Protocol application to DDT, Client report to the South African Department of Department of Water Affairs and Forestry. </w:t>
      </w:r>
    </w:p>
    <w:p w:rsidR="006C2E16" w:rsidRPr="000D7F0B" w:rsidRDefault="006C2E16" w:rsidP="001C6BE7">
      <w:pPr>
        <w:pStyle w:val="text"/>
      </w:pPr>
      <w:r w:rsidRPr="000D7F0B">
        <w:t xml:space="preserve">Warne, MStJ, McLaughlin, MJ, Heemsbergen, DA, Bell, M, Broos, K, Whatmuff, M et al. 2007, </w:t>
      </w:r>
      <w:r w:rsidRPr="000D7F0B">
        <w:rPr>
          <w:i/>
          <w:iCs/>
        </w:rPr>
        <w:t>Draft position paper: recommendations of the Australian national biosolids research program on biosolids guidelines</w:t>
      </w:r>
      <w:r w:rsidRPr="000D7F0B">
        <w:t xml:space="preserve">, </w:t>
      </w:r>
      <w:r w:rsidRPr="000D7F0B">
        <w:rPr>
          <w:color w:val="000000"/>
        </w:rPr>
        <w:t>Adelaide, South Australia, available online at http://www.clw.csiro.au/research/biogeochemistry/organics/biosolids/positionpaper.html.</w:t>
      </w:r>
    </w:p>
    <w:p w:rsidR="006C2E16" w:rsidRPr="000D7F0B" w:rsidRDefault="006C2E16" w:rsidP="001C6BE7">
      <w:pPr>
        <w:pStyle w:val="text"/>
      </w:pPr>
      <w:r w:rsidRPr="000D7F0B">
        <w:t xml:space="preserve">Warne, MStJ &amp; Van Dam, R 2008, ‘NOEC and LOEC data should no longer be generated or used’, </w:t>
      </w:r>
      <w:r w:rsidRPr="000D7F0B">
        <w:rPr>
          <w:i/>
          <w:iCs/>
        </w:rPr>
        <w:t>Australasian Journal of Ecotoxicology</w:t>
      </w:r>
      <w:r w:rsidRPr="000D7F0B">
        <w:t>,  vol. 14, no. 1, pp. 1</w:t>
      </w:r>
      <w:r>
        <w:sym w:font="Symbol" w:char="F02D"/>
      </w:r>
      <w:r w:rsidRPr="000D7F0B">
        <w:t>5.</w:t>
      </w:r>
    </w:p>
    <w:p w:rsidR="006C2E16" w:rsidRPr="000D7F0B" w:rsidRDefault="006C2E16" w:rsidP="001C6BE7">
      <w:pPr>
        <w:pStyle w:val="text"/>
      </w:pPr>
      <w:r w:rsidRPr="000D7F0B">
        <w:t xml:space="preserve">Warne, MStJ, Heemsbergen, DA, Stevens, D, McLaughlin, MJ, Cozens, G, Whatmuff, M et al. 2008a, ‘Modelling the toxicity of Cu and Zn salts to wheat in fourteen soils’, </w:t>
      </w:r>
      <w:r w:rsidRPr="000D7F0B">
        <w:rPr>
          <w:i/>
          <w:iCs/>
        </w:rPr>
        <w:t>Environmental Toxicology and Chemistry</w:t>
      </w:r>
      <w:r w:rsidRPr="000D7F0B">
        <w:t>, vol. 27, pp. 786</w:t>
      </w:r>
      <w:r>
        <w:sym w:font="Symbol" w:char="F02D"/>
      </w:r>
      <w:r w:rsidRPr="000D7F0B">
        <w:t>792.</w:t>
      </w:r>
    </w:p>
    <w:p w:rsidR="006C2E16" w:rsidRPr="000D7F0B" w:rsidRDefault="006C2E16" w:rsidP="001C6BE7">
      <w:pPr>
        <w:pStyle w:val="text"/>
      </w:pPr>
      <w:r w:rsidRPr="000D7F0B">
        <w:t xml:space="preserve">Warne, MStJ, Heemsbergen, DA, McLaughlin, MJ, Bell, M, Broos, K, Whatmuff, M, Barry, G, Nash, D, Pritchard, D &amp; Penney, N 2008b, ‘Models for the field-based toxicity of copper and zinc salts to wheat in eleven Australian soils and comparison to laboratory-based models’, </w:t>
      </w:r>
      <w:r w:rsidRPr="000D7F0B">
        <w:rPr>
          <w:i/>
          <w:iCs/>
        </w:rPr>
        <w:t>Environmental Pollution</w:t>
      </w:r>
      <w:r w:rsidRPr="000D7F0B">
        <w:t>, vol. 156, no. 3, pp. 707</w:t>
      </w:r>
      <w:r>
        <w:sym w:font="Symbol" w:char="F02D"/>
      </w:r>
      <w:r w:rsidRPr="000D7F0B">
        <w:t xml:space="preserve">714. </w:t>
      </w:r>
    </w:p>
    <w:p w:rsidR="006C2E16" w:rsidRPr="000D7F0B" w:rsidRDefault="006C2E16" w:rsidP="001C6BE7">
      <w:pPr>
        <w:pStyle w:val="text"/>
      </w:pPr>
      <w:r w:rsidRPr="000D7F0B">
        <w:t xml:space="preserve">Westbury, A-M, Warne, MStJ &amp; Lim, RP 2004, ‘Toxicity of substituted phenols to </w:t>
      </w:r>
      <w:r w:rsidRPr="00C23B49">
        <w:rPr>
          <w:i/>
        </w:rPr>
        <w:t>Ceriodaphnia cf. dubia</w:t>
      </w:r>
      <w:r w:rsidRPr="000D7F0B">
        <w:t xml:space="preserve"> and </w:t>
      </w:r>
      <w:r w:rsidRPr="00C23B49">
        <w:rPr>
          <w:i/>
        </w:rPr>
        <w:t>Vibrio fischeri</w:t>
      </w:r>
      <w:r w:rsidRPr="000D7F0B">
        <w:t xml:space="preserve"> and the development of predictive models’, </w:t>
      </w:r>
      <w:r w:rsidRPr="000D7F0B">
        <w:rPr>
          <w:i/>
          <w:iCs/>
        </w:rPr>
        <w:t>Australasian Journal of Ecotoxicology</w:t>
      </w:r>
      <w:r w:rsidRPr="000D7F0B">
        <w:t>, vol. 10, pp. 33</w:t>
      </w:r>
      <w:r>
        <w:sym w:font="Symbol" w:char="F02D"/>
      </w:r>
      <w:r w:rsidRPr="000D7F0B">
        <w:t>42.</w:t>
      </w:r>
    </w:p>
    <w:p w:rsidR="006C2E16" w:rsidRPr="000D7F0B" w:rsidRDefault="006C2E16" w:rsidP="001C6BE7">
      <w:pPr>
        <w:pStyle w:val="text"/>
      </w:pPr>
      <w:r w:rsidRPr="000D7F0B">
        <w:t xml:space="preserve">Wheeler, JR, Grist, EPM, Leung, KMY, Morritt, D &amp; Crane, M 2002, ‘Species sensitivity distributions: data and model choice‘, </w:t>
      </w:r>
      <w:r w:rsidRPr="000D7F0B">
        <w:rPr>
          <w:i/>
          <w:iCs/>
        </w:rPr>
        <w:t>Marine Pollution Bulletin</w:t>
      </w:r>
      <w:r w:rsidRPr="000D7F0B">
        <w:t>, vol. 45, pp.192</w:t>
      </w:r>
      <w:r>
        <w:sym w:font="Symbol" w:char="F02D"/>
      </w:r>
      <w:r w:rsidRPr="000D7F0B">
        <w:t>202.</w:t>
      </w:r>
    </w:p>
    <w:p w:rsidR="006C2E16" w:rsidRPr="000D7F0B" w:rsidRDefault="006C2E16" w:rsidP="001C6BE7">
      <w:pPr>
        <w:pStyle w:val="text"/>
      </w:pPr>
      <w:r w:rsidRPr="000D7F0B">
        <w:t xml:space="preserve">Wilson, SC, Duarte-Davidson, R &amp; Jones, KC 1996, ‘Screening the environmental fate of organic contaminants in sewage sludges applied to agricultural soils: 1. the potential for downward movement to groundwaters’, </w:t>
      </w:r>
      <w:r w:rsidRPr="000D7F0B">
        <w:rPr>
          <w:i/>
          <w:iCs/>
        </w:rPr>
        <w:t>Science of the Total Environment</w:t>
      </w:r>
      <w:r w:rsidRPr="000D7F0B">
        <w:t>, vol. 185, pp. 45</w:t>
      </w:r>
      <w:r>
        <w:sym w:font="Symbol" w:char="F02D"/>
      </w:r>
      <w:r w:rsidRPr="000D7F0B">
        <w:t>57.</w:t>
      </w:r>
    </w:p>
    <w:p w:rsidR="006C2E16" w:rsidRPr="000D7F0B" w:rsidRDefault="006C2E16" w:rsidP="001C6BE7">
      <w:pPr>
        <w:pStyle w:val="text"/>
      </w:pPr>
      <w:r w:rsidRPr="000D7F0B">
        <w:t xml:space="preserve">Zhao, F-J, Rooney, CP, Zhang, H &amp; McGrath, SP 2006, ‘Comparison of soil solution speciation and diffusive gradients in thin films measurement as an indicator of copper bioavailability to plants’, </w:t>
      </w:r>
      <w:r w:rsidRPr="000D7F0B">
        <w:rPr>
          <w:i/>
          <w:iCs/>
        </w:rPr>
        <w:t>Environmental Toxicology and Chemistry</w:t>
      </w:r>
      <w:r w:rsidRPr="000D7F0B">
        <w:t>, vol. 25, pp. 733</w:t>
      </w:r>
      <w:r>
        <w:sym w:font="Symbol" w:char="F02D"/>
      </w:r>
      <w:r w:rsidRPr="000D7F0B">
        <w:t>742.</w:t>
      </w:r>
    </w:p>
    <w:p w:rsidR="006C2E16" w:rsidRDefault="006C2E16" w:rsidP="001C6BE7">
      <w:pPr>
        <w:pStyle w:val="text"/>
      </w:pPr>
      <w:r w:rsidRPr="000D7F0B">
        <w:lastRenderedPageBreak/>
        <w:t xml:space="preserve">Zhao, FJ, McGrath, SP &amp; Merrington, G, 2007, ‘Estimates of ambient background concentrations of trace metals in soils for risk assessment’, </w:t>
      </w:r>
      <w:r w:rsidRPr="000D7F0B">
        <w:rPr>
          <w:i/>
          <w:iCs/>
        </w:rPr>
        <w:t>Environmental Pollution</w:t>
      </w:r>
      <w:r w:rsidRPr="000D7F0B">
        <w:t>, vol. 148, pp. 221</w:t>
      </w:r>
      <w:r>
        <w:sym w:font="Symbol" w:char="F02D"/>
      </w:r>
      <w:r w:rsidRPr="000D7F0B">
        <w:t>229.</w:t>
      </w:r>
    </w:p>
    <w:p w:rsidR="006C2E16" w:rsidRDefault="006C2E16" w:rsidP="001C6BE7">
      <w:pPr>
        <w:pStyle w:val="text"/>
      </w:pPr>
    </w:p>
    <w:p w:rsidR="006C2E16" w:rsidRPr="004A651A" w:rsidRDefault="006C2E16" w:rsidP="006C2E16">
      <w:pPr>
        <w:rPr>
          <w:b/>
        </w:rPr>
      </w:pPr>
      <w:r w:rsidRPr="004A651A">
        <w:rPr>
          <w:b/>
        </w:rPr>
        <w:t>Further Reading</w:t>
      </w:r>
    </w:p>
    <w:p w:rsidR="006C2E16" w:rsidRPr="000D7F0B" w:rsidRDefault="006C2E16" w:rsidP="001C6BE7">
      <w:pPr>
        <w:pStyle w:val="text"/>
      </w:pPr>
      <w:r w:rsidRPr="000D7F0B">
        <w:t xml:space="preserve">ANZECC &amp; NHMRC 1992, </w:t>
      </w:r>
      <w:r w:rsidRPr="000D7F0B">
        <w:rPr>
          <w:i/>
          <w:iCs/>
        </w:rPr>
        <w:t>Australian and New Zealand guidelines for the assessment and management of contaminated sites</w:t>
      </w:r>
      <w:r w:rsidRPr="000D7F0B">
        <w:t>, Australian and New Zealand Environment and Conservation Council &amp; National Health and Medical Research Council</w:t>
      </w:r>
      <w:r>
        <w:t xml:space="preserve">. </w:t>
      </w:r>
    </w:p>
    <w:p w:rsidR="006C2E16" w:rsidRPr="000D7F0B" w:rsidRDefault="006C2E16" w:rsidP="001C6BE7">
      <w:pPr>
        <w:pStyle w:val="text"/>
      </w:pPr>
      <w:r w:rsidRPr="000D7F0B">
        <w:t>Bakker, J, B</w:t>
      </w:r>
      <w:r>
        <w:t>randes, LJ, Den Hollander, HA, v</w:t>
      </w:r>
      <w:r w:rsidRPr="000D7F0B">
        <w:t xml:space="preserve">an de Meent, D &amp; Struijs, J 2003, </w:t>
      </w:r>
      <w:r w:rsidRPr="000D7F0B">
        <w:rPr>
          <w:i/>
          <w:iCs/>
        </w:rPr>
        <w:t>Validating simple box-computed steady-state concentration ratios</w:t>
      </w:r>
      <w:r w:rsidRPr="000D7F0B">
        <w:t>, Report no. 607220010/2003, National Institute of Public Health and Environmental Protection, Bilthoven, Netherlands.</w:t>
      </w:r>
    </w:p>
    <w:p w:rsidR="006C2E16" w:rsidRPr="000D7F0B" w:rsidRDefault="006C2E16" w:rsidP="001C6BE7">
      <w:pPr>
        <w:pStyle w:val="text"/>
      </w:pPr>
      <w:r w:rsidRPr="000D7F0B">
        <w:t>Checkai, RT, Corey, RB &amp; Helmke, PA 1987</w:t>
      </w:r>
      <w:r>
        <w:t>,</w:t>
      </w:r>
      <w:r w:rsidRPr="000D7F0B">
        <w:t xml:space="preserve"> ‘Effects of ionic and complexed metal concentrations on plant uptake of cadmium and micronutrient metals from solution’, </w:t>
      </w:r>
      <w:r w:rsidRPr="000D7F0B">
        <w:rPr>
          <w:i/>
          <w:iCs/>
        </w:rPr>
        <w:t>Plant and Soil</w:t>
      </w:r>
      <w:r w:rsidRPr="000D7F0B">
        <w:t>, vol. 99, pp. 335</w:t>
      </w:r>
      <w:r>
        <w:sym w:font="Symbol" w:char="F02D"/>
      </w:r>
      <w:r w:rsidRPr="000D7F0B">
        <w:t>345.</w:t>
      </w:r>
    </w:p>
    <w:p w:rsidR="006C2E16" w:rsidRPr="000D7F0B" w:rsidRDefault="006C2E16" w:rsidP="001C6BE7">
      <w:pPr>
        <w:pStyle w:val="text"/>
      </w:pPr>
      <w:r w:rsidRPr="000D7F0B">
        <w:t xml:space="preserve">DPIWE 1999, </w:t>
      </w:r>
      <w:r w:rsidRPr="000D7F0B">
        <w:rPr>
          <w:i/>
          <w:iCs/>
        </w:rPr>
        <w:t>Tasmanian biosolids re</w:t>
      </w:r>
      <w:r>
        <w:rPr>
          <w:i/>
          <w:iCs/>
        </w:rPr>
        <w:t>-</w:t>
      </w:r>
      <w:r w:rsidRPr="000D7F0B">
        <w:rPr>
          <w:i/>
          <w:iCs/>
        </w:rPr>
        <w:t>use guidelines</w:t>
      </w:r>
      <w:r w:rsidRPr="000D7F0B">
        <w:t>, Department of Primary Industry, Water and Environment, Hobart, Tasmania, Australia.</w:t>
      </w:r>
    </w:p>
    <w:p w:rsidR="006C2E16" w:rsidRPr="000D7F0B" w:rsidRDefault="006C2E16" w:rsidP="001C6BE7">
      <w:pPr>
        <w:pStyle w:val="text"/>
      </w:pPr>
      <w:r w:rsidRPr="000D7F0B">
        <w:t>EPA Vic 2004, Guidelines for environmental management, biosolids land application, Publication 943, Environmental Protection Agency Victoria, Melbourne, Australia.</w:t>
      </w:r>
    </w:p>
    <w:p w:rsidR="006C2E16" w:rsidRPr="000D7F0B" w:rsidRDefault="006C2E16" w:rsidP="001C6BE7">
      <w:pPr>
        <w:pStyle w:val="text"/>
      </w:pPr>
      <w:r w:rsidRPr="000D7F0B">
        <w:t xml:space="preserve">Kefford, BJ, Palmer, CG, Jooste, S, Warne, MStJ &amp; Nugegoda, D 2005, ‘What is meant by 95% of species? An argument for the inclusion of rapid tolerance testing‘, </w:t>
      </w:r>
      <w:r w:rsidRPr="000D7F0B">
        <w:rPr>
          <w:i/>
          <w:iCs/>
        </w:rPr>
        <w:t>Human and Ecological Risk Assessment</w:t>
      </w:r>
      <w:r w:rsidRPr="000D7F0B">
        <w:t>, vol. 11, pp. 1025</w:t>
      </w:r>
      <w:r>
        <w:sym w:font="Symbol" w:char="F02D"/>
      </w:r>
      <w:r w:rsidRPr="000D7F0B">
        <w:t>1046.</w:t>
      </w:r>
    </w:p>
    <w:p w:rsidR="006C2E16" w:rsidRPr="000D7F0B" w:rsidRDefault="006C2E16" w:rsidP="001C6BE7">
      <w:pPr>
        <w:pStyle w:val="text"/>
      </w:pPr>
      <w:r w:rsidRPr="000D7F0B">
        <w:t xml:space="preserve">Laurie, SH &amp; Manthey, JA 1994, ‘The chemistry and role of metal ion chelation in plant uptake processes‘, in Manthey, </w:t>
      </w:r>
      <w:r>
        <w:t xml:space="preserve">JA, </w:t>
      </w:r>
      <w:r w:rsidRPr="000D7F0B">
        <w:t>Crowley</w:t>
      </w:r>
      <w:r>
        <w:t>, DE</w:t>
      </w:r>
      <w:r w:rsidRPr="000D7F0B">
        <w:t xml:space="preserve"> &amp; Luster</w:t>
      </w:r>
      <w:r>
        <w:t>, DG</w:t>
      </w:r>
      <w:r w:rsidRPr="000D7F0B">
        <w:t xml:space="preserve"> (eds), </w:t>
      </w:r>
      <w:r w:rsidRPr="000D7F0B">
        <w:rPr>
          <w:i/>
          <w:iCs/>
        </w:rPr>
        <w:t>Biochemistry of metal micronutrients in the rhizos</w:t>
      </w:r>
      <w:r>
        <w:rPr>
          <w:i/>
          <w:iCs/>
        </w:rPr>
        <w:t>h</w:t>
      </w:r>
      <w:r w:rsidRPr="000D7F0B">
        <w:rPr>
          <w:i/>
          <w:iCs/>
        </w:rPr>
        <w:t>pere</w:t>
      </w:r>
      <w:r w:rsidRPr="000D7F0B">
        <w:t xml:space="preserve">, </w:t>
      </w:r>
      <w:r>
        <w:t>pp. 165</w:t>
      </w:r>
      <w:r>
        <w:sym w:font="Symbol" w:char="F02D"/>
      </w:r>
      <w:r w:rsidRPr="000D7F0B">
        <w:t>182</w:t>
      </w:r>
      <w:r>
        <w:t xml:space="preserve">, </w:t>
      </w:r>
      <w:r w:rsidRPr="000D7F0B">
        <w:t>Lewis Publishers,</w:t>
      </w:r>
      <w:r w:rsidRPr="000D7F0B" w:rsidDel="00083B03">
        <w:t xml:space="preserve"> </w:t>
      </w:r>
      <w:r w:rsidRPr="000D7F0B">
        <w:t xml:space="preserve">Boca Raton, Florida, USA. </w:t>
      </w:r>
    </w:p>
    <w:p w:rsidR="006C2E16" w:rsidRPr="000D7F0B" w:rsidRDefault="006C2E16" w:rsidP="001C6BE7">
      <w:pPr>
        <w:pStyle w:val="text"/>
      </w:pPr>
      <w:r w:rsidRPr="000D7F0B">
        <w:t xml:space="preserve">Ministry for the Environment 2003, Contaminated land management guidelines no. 2, Hierarchy and application in New Zealand of environmental guideline values, </w:t>
      </w:r>
      <w:r>
        <w:t xml:space="preserve">Ministry for the Environment, </w:t>
      </w:r>
      <w:r w:rsidRPr="000D7F0B">
        <w:t>Wellington, New Zealand.</w:t>
      </w:r>
    </w:p>
    <w:p w:rsidR="006C2E16" w:rsidRPr="000D7F0B" w:rsidRDefault="006C2E16" w:rsidP="001C6BE7">
      <w:pPr>
        <w:pStyle w:val="text"/>
      </w:pPr>
      <w:r w:rsidRPr="000D7F0B">
        <w:t xml:space="preserve">Minnich, MM, McBride, MB &amp; Chaney, RL 1987, ‘Copper activity in soil solution: 2, relation to copper accumulation in young snapbeans’, </w:t>
      </w:r>
      <w:r w:rsidRPr="000D7F0B">
        <w:rPr>
          <w:i/>
          <w:iCs/>
        </w:rPr>
        <w:t>Soil Science Society of America Journal</w:t>
      </w:r>
      <w:r w:rsidRPr="000D7F0B">
        <w:t>, vol. 51, pp. 573</w:t>
      </w:r>
      <w:r>
        <w:sym w:font="Symbol" w:char="F02D"/>
      </w:r>
      <w:r w:rsidRPr="000D7F0B">
        <w:t>578.</w:t>
      </w:r>
    </w:p>
    <w:p w:rsidR="006C2E16" w:rsidRPr="000D7F0B" w:rsidRDefault="006C2E16" w:rsidP="001C6BE7">
      <w:pPr>
        <w:pStyle w:val="text"/>
      </w:pPr>
      <w:r w:rsidRPr="000D7F0B">
        <w:t>Nan, Z, Zhao, C, Li, J, Chen, F &amp; Sun, W 2002</w:t>
      </w:r>
      <w:r>
        <w:t>,</w:t>
      </w:r>
      <w:r w:rsidRPr="000D7F0B">
        <w:t xml:space="preserve"> ‘Relations between soil characteristics and selected heavy metal concentrations in spring wheat (</w:t>
      </w:r>
      <w:r w:rsidRPr="00C23B49">
        <w:rPr>
          <w:i/>
        </w:rPr>
        <w:t>Triticum aestivum L</w:t>
      </w:r>
      <w:r w:rsidRPr="000D7F0B">
        <w:t xml:space="preserve">.) grown in contaminated soils‘, </w:t>
      </w:r>
      <w:r w:rsidRPr="000D7F0B">
        <w:rPr>
          <w:i/>
          <w:iCs/>
        </w:rPr>
        <w:t>Water Air and Soil Pollution</w:t>
      </w:r>
      <w:r w:rsidRPr="000D7F0B">
        <w:t>, vol. 133, pp. 205</w:t>
      </w:r>
      <w:r>
        <w:sym w:font="Symbol" w:char="F02D"/>
      </w:r>
      <w:r w:rsidRPr="000D7F0B">
        <w:t>213.</w:t>
      </w:r>
    </w:p>
    <w:p w:rsidR="006C2E16" w:rsidRPr="000D7F0B" w:rsidRDefault="006C2E16" w:rsidP="001C6BE7">
      <w:pPr>
        <w:pStyle w:val="text"/>
      </w:pPr>
      <w:r w:rsidRPr="000D7F0B">
        <w:t xml:space="preserve">NRMCC 2004, </w:t>
      </w:r>
      <w:r w:rsidRPr="000D7F0B">
        <w:rPr>
          <w:i/>
          <w:iCs/>
        </w:rPr>
        <w:t>Guidelines for sewerage systems – biosolids management</w:t>
      </w:r>
      <w:r w:rsidRPr="000D7F0B">
        <w:t>, National water quality management strategy, Paper 13, National Resource Management Ministers Council, Canberra, Australia.</w:t>
      </w:r>
    </w:p>
    <w:p w:rsidR="006C2E16" w:rsidRPr="000D7F0B" w:rsidRDefault="006C2E16" w:rsidP="001C6BE7">
      <w:pPr>
        <w:pStyle w:val="text"/>
      </w:pPr>
      <w:r w:rsidRPr="000D7F0B">
        <w:t xml:space="preserve">NEPC 1999, ‘Schedule B(5), Guideline on ecological risk assessment’, </w:t>
      </w:r>
      <w:r w:rsidRPr="000D7F0B">
        <w:rPr>
          <w:i/>
          <w:iCs/>
        </w:rPr>
        <w:t>National Environment Protection (Assessment of Site Contamination) Measure 1999</w:t>
      </w:r>
      <w:r w:rsidRPr="000D7F0B">
        <w:t>, National Environment Protection Council , Adelaide, Australia.</w:t>
      </w:r>
    </w:p>
    <w:p w:rsidR="006C2E16" w:rsidRPr="000D7F0B" w:rsidRDefault="006C2E16" w:rsidP="001C6BE7">
      <w:pPr>
        <w:pStyle w:val="text"/>
      </w:pPr>
      <w:r w:rsidRPr="000D7F0B">
        <w:t xml:space="preserve">NEPC 1999, ‘Schedule B(1), Guideline on the investigation levels for soil and groundwater’, </w:t>
      </w:r>
      <w:r w:rsidRPr="000D7F0B">
        <w:rPr>
          <w:i/>
          <w:iCs/>
        </w:rPr>
        <w:t>National Environment Protection (Assessment of Site Contamination) Measure 1999</w:t>
      </w:r>
      <w:r w:rsidRPr="000D7F0B">
        <w:t>, National Environment Protection Council, Adelaide, Australia.</w:t>
      </w:r>
    </w:p>
    <w:p w:rsidR="006C2E16" w:rsidRPr="000D7F0B" w:rsidRDefault="006C2E16" w:rsidP="001C6BE7">
      <w:pPr>
        <w:pStyle w:val="text"/>
      </w:pPr>
      <w:r w:rsidRPr="000D7F0B">
        <w:lastRenderedPageBreak/>
        <w:t>NEPC 2005</w:t>
      </w:r>
      <w:r>
        <w:t>,</w:t>
      </w:r>
      <w:r w:rsidRPr="000D7F0B">
        <w:t xml:space="preserve"> Review of the National Environment Protection (Assessment of Site Contamination) Measure: issues paper, National Environment Protection Council, Adelaide, Australia</w:t>
      </w:r>
      <w:r>
        <w:t xml:space="preserve">. </w:t>
      </w:r>
    </w:p>
    <w:p w:rsidR="006C2E16" w:rsidRPr="000D7F0B" w:rsidRDefault="006C2E16" w:rsidP="001C6BE7">
      <w:pPr>
        <w:pStyle w:val="text"/>
      </w:pPr>
      <w:r w:rsidRPr="000D7F0B">
        <w:t>NEPC 2006a, National Environment Protection (Assessment of Site Contamination) Measure: NEPM Review discussion paper, National Environment Protection Council, Adelaide, Australia.</w:t>
      </w:r>
    </w:p>
    <w:p w:rsidR="006C2E16" w:rsidRDefault="006C2E16" w:rsidP="001C6BE7">
      <w:pPr>
        <w:pStyle w:val="text"/>
      </w:pPr>
      <w:r w:rsidRPr="000D7F0B">
        <w:t>NEPC 2006b, National Environment Protection (Assessment of Site Contamination) Measure Review: Review report, National Environment Protection Council, Adelaide, Australia.</w:t>
      </w:r>
    </w:p>
    <w:p w:rsidR="006C2E16" w:rsidRPr="000D7F0B" w:rsidRDefault="006C2E16" w:rsidP="001C6BE7">
      <w:pPr>
        <w:pStyle w:val="text"/>
      </w:pPr>
      <w:r w:rsidRPr="000D7F0B">
        <w:t xml:space="preserve">NSW EPA 1997, </w:t>
      </w:r>
      <w:r w:rsidRPr="000D7F0B">
        <w:rPr>
          <w:i/>
          <w:iCs/>
        </w:rPr>
        <w:t>Environmental guidelines: use and disposal of biosolids products</w:t>
      </w:r>
      <w:r w:rsidRPr="000D7F0B">
        <w:t>, New South Wales Environmental Protection Authority, Sydney, Australia.</w:t>
      </w:r>
    </w:p>
    <w:p w:rsidR="006C2E16" w:rsidRPr="000D7F0B" w:rsidRDefault="006C2E16" w:rsidP="001C6BE7">
      <w:pPr>
        <w:pStyle w:val="text"/>
      </w:pPr>
      <w:r w:rsidRPr="000D7F0B">
        <w:t xml:space="preserve">NSW DEC </w:t>
      </w:r>
      <w:r>
        <w:t>2006</w:t>
      </w:r>
      <w:r w:rsidRPr="000D7F0B">
        <w:t xml:space="preserve">, </w:t>
      </w:r>
      <w:r w:rsidRPr="000D7F0B">
        <w:rPr>
          <w:i/>
          <w:iCs/>
        </w:rPr>
        <w:t>Contaminated sites: guidelines for the NSW site auditor scheme</w:t>
      </w:r>
      <w:r>
        <w:rPr>
          <w:i/>
          <w:iCs/>
        </w:rPr>
        <w:t xml:space="preserve"> (2</w:t>
      </w:r>
      <w:r w:rsidRPr="002B4FAB">
        <w:rPr>
          <w:i/>
          <w:iCs/>
          <w:vertAlign w:val="superscript"/>
        </w:rPr>
        <w:t>nd</w:t>
      </w:r>
      <w:r>
        <w:rPr>
          <w:i/>
          <w:iCs/>
        </w:rPr>
        <w:t xml:space="preserve"> edition)</w:t>
      </w:r>
      <w:r w:rsidRPr="000D7F0B">
        <w:t>, New South Wales Department of Environment and Conservation, Sydney, Australia.</w:t>
      </w:r>
    </w:p>
    <w:p w:rsidR="006C2E16" w:rsidRPr="000D7F0B" w:rsidRDefault="006C2E16" w:rsidP="001C6BE7">
      <w:pPr>
        <w:pStyle w:val="text"/>
      </w:pPr>
      <w:r w:rsidRPr="000D7F0B">
        <w:t xml:space="preserve">OECD 1984, ‘Earthworm acute toxicity tests’, </w:t>
      </w:r>
      <w:r w:rsidRPr="000D7F0B">
        <w:rPr>
          <w:i/>
          <w:iCs/>
        </w:rPr>
        <w:t>OECD Guideline for testing of chemicals</w:t>
      </w:r>
      <w:r w:rsidRPr="000D7F0B">
        <w:t xml:space="preserve">, 207, Organisation for Economic Cooperation and Development, Paris, France. </w:t>
      </w:r>
    </w:p>
    <w:p w:rsidR="006C2E16" w:rsidRPr="000D7F0B" w:rsidRDefault="006C2E16" w:rsidP="001C6BE7">
      <w:pPr>
        <w:pStyle w:val="text"/>
      </w:pPr>
      <w:r w:rsidRPr="000D7F0B">
        <w:t xml:space="preserve">Petersen, LS &amp; Pedersen, F 1995, </w:t>
      </w:r>
      <w:r w:rsidRPr="000D7F0B">
        <w:rPr>
          <w:i/>
          <w:iCs/>
        </w:rPr>
        <w:t>Water quality criteria for selected priority substances</w:t>
      </w:r>
      <w:r w:rsidRPr="000D7F0B">
        <w:t xml:space="preserve">, Danish Ministry of the Environment and Energy, Danish Environmental Protection Agency, Copenhagen, Denmark. </w:t>
      </w:r>
    </w:p>
    <w:p w:rsidR="006C2E16" w:rsidRPr="000D7F0B" w:rsidRDefault="006C2E16" w:rsidP="001C6BE7">
      <w:pPr>
        <w:pStyle w:val="text"/>
      </w:pPr>
      <w:r w:rsidRPr="000D7F0B">
        <w:t>Piwoni, MD &amp; Banerjee, P 1989, ‘Sorption of volatile organic solvents from aqueous solution onto subsurface solids’</w:t>
      </w:r>
      <w:r>
        <w:t>,</w:t>
      </w:r>
      <w:r w:rsidRPr="000D7F0B">
        <w:t xml:space="preserve"> </w:t>
      </w:r>
      <w:r w:rsidRPr="000D7F0B">
        <w:rPr>
          <w:i/>
          <w:iCs/>
        </w:rPr>
        <w:t>Journal of Contaminant Hydrology</w:t>
      </w:r>
      <w:r w:rsidRPr="000D7F0B">
        <w:t>, vol</w:t>
      </w:r>
      <w:r>
        <w:t xml:space="preserve">. </w:t>
      </w:r>
      <w:r w:rsidRPr="000D7F0B">
        <w:t>4, pp. 163</w:t>
      </w:r>
      <w:r>
        <w:sym w:font="Symbol" w:char="F02D"/>
      </w:r>
      <w:r w:rsidRPr="000D7F0B">
        <w:t>179.</w:t>
      </w:r>
    </w:p>
    <w:p w:rsidR="006C2E16" w:rsidRPr="000D7F0B" w:rsidRDefault="006C2E16" w:rsidP="001C6BE7">
      <w:pPr>
        <w:pStyle w:val="text"/>
      </w:pPr>
      <w:r w:rsidRPr="000D7F0B">
        <w:t xml:space="preserve">SA EPA 1997, </w:t>
      </w:r>
      <w:r w:rsidRPr="000D7F0B">
        <w:rPr>
          <w:i/>
          <w:iCs/>
        </w:rPr>
        <w:t>South Australian biosolids guidelines for the safe handling, re</w:t>
      </w:r>
      <w:r>
        <w:rPr>
          <w:i/>
          <w:iCs/>
        </w:rPr>
        <w:t>-</w:t>
      </w:r>
      <w:r w:rsidRPr="000D7F0B">
        <w:rPr>
          <w:i/>
          <w:iCs/>
        </w:rPr>
        <w:t>use or disposal of biosolids</w:t>
      </w:r>
      <w:r w:rsidRPr="000D7F0B">
        <w:t>, South Australian Environment Protection Authority, South Australian Department of Environment and Natural Resources, Adelaide, A</w:t>
      </w:r>
      <w:r>
        <w:t>ustralia</w:t>
      </w:r>
      <w:r w:rsidRPr="000D7F0B">
        <w:t>.</w:t>
      </w:r>
    </w:p>
    <w:p w:rsidR="006C2E16" w:rsidRPr="000D7F0B" w:rsidRDefault="006C2E16" w:rsidP="001C6BE7">
      <w:pPr>
        <w:pStyle w:val="text"/>
      </w:pPr>
      <w:r>
        <w:t>v</w:t>
      </w:r>
      <w:r w:rsidRPr="000D7F0B">
        <w:t xml:space="preserve">an de Meent, D &amp; </w:t>
      </w:r>
      <w:r>
        <w:t>d</w:t>
      </w:r>
      <w:r w:rsidRPr="000D7F0B">
        <w:t xml:space="preserve">e Bruijn, JHM 1995, ‘A modelling procedure to evaluate the coherence of independently derived environmental quality objectives for air, water and soil’, </w:t>
      </w:r>
      <w:r w:rsidRPr="000D7F0B">
        <w:rPr>
          <w:i/>
          <w:iCs/>
        </w:rPr>
        <w:t>Environmental Toxicology and Chemistry</w:t>
      </w:r>
      <w:r w:rsidRPr="000D7F0B">
        <w:t>, vol. 14, pp. 177</w:t>
      </w:r>
      <w:r>
        <w:sym w:font="Symbol" w:char="F02D"/>
      </w:r>
      <w:r w:rsidRPr="000D7F0B">
        <w:t>186.</w:t>
      </w:r>
    </w:p>
    <w:p w:rsidR="006C2E16" w:rsidRPr="000D7F0B" w:rsidRDefault="006C2E16" w:rsidP="001C6BE7">
      <w:pPr>
        <w:pStyle w:val="text"/>
      </w:pPr>
      <w:r w:rsidRPr="000D7F0B">
        <w:t xml:space="preserve">WA DEP 2002, </w:t>
      </w:r>
      <w:r w:rsidRPr="000D7F0B">
        <w:rPr>
          <w:i/>
          <w:iCs/>
        </w:rPr>
        <w:t>Western Australian guidelines for direct application of biosolids and biosolid products</w:t>
      </w:r>
      <w:r w:rsidRPr="000D7F0B">
        <w:t>, Western Australia Department of Environmental Protection, Perth, A</w:t>
      </w:r>
      <w:r>
        <w:t>ustralia</w:t>
      </w:r>
      <w:r w:rsidRPr="000D7F0B">
        <w:t>.</w:t>
      </w:r>
    </w:p>
    <w:p w:rsidR="006C2E16" w:rsidRPr="00E83241" w:rsidRDefault="006C2E16" w:rsidP="001C6BE7">
      <w:pPr>
        <w:pStyle w:val="text"/>
      </w:pPr>
    </w:p>
    <w:p w:rsidR="006C2E16" w:rsidRDefault="006C2E16" w:rsidP="001C6BE7">
      <w:pPr>
        <w:pStyle w:val="Heading1"/>
      </w:pPr>
      <w:bookmarkStart w:id="200" w:name="ch2_htm_Olszowy_et_al__1995"/>
      <w:bookmarkStart w:id="201" w:name="_Toc269122480"/>
      <w:bookmarkStart w:id="202" w:name="_Toc351713185"/>
      <w:bookmarkStart w:id="203" w:name="_Toc255360002"/>
      <w:bookmarkEnd w:id="200"/>
      <w:r>
        <w:lastRenderedPageBreak/>
        <w:t>Appendices</w:t>
      </w:r>
      <w:bookmarkEnd w:id="201"/>
      <w:bookmarkEnd w:id="202"/>
    </w:p>
    <w:p w:rsidR="006C2E16" w:rsidRDefault="006C2E16" w:rsidP="001C6BE7">
      <w:pPr>
        <w:pStyle w:val="Heading2"/>
      </w:pPr>
      <w:bookmarkStart w:id="204" w:name="_Toc269122481"/>
      <w:bookmarkStart w:id="205" w:name="_Toc351713186"/>
      <w:r w:rsidRPr="00BE548F">
        <w:t xml:space="preserve">Appendix A: </w:t>
      </w:r>
      <w:r w:rsidRPr="00F71F2E">
        <w:t>Review</w:t>
      </w:r>
      <w:r w:rsidRPr="00BE548F">
        <w:t xml:space="preserve"> and </w:t>
      </w:r>
      <w:r>
        <w:t>c</w:t>
      </w:r>
      <w:r w:rsidRPr="00BE548F">
        <w:t xml:space="preserve">omparison of </w:t>
      </w:r>
      <w:r>
        <w:t>f</w:t>
      </w:r>
      <w:r w:rsidRPr="00BE548F">
        <w:t>rameworks for deriving soil quality guidelines in other countries</w:t>
      </w:r>
      <w:bookmarkEnd w:id="203"/>
      <w:bookmarkEnd w:id="204"/>
      <w:bookmarkEnd w:id="205"/>
    </w:p>
    <w:p w:rsidR="006C2E16" w:rsidRPr="00BE548F" w:rsidRDefault="006C2E16" w:rsidP="001C6BE7">
      <w:pPr>
        <w:pStyle w:val="Heading3"/>
      </w:pPr>
      <w:bookmarkStart w:id="206" w:name="_Toc255360003"/>
      <w:bookmarkStart w:id="207" w:name="_Toc269122482"/>
      <w:bookmarkStart w:id="208" w:name="_Toc351713187"/>
      <w:r w:rsidRPr="00BE548F">
        <w:t>A1</w:t>
      </w:r>
      <w:r>
        <w:t>:</w:t>
      </w:r>
      <w:r w:rsidRPr="00BE548F">
        <w:t xml:space="preserve"> USA</w:t>
      </w:r>
      <w:bookmarkEnd w:id="206"/>
      <w:bookmarkEnd w:id="207"/>
      <w:bookmarkEnd w:id="208"/>
    </w:p>
    <w:p w:rsidR="006C2E16" w:rsidRDefault="006C2E16" w:rsidP="006C2E16">
      <w:r w:rsidRPr="00BE548F">
        <w:t>The US</w:t>
      </w:r>
      <w:r>
        <w:t xml:space="preserve"> </w:t>
      </w:r>
      <w:r w:rsidRPr="00BE548F">
        <w:t xml:space="preserve">EPA has developed a series of Eco-SSLs </w:t>
      </w:r>
      <w:r>
        <w:t>(</w:t>
      </w:r>
      <w:r w:rsidRPr="00877E7F">
        <w:t>www.epa.gov/ecotox/ecossl/</w:t>
      </w:r>
      <w:r>
        <w:t>)</w:t>
      </w:r>
      <w:r w:rsidRPr="00BE548F">
        <w:t xml:space="preserve"> to protect terrestrial organisms from soil contamination</w:t>
      </w:r>
      <w:r>
        <w:t xml:space="preserve">. </w:t>
      </w:r>
    </w:p>
    <w:p w:rsidR="009F182B" w:rsidRPr="00BE548F" w:rsidRDefault="009F182B" w:rsidP="006C2E16"/>
    <w:p w:rsidR="006C2E16" w:rsidRDefault="006C2E16" w:rsidP="006C2E16">
      <w:r w:rsidRPr="00BE548F">
        <w:t>Eco-SSLs apply to sites where terrestrial organisms may be exposed directly or indirectly to contaminated soil</w:t>
      </w:r>
      <w:r>
        <w:t xml:space="preserve">. </w:t>
      </w:r>
      <w:r w:rsidRPr="00BE548F">
        <w:t>Eco-SSLs were developed to support risk</w:t>
      </w:r>
      <w:r>
        <w:t xml:space="preserve"> </w:t>
      </w:r>
      <w:r w:rsidRPr="00BE548F">
        <w:t>management decisions for Superfund sites (orphaned contaminated sites identified as having significant contamination potentially present for many years or even decades)</w:t>
      </w:r>
      <w:r>
        <w:t xml:space="preserve">. </w:t>
      </w:r>
      <w:r w:rsidRPr="00BE548F">
        <w:t>This was undertaken to avoid repetitious risk assessment and literature reviews of toxicity data for the same contaminants at each contaminated site, and to allow risk assessors to focus their efforts on the main contaminants of concern.</w:t>
      </w:r>
    </w:p>
    <w:p w:rsidR="009F182B" w:rsidRPr="00BE548F" w:rsidRDefault="009F182B" w:rsidP="006C2E16"/>
    <w:p w:rsidR="006C2E16" w:rsidRDefault="006C2E16" w:rsidP="006C2E16">
      <w:r w:rsidRPr="00BE548F">
        <w:t>Seven types of receptors were initially considered in the development of the Eco-SSLs (mammals, birds, reptiles, amphibians, soil invertebrates, plants, and soil microbes and their processes) but final SSLs were produced without consideration of amphibians and reptiles due to insufficient data being available, in the view of the US</w:t>
      </w:r>
      <w:r>
        <w:t xml:space="preserve"> </w:t>
      </w:r>
      <w:r w:rsidRPr="00BE548F">
        <w:t xml:space="preserve">EPA, to derive screening levels. Soil </w:t>
      </w:r>
      <w:r>
        <w:t>microorganism</w:t>
      </w:r>
      <w:r w:rsidRPr="00BE548F">
        <w:t xml:space="preserve">s and microbial processes were also not included in the derivation of Eco-SSLs but the rationale for this was over the variability of the data and their ecological significance. </w:t>
      </w:r>
    </w:p>
    <w:p w:rsidR="009F182B" w:rsidRPr="00BE548F" w:rsidRDefault="009F182B" w:rsidP="006C2E16"/>
    <w:p w:rsidR="006C2E16" w:rsidRDefault="006C2E16" w:rsidP="006C2E16">
      <w:r w:rsidRPr="00BE548F">
        <w:t>For plants and invertebrates, the methodology used to develop Eco-SSLs was to review the relevant toxicity literature for each contaminant, screen the data for quality, and only use toxicity data representing high bioavailability conditions in upland aerobic soils (</w:t>
      </w:r>
      <w:r>
        <w:t>that is,</w:t>
      </w:r>
      <w:r w:rsidRPr="00BE548F">
        <w:t xml:space="preserve"> avoiding consideration of flooded soil conditions)</w:t>
      </w:r>
      <w:r>
        <w:t xml:space="preserve">. </w:t>
      </w:r>
      <w:r w:rsidRPr="00BE548F">
        <w:t>Because of the different behaviour of many contaminants in soils, high bioavailability was defined for three broad groups of contaminants</w:t>
      </w:r>
      <w:r>
        <w:t>—</w:t>
      </w:r>
      <w:r w:rsidRPr="00BE548F">
        <w:t>cationic metals, anionic metals and non-ionising organic contaminants</w:t>
      </w:r>
      <w:r>
        <w:t xml:space="preserve">. </w:t>
      </w:r>
      <w:r w:rsidRPr="00BE548F">
        <w:t>For example, high bioavailability for cationic metals was defined as low soil pH and organic matter content</w:t>
      </w:r>
      <w:r>
        <w:t xml:space="preserve">. </w:t>
      </w:r>
      <w:r w:rsidRPr="00BE548F">
        <w:t>Where literature data did not exist for a contaminant, th</w:t>
      </w:r>
      <w:r>
        <w:t>is</w:t>
      </w:r>
      <w:r w:rsidRPr="00BE548F">
        <w:t xml:space="preserve"> w</w:t>
      </w:r>
      <w:r>
        <w:t>as</w:t>
      </w:r>
      <w:r w:rsidRPr="00BE548F">
        <w:t xml:space="preserve"> developed by experimentation. </w:t>
      </w:r>
    </w:p>
    <w:p w:rsidR="009F182B" w:rsidRPr="00BE548F" w:rsidRDefault="009F182B" w:rsidP="006C2E16"/>
    <w:p w:rsidR="006C2E16" w:rsidRDefault="006C2E16" w:rsidP="006C2E16">
      <w:r w:rsidRPr="00BE548F">
        <w:t>The Eco-SSL for a contaminant was calculated as the geometric mean of all the toxicity values at the highest relative bioavailability score for which sufficient data existed (</w:t>
      </w:r>
      <w:r>
        <w:t xml:space="preserve">that is, </w:t>
      </w:r>
      <w:r w:rsidRPr="00BE548F">
        <w:t xml:space="preserve"> ≥3 data points)</w:t>
      </w:r>
      <w:r>
        <w:t xml:space="preserve">. </w:t>
      </w:r>
      <w:r w:rsidRPr="00BE548F">
        <w:t xml:space="preserve">If less than </w:t>
      </w:r>
      <w:r>
        <w:t>three</w:t>
      </w:r>
      <w:r w:rsidRPr="00BE548F">
        <w:t xml:space="preserve"> data values were available at the highest relative bioavailability level, data from the next highest bioavailability score w</w:t>
      </w:r>
      <w:r>
        <w:t>as</w:t>
      </w:r>
      <w:r w:rsidRPr="00BE548F">
        <w:t xml:space="preserve"> included in that Eco-SSL data set</w:t>
      </w:r>
      <w:r>
        <w:t xml:space="preserve">. </w:t>
      </w:r>
      <w:r w:rsidRPr="00BE548F">
        <w:t>This process proceeded until a combined data set of three or more data values w</w:t>
      </w:r>
      <w:r>
        <w:t>as</w:t>
      </w:r>
      <w:r w:rsidRPr="00BE548F">
        <w:t xml:space="preserve"> identified for calculating the Eco-SSL</w:t>
      </w:r>
      <w:r>
        <w:t xml:space="preserve">. </w:t>
      </w:r>
      <w:r w:rsidRPr="00BE548F">
        <w:t xml:space="preserve">If there were less than </w:t>
      </w:r>
      <w:r>
        <w:t xml:space="preserve">three </w:t>
      </w:r>
      <w:r w:rsidRPr="00BE548F">
        <w:t>acceptable studies</w:t>
      </w:r>
      <w:r>
        <w:t>,</w:t>
      </w:r>
      <w:r w:rsidRPr="00BE548F">
        <w:t xml:space="preserve"> an Eco-SSL was not calculated.</w:t>
      </w:r>
    </w:p>
    <w:p w:rsidR="009F182B" w:rsidRPr="00BE548F" w:rsidRDefault="009F182B" w:rsidP="006C2E16"/>
    <w:p w:rsidR="006C2E16" w:rsidRDefault="006C2E16" w:rsidP="006C2E16">
      <w:r w:rsidRPr="00BE548F">
        <w:t>For wildlife Eco-SSLs, three avian and three mammalian species were chosen to represent some of the most highly exposed species at contaminated sites (meadow vole, short-tailed shrew, long-tailed weasel, mourning dove, American woodcock and red-tailed hawk). Wildlife Eco-SSLs were developed by back-calculating from a hazard quotient (HQ) of 1.0, calculated by dividing the estimated exposure dose by the toxicity reference value (TRV). When the HQ was 1.0, the exposure dose equalled the Eco-SSL</w:t>
      </w:r>
      <w:r>
        <w:t>.</w:t>
      </w:r>
    </w:p>
    <w:p w:rsidR="009F182B" w:rsidRDefault="009F182B" w:rsidP="006C2E16"/>
    <w:p w:rsidR="006C2E16" w:rsidRDefault="006C2E16" w:rsidP="006C2E16">
      <w:r w:rsidRPr="00BE548F">
        <w:t>A generic food-chain model was used to estimate the relationship between the concentration of the contaminant in soil and the critical dose (TRV)</w:t>
      </w:r>
      <w:r>
        <w:t xml:space="preserve">. </w:t>
      </w:r>
      <w:r w:rsidRPr="00BE548F">
        <w:t>TRVs were developed using a literature screening process similar to that of the plant and invertebrate Eco-SSLs</w:t>
      </w:r>
      <w:r>
        <w:t xml:space="preserve">. </w:t>
      </w:r>
      <w:r w:rsidRPr="00BE548F">
        <w:t xml:space="preserve"> </w:t>
      </w:r>
    </w:p>
    <w:p w:rsidR="009F182B" w:rsidRPr="00BE548F" w:rsidRDefault="009F182B" w:rsidP="006C2E16"/>
    <w:p w:rsidR="006C2E16" w:rsidRPr="00BE548F" w:rsidRDefault="006C2E16" w:rsidP="006C2E16">
      <w:r w:rsidRPr="00BE548F">
        <w:t>Twenty-four Eco-SSLs have been produced for aluminium, antimony, arsenic, barium,  beryllium, cadmium, chromium, cobalt, copper, iron, lead, manganese, nickel, selenium, silver, vanadium, zinc, dieldrin, hexahydro -1,3,5-trinitro-1,3,5-triazine (RDX), trinitrotoluene (TNT), dichloro-diphenyl-</w:t>
      </w:r>
      <w:r w:rsidRPr="00BE548F">
        <w:lastRenderedPageBreak/>
        <w:t>trichloroethane (DDT) and its metabolites (DDE and DDD), pentachlorophenol, PAHs, and polychlorinated biphenyls (PCBs).</w:t>
      </w:r>
    </w:p>
    <w:p w:rsidR="006C2E16" w:rsidRPr="00BE548F" w:rsidRDefault="006C2E16" w:rsidP="001C6BE7">
      <w:pPr>
        <w:pStyle w:val="Heading3"/>
      </w:pPr>
      <w:bookmarkStart w:id="209" w:name="_Toc255360004"/>
      <w:bookmarkStart w:id="210" w:name="_Toc269122483"/>
      <w:bookmarkStart w:id="211" w:name="_Toc351713188"/>
      <w:r w:rsidRPr="00BE548F">
        <w:t>A2</w:t>
      </w:r>
      <w:r>
        <w:t>:</w:t>
      </w:r>
      <w:r w:rsidRPr="00BE548F">
        <w:t xml:space="preserve"> </w:t>
      </w:r>
      <w:r>
        <w:t xml:space="preserve">The </w:t>
      </w:r>
      <w:smartTag w:uri="urn:schemas-microsoft-com:office:smarttags" w:element="country-region">
        <w:smartTag w:uri="urn:schemas-microsoft-com:office:smarttags" w:element="place">
          <w:r w:rsidRPr="00BE548F">
            <w:t>Netherlands</w:t>
          </w:r>
        </w:smartTag>
      </w:smartTag>
      <w:bookmarkEnd w:id="209"/>
      <w:bookmarkEnd w:id="210"/>
      <w:bookmarkEnd w:id="211"/>
    </w:p>
    <w:p w:rsidR="006C2E16" w:rsidRDefault="006C2E16" w:rsidP="006C2E16">
      <w:r w:rsidRPr="00BE548F">
        <w:t xml:space="preserve">As part of the Dutch </w:t>
      </w:r>
      <w:r>
        <w:t>S</w:t>
      </w:r>
      <w:r w:rsidRPr="00EB7C54">
        <w:t xml:space="preserve">oil </w:t>
      </w:r>
      <w:r>
        <w:t>P</w:t>
      </w:r>
      <w:r w:rsidRPr="00EB7C54">
        <w:t xml:space="preserve">rotection </w:t>
      </w:r>
      <w:r>
        <w:t>A</w:t>
      </w:r>
      <w:r w:rsidRPr="00EB7C54">
        <w:t>ct (</w:t>
      </w:r>
      <w:r w:rsidRPr="00BE548F">
        <w:t xml:space="preserve">VROM 2000), </w:t>
      </w:r>
      <w:r>
        <w:t>the Netherlands</w:t>
      </w:r>
      <w:r w:rsidRPr="00BE548F">
        <w:t xml:space="preserve"> Ministry of Housing, Spatial Planning and the Environment (VROM) has developed a series of soil</w:t>
      </w:r>
      <w:r>
        <w:t>-</w:t>
      </w:r>
      <w:r w:rsidRPr="00BE548F">
        <w:t>screening values for contaminated sites, remediation and long-term soil concentration goals</w:t>
      </w:r>
      <w:r>
        <w:t>,</w:t>
      </w:r>
      <w:r w:rsidRPr="00BE548F">
        <w:t xml:space="preserve"> based on protection of soil health.</w:t>
      </w:r>
    </w:p>
    <w:p w:rsidR="009F182B" w:rsidRPr="00BE548F" w:rsidRDefault="009F182B" w:rsidP="006C2E16"/>
    <w:p w:rsidR="006C2E16" w:rsidRDefault="006C2E16" w:rsidP="006C2E16">
      <w:r w:rsidRPr="00BE548F">
        <w:t>Soil quality is assessed and managed using three soil screening values</w:t>
      </w:r>
      <w:r>
        <w:t>—</w:t>
      </w:r>
      <w:r w:rsidRPr="00BE548F">
        <w:t xml:space="preserve">the </w:t>
      </w:r>
      <w:r>
        <w:t>t</w:t>
      </w:r>
      <w:r w:rsidRPr="00BE548F">
        <w:t xml:space="preserve">arget and </w:t>
      </w:r>
      <w:r>
        <w:t>i</w:t>
      </w:r>
      <w:r w:rsidRPr="00BE548F">
        <w:t xml:space="preserve">ntervention value and a value between these two termed the </w:t>
      </w:r>
      <w:r>
        <w:t>i</w:t>
      </w:r>
      <w:r w:rsidRPr="00BE548F">
        <w:t>ntermediate value</w:t>
      </w:r>
      <w:r>
        <w:t xml:space="preserve">. </w:t>
      </w:r>
      <w:r w:rsidRPr="00BE548F">
        <w:t>These values are independent of land use</w:t>
      </w:r>
      <w:r>
        <w:t xml:space="preserve">. </w:t>
      </w:r>
      <w:r w:rsidRPr="00BE548F">
        <w:t xml:space="preserve">Soils with contaminant concentrations below </w:t>
      </w:r>
      <w:r>
        <w:t>t</w:t>
      </w:r>
      <w:r w:rsidRPr="00BE548F">
        <w:t>arget value are considered to be at no risk and no restrictions on their use have been set</w:t>
      </w:r>
      <w:r>
        <w:t xml:space="preserve">. </w:t>
      </w:r>
      <w:r w:rsidRPr="00BE548F">
        <w:t xml:space="preserve">Soils with contaminant concentrations below the </w:t>
      </w:r>
      <w:r>
        <w:t>i</w:t>
      </w:r>
      <w:r w:rsidRPr="00BE548F">
        <w:t>ntermediate values can have certain restrictions set on soil and site management</w:t>
      </w:r>
      <w:r>
        <w:t xml:space="preserve">. </w:t>
      </w:r>
      <w:r w:rsidRPr="00BE548F">
        <w:t xml:space="preserve">Soils with contaminant concentrations exceeding </w:t>
      </w:r>
      <w:r>
        <w:t>i</w:t>
      </w:r>
      <w:r w:rsidRPr="00BE548F">
        <w:t xml:space="preserve">ntermediate but below the </w:t>
      </w:r>
      <w:r>
        <w:t>i</w:t>
      </w:r>
      <w:r w:rsidRPr="00BE548F">
        <w:t>ntervention value require further investigation of the site to assess the hazard posed by the contaminants</w:t>
      </w:r>
      <w:r>
        <w:t xml:space="preserve">. </w:t>
      </w:r>
      <w:r w:rsidRPr="00BE548F">
        <w:t xml:space="preserve">Soils with contaminant concentrations exceeding the intervention value require remediation as a matter of urgency. </w:t>
      </w:r>
    </w:p>
    <w:p w:rsidR="009F182B" w:rsidRPr="00BE548F" w:rsidRDefault="009F182B" w:rsidP="006C2E16"/>
    <w:p w:rsidR="006C2E16" w:rsidRDefault="006C2E16" w:rsidP="006C2E16">
      <w:r w:rsidRPr="00BE548F">
        <w:t>Remediation levels for contaminants in soils have a separate set of values, the so</w:t>
      </w:r>
      <w:r>
        <w:t>-</w:t>
      </w:r>
      <w:r w:rsidRPr="00BE548F">
        <w:t xml:space="preserve">called </w:t>
      </w:r>
      <w:r>
        <w:t>r</w:t>
      </w:r>
      <w:r w:rsidRPr="00BE548F">
        <w:t>eference values</w:t>
      </w:r>
      <w:r>
        <w:t xml:space="preserve">. </w:t>
      </w:r>
      <w:r w:rsidRPr="00BE548F">
        <w:t>These values are land</w:t>
      </w:r>
      <w:r>
        <w:t xml:space="preserve"> </w:t>
      </w:r>
      <w:r w:rsidRPr="00BE548F">
        <w:t>use</w:t>
      </w:r>
      <w:r>
        <w:t>-</w:t>
      </w:r>
      <w:r w:rsidRPr="00BE548F">
        <w:t>specific, but site</w:t>
      </w:r>
      <w:r>
        <w:t>-</w:t>
      </w:r>
      <w:r w:rsidRPr="00BE548F">
        <w:t>specific reference values can be derived</w:t>
      </w:r>
      <w:r>
        <w:t xml:space="preserve">. </w:t>
      </w:r>
      <w:r w:rsidRPr="00BE548F">
        <w:t xml:space="preserve">Land uses are grouped into </w:t>
      </w:r>
      <w:r>
        <w:t>four</w:t>
      </w:r>
      <w:r w:rsidRPr="00BE548F">
        <w:t xml:space="preserve"> clusters: 1) residential and intensively used parkland</w:t>
      </w:r>
      <w:r>
        <w:t>,</w:t>
      </w:r>
      <w:r w:rsidRPr="00BE548F">
        <w:t xml:space="preserve"> 2) extensively used parkland</w:t>
      </w:r>
      <w:r>
        <w:t>,</w:t>
      </w:r>
      <w:r w:rsidRPr="00BE548F">
        <w:t xml:space="preserve"> 3) buildings and paved areas</w:t>
      </w:r>
      <w:r>
        <w:t>,</w:t>
      </w:r>
      <w:r w:rsidRPr="00BE548F">
        <w:t xml:space="preserve"> and 4) agriculture and nature reserves.</w:t>
      </w:r>
    </w:p>
    <w:p w:rsidR="009F182B" w:rsidRPr="00BE548F" w:rsidRDefault="009F182B" w:rsidP="006C2E16"/>
    <w:p w:rsidR="006C2E16" w:rsidRDefault="006C2E16" w:rsidP="006C2E16">
      <w:r w:rsidRPr="00BE548F">
        <w:t xml:space="preserve">The </w:t>
      </w:r>
      <w:r>
        <w:t>i</w:t>
      </w:r>
      <w:r w:rsidRPr="00BE548F">
        <w:t xml:space="preserve">ntervention and </w:t>
      </w:r>
      <w:r>
        <w:t>t</w:t>
      </w:r>
      <w:r w:rsidRPr="00BE548F">
        <w:t>arget values are preferably derived using a</w:t>
      </w:r>
      <w:r>
        <w:t>n</w:t>
      </w:r>
      <w:r w:rsidRPr="00BE548F">
        <w:t xml:space="preserve"> SSD method with a log-normal distribution</w:t>
      </w:r>
      <w:r>
        <w:t xml:space="preserve">. </w:t>
      </w:r>
      <w:r w:rsidRPr="00BE548F">
        <w:t xml:space="preserve">Toxicity data used in the SSD approach are NOECs and LOECs but if these are not available, higher adverse effect data </w:t>
      </w:r>
      <w:r>
        <w:t>is</w:t>
      </w:r>
      <w:r w:rsidRPr="00BE548F">
        <w:t xml:space="preserve"> used and converted to NOECs using a safety factor of 10</w:t>
      </w:r>
      <w:r>
        <w:t xml:space="preserve">. </w:t>
      </w:r>
      <w:r w:rsidRPr="00BE548F">
        <w:t xml:space="preserve">Toxicity data </w:t>
      </w:r>
      <w:r>
        <w:t>is</w:t>
      </w:r>
      <w:r w:rsidRPr="00BE548F">
        <w:t xml:space="preserve"> normalised to a </w:t>
      </w:r>
      <w:r>
        <w:t>reference</w:t>
      </w:r>
      <w:r w:rsidRPr="00BE548F">
        <w:t xml:space="preserve"> soil of 10% organic matter and 25% clay</w:t>
      </w:r>
      <w:r>
        <w:t xml:space="preserve">. </w:t>
      </w:r>
      <w:r w:rsidRPr="00BE548F">
        <w:t>The equations used to normalise the toxicity data (</w:t>
      </w:r>
      <w:r>
        <w:t xml:space="preserve">that is, </w:t>
      </w:r>
      <w:r w:rsidRPr="00BE548F">
        <w:t>normalisation equations) are based on the studies by Lexmond et al. (1986) and Van Straalen and Denneman (1989)</w:t>
      </w:r>
      <w:r>
        <w:t>,</w:t>
      </w:r>
      <w:r w:rsidRPr="00BE548F">
        <w:t xml:space="preserve"> where background levels of contaminants showed a positive relationship with organic matter and/or clay</w:t>
      </w:r>
      <w:r>
        <w:t xml:space="preserve">. </w:t>
      </w:r>
      <w:r w:rsidRPr="00BE548F">
        <w:t>Intervention values are designed to protect 50% of the species</w:t>
      </w:r>
      <w:r>
        <w:t xml:space="preserve">. </w:t>
      </w:r>
      <w:r w:rsidRPr="00BE548F">
        <w:t>In other words</w:t>
      </w:r>
      <w:r>
        <w:t>,</w:t>
      </w:r>
      <w:r w:rsidRPr="00BE548F">
        <w:t xml:space="preserve"> the permitted concentration is hazardous to 50% of species and hence referred to as the HC</w:t>
      </w:r>
      <w:r w:rsidRPr="001579A5">
        <w:rPr>
          <w:vertAlign w:val="subscript"/>
        </w:rPr>
        <w:t>50</w:t>
      </w:r>
      <w:r>
        <w:t xml:space="preserve">. </w:t>
      </w:r>
      <w:r w:rsidRPr="00BE548F">
        <w:t>Target values are equal to the HC</w:t>
      </w:r>
      <w:r w:rsidRPr="001579A5">
        <w:rPr>
          <w:vertAlign w:val="subscript"/>
        </w:rPr>
        <w:t>5</w:t>
      </w:r>
      <w:r w:rsidRPr="00BE548F">
        <w:t xml:space="preserve"> (</w:t>
      </w:r>
      <w:r>
        <w:t>that is,</w:t>
      </w:r>
      <w:r w:rsidRPr="00BE548F">
        <w:t xml:space="preserve"> the concentration that should permit only 5% of species to be affected) divided by 100</w:t>
      </w:r>
      <w:r>
        <w:t xml:space="preserve">. </w:t>
      </w:r>
      <w:r w:rsidRPr="00BE548F">
        <w:t>This factor 100 is applied to take into account combination toxicity (Crommentuijn 2000a).</w:t>
      </w:r>
    </w:p>
    <w:p w:rsidR="009F182B" w:rsidRPr="00BE548F" w:rsidRDefault="009F182B" w:rsidP="006C2E16"/>
    <w:p w:rsidR="006C2E16" w:rsidRDefault="006C2E16" w:rsidP="006C2E16">
      <w:r w:rsidRPr="00BE548F">
        <w:t xml:space="preserve">If limited toxicity data </w:t>
      </w:r>
      <w:r>
        <w:t>is</w:t>
      </w:r>
      <w:r w:rsidRPr="00BE548F">
        <w:t xml:space="preserve"> available, equilibrium partitioning (EqP) methods </w:t>
      </w:r>
      <w:r>
        <w:t xml:space="preserve">are </w:t>
      </w:r>
      <w:r w:rsidRPr="00BE548F">
        <w:t>used to derive soil screening values by extrapolation of aquatic toxicity data</w:t>
      </w:r>
      <w:r>
        <w:t xml:space="preserve">. </w:t>
      </w:r>
      <w:r w:rsidRPr="00BE548F">
        <w:t xml:space="preserve">If no data </w:t>
      </w:r>
      <w:r>
        <w:t>is</w:t>
      </w:r>
      <w:r w:rsidRPr="00BE548F">
        <w:t xml:space="preserve"> available, the Dutch guidelines use QSAR</w:t>
      </w:r>
      <w:r>
        <w:t>s</w:t>
      </w:r>
      <w:r w:rsidRPr="00BE548F">
        <w:t xml:space="preserve"> to estimate toxicity data from contaminants </w:t>
      </w:r>
      <w:r>
        <w:t>that</w:t>
      </w:r>
      <w:r w:rsidRPr="00BE548F">
        <w:t xml:space="preserve"> have the same mechanism of action. </w:t>
      </w:r>
    </w:p>
    <w:p w:rsidR="009F182B" w:rsidRPr="00BE548F" w:rsidRDefault="009F182B" w:rsidP="006C2E16"/>
    <w:p w:rsidR="006C2E16" w:rsidRPr="00BE548F" w:rsidRDefault="006C2E16" w:rsidP="006C2E16">
      <w:r w:rsidRPr="00BE548F">
        <w:t xml:space="preserve">Intervention and target values have been set for 75 contaminants and a further 20 contaminants have target values and/or indicative levels of serious contaminant levels (VROM 2000). </w:t>
      </w:r>
    </w:p>
    <w:p w:rsidR="006C2E16" w:rsidRPr="00BE548F" w:rsidRDefault="006C2E16" w:rsidP="001C6BE7">
      <w:pPr>
        <w:pStyle w:val="Heading3"/>
      </w:pPr>
      <w:bookmarkStart w:id="212" w:name="_Toc255360005"/>
      <w:bookmarkStart w:id="213" w:name="_Toc269122484"/>
      <w:bookmarkStart w:id="214" w:name="_Toc351713189"/>
      <w:r w:rsidRPr="00BE548F">
        <w:t>A3</w:t>
      </w:r>
      <w:r>
        <w:t>:</w:t>
      </w:r>
      <w:r w:rsidRPr="00BE548F">
        <w:t xml:space="preserve">  Canada</w:t>
      </w:r>
      <w:bookmarkEnd w:id="212"/>
      <w:bookmarkEnd w:id="213"/>
      <w:bookmarkEnd w:id="214"/>
    </w:p>
    <w:p w:rsidR="006C2E16" w:rsidRDefault="006C2E16" w:rsidP="006C2E16">
      <w:r w:rsidRPr="00BE548F">
        <w:t>The Canadian SQGs were developed by CCME to assess in-place contaminants in soil (CCME 1999</w:t>
      </w:r>
      <w:r>
        <w:t>,</w:t>
      </w:r>
      <w:r w:rsidRPr="00BE548F">
        <w:t xml:space="preserve"> 2006) and can be found at: </w:t>
      </w:r>
      <w:r w:rsidRPr="00877E7F">
        <w:t>www.ccme.ca/publications/list_publications.html#link2</w:t>
      </w:r>
      <w:r>
        <w:t>.</w:t>
      </w:r>
    </w:p>
    <w:p w:rsidR="009F182B" w:rsidRPr="00BE548F" w:rsidRDefault="009F182B" w:rsidP="006C2E16"/>
    <w:p w:rsidR="006C2E16" w:rsidRDefault="006C2E16" w:rsidP="006C2E16">
      <w:r>
        <w:t>SSQs</w:t>
      </w:r>
      <w:r w:rsidRPr="00BE548F">
        <w:t xml:space="preserve"> and the level of protection for terrestrial species and soil processes depend on land use (</w:t>
      </w:r>
      <w:r>
        <w:t>that is,</w:t>
      </w:r>
      <w:r w:rsidRPr="00BE548F">
        <w:t xml:space="preserve"> agriculture, residential/parkland, commercial and industrial sites)</w:t>
      </w:r>
      <w:r>
        <w:t xml:space="preserve">. </w:t>
      </w:r>
      <w:r w:rsidRPr="00BE548F">
        <w:t>Using potential exposure scenarios, ecological receptors that sustain the primary activities for each land use are identified</w:t>
      </w:r>
      <w:r>
        <w:t xml:space="preserve">. </w:t>
      </w:r>
      <w:r w:rsidRPr="00BE548F">
        <w:t>These include soil invertebrates, soil nutrient cycling processes, plants, wildlife for all four land uses, soil and food ingestion by herbivores and consumers (including biomagnification) for residential and agricultural</w:t>
      </w:r>
      <w:r>
        <w:t>,</w:t>
      </w:r>
      <w:r w:rsidRPr="00BE548F">
        <w:t xml:space="preserve"> and crops and livestock for agricultural land use. </w:t>
      </w:r>
    </w:p>
    <w:p w:rsidR="009F182B" w:rsidRPr="00BE548F" w:rsidRDefault="009F182B" w:rsidP="006C2E16"/>
    <w:p w:rsidR="006C2E16" w:rsidRDefault="006C2E16" w:rsidP="006C2E16">
      <w:r>
        <w:lastRenderedPageBreak/>
        <w:t>SSQs</w:t>
      </w:r>
      <w:r w:rsidRPr="00BE548F">
        <w:t xml:space="preserve"> were derived using laboratory and field</w:t>
      </w:r>
      <w:r>
        <w:t>-</w:t>
      </w:r>
      <w:r w:rsidRPr="00BE548F">
        <w:t>based toxicity data</w:t>
      </w:r>
      <w:r>
        <w:t xml:space="preserve">. </w:t>
      </w:r>
      <w:r w:rsidRPr="00BE548F">
        <w:t>Th</w:t>
      </w:r>
      <w:r>
        <w:t>is</w:t>
      </w:r>
      <w:r w:rsidRPr="00BE548F">
        <w:t xml:space="preserve"> data measure</w:t>
      </w:r>
      <w:r>
        <w:t>s</w:t>
      </w:r>
      <w:r w:rsidRPr="00BE548F">
        <w:t xml:space="preserve"> the effects that undermine a species' ability to survive and reproduce under normal living conditions for soils that represented typical Canadian soils</w:t>
      </w:r>
      <w:r>
        <w:t xml:space="preserve">. </w:t>
      </w:r>
      <w:r w:rsidRPr="00BE548F">
        <w:t xml:space="preserve">The preferred measures of toxicity are 25% effect concentrations </w:t>
      </w:r>
      <w:bookmarkStart w:id="215" w:name="OLE_LINK13"/>
      <w:bookmarkStart w:id="216" w:name="OLE_LINK14"/>
      <w:r w:rsidRPr="00BE548F">
        <w:t>(IC</w:t>
      </w:r>
      <w:r w:rsidRPr="00BF46A1">
        <w:rPr>
          <w:vertAlign w:val="subscript"/>
        </w:rPr>
        <w:t>25</w:t>
      </w:r>
      <w:r w:rsidRPr="00BE548F">
        <w:t xml:space="preserve"> or EC</w:t>
      </w:r>
      <w:r w:rsidRPr="00BF46A1">
        <w:rPr>
          <w:vertAlign w:val="subscript"/>
        </w:rPr>
        <w:t>25</w:t>
      </w:r>
      <w:r w:rsidRPr="00BE548F">
        <w:t>)</w:t>
      </w:r>
      <w:bookmarkEnd w:id="215"/>
      <w:bookmarkEnd w:id="216"/>
      <w:r>
        <w:t xml:space="preserve">. </w:t>
      </w:r>
      <w:r w:rsidRPr="00BE548F">
        <w:t>A second option is to use LOECs divided by an uncertainty factor (safety factor) if there is insufficient 25% effect data (SSD method)</w:t>
      </w:r>
      <w:r>
        <w:t xml:space="preserve">. </w:t>
      </w:r>
      <w:r w:rsidRPr="00BE548F">
        <w:t>A third option is to use median effect data (LC</w:t>
      </w:r>
      <w:r w:rsidRPr="00BF46A1">
        <w:rPr>
          <w:vertAlign w:val="subscript"/>
        </w:rPr>
        <w:t>50</w:t>
      </w:r>
      <w:r w:rsidRPr="00BE548F">
        <w:t xml:space="preserve"> or EC</w:t>
      </w:r>
      <w:r w:rsidRPr="00BF46A1">
        <w:rPr>
          <w:vertAlign w:val="subscript"/>
        </w:rPr>
        <w:t>50</w:t>
      </w:r>
      <w:r w:rsidRPr="00BE548F">
        <w:t>) divided by an uncertainty factor (for agricultural and residential/parkland only, not for commercial and industrial sites)</w:t>
      </w:r>
      <w:r>
        <w:t xml:space="preserve">. </w:t>
      </w:r>
      <w:r w:rsidRPr="00BE548F">
        <w:t xml:space="preserve">Depending on the </w:t>
      </w:r>
      <w:r>
        <w:t>quantity</w:t>
      </w:r>
      <w:r w:rsidRPr="00BE548F">
        <w:t xml:space="preserve"> of toxicity data available, the weight</w:t>
      </w:r>
      <w:r>
        <w:t>-</w:t>
      </w:r>
      <w:r w:rsidRPr="00BE548F">
        <w:t>of</w:t>
      </w:r>
      <w:r>
        <w:t>-</w:t>
      </w:r>
      <w:r w:rsidRPr="00BE548F">
        <w:t xml:space="preserve">evidence (SSD) approach, LOEC </w:t>
      </w:r>
      <w:r>
        <w:t>m</w:t>
      </w:r>
      <w:r w:rsidRPr="00BE548F">
        <w:t xml:space="preserve">ethod or </w:t>
      </w:r>
      <w:r>
        <w:t>m</w:t>
      </w:r>
      <w:r w:rsidRPr="00BE548F">
        <w:t xml:space="preserve">edian </w:t>
      </w:r>
      <w:r>
        <w:t>e</w:t>
      </w:r>
      <w:r w:rsidRPr="00BE548F">
        <w:t xml:space="preserve">ffects </w:t>
      </w:r>
      <w:r>
        <w:t>m</w:t>
      </w:r>
      <w:r w:rsidRPr="00BE548F">
        <w:t>ethod was used to obtain SQGs</w:t>
      </w:r>
      <w:r>
        <w:t xml:space="preserve">. </w:t>
      </w:r>
      <w:r w:rsidRPr="00BE548F">
        <w:t>SSD was the preferred methodology if sufficient data w</w:t>
      </w:r>
      <w:r>
        <w:t>as</w:t>
      </w:r>
      <w:r w:rsidRPr="00BE548F">
        <w:t xml:space="preserve"> available</w:t>
      </w:r>
      <w:r>
        <w:t xml:space="preserve">. </w:t>
      </w:r>
      <w:r w:rsidRPr="00BE548F">
        <w:t>The output from the SSD might be divided by an uncertainty factor, depending on the type and amount of toxicity data used in the SSD</w:t>
      </w:r>
      <w:r>
        <w:t xml:space="preserve">. </w:t>
      </w:r>
      <w:r w:rsidRPr="00BE548F">
        <w:t>For the agricultural and residential/parkland land uses, the SQGs derived using a</w:t>
      </w:r>
      <w:r>
        <w:t>n</w:t>
      </w:r>
      <w:r w:rsidRPr="00BE548F">
        <w:t xml:space="preserve"> SSD (IC</w:t>
      </w:r>
      <w:r w:rsidRPr="00BF46A1">
        <w:rPr>
          <w:vertAlign w:val="subscript"/>
        </w:rPr>
        <w:t>25</w:t>
      </w:r>
      <w:r w:rsidRPr="00BE548F">
        <w:t xml:space="preserve"> and/or EC</w:t>
      </w:r>
      <w:r w:rsidRPr="00BF46A1">
        <w:rPr>
          <w:vertAlign w:val="subscript"/>
        </w:rPr>
        <w:t>25</w:t>
      </w:r>
      <w:r w:rsidRPr="00BE548F">
        <w:t xml:space="preserve"> data) are set to protect 75% of species and soil processes while</w:t>
      </w:r>
      <w:r>
        <w:t>,</w:t>
      </w:r>
      <w:r w:rsidRPr="00BE548F">
        <w:t xml:space="preserve"> for commercial and industry land uses, 50% of the species are protected</w:t>
      </w:r>
      <w:r>
        <w:t xml:space="preserve">. </w:t>
      </w:r>
      <w:r w:rsidRPr="00BE548F">
        <w:t>A full description of the methodology can be found online at</w:t>
      </w:r>
      <w:r>
        <w:t xml:space="preserve"> </w:t>
      </w:r>
      <w:r w:rsidRPr="00877E7F">
        <w:t>www.ccme.ca/assets/pdf/sg_protocol_1332_e.pdf</w:t>
      </w:r>
      <w:r>
        <w:t>.</w:t>
      </w:r>
    </w:p>
    <w:p w:rsidR="009F182B" w:rsidRPr="00BE548F" w:rsidRDefault="009F182B" w:rsidP="006C2E16"/>
    <w:p w:rsidR="006C2E16" w:rsidRDefault="006C2E16" w:rsidP="006C2E16">
      <w:r w:rsidRPr="00BE548F">
        <w:t xml:space="preserve">If sufficient toxicity data </w:t>
      </w:r>
      <w:r>
        <w:t>is</w:t>
      </w:r>
      <w:r w:rsidRPr="00BE548F">
        <w:t xml:space="preserve"> available, the SQGs distinguish between two generic soil types: coarse-textured soils (soils containing predominantly sand and gravel) and fine-textured soils (soils containing predominantly silt and clay)</w:t>
      </w:r>
      <w:r>
        <w:t xml:space="preserve">. </w:t>
      </w:r>
      <w:r w:rsidRPr="00BE548F">
        <w:t>This separation has been made as contaminant fate, transport and bioavailability are dependent to varying degrees on soil texture, moisture content and other factors</w:t>
      </w:r>
      <w:r>
        <w:t xml:space="preserve">. </w:t>
      </w:r>
      <w:r w:rsidRPr="00BE548F">
        <w:t xml:space="preserve">Separation </w:t>
      </w:r>
      <w:r>
        <w:t>of</w:t>
      </w:r>
      <w:r w:rsidRPr="00BE548F">
        <w:t xml:space="preserve"> the two soil types can thereby minimise the uncertainty in guideline derivation introduced by soil variability. </w:t>
      </w:r>
    </w:p>
    <w:p w:rsidR="009F182B" w:rsidRPr="00BE548F" w:rsidRDefault="009F182B" w:rsidP="006C2E16"/>
    <w:p w:rsidR="006C2E16" w:rsidRDefault="006C2E16" w:rsidP="006C2E16">
      <w:r w:rsidRPr="00BE548F">
        <w:t xml:space="preserve">Thirty-two SQGs have been produced using the </w:t>
      </w:r>
      <w:r>
        <w:t>1999</w:t>
      </w:r>
      <w:r w:rsidRPr="00BE548F">
        <w:t xml:space="preserve"> or 2006 derivation protocol, and 34 interim remediation criteria in soils remain (established in 1991) that have not yet been replaced by the SQG protocol</w:t>
      </w:r>
      <w:r>
        <w:t xml:space="preserve">. </w:t>
      </w:r>
      <w:r w:rsidRPr="00BE548F">
        <w:t xml:space="preserve">A complete list of </w:t>
      </w:r>
      <w:r>
        <w:t>SSQs</w:t>
      </w:r>
      <w:r w:rsidRPr="00BE548F">
        <w:t xml:space="preserve"> and interim remediation criteria can be viewed at</w:t>
      </w:r>
      <w:r>
        <w:t xml:space="preserve"> www.</w:t>
      </w:r>
      <w:r w:rsidRPr="00877E7F">
        <w:t>documents.ccme.ca</w:t>
      </w:r>
      <w:r w:rsidRPr="00BE548F">
        <w:t xml:space="preserve">. </w:t>
      </w:r>
    </w:p>
    <w:p w:rsidR="009F182B" w:rsidRPr="00BE548F" w:rsidRDefault="009F182B" w:rsidP="006C2E16"/>
    <w:p w:rsidR="006C2E16" w:rsidRDefault="006C2E16" w:rsidP="006C2E16">
      <w:r w:rsidRPr="00BE548F">
        <w:t>The SQGs include: arsenic (inorganic), barium, benzene, benzo(</w:t>
      </w:r>
      <w:r w:rsidRPr="00BE548F">
        <w:rPr>
          <w:i/>
          <w:iCs/>
        </w:rPr>
        <w:t>a</w:t>
      </w:r>
      <w:r w:rsidRPr="00BE548F">
        <w:t xml:space="preserve">)pyrene, cadmium, </w:t>
      </w:r>
      <w:r>
        <w:t>chromium</w:t>
      </w:r>
      <w:r w:rsidRPr="00BE548F">
        <w:t xml:space="preserve"> (total and Cr VI), </w:t>
      </w:r>
      <w:r>
        <w:t>copper</w:t>
      </w:r>
      <w:r w:rsidRPr="00BE548F">
        <w:t xml:space="preserve">, cyanide (free), DDT (total), di-isopropanolamine, ethylbenzene, ethylene glycol, </w:t>
      </w:r>
      <w:r>
        <w:t>lead</w:t>
      </w:r>
      <w:r w:rsidRPr="00BE548F">
        <w:t xml:space="preserve">, mercury (inorganic), naphthalene, </w:t>
      </w:r>
      <w:r>
        <w:t>nickel</w:t>
      </w:r>
      <w:r w:rsidRPr="00BE548F">
        <w:t>, nonylphenol (and its ethyloxylates), pentachlorophenol, phenol, PCBs, polychlorinated dibenzo-</w:t>
      </w:r>
      <w:r w:rsidRPr="00BE548F">
        <w:rPr>
          <w:i/>
          <w:iCs/>
        </w:rPr>
        <w:t>p</w:t>
      </w:r>
      <w:r w:rsidRPr="00BE548F">
        <w:t>-dioxins/dibenzofurans (PCDD/Fs), propylene glycol, selenium sulfolane, tetrachloroethylene, thallium, toluene, trichloroethylene, uranium, vanadium, xylenes</w:t>
      </w:r>
      <w:r>
        <w:t>,</w:t>
      </w:r>
      <w:r w:rsidRPr="00BE548F">
        <w:t xml:space="preserve"> and </w:t>
      </w:r>
      <w:r>
        <w:t>zinc</w:t>
      </w:r>
      <w:r w:rsidRPr="00BE548F">
        <w:t xml:space="preserve">. </w:t>
      </w:r>
    </w:p>
    <w:p w:rsidR="009F182B" w:rsidRPr="00BE548F" w:rsidRDefault="009F182B" w:rsidP="006C2E16"/>
    <w:p w:rsidR="006C2E16" w:rsidRPr="00BE548F" w:rsidRDefault="006C2E16" w:rsidP="006C2E16">
      <w:r w:rsidRPr="00BE548F">
        <w:t>The interim remediation criteria include: conductivity, pH, sodium adsorption ratio, antimony, beryllium, boron (hot water soluble), cobalt, fluoride (total), molybdenum, silver, sul</w:t>
      </w:r>
      <w:r>
        <w:t>f</w:t>
      </w:r>
      <w:r w:rsidRPr="00BE548F">
        <w:t xml:space="preserve">ur (elemental), tin, chlorobenzene, 1,2-dichlorobenzene, 1,3-dichlorobenzene, 1,4-dichlorobenzene, styrene, chlorophenols, nonchlorinated phenolic compounds, </w:t>
      </w:r>
      <w:r>
        <w:t>b</w:t>
      </w:r>
      <w:r w:rsidRPr="00BE548F">
        <w:t>enzo(</w:t>
      </w:r>
      <w:r w:rsidRPr="00BE548F">
        <w:rPr>
          <w:i/>
          <w:iCs/>
        </w:rPr>
        <w:t>a</w:t>
      </w:r>
      <w:r w:rsidRPr="00BE548F">
        <w:t xml:space="preserve">)anthtracene, </w:t>
      </w:r>
      <w:r>
        <w:t>b</w:t>
      </w:r>
      <w:r w:rsidRPr="00BE548F">
        <w:t>enzo(</w:t>
      </w:r>
      <w:r w:rsidRPr="00BE548F">
        <w:rPr>
          <w:i/>
          <w:iCs/>
        </w:rPr>
        <w:t>b</w:t>
      </w:r>
      <w:r w:rsidRPr="00BE548F">
        <w:t xml:space="preserve">)fluoranthene, </w:t>
      </w:r>
      <w:r>
        <w:t>b</w:t>
      </w:r>
      <w:r w:rsidRPr="00BE548F">
        <w:t>enzo(</w:t>
      </w:r>
      <w:r w:rsidRPr="00BE548F">
        <w:rPr>
          <w:i/>
          <w:iCs/>
        </w:rPr>
        <w:t>k</w:t>
      </w:r>
      <w:r w:rsidRPr="00BE548F">
        <w:t xml:space="preserve">)fluoranthene, </w:t>
      </w:r>
      <w:r>
        <w:t>d</w:t>
      </w:r>
      <w:r w:rsidRPr="00BE548F">
        <w:t>ibenz(</w:t>
      </w:r>
      <w:r w:rsidRPr="00BE548F">
        <w:rPr>
          <w:i/>
          <w:iCs/>
        </w:rPr>
        <w:t>a,h</w:t>
      </w:r>
      <w:r w:rsidRPr="00BE548F">
        <w:t xml:space="preserve">)anthracene, </w:t>
      </w:r>
      <w:r>
        <w:t>i</w:t>
      </w:r>
      <w:r w:rsidRPr="00BE548F">
        <w:t xml:space="preserve">ndeno(1,2,3-c,d)pyrene, </w:t>
      </w:r>
      <w:r>
        <w:t>p</w:t>
      </w:r>
      <w:r w:rsidRPr="00BE548F">
        <w:t xml:space="preserve">henanthrene, </w:t>
      </w:r>
      <w:r>
        <w:t>p</w:t>
      </w:r>
      <w:r w:rsidRPr="00BE548F">
        <w:t xml:space="preserve">yrene, </w:t>
      </w:r>
      <w:r>
        <w:t>c</w:t>
      </w:r>
      <w:r w:rsidRPr="00BE548F">
        <w:t xml:space="preserve">hlorinated aliphatics, </w:t>
      </w:r>
      <w:r>
        <w:t>c</w:t>
      </w:r>
      <w:r w:rsidRPr="00BE548F">
        <w:t xml:space="preserve">hlorobenzenes, </w:t>
      </w:r>
      <w:r>
        <w:t>h</w:t>
      </w:r>
      <w:r w:rsidRPr="00BE548F">
        <w:t xml:space="preserve">exachlorobenzene, </w:t>
      </w:r>
      <w:r>
        <w:t>h</w:t>
      </w:r>
      <w:r w:rsidRPr="00BE548F">
        <w:t xml:space="preserve">exachlorocyclohexane, nonchlorinated aliphatics, </w:t>
      </w:r>
      <w:r>
        <w:t>p</w:t>
      </w:r>
      <w:r w:rsidRPr="00BE548F">
        <w:t xml:space="preserve">hthalic acid esters, </w:t>
      </w:r>
      <w:r>
        <w:t>q</w:t>
      </w:r>
      <w:r w:rsidRPr="00BE548F">
        <w:t>uinoline</w:t>
      </w:r>
      <w:r>
        <w:t>, and</w:t>
      </w:r>
      <w:r w:rsidRPr="00BE548F">
        <w:t xml:space="preserve"> </w:t>
      </w:r>
      <w:r>
        <w:t>t</w:t>
      </w:r>
      <w:r w:rsidRPr="00BE548F">
        <w:t xml:space="preserve">hiophene. </w:t>
      </w:r>
    </w:p>
    <w:p w:rsidR="006C2E16" w:rsidRPr="00BE548F" w:rsidRDefault="006C2E16" w:rsidP="001C6BE7">
      <w:pPr>
        <w:pStyle w:val="Heading3"/>
      </w:pPr>
      <w:bookmarkStart w:id="217" w:name="_Toc255360006"/>
      <w:bookmarkStart w:id="218" w:name="_Toc269122485"/>
      <w:bookmarkStart w:id="219" w:name="_Toc351713190"/>
      <w:r w:rsidRPr="00BE548F">
        <w:t>A4</w:t>
      </w:r>
      <w:r>
        <w:t>:</w:t>
      </w:r>
      <w:r w:rsidRPr="00BE548F">
        <w:t xml:space="preserve">  EU and UK</w:t>
      </w:r>
      <w:bookmarkEnd w:id="217"/>
      <w:bookmarkEnd w:id="218"/>
      <w:bookmarkEnd w:id="219"/>
    </w:p>
    <w:p w:rsidR="006C2E16" w:rsidRPr="00BE548F" w:rsidRDefault="006C2E16" w:rsidP="006C2E16">
      <w:r w:rsidRPr="00BE548F">
        <w:t>European Union Regulation 1488/94 and Directive 98/8 require that an environmental risk assessment be carried out on notified new substances, on priority existing substances and active substances and substances of concern in a biocidal product</w:t>
      </w:r>
      <w:r>
        <w:t xml:space="preserve">. </w:t>
      </w:r>
      <w:r w:rsidRPr="00BE548F">
        <w:t xml:space="preserve">Neither the regulation nor directive provides soil guideline values, but a technical guidance document (TGD) on </w:t>
      </w:r>
      <w:r>
        <w:t>ERA</w:t>
      </w:r>
      <w:r w:rsidRPr="00BE548F">
        <w:t xml:space="preserve"> (ECB 2003) and soil guideline derivation was published as part of EU Directive 93/67 and is available online</w:t>
      </w:r>
      <w:r>
        <w:t xml:space="preserve"> at </w:t>
      </w:r>
    </w:p>
    <w:p w:rsidR="006C2E16" w:rsidRDefault="006C2E16" w:rsidP="006C2E16">
      <w:pPr>
        <w:rPr>
          <w:lang w:val="fr-FR"/>
        </w:rPr>
      </w:pPr>
      <w:r w:rsidRPr="00771F10">
        <w:rPr>
          <w:lang w:val="fr-FR"/>
        </w:rPr>
        <w:t xml:space="preserve">ecb.jrc.it/Documents/TECHNICAL_GUIDANCE_DOCUMENT/EDITION_2/tgdpart2_2ed.pdf. </w:t>
      </w:r>
    </w:p>
    <w:p w:rsidR="009F182B" w:rsidRPr="00771F10" w:rsidRDefault="009F182B" w:rsidP="006C2E16">
      <w:pPr>
        <w:rPr>
          <w:lang w:val="fr-FR"/>
        </w:rPr>
      </w:pPr>
    </w:p>
    <w:p w:rsidR="006C2E16" w:rsidRDefault="006C2E16" w:rsidP="006C2E16">
      <w:r w:rsidRPr="00BE548F">
        <w:t xml:space="preserve">Several member states, including the UK, have adopted the methodology for deriving their national </w:t>
      </w:r>
      <w:r>
        <w:t>SQGs</w:t>
      </w:r>
      <w:r w:rsidRPr="00BE548F">
        <w:t xml:space="preserve"> given in the technical guidance document (ECB 2003)</w:t>
      </w:r>
      <w:r>
        <w:t xml:space="preserve">. </w:t>
      </w:r>
      <w:r w:rsidRPr="00BE548F">
        <w:t>Eventually, all EU member states will develop SQGs and use the method recommended in the TGD (ECB 2003).</w:t>
      </w:r>
    </w:p>
    <w:p w:rsidR="009F182B" w:rsidRPr="00BE548F" w:rsidRDefault="009F182B" w:rsidP="006C2E16"/>
    <w:p w:rsidR="006C2E16" w:rsidRDefault="006C2E16" w:rsidP="006C2E16">
      <w:pPr>
        <w:rPr>
          <w:rFonts w:ascii="Verdana" w:hAnsi="Verdana" w:cs="Verdana"/>
          <w:sz w:val="20"/>
        </w:rPr>
      </w:pPr>
      <w:r w:rsidRPr="00BE548F">
        <w:t>In the UK, soil guideline values (SGVs) represent ‘intervention values’ which</w:t>
      </w:r>
      <w:r>
        <w:t>,</w:t>
      </w:r>
      <w:r w:rsidRPr="00BE548F">
        <w:t xml:space="preserve"> if exceeded, indicate potentially unacceptable risks to site users and therefore trigger further investigation</w:t>
      </w:r>
      <w:r>
        <w:t xml:space="preserve">. </w:t>
      </w:r>
      <w:r w:rsidRPr="00BE548F">
        <w:t>SGVs aim to be precautionary to ensure that all the potential sites of concern are captured at the screening stage</w:t>
      </w:r>
      <w:r w:rsidRPr="00BE548F">
        <w:rPr>
          <w:rFonts w:ascii="Verdana" w:hAnsi="Verdana" w:cs="Verdana"/>
          <w:sz w:val="20"/>
        </w:rPr>
        <w:t>.</w:t>
      </w:r>
    </w:p>
    <w:p w:rsidR="009F182B" w:rsidRPr="00BE548F" w:rsidRDefault="009F182B" w:rsidP="006C2E16"/>
    <w:p w:rsidR="006C2E16" w:rsidRDefault="006C2E16" w:rsidP="006C2E16">
      <w:r w:rsidRPr="00BE548F">
        <w:t>The SGVs are derived by calculating a predicted no</w:t>
      </w:r>
      <w:r>
        <w:t>-</w:t>
      </w:r>
      <w:r w:rsidRPr="00BE548F">
        <w:t>effect concentration (PNEC) preferably using NOEC data or estimates of NOECs (larger effect toxicity data</w:t>
      </w:r>
      <w:r>
        <w:t>,</w:t>
      </w:r>
      <w:r w:rsidRPr="00BE548F">
        <w:t xml:space="preserve"> </w:t>
      </w:r>
      <w:r>
        <w:t>for example,</w:t>
      </w:r>
      <w:r w:rsidRPr="00BE548F">
        <w:t xml:space="preserve"> EC</w:t>
      </w:r>
      <w:r w:rsidRPr="00F201FA">
        <w:rPr>
          <w:vertAlign w:val="subscript"/>
        </w:rPr>
        <w:t>50</w:t>
      </w:r>
      <w:r>
        <w:t>,</w:t>
      </w:r>
      <w:r w:rsidRPr="00BE548F">
        <w:t xml:space="preserve"> divided by a safety factor)</w:t>
      </w:r>
      <w:r>
        <w:t xml:space="preserve">. </w:t>
      </w:r>
      <w:r w:rsidRPr="00BE548F">
        <w:t>The TGD (ECB 2003) recommends that</w:t>
      </w:r>
      <w:r>
        <w:t>,</w:t>
      </w:r>
      <w:r w:rsidRPr="00BE548F">
        <w:t xml:space="preserve"> if possible, toxicity data should be normalised for the effect soil characteristics have on the toxicity of a contaminant. </w:t>
      </w:r>
    </w:p>
    <w:p w:rsidR="009F182B" w:rsidRPr="00BE548F" w:rsidRDefault="009F182B" w:rsidP="006C2E16"/>
    <w:p w:rsidR="006C2E16" w:rsidRPr="00BE548F" w:rsidRDefault="006C2E16" w:rsidP="006C2E16">
      <w:r w:rsidRPr="00BE548F">
        <w:t xml:space="preserve">The PNEC can be derived by three methodologies: </w:t>
      </w:r>
    </w:p>
    <w:p w:rsidR="006C2E16" w:rsidRPr="00BE548F" w:rsidRDefault="006C2E16" w:rsidP="001C6BE7">
      <w:pPr>
        <w:pStyle w:val="Dot-points"/>
        <w:numPr>
          <w:ilvl w:val="0"/>
          <w:numId w:val="35"/>
        </w:numPr>
      </w:pPr>
      <w:r>
        <w:t>t</w:t>
      </w:r>
      <w:r w:rsidRPr="00BE548F">
        <w:t xml:space="preserve">he </w:t>
      </w:r>
      <w:r>
        <w:t>EqP</w:t>
      </w:r>
      <w:r w:rsidRPr="00BE548F">
        <w:t xml:space="preserve"> methodology if no or very limited terrestrial toxicity data </w:t>
      </w:r>
      <w:r>
        <w:t>is</w:t>
      </w:r>
      <w:r w:rsidRPr="00BE548F">
        <w:t xml:space="preserve"> </w:t>
      </w:r>
      <w:r>
        <w:t>available</w:t>
      </w:r>
    </w:p>
    <w:p w:rsidR="006C2E16" w:rsidRPr="00BE548F" w:rsidRDefault="006C2E16" w:rsidP="001C6BE7">
      <w:pPr>
        <w:pStyle w:val="Dot-points"/>
        <w:numPr>
          <w:ilvl w:val="0"/>
          <w:numId w:val="35"/>
        </w:numPr>
      </w:pPr>
      <w:r>
        <w:t>t</w:t>
      </w:r>
      <w:r w:rsidRPr="00BE548F">
        <w:t>he AF approach if a limited data set is available</w:t>
      </w:r>
    </w:p>
    <w:p w:rsidR="006C2E16" w:rsidRPr="00BE548F" w:rsidRDefault="006C2E16" w:rsidP="001C6BE7">
      <w:pPr>
        <w:pStyle w:val="Dot-points"/>
        <w:numPr>
          <w:ilvl w:val="0"/>
          <w:numId w:val="35"/>
        </w:numPr>
      </w:pPr>
      <w:r>
        <w:t>a</w:t>
      </w:r>
      <w:r w:rsidRPr="00BE548F">
        <w:t xml:space="preserve"> statistical extrapolation using a</w:t>
      </w:r>
      <w:r>
        <w:t>n</w:t>
      </w:r>
      <w:r w:rsidRPr="00BE548F">
        <w:t xml:space="preserve"> SSD method if sufficient data (more than 10 species from 8 taxonomic groups) </w:t>
      </w:r>
      <w:r>
        <w:t>is</w:t>
      </w:r>
      <w:r w:rsidRPr="00BE548F">
        <w:t xml:space="preserve"> available. </w:t>
      </w:r>
    </w:p>
    <w:p w:rsidR="009F182B" w:rsidRDefault="009F182B" w:rsidP="006C2E16"/>
    <w:p w:rsidR="006C2E16" w:rsidRDefault="006C2E16" w:rsidP="006C2E16">
      <w:r w:rsidRPr="00BE548F">
        <w:t xml:space="preserve">For the SSD, the TGD </w:t>
      </w:r>
      <w:r>
        <w:t xml:space="preserve"> </w:t>
      </w:r>
      <w:r w:rsidRPr="00BE548F">
        <w:t>does not recommend a particular statistical distribution to be used in the SSD method</w:t>
      </w:r>
      <w:r>
        <w:t xml:space="preserve">. </w:t>
      </w:r>
      <w:r w:rsidRPr="00BE548F">
        <w:t>The output of the SSD is the HC</w:t>
      </w:r>
      <w:r w:rsidRPr="00F201FA">
        <w:rPr>
          <w:vertAlign w:val="subscript"/>
        </w:rPr>
        <w:t>5</w:t>
      </w:r>
      <w:r>
        <w:t xml:space="preserve">. </w:t>
      </w:r>
      <w:r w:rsidRPr="00BE548F">
        <w:t>Whether the HC</w:t>
      </w:r>
      <w:r w:rsidRPr="00F201FA">
        <w:rPr>
          <w:vertAlign w:val="subscript"/>
        </w:rPr>
        <w:t>5</w:t>
      </w:r>
      <w:r w:rsidRPr="00BE548F">
        <w:t xml:space="preserve"> value is protective is then assessed by the amount and type of toxicity data used in the SSD divided by an AF of between 1</w:t>
      </w:r>
      <w:r>
        <w:t xml:space="preserve"> and </w:t>
      </w:r>
      <w:r w:rsidRPr="00BE548F">
        <w:t>5, depending on the uncertainties around the HC</w:t>
      </w:r>
      <w:r w:rsidRPr="00F201FA">
        <w:rPr>
          <w:vertAlign w:val="subscript"/>
        </w:rPr>
        <w:t>5</w:t>
      </w:r>
      <w:r w:rsidRPr="00BE548F">
        <w:t xml:space="preserve">. </w:t>
      </w:r>
    </w:p>
    <w:p w:rsidR="009F182B" w:rsidRPr="00BE548F" w:rsidRDefault="009F182B" w:rsidP="006C2E16"/>
    <w:p w:rsidR="006C2E16" w:rsidRDefault="006C2E16" w:rsidP="006C2E16">
      <w:r w:rsidRPr="00BE548F">
        <w:t>Currently, the EU is performing environmental risk assessments on all the existing chemicals and these reports can be found online at</w:t>
      </w:r>
      <w:r>
        <w:t xml:space="preserve"> www.</w:t>
      </w:r>
      <w:r w:rsidRPr="00877E7F">
        <w:t>ecb.jrc.it/</w:t>
      </w:r>
      <w:r w:rsidRPr="00BE548F">
        <w:t xml:space="preserve">. </w:t>
      </w:r>
    </w:p>
    <w:p w:rsidR="009F182B" w:rsidRPr="00BE548F" w:rsidRDefault="009F182B" w:rsidP="006C2E16"/>
    <w:p w:rsidR="006C2E16" w:rsidRPr="00BE548F" w:rsidRDefault="006C2E16" w:rsidP="006C2E16">
      <w:r w:rsidRPr="00BE548F">
        <w:t>An overview document is available for methodologies used for deriving soil screening values for individual European countries (Carlon 2007) and is available online</w:t>
      </w:r>
      <w:r>
        <w:t xml:space="preserve"> at</w:t>
      </w:r>
      <w:r w:rsidRPr="00BE548F">
        <w:t xml:space="preserve"> </w:t>
      </w:r>
      <w:r>
        <w:t>www.</w:t>
      </w:r>
      <w:r w:rsidRPr="00877E7F">
        <w:t>ies.jrc.cec.eu.int/fileadmin/Documentation/Reports/RWER/EUR_2006-2007/EUR22805-EN.pdf</w:t>
      </w:r>
      <w:r w:rsidRPr="00BE548F">
        <w:t xml:space="preserve">. </w:t>
      </w:r>
    </w:p>
    <w:p w:rsidR="006C2E16" w:rsidRPr="00BE548F" w:rsidRDefault="006C2E16" w:rsidP="001C6BE7">
      <w:pPr>
        <w:pStyle w:val="Heading3"/>
      </w:pPr>
      <w:bookmarkStart w:id="220" w:name="_Toc255360007"/>
      <w:bookmarkStart w:id="221" w:name="_Toc269122486"/>
      <w:bookmarkStart w:id="222" w:name="_Toc351713191"/>
      <w:r w:rsidRPr="00BE548F">
        <w:t>A5</w:t>
      </w:r>
      <w:r>
        <w:t xml:space="preserve">: </w:t>
      </w:r>
      <w:r w:rsidRPr="00BE548F">
        <w:t>Germany</w:t>
      </w:r>
      <w:bookmarkEnd w:id="220"/>
      <w:bookmarkEnd w:id="221"/>
      <w:bookmarkEnd w:id="222"/>
    </w:p>
    <w:p w:rsidR="006C2E16" w:rsidRDefault="006C2E16" w:rsidP="006C2E16">
      <w:r w:rsidRPr="00BE548F">
        <w:t>The German Federal Soil Protection and Contaminated Sites Ordinance (BBodSchV 1999) provides a series of precautionary, trigger and action values to protect terrestrial ecosystems from adverse effects from soil contamination</w:t>
      </w:r>
      <w:r>
        <w:t xml:space="preserve">. </w:t>
      </w:r>
      <w:r w:rsidRPr="00BE548F">
        <w:t xml:space="preserve">These values are used to prevent future soil contamination and for remediation of contaminated sites. </w:t>
      </w:r>
    </w:p>
    <w:p w:rsidR="009F182B" w:rsidRPr="00BE548F" w:rsidRDefault="009F182B" w:rsidP="006C2E16"/>
    <w:p w:rsidR="006C2E16" w:rsidRDefault="006C2E16" w:rsidP="006C2E16">
      <w:r w:rsidRPr="00BE548F">
        <w:t xml:space="preserve">Precautionary values indicate a potential future soil impairment </w:t>
      </w:r>
      <w:r>
        <w:t>that</w:t>
      </w:r>
      <w:r w:rsidRPr="00BE548F">
        <w:t xml:space="preserve"> should be averted. For inorganic chemicals, precautionary values are derived for three soil types: sandy, silt</w:t>
      </w:r>
      <w:r>
        <w:sym w:font="Symbol" w:char="F02D"/>
      </w:r>
      <w:r w:rsidRPr="00BE548F">
        <w:t>loam and clay soils</w:t>
      </w:r>
      <w:r>
        <w:t xml:space="preserve">. </w:t>
      </w:r>
      <w:r w:rsidRPr="00BE548F">
        <w:t>For organic chemicals, precautionary values are derived for two soil types: soils with a humus content &gt;8% and with a humus content ≤8 %</w:t>
      </w:r>
      <w:r>
        <w:t xml:space="preserve">. </w:t>
      </w:r>
      <w:r w:rsidRPr="00BE548F">
        <w:t xml:space="preserve">The </w:t>
      </w:r>
      <w:r>
        <w:t>o</w:t>
      </w:r>
      <w:r w:rsidRPr="00BE548F">
        <w:t xml:space="preserve">rdinance does not give guidance on how to derive precautionary values. </w:t>
      </w:r>
    </w:p>
    <w:p w:rsidR="009F182B" w:rsidRPr="00BE548F" w:rsidRDefault="009F182B" w:rsidP="006C2E16"/>
    <w:p w:rsidR="006C2E16" w:rsidRDefault="006C2E16" w:rsidP="006C2E16">
      <w:pPr>
        <w:rPr>
          <w:szCs w:val="22"/>
        </w:rPr>
      </w:pPr>
      <w:r w:rsidRPr="00B101F8">
        <w:rPr>
          <w:szCs w:val="22"/>
        </w:rPr>
        <w:t xml:space="preserve">Once the precautionary values have been exceeded, the ordinance (BBodSchV 1999) provides additional annual loading limits of the contaminants to prevent the soil concentration reaching the trigger or action values and causing adverse effects. </w:t>
      </w:r>
    </w:p>
    <w:p w:rsidR="009F182B" w:rsidRPr="00B101F8" w:rsidRDefault="009F182B" w:rsidP="006C2E16">
      <w:pPr>
        <w:rPr>
          <w:szCs w:val="22"/>
        </w:rPr>
      </w:pPr>
    </w:p>
    <w:p w:rsidR="006C2E16" w:rsidRPr="00BE548F" w:rsidRDefault="006C2E16" w:rsidP="006C2E16">
      <w:r w:rsidRPr="00BE548F">
        <w:t>Trigger values trigger the investigation of the contaminated site to ascertain if the contaminant poses a hazard</w:t>
      </w:r>
      <w:r>
        <w:t xml:space="preserve">. </w:t>
      </w:r>
      <w:r w:rsidRPr="00BE548F">
        <w:t>Action values represent a direct hazard situation which should be prevented and therefore soils exceeding action values should be remediated</w:t>
      </w:r>
      <w:r>
        <w:t xml:space="preserve">. </w:t>
      </w:r>
      <w:r w:rsidRPr="00BE548F">
        <w:t>Action and trigger values are land</w:t>
      </w:r>
      <w:r>
        <w:t xml:space="preserve"> </w:t>
      </w:r>
      <w:r w:rsidRPr="00BE548F">
        <w:t>use</w:t>
      </w:r>
      <w:r>
        <w:t>-</w:t>
      </w:r>
      <w:r w:rsidRPr="00BE548F">
        <w:t>depend</w:t>
      </w:r>
      <w:r>
        <w:t>e</w:t>
      </w:r>
      <w:r w:rsidRPr="00BE548F">
        <w:t>nt and specific exposure pathways are assigned to each land use</w:t>
      </w:r>
      <w:r>
        <w:t xml:space="preserve">. </w:t>
      </w:r>
      <w:r w:rsidRPr="00BE548F">
        <w:t>Trigger and action values are developed for three exposure pathways: soil to human, soil to plant and soil to groundwater</w:t>
      </w:r>
      <w:r>
        <w:t xml:space="preserve">. </w:t>
      </w:r>
      <w:r w:rsidRPr="00BE548F">
        <w:t>Trigger values for inorganic contaminants and the soil to plant pathway are, if possible, based on an estimate of the bioavailable concentration (</w:t>
      </w:r>
      <w:r>
        <w:t>that is,</w:t>
      </w:r>
      <w:r w:rsidRPr="00BE548F">
        <w:t xml:space="preserve"> measured in 1 M NH</w:t>
      </w:r>
      <w:r w:rsidRPr="00BE548F">
        <w:rPr>
          <w:vertAlign w:val="subscript"/>
        </w:rPr>
        <w:t>4</w:t>
      </w:r>
      <w:r w:rsidRPr="00BE548F">
        <w:t>NO</w:t>
      </w:r>
      <w:r w:rsidRPr="00BE548F">
        <w:rPr>
          <w:vertAlign w:val="subscript"/>
        </w:rPr>
        <w:t>3</w:t>
      </w:r>
      <w:r w:rsidRPr="00BE548F">
        <w:t xml:space="preserve"> soil extraction)</w:t>
      </w:r>
      <w:r>
        <w:t xml:space="preserve">. </w:t>
      </w:r>
      <w:r w:rsidRPr="00BE548F">
        <w:t xml:space="preserve">The soil to plant values </w:t>
      </w:r>
      <w:r w:rsidRPr="00BE548F">
        <w:lastRenderedPageBreak/>
        <w:t>are based on regression analyses between soil and plant concentrations of the contaminant</w:t>
      </w:r>
      <w:r>
        <w:t xml:space="preserve">. </w:t>
      </w:r>
      <w:r w:rsidRPr="00BE548F">
        <w:t>A maximum internal plant concentration is set, either based on human health issue</w:t>
      </w:r>
      <w:r>
        <w:t>s</w:t>
      </w:r>
      <w:r w:rsidRPr="00BE548F">
        <w:t xml:space="preserve"> or plant toxicity, and the corresponding soil concentration, based on the linear regression, is the trigger or action value. </w:t>
      </w:r>
    </w:p>
    <w:p w:rsidR="006C2E16" w:rsidRPr="00BE548F" w:rsidRDefault="006C2E16" w:rsidP="001C6BE7">
      <w:pPr>
        <w:pStyle w:val="Heading3"/>
      </w:pPr>
      <w:bookmarkStart w:id="223" w:name="_Toc255360008"/>
      <w:bookmarkStart w:id="224" w:name="_Toc269122487"/>
      <w:bookmarkStart w:id="225" w:name="_Toc351713192"/>
      <w:r w:rsidRPr="00BE548F">
        <w:t>A6</w:t>
      </w:r>
      <w:r>
        <w:t xml:space="preserve">: </w:t>
      </w:r>
      <w:r w:rsidRPr="00BE548F">
        <w:t>New Zealand</w:t>
      </w:r>
      <w:bookmarkEnd w:id="223"/>
      <w:bookmarkEnd w:id="224"/>
      <w:bookmarkEnd w:id="225"/>
    </w:p>
    <w:p w:rsidR="006C2E16" w:rsidRDefault="006C2E16" w:rsidP="006C2E16">
      <w:r w:rsidRPr="00BE548F">
        <w:t>The New Zealand Ministry for the Environment has developed environmental guideline values (EGVs) for contaminated land assessment</w:t>
      </w:r>
      <w:r>
        <w:t>,</w:t>
      </w:r>
      <w:r w:rsidRPr="00BE548F">
        <w:t xml:space="preserve"> which are available online</w:t>
      </w:r>
      <w:r>
        <w:t xml:space="preserve"> at </w:t>
      </w:r>
      <w:r>
        <w:br/>
      </w:r>
      <w:r w:rsidRPr="003B1512">
        <w:t>www.mfe.govt.nz/publications/hazardous/contaminated-land-mgmt-guidelines-no2/</w:t>
      </w:r>
      <w:r>
        <w:br/>
      </w:r>
      <w:r w:rsidRPr="003B1512">
        <w:t>contaminated-land-mgmt-guidelines-no2.pdf</w:t>
      </w:r>
      <w:r>
        <w:t xml:space="preserve">. </w:t>
      </w:r>
      <w:r w:rsidRPr="00BE548F">
        <w:t>The contaminated land management guidelines are not regulations but a guideline to obtain the most appropriate EGVs for a contaminated site.</w:t>
      </w:r>
    </w:p>
    <w:p w:rsidR="009F182B" w:rsidRPr="00BE548F" w:rsidRDefault="009F182B" w:rsidP="006C2E16"/>
    <w:p w:rsidR="006C2E16" w:rsidRDefault="006C2E16" w:rsidP="006C2E16">
      <w:r w:rsidRPr="00BE548F">
        <w:t>New Zealand EGVs contain values with some derived within New Zealand and others by international regulators (</w:t>
      </w:r>
      <w:r>
        <w:t xml:space="preserve">for example, </w:t>
      </w:r>
      <w:r w:rsidRPr="00BE548F">
        <w:t>Canada, the Netherlands, US</w:t>
      </w:r>
      <w:r>
        <w:t>A</w:t>
      </w:r>
      <w:r w:rsidRPr="00BE548F">
        <w:t>, Australia)</w:t>
      </w:r>
      <w:r>
        <w:t xml:space="preserve">. </w:t>
      </w:r>
      <w:r w:rsidRPr="00BE548F">
        <w:t>Therefore</w:t>
      </w:r>
      <w:r>
        <w:t>,</w:t>
      </w:r>
      <w:r w:rsidRPr="00BE548F">
        <w:t xml:space="preserve"> a suite of methods w</w:t>
      </w:r>
      <w:r>
        <w:t>as</w:t>
      </w:r>
      <w:r w:rsidRPr="00BE548F">
        <w:t xml:space="preserve"> used to derive these values</w:t>
      </w:r>
      <w:r>
        <w:t xml:space="preserve">. </w:t>
      </w:r>
      <w:r w:rsidRPr="00BE548F">
        <w:t>A distinction was made between risk-</w:t>
      </w:r>
      <w:r>
        <w:t>based</w:t>
      </w:r>
      <w:r w:rsidRPr="00BE548F">
        <w:t xml:space="preserve"> and threshold-based EGVs which </w:t>
      </w:r>
      <w:r>
        <w:t>is</w:t>
      </w:r>
      <w:r w:rsidRPr="00BE548F">
        <w:t xml:space="preserve"> based on quality and quantity of the data available and the method used to derive the values</w:t>
      </w:r>
      <w:r>
        <w:t xml:space="preserve">. </w:t>
      </w:r>
    </w:p>
    <w:p w:rsidR="009F182B" w:rsidRDefault="009F182B" w:rsidP="006C2E16"/>
    <w:p w:rsidR="006C2E16" w:rsidRDefault="006C2E16" w:rsidP="006C2E16">
      <w:r w:rsidRPr="00BE548F">
        <w:t>Risk-based values are derived from a given exposure scenario</w:t>
      </w:r>
      <w:r>
        <w:t xml:space="preserve">; for example, </w:t>
      </w:r>
      <w:r w:rsidRPr="00BE548F">
        <w:t xml:space="preserve">protection of human health or the protection of a nominal proportion of species in an ecosystem and thus </w:t>
      </w:r>
      <w:r>
        <w:t xml:space="preserve">are </w:t>
      </w:r>
      <w:r w:rsidRPr="00BE548F">
        <w:t xml:space="preserve">calculated using a SSD method. </w:t>
      </w:r>
    </w:p>
    <w:p w:rsidR="009F182B" w:rsidRDefault="009F182B" w:rsidP="006C2E16"/>
    <w:p w:rsidR="006C2E16" w:rsidRDefault="006C2E16" w:rsidP="006C2E16">
      <w:r w:rsidRPr="00BE548F">
        <w:t xml:space="preserve">Threshold values may be derived from toxicological data where insufficient data </w:t>
      </w:r>
      <w:r>
        <w:t>is</w:t>
      </w:r>
      <w:r w:rsidRPr="00BE548F">
        <w:t xml:space="preserve"> available to calculate risk-based values</w:t>
      </w:r>
      <w:r>
        <w:t xml:space="preserve">. </w:t>
      </w:r>
      <w:r w:rsidRPr="00BE548F">
        <w:t xml:space="preserve">The EGVs may also be classified as threshold values where insufficient information on their derivation is provided. </w:t>
      </w:r>
    </w:p>
    <w:p w:rsidR="009F182B" w:rsidRPr="00BE548F" w:rsidRDefault="009F182B" w:rsidP="006C2E16"/>
    <w:p w:rsidR="006C2E16" w:rsidRPr="00BE548F" w:rsidRDefault="006C2E16" w:rsidP="006C2E16">
      <w:r w:rsidRPr="00BE548F">
        <w:t>A hierarchy was established to determine the order in which EGVs should be used in a contaminated site assessment</w:t>
      </w:r>
      <w:r>
        <w:t xml:space="preserve">. </w:t>
      </w:r>
      <w:r w:rsidRPr="00BE548F">
        <w:t>The hierarchy i</w:t>
      </w:r>
      <w:r>
        <w:t>n</w:t>
      </w:r>
      <w:r w:rsidRPr="00BE548F">
        <w:t xml:space="preserve"> descending order of use is: </w:t>
      </w:r>
    </w:p>
    <w:p w:rsidR="006C2E16" w:rsidRPr="00BE548F" w:rsidRDefault="006C2E16" w:rsidP="001C6BE7">
      <w:pPr>
        <w:pStyle w:val="text"/>
        <w:numPr>
          <w:ilvl w:val="0"/>
          <w:numId w:val="34"/>
        </w:numPr>
      </w:pPr>
      <w:r w:rsidRPr="00BE548F">
        <w:t>New Z</w:t>
      </w:r>
      <w:r>
        <w:t>ealand-derived risk-based EGVs</w:t>
      </w:r>
    </w:p>
    <w:p w:rsidR="006C2E16" w:rsidRPr="00BE548F" w:rsidRDefault="006C2E16" w:rsidP="001C6BE7">
      <w:pPr>
        <w:pStyle w:val="text"/>
        <w:numPr>
          <w:ilvl w:val="0"/>
          <w:numId w:val="34"/>
        </w:numPr>
      </w:pPr>
      <w:r>
        <w:t>r</w:t>
      </w:r>
      <w:r w:rsidRPr="00BE548F">
        <w:t xml:space="preserve">isk-based EGVs </w:t>
      </w:r>
      <w:r>
        <w:t>from other national regulators</w:t>
      </w:r>
    </w:p>
    <w:p w:rsidR="006C2E16" w:rsidRPr="00BE548F" w:rsidRDefault="006C2E16" w:rsidP="001C6BE7">
      <w:pPr>
        <w:pStyle w:val="text"/>
        <w:numPr>
          <w:ilvl w:val="0"/>
          <w:numId w:val="34"/>
        </w:numPr>
      </w:pPr>
      <w:r w:rsidRPr="00BE548F">
        <w:t>New Zealand</w:t>
      </w:r>
      <w:r>
        <w:t>-</w:t>
      </w:r>
      <w:r w:rsidRPr="00BE548F">
        <w:t>derived threshold EGVs</w:t>
      </w:r>
    </w:p>
    <w:p w:rsidR="006C2E16" w:rsidRPr="00BE548F" w:rsidRDefault="006C2E16" w:rsidP="001C6BE7">
      <w:pPr>
        <w:pStyle w:val="text"/>
        <w:numPr>
          <w:ilvl w:val="0"/>
          <w:numId w:val="34"/>
        </w:numPr>
      </w:pPr>
      <w:r>
        <w:t>t</w:t>
      </w:r>
      <w:r w:rsidRPr="00BE548F">
        <w:t>hreshold EGVs from other national regulator</w:t>
      </w:r>
      <w:r>
        <w:t>s.</w:t>
      </w:r>
    </w:p>
    <w:p w:rsidR="009F182B" w:rsidRDefault="009F182B" w:rsidP="006C2E16"/>
    <w:p w:rsidR="006C2E16" w:rsidRDefault="006C2E16" w:rsidP="006C2E16">
      <w:r w:rsidRPr="00BE548F">
        <w:t xml:space="preserve">Although EGVs are provided, the </w:t>
      </w:r>
      <w:smartTag w:uri="urn:schemas-microsoft-com:office:smarttags" w:element="country-region">
        <w:smartTag w:uri="urn:schemas-microsoft-com:office:smarttags" w:element="place">
          <w:r w:rsidRPr="00BE548F">
            <w:t>New Zealand</w:t>
          </w:r>
        </w:smartTag>
      </w:smartTag>
      <w:r w:rsidRPr="00BE548F">
        <w:t xml:space="preserve"> framework stresses that the original reference document for a</w:t>
      </w:r>
      <w:r>
        <w:t>n</w:t>
      </w:r>
      <w:r w:rsidRPr="00BE548F">
        <w:t xml:space="preserve"> EGV must be referred to in order to assess if the EGV is relevant for the contaminated soil being investigated</w:t>
      </w:r>
      <w:r>
        <w:t xml:space="preserve">. </w:t>
      </w:r>
      <w:r w:rsidRPr="00BE548F">
        <w:t>Therefore</w:t>
      </w:r>
      <w:r>
        <w:t>,</w:t>
      </w:r>
      <w:r w:rsidRPr="00BE548F">
        <w:t xml:space="preserve"> the EGVs and the framework are guidelines to obtain the most relevant EGV for a contaminated site.</w:t>
      </w:r>
    </w:p>
    <w:p w:rsidR="006C2E16" w:rsidRDefault="006C2E16" w:rsidP="001C6BE7">
      <w:pPr>
        <w:pStyle w:val="Heading2"/>
      </w:pPr>
      <w:bookmarkStart w:id="226" w:name="_Toc255360009"/>
      <w:bookmarkStart w:id="227" w:name="_Toc269122488"/>
      <w:bookmarkStart w:id="228" w:name="_Toc351713193"/>
      <w:r w:rsidRPr="00BE548F">
        <w:t>Appendix B: method for deriving EILs that protect aquatic ecosystems</w:t>
      </w:r>
      <w:bookmarkEnd w:id="226"/>
      <w:bookmarkEnd w:id="227"/>
      <w:bookmarkEnd w:id="228"/>
    </w:p>
    <w:p w:rsidR="006C2E16" w:rsidRPr="00BE548F" w:rsidRDefault="006C2E16" w:rsidP="001C6BE7">
      <w:pPr>
        <w:pStyle w:val="Heading3"/>
      </w:pPr>
      <w:bookmarkStart w:id="229" w:name="_Toc255360010"/>
      <w:bookmarkStart w:id="230" w:name="_Toc269122489"/>
      <w:bookmarkStart w:id="231" w:name="_Toc351713194"/>
      <w:r w:rsidRPr="00BE548F">
        <w:t>Determining the leaching potential of inorganic contaminants</w:t>
      </w:r>
      <w:bookmarkEnd w:id="229"/>
      <w:bookmarkEnd w:id="230"/>
      <w:bookmarkEnd w:id="231"/>
    </w:p>
    <w:p w:rsidR="006C2E16" w:rsidRPr="00BE548F" w:rsidRDefault="006C2E16" w:rsidP="006C2E16">
      <w:r w:rsidRPr="00BE548F">
        <w:t>The key physicochemical property of inorganic contaminants that controls their potential movement to ground and/or surface waters is the soil</w:t>
      </w:r>
      <w:r>
        <w:sym w:font="Symbol" w:char="F02D"/>
      </w:r>
      <w:r w:rsidRPr="00BE548F">
        <w:t>water partition coefficient (K</w:t>
      </w:r>
      <w:r w:rsidRPr="001A13BC">
        <w:rPr>
          <w:vertAlign w:val="subscript"/>
        </w:rPr>
        <w:t>d</w:t>
      </w:r>
      <w:r w:rsidRPr="00BE548F">
        <w:t>)</w:t>
      </w:r>
      <w:r>
        <w:t xml:space="preserve">. </w:t>
      </w:r>
      <w:r w:rsidRPr="00BE548F">
        <w:t>This is the ratio of the concentration of a contaminant bound to the soil to that dissolved in soil pore water at equilibrium and therefore is related to the aqueous solubility of that contaminant</w:t>
      </w:r>
      <w:r>
        <w:t xml:space="preserve">. </w:t>
      </w:r>
      <w:r w:rsidRPr="00BE548F">
        <w:t>The lower the K</w:t>
      </w:r>
      <w:r w:rsidRPr="001A13BC">
        <w:rPr>
          <w:vertAlign w:val="subscript"/>
        </w:rPr>
        <w:t>d</w:t>
      </w:r>
      <w:r w:rsidRPr="00BE548F">
        <w:t>, the more of a contaminant that will be present in the soil pore water</w:t>
      </w:r>
      <w:r>
        <w:t xml:space="preserve">. </w:t>
      </w:r>
      <w:r w:rsidRPr="00BE548F">
        <w:t>This may increase the potential for plants and soil invertebrates to be exposed via the pore water and increase the potential for leaching to groundwater and for groundwater organisms to be exposed</w:t>
      </w:r>
      <w:r>
        <w:t xml:space="preserve">. </w:t>
      </w:r>
      <w:r w:rsidRPr="00BE548F">
        <w:t>Although K</w:t>
      </w:r>
      <w:r w:rsidRPr="001A13BC">
        <w:rPr>
          <w:vertAlign w:val="subscript"/>
        </w:rPr>
        <w:t>d</w:t>
      </w:r>
      <w:r w:rsidRPr="00BE548F">
        <w:t xml:space="preserve"> is soil</w:t>
      </w:r>
      <w:r>
        <w:t>-</w:t>
      </w:r>
      <w:r w:rsidRPr="00BE548F">
        <w:t xml:space="preserve"> and contaminant</w:t>
      </w:r>
      <w:r>
        <w:t>-</w:t>
      </w:r>
      <w:r w:rsidRPr="00BE548F">
        <w:t>dependent, a conservative cut</w:t>
      </w:r>
      <w:r>
        <w:t>-</w:t>
      </w:r>
      <w:r w:rsidRPr="00BE548F">
        <w:t>off point for inorganics at a log K</w:t>
      </w:r>
      <w:r w:rsidRPr="001A13BC">
        <w:rPr>
          <w:vertAlign w:val="subscript"/>
        </w:rPr>
        <w:t>d</w:t>
      </w:r>
      <w:r w:rsidRPr="00BE548F">
        <w:t xml:space="preserve"> of 3 is used in the methodology</w:t>
      </w:r>
      <w:r>
        <w:t xml:space="preserve">. </w:t>
      </w:r>
      <w:r w:rsidRPr="00BE548F">
        <w:t>The log K</w:t>
      </w:r>
      <w:r w:rsidRPr="001A13BC">
        <w:rPr>
          <w:vertAlign w:val="subscript"/>
        </w:rPr>
        <w:t>d</w:t>
      </w:r>
      <w:r w:rsidRPr="00BE548F">
        <w:t xml:space="preserve"> thresholds are presented in Table B1.</w:t>
      </w:r>
    </w:p>
    <w:p w:rsidR="0003580B" w:rsidRDefault="0003580B">
      <w:pPr>
        <w:spacing w:line="240" w:lineRule="auto"/>
        <w:rPr>
          <w:rFonts w:ascii="Book Antiqua" w:eastAsia="Times New Roman" w:hAnsi="Book Antiqua" w:cs="Book Antiqua"/>
          <w:b/>
          <w:bCs/>
          <w:szCs w:val="22"/>
          <w:lang w:eastAsia="en-AU"/>
        </w:rPr>
      </w:pPr>
      <w:r>
        <w:br w:type="page"/>
      </w:r>
    </w:p>
    <w:p w:rsidR="006C2E16" w:rsidRPr="00B326B6" w:rsidRDefault="006C2E16" w:rsidP="006C2E16">
      <w:pPr>
        <w:pStyle w:val="Caption"/>
      </w:pPr>
      <w:r w:rsidRPr="00B326B6">
        <w:lastRenderedPageBreak/>
        <w:t>Table B1</w:t>
      </w:r>
      <w:r>
        <w:t>.</w:t>
      </w:r>
      <w:r w:rsidRPr="00B326B6">
        <w:t xml:space="preserve"> Classification system used for the mobility of inorganic contaminants in soil, based on the logarithm of the soil</w:t>
      </w:r>
      <w:r>
        <w:sym w:font="Symbol" w:char="F02D"/>
      </w:r>
      <w:r w:rsidRPr="00B326B6">
        <w:t>water partition coefficient (log K</w:t>
      </w:r>
      <w:r w:rsidRPr="001A13BC">
        <w:rPr>
          <w:vertAlign w:val="subscript"/>
        </w:rPr>
        <w:t>d</w:t>
      </w:r>
      <w:r w:rsidRPr="00B326B6">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780"/>
      </w:tblGrid>
      <w:tr w:rsidR="006C2E16" w:rsidRPr="00F71F2E" w:rsidTr="00A10D4B">
        <w:tc>
          <w:tcPr>
            <w:tcW w:w="2340" w:type="dxa"/>
            <w:shd w:val="clear" w:color="auto" w:fill="C6D9F1" w:themeFill="text2" w:themeFillTint="33"/>
          </w:tcPr>
          <w:p w:rsidR="006C2E16" w:rsidRPr="00F71F2E" w:rsidRDefault="006C2E16" w:rsidP="00A10D4B">
            <w:pPr>
              <w:spacing w:line="240" w:lineRule="atLeast"/>
              <w:jc w:val="center"/>
              <w:rPr>
                <w:b/>
                <w:bCs/>
                <w:szCs w:val="22"/>
              </w:rPr>
            </w:pPr>
            <w:r w:rsidRPr="00F71F2E">
              <w:rPr>
                <w:b/>
                <w:bCs/>
                <w:szCs w:val="22"/>
              </w:rPr>
              <w:t>Log K</w:t>
            </w:r>
            <w:r w:rsidRPr="00F71F2E">
              <w:rPr>
                <w:b/>
                <w:bCs/>
                <w:szCs w:val="22"/>
                <w:vertAlign w:val="subscript"/>
              </w:rPr>
              <w:t>d</w:t>
            </w:r>
            <w:r w:rsidRPr="00F71F2E">
              <w:rPr>
                <w:b/>
                <w:bCs/>
                <w:szCs w:val="22"/>
              </w:rPr>
              <w:t xml:space="preserve"> value</w:t>
            </w:r>
          </w:p>
        </w:tc>
        <w:tc>
          <w:tcPr>
            <w:tcW w:w="3780" w:type="dxa"/>
            <w:shd w:val="clear" w:color="auto" w:fill="C6D9F1" w:themeFill="text2" w:themeFillTint="33"/>
          </w:tcPr>
          <w:p w:rsidR="006C2E16" w:rsidRPr="00F71F2E" w:rsidRDefault="006C2E16" w:rsidP="00A10D4B">
            <w:pPr>
              <w:spacing w:line="240" w:lineRule="atLeast"/>
              <w:jc w:val="center"/>
              <w:rPr>
                <w:b/>
                <w:bCs/>
                <w:szCs w:val="22"/>
              </w:rPr>
            </w:pPr>
            <w:r w:rsidRPr="00F71F2E">
              <w:rPr>
                <w:b/>
                <w:bCs/>
                <w:szCs w:val="22"/>
              </w:rPr>
              <w:t>Leachability</w:t>
            </w:r>
          </w:p>
        </w:tc>
      </w:tr>
      <w:tr w:rsidR="006C2E16" w:rsidRPr="00F71F2E" w:rsidTr="00A10D4B">
        <w:tc>
          <w:tcPr>
            <w:tcW w:w="2340" w:type="dxa"/>
          </w:tcPr>
          <w:p w:rsidR="006C2E16" w:rsidRPr="00F71F2E" w:rsidRDefault="006C2E16" w:rsidP="00A10D4B">
            <w:pPr>
              <w:spacing w:line="240" w:lineRule="atLeast"/>
              <w:rPr>
                <w:szCs w:val="22"/>
              </w:rPr>
            </w:pPr>
            <w:r w:rsidRPr="00F71F2E">
              <w:rPr>
                <w:szCs w:val="22"/>
              </w:rPr>
              <w:t>&lt;3</w:t>
            </w:r>
          </w:p>
        </w:tc>
        <w:tc>
          <w:tcPr>
            <w:tcW w:w="3780" w:type="dxa"/>
          </w:tcPr>
          <w:p w:rsidR="006C2E16" w:rsidRPr="00F71F2E" w:rsidRDefault="006C2E16" w:rsidP="00A10D4B">
            <w:pPr>
              <w:spacing w:line="240" w:lineRule="atLeast"/>
              <w:rPr>
                <w:szCs w:val="22"/>
              </w:rPr>
            </w:pPr>
            <w:r w:rsidRPr="00F71F2E">
              <w:rPr>
                <w:szCs w:val="22"/>
              </w:rPr>
              <w:t>High potential to leach (H)</w:t>
            </w:r>
          </w:p>
        </w:tc>
      </w:tr>
      <w:tr w:rsidR="006C2E16" w:rsidRPr="00F71F2E" w:rsidTr="00A10D4B">
        <w:tc>
          <w:tcPr>
            <w:tcW w:w="2340" w:type="dxa"/>
          </w:tcPr>
          <w:p w:rsidR="006C2E16" w:rsidRPr="00F71F2E" w:rsidRDefault="006C2E16" w:rsidP="00A10D4B">
            <w:pPr>
              <w:spacing w:line="240" w:lineRule="atLeast"/>
              <w:rPr>
                <w:szCs w:val="22"/>
              </w:rPr>
            </w:pPr>
            <w:r w:rsidRPr="00F71F2E">
              <w:rPr>
                <w:szCs w:val="22"/>
              </w:rPr>
              <w:t>≥3</w:t>
            </w:r>
          </w:p>
        </w:tc>
        <w:tc>
          <w:tcPr>
            <w:tcW w:w="3780" w:type="dxa"/>
          </w:tcPr>
          <w:p w:rsidR="006C2E16" w:rsidRPr="00F71F2E" w:rsidRDefault="006C2E16" w:rsidP="00A10D4B">
            <w:pPr>
              <w:spacing w:line="240" w:lineRule="atLeast"/>
              <w:rPr>
                <w:szCs w:val="22"/>
              </w:rPr>
            </w:pPr>
            <w:r w:rsidRPr="00F71F2E">
              <w:rPr>
                <w:szCs w:val="22"/>
              </w:rPr>
              <w:t>Low potential to leach (L)</w:t>
            </w:r>
          </w:p>
        </w:tc>
      </w:tr>
    </w:tbl>
    <w:p w:rsidR="006C2E16" w:rsidRPr="00CA3622" w:rsidRDefault="006C2E16" w:rsidP="006C2E16">
      <w:pPr>
        <w:rPr>
          <w:kern w:val="28"/>
        </w:rPr>
      </w:pPr>
      <w:r w:rsidRPr="00CA3622">
        <w:t>For inorganics with a log K</w:t>
      </w:r>
      <w:r w:rsidRPr="001A13BC">
        <w:rPr>
          <w:vertAlign w:val="subscript"/>
        </w:rPr>
        <w:t xml:space="preserve">d </w:t>
      </w:r>
      <w:r w:rsidRPr="00CA3622">
        <w:t xml:space="preserve">&lt;3, leaching of the contaminant should be addressed if there is a water source in the immediate vicinity. </w:t>
      </w:r>
    </w:p>
    <w:p w:rsidR="006C2E16" w:rsidRPr="00BE548F" w:rsidRDefault="006C2E16" w:rsidP="001C6BE7">
      <w:pPr>
        <w:pStyle w:val="Heading3"/>
      </w:pPr>
      <w:bookmarkStart w:id="232" w:name="_Toc255360011"/>
      <w:bookmarkStart w:id="233" w:name="_Toc269122490"/>
      <w:bookmarkStart w:id="234" w:name="_Toc351713195"/>
      <w:r w:rsidRPr="00BE548F">
        <w:t>Determining the leaching potential of organic contaminants</w:t>
      </w:r>
      <w:bookmarkEnd w:id="232"/>
      <w:bookmarkEnd w:id="233"/>
      <w:bookmarkEnd w:id="234"/>
    </w:p>
    <w:p w:rsidR="006C2E16" w:rsidRPr="00323BCA" w:rsidRDefault="006C2E16" w:rsidP="006C2E16">
      <w:r w:rsidRPr="00BE548F">
        <w:t>There are two partition coefficients related to the leaching potential of organic contaminants. The first is the octanol</w:t>
      </w:r>
      <w:r>
        <w:sym w:font="Symbol" w:char="F02D"/>
      </w:r>
      <w:r w:rsidRPr="00BE548F">
        <w:t>water partition coefficient (K</w:t>
      </w:r>
      <w:r w:rsidRPr="00723318">
        <w:rPr>
          <w:vertAlign w:val="subscript"/>
        </w:rPr>
        <w:t>ow</w:t>
      </w:r>
      <w:r w:rsidRPr="00BE548F">
        <w:t>)</w:t>
      </w:r>
      <w:r>
        <w:t>,</w:t>
      </w:r>
      <w:r w:rsidRPr="00BE548F">
        <w:t xml:space="preserve"> that is</w:t>
      </w:r>
      <w:r>
        <w:t>,</w:t>
      </w:r>
      <w:r w:rsidRPr="00BE548F">
        <w:t xml:space="preserve"> the ratio of the concentration of a contaminant that is dissolved in </w:t>
      </w:r>
      <w:r w:rsidRPr="00BE548F">
        <w:rPr>
          <w:i/>
          <w:iCs/>
        </w:rPr>
        <w:t>n</w:t>
      </w:r>
      <w:r w:rsidRPr="00BE548F">
        <w:t>-octanol to that dissolved in water at equilibrium and at a specified temperature</w:t>
      </w:r>
      <w:r>
        <w:t xml:space="preserve">. </w:t>
      </w:r>
      <w:r w:rsidRPr="00BE548F">
        <w:t>It is used as a surrogate to estimate the potential for contaminants to accumulate in tissue</w:t>
      </w:r>
      <w:r>
        <w:t>—</w:t>
      </w:r>
      <w:r w:rsidRPr="00BE548F">
        <w:t>both plant and animal (Connell 1989</w:t>
      </w:r>
      <w:r>
        <w:t>,</w:t>
      </w:r>
      <w:r w:rsidRPr="00BE548F">
        <w:t xml:space="preserve"> Posthumus </w:t>
      </w:r>
      <w:r>
        <w:t>&amp;</w:t>
      </w:r>
      <w:r w:rsidRPr="00BE548F">
        <w:t xml:space="preserve"> Slooff 2001)</w:t>
      </w:r>
      <w:r>
        <w:t xml:space="preserve">. </w:t>
      </w:r>
      <w:r w:rsidRPr="00323BCA">
        <w:t>The second is the organic carbon</w:t>
      </w:r>
      <w:r w:rsidRPr="00323BCA">
        <w:sym w:font="Symbol" w:char="F02D"/>
      </w:r>
      <w:r w:rsidRPr="00323BCA">
        <w:t>water partition coefficient (K</w:t>
      </w:r>
      <w:r w:rsidRPr="00323BCA">
        <w:rPr>
          <w:vertAlign w:val="subscript"/>
        </w:rPr>
        <w:t>oc</w:t>
      </w:r>
      <w:r w:rsidRPr="00323BCA">
        <w:t>). Both K</w:t>
      </w:r>
      <w:r w:rsidRPr="00323BCA">
        <w:rPr>
          <w:vertAlign w:val="subscript"/>
        </w:rPr>
        <w:t>ow</w:t>
      </w:r>
      <w:r w:rsidRPr="00323BCA">
        <w:t xml:space="preserve"> and K</w:t>
      </w:r>
      <w:r w:rsidRPr="00323BCA">
        <w:rPr>
          <w:vertAlign w:val="subscript"/>
        </w:rPr>
        <w:t>oc</w:t>
      </w:r>
      <w:r w:rsidRPr="00323BCA">
        <w:t xml:space="preserve"> are chemical-specific values and collations of values for contaminants are widely available e.g. at </w:t>
      </w:r>
      <w:hyperlink r:id="rId40" w:history="1">
        <w:r w:rsidRPr="00323BCA">
          <w:rPr>
            <w:rStyle w:val="Hyperlink"/>
          </w:rPr>
          <w:t>http://www.epa.gov/region9/superfund/prg/</w:t>
        </w:r>
      </w:hyperlink>
      <w:r w:rsidRPr="00323BCA">
        <w:t>.</w:t>
      </w:r>
    </w:p>
    <w:p w:rsidR="006C2E16" w:rsidRPr="00BE548F" w:rsidRDefault="006C2E16" w:rsidP="006C2E16">
      <w:r w:rsidRPr="00BE548F">
        <w:t>Contaminants with a high log K</w:t>
      </w:r>
      <w:r w:rsidRPr="00723318">
        <w:rPr>
          <w:vertAlign w:val="subscript"/>
        </w:rPr>
        <w:t>oc</w:t>
      </w:r>
      <w:r w:rsidRPr="00BE548F">
        <w:t xml:space="preserve"> preferentially partition to soil organic matter rather than water and thus have a low potential to leach</w:t>
      </w:r>
      <w:r>
        <w:t xml:space="preserve">. </w:t>
      </w:r>
      <w:r w:rsidRPr="00BE548F">
        <w:t>Conversely, contaminants with a low log K</w:t>
      </w:r>
      <w:r w:rsidRPr="00BF2FF7">
        <w:rPr>
          <w:vertAlign w:val="subscript"/>
        </w:rPr>
        <w:t>ow</w:t>
      </w:r>
      <w:r w:rsidRPr="00BE548F">
        <w:t xml:space="preserve"> tend to have a high potential to leach</w:t>
      </w:r>
      <w:r>
        <w:t xml:space="preserve">. </w:t>
      </w:r>
      <w:r w:rsidRPr="00BE548F">
        <w:t>Log K</w:t>
      </w:r>
      <w:r w:rsidRPr="00723318">
        <w:rPr>
          <w:vertAlign w:val="subscript"/>
        </w:rPr>
        <w:t>ow</w:t>
      </w:r>
      <w:r w:rsidRPr="00BE548F">
        <w:t xml:space="preserve"> and log K</w:t>
      </w:r>
      <w:r w:rsidRPr="00723318">
        <w:rPr>
          <w:vertAlign w:val="subscript"/>
        </w:rPr>
        <w:t>oc</w:t>
      </w:r>
      <w:r w:rsidRPr="00BE548F">
        <w:t xml:space="preserve"> have a linear relationship (Briggs 1981</w:t>
      </w:r>
      <w:r>
        <w:t>,</w:t>
      </w:r>
      <w:r w:rsidRPr="00BE548F">
        <w:t xml:space="preserve"> Connell 1989)</w:t>
      </w:r>
      <w:r>
        <w:t xml:space="preserve">. </w:t>
      </w:r>
    </w:p>
    <w:p w:rsidR="006C2E16" w:rsidRPr="00B326B6" w:rsidRDefault="006C2E16" w:rsidP="006C2E16">
      <w:pPr>
        <w:ind w:firstLine="720"/>
        <w:rPr>
          <w:i/>
          <w:iCs/>
          <w:szCs w:val="22"/>
          <w:lang w:val="pl-PL"/>
        </w:rPr>
      </w:pPr>
      <w:bookmarkStart w:id="235" w:name="OLE_LINK6"/>
      <w:bookmarkStart w:id="236" w:name="OLE_LINK7"/>
      <w:r w:rsidRPr="00B326B6">
        <w:rPr>
          <w:szCs w:val="22"/>
          <w:lang w:val="pl-PL"/>
        </w:rPr>
        <w:t>log K</w:t>
      </w:r>
      <w:r w:rsidRPr="00BF2FF7">
        <w:rPr>
          <w:szCs w:val="22"/>
          <w:vertAlign w:val="subscript"/>
          <w:lang w:val="pl-PL"/>
        </w:rPr>
        <w:t>oc</w:t>
      </w:r>
      <w:r w:rsidRPr="00B326B6">
        <w:rPr>
          <w:szCs w:val="22"/>
          <w:lang w:val="pl-PL"/>
        </w:rPr>
        <w:t xml:space="preserve"> = 0.9 x log K</w:t>
      </w:r>
      <w:r w:rsidRPr="00BF2FF7">
        <w:rPr>
          <w:szCs w:val="22"/>
          <w:vertAlign w:val="subscript"/>
          <w:lang w:val="pl-PL"/>
        </w:rPr>
        <w:t>ow</w:t>
      </w:r>
      <w:r w:rsidRPr="00B326B6">
        <w:rPr>
          <w:szCs w:val="22"/>
          <w:lang w:val="pl-PL"/>
        </w:rPr>
        <w:t xml:space="preserve"> + 0.62</w:t>
      </w:r>
      <w:bookmarkEnd w:id="235"/>
      <w:bookmarkEnd w:id="236"/>
      <w:r w:rsidR="009F182B">
        <w:rPr>
          <w:szCs w:val="22"/>
          <w:lang w:val="pl-PL"/>
        </w:rPr>
        <w:tab/>
      </w:r>
      <w:r w:rsidR="009F182B">
        <w:rPr>
          <w:szCs w:val="22"/>
          <w:lang w:val="pl-PL"/>
        </w:rPr>
        <w:tab/>
      </w:r>
      <w:r w:rsidR="009F182B">
        <w:rPr>
          <w:szCs w:val="22"/>
          <w:lang w:val="pl-PL"/>
        </w:rPr>
        <w:tab/>
      </w:r>
      <w:r w:rsidRPr="00B326B6">
        <w:rPr>
          <w:szCs w:val="22"/>
          <w:lang w:val="pl-PL"/>
        </w:rPr>
        <w:tab/>
      </w:r>
      <w:r w:rsidRPr="00B326B6">
        <w:rPr>
          <w:szCs w:val="22"/>
          <w:lang w:val="pl-PL"/>
        </w:rPr>
        <w:tab/>
      </w:r>
      <w:r>
        <w:rPr>
          <w:szCs w:val="22"/>
          <w:lang w:val="pl-PL"/>
        </w:rPr>
        <w:t xml:space="preserve">         </w:t>
      </w:r>
      <w:r w:rsidRPr="00B326B6">
        <w:rPr>
          <w:i/>
          <w:iCs/>
          <w:szCs w:val="22"/>
          <w:lang w:val="pl-PL"/>
        </w:rPr>
        <w:t>(eq</w:t>
      </w:r>
      <w:r>
        <w:rPr>
          <w:i/>
          <w:iCs/>
          <w:szCs w:val="22"/>
          <w:lang w:val="pl-PL"/>
        </w:rPr>
        <w:t>uation B</w:t>
      </w:r>
      <w:r w:rsidRPr="00B326B6">
        <w:rPr>
          <w:i/>
          <w:iCs/>
          <w:szCs w:val="22"/>
          <w:lang w:val="pl-PL"/>
        </w:rPr>
        <w:t>1)</w:t>
      </w:r>
    </w:p>
    <w:p w:rsidR="009F182B" w:rsidRDefault="009F182B" w:rsidP="006C2E16"/>
    <w:p w:rsidR="006C2E16" w:rsidRDefault="006C2E16" w:rsidP="006C2E16">
      <w:r>
        <w:t>T</w:t>
      </w:r>
      <w:r w:rsidRPr="00BE548F">
        <w:t>herefore log K</w:t>
      </w:r>
      <w:r w:rsidRPr="00723318">
        <w:rPr>
          <w:vertAlign w:val="subscript"/>
        </w:rPr>
        <w:t>ow</w:t>
      </w:r>
      <w:r w:rsidRPr="00BE548F">
        <w:t xml:space="preserve"> (which is much more readily available than log K</w:t>
      </w:r>
      <w:r w:rsidRPr="00723318">
        <w:rPr>
          <w:vertAlign w:val="subscript"/>
        </w:rPr>
        <w:t>oc</w:t>
      </w:r>
      <w:r w:rsidRPr="00BE548F">
        <w:t>) can act as a surrogate of the potential for contaminants to leach from soil to groundwater</w:t>
      </w:r>
      <w:r>
        <w:t xml:space="preserve">. </w:t>
      </w:r>
      <w:r w:rsidRPr="00BE548F">
        <w:t>On this basis</w:t>
      </w:r>
      <w:r>
        <w:t>,</w:t>
      </w:r>
      <w:r w:rsidRPr="00BE548F">
        <w:t xml:space="preserve"> Wilson et al. (1996) used log K</w:t>
      </w:r>
      <w:r w:rsidRPr="00723318">
        <w:rPr>
          <w:vertAlign w:val="subscript"/>
        </w:rPr>
        <w:t>oc</w:t>
      </w:r>
      <w:r w:rsidRPr="00BE548F">
        <w:t xml:space="preserve"> and log K</w:t>
      </w:r>
      <w:r w:rsidRPr="00723318">
        <w:rPr>
          <w:vertAlign w:val="subscript"/>
        </w:rPr>
        <w:t>ow</w:t>
      </w:r>
      <w:r w:rsidRPr="00BE548F">
        <w:t xml:space="preserve"> to classify the mobility of organic contaminants in soil (Table B2). </w:t>
      </w:r>
    </w:p>
    <w:p w:rsidR="006C2E16" w:rsidRPr="00841D36" w:rsidRDefault="006C2E16" w:rsidP="006C2E16">
      <w:pPr>
        <w:pStyle w:val="Caption"/>
      </w:pPr>
      <w:r w:rsidRPr="00841D36">
        <w:t>Table B2. The classification system used for the mobility of organic contaminants in soil based on the logarithm of the organic carbon</w:t>
      </w:r>
      <w:r>
        <w:sym w:font="Symbol" w:char="F02D"/>
      </w:r>
      <w:r w:rsidRPr="00841D36">
        <w:t>water partition coefficient (log K</w:t>
      </w:r>
      <w:r w:rsidRPr="00841D36">
        <w:rPr>
          <w:vertAlign w:val="subscript"/>
        </w:rPr>
        <w:t>oc</w:t>
      </w:r>
      <w:r w:rsidRPr="00841D36">
        <w:t>) and logarithm of the octanol</w:t>
      </w:r>
      <w:r>
        <w:sym w:font="Symbol" w:char="F02D"/>
      </w:r>
      <w:r w:rsidRPr="00841D36">
        <w:t>water partition coefficient (log K</w:t>
      </w:r>
      <w:r w:rsidRPr="00841D36">
        <w:rPr>
          <w:vertAlign w:val="subscript"/>
        </w:rPr>
        <w:t>ow</w:t>
      </w:r>
      <w:r w:rsidRPr="00841D36">
        <w:t>). Modified from Wilson et al. 1996.</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980"/>
        <w:gridCol w:w="3780"/>
      </w:tblGrid>
      <w:tr w:rsidR="006C2E16" w:rsidRPr="00F71F2E" w:rsidTr="00A10D4B">
        <w:tc>
          <w:tcPr>
            <w:tcW w:w="2340" w:type="dxa"/>
            <w:shd w:val="clear" w:color="auto" w:fill="C6D9F1" w:themeFill="text2" w:themeFillTint="33"/>
          </w:tcPr>
          <w:p w:rsidR="006C2E16" w:rsidRPr="00F71F2E" w:rsidRDefault="006C2E16" w:rsidP="00A10D4B">
            <w:pPr>
              <w:ind w:left="357" w:right="74"/>
              <w:rPr>
                <w:b/>
                <w:bCs/>
                <w:szCs w:val="22"/>
              </w:rPr>
            </w:pPr>
            <w:r w:rsidRPr="00F71F2E">
              <w:rPr>
                <w:b/>
                <w:bCs/>
                <w:szCs w:val="22"/>
              </w:rPr>
              <w:t xml:space="preserve">Corresponding </w:t>
            </w:r>
          </w:p>
          <w:p w:rsidR="006C2E16" w:rsidRPr="00F71F2E" w:rsidRDefault="006C2E16" w:rsidP="00A10D4B">
            <w:pPr>
              <w:ind w:left="357" w:right="74"/>
              <w:rPr>
                <w:b/>
                <w:bCs/>
                <w:szCs w:val="22"/>
              </w:rPr>
            </w:pPr>
            <w:r w:rsidRPr="00F71F2E">
              <w:rPr>
                <w:b/>
                <w:bCs/>
                <w:szCs w:val="22"/>
              </w:rPr>
              <w:t>log K</w:t>
            </w:r>
            <w:r w:rsidRPr="00F71F2E">
              <w:rPr>
                <w:b/>
                <w:bCs/>
                <w:szCs w:val="22"/>
                <w:vertAlign w:val="subscript"/>
              </w:rPr>
              <w:t>ow</w:t>
            </w:r>
            <w:r w:rsidRPr="00F71F2E">
              <w:rPr>
                <w:b/>
                <w:bCs/>
                <w:szCs w:val="22"/>
              </w:rPr>
              <w:t xml:space="preserve"> values</w:t>
            </w:r>
            <w:r w:rsidRPr="00F71F2E">
              <w:rPr>
                <w:b/>
                <w:bCs/>
                <w:szCs w:val="22"/>
                <w:vertAlign w:val="superscript"/>
              </w:rPr>
              <w:t>1</w:t>
            </w:r>
          </w:p>
        </w:tc>
        <w:tc>
          <w:tcPr>
            <w:tcW w:w="1980" w:type="dxa"/>
            <w:shd w:val="clear" w:color="auto" w:fill="C6D9F1" w:themeFill="text2" w:themeFillTint="33"/>
          </w:tcPr>
          <w:p w:rsidR="006C2E16" w:rsidRPr="00F71F2E" w:rsidRDefault="006C2E16" w:rsidP="00A10D4B">
            <w:pPr>
              <w:ind w:left="357" w:right="74"/>
              <w:rPr>
                <w:b/>
                <w:bCs/>
                <w:szCs w:val="22"/>
              </w:rPr>
            </w:pPr>
            <w:r w:rsidRPr="00F71F2E">
              <w:rPr>
                <w:b/>
                <w:bCs/>
                <w:szCs w:val="22"/>
              </w:rPr>
              <w:t>log K</w:t>
            </w:r>
            <w:r w:rsidRPr="00F71F2E">
              <w:rPr>
                <w:b/>
                <w:bCs/>
                <w:szCs w:val="22"/>
                <w:vertAlign w:val="subscript"/>
              </w:rPr>
              <w:t>oc</w:t>
            </w:r>
          </w:p>
        </w:tc>
        <w:tc>
          <w:tcPr>
            <w:tcW w:w="3780" w:type="dxa"/>
            <w:shd w:val="clear" w:color="auto" w:fill="C6D9F1" w:themeFill="text2" w:themeFillTint="33"/>
          </w:tcPr>
          <w:p w:rsidR="006C2E16" w:rsidRPr="00F71F2E" w:rsidRDefault="006C2E16" w:rsidP="00A10D4B">
            <w:pPr>
              <w:ind w:left="357" w:right="74"/>
              <w:rPr>
                <w:b/>
                <w:bCs/>
                <w:szCs w:val="22"/>
              </w:rPr>
            </w:pPr>
            <w:r w:rsidRPr="00F71F2E">
              <w:rPr>
                <w:b/>
                <w:bCs/>
                <w:szCs w:val="22"/>
              </w:rPr>
              <w:t>Classification of mobility</w:t>
            </w:r>
          </w:p>
        </w:tc>
      </w:tr>
      <w:tr w:rsidR="006C2E16" w:rsidRPr="00F71F2E" w:rsidTr="00A10D4B">
        <w:tc>
          <w:tcPr>
            <w:tcW w:w="2340" w:type="dxa"/>
            <w:tcMar>
              <w:right w:w="454" w:type="dxa"/>
            </w:tcMar>
          </w:tcPr>
          <w:p w:rsidR="006C2E16" w:rsidRPr="00F71F2E" w:rsidRDefault="006C2E16" w:rsidP="00A10D4B">
            <w:pPr>
              <w:spacing w:line="360" w:lineRule="auto"/>
              <w:ind w:left="360" w:right="71"/>
              <w:jc w:val="right"/>
              <w:rPr>
                <w:szCs w:val="22"/>
              </w:rPr>
            </w:pPr>
            <w:r w:rsidRPr="00F71F2E">
              <w:rPr>
                <w:szCs w:val="22"/>
              </w:rPr>
              <w:t>&lt;2</w:t>
            </w:r>
          </w:p>
        </w:tc>
        <w:tc>
          <w:tcPr>
            <w:tcW w:w="1980" w:type="dxa"/>
            <w:tcMar>
              <w:right w:w="454" w:type="dxa"/>
            </w:tcMar>
          </w:tcPr>
          <w:p w:rsidR="006C2E16" w:rsidRPr="00F71F2E" w:rsidRDefault="006C2E16" w:rsidP="00A10D4B">
            <w:pPr>
              <w:spacing w:line="360" w:lineRule="auto"/>
              <w:ind w:left="360" w:right="71"/>
              <w:jc w:val="right"/>
              <w:rPr>
                <w:szCs w:val="22"/>
              </w:rPr>
            </w:pPr>
            <w:r w:rsidRPr="00F71F2E">
              <w:rPr>
                <w:szCs w:val="22"/>
              </w:rPr>
              <w:t>&lt;2.4</w:t>
            </w:r>
          </w:p>
        </w:tc>
        <w:tc>
          <w:tcPr>
            <w:tcW w:w="3780" w:type="dxa"/>
          </w:tcPr>
          <w:p w:rsidR="006C2E16" w:rsidRPr="00F71F2E" w:rsidRDefault="006C2E16" w:rsidP="00A10D4B">
            <w:pPr>
              <w:spacing w:line="360" w:lineRule="auto"/>
              <w:ind w:left="360" w:right="71"/>
              <w:jc w:val="center"/>
              <w:rPr>
                <w:szCs w:val="22"/>
              </w:rPr>
            </w:pPr>
            <w:r w:rsidRPr="00F71F2E">
              <w:rPr>
                <w:szCs w:val="22"/>
              </w:rPr>
              <w:t>Mobile (M)</w:t>
            </w:r>
          </w:p>
        </w:tc>
      </w:tr>
      <w:tr w:rsidR="006C2E16" w:rsidRPr="00F71F2E" w:rsidTr="00A10D4B">
        <w:tc>
          <w:tcPr>
            <w:tcW w:w="2340" w:type="dxa"/>
            <w:tcMar>
              <w:right w:w="454" w:type="dxa"/>
            </w:tcMar>
          </w:tcPr>
          <w:p w:rsidR="006C2E16" w:rsidRPr="00F71F2E" w:rsidRDefault="006C2E16" w:rsidP="00A10D4B">
            <w:pPr>
              <w:spacing w:line="360" w:lineRule="auto"/>
              <w:ind w:left="360" w:right="71"/>
              <w:jc w:val="right"/>
              <w:rPr>
                <w:szCs w:val="22"/>
              </w:rPr>
            </w:pPr>
            <w:r w:rsidRPr="00F71F2E">
              <w:rPr>
                <w:szCs w:val="22"/>
              </w:rPr>
              <w:t>2.0</w:t>
            </w:r>
            <w:r w:rsidRPr="00F71F2E">
              <w:rPr>
                <w:szCs w:val="22"/>
              </w:rPr>
              <w:sym w:font="Symbol" w:char="F02D"/>
            </w:r>
            <w:r w:rsidRPr="00F71F2E">
              <w:rPr>
                <w:szCs w:val="22"/>
              </w:rPr>
              <w:t>2.7</w:t>
            </w:r>
          </w:p>
        </w:tc>
        <w:tc>
          <w:tcPr>
            <w:tcW w:w="1980" w:type="dxa"/>
            <w:tcMar>
              <w:right w:w="454" w:type="dxa"/>
            </w:tcMar>
          </w:tcPr>
          <w:p w:rsidR="006C2E16" w:rsidRPr="00F71F2E" w:rsidRDefault="006C2E16" w:rsidP="00A10D4B">
            <w:pPr>
              <w:spacing w:line="360" w:lineRule="auto"/>
              <w:ind w:left="360" w:right="71"/>
              <w:jc w:val="right"/>
              <w:rPr>
                <w:szCs w:val="22"/>
              </w:rPr>
            </w:pPr>
            <w:r w:rsidRPr="00F71F2E">
              <w:rPr>
                <w:szCs w:val="22"/>
              </w:rPr>
              <w:t>2.4</w:t>
            </w:r>
            <w:r w:rsidRPr="00F71F2E">
              <w:rPr>
                <w:szCs w:val="22"/>
              </w:rPr>
              <w:sym w:font="Symbol" w:char="F02D"/>
            </w:r>
            <w:r w:rsidRPr="00F71F2E">
              <w:rPr>
                <w:szCs w:val="22"/>
              </w:rPr>
              <w:t>3.05</w:t>
            </w:r>
          </w:p>
        </w:tc>
        <w:tc>
          <w:tcPr>
            <w:tcW w:w="3780" w:type="dxa"/>
          </w:tcPr>
          <w:p w:rsidR="006C2E16" w:rsidRPr="00F71F2E" w:rsidRDefault="006C2E16" w:rsidP="00A10D4B">
            <w:pPr>
              <w:spacing w:line="360" w:lineRule="auto"/>
              <w:ind w:left="360" w:right="71"/>
              <w:jc w:val="center"/>
              <w:rPr>
                <w:szCs w:val="22"/>
              </w:rPr>
            </w:pPr>
            <w:r w:rsidRPr="00F71F2E">
              <w:rPr>
                <w:szCs w:val="22"/>
              </w:rPr>
              <w:t>Medium mobility (MM)</w:t>
            </w:r>
          </w:p>
        </w:tc>
      </w:tr>
      <w:tr w:rsidR="006C2E16" w:rsidRPr="00F71F2E" w:rsidTr="00A10D4B">
        <w:tc>
          <w:tcPr>
            <w:tcW w:w="2340" w:type="dxa"/>
            <w:tcMar>
              <w:right w:w="454" w:type="dxa"/>
            </w:tcMar>
          </w:tcPr>
          <w:p w:rsidR="006C2E16" w:rsidRPr="00F71F2E" w:rsidRDefault="006C2E16" w:rsidP="00A10D4B">
            <w:pPr>
              <w:spacing w:line="360" w:lineRule="auto"/>
              <w:ind w:left="360" w:right="71"/>
              <w:jc w:val="right"/>
              <w:rPr>
                <w:szCs w:val="22"/>
              </w:rPr>
            </w:pPr>
            <w:r w:rsidRPr="00F71F2E">
              <w:rPr>
                <w:szCs w:val="22"/>
              </w:rPr>
              <w:t>2.7</w:t>
            </w:r>
            <w:r w:rsidRPr="00F71F2E">
              <w:rPr>
                <w:szCs w:val="22"/>
              </w:rPr>
              <w:sym w:font="Symbol" w:char="F02D"/>
            </w:r>
            <w:r w:rsidRPr="00F71F2E">
              <w:rPr>
                <w:szCs w:val="22"/>
              </w:rPr>
              <w:t>3.7</w:t>
            </w:r>
          </w:p>
        </w:tc>
        <w:tc>
          <w:tcPr>
            <w:tcW w:w="1980" w:type="dxa"/>
            <w:tcMar>
              <w:right w:w="454" w:type="dxa"/>
            </w:tcMar>
          </w:tcPr>
          <w:p w:rsidR="006C2E16" w:rsidRPr="00F71F2E" w:rsidRDefault="006C2E16" w:rsidP="00A10D4B">
            <w:pPr>
              <w:spacing w:line="360" w:lineRule="auto"/>
              <w:ind w:left="360" w:right="71"/>
              <w:jc w:val="right"/>
              <w:rPr>
                <w:szCs w:val="22"/>
              </w:rPr>
            </w:pPr>
            <w:r w:rsidRPr="00F71F2E">
              <w:rPr>
                <w:szCs w:val="22"/>
              </w:rPr>
              <w:t>3.05</w:t>
            </w:r>
            <w:r w:rsidRPr="00F71F2E">
              <w:rPr>
                <w:szCs w:val="22"/>
              </w:rPr>
              <w:sym w:font="Symbol" w:char="F02D"/>
            </w:r>
            <w:r w:rsidRPr="00F71F2E">
              <w:rPr>
                <w:szCs w:val="22"/>
              </w:rPr>
              <w:t>3.95</w:t>
            </w:r>
          </w:p>
        </w:tc>
        <w:tc>
          <w:tcPr>
            <w:tcW w:w="3780" w:type="dxa"/>
          </w:tcPr>
          <w:p w:rsidR="006C2E16" w:rsidRPr="00F71F2E" w:rsidRDefault="006C2E16" w:rsidP="00A10D4B">
            <w:pPr>
              <w:spacing w:line="360" w:lineRule="auto"/>
              <w:ind w:left="360" w:right="71"/>
              <w:jc w:val="center"/>
              <w:rPr>
                <w:szCs w:val="22"/>
              </w:rPr>
            </w:pPr>
            <w:r w:rsidRPr="00F71F2E">
              <w:rPr>
                <w:szCs w:val="22"/>
              </w:rPr>
              <w:t>Low mobility (LM)</w:t>
            </w:r>
          </w:p>
        </w:tc>
      </w:tr>
      <w:tr w:rsidR="006C2E16" w:rsidRPr="00F71F2E" w:rsidTr="00A10D4B">
        <w:tc>
          <w:tcPr>
            <w:tcW w:w="2340" w:type="dxa"/>
            <w:tcMar>
              <w:right w:w="454" w:type="dxa"/>
            </w:tcMar>
          </w:tcPr>
          <w:p w:rsidR="006C2E16" w:rsidRPr="00F71F2E" w:rsidRDefault="006C2E16" w:rsidP="00A10D4B">
            <w:pPr>
              <w:spacing w:line="360" w:lineRule="auto"/>
              <w:ind w:left="360" w:right="71"/>
              <w:jc w:val="right"/>
              <w:rPr>
                <w:szCs w:val="22"/>
              </w:rPr>
            </w:pPr>
            <w:r w:rsidRPr="00F71F2E">
              <w:rPr>
                <w:szCs w:val="22"/>
              </w:rPr>
              <w:t>&gt;3.7</w:t>
            </w:r>
          </w:p>
        </w:tc>
        <w:tc>
          <w:tcPr>
            <w:tcW w:w="1980" w:type="dxa"/>
            <w:tcMar>
              <w:right w:w="454" w:type="dxa"/>
            </w:tcMar>
          </w:tcPr>
          <w:p w:rsidR="006C2E16" w:rsidRPr="00F71F2E" w:rsidRDefault="006C2E16" w:rsidP="00A10D4B">
            <w:pPr>
              <w:spacing w:line="360" w:lineRule="auto"/>
              <w:ind w:left="360" w:right="71"/>
              <w:jc w:val="right"/>
              <w:rPr>
                <w:szCs w:val="22"/>
              </w:rPr>
            </w:pPr>
            <w:r w:rsidRPr="00F71F2E">
              <w:rPr>
                <w:szCs w:val="22"/>
              </w:rPr>
              <w:t>&gt;3.95</w:t>
            </w:r>
          </w:p>
        </w:tc>
        <w:tc>
          <w:tcPr>
            <w:tcW w:w="3780" w:type="dxa"/>
          </w:tcPr>
          <w:p w:rsidR="006C2E16" w:rsidRPr="00F71F2E" w:rsidRDefault="006C2E16" w:rsidP="00A10D4B">
            <w:pPr>
              <w:spacing w:line="360" w:lineRule="auto"/>
              <w:ind w:left="360" w:right="71"/>
              <w:jc w:val="center"/>
              <w:rPr>
                <w:szCs w:val="22"/>
              </w:rPr>
            </w:pPr>
            <w:r w:rsidRPr="00F71F2E">
              <w:rPr>
                <w:szCs w:val="22"/>
              </w:rPr>
              <w:t>Immobile (IMM)</w:t>
            </w:r>
          </w:p>
        </w:tc>
      </w:tr>
    </w:tbl>
    <w:p w:rsidR="006C2E16" w:rsidRPr="00466D53" w:rsidRDefault="006C2E16" w:rsidP="006C2E16">
      <w:pPr>
        <w:rPr>
          <w:sz w:val="18"/>
          <w:szCs w:val="18"/>
        </w:rPr>
      </w:pPr>
      <w:r w:rsidRPr="00BE548F">
        <w:rPr>
          <w:sz w:val="20"/>
          <w:vertAlign w:val="superscript"/>
        </w:rPr>
        <w:t>1.</w:t>
      </w:r>
      <w:r w:rsidRPr="00BE548F">
        <w:rPr>
          <w:sz w:val="20"/>
        </w:rPr>
        <w:t xml:space="preserve"> </w:t>
      </w:r>
      <w:r w:rsidRPr="00466D53">
        <w:rPr>
          <w:sz w:val="18"/>
          <w:szCs w:val="18"/>
        </w:rPr>
        <w:t>log K</w:t>
      </w:r>
      <w:r w:rsidRPr="00723318">
        <w:rPr>
          <w:sz w:val="18"/>
          <w:szCs w:val="18"/>
          <w:vertAlign w:val="subscript"/>
        </w:rPr>
        <w:t>ow</w:t>
      </w:r>
      <w:r w:rsidRPr="00466D53">
        <w:rPr>
          <w:sz w:val="18"/>
          <w:szCs w:val="18"/>
        </w:rPr>
        <w:t xml:space="preserve"> values corresponding to the log K</w:t>
      </w:r>
      <w:r w:rsidRPr="00723318">
        <w:rPr>
          <w:sz w:val="18"/>
          <w:szCs w:val="18"/>
          <w:vertAlign w:val="subscript"/>
        </w:rPr>
        <w:t>oc</w:t>
      </w:r>
      <w:r w:rsidRPr="00466D53">
        <w:rPr>
          <w:sz w:val="18"/>
          <w:szCs w:val="18"/>
        </w:rPr>
        <w:t xml:space="preserve"> values were derived using equation </w:t>
      </w:r>
      <w:r>
        <w:rPr>
          <w:sz w:val="18"/>
          <w:szCs w:val="18"/>
        </w:rPr>
        <w:t>B</w:t>
      </w:r>
      <w:r w:rsidRPr="00466D53">
        <w:rPr>
          <w:sz w:val="18"/>
          <w:szCs w:val="18"/>
        </w:rPr>
        <w:t xml:space="preserve">1. </w:t>
      </w:r>
    </w:p>
    <w:p w:rsidR="006C2E16" w:rsidRPr="00BE548F" w:rsidRDefault="006C2E16" w:rsidP="006C2E16">
      <w:r w:rsidRPr="00BE548F">
        <w:t>Many organic contaminants can degrade either biologically or chemically</w:t>
      </w:r>
      <w:r>
        <w:t xml:space="preserve">. </w:t>
      </w:r>
      <w:r w:rsidRPr="00BE548F">
        <w:t>Thus, it is recommended that EILs derived for organic contaminants with a slow degradation rate (</w:t>
      </w:r>
      <w:r>
        <w:t xml:space="preserve">that is, </w:t>
      </w:r>
      <w:r w:rsidRPr="00BE548F">
        <w:t>large half-life</w:t>
      </w:r>
      <w:r>
        <w:t>, refer to Table 2</w:t>
      </w:r>
      <w:r w:rsidRPr="00BE548F">
        <w:t>) and a log K</w:t>
      </w:r>
      <w:r w:rsidRPr="00723318">
        <w:rPr>
          <w:vertAlign w:val="subscript"/>
        </w:rPr>
        <w:t>oc</w:t>
      </w:r>
      <w:r w:rsidRPr="00BE548F">
        <w:t xml:space="preserve"> (or log K</w:t>
      </w:r>
      <w:r w:rsidRPr="00723318">
        <w:rPr>
          <w:vertAlign w:val="subscript"/>
        </w:rPr>
        <w:t>ow</w:t>
      </w:r>
      <w:r w:rsidRPr="00BE548F">
        <w:t xml:space="preserve">) &lt;4 should </w:t>
      </w:r>
      <w:r>
        <w:t>consider the protection of aquatic ecosystems where appropriate.</w:t>
      </w:r>
      <w:r w:rsidRPr="00BE548F">
        <w:t xml:space="preserve"> </w:t>
      </w:r>
    </w:p>
    <w:p w:rsidR="006C2E16" w:rsidRPr="00BE548F" w:rsidRDefault="006C2E16" w:rsidP="001C6BE7">
      <w:pPr>
        <w:pStyle w:val="Heading3"/>
      </w:pPr>
      <w:bookmarkStart w:id="237" w:name="_Toc255360012"/>
      <w:bookmarkStart w:id="238" w:name="_Toc269122491"/>
      <w:bookmarkStart w:id="239" w:name="_Toc351713196"/>
      <w:r w:rsidRPr="00BE548F">
        <w:t>Calculation of EILs that protect aquatic ecosystems</w:t>
      </w:r>
      <w:bookmarkEnd w:id="237"/>
      <w:bookmarkEnd w:id="238"/>
      <w:bookmarkEnd w:id="239"/>
    </w:p>
    <w:p w:rsidR="006C2E16" w:rsidRPr="00BE548F" w:rsidRDefault="006C2E16" w:rsidP="006C2E16">
      <w:r w:rsidRPr="00BE548F">
        <w:t>The US</w:t>
      </w:r>
      <w:r>
        <w:t xml:space="preserve"> </w:t>
      </w:r>
      <w:r w:rsidRPr="00BE548F">
        <w:t>EPA methodology (US</w:t>
      </w:r>
      <w:r>
        <w:t xml:space="preserve"> </w:t>
      </w:r>
      <w:r w:rsidRPr="00BE548F">
        <w:t>EPA 1996)</w:t>
      </w:r>
      <w:r>
        <w:t xml:space="preserve"> may be u</w:t>
      </w:r>
      <w:r w:rsidRPr="00BE548F">
        <w:t>sed to calculate EILs that account for the potential of contaminants to leach and affect aquatic ecosystems</w:t>
      </w:r>
      <w:r>
        <w:t xml:space="preserve">. </w:t>
      </w:r>
      <w:r w:rsidRPr="00BE548F">
        <w:t xml:space="preserve">Although the method has its limitations due to several simplifications, it is a robust method </w:t>
      </w:r>
      <w:r>
        <w:t xml:space="preserve">where the </w:t>
      </w:r>
      <w:r w:rsidRPr="00BE548F">
        <w:t xml:space="preserve">required information is available for Australian soils. </w:t>
      </w:r>
    </w:p>
    <w:p w:rsidR="006C2E16" w:rsidRPr="00BE548F" w:rsidRDefault="006C2E16" w:rsidP="006C2E16">
      <w:pPr>
        <w:pStyle w:val="Heading4"/>
      </w:pPr>
      <w:bookmarkStart w:id="240" w:name="_Toc351713197"/>
      <w:r w:rsidRPr="00BE548F">
        <w:t>Inorganic contaminants</w:t>
      </w:r>
      <w:bookmarkEnd w:id="240"/>
    </w:p>
    <w:p w:rsidR="006C2E16" w:rsidRDefault="006C2E16" w:rsidP="006C2E16">
      <w:r w:rsidRPr="00BE548F">
        <w:t>The potential leaching of inorganic contaminants to the groundwater depends on the soil to water partitioning of the contaminant, K</w:t>
      </w:r>
      <w:r w:rsidRPr="00723318">
        <w:rPr>
          <w:vertAlign w:val="subscript"/>
        </w:rPr>
        <w:t>d</w:t>
      </w:r>
      <w:r w:rsidRPr="00BE548F">
        <w:t>, which is contaminant</w:t>
      </w:r>
      <w:r>
        <w:t>-</w:t>
      </w:r>
      <w:r w:rsidRPr="00BE548F">
        <w:t xml:space="preserve"> and soil</w:t>
      </w:r>
      <w:r>
        <w:t>-</w:t>
      </w:r>
      <w:r w:rsidRPr="00BE548F">
        <w:t>depend</w:t>
      </w:r>
      <w:r>
        <w:t>e</w:t>
      </w:r>
      <w:r w:rsidRPr="00BE548F">
        <w:t xml:space="preserve">nt. Furthermore, </w:t>
      </w:r>
      <w:r w:rsidRPr="00BE548F">
        <w:lastRenderedPageBreak/>
        <w:t>volatilisation can reduce the soil concentration of the inorganic contaminant and this amount will reduce the potential of the contaminant to leach to the groundwater. For essentially all inorganic contaminants, volatilisation is limited</w:t>
      </w:r>
      <w:r>
        <w:t>;</w:t>
      </w:r>
      <w:r w:rsidRPr="00BE548F">
        <w:t xml:space="preserve"> however</w:t>
      </w:r>
      <w:r>
        <w:t>,</w:t>
      </w:r>
      <w:r w:rsidRPr="00BE548F">
        <w:t xml:space="preserve"> for Hg</w:t>
      </w:r>
      <w:r>
        <w:t>,</w:t>
      </w:r>
      <w:r w:rsidRPr="00BE548F">
        <w:t xml:space="preserve"> a substantial amount can be volatilised. </w:t>
      </w:r>
    </w:p>
    <w:p w:rsidR="009F182B" w:rsidRPr="00BE548F" w:rsidRDefault="009F182B" w:rsidP="006C2E16"/>
    <w:p w:rsidR="006C2E16" w:rsidRDefault="006C2E16" w:rsidP="006C2E16">
      <w:r w:rsidRPr="00BE548F">
        <w:t>Because groundwater catchments will most likely contain both contaminated and uncontaminated soils, pore water concentrations of the contaminant in question will not always equal the groundwater concentration</w:t>
      </w:r>
      <w:r>
        <w:t xml:space="preserve">. </w:t>
      </w:r>
      <w:r w:rsidRPr="00BE548F">
        <w:t xml:space="preserve">Therefore, a dilution </w:t>
      </w:r>
      <w:r>
        <w:t xml:space="preserve">and </w:t>
      </w:r>
      <w:r w:rsidRPr="00BE548F">
        <w:t>attenuation factor (DAF) is used to take this into account</w:t>
      </w:r>
      <w:r>
        <w:t xml:space="preserve">. </w:t>
      </w:r>
      <w:r w:rsidRPr="00BE548F">
        <w:t>The fraction of contaminated land to the total area of the</w:t>
      </w:r>
      <w:r>
        <w:t xml:space="preserve"> local</w:t>
      </w:r>
      <w:r w:rsidRPr="00BE548F">
        <w:t xml:space="preserve"> groundwater/aquifer catchment can be used to calculate the DAF</w:t>
      </w:r>
      <w:r>
        <w:t>,</w:t>
      </w:r>
      <w:r w:rsidRPr="00BE548F">
        <w:t xml:space="preserve"> as indicated by equation </w:t>
      </w:r>
      <w:r w:rsidRPr="00EA0433">
        <w:t>B1</w:t>
      </w:r>
      <w:r>
        <w:t xml:space="preserve"> below</w:t>
      </w:r>
      <w:r w:rsidRPr="00BE548F">
        <w:t xml:space="preserve">. </w:t>
      </w:r>
    </w:p>
    <w:p w:rsidR="009F182B" w:rsidRPr="00BE548F" w:rsidRDefault="009F182B" w:rsidP="006C2E16"/>
    <w:p w:rsidR="006C2E16" w:rsidRPr="00466D53" w:rsidRDefault="006C2E16" w:rsidP="006C2E16">
      <w:pPr>
        <w:rPr>
          <w:szCs w:val="22"/>
        </w:rPr>
      </w:pPr>
      <w:r w:rsidRPr="00466D53">
        <w:rPr>
          <w:szCs w:val="22"/>
        </w:rPr>
        <w:t>DAF = 100 ÷</w:t>
      </w:r>
      <w:r>
        <w:rPr>
          <w:szCs w:val="22"/>
        </w:rPr>
        <w:t xml:space="preserve"> </w:t>
      </w:r>
      <w:r w:rsidRPr="00466D53">
        <w:rPr>
          <w:szCs w:val="22"/>
        </w:rPr>
        <w:t>percentage of contaminated soil in</w:t>
      </w:r>
      <w:r>
        <w:rPr>
          <w:szCs w:val="22"/>
        </w:rPr>
        <w:t xml:space="preserve"> local</w:t>
      </w:r>
      <w:r w:rsidRPr="00466D53">
        <w:rPr>
          <w:szCs w:val="22"/>
        </w:rPr>
        <w:t xml:space="preserve"> catchment</w:t>
      </w:r>
      <w:r w:rsidRPr="00466D53">
        <w:rPr>
          <w:szCs w:val="22"/>
        </w:rPr>
        <w:tab/>
      </w:r>
      <w:r w:rsidRPr="00CA3622">
        <w:rPr>
          <w:i/>
          <w:iCs/>
          <w:szCs w:val="22"/>
        </w:rPr>
        <w:t>(equation B</w:t>
      </w:r>
      <w:r>
        <w:rPr>
          <w:i/>
          <w:iCs/>
          <w:szCs w:val="22"/>
        </w:rPr>
        <w:t>2</w:t>
      </w:r>
      <w:r w:rsidRPr="00CA3622">
        <w:rPr>
          <w:i/>
          <w:iCs/>
          <w:szCs w:val="22"/>
        </w:rPr>
        <w:t>)</w:t>
      </w:r>
    </w:p>
    <w:p w:rsidR="009F182B" w:rsidRDefault="009F182B" w:rsidP="006C2E16"/>
    <w:p w:rsidR="006C2E16" w:rsidRPr="00BE548F" w:rsidRDefault="006C2E16" w:rsidP="006C2E16">
      <w:r w:rsidRPr="00BE548F">
        <w:t>Therefore, for inorganic contaminants the EIL is calculated as follows (US</w:t>
      </w:r>
      <w:r>
        <w:t xml:space="preserve"> </w:t>
      </w:r>
      <w:r w:rsidRPr="00BE548F">
        <w:t>EPA 1996):</w:t>
      </w:r>
    </w:p>
    <w:p w:rsidR="006C2E16" w:rsidRPr="00466D53" w:rsidRDefault="006C2E16" w:rsidP="006C2E16">
      <w:pPr>
        <w:rPr>
          <w:szCs w:val="22"/>
        </w:rPr>
      </w:pPr>
    </w:p>
    <w:p w:rsidR="006C2E16" w:rsidRPr="00466D53" w:rsidRDefault="006C2E16" w:rsidP="006C2E16">
      <w:pPr>
        <w:ind w:firstLine="720"/>
        <w:rPr>
          <w:szCs w:val="22"/>
        </w:rPr>
      </w:pPr>
      <w:r w:rsidRPr="00466D53">
        <w:rPr>
          <w:position w:val="-30"/>
          <w:szCs w:val="22"/>
        </w:rPr>
        <w:object w:dxaOrig="3620" w:dyaOrig="720">
          <v:shape id="_x0000_i1031" type="#_x0000_t75" style="width:179.25pt;height:36pt" o:ole="">
            <v:imagedata r:id="rId41" o:title=""/>
          </v:shape>
          <o:OLEObject Type="Embed" ProgID="Equation.3" ShapeID="_x0000_i1031" DrawAspect="Content" ObjectID="_1425460851" r:id="rId42"/>
        </w:object>
      </w:r>
      <w:r>
        <w:rPr>
          <w:szCs w:val="22"/>
        </w:rPr>
        <w:tab/>
      </w:r>
      <w:r w:rsidRPr="00466D53">
        <w:rPr>
          <w:szCs w:val="22"/>
        </w:rPr>
        <w:tab/>
      </w:r>
      <w:r w:rsidRPr="00466D53">
        <w:rPr>
          <w:szCs w:val="22"/>
        </w:rPr>
        <w:tab/>
      </w:r>
      <w:r>
        <w:rPr>
          <w:szCs w:val="22"/>
        </w:rPr>
        <w:t xml:space="preserve">        </w:t>
      </w:r>
      <w:r w:rsidRPr="00CA3622">
        <w:rPr>
          <w:i/>
          <w:iCs/>
          <w:szCs w:val="22"/>
        </w:rPr>
        <w:t>(equation B</w:t>
      </w:r>
      <w:r>
        <w:rPr>
          <w:i/>
          <w:iCs/>
          <w:szCs w:val="22"/>
        </w:rPr>
        <w:t>3</w:t>
      </w:r>
      <w:r w:rsidRPr="00CA3622">
        <w:rPr>
          <w:i/>
          <w:iCs/>
          <w:szCs w:val="22"/>
        </w:rPr>
        <w:t>)</w:t>
      </w:r>
    </w:p>
    <w:p w:rsidR="006C2E16" w:rsidRPr="00BE548F" w:rsidRDefault="006C2E16" w:rsidP="006C2E16">
      <w:r>
        <w:t>w</w:t>
      </w:r>
      <w:r w:rsidRPr="00BE548F">
        <w:t>here EIL is the ecological investigation level in soil (mg/kg), C</w:t>
      </w:r>
      <w:r w:rsidRPr="00BE548F">
        <w:rPr>
          <w:vertAlign w:val="subscript"/>
        </w:rPr>
        <w:t>w</w:t>
      </w:r>
      <w:r w:rsidRPr="00BE548F">
        <w:t xml:space="preserve"> is the target soil leachate concentration (mg/L) (</w:t>
      </w:r>
      <w:r>
        <w:t>that is,</w:t>
      </w:r>
      <w:r w:rsidRPr="00BE548F">
        <w:t xml:space="preserve"> the appropriate </w:t>
      </w:r>
      <w:r>
        <w:t>WQG</w:t>
      </w:r>
      <w:r w:rsidRPr="00BE548F">
        <w:t>), K</w:t>
      </w:r>
      <w:r w:rsidRPr="007836D4">
        <w:rPr>
          <w:vertAlign w:val="subscript"/>
        </w:rPr>
        <w:t>d</w:t>
      </w:r>
      <w:r w:rsidRPr="00BE548F">
        <w:t xml:space="preserve"> is the soil to water partition coefficient (L/kg), θ</w:t>
      </w:r>
      <w:r w:rsidRPr="00BE548F">
        <w:rPr>
          <w:vertAlign w:val="subscript"/>
        </w:rPr>
        <w:t>w</w:t>
      </w:r>
      <w:r w:rsidRPr="00BE548F">
        <w:t xml:space="preserve"> is the water</w:t>
      </w:r>
      <w:r>
        <w:t>-</w:t>
      </w:r>
      <w:r w:rsidRPr="00BE548F">
        <w:t>filled soil porosity L</w:t>
      </w:r>
      <w:r w:rsidRPr="00BE548F">
        <w:rPr>
          <w:vertAlign w:val="subscript"/>
        </w:rPr>
        <w:t>water</w:t>
      </w:r>
      <w:r w:rsidRPr="00BE548F">
        <w:t>/L</w:t>
      </w:r>
      <w:r w:rsidRPr="00BE548F">
        <w:rPr>
          <w:vertAlign w:val="subscript"/>
        </w:rPr>
        <w:t>soil</w:t>
      </w:r>
      <w:r w:rsidRPr="00BE548F">
        <w:t>), θ</w:t>
      </w:r>
      <w:r w:rsidRPr="00BE548F">
        <w:rPr>
          <w:vertAlign w:val="subscript"/>
        </w:rPr>
        <w:t>a</w:t>
      </w:r>
      <w:r w:rsidRPr="00BE548F">
        <w:t xml:space="preserve"> is the air</w:t>
      </w:r>
      <w:r>
        <w:t>-</w:t>
      </w:r>
      <w:r w:rsidRPr="00BE548F">
        <w:t>filled soil porosity (L</w:t>
      </w:r>
      <w:r w:rsidRPr="00BE548F">
        <w:rPr>
          <w:vertAlign w:val="subscript"/>
        </w:rPr>
        <w:t>air</w:t>
      </w:r>
      <w:r w:rsidRPr="00BE548F">
        <w:t>/L</w:t>
      </w:r>
      <w:r w:rsidRPr="00BE548F">
        <w:rPr>
          <w:vertAlign w:val="subscript"/>
        </w:rPr>
        <w:t>soil</w:t>
      </w:r>
      <w:r w:rsidRPr="00BE548F">
        <w:t>), ρ</w:t>
      </w:r>
      <w:r w:rsidRPr="009A50F4">
        <w:rPr>
          <w:vertAlign w:val="subscript"/>
        </w:rPr>
        <w:t>b</w:t>
      </w:r>
      <w:r w:rsidRPr="00BE548F">
        <w:t xml:space="preserve"> is the dry soil bulk density (kg/L), </w:t>
      </w:r>
      <w:r>
        <w:t>H</w:t>
      </w:r>
      <w:r w:rsidRPr="00BE548F">
        <w:t xml:space="preserve"> is the Henry’s law constant (unitless), and DAF is the dilution and attenuation factor.</w:t>
      </w:r>
    </w:p>
    <w:p w:rsidR="006C2E16" w:rsidRPr="00BE548F" w:rsidRDefault="006C2E16" w:rsidP="006C2E16">
      <w:pPr>
        <w:pStyle w:val="Heading4"/>
      </w:pPr>
      <w:bookmarkStart w:id="241" w:name="_Toc351713198"/>
      <w:r w:rsidRPr="00BE548F">
        <w:t>Organic contaminants</w:t>
      </w:r>
      <w:bookmarkEnd w:id="241"/>
    </w:p>
    <w:p w:rsidR="006C2E16" w:rsidRPr="00BE548F" w:rsidRDefault="006C2E16" w:rsidP="006C2E16">
      <w:r w:rsidRPr="00BE548F">
        <w:t>Organic contaminants can bind to the organic carbon in soil</w:t>
      </w:r>
      <w:r>
        <w:t>. T</w:t>
      </w:r>
      <w:r w:rsidRPr="00BE548F">
        <w:t>he extent of this depends on the properties of the contaminant and the amount and type of organic carbon in the soil</w:t>
      </w:r>
      <w:r>
        <w:t xml:space="preserve">. </w:t>
      </w:r>
      <w:r w:rsidRPr="00BE548F">
        <w:t>For organic contaminants the equation for soil to groundwater migration becomes (US</w:t>
      </w:r>
      <w:r>
        <w:t xml:space="preserve"> </w:t>
      </w:r>
      <w:r w:rsidRPr="00BE548F">
        <w:t>EPA 1996):</w:t>
      </w:r>
    </w:p>
    <w:p w:rsidR="006C2E16" w:rsidRPr="00466D53" w:rsidRDefault="006C2E16" w:rsidP="006C2E16">
      <w:pPr>
        <w:ind w:firstLine="432"/>
        <w:rPr>
          <w:szCs w:val="22"/>
        </w:rPr>
      </w:pPr>
      <w:r w:rsidRPr="00466D53">
        <w:rPr>
          <w:position w:val="-30"/>
          <w:szCs w:val="22"/>
        </w:rPr>
        <w:object w:dxaOrig="4340" w:dyaOrig="720">
          <v:shape id="_x0000_i1032" type="#_x0000_t75" style="width:214.5pt;height:36pt" o:ole="">
            <v:imagedata r:id="rId43" o:title=""/>
          </v:shape>
          <o:OLEObject Type="Embed" ProgID="Equation.3" ShapeID="_x0000_i1032" DrawAspect="Content" ObjectID="_1425460852" r:id="rId44"/>
        </w:object>
      </w:r>
      <w:r w:rsidR="009F182B">
        <w:rPr>
          <w:szCs w:val="22"/>
        </w:rPr>
        <w:tab/>
      </w:r>
      <w:r w:rsidRPr="00466D53">
        <w:rPr>
          <w:szCs w:val="22"/>
        </w:rPr>
        <w:tab/>
      </w:r>
      <w:r w:rsidRPr="00466D53">
        <w:rPr>
          <w:szCs w:val="22"/>
        </w:rPr>
        <w:tab/>
      </w:r>
      <w:r>
        <w:rPr>
          <w:szCs w:val="22"/>
        </w:rPr>
        <w:t xml:space="preserve">        </w:t>
      </w:r>
      <w:r w:rsidRPr="00466D53">
        <w:rPr>
          <w:i/>
          <w:iCs/>
          <w:szCs w:val="22"/>
        </w:rPr>
        <w:t>(</w:t>
      </w:r>
      <w:r>
        <w:rPr>
          <w:i/>
          <w:iCs/>
          <w:szCs w:val="22"/>
        </w:rPr>
        <w:t>equation</w:t>
      </w:r>
      <w:r w:rsidRPr="00466D53">
        <w:rPr>
          <w:i/>
          <w:iCs/>
          <w:szCs w:val="22"/>
        </w:rPr>
        <w:t xml:space="preserve"> </w:t>
      </w:r>
      <w:r>
        <w:rPr>
          <w:i/>
          <w:iCs/>
          <w:szCs w:val="22"/>
        </w:rPr>
        <w:t>B4</w:t>
      </w:r>
      <w:r w:rsidRPr="00466D53">
        <w:rPr>
          <w:i/>
          <w:iCs/>
          <w:szCs w:val="22"/>
        </w:rPr>
        <w:t>)</w:t>
      </w:r>
    </w:p>
    <w:p w:rsidR="006C2E16" w:rsidRDefault="006C2E16" w:rsidP="006C2E16">
      <w:r>
        <w:t>w</w:t>
      </w:r>
      <w:r w:rsidRPr="00BE548F">
        <w:t>here EIL is the ecological investigation level in soil (mg/kg), C</w:t>
      </w:r>
      <w:r w:rsidRPr="00BE548F">
        <w:rPr>
          <w:vertAlign w:val="subscript"/>
        </w:rPr>
        <w:t>w</w:t>
      </w:r>
      <w:r w:rsidRPr="00BE548F">
        <w:t xml:space="preserve"> is the target soil leachate concentration (mg/L) (</w:t>
      </w:r>
      <w:r>
        <w:t>that is,</w:t>
      </w:r>
      <w:r w:rsidRPr="00BE548F">
        <w:t xml:space="preserve"> the appropriate </w:t>
      </w:r>
      <w:r>
        <w:t>WQG</w:t>
      </w:r>
      <w:r w:rsidRPr="00BE548F">
        <w:t>), K</w:t>
      </w:r>
      <w:r w:rsidRPr="007836D4">
        <w:rPr>
          <w:vertAlign w:val="subscript"/>
        </w:rPr>
        <w:t>oc</w:t>
      </w:r>
      <w:r w:rsidRPr="00BE548F">
        <w:t xml:space="preserve"> is the organic carbon to water partition coefficient (L/kg), f</w:t>
      </w:r>
      <w:r w:rsidRPr="009A50F4">
        <w:rPr>
          <w:vertAlign w:val="subscript"/>
        </w:rPr>
        <w:t>oc</w:t>
      </w:r>
      <w:r w:rsidRPr="00BE548F">
        <w:t xml:space="preserve"> is the organic carbon content of soil (kg/kg), θ</w:t>
      </w:r>
      <w:r w:rsidRPr="00BE548F">
        <w:rPr>
          <w:vertAlign w:val="subscript"/>
        </w:rPr>
        <w:t>w</w:t>
      </w:r>
      <w:r w:rsidRPr="00BE548F">
        <w:t xml:space="preserve"> is the water</w:t>
      </w:r>
      <w:r>
        <w:t>-</w:t>
      </w:r>
      <w:r w:rsidRPr="00BE548F">
        <w:t>filled soil porosity (L</w:t>
      </w:r>
      <w:r w:rsidRPr="00BE548F">
        <w:rPr>
          <w:vertAlign w:val="subscript"/>
        </w:rPr>
        <w:t>water</w:t>
      </w:r>
      <w:r w:rsidRPr="00BE548F">
        <w:t>/L</w:t>
      </w:r>
      <w:r w:rsidRPr="00BE548F">
        <w:rPr>
          <w:vertAlign w:val="subscript"/>
        </w:rPr>
        <w:t>soil</w:t>
      </w:r>
      <w:r w:rsidRPr="00BE548F">
        <w:t>), θ</w:t>
      </w:r>
      <w:r w:rsidRPr="00BE548F">
        <w:rPr>
          <w:vertAlign w:val="subscript"/>
        </w:rPr>
        <w:t>a</w:t>
      </w:r>
      <w:r w:rsidRPr="00BE548F">
        <w:t xml:space="preserve"> is the air</w:t>
      </w:r>
      <w:r>
        <w:t>-</w:t>
      </w:r>
      <w:r w:rsidRPr="00BE548F">
        <w:t>filled soil porosity (L</w:t>
      </w:r>
      <w:r w:rsidRPr="00BE548F">
        <w:rPr>
          <w:vertAlign w:val="subscript"/>
        </w:rPr>
        <w:t>air</w:t>
      </w:r>
      <w:r w:rsidRPr="00BE548F">
        <w:t>/L</w:t>
      </w:r>
      <w:r w:rsidRPr="00BE548F">
        <w:rPr>
          <w:vertAlign w:val="subscript"/>
        </w:rPr>
        <w:t>soil</w:t>
      </w:r>
      <w:r w:rsidRPr="00BE548F">
        <w:t>), ρ</w:t>
      </w:r>
      <w:r w:rsidRPr="00BE548F">
        <w:rPr>
          <w:vertAlign w:val="subscript"/>
        </w:rPr>
        <w:t>b</w:t>
      </w:r>
      <w:r w:rsidRPr="00BE548F">
        <w:t xml:space="preserve"> is the dry soil bulk density (kg/L), </w:t>
      </w:r>
      <w:r>
        <w:t>H</w:t>
      </w:r>
      <w:r w:rsidRPr="00BE548F">
        <w:t xml:space="preserve"> is the Henry’s law constant (unitless), and DAF is the dilution and attenuation factor that is calculated as per equation </w:t>
      </w:r>
      <w:r>
        <w:t>B2</w:t>
      </w:r>
      <w:r w:rsidRPr="00BE548F">
        <w:t xml:space="preserve">. </w:t>
      </w:r>
    </w:p>
    <w:p w:rsidR="009F182B" w:rsidRPr="00BE548F" w:rsidRDefault="009F182B" w:rsidP="006C2E16"/>
    <w:p w:rsidR="006C2E16" w:rsidRDefault="006C2E16" w:rsidP="006C2E16">
      <w:pPr>
        <w:rPr>
          <w:kern w:val="28"/>
        </w:rPr>
      </w:pPr>
      <w:r w:rsidRPr="00BE548F">
        <w:rPr>
          <w:kern w:val="28"/>
        </w:rPr>
        <w:t>The target soil leachate concentration (C</w:t>
      </w:r>
      <w:r w:rsidRPr="007836D4">
        <w:rPr>
          <w:kern w:val="28"/>
          <w:vertAlign w:val="subscript"/>
        </w:rPr>
        <w:t>w</w:t>
      </w:r>
      <w:r w:rsidRPr="00BE548F">
        <w:rPr>
          <w:kern w:val="28"/>
        </w:rPr>
        <w:t xml:space="preserve">) should be set as the relevant WQG for that contaminant in groundwater systems, which currently </w:t>
      </w:r>
      <w:r>
        <w:rPr>
          <w:kern w:val="28"/>
        </w:rPr>
        <w:t>is</w:t>
      </w:r>
      <w:r w:rsidRPr="00BE548F">
        <w:rPr>
          <w:kern w:val="28"/>
        </w:rPr>
        <w:t xml:space="preserve"> the surface freshwater TV (ANZECC </w:t>
      </w:r>
      <w:r>
        <w:rPr>
          <w:kern w:val="28"/>
        </w:rPr>
        <w:t>&amp;</w:t>
      </w:r>
      <w:r w:rsidRPr="00BE548F">
        <w:rPr>
          <w:kern w:val="28"/>
        </w:rPr>
        <w:t xml:space="preserve"> ARMCANZ 2000).</w:t>
      </w:r>
    </w:p>
    <w:p w:rsidR="006C2E16" w:rsidRDefault="006C2E16" w:rsidP="001C6BE7">
      <w:pPr>
        <w:pStyle w:val="Heading2"/>
      </w:pPr>
      <w:bookmarkStart w:id="242" w:name="_Toc255360013"/>
      <w:bookmarkStart w:id="243" w:name="_Toc269122492"/>
      <w:bookmarkStart w:id="244" w:name="_Toc351713199"/>
      <w:r w:rsidRPr="00BE548F">
        <w:t>Appendix C: Methods for determining the bioavailability of contaminants and how this could be incorporated into the ERA framework</w:t>
      </w:r>
      <w:bookmarkEnd w:id="242"/>
      <w:bookmarkEnd w:id="243"/>
      <w:bookmarkEnd w:id="244"/>
    </w:p>
    <w:p w:rsidR="006C2E16" w:rsidRDefault="006C2E16" w:rsidP="006C2E16">
      <w:pPr>
        <w:rPr>
          <w:kern w:val="28"/>
        </w:rPr>
      </w:pPr>
      <w:r w:rsidRPr="00BE548F">
        <w:rPr>
          <w:kern w:val="28"/>
        </w:rPr>
        <w:t xml:space="preserve">The methodology for deriving EILs outlined in this </w:t>
      </w:r>
      <w:r>
        <w:rPr>
          <w:kern w:val="28"/>
        </w:rPr>
        <w:t>Schedule</w:t>
      </w:r>
      <w:r w:rsidRPr="00BE548F">
        <w:rPr>
          <w:kern w:val="28"/>
        </w:rPr>
        <w:t xml:space="preserve"> accounts for the effects of soil reactions that modify the bioavailability of soluble contaminants</w:t>
      </w:r>
      <w:r>
        <w:rPr>
          <w:kern w:val="28"/>
        </w:rPr>
        <w:t xml:space="preserve">. </w:t>
      </w:r>
      <w:r w:rsidRPr="00BE548F">
        <w:rPr>
          <w:kern w:val="28"/>
        </w:rPr>
        <w:t>However, it does not take into account the form or bioavailability of the contaminant</w:t>
      </w:r>
      <w:r>
        <w:rPr>
          <w:kern w:val="28"/>
        </w:rPr>
        <w:t xml:space="preserve">. </w:t>
      </w:r>
      <w:r w:rsidRPr="00BE548F">
        <w:rPr>
          <w:kern w:val="28"/>
        </w:rPr>
        <w:t xml:space="preserve">The EIL derivation framework also makes the assumption that ecotoxicity data in the literature </w:t>
      </w:r>
      <w:r>
        <w:rPr>
          <w:kern w:val="28"/>
        </w:rPr>
        <w:t>is</w:t>
      </w:r>
      <w:r w:rsidRPr="00BE548F">
        <w:rPr>
          <w:kern w:val="28"/>
        </w:rPr>
        <w:t xml:space="preserve"> derived using highly bioavailable forms of contaminants (</w:t>
      </w:r>
      <w:r>
        <w:rPr>
          <w:kern w:val="28"/>
        </w:rPr>
        <w:t>for example,</w:t>
      </w:r>
      <w:r w:rsidRPr="00BE548F">
        <w:rPr>
          <w:kern w:val="28"/>
        </w:rPr>
        <w:t xml:space="preserve"> soluble metal salts or soluble organic molecules), and indeed this is generally the case for most ecotoxicity studies</w:t>
      </w:r>
      <w:r>
        <w:rPr>
          <w:kern w:val="28"/>
        </w:rPr>
        <w:t xml:space="preserve">. </w:t>
      </w:r>
      <w:r w:rsidRPr="00BE548F">
        <w:rPr>
          <w:kern w:val="28"/>
        </w:rPr>
        <w:t>Thus, the framework is reasonably conservative in its assumptions and protective</w:t>
      </w:r>
      <w:r>
        <w:rPr>
          <w:kern w:val="28"/>
        </w:rPr>
        <w:t>,</w:t>
      </w:r>
      <w:r w:rsidRPr="00BE548F">
        <w:rPr>
          <w:kern w:val="28"/>
        </w:rPr>
        <w:t xml:space="preserve"> and is appropriate for a</w:t>
      </w:r>
      <w:r>
        <w:rPr>
          <w:kern w:val="28"/>
        </w:rPr>
        <w:t xml:space="preserve"> screening level r</w:t>
      </w:r>
      <w:r w:rsidRPr="00BE548F">
        <w:rPr>
          <w:kern w:val="28"/>
        </w:rPr>
        <w:t>isk assessment.</w:t>
      </w:r>
    </w:p>
    <w:p w:rsidR="009F182B" w:rsidRPr="00BE548F" w:rsidRDefault="009F182B" w:rsidP="006C2E16">
      <w:pPr>
        <w:rPr>
          <w:kern w:val="28"/>
        </w:rPr>
      </w:pPr>
    </w:p>
    <w:p w:rsidR="006C2E16" w:rsidRDefault="006C2E16" w:rsidP="006C2E16">
      <w:pPr>
        <w:rPr>
          <w:kern w:val="28"/>
        </w:rPr>
      </w:pPr>
      <w:r w:rsidRPr="00BE548F">
        <w:rPr>
          <w:kern w:val="28"/>
        </w:rPr>
        <w:t>Soil contamination can occur from a variety of sources, and not all these sources have 100% bioavailability when they are initially added to soil</w:t>
      </w:r>
      <w:r>
        <w:rPr>
          <w:kern w:val="28"/>
        </w:rPr>
        <w:t xml:space="preserve">; for example, </w:t>
      </w:r>
      <w:r w:rsidRPr="00BE548F">
        <w:rPr>
          <w:kern w:val="28"/>
        </w:rPr>
        <w:t>vitreous slags, tyre debris, massive metal, encapsulated materials, etc.</w:t>
      </w:r>
    </w:p>
    <w:p w:rsidR="009F182B" w:rsidRDefault="009F182B" w:rsidP="006C2E16">
      <w:pPr>
        <w:rPr>
          <w:kern w:val="28"/>
        </w:rPr>
      </w:pPr>
    </w:p>
    <w:p w:rsidR="006C2E16" w:rsidRDefault="006C2E16" w:rsidP="006C2E16">
      <w:pPr>
        <w:rPr>
          <w:kern w:val="28"/>
        </w:rPr>
      </w:pPr>
      <w:r w:rsidRPr="00BE548F">
        <w:rPr>
          <w:kern w:val="28"/>
        </w:rPr>
        <w:lastRenderedPageBreak/>
        <w:t>When total concentrations of contaminants are determined in a soil containing these materials, these contaminants will be solubilised, assumed to be bioavailable, and therefore some sites may exceed the EILs</w:t>
      </w:r>
      <w:r>
        <w:rPr>
          <w:kern w:val="28"/>
        </w:rPr>
        <w:t>,</w:t>
      </w:r>
      <w:r w:rsidRPr="00BE548F">
        <w:rPr>
          <w:kern w:val="28"/>
        </w:rPr>
        <w:t xml:space="preserve"> yet the actual risk </w:t>
      </w:r>
      <w:r>
        <w:rPr>
          <w:kern w:val="28"/>
        </w:rPr>
        <w:t>is</w:t>
      </w:r>
      <w:r w:rsidRPr="00BE548F">
        <w:rPr>
          <w:kern w:val="28"/>
        </w:rPr>
        <w:t xml:space="preserve"> negligible</w:t>
      </w:r>
      <w:r>
        <w:rPr>
          <w:kern w:val="28"/>
        </w:rPr>
        <w:t>. F</w:t>
      </w:r>
      <w:r w:rsidRPr="00BE548F">
        <w:rPr>
          <w:kern w:val="28"/>
        </w:rPr>
        <w:t>urther chemical investigation of the bioavailability of the contaminants</w:t>
      </w:r>
      <w:r>
        <w:rPr>
          <w:kern w:val="28"/>
        </w:rPr>
        <w:t xml:space="preserve"> should b</w:t>
      </w:r>
      <w:r w:rsidRPr="00BE548F">
        <w:rPr>
          <w:kern w:val="28"/>
        </w:rPr>
        <w:t xml:space="preserve">e undertaken prior to direct toxicity assessment. </w:t>
      </w:r>
    </w:p>
    <w:p w:rsidR="009F182B" w:rsidRPr="00BE548F" w:rsidRDefault="009F182B" w:rsidP="006C2E16">
      <w:pPr>
        <w:rPr>
          <w:kern w:val="28"/>
        </w:rPr>
      </w:pPr>
    </w:p>
    <w:p w:rsidR="006C2E16" w:rsidRDefault="006C2E16" w:rsidP="006C2E16">
      <w:pPr>
        <w:rPr>
          <w:kern w:val="28"/>
        </w:rPr>
      </w:pPr>
      <w:r w:rsidRPr="00BE548F">
        <w:rPr>
          <w:kern w:val="28"/>
        </w:rPr>
        <w:t>For a detailed review of methods to assess metal bioavailability in soils, see McLaughlin et al. (2000b)</w:t>
      </w:r>
      <w:r>
        <w:rPr>
          <w:kern w:val="28"/>
        </w:rPr>
        <w:t xml:space="preserve">. </w:t>
      </w:r>
      <w:r w:rsidRPr="00BE548F">
        <w:rPr>
          <w:kern w:val="28"/>
        </w:rPr>
        <w:t>For detailed reviews of methods to assess bioavailability of organic contaminants in soils see Stokes et al. (2005) and Dean and Scott (2004).</w:t>
      </w:r>
    </w:p>
    <w:p w:rsidR="009F182B" w:rsidRDefault="009F182B" w:rsidP="006C2E16">
      <w:pPr>
        <w:rPr>
          <w:kern w:val="28"/>
        </w:rPr>
      </w:pPr>
    </w:p>
    <w:p w:rsidR="006C2E16" w:rsidRDefault="006C2E16" w:rsidP="006C2E16">
      <w:r>
        <w:t xml:space="preserve">Information on leachability tests applicable to contaminated sites can be found in Schedule B3. </w:t>
      </w:r>
    </w:p>
    <w:p w:rsidR="006C2E16" w:rsidRPr="0005658A" w:rsidRDefault="006C2E16" w:rsidP="001C6BE7">
      <w:pPr>
        <w:pStyle w:val="Heading1"/>
      </w:pPr>
      <w:bookmarkStart w:id="245" w:name="_Toc351713200"/>
      <w:r w:rsidRPr="00F71F2E">
        <w:lastRenderedPageBreak/>
        <w:t>Glossary</w:t>
      </w:r>
      <w:bookmarkEnd w:id="245"/>
    </w:p>
    <w:tbl>
      <w:tblPr>
        <w:tblW w:w="0" w:type="auto"/>
        <w:tblInd w:w="-106" w:type="dxa"/>
        <w:tblLook w:val="00A0" w:firstRow="1" w:lastRow="0" w:firstColumn="1" w:lastColumn="0" w:noHBand="0" w:noVBand="0"/>
      </w:tblPr>
      <w:tblGrid>
        <w:gridCol w:w="8635"/>
      </w:tblGrid>
      <w:tr w:rsidR="006C2E16" w:rsidRPr="008C303F" w:rsidTr="009F182B">
        <w:tc>
          <w:tcPr>
            <w:tcW w:w="8635" w:type="dxa"/>
          </w:tcPr>
          <w:p w:rsidR="006C2E16" w:rsidRPr="008C303F" w:rsidRDefault="006C2E16" w:rsidP="00A10D4B">
            <w:r w:rsidRPr="00507740">
              <w:rPr>
                <w:rStyle w:val="Highlight"/>
              </w:rPr>
              <w:t>Adaptation</w:t>
            </w:r>
            <w:r w:rsidRPr="008C303F">
              <w:rPr>
                <w:b/>
                <w:bCs/>
              </w:rPr>
              <w:t xml:space="preserve"> </w:t>
            </w:r>
            <w:r w:rsidRPr="008C303F">
              <w:t>is (1) change in an organism in response to changing conditions of the environment (specifically chemical), which occurs without any irreversible disruption of the given biological system and without exceeding the normal (homeostatic) capacities of its response, and (2)  a process by which an organism stabilises its physiological condition after an environmental change.</w:t>
            </w:r>
          </w:p>
        </w:tc>
      </w:tr>
      <w:tr w:rsidR="006C2E16" w:rsidRPr="008C303F" w:rsidTr="009F182B">
        <w:tc>
          <w:tcPr>
            <w:tcW w:w="8635" w:type="dxa"/>
          </w:tcPr>
          <w:p w:rsidR="006C2E16" w:rsidRPr="008C303F" w:rsidRDefault="006C2E16" w:rsidP="00A10D4B">
            <w:pPr>
              <w:rPr>
                <w:b/>
                <w:bCs/>
              </w:rPr>
            </w:pPr>
            <w:r w:rsidRPr="00507740">
              <w:rPr>
                <w:rStyle w:val="Highlight"/>
              </w:rPr>
              <w:t>Added contaminant limit (ACL)</w:t>
            </w:r>
            <w:r w:rsidRPr="008C303F">
              <w:rPr>
                <w:b/>
                <w:bCs/>
                <w:lang w:val="en-GB"/>
              </w:rPr>
              <w:t xml:space="preserve"> </w:t>
            </w:r>
            <w:r w:rsidRPr="008C303F">
              <w:t>is the added concentration of a contaminant above which further appropriate investigation and evaluation of the impact on ecological values will be required</w:t>
            </w:r>
            <w:r>
              <w:t xml:space="preserve">. </w:t>
            </w:r>
            <w:r w:rsidRPr="008C303F">
              <w:t xml:space="preserve">ACL values are generated in the process of deriving ecological investigation levels (EILs). </w:t>
            </w:r>
          </w:p>
        </w:tc>
      </w:tr>
      <w:tr w:rsidR="006C2E16" w:rsidRPr="008C303F" w:rsidTr="009F182B">
        <w:tc>
          <w:tcPr>
            <w:tcW w:w="8635" w:type="dxa"/>
          </w:tcPr>
          <w:p w:rsidR="006C2E16" w:rsidRPr="008C303F" w:rsidRDefault="006C2E16" w:rsidP="00A10D4B">
            <w:r w:rsidRPr="00507740">
              <w:rPr>
                <w:rStyle w:val="Highlight"/>
              </w:rPr>
              <w:t xml:space="preserve">Adsorption </w:t>
            </w:r>
            <w:r w:rsidRPr="001A5540">
              <w:t>is t</w:t>
            </w:r>
            <w:r w:rsidRPr="008C303F">
              <w:t xml:space="preserve">he adhesion of molecules to surfaces of solids. </w:t>
            </w:r>
          </w:p>
        </w:tc>
      </w:tr>
      <w:tr w:rsidR="006C2E16" w:rsidRPr="00507740" w:rsidTr="009F182B">
        <w:tc>
          <w:tcPr>
            <w:tcW w:w="8635" w:type="dxa"/>
          </w:tcPr>
          <w:p w:rsidR="006C2E16" w:rsidRPr="00F71F2E" w:rsidRDefault="006C2E16" w:rsidP="00A10D4B">
            <w:pPr>
              <w:rPr>
                <w:rStyle w:val="Highlight"/>
                <w:b w:val="0"/>
                <w:bCs w:val="0"/>
                <w:szCs w:val="24"/>
                <w:lang w:val="en-US"/>
              </w:rPr>
            </w:pPr>
            <w:r w:rsidRPr="00507740">
              <w:rPr>
                <w:rStyle w:val="Highlight"/>
              </w:rPr>
              <w:t>Ambient background concentration</w:t>
            </w:r>
            <w:r w:rsidRPr="008C303F">
              <w:rPr>
                <w:b/>
                <w:bCs/>
              </w:rPr>
              <w:t xml:space="preserve"> </w:t>
            </w:r>
            <w:r w:rsidRPr="00507740">
              <w:rPr>
                <w:rStyle w:val="Highlight"/>
              </w:rPr>
              <w:t xml:space="preserve">(ABC) </w:t>
            </w:r>
            <w:r w:rsidRPr="008C303F">
              <w:rPr>
                <w:lang w:val="en-US"/>
              </w:rPr>
              <w:t>of a contaminant is the soil concentration in a specified locality that is the sum of the naturally occurring background and the contaminant levels that have been introduced from diffuse or non-point sources by general anthropogenic activity not attributed to industrial, commercial, or agricultural activities.</w:t>
            </w:r>
          </w:p>
        </w:tc>
      </w:tr>
      <w:tr w:rsidR="006C2E16" w:rsidRPr="00507740" w:rsidTr="009F182B">
        <w:tc>
          <w:tcPr>
            <w:tcW w:w="8635" w:type="dxa"/>
          </w:tcPr>
          <w:p w:rsidR="006C2E16" w:rsidRPr="00507740" w:rsidRDefault="006C2E16" w:rsidP="00A10D4B">
            <w:pPr>
              <w:rPr>
                <w:lang w:bidi="hi-IN"/>
              </w:rPr>
            </w:pPr>
            <w:r>
              <w:rPr>
                <w:lang w:bidi="hi-IN"/>
              </w:rPr>
              <w:t xml:space="preserve">An </w:t>
            </w:r>
            <w:r w:rsidRPr="00471322">
              <w:rPr>
                <w:b/>
                <w:lang w:bidi="hi-IN"/>
              </w:rPr>
              <w:t>area of ecological significance</w:t>
            </w:r>
            <w:r>
              <w:rPr>
                <w:lang w:bidi="hi-IN"/>
              </w:rPr>
              <w:t xml:space="preserve"> is one where the planning provisions or land use designation is for the primary intention of conserving and protecting the natural environment. This would include national parks, state parks, and wilderness areas and designated conservation areas.</w:t>
            </w:r>
          </w:p>
        </w:tc>
      </w:tr>
      <w:tr w:rsidR="006C2E16" w:rsidRPr="008C303F" w:rsidTr="009F182B">
        <w:tc>
          <w:tcPr>
            <w:tcW w:w="8635" w:type="dxa"/>
          </w:tcPr>
          <w:p w:rsidR="006C2E16" w:rsidRPr="008C303F" w:rsidRDefault="006C2E16" w:rsidP="00A10D4B">
            <w:r w:rsidRPr="00507740">
              <w:rPr>
                <w:rStyle w:val="Highlight"/>
              </w:rPr>
              <w:t>Bioaccumulation</w:t>
            </w:r>
            <w:r w:rsidRPr="008C303F">
              <w:rPr>
                <w:b/>
                <w:bCs/>
              </w:rPr>
              <w:t xml:space="preserve"> </w:t>
            </w:r>
            <w:r w:rsidRPr="008C303F">
              <w:t>is the net result of the uptake, distribution and elimination of a substance due to all routes of exposure, that is, exposure to air, water, soil/sediment and food.</w:t>
            </w:r>
          </w:p>
        </w:tc>
      </w:tr>
      <w:tr w:rsidR="006C2E16" w:rsidRPr="008C303F" w:rsidTr="009F182B">
        <w:tc>
          <w:tcPr>
            <w:tcW w:w="8635" w:type="dxa"/>
          </w:tcPr>
          <w:p w:rsidR="006C2E16" w:rsidRPr="008C303F" w:rsidRDefault="006C2E16" w:rsidP="00A10D4B">
            <w:r w:rsidRPr="00507740">
              <w:rPr>
                <w:rStyle w:val="Highlight"/>
              </w:rPr>
              <w:t>Bioaccumulation factor</w:t>
            </w:r>
            <w:r w:rsidRPr="008C303F">
              <w:t xml:space="preserve"> is a partition coefficient for the distribution of a chemical between an organism exposed through all possible routes and an environmental compartment or food.</w:t>
            </w:r>
          </w:p>
        </w:tc>
      </w:tr>
      <w:tr w:rsidR="006C2E16" w:rsidRPr="008C303F" w:rsidTr="009F182B">
        <w:tc>
          <w:tcPr>
            <w:tcW w:w="8635" w:type="dxa"/>
          </w:tcPr>
          <w:p w:rsidR="006C2E16" w:rsidRPr="008C303F" w:rsidRDefault="006C2E16" w:rsidP="00A10D4B">
            <w:r w:rsidRPr="00507740">
              <w:rPr>
                <w:rStyle w:val="Highlight"/>
              </w:rPr>
              <w:t>Bioavailability</w:t>
            </w:r>
            <w:r w:rsidRPr="008C303F">
              <w:rPr>
                <w:b/>
                <w:bCs/>
              </w:rPr>
              <w:t xml:space="preserve"> </w:t>
            </w:r>
            <w:r w:rsidRPr="00507740">
              <w:rPr>
                <w:rStyle w:val="textChar"/>
                <w:rFonts w:eastAsiaTheme="minorHAnsi"/>
              </w:rPr>
              <w:t>is the ability of a contaminant to interact with the biological system of an organism. Not all of a contaminant that is present in environmental compartments (for example, soil, sediment, water and air) is biologically available—rather, only a fraction of the total (the bioavailable fraction) is available.</w:t>
            </w:r>
          </w:p>
        </w:tc>
      </w:tr>
      <w:tr w:rsidR="006C2E16" w:rsidRPr="008C303F" w:rsidTr="009F182B">
        <w:tc>
          <w:tcPr>
            <w:tcW w:w="8635" w:type="dxa"/>
          </w:tcPr>
          <w:p w:rsidR="006C2E16" w:rsidRPr="008C303F" w:rsidRDefault="006C2E16" w:rsidP="00A10D4B">
            <w:pPr>
              <w:rPr>
                <w:lang w:val="en-GB"/>
              </w:rPr>
            </w:pPr>
            <w:r w:rsidRPr="00507740">
              <w:rPr>
                <w:rStyle w:val="Highlight"/>
              </w:rPr>
              <w:t>Bioconcentration factor (BCF)</w:t>
            </w:r>
            <w:r w:rsidRPr="008C303F">
              <w:rPr>
                <w:b/>
                <w:bCs/>
                <w:lang w:val="en-GB"/>
              </w:rPr>
              <w:t xml:space="preserve"> </w:t>
            </w:r>
            <w:r w:rsidRPr="008C303F">
              <w:rPr>
                <w:lang w:val="en-GB"/>
              </w:rPr>
              <w:t>is a quantitative measure of a chemical’s tendency to be taken up from the ambient environment (for example, water for aquatic organisms and soil or soil pore water for soil organisms)</w:t>
            </w:r>
            <w:r>
              <w:rPr>
                <w:lang w:val="en-GB"/>
              </w:rPr>
              <w:t xml:space="preserve">. </w:t>
            </w:r>
            <w:r w:rsidRPr="008C303F">
              <w:rPr>
                <w:lang w:val="en-GB"/>
              </w:rPr>
              <w:t xml:space="preserve">The BCF is the ratio of the concentration of the chemical in tissue (or a specific organ) and the concentration in the ambient environment. </w:t>
            </w:r>
          </w:p>
        </w:tc>
      </w:tr>
      <w:tr w:rsidR="006C2E16" w:rsidRPr="008C303F" w:rsidTr="009F182B">
        <w:tc>
          <w:tcPr>
            <w:tcW w:w="8635" w:type="dxa"/>
          </w:tcPr>
          <w:p w:rsidR="006C2E16" w:rsidRPr="008C303F" w:rsidRDefault="006C2E16" w:rsidP="00A10D4B">
            <w:pPr>
              <w:rPr>
                <w:lang w:val="en-GB"/>
              </w:rPr>
            </w:pPr>
            <w:r w:rsidRPr="00507740">
              <w:rPr>
                <w:rStyle w:val="Highlight"/>
              </w:rPr>
              <w:t>Bioconcentration</w:t>
            </w:r>
            <w:r w:rsidRPr="008C303F">
              <w:rPr>
                <w:b/>
                <w:bCs/>
                <w:lang w:val="en-GB"/>
              </w:rPr>
              <w:t xml:space="preserve"> </w:t>
            </w:r>
            <w:r w:rsidRPr="008C303F">
              <w:rPr>
                <w:lang w:val="en-GB"/>
              </w:rPr>
              <w:t>is the net result of the uptake, distribution and elimination of a substance due to exposure in the ambient environment (for example, water for aquatic organisms and soil or soil pore water for soil organisms).</w:t>
            </w:r>
          </w:p>
        </w:tc>
      </w:tr>
      <w:tr w:rsidR="006C2E16" w:rsidRPr="008C303F" w:rsidTr="009F182B">
        <w:tc>
          <w:tcPr>
            <w:tcW w:w="8635" w:type="dxa"/>
          </w:tcPr>
          <w:p w:rsidR="006C2E16" w:rsidRPr="008C303F" w:rsidRDefault="006C2E16" w:rsidP="00A10D4B">
            <w:r w:rsidRPr="00507740">
              <w:rPr>
                <w:rStyle w:val="Highlight"/>
              </w:rPr>
              <w:t>Biological half life</w:t>
            </w:r>
            <w:r w:rsidRPr="008C303F">
              <w:rPr>
                <w:b/>
                <w:bCs/>
              </w:rPr>
              <w:t xml:space="preserve"> </w:t>
            </w:r>
            <w:r w:rsidRPr="008C303F">
              <w:t xml:space="preserve">is the time needed to reduce the concentration of a test chemical in the environmental compartment or organisms to half the initial concentration, by transport processes, (for example, diffusive elimination), transformation processes (for example, biodegradation or metabolism) or growth. </w:t>
            </w:r>
          </w:p>
        </w:tc>
      </w:tr>
      <w:tr w:rsidR="006C2E16" w:rsidRPr="008C303F" w:rsidTr="009F182B">
        <w:tc>
          <w:tcPr>
            <w:tcW w:w="8635" w:type="dxa"/>
          </w:tcPr>
          <w:p w:rsidR="006C2E16" w:rsidRPr="008C303F" w:rsidRDefault="006C2E16" w:rsidP="00A10D4B">
            <w:r w:rsidRPr="00507740">
              <w:rPr>
                <w:rStyle w:val="Highlight"/>
              </w:rPr>
              <w:t>Biomagnification factor</w:t>
            </w:r>
            <w:r w:rsidRPr="008C303F">
              <w:rPr>
                <w:b/>
                <w:bCs/>
              </w:rPr>
              <w:t xml:space="preserve"> </w:t>
            </w:r>
            <w:r w:rsidRPr="008C303F">
              <w:t>is the quantitative measure of a chemical’s tendency to be taken up through the food</w:t>
            </w:r>
            <w:r>
              <w:t xml:space="preserve"> web</w:t>
            </w:r>
            <w:r w:rsidRPr="008C303F">
              <w:t xml:space="preserve">. </w:t>
            </w:r>
          </w:p>
        </w:tc>
      </w:tr>
      <w:tr w:rsidR="006C2E16" w:rsidRPr="008C303F" w:rsidTr="009F182B">
        <w:tc>
          <w:tcPr>
            <w:tcW w:w="8635" w:type="dxa"/>
          </w:tcPr>
          <w:p w:rsidR="006C2E16" w:rsidRPr="008C303F" w:rsidRDefault="006C2E16" w:rsidP="00A10D4B">
            <w:r w:rsidRPr="00507740">
              <w:rPr>
                <w:rStyle w:val="Highlight"/>
              </w:rPr>
              <w:t>Biomagnification</w:t>
            </w:r>
            <w:r w:rsidRPr="008C303F">
              <w:rPr>
                <w:b/>
                <w:bCs/>
              </w:rPr>
              <w:t xml:space="preserve"> </w:t>
            </w:r>
            <w:r w:rsidRPr="008C303F">
              <w:t xml:space="preserve">is the accumulation and transfer of chemicals via the food web due to ingestion, resulting in an increase of the internal concentration in organisms at the succeeding trophic levels. </w:t>
            </w:r>
          </w:p>
        </w:tc>
      </w:tr>
      <w:tr w:rsidR="006C2E16" w:rsidRPr="008C303F" w:rsidTr="009F182B">
        <w:tc>
          <w:tcPr>
            <w:tcW w:w="8635" w:type="dxa"/>
          </w:tcPr>
          <w:p w:rsidR="006C2E16" w:rsidRPr="008C303F" w:rsidRDefault="006C2E16" w:rsidP="00A10D4B">
            <w:r w:rsidRPr="00507740">
              <w:rPr>
                <w:rStyle w:val="Highlight"/>
              </w:rPr>
              <w:t>Chronic</w:t>
            </w:r>
            <w:r w:rsidRPr="008C303F">
              <w:rPr>
                <w:b/>
                <w:bCs/>
              </w:rPr>
              <w:t xml:space="preserve"> </w:t>
            </w:r>
            <w:r w:rsidRPr="008C303F">
              <w:t xml:space="preserve">is the extended or long-term exposure to a stressor, conventionally taken to include at least a tenth of the life-span of a species. </w:t>
            </w:r>
          </w:p>
        </w:tc>
      </w:tr>
      <w:tr w:rsidR="006C2E16" w:rsidRPr="008C303F" w:rsidTr="009F182B">
        <w:tc>
          <w:tcPr>
            <w:tcW w:w="8635" w:type="dxa"/>
          </w:tcPr>
          <w:p w:rsidR="006C2E16" w:rsidRPr="008C303F" w:rsidRDefault="006C2E16" w:rsidP="00A10D4B">
            <w:r w:rsidRPr="00507740">
              <w:rPr>
                <w:rStyle w:val="Highlight"/>
              </w:rPr>
              <w:t>Concentration</w:t>
            </w:r>
            <w:r>
              <w:rPr>
                <w:rStyle w:val="Highlight"/>
              </w:rPr>
              <w:sym w:font="Symbol" w:char="F02D"/>
            </w:r>
            <w:r w:rsidRPr="00507740">
              <w:rPr>
                <w:rStyle w:val="Highlight"/>
              </w:rPr>
              <w:t>response curve</w:t>
            </w:r>
            <w:r w:rsidRPr="008C303F">
              <w:t xml:space="preserve"> is a curve describing the relationship between response in the test population and exposure concentration.</w:t>
            </w:r>
          </w:p>
        </w:tc>
      </w:tr>
      <w:tr w:rsidR="006C2E16" w:rsidRPr="008C303F" w:rsidTr="009F182B">
        <w:tc>
          <w:tcPr>
            <w:tcW w:w="8635" w:type="dxa"/>
          </w:tcPr>
          <w:p w:rsidR="006C2E16" w:rsidRPr="008C303F" w:rsidRDefault="006C2E16" w:rsidP="00A10D4B">
            <w:r w:rsidRPr="00507740">
              <w:rPr>
                <w:rStyle w:val="Highlight"/>
              </w:rPr>
              <w:t>Contaminant</w:t>
            </w:r>
            <w:r w:rsidRPr="008C303F">
              <w:rPr>
                <w:b/>
                <w:bCs/>
              </w:rPr>
              <w:t xml:space="preserve"> </w:t>
            </w:r>
            <w:r w:rsidRPr="00507740">
              <w:t>is any chemical existing in the environment above background levels and representing, or potentially representing, an adverse health or environmental risk.</w:t>
            </w:r>
            <w:r w:rsidRPr="008C303F">
              <w:t xml:space="preserve"> </w:t>
            </w:r>
          </w:p>
        </w:tc>
      </w:tr>
      <w:tr w:rsidR="006C2E16" w:rsidRPr="008C303F" w:rsidTr="009F182B">
        <w:tc>
          <w:tcPr>
            <w:tcW w:w="8635" w:type="dxa"/>
          </w:tcPr>
          <w:p w:rsidR="006C2E16" w:rsidRPr="008C303F" w:rsidRDefault="006C2E16" w:rsidP="00A10D4B">
            <w:r w:rsidRPr="00507740">
              <w:rPr>
                <w:rStyle w:val="Highlight"/>
              </w:rPr>
              <w:t>Contamination</w:t>
            </w:r>
            <w:r w:rsidRPr="008C303F">
              <w:rPr>
                <w:b/>
                <w:bCs/>
              </w:rPr>
              <w:t xml:space="preserve"> </w:t>
            </w:r>
            <w:r w:rsidRPr="008C303F">
              <w:t>means the condition of land or water where any chemical substance or waste has been added at above background level and represents, or potentially represents, an adverse health or environmental impact.</w:t>
            </w:r>
          </w:p>
        </w:tc>
      </w:tr>
      <w:tr w:rsidR="006C2E16" w:rsidRPr="008C303F" w:rsidTr="009F182B">
        <w:tc>
          <w:tcPr>
            <w:tcW w:w="8635" w:type="dxa"/>
          </w:tcPr>
          <w:p w:rsidR="006C2E16" w:rsidRPr="008C303F" w:rsidRDefault="006C2E16" w:rsidP="00A10D4B">
            <w:r w:rsidRPr="00507740">
              <w:rPr>
                <w:rStyle w:val="Highlight"/>
              </w:rPr>
              <w:lastRenderedPageBreak/>
              <w:t>Control</w:t>
            </w:r>
            <w:r w:rsidRPr="008C303F">
              <w:rPr>
                <w:b/>
                <w:bCs/>
              </w:rPr>
              <w:t xml:space="preserve"> </w:t>
            </w:r>
            <w:r w:rsidRPr="008C303F">
              <w:t xml:space="preserve">is treatment in a trial that duplicates all the conditions of the exposure treatments but contains no test material. </w:t>
            </w:r>
          </w:p>
        </w:tc>
      </w:tr>
      <w:tr w:rsidR="006C2E16" w:rsidRPr="008C303F" w:rsidTr="009F182B">
        <w:tc>
          <w:tcPr>
            <w:tcW w:w="8635" w:type="dxa"/>
          </w:tcPr>
          <w:p w:rsidR="006C2E16" w:rsidRPr="008C303F" w:rsidRDefault="006C2E16" w:rsidP="00A10D4B">
            <w:pPr>
              <w:rPr>
                <w:lang w:val="en-GB"/>
              </w:rPr>
            </w:pPr>
            <w:r w:rsidRPr="00507740">
              <w:rPr>
                <w:rStyle w:val="Highlight"/>
              </w:rPr>
              <w:t>Default conversion factors</w:t>
            </w:r>
            <w:r w:rsidRPr="008C303F">
              <w:rPr>
                <w:b/>
                <w:bCs/>
                <w:lang w:val="en-GB"/>
              </w:rPr>
              <w:t xml:space="preserve"> </w:t>
            </w:r>
            <w:r w:rsidRPr="008C303F">
              <w:rPr>
                <w:lang w:val="en-GB"/>
              </w:rPr>
              <w:t xml:space="preserve">are numerical values </w:t>
            </w:r>
            <w:r>
              <w:rPr>
                <w:lang w:val="en-GB"/>
              </w:rPr>
              <w:t>that</w:t>
            </w:r>
            <w:r w:rsidRPr="008C303F">
              <w:rPr>
                <w:lang w:val="en-GB"/>
              </w:rPr>
              <w:t xml:space="preserve"> are used to convert a measure of toxicity to another measure of toxicity (for example, EC</w:t>
            </w:r>
            <w:r w:rsidRPr="00FC5174">
              <w:rPr>
                <w:vertAlign w:val="subscript"/>
                <w:lang w:val="en-GB"/>
              </w:rPr>
              <w:t>50</w:t>
            </w:r>
            <w:r w:rsidRPr="008C303F">
              <w:rPr>
                <w:lang w:val="en-GB"/>
              </w:rPr>
              <w:t xml:space="preserve"> to a NOEC) when no experimentally determined values are available. </w:t>
            </w:r>
          </w:p>
        </w:tc>
      </w:tr>
      <w:tr w:rsidR="006C2E16" w:rsidRPr="008C303F" w:rsidTr="009F182B">
        <w:tc>
          <w:tcPr>
            <w:tcW w:w="8635" w:type="dxa"/>
          </w:tcPr>
          <w:p w:rsidR="006C2E16" w:rsidRPr="008C303F" w:rsidRDefault="006C2E16" w:rsidP="00A10D4B">
            <w:pPr>
              <w:rPr>
                <w:b/>
                <w:bCs/>
              </w:rPr>
            </w:pPr>
            <w:r w:rsidRPr="00507740">
              <w:rPr>
                <w:rStyle w:val="Highlight"/>
              </w:rPr>
              <w:t>Ecological investigation level (EIL)</w:t>
            </w:r>
            <w:r w:rsidRPr="008C303F">
              <w:rPr>
                <w:b/>
                <w:bCs/>
              </w:rPr>
              <w:t xml:space="preserve"> </w:t>
            </w:r>
            <w:r w:rsidRPr="008C303F">
              <w:t>is the concentration of a contaminant above which further appropriate investigation and evaluation of the impact on ecological values will be required</w:t>
            </w:r>
            <w:r>
              <w:t xml:space="preserve">. </w:t>
            </w:r>
            <w:r w:rsidRPr="008C303F">
              <w:t>The EILs are calculated using EC</w:t>
            </w:r>
            <w:r w:rsidRPr="00FC5174">
              <w:rPr>
                <w:vertAlign w:val="subscript"/>
              </w:rPr>
              <w:t>30</w:t>
            </w:r>
            <w:r w:rsidRPr="008C303F">
              <w:t xml:space="preserve"> or </w:t>
            </w:r>
            <w:r w:rsidRPr="008C303F">
              <w:rPr>
                <w:color w:val="000000"/>
              </w:rPr>
              <w:t>lowest observed effect concentrations</w:t>
            </w:r>
            <w:r w:rsidRPr="008C303F" w:rsidDel="00A23C40">
              <w:t xml:space="preserve"> </w:t>
            </w:r>
            <w:r w:rsidRPr="008C303F">
              <w:t>(LOEC) toxicity data</w:t>
            </w:r>
            <w:r>
              <w:t xml:space="preserve">. </w:t>
            </w:r>
            <w:r w:rsidRPr="008C303F">
              <w:t>EILs are the sum of the added contaminant limit (ACL) and the ambient background concentration (ABC) and the limit is expressed in terms of total concentration</w:t>
            </w:r>
            <w:r>
              <w:t xml:space="preserve">. </w:t>
            </w:r>
            <w:r w:rsidRPr="008C303F">
              <w:t>All EILs, whether generic, soil-specific or site-specific, only apply to soil to a depth of two metres below the current soil surface.</w:t>
            </w:r>
          </w:p>
        </w:tc>
      </w:tr>
      <w:tr w:rsidR="006C2E16" w:rsidRPr="008C303F" w:rsidTr="009F182B">
        <w:tc>
          <w:tcPr>
            <w:tcW w:w="8635" w:type="dxa"/>
          </w:tcPr>
          <w:p w:rsidR="006C2E16" w:rsidRPr="008C303F" w:rsidRDefault="006C2E16" w:rsidP="00A10D4B">
            <w:pPr>
              <w:rPr>
                <w:b/>
                <w:bCs/>
              </w:rPr>
            </w:pPr>
            <w:r w:rsidRPr="00507740">
              <w:rPr>
                <w:rStyle w:val="Highlight"/>
              </w:rPr>
              <w:t>ECx</w:t>
            </w:r>
            <w:r w:rsidRPr="008C303F">
              <w:rPr>
                <w:b/>
                <w:bCs/>
              </w:rPr>
              <w:t xml:space="preserve"> </w:t>
            </w:r>
            <w:r w:rsidRPr="008C303F">
              <w:t xml:space="preserve">means </w:t>
            </w:r>
            <w:r w:rsidRPr="00FC5174">
              <w:rPr>
                <w:b/>
              </w:rPr>
              <w:t>effective concentration</w:t>
            </w:r>
            <w:r w:rsidRPr="008C303F">
              <w:t xml:space="preserve">; the concentration which affects X% of a test population after a specified exposure time. </w:t>
            </w:r>
          </w:p>
        </w:tc>
      </w:tr>
      <w:tr w:rsidR="006C2E16" w:rsidRPr="008C303F" w:rsidTr="009F182B">
        <w:tc>
          <w:tcPr>
            <w:tcW w:w="8635" w:type="dxa"/>
          </w:tcPr>
          <w:p w:rsidR="006C2E16" w:rsidRPr="008C303F" w:rsidRDefault="006C2E16" w:rsidP="00A10D4B">
            <w:r>
              <w:rPr>
                <w:rStyle w:val="Highlight"/>
              </w:rPr>
              <w:t>End point</w:t>
            </w:r>
            <w:r w:rsidRPr="00507740">
              <w:rPr>
                <w:rStyle w:val="Highlight"/>
              </w:rPr>
              <w:t xml:space="preserve"> assessment</w:t>
            </w:r>
            <w:r w:rsidRPr="008C303F">
              <w:rPr>
                <w:b/>
                <w:bCs/>
              </w:rPr>
              <w:t xml:space="preserve"> </w:t>
            </w:r>
            <w:r w:rsidRPr="008C303F">
              <w:t xml:space="preserve">is a quantitative or quantifiable expression of the environmental value considered to be at risk in a risk analysis. </w:t>
            </w:r>
          </w:p>
        </w:tc>
      </w:tr>
      <w:tr w:rsidR="006C2E16" w:rsidRPr="008C303F" w:rsidTr="009F182B">
        <w:tc>
          <w:tcPr>
            <w:tcW w:w="8635" w:type="dxa"/>
          </w:tcPr>
          <w:p w:rsidR="006C2E16" w:rsidRPr="008C303F" w:rsidRDefault="006C2E16" w:rsidP="00A10D4B">
            <w:r w:rsidRPr="00507740">
              <w:rPr>
                <w:rStyle w:val="Highlight"/>
              </w:rPr>
              <w:t>Environmental fate</w:t>
            </w:r>
            <w:r w:rsidRPr="008C303F">
              <w:rPr>
                <w:b/>
                <w:bCs/>
              </w:rPr>
              <w:t xml:space="preserve"> </w:t>
            </w:r>
            <w:r w:rsidRPr="008C303F">
              <w:t xml:space="preserve">means the destiny of a chemical or biological pollutant after its release into the natural environment. </w:t>
            </w:r>
          </w:p>
        </w:tc>
      </w:tr>
      <w:tr w:rsidR="006C2E16" w:rsidRPr="008C303F" w:rsidTr="009F182B">
        <w:tc>
          <w:tcPr>
            <w:tcW w:w="8635" w:type="dxa"/>
          </w:tcPr>
          <w:p w:rsidR="006C2E16" w:rsidRPr="008C303F" w:rsidRDefault="006C2E16" w:rsidP="00A10D4B">
            <w:r w:rsidRPr="00507740">
              <w:rPr>
                <w:rStyle w:val="Highlight"/>
              </w:rPr>
              <w:t>Environmental quality guideline</w:t>
            </w:r>
            <w:r w:rsidRPr="008C303F">
              <w:rPr>
                <w:b/>
                <w:bCs/>
              </w:rPr>
              <w:t xml:space="preserve"> </w:t>
            </w:r>
            <w:r w:rsidRPr="008C303F">
              <w:t>is a generic term that applies to any guidelines that control the concentration of contaminants in various environmental compartments (for example, water, sediment, soil).</w:t>
            </w:r>
          </w:p>
        </w:tc>
      </w:tr>
      <w:tr w:rsidR="006C2E16" w:rsidRPr="008C303F" w:rsidTr="009F182B">
        <w:tc>
          <w:tcPr>
            <w:tcW w:w="8635" w:type="dxa"/>
          </w:tcPr>
          <w:p w:rsidR="006C2E16" w:rsidRPr="008C303F" w:rsidRDefault="006C2E16" w:rsidP="00A10D4B">
            <w:r w:rsidRPr="00507740">
              <w:rPr>
                <w:rStyle w:val="Highlight"/>
              </w:rPr>
              <w:t>Freundlich adsorption isotherm</w:t>
            </w:r>
            <w:r w:rsidRPr="008C303F">
              <w:rPr>
                <w:b/>
                <w:bCs/>
              </w:rPr>
              <w:t xml:space="preserve"> </w:t>
            </w:r>
            <w:r w:rsidRPr="008C303F">
              <w:t>is an empirical equation that describes the adsorption of a contaminant to soil</w:t>
            </w:r>
            <w:r>
              <w:t xml:space="preserve">. </w:t>
            </w:r>
            <w:r w:rsidRPr="008C303F">
              <w:t xml:space="preserve">The equation for this is </w:t>
            </w:r>
            <w:r w:rsidRPr="008C303F">
              <w:rPr>
                <w:i/>
                <w:iCs/>
              </w:rPr>
              <w:t>x/m</w:t>
            </w:r>
            <w:r w:rsidRPr="008C303F">
              <w:t xml:space="preserve"> = </w:t>
            </w:r>
            <w:r w:rsidRPr="008C303F">
              <w:rPr>
                <w:i/>
                <w:iCs/>
              </w:rPr>
              <w:t>K</w:t>
            </w:r>
            <w:r w:rsidRPr="008C303F">
              <w:rPr>
                <w:i/>
                <w:iCs/>
                <w:vertAlign w:val="subscript"/>
              </w:rPr>
              <w:t>f</w:t>
            </w:r>
            <w:r w:rsidRPr="008C303F">
              <w:rPr>
                <w:i/>
                <w:iCs/>
              </w:rPr>
              <w:t>C</w:t>
            </w:r>
            <w:r w:rsidRPr="008C303F">
              <w:rPr>
                <w:i/>
                <w:iCs/>
                <w:vertAlign w:val="subscript"/>
              </w:rPr>
              <w:t>e</w:t>
            </w:r>
            <w:r w:rsidRPr="008C303F">
              <w:rPr>
                <w:vertAlign w:val="superscript"/>
              </w:rPr>
              <w:t>l/n</w:t>
            </w:r>
            <w:r w:rsidRPr="008C303F">
              <w:t xml:space="preserve">, where </w:t>
            </w:r>
            <w:r w:rsidRPr="008C303F">
              <w:rPr>
                <w:i/>
                <w:iCs/>
              </w:rPr>
              <w:t>x/m</w:t>
            </w:r>
            <w:r w:rsidRPr="008C303F">
              <w:t xml:space="preserve"> is the concentration of the contaminant in soil (mg</w:t>
            </w:r>
            <w:r>
              <w:t>/</w:t>
            </w:r>
            <w:r w:rsidRPr="008C303F">
              <w:t xml:space="preserve">kg), </w:t>
            </w:r>
            <w:r w:rsidRPr="008C303F">
              <w:rPr>
                <w:i/>
                <w:iCs/>
              </w:rPr>
              <w:t>C</w:t>
            </w:r>
            <w:r w:rsidRPr="008C303F">
              <w:rPr>
                <w:i/>
                <w:iCs/>
                <w:vertAlign w:val="subscript"/>
              </w:rPr>
              <w:t>e</w:t>
            </w:r>
            <w:r w:rsidRPr="008C303F">
              <w:t xml:space="preserve"> is the contaminant concentration in the aqueous phase at equilibrium (mg/L), </w:t>
            </w:r>
            <w:r w:rsidRPr="008C303F">
              <w:rPr>
                <w:i/>
                <w:iCs/>
              </w:rPr>
              <w:t>K</w:t>
            </w:r>
            <w:r w:rsidRPr="008C303F">
              <w:rPr>
                <w:i/>
                <w:iCs/>
                <w:vertAlign w:val="subscript"/>
              </w:rPr>
              <w:t>f</w:t>
            </w:r>
            <w:r w:rsidRPr="008C303F">
              <w:t xml:space="preserve"> is the equilibrium constant (the Freundlich adsorption constant) and l/n is the contaminant</w:t>
            </w:r>
            <w:r>
              <w:t>-</w:t>
            </w:r>
            <w:r w:rsidRPr="008C303F">
              <w:t>specific exponent.</w:t>
            </w:r>
            <w:r w:rsidRPr="008C303F">
              <w:rPr>
                <w:i/>
                <w:iCs/>
              </w:rPr>
              <w:t xml:space="preserve"> </w:t>
            </w:r>
          </w:p>
        </w:tc>
      </w:tr>
      <w:tr w:rsidR="006C2E16" w:rsidRPr="008C303F" w:rsidTr="009F182B">
        <w:tc>
          <w:tcPr>
            <w:tcW w:w="8635" w:type="dxa"/>
          </w:tcPr>
          <w:p w:rsidR="006C2E16" w:rsidRPr="008C303F" w:rsidRDefault="006C2E16" w:rsidP="00A10D4B">
            <w:pPr>
              <w:rPr>
                <w:lang w:val="en-GB"/>
              </w:rPr>
            </w:pPr>
            <w:r w:rsidRPr="00507740">
              <w:rPr>
                <w:rStyle w:val="Highlight"/>
              </w:rPr>
              <w:t>Generic soil quality guidelines</w:t>
            </w:r>
            <w:r w:rsidRPr="008C303F">
              <w:rPr>
                <w:b/>
                <w:bCs/>
                <w:lang w:val="en-GB"/>
              </w:rPr>
              <w:t xml:space="preserve"> </w:t>
            </w:r>
            <w:r w:rsidRPr="008C303F">
              <w:rPr>
                <w:lang w:val="en-GB"/>
              </w:rPr>
              <w:t>describe a</w:t>
            </w:r>
            <w:r w:rsidRPr="008C303F">
              <w:rPr>
                <w:b/>
                <w:bCs/>
                <w:lang w:val="en-GB"/>
              </w:rPr>
              <w:t xml:space="preserve"> </w:t>
            </w:r>
            <w:r w:rsidRPr="008C303F">
              <w:rPr>
                <w:lang w:val="en-GB"/>
              </w:rPr>
              <w:t>single concentration-based value that applies to all Australian soils that have a particular land use</w:t>
            </w:r>
            <w:r>
              <w:rPr>
                <w:lang w:val="en-GB"/>
              </w:rPr>
              <w:t xml:space="preserve">. </w:t>
            </w:r>
            <w:r w:rsidRPr="008C303F">
              <w:rPr>
                <w:lang w:val="en-GB"/>
              </w:rPr>
              <w:t>These are derived when normalisation relationships are not available</w:t>
            </w:r>
            <w:r>
              <w:rPr>
                <w:lang w:val="en-GB"/>
              </w:rPr>
              <w:t xml:space="preserve">. </w:t>
            </w:r>
            <w:r w:rsidRPr="008C303F">
              <w:rPr>
                <w:lang w:val="en-GB"/>
              </w:rPr>
              <w:t>Compare these with soil-specific soil quality guidelines.</w:t>
            </w:r>
          </w:p>
        </w:tc>
      </w:tr>
      <w:tr w:rsidR="006C2E16" w:rsidRPr="008C303F" w:rsidTr="009F182B">
        <w:tc>
          <w:tcPr>
            <w:tcW w:w="8635" w:type="dxa"/>
          </w:tcPr>
          <w:p w:rsidR="006C2E16" w:rsidRPr="008C303F" w:rsidRDefault="006C2E16" w:rsidP="00A10D4B">
            <w:r w:rsidRPr="00507740">
              <w:rPr>
                <w:rStyle w:val="Highlight"/>
              </w:rPr>
              <w:t>Indicator</w:t>
            </w:r>
            <w:r w:rsidRPr="008C303F">
              <w:t xml:space="preserve"> means a biotic characteristic of the environment, for example, a plant </w:t>
            </w:r>
            <w:r>
              <w:t>end point</w:t>
            </w:r>
            <w:r w:rsidRPr="008C303F">
              <w:t xml:space="preserve"> that provides evidence of the occurrence or magnitude of exposure or effects. </w:t>
            </w:r>
          </w:p>
        </w:tc>
      </w:tr>
      <w:tr w:rsidR="006C2E16" w:rsidRPr="008C303F" w:rsidTr="009F182B">
        <w:tc>
          <w:tcPr>
            <w:tcW w:w="8635" w:type="dxa"/>
          </w:tcPr>
          <w:p w:rsidR="006C2E16" w:rsidRPr="008C303F" w:rsidRDefault="006C2E16" w:rsidP="00A10D4B">
            <w:pPr>
              <w:rPr>
                <w:lang w:val="en-GB"/>
              </w:rPr>
            </w:pPr>
            <w:r w:rsidRPr="00507740">
              <w:rPr>
                <w:rStyle w:val="Highlight"/>
              </w:rPr>
              <w:t>K</w:t>
            </w:r>
            <w:r w:rsidRPr="007836D4">
              <w:rPr>
                <w:rStyle w:val="Highlight"/>
                <w:vertAlign w:val="subscript"/>
              </w:rPr>
              <w:t>d</w:t>
            </w:r>
            <w:r w:rsidRPr="008C303F">
              <w:rPr>
                <w:b/>
                <w:bCs/>
                <w:lang w:val="en-GB"/>
              </w:rPr>
              <w:t xml:space="preserve"> </w:t>
            </w:r>
            <w:r w:rsidRPr="008C303F">
              <w:rPr>
                <w:lang w:val="en-GB"/>
              </w:rPr>
              <w:t xml:space="preserve">(see </w:t>
            </w:r>
            <w:r w:rsidRPr="008C303F">
              <w:rPr>
                <w:b/>
                <w:bCs/>
                <w:lang w:val="en-GB"/>
              </w:rPr>
              <w:t>water to soil partition coefficient</w:t>
            </w:r>
            <w:r w:rsidRPr="008C303F">
              <w:rPr>
                <w:lang w:val="en-GB"/>
              </w:rPr>
              <w:t>).</w:t>
            </w:r>
          </w:p>
        </w:tc>
      </w:tr>
      <w:tr w:rsidR="006C2E16" w:rsidRPr="008C303F" w:rsidTr="009F182B">
        <w:tc>
          <w:tcPr>
            <w:tcW w:w="8635" w:type="dxa"/>
          </w:tcPr>
          <w:p w:rsidR="006C2E16" w:rsidRPr="008C303F" w:rsidRDefault="006C2E16" w:rsidP="00A10D4B">
            <w:pPr>
              <w:rPr>
                <w:lang w:val="en-GB"/>
              </w:rPr>
            </w:pPr>
            <w:r w:rsidRPr="00507740">
              <w:rPr>
                <w:rStyle w:val="Highlight"/>
              </w:rPr>
              <w:t>K</w:t>
            </w:r>
            <w:r w:rsidRPr="007836D4">
              <w:rPr>
                <w:rStyle w:val="Highlight"/>
                <w:vertAlign w:val="subscript"/>
              </w:rPr>
              <w:t>oc</w:t>
            </w:r>
            <w:r w:rsidRPr="008C303F">
              <w:rPr>
                <w:b/>
                <w:bCs/>
                <w:lang w:val="en-GB"/>
              </w:rPr>
              <w:t xml:space="preserve"> </w:t>
            </w:r>
            <w:r w:rsidRPr="008C303F">
              <w:rPr>
                <w:lang w:val="en-GB"/>
              </w:rPr>
              <w:t xml:space="preserve">(see </w:t>
            </w:r>
            <w:r w:rsidRPr="008C303F">
              <w:rPr>
                <w:b/>
                <w:bCs/>
                <w:lang w:val="en-GB"/>
              </w:rPr>
              <w:t>organic carbon</w:t>
            </w:r>
            <w:r>
              <w:rPr>
                <w:b/>
                <w:bCs/>
                <w:lang w:val="en-GB"/>
              </w:rPr>
              <w:sym w:font="Symbol" w:char="F02D"/>
            </w:r>
            <w:r w:rsidRPr="008C303F">
              <w:rPr>
                <w:b/>
                <w:bCs/>
                <w:lang w:val="en-GB"/>
              </w:rPr>
              <w:t>water partition coefficient</w:t>
            </w:r>
            <w:r w:rsidRPr="008C303F">
              <w:rPr>
                <w:lang w:val="en-GB"/>
              </w:rPr>
              <w:t xml:space="preserve">) </w:t>
            </w:r>
          </w:p>
        </w:tc>
      </w:tr>
      <w:tr w:rsidR="006C2E16" w:rsidRPr="008C303F" w:rsidTr="009F182B">
        <w:tc>
          <w:tcPr>
            <w:tcW w:w="8635" w:type="dxa"/>
          </w:tcPr>
          <w:p w:rsidR="006C2E16" w:rsidRPr="008C303F" w:rsidRDefault="006C2E16" w:rsidP="00A10D4B">
            <w:pPr>
              <w:rPr>
                <w:lang w:val="en-GB"/>
              </w:rPr>
            </w:pPr>
            <w:r w:rsidRPr="00507740">
              <w:rPr>
                <w:rStyle w:val="Highlight"/>
              </w:rPr>
              <w:t>K</w:t>
            </w:r>
            <w:r w:rsidRPr="007836D4">
              <w:rPr>
                <w:rStyle w:val="Highlight"/>
                <w:vertAlign w:val="subscript"/>
              </w:rPr>
              <w:t>ow</w:t>
            </w:r>
            <w:r w:rsidRPr="008C303F">
              <w:rPr>
                <w:b/>
                <w:bCs/>
                <w:lang w:val="en-GB"/>
              </w:rPr>
              <w:t xml:space="preserve"> </w:t>
            </w:r>
            <w:r w:rsidRPr="008C303F">
              <w:rPr>
                <w:lang w:val="en-GB"/>
              </w:rPr>
              <w:t xml:space="preserve">(see </w:t>
            </w:r>
            <w:r w:rsidRPr="008C303F">
              <w:rPr>
                <w:b/>
                <w:bCs/>
                <w:lang w:val="en-GB"/>
              </w:rPr>
              <w:t>octanol</w:t>
            </w:r>
            <w:r>
              <w:rPr>
                <w:b/>
                <w:bCs/>
                <w:lang w:val="en-GB"/>
              </w:rPr>
              <w:sym w:font="Symbol" w:char="F02D"/>
            </w:r>
            <w:r w:rsidRPr="008C303F">
              <w:rPr>
                <w:b/>
                <w:bCs/>
                <w:lang w:val="en-GB"/>
              </w:rPr>
              <w:t>water partition coefficient</w:t>
            </w:r>
            <w:r w:rsidRPr="008C303F">
              <w:rPr>
                <w:lang w:val="en-GB"/>
              </w:rPr>
              <w:t xml:space="preserve">) </w:t>
            </w:r>
          </w:p>
        </w:tc>
      </w:tr>
      <w:tr w:rsidR="006C2E16" w:rsidRPr="008C303F" w:rsidTr="009F182B">
        <w:tc>
          <w:tcPr>
            <w:tcW w:w="8635" w:type="dxa"/>
          </w:tcPr>
          <w:p w:rsidR="006C2E16" w:rsidRPr="008C303F" w:rsidRDefault="006C2E16" w:rsidP="00A10D4B">
            <w:pPr>
              <w:rPr>
                <w:lang w:val="en-GB"/>
              </w:rPr>
            </w:pPr>
            <w:r w:rsidRPr="00507740">
              <w:rPr>
                <w:rStyle w:val="Highlight"/>
              </w:rPr>
              <w:t>Leach</w:t>
            </w:r>
            <w:r>
              <w:rPr>
                <w:rStyle w:val="Highlight"/>
              </w:rPr>
              <w:t>ing</w:t>
            </w:r>
            <w:r w:rsidRPr="008C303F">
              <w:rPr>
                <w:b/>
                <w:bCs/>
                <w:lang w:val="en-GB"/>
              </w:rPr>
              <w:t xml:space="preserve"> </w:t>
            </w:r>
            <w:r w:rsidRPr="008C303F">
              <w:rPr>
                <w:lang w:val="en-GB"/>
              </w:rPr>
              <w:t>involves</w:t>
            </w:r>
            <w:r w:rsidRPr="008C303F">
              <w:rPr>
                <w:b/>
                <w:bCs/>
                <w:lang w:val="en-GB"/>
              </w:rPr>
              <w:t xml:space="preserve"> </w:t>
            </w:r>
            <w:r w:rsidRPr="008C303F">
              <w:rPr>
                <w:lang w:val="en-GB"/>
              </w:rPr>
              <w:t>the dissolving of contaminants in soil and subsequent downward transport to groundwater or surface water</w:t>
            </w:r>
            <w:r>
              <w:rPr>
                <w:lang w:val="en-GB"/>
              </w:rPr>
              <w:t xml:space="preserve"> </w:t>
            </w:r>
            <w:r w:rsidRPr="008C303F">
              <w:rPr>
                <w:lang w:val="en-GB"/>
              </w:rPr>
              <w:t>bodies.</w:t>
            </w:r>
          </w:p>
        </w:tc>
      </w:tr>
      <w:tr w:rsidR="006C2E16" w:rsidRPr="008C303F" w:rsidTr="009F182B">
        <w:tc>
          <w:tcPr>
            <w:tcW w:w="8635" w:type="dxa"/>
          </w:tcPr>
          <w:p w:rsidR="006C2E16" w:rsidRPr="008C303F" w:rsidRDefault="006C2E16" w:rsidP="00A10D4B">
            <w:r w:rsidRPr="00507740">
              <w:rPr>
                <w:rStyle w:val="Highlight"/>
              </w:rPr>
              <w:t>Leachate</w:t>
            </w:r>
            <w:r w:rsidRPr="008C303F">
              <w:rPr>
                <w:b/>
                <w:bCs/>
              </w:rPr>
              <w:t xml:space="preserve"> </w:t>
            </w:r>
            <w:r w:rsidRPr="008C303F">
              <w:t xml:space="preserve">is water that has percolated through a column of soil. </w:t>
            </w:r>
          </w:p>
        </w:tc>
      </w:tr>
      <w:tr w:rsidR="006C2E16" w:rsidRPr="008C303F" w:rsidTr="009F182B">
        <w:tc>
          <w:tcPr>
            <w:tcW w:w="8635" w:type="dxa"/>
          </w:tcPr>
          <w:p w:rsidR="006C2E16" w:rsidRPr="008C303F" w:rsidRDefault="006C2E16" w:rsidP="00A10D4B">
            <w:r w:rsidRPr="00507740">
              <w:rPr>
                <w:rStyle w:val="Highlight"/>
              </w:rPr>
              <w:t>LOEC</w:t>
            </w:r>
            <w:r w:rsidRPr="008C303F">
              <w:rPr>
                <w:b/>
                <w:bCs/>
              </w:rPr>
              <w:t xml:space="preserve"> </w:t>
            </w:r>
            <w:r w:rsidRPr="008C303F">
              <w:t xml:space="preserve">is the lowest observed effect concentration (level); the lowest concentration of a material used in a test that has a statistically significant effect on the exposed population of test organisms compared to the control. </w:t>
            </w:r>
          </w:p>
        </w:tc>
      </w:tr>
      <w:tr w:rsidR="006C2E16" w:rsidRPr="008C303F" w:rsidTr="009F182B">
        <w:tc>
          <w:tcPr>
            <w:tcW w:w="8635" w:type="dxa"/>
          </w:tcPr>
          <w:p w:rsidR="006C2E16" w:rsidRPr="008C303F" w:rsidRDefault="006C2E16" w:rsidP="00A10D4B">
            <w:r w:rsidRPr="00507740">
              <w:rPr>
                <w:rStyle w:val="Highlight"/>
              </w:rPr>
              <w:t>Logistic curve</w:t>
            </w:r>
            <w:r w:rsidRPr="008C303F">
              <w:rPr>
                <w:b/>
                <w:bCs/>
              </w:rPr>
              <w:t xml:space="preserve"> </w:t>
            </w:r>
            <w:r w:rsidRPr="008C303F">
              <w:t xml:space="preserve">is a function fitting the general equation </w:t>
            </w:r>
            <w:r w:rsidRPr="008C303F">
              <w:rPr>
                <w:i/>
                <w:iCs/>
              </w:rPr>
              <w:t>y</w:t>
            </w:r>
            <w:r w:rsidRPr="008C303F">
              <w:t xml:space="preserve"> = </w:t>
            </w:r>
            <w:r w:rsidRPr="008C303F">
              <w:rPr>
                <w:i/>
                <w:iCs/>
              </w:rPr>
              <w:t>k</w:t>
            </w:r>
            <w:r w:rsidRPr="008C303F">
              <w:t>/ (1+</w:t>
            </w:r>
            <w:r w:rsidRPr="008C303F">
              <w:rPr>
                <w:i/>
                <w:iCs/>
              </w:rPr>
              <w:t>e</w:t>
            </w:r>
            <w:r w:rsidRPr="008C303F">
              <w:rPr>
                <w:i/>
                <w:iCs/>
                <w:vertAlign w:val="superscript"/>
              </w:rPr>
              <w:t>a</w:t>
            </w:r>
            <w:r w:rsidRPr="008C303F">
              <w:rPr>
                <w:vertAlign w:val="superscript"/>
              </w:rPr>
              <w:t>+</w:t>
            </w:r>
            <w:r w:rsidRPr="008C303F">
              <w:rPr>
                <w:i/>
                <w:iCs/>
                <w:vertAlign w:val="superscript"/>
              </w:rPr>
              <w:t>bt</w:t>
            </w:r>
            <w:r w:rsidRPr="008C303F">
              <w:t>) where t represents time, y the body weight or population size, a and b are model</w:t>
            </w:r>
            <w:r>
              <w:t>-</w:t>
            </w:r>
            <w:r w:rsidRPr="008C303F">
              <w:t>specific parameters</w:t>
            </w:r>
            <w:r>
              <w:t xml:space="preserve">. </w:t>
            </w:r>
            <w:r w:rsidRPr="008C303F">
              <w:t>This mathematical function with parameters can be adjusted so that the function closely describes a set of empirical data</w:t>
            </w:r>
            <w:r>
              <w:t xml:space="preserve">. </w:t>
            </w:r>
            <w:r w:rsidRPr="008C303F">
              <w:t>Statistical models are curve-fitted to data where the mathematical function used is selected for its numerical properties</w:t>
            </w:r>
            <w:r>
              <w:t xml:space="preserve">. </w:t>
            </w:r>
          </w:p>
        </w:tc>
      </w:tr>
      <w:tr w:rsidR="006C2E16" w:rsidRPr="008C303F" w:rsidTr="009F182B">
        <w:tc>
          <w:tcPr>
            <w:tcW w:w="8635" w:type="dxa"/>
          </w:tcPr>
          <w:p w:rsidR="006C2E16" w:rsidRPr="008C303F" w:rsidRDefault="006C2E16" w:rsidP="00A10D4B">
            <w:r w:rsidRPr="00507740">
              <w:rPr>
                <w:rStyle w:val="Highlight"/>
              </w:rPr>
              <w:t>NOEC</w:t>
            </w:r>
            <w:r w:rsidRPr="008C303F">
              <w:rPr>
                <w:b/>
                <w:bCs/>
              </w:rPr>
              <w:t xml:space="preserve"> </w:t>
            </w:r>
            <w:r w:rsidRPr="008C303F">
              <w:t xml:space="preserve">means no observed effect concentration; the highest concentration of a test substance to which organisms are exposed that does not cause any observed and statistically significant adverse effects on the organisms compared to the controls. </w:t>
            </w:r>
          </w:p>
        </w:tc>
      </w:tr>
      <w:tr w:rsidR="006C2E16" w:rsidRPr="008C303F" w:rsidTr="009F182B">
        <w:tc>
          <w:tcPr>
            <w:tcW w:w="8635" w:type="dxa"/>
          </w:tcPr>
          <w:p w:rsidR="006C2E16" w:rsidRPr="008C303F" w:rsidRDefault="006C2E16" w:rsidP="00A10D4B">
            <w:pPr>
              <w:rPr>
                <w:lang w:val="en-GB"/>
              </w:rPr>
            </w:pPr>
            <w:r w:rsidRPr="00507740">
              <w:rPr>
                <w:rStyle w:val="Highlight"/>
              </w:rPr>
              <w:t>Normalisation relationships</w:t>
            </w:r>
            <w:r w:rsidRPr="008C303F">
              <w:rPr>
                <w:b/>
                <w:bCs/>
                <w:lang w:val="en-GB"/>
              </w:rPr>
              <w:t xml:space="preserve"> </w:t>
            </w:r>
            <w:r w:rsidRPr="008C303F">
              <w:rPr>
                <w:lang w:val="en-GB"/>
              </w:rPr>
              <w:t>are empirical, generally linear</w:t>
            </w:r>
            <w:r>
              <w:rPr>
                <w:lang w:val="en-GB"/>
              </w:rPr>
              <w:t>,</w:t>
            </w:r>
            <w:r w:rsidRPr="008C303F">
              <w:rPr>
                <w:lang w:val="en-GB"/>
              </w:rPr>
              <w:t xml:space="preserve"> relationships </w:t>
            </w:r>
            <w:r>
              <w:rPr>
                <w:lang w:val="en-GB"/>
              </w:rPr>
              <w:t>that</w:t>
            </w:r>
            <w:r w:rsidRPr="008C303F">
              <w:rPr>
                <w:lang w:val="en-GB"/>
              </w:rPr>
              <w:t xml:space="preserve"> can predict the toxicity of a contaminant to an organism using soil physicochemical properties</w:t>
            </w:r>
            <w:r>
              <w:rPr>
                <w:lang w:val="en-GB"/>
              </w:rPr>
              <w:t xml:space="preserve">. </w:t>
            </w:r>
            <w:r w:rsidRPr="008C303F">
              <w:rPr>
                <w:lang w:val="en-GB"/>
              </w:rPr>
              <w:t>These are used in the EIL derivation methodology to generate soil-specific soil quality guidelines.</w:t>
            </w:r>
          </w:p>
        </w:tc>
      </w:tr>
      <w:tr w:rsidR="006C2E16" w:rsidRPr="008C303F" w:rsidTr="009F182B">
        <w:tc>
          <w:tcPr>
            <w:tcW w:w="8635" w:type="dxa"/>
          </w:tcPr>
          <w:p w:rsidR="006C2E16" w:rsidRPr="008C303F" w:rsidRDefault="006C2E16" w:rsidP="00A10D4B">
            <w:r w:rsidRPr="00507740">
              <w:rPr>
                <w:rStyle w:val="Highlight"/>
              </w:rPr>
              <w:t>Octanol</w:t>
            </w:r>
            <w:r>
              <w:rPr>
                <w:rStyle w:val="Highlight"/>
              </w:rPr>
              <w:sym w:font="Symbol" w:char="F02D"/>
            </w:r>
            <w:r w:rsidRPr="00507740">
              <w:rPr>
                <w:rStyle w:val="Highlight"/>
              </w:rPr>
              <w:t>water partitioning (K</w:t>
            </w:r>
            <w:r w:rsidRPr="007836D4">
              <w:rPr>
                <w:rStyle w:val="Highlight"/>
                <w:vertAlign w:val="subscript"/>
              </w:rPr>
              <w:t>ow</w:t>
            </w:r>
            <w:r w:rsidRPr="00507740">
              <w:rPr>
                <w:rStyle w:val="Highlight"/>
              </w:rPr>
              <w:t>)</w:t>
            </w:r>
            <w:r w:rsidRPr="008C303F">
              <w:rPr>
                <w:b/>
                <w:bCs/>
                <w:lang w:val="en-GB"/>
              </w:rPr>
              <w:t xml:space="preserve"> </w:t>
            </w:r>
            <w:r w:rsidRPr="008C303F">
              <w:rPr>
                <w:lang w:val="en-GB"/>
              </w:rPr>
              <w:t>means the ratio of a chemical’s solubility in n-octanol and water at equilibrium</w:t>
            </w:r>
            <w:r>
              <w:rPr>
                <w:lang w:val="en-GB"/>
              </w:rPr>
              <w:t xml:space="preserve">. </w:t>
            </w:r>
            <w:r w:rsidRPr="008C303F">
              <w:rPr>
                <w:lang w:val="en-GB"/>
              </w:rPr>
              <w:t xml:space="preserve">This is widely used as a surrogate for the ability of a contaminant to </w:t>
            </w:r>
            <w:r w:rsidRPr="008C303F">
              <w:rPr>
                <w:lang w:val="en-GB"/>
              </w:rPr>
              <w:lastRenderedPageBreak/>
              <w:t>accumulate in organisms and to biomagnify</w:t>
            </w:r>
            <w:r>
              <w:rPr>
                <w:lang w:val="en-GB"/>
              </w:rPr>
              <w:t xml:space="preserve">. </w:t>
            </w:r>
            <w:r w:rsidRPr="008C303F">
              <w:rPr>
                <w:lang w:val="en-GB"/>
              </w:rPr>
              <w:t>These are often expressed in the logarithmic form (that is, log K</w:t>
            </w:r>
            <w:r w:rsidRPr="007836D4">
              <w:rPr>
                <w:vertAlign w:val="subscript"/>
                <w:lang w:val="en-GB"/>
              </w:rPr>
              <w:t>ow</w:t>
            </w:r>
            <w:r w:rsidRPr="008C303F">
              <w:rPr>
                <w:lang w:val="en-GB"/>
              </w:rPr>
              <w:t>)</w:t>
            </w:r>
            <w:r>
              <w:rPr>
                <w:lang w:val="en-GB"/>
              </w:rPr>
              <w:t xml:space="preserve">. </w:t>
            </w:r>
            <w:r w:rsidRPr="008C303F">
              <w:rPr>
                <w:lang w:val="en-GB"/>
              </w:rPr>
              <w:t>Chemicals with a log K</w:t>
            </w:r>
            <w:r w:rsidRPr="00BF2FF7">
              <w:rPr>
                <w:vertAlign w:val="subscript"/>
                <w:lang w:val="en-GB"/>
              </w:rPr>
              <w:t>ow</w:t>
            </w:r>
            <w:r w:rsidRPr="008C303F">
              <w:rPr>
                <w:lang w:val="en-GB"/>
              </w:rPr>
              <w:t xml:space="preserve"> value ≥4 are considered in this guideline to have the potential to biomagnify</w:t>
            </w:r>
            <w:r>
              <w:rPr>
                <w:lang w:val="en-GB"/>
              </w:rPr>
              <w:t xml:space="preserve">. </w:t>
            </w:r>
            <w:r w:rsidRPr="008C303F">
              <w:rPr>
                <w:lang w:val="en-GB"/>
              </w:rPr>
              <w:t>There is a linear relationship between log K</w:t>
            </w:r>
            <w:r w:rsidRPr="007836D4">
              <w:rPr>
                <w:vertAlign w:val="subscript"/>
                <w:lang w:val="en-GB"/>
              </w:rPr>
              <w:t>ow</w:t>
            </w:r>
            <w:r w:rsidRPr="008C303F">
              <w:rPr>
                <w:lang w:val="en-GB"/>
              </w:rPr>
              <w:t xml:space="preserve"> and log K</w:t>
            </w:r>
            <w:r w:rsidRPr="007836D4">
              <w:rPr>
                <w:vertAlign w:val="subscript"/>
                <w:lang w:val="en-GB"/>
              </w:rPr>
              <w:t>oc</w:t>
            </w:r>
            <w:r w:rsidRPr="008C303F">
              <w:rPr>
                <w:lang w:val="en-GB"/>
              </w:rPr>
              <w:t xml:space="preserve"> values</w:t>
            </w:r>
            <w:r>
              <w:rPr>
                <w:lang w:val="en-GB"/>
              </w:rPr>
              <w:t xml:space="preserve">. </w:t>
            </w:r>
            <w:r w:rsidRPr="008C303F">
              <w:rPr>
                <w:lang w:val="en-GB"/>
              </w:rPr>
              <w:t>Thus, K</w:t>
            </w:r>
            <w:r w:rsidRPr="007836D4">
              <w:rPr>
                <w:vertAlign w:val="subscript"/>
                <w:lang w:val="en-GB"/>
              </w:rPr>
              <w:t>ow</w:t>
            </w:r>
            <w:r w:rsidRPr="008C303F">
              <w:rPr>
                <w:lang w:val="en-GB"/>
              </w:rPr>
              <w:t xml:space="preserve"> can also be used to indicate the ability of chemical to leach to groundwater</w:t>
            </w:r>
            <w:r>
              <w:rPr>
                <w:lang w:val="en-GB"/>
              </w:rPr>
              <w:t xml:space="preserve">. </w:t>
            </w:r>
            <w:r w:rsidRPr="008C303F">
              <w:rPr>
                <w:lang w:val="en-GB"/>
              </w:rPr>
              <w:t>A log K</w:t>
            </w:r>
            <w:r w:rsidRPr="007836D4">
              <w:rPr>
                <w:vertAlign w:val="subscript"/>
                <w:lang w:val="en-GB"/>
              </w:rPr>
              <w:t>ow</w:t>
            </w:r>
            <w:r w:rsidRPr="008C303F">
              <w:rPr>
                <w:lang w:val="en-GB"/>
              </w:rPr>
              <w:t xml:space="preserve"> value &lt;2 indicates a chemical has the potential to leach to groundwater.</w:t>
            </w:r>
            <w:r w:rsidRPr="008C303F">
              <w:t xml:space="preserve"> </w:t>
            </w:r>
          </w:p>
        </w:tc>
      </w:tr>
      <w:tr w:rsidR="006C2E16" w:rsidRPr="008C303F" w:rsidTr="009F182B">
        <w:tc>
          <w:tcPr>
            <w:tcW w:w="8635" w:type="dxa"/>
          </w:tcPr>
          <w:p w:rsidR="006C2E16" w:rsidRPr="008C303F" w:rsidRDefault="006C2E16" w:rsidP="00A10D4B">
            <w:pPr>
              <w:rPr>
                <w:lang w:val="en-GB"/>
              </w:rPr>
            </w:pPr>
            <w:r w:rsidRPr="00507740">
              <w:rPr>
                <w:rStyle w:val="Highlight"/>
              </w:rPr>
              <w:lastRenderedPageBreak/>
              <w:t>Organic carbon</w:t>
            </w:r>
            <w:r>
              <w:rPr>
                <w:rStyle w:val="Highlight"/>
              </w:rPr>
              <w:sym w:font="Symbol" w:char="F02D"/>
            </w:r>
            <w:r w:rsidRPr="00507740">
              <w:rPr>
                <w:rStyle w:val="Highlight"/>
              </w:rPr>
              <w:t>water partition coefficient (K</w:t>
            </w:r>
            <w:r w:rsidRPr="007836D4">
              <w:rPr>
                <w:rStyle w:val="Highlight"/>
                <w:vertAlign w:val="subscript"/>
              </w:rPr>
              <w:t>oc</w:t>
            </w:r>
            <w:r w:rsidRPr="00507740">
              <w:rPr>
                <w:rStyle w:val="Highlight"/>
              </w:rPr>
              <w:t>)</w:t>
            </w:r>
            <w:r w:rsidRPr="008C303F">
              <w:rPr>
                <w:b/>
                <w:bCs/>
                <w:lang w:val="en-GB"/>
              </w:rPr>
              <w:t xml:space="preserve"> </w:t>
            </w:r>
            <w:r w:rsidRPr="008C303F">
              <w:rPr>
                <w:lang w:val="en-GB"/>
              </w:rPr>
              <w:t>means the ratio of a chemical’s solubility in organic carbon and water at equilibrium</w:t>
            </w:r>
            <w:r>
              <w:rPr>
                <w:lang w:val="en-GB"/>
              </w:rPr>
              <w:t xml:space="preserve">. </w:t>
            </w:r>
            <w:r w:rsidRPr="008C303F">
              <w:rPr>
                <w:lang w:val="en-GB"/>
              </w:rPr>
              <w:t>This is widely used as a surrogate for the ability of a contaminant to accumulate in soils and conversely to leach to groundwater or to be removed by surface run-off</w:t>
            </w:r>
            <w:r>
              <w:rPr>
                <w:lang w:val="en-GB"/>
              </w:rPr>
              <w:t xml:space="preserve">. </w:t>
            </w:r>
            <w:r w:rsidRPr="008C303F">
              <w:rPr>
                <w:lang w:val="en-GB"/>
              </w:rPr>
              <w:t>These are often expressed in the logarithmic form (that is, log K</w:t>
            </w:r>
            <w:r w:rsidRPr="007836D4">
              <w:rPr>
                <w:vertAlign w:val="subscript"/>
                <w:lang w:val="en-GB"/>
              </w:rPr>
              <w:t>oc</w:t>
            </w:r>
            <w:r w:rsidRPr="008C303F">
              <w:rPr>
                <w:lang w:val="en-GB"/>
              </w:rPr>
              <w:t>)</w:t>
            </w:r>
            <w:r>
              <w:rPr>
                <w:lang w:val="en-GB"/>
              </w:rPr>
              <w:t xml:space="preserve">. </w:t>
            </w:r>
            <w:r w:rsidRPr="008C303F">
              <w:rPr>
                <w:lang w:val="en-GB"/>
              </w:rPr>
              <w:t>Chemicals with a log K</w:t>
            </w:r>
            <w:r w:rsidRPr="007836D4">
              <w:rPr>
                <w:vertAlign w:val="subscript"/>
                <w:lang w:val="en-GB"/>
              </w:rPr>
              <w:t>oc</w:t>
            </w:r>
            <w:r w:rsidRPr="008C303F">
              <w:rPr>
                <w:lang w:val="en-GB"/>
              </w:rPr>
              <w:t xml:space="preserve"> &lt;2.4 were considered, in this guideline, to be mobile and therefore have the ability in some soils to leach to groundwater.</w:t>
            </w:r>
          </w:p>
        </w:tc>
      </w:tr>
      <w:tr w:rsidR="006C2E16" w:rsidRPr="008C303F" w:rsidTr="009F182B">
        <w:tc>
          <w:tcPr>
            <w:tcW w:w="8635" w:type="dxa"/>
          </w:tcPr>
          <w:p w:rsidR="006C2E16" w:rsidRPr="008C303F" w:rsidRDefault="006C2E16" w:rsidP="00A10D4B">
            <w:r w:rsidRPr="00507740">
              <w:rPr>
                <w:rStyle w:val="Highlight"/>
              </w:rPr>
              <w:t>Precautionary principle</w:t>
            </w:r>
            <w:r w:rsidRPr="008C303F">
              <w:rPr>
                <w:b/>
                <w:bCs/>
              </w:rPr>
              <w:t xml:space="preserve"> </w:t>
            </w:r>
            <w:r w:rsidRPr="008C303F">
              <w:t xml:space="preserve">is the general principle by which all that can reasonably be expected is done to prevent unnecessary risks. </w:t>
            </w:r>
          </w:p>
        </w:tc>
      </w:tr>
      <w:tr w:rsidR="006C2E16" w:rsidRPr="008C303F" w:rsidTr="009F182B">
        <w:tc>
          <w:tcPr>
            <w:tcW w:w="8635" w:type="dxa"/>
          </w:tcPr>
          <w:p w:rsidR="006C2E16" w:rsidRPr="008C303F" w:rsidRDefault="006C2E16" w:rsidP="00A10D4B">
            <w:r w:rsidRPr="00507740">
              <w:rPr>
                <w:rStyle w:val="Highlight"/>
              </w:rPr>
              <w:t>Reference site</w:t>
            </w:r>
            <w:r w:rsidRPr="008C303F">
              <w:rPr>
                <w:b/>
                <w:bCs/>
              </w:rPr>
              <w:t xml:space="preserve"> </w:t>
            </w:r>
            <w:r w:rsidRPr="008C303F">
              <w:t xml:space="preserve">is a relatively uncontaminated site used for comparison with contaminated sites in environmental monitoring studies or used for the assessment of ambient background concentrations of contaminants. </w:t>
            </w:r>
          </w:p>
        </w:tc>
      </w:tr>
      <w:tr w:rsidR="006C2E16" w:rsidRPr="008C303F" w:rsidTr="009F182B">
        <w:tc>
          <w:tcPr>
            <w:tcW w:w="8635" w:type="dxa"/>
          </w:tcPr>
          <w:p w:rsidR="006C2E16" w:rsidRPr="008C303F" w:rsidRDefault="006C2E16" w:rsidP="00A10D4B">
            <w:r w:rsidRPr="00507740">
              <w:rPr>
                <w:rStyle w:val="Highlight"/>
              </w:rPr>
              <w:t>Risk assessment</w:t>
            </w:r>
            <w:r w:rsidRPr="008C303F">
              <w:rPr>
                <w:b/>
                <w:bCs/>
              </w:rPr>
              <w:t xml:space="preserve"> </w:t>
            </w:r>
            <w:r w:rsidRPr="008C303F">
              <w:t>is a process intended to calculate or estimate the risk to a given target organism, system or sub-population, including the identification of attendant uncertainties, following exposure to a particular agent, taking into account the inherent characterisations of the agent of concern as well as the characterisation of the specific target.</w:t>
            </w:r>
          </w:p>
        </w:tc>
      </w:tr>
      <w:tr w:rsidR="006C2E16" w:rsidRPr="008C303F" w:rsidTr="009F182B">
        <w:tc>
          <w:tcPr>
            <w:tcW w:w="8635" w:type="dxa"/>
          </w:tcPr>
          <w:p w:rsidR="006C2E16" w:rsidRPr="008C303F" w:rsidRDefault="006C2E16" w:rsidP="00A10D4B">
            <w:r w:rsidRPr="00507740">
              <w:rPr>
                <w:rStyle w:val="Highlight"/>
              </w:rPr>
              <w:t>Risk</w:t>
            </w:r>
            <w:r w:rsidRPr="008C303F">
              <w:rPr>
                <w:b/>
                <w:bCs/>
              </w:rPr>
              <w:t xml:space="preserve"> </w:t>
            </w:r>
            <w:r w:rsidRPr="008C303F">
              <w:t>means the probability in a certain timeframe that an adverse outcome will occur in a person, a group of people, plants, animals and/or the ecology of a specified area that is exposed to a particular dose or concentration of a chemical substance; that is, it depends on both the level of toxicity of the chemical substance and the level of exposure to it.</w:t>
            </w:r>
          </w:p>
        </w:tc>
      </w:tr>
      <w:tr w:rsidR="006C2E16" w:rsidRPr="008C303F" w:rsidTr="009F182B">
        <w:tc>
          <w:tcPr>
            <w:tcW w:w="8635" w:type="dxa"/>
          </w:tcPr>
          <w:p w:rsidR="006C2E16" w:rsidRPr="008C303F" w:rsidRDefault="006C2E16" w:rsidP="00A10D4B">
            <w:pPr>
              <w:rPr>
                <w:b/>
                <w:bCs/>
              </w:rPr>
            </w:pPr>
            <w:r w:rsidRPr="00507740">
              <w:rPr>
                <w:rStyle w:val="Highlight"/>
              </w:rPr>
              <w:t>Secondary poisoning</w:t>
            </w:r>
            <w:r w:rsidRPr="008C303F">
              <w:rPr>
                <w:b/>
                <w:bCs/>
              </w:rPr>
              <w:t xml:space="preserve"> </w:t>
            </w:r>
            <w:r w:rsidRPr="008C303F">
              <w:t xml:space="preserve">is the product of biomagnification and toxicity. </w:t>
            </w:r>
          </w:p>
        </w:tc>
      </w:tr>
      <w:tr w:rsidR="006C2E16" w:rsidRPr="008C303F" w:rsidTr="009F182B">
        <w:tc>
          <w:tcPr>
            <w:tcW w:w="8635" w:type="dxa"/>
          </w:tcPr>
          <w:p w:rsidR="006C2E16" w:rsidRPr="008C303F" w:rsidRDefault="006C2E16" w:rsidP="00A10D4B">
            <w:pPr>
              <w:rPr>
                <w:lang w:val="en-GB"/>
              </w:rPr>
            </w:pPr>
            <w:r w:rsidRPr="00507740">
              <w:rPr>
                <w:rStyle w:val="Highlight"/>
              </w:rPr>
              <w:t>Soil quality guideline (SQG)</w:t>
            </w:r>
            <w:r w:rsidRPr="008C303F">
              <w:rPr>
                <w:b/>
                <w:bCs/>
              </w:rPr>
              <w:t xml:space="preserve"> </w:t>
            </w:r>
            <w:r w:rsidRPr="008C303F">
              <w:t>is a collective term used to describe any quantitative or qualitative limit that controls the concentration of contaminants in soils</w:t>
            </w:r>
            <w:r>
              <w:t xml:space="preserve">. </w:t>
            </w:r>
            <w:r w:rsidRPr="008C303F">
              <w:t xml:space="preserve">Ecological investigation levels </w:t>
            </w:r>
            <w:r>
              <w:t xml:space="preserve">(EILs) </w:t>
            </w:r>
            <w:r w:rsidRPr="008C303F">
              <w:rPr>
                <w:lang w:val="en-GB"/>
              </w:rPr>
              <w:t>are a type of SQG.</w:t>
            </w:r>
          </w:p>
        </w:tc>
      </w:tr>
      <w:tr w:rsidR="006C2E16" w:rsidRPr="008C303F" w:rsidTr="009F182B">
        <w:tc>
          <w:tcPr>
            <w:tcW w:w="8635" w:type="dxa"/>
          </w:tcPr>
          <w:p w:rsidR="006C2E16" w:rsidRPr="008C303F" w:rsidRDefault="006C2E16" w:rsidP="00A10D4B">
            <w:pPr>
              <w:rPr>
                <w:b/>
                <w:bCs/>
                <w:lang w:val="en-GB"/>
              </w:rPr>
            </w:pPr>
            <w:r w:rsidRPr="00507740">
              <w:rPr>
                <w:rStyle w:val="Highlight"/>
              </w:rPr>
              <w:t>Soil-specific soil quality guidelines</w:t>
            </w:r>
            <w:r w:rsidRPr="008C303F">
              <w:rPr>
                <w:b/>
                <w:bCs/>
                <w:lang w:val="en-GB"/>
              </w:rPr>
              <w:t xml:space="preserve"> </w:t>
            </w:r>
            <w:r w:rsidRPr="008C303F">
              <w:rPr>
                <w:lang w:val="en-GB"/>
              </w:rPr>
              <w:t>is a suite of concentration-based values, where each value applies to a soil with different physicochemical properties</w:t>
            </w:r>
            <w:r>
              <w:rPr>
                <w:lang w:val="en-GB"/>
              </w:rPr>
              <w:t xml:space="preserve">. </w:t>
            </w:r>
            <w:r w:rsidRPr="008C303F">
              <w:rPr>
                <w:lang w:val="en-GB"/>
              </w:rPr>
              <w:t>These values take into account properties of soils that modify the bioavailability and toxicity of contaminants</w:t>
            </w:r>
            <w:r>
              <w:rPr>
                <w:lang w:val="en-GB"/>
              </w:rPr>
              <w:t xml:space="preserve">. </w:t>
            </w:r>
            <w:r w:rsidRPr="008C303F">
              <w:rPr>
                <w:lang w:val="en-GB"/>
              </w:rPr>
              <w:t xml:space="preserve">These can only be derived if normalisation relationships are available. Compare these to generic SQGs. </w:t>
            </w:r>
          </w:p>
        </w:tc>
      </w:tr>
      <w:tr w:rsidR="006C2E16" w:rsidRPr="008C303F" w:rsidTr="009F182B">
        <w:tc>
          <w:tcPr>
            <w:tcW w:w="8635" w:type="dxa"/>
          </w:tcPr>
          <w:p w:rsidR="006C2E16" w:rsidRPr="008C303F" w:rsidRDefault="006C2E16" w:rsidP="00A10D4B">
            <w:r w:rsidRPr="00507740">
              <w:rPr>
                <w:rStyle w:val="Highlight"/>
              </w:rPr>
              <w:t>Speciation</w:t>
            </w:r>
            <w:r w:rsidRPr="008C303F">
              <w:rPr>
                <w:b/>
                <w:bCs/>
              </w:rPr>
              <w:t xml:space="preserve"> </w:t>
            </w:r>
            <w:r w:rsidRPr="008C303F">
              <w:t>is the exact chemical form o</w:t>
            </w:r>
            <w:r>
              <w:t>f</w:t>
            </w:r>
            <w:r w:rsidRPr="008C303F">
              <w:t xml:space="preserve"> contaminant in which an element occurs in a sample.</w:t>
            </w:r>
          </w:p>
        </w:tc>
      </w:tr>
      <w:tr w:rsidR="006C2E16" w:rsidRPr="008C303F" w:rsidTr="009F182B">
        <w:tc>
          <w:tcPr>
            <w:tcW w:w="8635" w:type="dxa"/>
          </w:tcPr>
          <w:p w:rsidR="006C2E16" w:rsidRPr="008C303F" w:rsidRDefault="006C2E16" w:rsidP="00A10D4B">
            <w:r w:rsidRPr="00507740">
              <w:rPr>
                <w:rStyle w:val="Highlight"/>
              </w:rPr>
              <w:t>Species sensitivity distribution (SSD)</w:t>
            </w:r>
            <w:r w:rsidRPr="008C303F">
              <w:rPr>
                <w:b/>
                <w:bCs/>
              </w:rPr>
              <w:t xml:space="preserve"> </w:t>
            </w:r>
            <w:r w:rsidRPr="008C303F">
              <w:t>is a suite of methods that are the main method used to derive quality guidelines for contaminants in different compartments of the environment (for example, soil, water, sediment)</w:t>
            </w:r>
            <w:r>
              <w:t xml:space="preserve">. </w:t>
            </w:r>
            <w:r w:rsidRPr="008C303F">
              <w:t>Basically, these plot toxicity data (one value per species) as a cumulative frequency distribution against the concentration at which the toxic effect occurs</w:t>
            </w:r>
            <w:r>
              <w:t xml:space="preserve">. </w:t>
            </w:r>
            <w:r w:rsidRPr="008C303F">
              <w:t>A statistical distribution is then fitted to the plot from which it can be estimated what concentration is required to protect any chosen percentage of species</w:t>
            </w:r>
            <w:r>
              <w:t xml:space="preserve">. </w:t>
            </w:r>
            <w:r w:rsidRPr="008C303F">
              <w:t>In Australia, the SSD method used to derive guidelines uses the Burr type III family of distributions and is called the BurrliOZ method.</w:t>
            </w:r>
          </w:p>
        </w:tc>
      </w:tr>
      <w:tr w:rsidR="006C2E16" w:rsidRPr="008C303F" w:rsidTr="009F182B">
        <w:tc>
          <w:tcPr>
            <w:tcW w:w="8635" w:type="dxa"/>
          </w:tcPr>
          <w:p w:rsidR="006C2E16" w:rsidRPr="008C303F" w:rsidRDefault="006C2E16" w:rsidP="00A10D4B">
            <w:r w:rsidRPr="00507740">
              <w:rPr>
                <w:rStyle w:val="Highlight"/>
              </w:rPr>
              <w:t>Statistically significant effects</w:t>
            </w:r>
            <w:r w:rsidRPr="008C303F">
              <w:rPr>
                <w:b/>
                <w:bCs/>
              </w:rPr>
              <w:t xml:space="preserve"> </w:t>
            </w:r>
            <w:r w:rsidRPr="008C303F">
              <w:t xml:space="preserve">are effects (responses) in the exposed population which are different from those in the controls at a statistical probability level of </w:t>
            </w:r>
            <w:r w:rsidRPr="008C303F">
              <w:rPr>
                <w:i/>
                <w:iCs/>
              </w:rPr>
              <w:t>p</w:t>
            </w:r>
            <w:r w:rsidRPr="008C303F">
              <w:t xml:space="preserve"> &lt;0.05. </w:t>
            </w:r>
          </w:p>
        </w:tc>
      </w:tr>
      <w:tr w:rsidR="006C2E16" w:rsidRPr="008C303F" w:rsidTr="009F182B">
        <w:tc>
          <w:tcPr>
            <w:tcW w:w="8635" w:type="dxa"/>
          </w:tcPr>
          <w:p w:rsidR="006C2E16" w:rsidRPr="008C303F" w:rsidRDefault="006C2E16" w:rsidP="00A10D4B">
            <w:r w:rsidRPr="00507740">
              <w:rPr>
                <w:rStyle w:val="Highlight"/>
              </w:rPr>
              <w:t>Steady state</w:t>
            </w:r>
            <w:r w:rsidRPr="008C303F">
              <w:t xml:space="preserve"> is the non-equilibrium state of a system in which matter flows in and out at equal rates so that all of the components remain at constant concentrations (dynamic equilibrium).</w:t>
            </w:r>
          </w:p>
        </w:tc>
      </w:tr>
      <w:tr w:rsidR="006C2E16" w:rsidRPr="008C303F" w:rsidTr="009F182B">
        <w:tc>
          <w:tcPr>
            <w:tcW w:w="8635" w:type="dxa"/>
          </w:tcPr>
          <w:p w:rsidR="006C2E16" w:rsidRPr="008C303F" w:rsidRDefault="006C2E16" w:rsidP="00A10D4B">
            <w:pPr>
              <w:rPr>
                <w:lang w:val="en-GB"/>
              </w:rPr>
            </w:pPr>
            <w:r w:rsidRPr="00507740">
              <w:rPr>
                <w:rStyle w:val="Highlight"/>
              </w:rPr>
              <w:t>Water to soil partition coefficient (K</w:t>
            </w:r>
            <w:r w:rsidRPr="007836D4">
              <w:rPr>
                <w:rStyle w:val="Highlight"/>
                <w:vertAlign w:val="subscript"/>
              </w:rPr>
              <w:t>d</w:t>
            </w:r>
            <w:r w:rsidRPr="00507740">
              <w:rPr>
                <w:rStyle w:val="Highlight"/>
              </w:rPr>
              <w:t>)</w:t>
            </w:r>
            <w:r w:rsidRPr="008C303F">
              <w:rPr>
                <w:b/>
                <w:bCs/>
                <w:lang w:val="en-GB"/>
              </w:rPr>
              <w:t xml:space="preserve"> </w:t>
            </w:r>
            <w:r w:rsidRPr="008C303F">
              <w:rPr>
                <w:lang w:val="en-GB"/>
              </w:rPr>
              <w:t>is the ratio of the concentration of a contaminant in soil pore water to that in the solid phase of soil at equilibrium</w:t>
            </w:r>
            <w:r>
              <w:rPr>
                <w:lang w:val="en-GB"/>
              </w:rPr>
              <w:t xml:space="preserve">. </w:t>
            </w:r>
            <w:r w:rsidRPr="008C303F">
              <w:rPr>
                <w:lang w:val="en-GB"/>
              </w:rPr>
              <w:t>The units are L/kg</w:t>
            </w:r>
            <w:r>
              <w:rPr>
                <w:lang w:val="en-GB"/>
              </w:rPr>
              <w:t xml:space="preserve">. </w:t>
            </w:r>
            <w:r w:rsidRPr="008C303F">
              <w:rPr>
                <w:lang w:val="en-GB"/>
              </w:rPr>
              <w:t>This contaminant property is affected by physicochemical properties of the contaminant and the soil</w:t>
            </w:r>
            <w:r>
              <w:rPr>
                <w:lang w:val="en-GB"/>
              </w:rPr>
              <w:t xml:space="preserve">. </w:t>
            </w:r>
            <w:r w:rsidRPr="008C303F">
              <w:rPr>
                <w:lang w:val="en-GB"/>
              </w:rPr>
              <w:t>This property is usually expressed as a logarithm (that is, log K</w:t>
            </w:r>
            <w:r w:rsidRPr="007836D4">
              <w:rPr>
                <w:vertAlign w:val="subscript"/>
                <w:lang w:val="en-GB"/>
              </w:rPr>
              <w:t>d</w:t>
            </w:r>
            <w:r w:rsidRPr="008C303F">
              <w:rPr>
                <w:lang w:val="en-GB"/>
              </w:rPr>
              <w:t>)</w:t>
            </w:r>
            <w:r>
              <w:rPr>
                <w:lang w:val="en-GB"/>
              </w:rPr>
              <w:t xml:space="preserve">. </w:t>
            </w:r>
            <w:r w:rsidRPr="008C303F">
              <w:rPr>
                <w:lang w:val="en-GB"/>
              </w:rPr>
              <w:t>In this guideline, chemicals with log K</w:t>
            </w:r>
            <w:r w:rsidRPr="007836D4">
              <w:rPr>
                <w:vertAlign w:val="subscript"/>
                <w:lang w:val="en-GB"/>
              </w:rPr>
              <w:t>d</w:t>
            </w:r>
            <w:r w:rsidRPr="008C303F">
              <w:rPr>
                <w:lang w:val="en-GB"/>
              </w:rPr>
              <w:t xml:space="preserve"> &lt;3 are considered to have the potential to leach.</w:t>
            </w:r>
          </w:p>
        </w:tc>
      </w:tr>
    </w:tbl>
    <w:p w:rsidR="006C2E16" w:rsidRPr="00DB5222" w:rsidRDefault="006C2E16" w:rsidP="001C6BE7">
      <w:pPr>
        <w:pStyle w:val="Heading1"/>
      </w:pPr>
      <w:bookmarkStart w:id="246" w:name="_Toc351713201"/>
      <w:r>
        <w:lastRenderedPageBreak/>
        <w:t>Shortened forms</w:t>
      </w:r>
      <w:bookmarkEnd w:id="246"/>
    </w:p>
    <w:p w:rsidR="006C2E16" w:rsidRDefault="006C2E16" w:rsidP="006C2E16"/>
    <w:tbl>
      <w:tblPr>
        <w:tblW w:w="0" w:type="auto"/>
        <w:tblInd w:w="-106" w:type="dxa"/>
        <w:tblLayout w:type="fixed"/>
        <w:tblLook w:val="0000" w:firstRow="0" w:lastRow="0" w:firstColumn="0" w:lastColumn="0" w:noHBand="0" w:noVBand="0"/>
      </w:tblPr>
      <w:tblGrid>
        <w:gridCol w:w="1809"/>
        <w:gridCol w:w="6663"/>
      </w:tblGrid>
      <w:tr w:rsidR="006C2E16" w:rsidRPr="006D3C26" w:rsidTr="00A10D4B">
        <w:trPr>
          <w:trHeight w:hRule="exact" w:val="454"/>
        </w:trPr>
        <w:tc>
          <w:tcPr>
            <w:tcW w:w="1809" w:type="dxa"/>
          </w:tcPr>
          <w:p w:rsidR="006C2E16" w:rsidRPr="006D3C26" w:rsidRDefault="006C2E16" w:rsidP="001C6BE7">
            <w:pPr>
              <w:pStyle w:val="text"/>
              <w:rPr>
                <w:rStyle w:val="Highlight"/>
              </w:rPr>
            </w:pPr>
            <w:r>
              <w:rPr>
                <w:rStyle w:val="Highlight"/>
              </w:rPr>
              <w:t>ABC</w:t>
            </w:r>
          </w:p>
        </w:tc>
        <w:tc>
          <w:tcPr>
            <w:tcW w:w="6663" w:type="dxa"/>
          </w:tcPr>
          <w:p w:rsidR="006C2E16" w:rsidRPr="006D3C26" w:rsidRDefault="006C2E16" w:rsidP="001C6BE7">
            <w:pPr>
              <w:pStyle w:val="text"/>
            </w:pPr>
            <w:r>
              <w:t>ambient background concentration</w:t>
            </w:r>
            <w:r w:rsidRPr="006D3C26">
              <w:t xml:space="preserve"> </w:t>
            </w:r>
          </w:p>
        </w:tc>
      </w:tr>
      <w:tr w:rsidR="006C2E16" w:rsidRPr="006D3C26" w:rsidTr="00A10D4B">
        <w:trPr>
          <w:trHeight w:hRule="exact" w:val="454"/>
        </w:trPr>
        <w:tc>
          <w:tcPr>
            <w:tcW w:w="1809" w:type="dxa"/>
          </w:tcPr>
          <w:p w:rsidR="006C2E16" w:rsidRPr="006D3C26" w:rsidRDefault="006C2E16" w:rsidP="001C6BE7">
            <w:pPr>
              <w:pStyle w:val="text"/>
              <w:rPr>
                <w:rStyle w:val="Highlight"/>
              </w:rPr>
            </w:pPr>
            <w:r>
              <w:rPr>
                <w:rStyle w:val="Highlight"/>
              </w:rPr>
              <w:t>ACL</w:t>
            </w:r>
          </w:p>
        </w:tc>
        <w:tc>
          <w:tcPr>
            <w:tcW w:w="6663" w:type="dxa"/>
          </w:tcPr>
          <w:p w:rsidR="006C2E16" w:rsidRPr="006D3C26" w:rsidRDefault="006C2E16" w:rsidP="001C6BE7">
            <w:pPr>
              <w:pStyle w:val="text"/>
            </w:pPr>
            <w:r>
              <w:t>a</w:t>
            </w:r>
            <w:r w:rsidRPr="004317DA">
              <w:t>dded contaminant limit</w:t>
            </w:r>
          </w:p>
        </w:tc>
      </w:tr>
      <w:tr w:rsidR="006C2E16" w:rsidRPr="006D3C26" w:rsidTr="00A10D4B">
        <w:trPr>
          <w:trHeight w:hRule="exact" w:val="454"/>
        </w:trPr>
        <w:tc>
          <w:tcPr>
            <w:tcW w:w="1809" w:type="dxa"/>
            <w:vAlign w:val="center"/>
          </w:tcPr>
          <w:p w:rsidR="006C2E16" w:rsidRDefault="006C2E16" w:rsidP="001C6BE7">
            <w:pPr>
              <w:pStyle w:val="text"/>
              <w:rPr>
                <w:rStyle w:val="Highlight"/>
              </w:rPr>
            </w:pPr>
            <w:r>
              <w:rPr>
                <w:rStyle w:val="Highlight"/>
              </w:rPr>
              <w:t>ACR</w:t>
            </w:r>
          </w:p>
        </w:tc>
        <w:tc>
          <w:tcPr>
            <w:tcW w:w="6663" w:type="dxa"/>
          </w:tcPr>
          <w:p w:rsidR="006C2E16" w:rsidRDefault="006C2E16" w:rsidP="001C6BE7">
            <w:pPr>
              <w:pStyle w:val="text"/>
            </w:pPr>
            <w:r>
              <w:t>acute-to-chronic ratio</w:t>
            </w:r>
          </w:p>
        </w:tc>
      </w:tr>
      <w:tr w:rsidR="006C2E16" w:rsidRPr="006D3C26" w:rsidTr="00A10D4B">
        <w:trPr>
          <w:trHeight w:hRule="exact" w:val="454"/>
        </w:trPr>
        <w:tc>
          <w:tcPr>
            <w:tcW w:w="1809" w:type="dxa"/>
            <w:vAlign w:val="center"/>
          </w:tcPr>
          <w:p w:rsidR="006C2E16" w:rsidRPr="006D3C26" w:rsidRDefault="006C2E16" w:rsidP="001C6BE7">
            <w:pPr>
              <w:pStyle w:val="text"/>
              <w:rPr>
                <w:rStyle w:val="Highlight"/>
                <w:b w:val="0"/>
                <w:bCs w:val="0"/>
              </w:rPr>
            </w:pPr>
            <w:r>
              <w:rPr>
                <w:rStyle w:val="Highlight"/>
              </w:rPr>
              <w:t>AF</w:t>
            </w:r>
          </w:p>
        </w:tc>
        <w:tc>
          <w:tcPr>
            <w:tcW w:w="6663" w:type="dxa"/>
          </w:tcPr>
          <w:p w:rsidR="006C2E16" w:rsidRPr="006D3C26" w:rsidRDefault="006C2E16" w:rsidP="001C6BE7">
            <w:pPr>
              <w:pStyle w:val="text"/>
            </w:pPr>
            <w:r>
              <w:t>a</w:t>
            </w:r>
            <w:r w:rsidRPr="004317DA">
              <w:t>ssessment factor</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ALF</w:t>
            </w:r>
          </w:p>
        </w:tc>
        <w:tc>
          <w:tcPr>
            <w:tcW w:w="6663" w:type="dxa"/>
          </w:tcPr>
          <w:p w:rsidR="006C2E16" w:rsidRPr="004317DA" w:rsidRDefault="006C2E16" w:rsidP="001C6BE7">
            <w:pPr>
              <w:pStyle w:val="text"/>
            </w:pPr>
            <w:r>
              <w:t>ageing/leaching factor</w:t>
            </w:r>
          </w:p>
        </w:tc>
      </w:tr>
      <w:tr w:rsidR="006C2E16" w:rsidRPr="006D3C26" w:rsidTr="00A10D4B">
        <w:trPr>
          <w:trHeight w:val="454"/>
        </w:trPr>
        <w:tc>
          <w:tcPr>
            <w:tcW w:w="1809" w:type="dxa"/>
          </w:tcPr>
          <w:p w:rsidR="006C2E16" w:rsidRPr="006D3C26" w:rsidRDefault="006C2E16" w:rsidP="001C6BE7">
            <w:pPr>
              <w:pStyle w:val="text"/>
              <w:rPr>
                <w:rStyle w:val="Highlight"/>
              </w:rPr>
            </w:pPr>
            <w:r>
              <w:rPr>
                <w:rStyle w:val="Highlight"/>
              </w:rPr>
              <w:t>ANZECC</w:t>
            </w:r>
          </w:p>
        </w:tc>
        <w:tc>
          <w:tcPr>
            <w:tcW w:w="6663" w:type="dxa"/>
          </w:tcPr>
          <w:p w:rsidR="006C2E16" w:rsidRPr="006D3C26" w:rsidRDefault="006C2E16" w:rsidP="001C6BE7">
            <w:pPr>
              <w:pStyle w:val="text"/>
            </w:pPr>
            <w:smartTag w:uri="urn:schemas-microsoft-com:office:smarttags" w:element="country-region">
              <w:r w:rsidRPr="004317DA">
                <w:t>Australia</w:t>
              </w:r>
            </w:smartTag>
            <w:r w:rsidRPr="004317DA">
              <w:t xml:space="preserve"> and </w:t>
            </w:r>
            <w:smartTag w:uri="urn:schemas-microsoft-com:office:smarttags" w:element="country-region">
              <w:smartTag w:uri="urn:schemas-microsoft-com:office:smarttags" w:element="place">
                <w:r w:rsidRPr="004317DA">
                  <w:t>New Zealand</w:t>
                </w:r>
              </w:smartTag>
            </w:smartTag>
            <w:r w:rsidRPr="004317DA">
              <w:t xml:space="preserve"> Environment and Conservation Council</w:t>
            </w:r>
          </w:p>
        </w:tc>
      </w:tr>
      <w:tr w:rsidR="006C2E16" w:rsidRPr="006D3C26" w:rsidTr="00A10D4B">
        <w:trPr>
          <w:trHeight w:val="454"/>
        </w:trPr>
        <w:tc>
          <w:tcPr>
            <w:tcW w:w="1809" w:type="dxa"/>
          </w:tcPr>
          <w:p w:rsidR="006C2E16" w:rsidRPr="006D3C26" w:rsidRDefault="006C2E16" w:rsidP="001C6BE7">
            <w:pPr>
              <w:pStyle w:val="text"/>
              <w:rPr>
                <w:rStyle w:val="Highlight"/>
              </w:rPr>
            </w:pPr>
            <w:r>
              <w:rPr>
                <w:rStyle w:val="Highlight"/>
              </w:rPr>
              <w:t>ARMCANZ</w:t>
            </w:r>
          </w:p>
        </w:tc>
        <w:tc>
          <w:tcPr>
            <w:tcW w:w="6663" w:type="dxa"/>
          </w:tcPr>
          <w:p w:rsidR="006C2E16" w:rsidRPr="006D3C26" w:rsidRDefault="006C2E16" w:rsidP="001C6BE7">
            <w:pPr>
              <w:pStyle w:val="text"/>
            </w:pPr>
            <w:r w:rsidRPr="004317DA">
              <w:rPr>
                <w:color w:val="000000"/>
              </w:rPr>
              <w:t>Agricultur</w:t>
            </w:r>
            <w:r>
              <w:t>e</w:t>
            </w:r>
            <w:r w:rsidRPr="004317DA">
              <w:t xml:space="preserve"> and Resource Management Council of </w:t>
            </w:r>
            <w:smartTag w:uri="urn:schemas-microsoft-com:office:smarttags" w:element="country-region">
              <w:r w:rsidRPr="004317DA">
                <w:t>Australia</w:t>
              </w:r>
            </w:smartTag>
            <w:r w:rsidRPr="004317DA">
              <w:t xml:space="preserve"> and </w:t>
            </w:r>
            <w:smartTag w:uri="urn:schemas-microsoft-com:office:smarttags" w:element="country-region">
              <w:smartTag w:uri="urn:schemas-microsoft-com:office:smarttags" w:element="place">
                <w:r w:rsidRPr="004317DA">
                  <w:t>New Zealand</w:t>
                </w:r>
              </w:smartTag>
            </w:smartTag>
          </w:p>
        </w:tc>
      </w:tr>
      <w:tr w:rsidR="006C2E16" w:rsidRPr="006D3C26" w:rsidTr="00A10D4B">
        <w:trPr>
          <w:trHeight w:hRule="exact" w:val="454"/>
        </w:trPr>
        <w:tc>
          <w:tcPr>
            <w:tcW w:w="1809" w:type="dxa"/>
          </w:tcPr>
          <w:p w:rsidR="006C2E16" w:rsidRPr="006D3C26" w:rsidRDefault="006C2E16" w:rsidP="001C6BE7">
            <w:pPr>
              <w:pStyle w:val="text"/>
              <w:rPr>
                <w:rStyle w:val="Highlight"/>
              </w:rPr>
            </w:pPr>
            <w:r>
              <w:rPr>
                <w:rStyle w:val="Highlight"/>
              </w:rPr>
              <w:t>BAF</w:t>
            </w:r>
          </w:p>
        </w:tc>
        <w:tc>
          <w:tcPr>
            <w:tcW w:w="6663" w:type="dxa"/>
          </w:tcPr>
          <w:p w:rsidR="006C2E16" w:rsidRPr="006D3C26" w:rsidRDefault="006C2E16" w:rsidP="001C6BE7">
            <w:pPr>
              <w:pStyle w:val="text"/>
            </w:pPr>
            <w:r>
              <w:t>bioaccumulation factor</w:t>
            </w:r>
          </w:p>
        </w:tc>
      </w:tr>
      <w:tr w:rsidR="006C2E16" w:rsidRPr="006D3C26" w:rsidTr="00A10D4B">
        <w:trPr>
          <w:trHeight w:hRule="exact" w:val="454"/>
        </w:trPr>
        <w:tc>
          <w:tcPr>
            <w:tcW w:w="1809" w:type="dxa"/>
          </w:tcPr>
          <w:p w:rsidR="006C2E16" w:rsidRPr="006D3C26" w:rsidRDefault="006C2E16" w:rsidP="001C6BE7">
            <w:pPr>
              <w:pStyle w:val="text"/>
              <w:rPr>
                <w:rStyle w:val="Highlight"/>
              </w:rPr>
            </w:pPr>
            <w:r>
              <w:rPr>
                <w:rStyle w:val="Highlight"/>
              </w:rPr>
              <w:t>BCF</w:t>
            </w:r>
          </w:p>
        </w:tc>
        <w:tc>
          <w:tcPr>
            <w:tcW w:w="6663" w:type="dxa"/>
          </w:tcPr>
          <w:p w:rsidR="006C2E16" w:rsidRPr="006D3C26" w:rsidRDefault="006C2E16" w:rsidP="001C6BE7">
            <w:pPr>
              <w:pStyle w:val="text"/>
            </w:pPr>
            <w:r>
              <w:t>bioconcentration factor</w:t>
            </w:r>
          </w:p>
        </w:tc>
      </w:tr>
      <w:tr w:rsidR="006C2E16" w:rsidRPr="006D3C26" w:rsidTr="00A10D4B">
        <w:trPr>
          <w:trHeight w:hRule="exact" w:val="454"/>
        </w:trPr>
        <w:tc>
          <w:tcPr>
            <w:tcW w:w="1809" w:type="dxa"/>
          </w:tcPr>
          <w:p w:rsidR="006C2E16" w:rsidRPr="006D3C26" w:rsidRDefault="006C2E16" w:rsidP="001C6BE7">
            <w:pPr>
              <w:pStyle w:val="text"/>
              <w:rPr>
                <w:rStyle w:val="Highlight"/>
              </w:rPr>
            </w:pPr>
            <w:r>
              <w:rPr>
                <w:rStyle w:val="Highlight"/>
              </w:rPr>
              <w:t>BMF</w:t>
            </w:r>
          </w:p>
        </w:tc>
        <w:tc>
          <w:tcPr>
            <w:tcW w:w="6663" w:type="dxa"/>
          </w:tcPr>
          <w:p w:rsidR="006C2E16" w:rsidRPr="006D3C26" w:rsidRDefault="006C2E16" w:rsidP="001C6BE7">
            <w:pPr>
              <w:pStyle w:val="text"/>
            </w:pPr>
            <w:r>
              <w:t>biomagnification factor</w:t>
            </w:r>
          </w:p>
        </w:tc>
      </w:tr>
      <w:tr w:rsidR="006C2E16" w:rsidRPr="006D3C26" w:rsidTr="00A10D4B">
        <w:trPr>
          <w:trHeight w:hRule="exact" w:val="454"/>
        </w:trPr>
        <w:tc>
          <w:tcPr>
            <w:tcW w:w="1809" w:type="dxa"/>
          </w:tcPr>
          <w:p w:rsidR="006C2E16" w:rsidRPr="006D3C26" w:rsidRDefault="006C2E16" w:rsidP="001C6BE7">
            <w:pPr>
              <w:pStyle w:val="text"/>
              <w:rPr>
                <w:rStyle w:val="Highlight"/>
              </w:rPr>
            </w:pPr>
            <w:r>
              <w:rPr>
                <w:rStyle w:val="Highlight"/>
              </w:rPr>
              <w:t>CCME</w:t>
            </w:r>
          </w:p>
        </w:tc>
        <w:tc>
          <w:tcPr>
            <w:tcW w:w="6663" w:type="dxa"/>
          </w:tcPr>
          <w:p w:rsidR="006C2E16" w:rsidRPr="006D3C26" w:rsidRDefault="006C2E16" w:rsidP="001C6BE7">
            <w:pPr>
              <w:pStyle w:val="text"/>
            </w:pPr>
            <w:r w:rsidRPr="00410748">
              <w:t>Canadian Council of Ministers of the Environment</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CEC</w:t>
            </w:r>
          </w:p>
        </w:tc>
        <w:tc>
          <w:tcPr>
            <w:tcW w:w="6663" w:type="dxa"/>
          </w:tcPr>
          <w:p w:rsidR="006C2E16" w:rsidRDefault="006C2E16" w:rsidP="001C6BE7">
            <w:pPr>
              <w:pStyle w:val="text"/>
            </w:pPr>
            <w:r>
              <w:t>cation exchange capacity</w:t>
            </w:r>
          </w:p>
        </w:tc>
      </w:tr>
      <w:tr w:rsidR="006C2E16" w:rsidRPr="006D3C26" w:rsidTr="00A10D4B">
        <w:trPr>
          <w:trHeight w:hRule="exact" w:val="454"/>
        </w:trPr>
        <w:tc>
          <w:tcPr>
            <w:tcW w:w="1809" w:type="dxa"/>
          </w:tcPr>
          <w:p w:rsidR="006C2E16" w:rsidRPr="006D3C26" w:rsidRDefault="006C2E16" w:rsidP="001C6BE7">
            <w:pPr>
              <w:pStyle w:val="text"/>
              <w:rPr>
                <w:rStyle w:val="Highlight"/>
              </w:rPr>
            </w:pPr>
            <w:r>
              <w:rPr>
                <w:rStyle w:val="Highlight"/>
              </w:rPr>
              <w:t>DAF</w:t>
            </w:r>
          </w:p>
        </w:tc>
        <w:tc>
          <w:tcPr>
            <w:tcW w:w="6663" w:type="dxa"/>
          </w:tcPr>
          <w:p w:rsidR="006C2E16" w:rsidRPr="006D3C26" w:rsidRDefault="006C2E16" w:rsidP="001C6BE7">
            <w:pPr>
              <w:pStyle w:val="text"/>
            </w:pPr>
            <w:r>
              <w:t>dilution and attenuation factor</w:t>
            </w:r>
          </w:p>
        </w:tc>
      </w:tr>
      <w:tr w:rsidR="006C2E16" w:rsidRPr="006D3C26" w:rsidTr="00A10D4B">
        <w:trPr>
          <w:trHeight w:hRule="exact" w:val="454"/>
        </w:trPr>
        <w:tc>
          <w:tcPr>
            <w:tcW w:w="1809" w:type="dxa"/>
          </w:tcPr>
          <w:p w:rsidR="006C2E16" w:rsidRPr="000A7E09" w:rsidRDefault="006C2E16" w:rsidP="001C6BE7">
            <w:pPr>
              <w:pStyle w:val="text"/>
              <w:rPr>
                <w:rStyle w:val="Highlight"/>
              </w:rPr>
            </w:pPr>
            <w:r>
              <w:rPr>
                <w:rStyle w:val="Highlight"/>
              </w:rPr>
              <w:t>DOC</w:t>
            </w:r>
          </w:p>
        </w:tc>
        <w:tc>
          <w:tcPr>
            <w:tcW w:w="6663" w:type="dxa"/>
          </w:tcPr>
          <w:p w:rsidR="006C2E16" w:rsidRDefault="006C2E16" w:rsidP="001C6BE7">
            <w:pPr>
              <w:pStyle w:val="text"/>
            </w:pPr>
            <w:r>
              <w:t>dissolved organic carbon</w:t>
            </w:r>
          </w:p>
        </w:tc>
      </w:tr>
      <w:tr w:rsidR="006C2E16" w:rsidRPr="006D3C26" w:rsidTr="00A10D4B">
        <w:trPr>
          <w:trHeight w:hRule="exact" w:val="454"/>
        </w:trPr>
        <w:tc>
          <w:tcPr>
            <w:tcW w:w="1809" w:type="dxa"/>
          </w:tcPr>
          <w:p w:rsidR="006C2E16" w:rsidRPr="000A7E09" w:rsidRDefault="006C2E16" w:rsidP="001C6BE7">
            <w:pPr>
              <w:pStyle w:val="text"/>
              <w:rPr>
                <w:rStyle w:val="Highlight"/>
              </w:rPr>
            </w:pPr>
            <w:r>
              <w:rPr>
                <w:rStyle w:val="Highlight"/>
              </w:rPr>
              <w:t>DTA</w:t>
            </w:r>
          </w:p>
        </w:tc>
        <w:tc>
          <w:tcPr>
            <w:tcW w:w="6663" w:type="dxa"/>
          </w:tcPr>
          <w:p w:rsidR="006C2E16" w:rsidRDefault="006C2E16" w:rsidP="001C6BE7">
            <w:pPr>
              <w:pStyle w:val="text"/>
            </w:pPr>
            <w:r>
              <w:t>direct toxicity assessment</w:t>
            </w:r>
          </w:p>
        </w:tc>
      </w:tr>
      <w:tr w:rsidR="006C2E16" w:rsidRPr="006D3C26" w:rsidTr="00A10D4B">
        <w:trPr>
          <w:trHeight w:hRule="exact" w:val="454"/>
        </w:trPr>
        <w:tc>
          <w:tcPr>
            <w:tcW w:w="1809" w:type="dxa"/>
          </w:tcPr>
          <w:p w:rsidR="006C2E16" w:rsidRDefault="006C2E16" w:rsidP="001C6BE7">
            <w:pPr>
              <w:pStyle w:val="text"/>
              <w:rPr>
                <w:rStyle w:val="Highlight"/>
              </w:rPr>
            </w:pPr>
            <w:r w:rsidRPr="000A7E09">
              <w:rPr>
                <w:rStyle w:val="Highlight"/>
              </w:rPr>
              <w:t>Eco-SSL</w:t>
            </w:r>
          </w:p>
        </w:tc>
        <w:tc>
          <w:tcPr>
            <w:tcW w:w="6663" w:type="dxa"/>
          </w:tcPr>
          <w:p w:rsidR="006C2E16" w:rsidRDefault="006C2E16" w:rsidP="001C6BE7">
            <w:pPr>
              <w:pStyle w:val="text"/>
            </w:pPr>
            <w:r>
              <w:t>ecological soil screening level</w:t>
            </w:r>
          </w:p>
        </w:tc>
      </w:tr>
      <w:tr w:rsidR="006C2E16" w:rsidRPr="006D3C26" w:rsidTr="00A10D4B">
        <w:trPr>
          <w:trHeight w:hRule="exact" w:val="454"/>
        </w:trPr>
        <w:tc>
          <w:tcPr>
            <w:tcW w:w="1809" w:type="dxa"/>
          </w:tcPr>
          <w:p w:rsidR="006C2E16" w:rsidRDefault="006C2E16" w:rsidP="001C6BE7">
            <w:pPr>
              <w:pStyle w:val="text"/>
            </w:pPr>
            <w:r w:rsidRPr="000A7E09">
              <w:rPr>
                <w:rStyle w:val="Highlight"/>
              </w:rPr>
              <w:t>ECB</w:t>
            </w:r>
          </w:p>
        </w:tc>
        <w:tc>
          <w:tcPr>
            <w:tcW w:w="6663" w:type="dxa"/>
          </w:tcPr>
          <w:p w:rsidR="006C2E16" w:rsidRDefault="006C2E16" w:rsidP="001C6BE7">
            <w:pPr>
              <w:pStyle w:val="text"/>
            </w:pPr>
            <w:r>
              <w:t>European Chemicals Bureau</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EC</w:t>
            </w:r>
            <w:r w:rsidRPr="00AC3ECD">
              <w:rPr>
                <w:rStyle w:val="Highlight"/>
                <w:vertAlign w:val="subscript"/>
              </w:rPr>
              <w:t>30</w:t>
            </w:r>
          </w:p>
        </w:tc>
        <w:tc>
          <w:tcPr>
            <w:tcW w:w="6663" w:type="dxa"/>
          </w:tcPr>
          <w:p w:rsidR="006C2E16" w:rsidRDefault="006C2E16" w:rsidP="001C6BE7">
            <w:pPr>
              <w:pStyle w:val="text"/>
            </w:pPr>
            <w:r>
              <w:t>30% effect concentration</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EGV</w:t>
            </w:r>
          </w:p>
        </w:tc>
        <w:tc>
          <w:tcPr>
            <w:tcW w:w="6663" w:type="dxa"/>
          </w:tcPr>
          <w:p w:rsidR="006C2E16" w:rsidRDefault="006C2E16" w:rsidP="001C6BE7">
            <w:pPr>
              <w:pStyle w:val="text"/>
            </w:pPr>
            <w:r>
              <w:t>environmental guideline value</w:t>
            </w:r>
          </w:p>
        </w:tc>
      </w:tr>
      <w:tr w:rsidR="006C2E16" w:rsidRPr="006D3C26" w:rsidTr="00A10D4B">
        <w:trPr>
          <w:trHeight w:hRule="exact" w:val="454"/>
        </w:trPr>
        <w:tc>
          <w:tcPr>
            <w:tcW w:w="1809" w:type="dxa"/>
          </w:tcPr>
          <w:p w:rsidR="006C2E16" w:rsidRPr="000A7E09" w:rsidRDefault="006C2E16" w:rsidP="001C6BE7">
            <w:pPr>
              <w:pStyle w:val="text"/>
              <w:rPr>
                <w:rStyle w:val="Highlight"/>
              </w:rPr>
            </w:pPr>
            <w:r>
              <w:rPr>
                <w:rStyle w:val="Highlight"/>
              </w:rPr>
              <w:t>EIL</w:t>
            </w:r>
          </w:p>
        </w:tc>
        <w:tc>
          <w:tcPr>
            <w:tcW w:w="6663" w:type="dxa"/>
          </w:tcPr>
          <w:p w:rsidR="006C2E16" w:rsidRDefault="006C2E16" w:rsidP="001C6BE7">
            <w:pPr>
              <w:pStyle w:val="text"/>
            </w:pPr>
            <w:r>
              <w:t>e</w:t>
            </w:r>
            <w:r w:rsidRPr="00CE6E36">
              <w:t>cological investigation level</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ERA</w:t>
            </w:r>
          </w:p>
        </w:tc>
        <w:tc>
          <w:tcPr>
            <w:tcW w:w="6663" w:type="dxa"/>
          </w:tcPr>
          <w:p w:rsidR="006C2E16" w:rsidRPr="00CE6E36" w:rsidRDefault="006C2E16" w:rsidP="001C6BE7">
            <w:pPr>
              <w:pStyle w:val="text"/>
            </w:pPr>
            <w:r>
              <w:t>ecological risk assessment</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EqP</w:t>
            </w:r>
          </w:p>
        </w:tc>
        <w:tc>
          <w:tcPr>
            <w:tcW w:w="6663" w:type="dxa"/>
          </w:tcPr>
          <w:p w:rsidR="006C2E16" w:rsidRDefault="006C2E16" w:rsidP="001C6BE7">
            <w:pPr>
              <w:pStyle w:val="text"/>
            </w:pPr>
            <w:r>
              <w:t>equilibrium partitioning method</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EQG</w:t>
            </w:r>
          </w:p>
        </w:tc>
        <w:tc>
          <w:tcPr>
            <w:tcW w:w="6663" w:type="dxa"/>
          </w:tcPr>
          <w:p w:rsidR="006C2E16" w:rsidRDefault="006C2E16" w:rsidP="001C6BE7">
            <w:pPr>
              <w:pStyle w:val="text"/>
              <w:rPr>
                <w:kern w:val="28"/>
              </w:rPr>
            </w:pPr>
            <w:r>
              <w:t>environmental quality guideline</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EU</w:t>
            </w:r>
          </w:p>
        </w:tc>
        <w:tc>
          <w:tcPr>
            <w:tcW w:w="6663" w:type="dxa"/>
          </w:tcPr>
          <w:p w:rsidR="006C2E16" w:rsidRDefault="006C2E16" w:rsidP="001C6BE7">
            <w:pPr>
              <w:pStyle w:val="text"/>
            </w:pPr>
            <w:r>
              <w:t>European Union</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HC</w:t>
            </w:r>
          </w:p>
        </w:tc>
        <w:tc>
          <w:tcPr>
            <w:tcW w:w="6663" w:type="dxa"/>
          </w:tcPr>
          <w:p w:rsidR="006C2E16" w:rsidRDefault="006C2E16" w:rsidP="001C6BE7">
            <w:pPr>
              <w:pStyle w:val="text"/>
            </w:pPr>
            <w:r>
              <w:t>hazardous concentration</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HIL</w:t>
            </w:r>
          </w:p>
        </w:tc>
        <w:tc>
          <w:tcPr>
            <w:tcW w:w="6663" w:type="dxa"/>
          </w:tcPr>
          <w:p w:rsidR="006C2E16" w:rsidRDefault="006C2E16" w:rsidP="001C6BE7">
            <w:pPr>
              <w:pStyle w:val="text"/>
            </w:pPr>
            <w:r>
              <w:t>health investigation level</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LOEC</w:t>
            </w:r>
          </w:p>
        </w:tc>
        <w:tc>
          <w:tcPr>
            <w:tcW w:w="6663" w:type="dxa"/>
          </w:tcPr>
          <w:p w:rsidR="006C2E16" w:rsidRDefault="006C2E16" w:rsidP="001C6BE7">
            <w:pPr>
              <w:pStyle w:val="text"/>
            </w:pPr>
            <w:r>
              <w:t>lowest observed effect concentration</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lastRenderedPageBreak/>
              <w:t>MATC</w:t>
            </w:r>
          </w:p>
        </w:tc>
        <w:tc>
          <w:tcPr>
            <w:tcW w:w="6663" w:type="dxa"/>
          </w:tcPr>
          <w:p w:rsidR="006C2E16" w:rsidRDefault="006C2E16" w:rsidP="001C6BE7">
            <w:pPr>
              <w:pStyle w:val="text"/>
            </w:pPr>
            <w:r>
              <w:t>m</w:t>
            </w:r>
            <w:r w:rsidRPr="00CE6E36">
              <w:t>aximum acceptable toxicant concentration</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NBRP</w:t>
            </w:r>
          </w:p>
        </w:tc>
        <w:tc>
          <w:tcPr>
            <w:tcW w:w="6663" w:type="dxa"/>
          </w:tcPr>
          <w:p w:rsidR="006C2E16" w:rsidRPr="004317DA" w:rsidRDefault="006C2E16" w:rsidP="001C6BE7">
            <w:pPr>
              <w:pStyle w:val="text"/>
            </w:pPr>
            <w:r>
              <w:t>National Biosolids Research Program</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NEPC</w:t>
            </w:r>
          </w:p>
        </w:tc>
        <w:tc>
          <w:tcPr>
            <w:tcW w:w="6663" w:type="dxa"/>
          </w:tcPr>
          <w:p w:rsidR="006C2E16" w:rsidRDefault="006C2E16" w:rsidP="001C6BE7">
            <w:pPr>
              <w:pStyle w:val="text"/>
              <w:rPr>
                <w:kern w:val="28"/>
              </w:rPr>
            </w:pPr>
            <w:r w:rsidRPr="004317DA">
              <w:t>National Environment Protection Council</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NEPM</w:t>
            </w:r>
          </w:p>
        </w:tc>
        <w:tc>
          <w:tcPr>
            <w:tcW w:w="6663" w:type="dxa"/>
          </w:tcPr>
          <w:p w:rsidR="006C2E16" w:rsidRPr="004317DA" w:rsidRDefault="006C2E16" w:rsidP="001C6BE7">
            <w:pPr>
              <w:pStyle w:val="text"/>
            </w:pPr>
            <w:r w:rsidRPr="004317DA">
              <w:t>National Environment Protection Measure</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NHMRC</w:t>
            </w:r>
          </w:p>
        </w:tc>
        <w:tc>
          <w:tcPr>
            <w:tcW w:w="6663" w:type="dxa"/>
          </w:tcPr>
          <w:p w:rsidR="006C2E16" w:rsidRPr="004317DA" w:rsidRDefault="006C2E16" w:rsidP="001C6BE7">
            <w:pPr>
              <w:pStyle w:val="text"/>
              <w:rPr>
                <w:color w:val="000000"/>
              </w:rPr>
            </w:pPr>
            <w:r w:rsidRPr="008E593A">
              <w:t>National Health and Medical Research Council</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NOEC</w:t>
            </w:r>
          </w:p>
        </w:tc>
        <w:tc>
          <w:tcPr>
            <w:tcW w:w="6663" w:type="dxa"/>
          </w:tcPr>
          <w:p w:rsidR="006C2E16" w:rsidRPr="008E593A" w:rsidRDefault="006C2E16" w:rsidP="001C6BE7">
            <w:pPr>
              <w:pStyle w:val="text"/>
            </w:pPr>
            <w:r>
              <w:t>no observed effect concentration</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OECD</w:t>
            </w:r>
          </w:p>
        </w:tc>
        <w:tc>
          <w:tcPr>
            <w:tcW w:w="6663" w:type="dxa"/>
          </w:tcPr>
          <w:p w:rsidR="006C2E16" w:rsidRDefault="006C2E16" w:rsidP="001C6BE7">
            <w:pPr>
              <w:pStyle w:val="text"/>
            </w:pPr>
            <w:r>
              <w:t>Organisation for Economic Cooperation and Development</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OM</w:t>
            </w:r>
          </w:p>
        </w:tc>
        <w:tc>
          <w:tcPr>
            <w:tcW w:w="6663" w:type="dxa"/>
          </w:tcPr>
          <w:p w:rsidR="006C2E16" w:rsidRDefault="006C2E16" w:rsidP="001C6BE7">
            <w:pPr>
              <w:pStyle w:val="text"/>
            </w:pPr>
            <w:r>
              <w:t>organic matter</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PC</w:t>
            </w:r>
          </w:p>
        </w:tc>
        <w:tc>
          <w:tcPr>
            <w:tcW w:w="6663" w:type="dxa"/>
          </w:tcPr>
          <w:p w:rsidR="006C2E16" w:rsidRDefault="006C2E16" w:rsidP="001C6BE7">
            <w:pPr>
              <w:pStyle w:val="text"/>
            </w:pPr>
            <w:r>
              <w:t>protective concentration</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PLS</w:t>
            </w:r>
          </w:p>
        </w:tc>
        <w:tc>
          <w:tcPr>
            <w:tcW w:w="6663" w:type="dxa"/>
          </w:tcPr>
          <w:p w:rsidR="006C2E16" w:rsidRDefault="006C2E16" w:rsidP="001C6BE7">
            <w:pPr>
              <w:pStyle w:val="text"/>
            </w:pPr>
            <w:r>
              <w:t>partial least squares</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PNEC</w:t>
            </w:r>
          </w:p>
        </w:tc>
        <w:tc>
          <w:tcPr>
            <w:tcW w:w="6663" w:type="dxa"/>
          </w:tcPr>
          <w:p w:rsidR="006C2E16" w:rsidRDefault="006C2E16" w:rsidP="001C6BE7">
            <w:pPr>
              <w:pStyle w:val="text"/>
            </w:pPr>
            <w:r>
              <w:t>predicted no-effect concentration</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QAAR</w:t>
            </w:r>
          </w:p>
        </w:tc>
        <w:tc>
          <w:tcPr>
            <w:tcW w:w="6663" w:type="dxa"/>
          </w:tcPr>
          <w:p w:rsidR="006C2E16" w:rsidRDefault="006C2E16" w:rsidP="001C6BE7">
            <w:pPr>
              <w:pStyle w:val="text"/>
            </w:pPr>
            <w:r>
              <w:t>quantitative activity</w:t>
            </w:r>
            <w:r>
              <w:sym w:font="Symbol" w:char="F02D"/>
            </w:r>
            <w:r w:rsidRPr="005802FA">
              <w:t>activity relationship</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QSAR</w:t>
            </w:r>
          </w:p>
        </w:tc>
        <w:tc>
          <w:tcPr>
            <w:tcW w:w="6663" w:type="dxa"/>
          </w:tcPr>
          <w:p w:rsidR="006C2E16" w:rsidRDefault="006C2E16" w:rsidP="001C6BE7">
            <w:pPr>
              <w:pStyle w:val="text"/>
            </w:pPr>
            <w:r>
              <w:t xml:space="preserve">quantitative </w:t>
            </w:r>
            <w:r w:rsidRPr="005802FA">
              <w:t>structure</w:t>
            </w:r>
            <w:r>
              <w:sym w:font="Symbol" w:char="F02D"/>
            </w:r>
            <w:r w:rsidRPr="005802FA">
              <w:t>activity relationship</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QSPR</w:t>
            </w:r>
          </w:p>
        </w:tc>
        <w:tc>
          <w:tcPr>
            <w:tcW w:w="6663" w:type="dxa"/>
          </w:tcPr>
          <w:p w:rsidR="006C2E16" w:rsidRDefault="006C2E16" w:rsidP="001C6BE7">
            <w:pPr>
              <w:pStyle w:val="text"/>
            </w:pPr>
            <w:r>
              <w:t>quantitative structure</w:t>
            </w:r>
            <w:r>
              <w:sym w:font="Symbol" w:char="F02D"/>
            </w:r>
            <w:r>
              <w:t>property relationship</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SGV</w:t>
            </w:r>
          </w:p>
        </w:tc>
        <w:tc>
          <w:tcPr>
            <w:tcW w:w="6663" w:type="dxa"/>
          </w:tcPr>
          <w:p w:rsidR="006C2E16" w:rsidRDefault="006C2E16" w:rsidP="001C6BE7">
            <w:pPr>
              <w:pStyle w:val="text"/>
            </w:pPr>
            <w:r>
              <w:t>soil guideline value</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SIN</w:t>
            </w:r>
          </w:p>
        </w:tc>
        <w:tc>
          <w:tcPr>
            <w:tcW w:w="6663" w:type="dxa"/>
          </w:tcPr>
          <w:p w:rsidR="006C2E16" w:rsidRDefault="006C2E16" w:rsidP="001C6BE7">
            <w:pPr>
              <w:pStyle w:val="text"/>
            </w:pPr>
            <w:r>
              <w:t>substrate-induced nitrification</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SQG</w:t>
            </w:r>
          </w:p>
        </w:tc>
        <w:tc>
          <w:tcPr>
            <w:tcW w:w="6663" w:type="dxa"/>
          </w:tcPr>
          <w:p w:rsidR="006C2E16" w:rsidRDefault="006C2E16" w:rsidP="001C6BE7">
            <w:pPr>
              <w:pStyle w:val="text"/>
            </w:pPr>
            <w:r>
              <w:t>soil quality guideline</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SQV</w:t>
            </w:r>
          </w:p>
        </w:tc>
        <w:tc>
          <w:tcPr>
            <w:tcW w:w="6663" w:type="dxa"/>
          </w:tcPr>
          <w:p w:rsidR="006C2E16" w:rsidRDefault="006C2E16" w:rsidP="001C6BE7">
            <w:pPr>
              <w:pStyle w:val="text"/>
            </w:pPr>
            <w:r>
              <w:t>soil quality value</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SSD</w:t>
            </w:r>
          </w:p>
        </w:tc>
        <w:tc>
          <w:tcPr>
            <w:tcW w:w="6663" w:type="dxa"/>
          </w:tcPr>
          <w:p w:rsidR="006C2E16" w:rsidRDefault="006C2E16" w:rsidP="001C6BE7">
            <w:pPr>
              <w:pStyle w:val="text"/>
            </w:pPr>
            <w:r>
              <w:t>s</w:t>
            </w:r>
            <w:r w:rsidRPr="004317DA">
              <w:t>pecies sensitivity distribution</w:t>
            </w:r>
          </w:p>
        </w:tc>
      </w:tr>
      <w:tr w:rsidR="006C2E16" w:rsidRPr="006D3C26" w:rsidTr="00A10D4B">
        <w:trPr>
          <w:trHeight w:hRule="exact" w:val="454"/>
        </w:trPr>
        <w:tc>
          <w:tcPr>
            <w:tcW w:w="1809" w:type="dxa"/>
          </w:tcPr>
          <w:p w:rsidR="006C2E16" w:rsidRDefault="006C2E16" w:rsidP="001C6BE7">
            <w:pPr>
              <w:pStyle w:val="text"/>
              <w:rPr>
                <w:rStyle w:val="Highlight"/>
              </w:rPr>
            </w:pPr>
            <w:smartTag w:uri="urn:schemas-microsoft-com:office:smarttags" w:element="country-region">
              <w:smartTag w:uri="urn:schemas-microsoft-com:office:smarttags" w:element="place">
                <w:r>
                  <w:rPr>
                    <w:rStyle w:val="Highlight"/>
                  </w:rPr>
                  <w:t>US</w:t>
                </w:r>
              </w:smartTag>
            </w:smartTag>
            <w:r>
              <w:rPr>
                <w:rStyle w:val="Highlight"/>
              </w:rPr>
              <w:t xml:space="preserve"> EPA</w:t>
            </w:r>
          </w:p>
        </w:tc>
        <w:tc>
          <w:tcPr>
            <w:tcW w:w="6663" w:type="dxa"/>
          </w:tcPr>
          <w:p w:rsidR="006C2E16" w:rsidRDefault="006C2E16" w:rsidP="001C6BE7">
            <w:pPr>
              <w:pStyle w:val="text"/>
            </w:pPr>
            <w:r>
              <w:t>United States Environmental Protection Agency</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TGD</w:t>
            </w:r>
          </w:p>
        </w:tc>
        <w:tc>
          <w:tcPr>
            <w:tcW w:w="6663" w:type="dxa"/>
          </w:tcPr>
          <w:p w:rsidR="006C2E16" w:rsidRDefault="006C2E16" w:rsidP="001C6BE7">
            <w:pPr>
              <w:pStyle w:val="text"/>
            </w:pPr>
            <w:r>
              <w:t>technical guidance document</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TRV</w:t>
            </w:r>
          </w:p>
        </w:tc>
        <w:tc>
          <w:tcPr>
            <w:tcW w:w="6663" w:type="dxa"/>
          </w:tcPr>
          <w:p w:rsidR="006C2E16" w:rsidRDefault="006C2E16" w:rsidP="001C6BE7">
            <w:pPr>
              <w:pStyle w:val="text"/>
              <w:rPr>
                <w:kern w:val="28"/>
              </w:rPr>
            </w:pPr>
            <w:r>
              <w:t>toxicity reference value</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TV</w:t>
            </w:r>
          </w:p>
        </w:tc>
        <w:tc>
          <w:tcPr>
            <w:tcW w:w="6663" w:type="dxa"/>
          </w:tcPr>
          <w:p w:rsidR="006C2E16" w:rsidRDefault="006C2E16" w:rsidP="001C6BE7">
            <w:pPr>
              <w:pStyle w:val="text"/>
            </w:pPr>
            <w:r>
              <w:t>trigger value</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USA</w:t>
            </w:r>
          </w:p>
        </w:tc>
        <w:tc>
          <w:tcPr>
            <w:tcW w:w="6663" w:type="dxa"/>
          </w:tcPr>
          <w:p w:rsidR="006C2E16" w:rsidRPr="00A24304" w:rsidRDefault="006C2E16" w:rsidP="001C6BE7">
            <w:pPr>
              <w:pStyle w:val="text"/>
            </w:pPr>
            <w:r>
              <w:t>United States of America</w:t>
            </w:r>
          </w:p>
        </w:tc>
      </w:tr>
      <w:tr w:rsidR="006C2E16" w:rsidRPr="006D3C26" w:rsidTr="00A10D4B">
        <w:trPr>
          <w:trHeight w:val="454"/>
        </w:trPr>
        <w:tc>
          <w:tcPr>
            <w:tcW w:w="1809" w:type="dxa"/>
          </w:tcPr>
          <w:p w:rsidR="006C2E16" w:rsidRDefault="006C2E16" w:rsidP="001C6BE7">
            <w:pPr>
              <w:pStyle w:val="text"/>
              <w:rPr>
                <w:rStyle w:val="Highlight"/>
              </w:rPr>
            </w:pPr>
            <w:r>
              <w:rPr>
                <w:rStyle w:val="Highlight"/>
              </w:rPr>
              <w:t>VROM</w:t>
            </w:r>
          </w:p>
        </w:tc>
        <w:tc>
          <w:tcPr>
            <w:tcW w:w="6663" w:type="dxa"/>
          </w:tcPr>
          <w:p w:rsidR="006C2E16" w:rsidRDefault="006C2E16" w:rsidP="001C6BE7">
            <w:pPr>
              <w:pStyle w:val="text"/>
            </w:pPr>
            <w:r w:rsidRPr="00A24304">
              <w:t>Ministry of Housing, Spatial Planning, and the Environment (</w:t>
            </w:r>
            <w:r>
              <w:t>Netherlands</w:t>
            </w:r>
            <w:r w:rsidRPr="00A24304">
              <w:t>)</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WHC</w:t>
            </w:r>
          </w:p>
        </w:tc>
        <w:tc>
          <w:tcPr>
            <w:tcW w:w="6663" w:type="dxa"/>
          </w:tcPr>
          <w:p w:rsidR="006C2E16" w:rsidRDefault="006C2E16" w:rsidP="001C6BE7">
            <w:pPr>
              <w:pStyle w:val="text"/>
            </w:pPr>
            <w:r>
              <w:t>water holding capacity</w:t>
            </w:r>
          </w:p>
        </w:tc>
      </w:tr>
      <w:tr w:rsidR="006C2E16" w:rsidRPr="006D3C26" w:rsidTr="00A10D4B">
        <w:trPr>
          <w:trHeight w:hRule="exact" w:val="454"/>
        </w:trPr>
        <w:tc>
          <w:tcPr>
            <w:tcW w:w="1809" w:type="dxa"/>
          </w:tcPr>
          <w:p w:rsidR="006C2E16" w:rsidRDefault="006C2E16" w:rsidP="001C6BE7">
            <w:pPr>
              <w:pStyle w:val="text"/>
              <w:rPr>
                <w:rStyle w:val="Highlight"/>
              </w:rPr>
            </w:pPr>
            <w:r>
              <w:rPr>
                <w:rStyle w:val="Highlight"/>
              </w:rPr>
              <w:t>WQG</w:t>
            </w:r>
          </w:p>
        </w:tc>
        <w:tc>
          <w:tcPr>
            <w:tcW w:w="6663" w:type="dxa"/>
          </w:tcPr>
          <w:p w:rsidR="006C2E16" w:rsidRPr="00A24304" w:rsidRDefault="006C2E16" w:rsidP="001C6BE7">
            <w:pPr>
              <w:pStyle w:val="text"/>
            </w:pPr>
            <w:r>
              <w:t>water quality guideline</w:t>
            </w:r>
          </w:p>
        </w:tc>
      </w:tr>
    </w:tbl>
    <w:p w:rsidR="007E6545" w:rsidRDefault="007E6545" w:rsidP="007E6545">
      <w:pPr>
        <w:sectPr w:rsidR="007E6545" w:rsidSect="001C6BE7">
          <w:headerReference w:type="even" r:id="rId45"/>
          <w:headerReference w:type="default" r:id="rId46"/>
          <w:footerReference w:type="default" r:id="rId47"/>
          <w:headerReference w:type="first" r:id="rId48"/>
          <w:pgSz w:w="11907" w:h="16840" w:code="9"/>
          <w:pgMar w:top="1418" w:right="1418" w:bottom="1418" w:left="1418" w:header="720" w:footer="720" w:gutter="0"/>
          <w:pgNumType w:start="1"/>
          <w:cols w:space="720"/>
          <w:docGrid w:linePitch="326"/>
        </w:sectPr>
      </w:pPr>
    </w:p>
    <w:p w:rsidR="00A6121F" w:rsidRDefault="00A6121F" w:rsidP="007E6545"/>
    <w:sectPr w:rsidR="00A6121F" w:rsidSect="007E6545">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1418" w:right="1418" w:bottom="1418" w:left="1418"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BE7" w:rsidRDefault="001C6BE7" w:rsidP="00664C63">
      <w:pPr>
        <w:spacing w:line="240" w:lineRule="auto"/>
      </w:pPr>
      <w:r>
        <w:separator/>
      </w:r>
    </w:p>
  </w:endnote>
  <w:endnote w:type="continuationSeparator" w:id="0">
    <w:p w:rsidR="001C6BE7" w:rsidRDefault="001C6BE7" w:rsidP="00664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A7656A67-98CD-4FD4-A6F0-8542BD119505}"/>
    <w:embedBold r:id="rId2" w:fontKey="{60C5E31E-F53A-4942-9D40-FD51AF9309C3}"/>
    <w:embedItalic r:id="rId3" w:fontKey="{8E99B445-BFC4-4202-9ECE-458368314EDA}"/>
  </w:font>
  <w:font w:name="Calibri">
    <w:panose1 w:val="020F0502020204030204"/>
    <w:charset w:val="00"/>
    <w:family w:val="swiss"/>
    <w:pitch w:val="variable"/>
    <w:sig w:usb0="E10002FF" w:usb1="4000ACFF" w:usb2="00000009" w:usb3="00000000" w:csb0="0000019F" w:csb1="00000000"/>
    <w:embedBold r:id="rId4" w:subsetted="1" w:fontKey="{CEF1EB32-6E32-4A5C-AB55-238850287D1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Gill Sans">
    <w:charset w:val="00"/>
    <w:family w:val="swiss"/>
    <w:pitch w:val="variable"/>
    <w:sig w:usb0="00000003" w:usb1="00000000" w:usb2="00000000" w:usb3="00000000" w:csb0="00000001" w:csb1="00000000"/>
  </w:font>
  <w:font w:name="Kozuka Mincho Pro B">
    <w:panose1 w:val="00000000000000000000"/>
    <w:charset w:val="80"/>
    <w:family w:val="roman"/>
    <w:notTrueType/>
    <w:pitch w:val="variable"/>
    <w:sig w:usb0="00000283" w:usb1="2AC71C11" w:usb2="00000012" w:usb3="00000000" w:csb0="00020005" w:csb1="00000000"/>
  </w:font>
  <w:font w:name="Verdana">
    <w:panose1 w:val="020B0604030504040204"/>
    <w:charset w:val="00"/>
    <w:family w:val="swiss"/>
    <w:pitch w:val="variable"/>
    <w:sig w:usb0="A10006FF" w:usb1="4000205B" w:usb2="00000010" w:usb3="00000000" w:csb0="0000019F" w:csb1="00000000"/>
    <w:embedRegular r:id="rId5" w:subsetted="1" w:fontKey="{580D21E7-25AF-4F15-98A2-E947013457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3FC" w:rsidRPr="000F03FC" w:rsidRDefault="000F03FC" w:rsidP="000F03FC">
    <w:pPr>
      <w:pStyle w:val="Footer"/>
      <w:rPr>
        <w:rFonts w:ascii="Arial" w:hAnsi="Arial" w:cs="Arial"/>
        <w:sz w:val="14"/>
      </w:rPr>
    </w:pPr>
    <w:r>
      <w:rPr>
        <w:rFonts w:ascii="Arial" w:hAnsi="Arial" w:cs="Arial"/>
        <w:sz w:val="14"/>
      </w:rPr>
      <w:t>OPC50357</w:t>
    </w:r>
    <w:r w:rsidRPr="000F03FC">
      <w:rPr>
        <w:rFonts w:ascii="Arial" w:hAnsi="Arial" w:cs="Arial"/>
        <w:sz w:val="14"/>
      </w:rPr>
      <w:t xml:space="preserve"> - B</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3FC" w:rsidRPr="000F03FC" w:rsidRDefault="000F03FC" w:rsidP="000F03FC">
    <w:pPr>
      <w:pStyle w:val="text"/>
      <w:rPr>
        <w:rFonts w:ascii="Arial" w:hAnsi="Arial" w:cs="Arial"/>
        <w:sz w:val="14"/>
      </w:rPr>
    </w:pPr>
    <w:r>
      <w:rPr>
        <w:rFonts w:ascii="Arial" w:hAnsi="Arial" w:cs="Arial"/>
        <w:sz w:val="14"/>
      </w:rPr>
      <w:t>OPC50357</w:t>
    </w:r>
    <w:r w:rsidRPr="000F03FC">
      <w:rPr>
        <w:rFonts w:ascii="Arial" w:hAnsi="Arial" w:cs="Arial"/>
        <w:sz w:val="14"/>
      </w:rPr>
      <w:t xml:space="preserve"> - 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Pr="000F03FC" w:rsidRDefault="000F03FC" w:rsidP="000F03FC">
    <w:pPr>
      <w:pStyle w:val="text"/>
      <w:rPr>
        <w:rFonts w:ascii="Arial" w:hAnsi="Arial" w:cs="Arial"/>
        <w:sz w:val="14"/>
      </w:rPr>
    </w:pPr>
    <w:r>
      <w:rPr>
        <w:rFonts w:ascii="Arial" w:hAnsi="Arial" w:cs="Arial"/>
        <w:sz w:val="14"/>
      </w:rPr>
      <w:t>OPC50357</w:t>
    </w:r>
    <w:r w:rsidRPr="000F03FC">
      <w:rPr>
        <w:rFonts w:ascii="Arial" w:hAnsi="Arial" w:cs="Arial"/>
        <w:sz w:val="14"/>
      </w:rPr>
      <w:t xml:space="preserve"> - B</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Pr="000F03FC" w:rsidRDefault="007E6545">
    <w:pPr>
      <w:pBdr>
        <w:top w:val="single" w:sz="4" w:space="5" w:color="auto"/>
      </w:pBdr>
      <w:tabs>
        <w:tab w:val="right" w:pos="9070"/>
        <w:tab w:val="right" w:pos="14034"/>
      </w:tabs>
      <w:rPr>
        <w:rFonts w:ascii="Arial" w:hAnsi="Arial" w:cs="Arial"/>
        <w:sz w:val="14"/>
      </w:rPr>
    </w:pPr>
    <w:r w:rsidRPr="000F03FC">
      <w:rPr>
        <w:rFonts w:ascii="Arial" w:hAnsi="Arial" w:cs="Arial"/>
        <w:sz w:val="14"/>
      </w:rPr>
      <w:t>Schedule B5b - Guideline on Methodology to Derive Ecological Investigation Levels in Contaminated Soils</w:t>
    </w:r>
    <w:r w:rsidR="001C6BE7" w:rsidRPr="000F03FC">
      <w:rPr>
        <w:rFonts w:ascii="Arial" w:hAnsi="Arial" w:cs="Arial"/>
        <w:sz w:val="14"/>
      </w:rPr>
      <w:tab/>
    </w:r>
    <w:r w:rsidR="001C6BE7" w:rsidRPr="000F03FC">
      <w:rPr>
        <w:rStyle w:val="PageNumber"/>
        <w:rFonts w:ascii="Arial" w:hAnsi="Arial" w:cs="Arial"/>
        <w:sz w:val="14"/>
      </w:rPr>
      <w:fldChar w:fldCharType="begin"/>
    </w:r>
    <w:r w:rsidR="001C6BE7" w:rsidRPr="000F03FC">
      <w:rPr>
        <w:rStyle w:val="PageNumber"/>
        <w:rFonts w:ascii="Arial" w:hAnsi="Arial" w:cs="Arial"/>
        <w:sz w:val="14"/>
      </w:rPr>
      <w:instrText xml:space="preserve"> PAGE </w:instrText>
    </w:r>
    <w:r w:rsidR="001C6BE7" w:rsidRPr="000F03FC">
      <w:rPr>
        <w:rStyle w:val="PageNumber"/>
        <w:rFonts w:ascii="Arial" w:hAnsi="Arial" w:cs="Arial"/>
        <w:sz w:val="14"/>
      </w:rPr>
      <w:fldChar w:fldCharType="separate"/>
    </w:r>
    <w:r w:rsidR="000F03FC">
      <w:rPr>
        <w:rStyle w:val="PageNumber"/>
        <w:rFonts w:ascii="Arial" w:hAnsi="Arial" w:cs="Arial"/>
        <w:noProof/>
        <w:sz w:val="14"/>
      </w:rPr>
      <w:t>1</w:t>
    </w:r>
    <w:r w:rsidR="001C6BE7" w:rsidRPr="000F03FC">
      <w:rPr>
        <w:rStyle w:val="PageNumber"/>
        <w:rFonts w:ascii="Arial" w:hAnsi="Arial" w:cs="Arial"/>
        <w:sz w:val="14"/>
      </w:rPr>
      <w:fldChar w:fldCharType="end"/>
    </w:r>
  </w:p>
  <w:p w:rsidR="001C6BE7" w:rsidRPr="000F03FC" w:rsidRDefault="000F03FC" w:rsidP="000F03FC">
    <w:pPr>
      <w:rPr>
        <w:rFonts w:ascii="Arial" w:hAnsi="Arial" w:cs="Arial"/>
        <w:sz w:val="14"/>
      </w:rPr>
    </w:pPr>
    <w:r w:rsidRPr="000F03FC">
      <w:rPr>
        <w:rFonts w:ascii="Arial" w:hAnsi="Arial" w:cs="Arial"/>
        <w:sz w:val="14"/>
      </w:rPr>
      <w:t>OPC50357 - B</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Pr="00BB4623" w:rsidRDefault="001C6BE7" w:rsidP="00FA3991">
    <w:pPr>
      <w:pBdr>
        <w:top w:val="single" w:sz="6" w:space="1" w:color="auto"/>
      </w:pBdr>
      <w:spacing w:before="120"/>
      <w:jc w:val="right"/>
      <w:rPr>
        <w:sz w:val="18"/>
      </w:rPr>
    </w:pPr>
  </w:p>
  <w:p w:rsidR="001C6BE7" w:rsidRPr="00BB4623" w:rsidRDefault="001C6BE7" w:rsidP="00664C63">
    <w:pPr>
      <w:rPr>
        <w:i/>
        <w:sz w:val="18"/>
      </w:rPr>
    </w:pPr>
    <w:r w:rsidRPr="00BB4623">
      <w:rPr>
        <w:i/>
        <w:sz w:val="18"/>
      </w:rPr>
      <w:fldChar w:fldCharType="begin"/>
    </w:r>
    <w:r w:rsidRPr="00BB4623">
      <w:rPr>
        <w:i/>
        <w:sz w:val="18"/>
      </w:rPr>
      <w:instrText xml:space="preserve"> PAGE </w:instrText>
    </w:r>
    <w:r w:rsidRPr="00BB4623">
      <w:rPr>
        <w:i/>
        <w:sz w:val="18"/>
      </w:rPr>
      <w:fldChar w:fldCharType="separate"/>
    </w:r>
    <w:r>
      <w:rPr>
        <w:i/>
        <w:noProof/>
        <w:sz w:val="18"/>
      </w:rPr>
      <w:t>104</w:t>
    </w:r>
    <w:r w:rsidRPr="00BB4623">
      <w:rPr>
        <w:i/>
        <w:sz w:val="18"/>
      </w:rPr>
      <w:fldChar w:fldCharType="end"/>
    </w:r>
  </w:p>
  <w:p w:rsidR="001C6BE7" w:rsidRPr="00BB4623" w:rsidRDefault="001C6BE7" w:rsidP="00664C63">
    <w:pPr>
      <w:jc w:val="right"/>
      <w:rPr>
        <w:i/>
        <w:sz w:val="18"/>
      </w:rPr>
    </w:pPr>
    <w:r w:rsidRPr="00BB4623">
      <w:rPr>
        <w:i/>
        <w:sz w:val="18"/>
      </w:rPr>
      <w:fldChar w:fldCharType="begin"/>
    </w:r>
    <w:r w:rsidRPr="00BB4623">
      <w:rPr>
        <w:i/>
        <w:sz w:val="18"/>
      </w:rPr>
      <w:instrText xml:space="preserve"> FILENAME \p </w:instrText>
    </w:r>
    <w:r w:rsidRPr="00BB4623">
      <w:rPr>
        <w:i/>
        <w:sz w:val="18"/>
      </w:rPr>
      <w:fldChar w:fldCharType="separate"/>
    </w:r>
    <w:r w:rsidR="000F03FC">
      <w:rPr>
        <w:i/>
        <w:noProof/>
        <w:sz w:val="18"/>
      </w:rPr>
      <w:t>Q:\Word\INSTRUMENTS\I13KE122.DOCX</w:t>
    </w:r>
    <w:r w:rsidRPr="00BB4623">
      <w:rPr>
        <w:i/>
        <w:sz w:val="18"/>
      </w:rPr>
      <w:fldChar w:fldCharType="end"/>
    </w:r>
    <w:r w:rsidRPr="00BB4623">
      <w:rPr>
        <w:i/>
        <w:sz w:val="18"/>
      </w:rPr>
      <w:t xml:space="preserve">  </w:t>
    </w:r>
    <w:r w:rsidRPr="00BB4623">
      <w:rPr>
        <w:i/>
        <w:sz w:val="18"/>
      </w:rPr>
      <w:fldChar w:fldCharType="begin"/>
    </w:r>
    <w:r w:rsidRPr="00BB4623">
      <w:rPr>
        <w:i/>
        <w:sz w:val="18"/>
      </w:rPr>
      <w:instrText xml:space="preserve"> TIME \@ "d/M/yyyy h:mm AM/PM" </w:instrText>
    </w:r>
    <w:r w:rsidRPr="00BB4623">
      <w:rPr>
        <w:i/>
        <w:sz w:val="18"/>
      </w:rPr>
      <w:fldChar w:fldCharType="separate"/>
    </w:r>
    <w:r w:rsidR="000F03FC">
      <w:rPr>
        <w:i/>
        <w:noProof/>
        <w:sz w:val="18"/>
      </w:rPr>
      <w:t>22/3/2013 12:27 PM</w:t>
    </w:r>
    <w:r w:rsidRPr="00BB4623">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Pr="000F03FC" w:rsidRDefault="001C6BE7" w:rsidP="00A6121F">
    <w:pPr>
      <w:pBdr>
        <w:top w:val="single" w:sz="6" w:space="1" w:color="auto"/>
      </w:pBdr>
      <w:spacing w:line="0" w:lineRule="atLeast"/>
      <w:rPr>
        <w:rFonts w:ascii="Arial" w:hAnsi="Arial" w:cs="Arial"/>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1C6BE7" w:rsidRPr="000F03FC" w:rsidTr="006C5791">
      <w:tc>
        <w:tcPr>
          <w:tcW w:w="8472" w:type="dxa"/>
        </w:tcPr>
        <w:p w:rsidR="001C6BE7" w:rsidRPr="000F03FC" w:rsidRDefault="001C6BE7" w:rsidP="00A6121F">
          <w:pPr>
            <w:spacing w:line="0" w:lineRule="atLeast"/>
            <w:jc w:val="right"/>
            <w:rPr>
              <w:rFonts w:ascii="Arial" w:hAnsi="Arial" w:cs="Arial"/>
              <w:i/>
              <w:sz w:val="14"/>
            </w:rPr>
          </w:pPr>
          <w:r w:rsidRPr="000F03FC">
            <w:rPr>
              <w:rFonts w:ascii="Arial" w:hAnsi="Arial" w:cs="Arial"/>
              <w:i/>
              <w:sz w:val="14"/>
            </w:rPr>
            <w:fldChar w:fldCharType="begin"/>
          </w:r>
          <w:r w:rsidRPr="000F03FC">
            <w:rPr>
              <w:rFonts w:ascii="Arial" w:hAnsi="Arial" w:cs="Arial"/>
              <w:i/>
              <w:sz w:val="14"/>
            </w:rPr>
            <w:instrText xml:space="preserve"> PAGE </w:instrText>
          </w:r>
          <w:r w:rsidRPr="000F03FC">
            <w:rPr>
              <w:rFonts w:ascii="Arial" w:hAnsi="Arial" w:cs="Arial"/>
              <w:i/>
              <w:sz w:val="14"/>
            </w:rPr>
            <w:fldChar w:fldCharType="separate"/>
          </w:r>
          <w:r w:rsidR="007E6545" w:rsidRPr="000F03FC">
            <w:rPr>
              <w:rFonts w:ascii="Arial" w:hAnsi="Arial" w:cs="Arial"/>
              <w:i/>
              <w:noProof/>
              <w:sz w:val="14"/>
            </w:rPr>
            <w:t>2</w:t>
          </w:r>
          <w:r w:rsidRPr="000F03FC">
            <w:rPr>
              <w:rFonts w:ascii="Arial" w:hAnsi="Arial" w:cs="Arial"/>
              <w:i/>
              <w:sz w:val="14"/>
            </w:rPr>
            <w:fldChar w:fldCharType="end"/>
          </w:r>
        </w:p>
      </w:tc>
    </w:tr>
    <w:tr w:rsidR="001C6BE7" w:rsidRPr="000F03FC" w:rsidTr="006C5791">
      <w:tc>
        <w:tcPr>
          <w:tcW w:w="8472" w:type="dxa"/>
        </w:tcPr>
        <w:p w:rsidR="001C6BE7" w:rsidRPr="000F03FC" w:rsidRDefault="001C6BE7" w:rsidP="00A6121F">
          <w:pPr>
            <w:rPr>
              <w:rFonts w:ascii="Arial" w:hAnsi="Arial" w:cs="Arial"/>
              <w:i/>
              <w:sz w:val="14"/>
            </w:rPr>
          </w:pPr>
          <w:r w:rsidRPr="000F03FC">
            <w:rPr>
              <w:rFonts w:ascii="Arial" w:hAnsi="Arial" w:cs="Arial"/>
              <w:i/>
              <w:sz w:val="14"/>
            </w:rPr>
            <w:fldChar w:fldCharType="begin"/>
          </w:r>
          <w:r w:rsidRPr="000F03FC">
            <w:rPr>
              <w:rFonts w:ascii="Arial" w:hAnsi="Arial" w:cs="Arial"/>
              <w:i/>
              <w:sz w:val="14"/>
            </w:rPr>
            <w:instrText xml:space="preserve"> FILENAME \p </w:instrText>
          </w:r>
          <w:r w:rsidRPr="000F03FC">
            <w:rPr>
              <w:rFonts w:ascii="Arial" w:hAnsi="Arial" w:cs="Arial"/>
              <w:i/>
              <w:sz w:val="14"/>
            </w:rPr>
            <w:fldChar w:fldCharType="separate"/>
          </w:r>
          <w:r w:rsidR="000F03FC">
            <w:rPr>
              <w:rFonts w:ascii="Arial" w:hAnsi="Arial" w:cs="Arial"/>
              <w:i/>
              <w:noProof/>
              <w:sz w:val="14"/>
            </w:rPr>
            <w:t>Q:\Word\INSTRUMENTS\I13KE122.DOCX</w:t>
          </w:r>
          <w:r w:rsidRPr="000F03FC">
            <w:rPr>
              <w:rFonts w:ascii="Arial" w:hAnsi="Arial" w:cs="Arial"/>
              <w:i/>
              <w:sz w:val="14"/>
            </w:rPr>
            <w:fldChar w:fldCharType="end"/>
          </w:r>
          <w:r w:rsidRPr="000F03FC">
            <w:rPr>
              <w:rFonts w:ascii="Arial" w:hAnsi="Arial" w:cs="Arial"/>
              <w:i/>
              <w:sz w:val="14"/>
            </w:rPr>
            <w:t xml:space="preserve">  </w:t>
          </w:r>
          <w:r w:rsidRPr="000F03FC">
            <w:rPr>
              <w:rFonts w:ascii="Arial" w:hAnsi="Arial" w:cs="Arial"/>
              <w:i/>
              <w:sz w:val="14"/>
            </w:rPr>
            <w:fldChar w:fldCharType="begin"/>
          </w:r>
          <w:r w:rsidRPr="000F03FC">
            <w:rPr>
              <w:rFonts w:ascii="Arial" w:hAnsi="Arial" w:cs="Arial"/>
              <w:i/>
              <w:sz w:val="14"/>
            </w:rPr>
            <w:instrText xml:space="preserve"> TIME \@ "d/M/yyyy h:mm AM/PM" </w:instrText>
          </w:r>
          <w:r w:rsidRPr="000F03FC">
            <w:rPr>
              <w:rFonts w:ascii="Arial" w:hAnsi="Arial" w:cs="Arial"/>
              <w:i/>
              <w:sz w:val="14"/>
            </w:rPr>
            <w:fldChar w:fldCharType="separate"/>
          </w:r>
          <w:r w:rsidR="000F03FC">
            <w:rPr>
              <w:rFonts w:ascii="Arial" w:hAnsi="Arial" w:cs="Arial"/>
              <w:i/>
              <w:noProof/>
              <w:sz w:val="14"/>
            </w:rPr>
            <w:t>22/3/2013 12:27 PM</w:t>
          </w:r>
          <w:r w:rsidRPr="000F03FC">
            <w:rPr>
              <w:rFonts w:ascii="Arial" w:hAnsi="Arial" w:cs="Arial"/>
              <w:i/>
              <w:sz w:val="14"/>
            </w:rPr>
            <w:fldChar w:fldCharType="end"/>
          </w:r>
        </w:p>
      </w:tc>
    </w:tr>
  </w:tbl>
  <w:p w:rsidR="001C6BE7" w:rsidRPr="000F03FC" w:rsidRDefault="001C6BE7" w:rsidP="000F03FC">
    <w:pPr>
      <w:spacing w:before="120"/>
      <w:rPr>
        <w:rFonts w:ascii="Arial" w:hAnsi="Arial" w:cs="Arial"/>
        <w:sz w:val="14"/>
      </w:rPr>
    </w:pPr>
    <w:r w:rsidRPr="000F03FC">
      <w:rPr>
        <w:rFonts w:ascii="Arial" w:hAnsi="Arial" w:cs="Arial"/>
        <w:noProof/>
        <w:sz w:val="14"/>
        <w:lang w:eastAsia="en-AU"/>
      </w:rPr>
      <mc:AlternateContent>
        <mc:Choice Requires="wps">
          <w:drawing>
            <wp:anchor distT="0" distB="0" distL="114300" distR="114300" simplePos="0" relativeHeight="251660288" behindDoc="1" locked="0" layoutInCell="1" allowOverlap="1" wp14:anchorId="573155FA" wp14:editId="1ABC351C">
              <wp:simplePos x="0" y="0"/>
              <wp:positionH relativeFrom="column">
                <wp:align>center</wp:align>
              </wp:positionH>
              <wp:positionV relativeFrom="page">
                <wp:posOffset>10223500</wp:posOffset>
              </wp:positionV>
              <wp:extent cx="4410075" cy="3429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342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C6BE7" w:rsidRPr="00C65D65" w:rsidRDefault="001C6BE7" w:rsidP="00C65D65">
                          <w:pPr>
                            <w:jc w:val="center"/>
                            <w:rPr>
                              <w:rFonts w:ascii="Arial" w:hAnsi="Arial" w:cs="Arial"/>
                              <w:b/>
                              <w:sz w:val="40"/>
                            </w:rPr>
                          </w:pPr>
                          <w:r w:rsidRPr="00C65D65">
                            <w:rPr>
                              <w:rFonts w:ascii="Arial" w:hAnsi="Arial" w:cs="Arial"/>
                              <w:b/>
                              <w:sz w:val="40"/>
                            </w:rPr>
                            <w:fldChar w:fldCharType="begin"/>
                          </w:r>
                          <w:r w:rsidRPr="00C65D65">
                            <w:rPr>
                              <w:rFonts w:ascii="Arial" w:hAnsi="Arial" w:cs="Arial"/>
                              <w:b/>
                              <w:sz w:val="40"/>
                            </w:rPr>
                            <w:instrText xml:space="preserve"> DOCPROPERTY  Classification  \* MERGEFORMAT </w:instrText>
                          </w:r>
                          <w:r w:rsidRPr="00C65D65">
                            <w:rPr>
                              <w:rFonts w:ascii="Arial" w:hAnsi="Arial" w:cs="Arial"/>
                              <w:b/>
                              <w:sz w:val="40"/>
                            </w:rPr>
                            <w:fldChar w:fldCharType="separate"/>
                          </w:r>
                          <w:r w:rsidR="000F03FC">
                            <w:rPr>
                              <w:rFonts w:ascii="Arial" w:hAnsi="Arial" w:cs="Arial"/>
                              <w:b/>
                              <w:sz w:val="40"/>
                            </w:rPr>
                            <w:t>DRAFT-IN-CONFIDENCE</w:t>
                          </w:r>
                          <w:r w:rsidRPr="00C65D65">
                            <w:rPr>
                              <w:rFonts w:ascii="Arial" w:hAnsi="Arial" w:cs="Arial"/>
                              <w:b/>
                              <w:sz w:val="40"/>
                            </w:rPr>
                            <w:fldChar w:fldCharType="end"/>
                          </w:r>
                          <w:r w:rsidRPr="00C65D65">
                            <w:rPr>
                              <w:rFonts w:ascii="Arial" w:hAnsi="Arial" w:cs="Arial"/>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431" type="#_x0000_t202" style="position:absolute;margin-left:0;margin-top:805pt;width:347.25pt;height:27pt;z-index:-251656192;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" stroked="f">
              <v:stroke joinstyle="round"/>
              <v:path arrowok="t"/>
              <v:textbox>
                <w:txbxContent>
                  <w:p w:rsidR="001C6BE7" w:rsidRPr="00C65D65" w:rsidRDefault="001C6BE7" w:rsidP="00C65D65">
                    <w:pPr>
                      <w:jc w:val="center"/>
                      <w:rPr>
                        <w:rFonts w:ascii="Arial" w:hAnsi="Arial" w:cs="Arial"/>
                        <w:b/>
                        <w:sz w:val="40"/>
                      </w:rPr>
                    </w:pPr>
                    <w:r w:rsidRPr="00C65D65">
                      <w:rPr>
                        <w:rFonts w:ascii="Arial" w:hAnsi="Arial" w:cs="Arial"/>
                        <w:b/>
                        <w:sz w:val="40"/>
                      </w:rPr>
                      <w:fldChar w:fldCharType="begin"/>
                    </w:r>
                    <w:r w:rsidRPr="00C65D65">
                      <w:rPr>
                        <w:rFonts w:ascii="Arial" w:hAnsi="Arial" w:cs="Arial"/>
                        <w:b/>
                        <w:sz w:val="40"/>
                      </w:rPr>
                      <w:instrText xml:space="preserve"> DOCPROPERTY  Classification  \* MERGEFORMAT </w:instrText>
                    </w:r>
                    <w:r w:rsidRPr="00C65D65">
                      <w:rPr>
                        <w:rFonts w:ascii="Arial" w:hAnsi="Arial" w:cs="Arial"/>
                        <w:b/>
                        <w:sz w:val="40"/>
                      </w:rPr>
                      <w:fldChar w:fldCharType="separate"/>
                    </w:r>
                    <w:r w:rsidR="000F03FC">
                      <w:rPr>
                        <w:rFonts w:ascii="Arial" w:hAnsi="Arial" w:cs="Arial"/>
                        <w:b/>
                        <w:sz w:val="40"/>
                      </w:rPr>
                      <w:t>DRAFT-IN-CONFIDENCE</w:t>
                    </w:r>
                    <w:r w:rsidRPr="00C65D65">
                      <w:rPr>
                        <w:rFonts w:ascii="Arial" w:hAnsi="Arial" w:cs="Arial"/>
                        <w:b/>
                        <w:sz w:val="40"/>
                      </w:rPr>
                      <w:fldChar w:fldCharType="end"/>
                    </w:r>
                    <w:r w:rsidRPr="00C65D65">
                      <w:rPr>
                        <w:rFonts w:ascii="Arial" w:hAnsi="Arial" w:cs="Arial"/>
                        <w:b/>
                        <w:sz w:val="40"/>
                      </w:rPr>
                      <w:t xml:space="preserve"> </w:t>
                    </w:r>
                  </w:p>
                </w:txbxContent>
              </v:textbox>
              <w10:wrap anchory="page"/>
            </v:shape>
          </w:pict>
        </mc:Fallback>
      </mc:AlternateContent>
    </w:r>
    <w:r w:rsidR="000F03FC">
      <w:rPr>
        <w:rFonts w:ascii="Arial" w:hAnsi="Arial" w:cs="Arial"/>
        <w:sz w:val="14"/>
      </w:rPr>
      <w:t>OPC50357</w:t>
    </w:r>
    <w:r w:rsidR="000F03FC" w:rsidRPr="000F03FC">
      <w:rPr>
        <w:rFonts w:ascii="Arial" w:hAnsi="Arial" w:cs="Arial"/>
        <w:sz w:val="14"/>
      </w:rPr>
      <w:t xml:space="preserve"> - 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Pr="00BB4623" w:rsidRDefault="001C6BE7" w:rsidP="00FA3991">
    <w:pPr>
      <w:pStyle w:val="Footer"/>
      <w:tabs>
        <w:tab w:val="clear" w:pos="4153"/>
        <w:tab w:val="clear" w:pos="8306"/>
        <w:tab w:val="center" w:pos="4150"/>
        <w:tab w:val="right" w:pos="8307"/>
      </w:tabs>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BE7" w:rsidRDefault="001C6BE7" w:rsidP="00664C63">
      <w:pPr>
        <w:spacing w:line="240" w:lineRule="auto"/>
      </w:pPr>
      <w:r>
        <w:separator/>
      </w:r>
    </w:p>
  </w:footnote>
  <w:footnote w:type="continuationSeparator" w:id="0">
    <w:p w:rsidR="001C6BE7" w:rsidRDefault="001C6BE7" w:rsidP="00664C63">
      <w:pPr>
        <w:spacing w:line="240" w:lineRule="auto"/>
      </w:pPr>
      <w:r>
        <w:continuationSeparator/>
      </w:r>
    </w:p>
  </w:footnote>
  <w:footnote w:id="1">
    <w:p w:rsidR="001C6BE7" w:rsidRPr="001D3102" w:rsidRDefault="001C6BE7" w:rsidP="006C2E16">
      <w:pPr>
        <w:pStyle w:val="FootnoteText"/>
        <w:rPr>
          <w:sz w:val="18"/>
          <w:szCs w:val="18"/>
        </w:rPr>
      </w:pPr>
      <w:r>
        <w:rPr>
          <w:rStyle w:val="FootnoteReference"/>
        </w:rPr>
        <w:footnoteRef/>
      </w:r>
      <w:r>
        <w:t xml:space="preserve">  </w:t>
      </w:r>
      <w:r w:rsidRPr="001D3102">
        <w:rPr>
          <w:sz w:val="18"/>
          <w:szCs w:val="18"/>
        </w:rPr>
        <w:t>In cases where the LOEC and/or EC</w:t>
      </w:r>
      <w:r w:rsidRPr="001D3102">
        <w:rPr>
          <w:sz w:val="18"/>
          <w:szCs w:val="18"/>
          <w:vertAlign w:val="subscript"/>
        </w:rPr>
        <w:t>30</w:t>
      </w:r>
      <w:r w:rsidRPr="001D3102">
        <w:rPr>
          <w:sz w:val="18"/>
          <w:szCs w:val="18"/>
        </w:rPr>
        <w:t xml:space="preserve"> data are not available but other measures of toxicity are then the latter will be divided by conversion factors to obtain the former (refer to Glossary, Section 2.4.2.1 and Table 8 for further details).</w:t>
      </w:r>
    </w:p>
  </w:footnote>
  <w:footnote w:id="2">
    <w:p w:rsidR="001C6BE7" w:rsidRPr="00676E72" w:rsidRDefault="001C6BE7" w:rsidP="006C2E16">
      <w:pPr>
        <w:pStyle w:val="FootnoteText"/>
        <w:rPr>
          <w:sz w:val="16"/>
          <w:szCs w:val="16"/>
        </w:rPr>
      </w:pPr>
      <w:r w:rsidRPr="00676E72">
        <w:rPr>
          <w:rStyle w:val="FootnoteReference"/>
          <w:sz w:val="16"/>
          <w:szCs w:val="16"/>
        </w:rPr>
        <w:footnoteRef/>
      </w:r>
      <w:r w:rsidRPr="00676E72">
        <w:rPr>
          <w:sz w:val="16"/>
          <w:szCs w:val="16"/>
        </w:rPr>
        <w:t xml:space="preserve"> Protection is provided in terms of the percentage of species and soil microbial processes because the method used to derive EILs is a species sensitivity distribution method.</w:t>
      </w:r>
    </w:p>
  </w:footnote>
  <w:footnote w:id="3">
    <w:p w:rsidR="001C6BE7" w:rsidRDefault="001C6BE7" w:rsidP="006C2E16">
      <w:pPr>
        <w:pStyle w:val="FootnoteText"/>
      </w:pPr>
      <w:r w:rsidRPr="003A37F1">
        <w:rPr>
          <w:rStyle w:val="FootnoteReference"/>
          <w:sz w:val="18"/>
          <w:szCs w:val="18"/>
        </w:rPr>
        <w:footnoteRef/>
      </w:r>
      <w:r w:rsidRPr="003A37F1">
        <w:rPr>
          <w:sz w:val="18"/>
          <w:szCs w:val="18"/>
        </w:rPr>
        <w:t xml:space="preserve"> This occurs because as exposure to a toxicant increases</w:t>
      </w:r>
      <w:r>
        <w:rPr>
          <w:sz w:val="18"/>
          <w:szCs w:val="18"/>
        </w:rPr>
        <w:t>,</w:t>
      </w:r>
      <w:r w:rsidRPr="003A37F1">
        <w:rPr>
          <w:sz w:val="18"/>
          <w:szCs w:val="18"/>
        </w:rPr>
        <w:t xml:space="preserve"> the external ambient concentration needed to cause a toxic effect decreases</w:t>
      </w:r>
      <w:r>
        <w:rPr>
          <w:sz w:val="18"/>
          <w:szCs w:val="18"/>
        </w:rPr>
        <w:t xml:space="preserve">. </w:t>
      </w:r>
    </w:p>
  </w:footnote>
  <w:footnote w:id="4">
    <w:p w:rsidR="001C6BE7" w:rsidRPr="0041080D" w:rsidRDefault="001C6BE7" w:rsidP="006C2E16">
      <w:pPr>
        <w:pStyle w:val="FootnoteText"/>
        <w:rPr>
          <w:sz w:val="18"/>
          <w:szCs w:val="18"/>
        </w:rPr>
      </w:pPr>
      <w:r w:rsidRPr="0041080D">
        <w:rPr>
          <w:rStyle w:val="FootnoteReference"/>
          <w:sz w:val="18"/>
          <w:szCs w:val="18"/>
        </w:rPr>
        <w:footnoteRef/>
      </w:r>
      <w:r w:rsidRPr="0041080D">
        <w:rPr>
          <w:sz w:val="18"/>
          <w:szCs w:val="18"/>
        </w:rPr>
        <w:t xml:space="preserve"> The H can also be expressed on a mass basis (e.g. mg/kg).</w:t>
      </w:r>
    </w:p>
  </w:footnote>
  <w:footnote w:id="5">
    <w:p w:rsidR="001C6BE7" w:rsidRPr="00555AB5" w:rsidRDefault="001C6BE7" w:rsidP="006C2E16">
      <w:pPr>
        <w:pStyle w:val="FootnoteText"/>
        <w:rPr>
          <w:sz w:val="18"/>
          <w:szCs w:val="18"/>
        </w:rPr>
      </w:pPr>
      <w:r w:rsidRPr="00555AB5">
        <w:rPr>
          <w:rStyle w:val="FootnoteReference"/>
          <w:sz w:val="18"/>
          <w:szCs w:val="18"/>
        </w:rPr>
        <w:footnoteRef/>
      </w:r>
      <w:r w:rsidRPr="00555AB5">
        <w:rPr>
          <w:sz w:val="18"/>
          <w:szCs w:val="18"/>
        </w:rPr>
        <w:t xml:space="preserve"> The Australasian Ecotoxicology Database is in the process of being placed on the CSIRO website. It should be available in 2011.</w:t>
      </w:r>
    </w:p>
  </w:footnote>
  <w:footnote w:id="6">
    <w:p w:rsidR="001C6BE7" w:rsidRDefault="001C6BE7" w:rsidP="006C2E16">
      <w:pPr>
        <w:pStyle w:val="FootnoteText"/>
      </w:pPr>
      <w:r w:rsidRPr="00F67D3F">
        <w:rPr>
          <w:rStyle w:val="FootnoteReference"/>
          <w:sz w:val="18"/>
          <w:szCs w:val="18"/>
        </w:rPr>
        <w:footnoteRef/>
      </w:r>
      <w:r w:rsidRPr="00F67D3F">
        <w:rPr>
          <w:sz w:val="18"/>
          <w:szCs w:val="18"/>
        </w:rPr>
        <w:t xml:space="preserve"> This is done by comparing values predicted by the non-Australian normalisation relationships to Australian toxicity data.</w:t>
      </w:r>
    </w:p>
  </w:footnote>
  <w:footnote w:id="7">
    <w:p w:rsidR="001C6BE7" w:rsidRPr="006A3B79" w:rsidRDefault="001C6BE7" w:rsidP="006C2E16">
      <w:pPr>
        <w:rPr>
          <w:b/>
          <w:bCs/>
          <w:sz w:val="18"/>
          <w:szCs w:val="18"/>
        </w:rPr>
      </w:pPr>
      <w:r w:rsidRPr="006A3B79">
        <w:rPr>
          <w:rStyle w:val="FootnoteReference"/>
          <w:sz w:val="18"/>
          <w:szCs w:val="18"/>
        </w:rPr>
        <w:footnoteRef/>
      </w:r>
      <w:r w:rsidRPr="006A3B79">
        <w:rPr>
          <w:sz w:val="18"/>
          <w:szCs w:val="18"/>
        </w:rPr>
        <w:t xml:space="preserve"> The geometric mean is analogous to the normal arithmetic mean except that the values are logged before summing and being divided by the number of data points. The value is then anti-logged to provide the geometric mean. The formula for this is </w:t>
      </w:r>
    </w:p>
    <w:p w:rsidR="001C6BE7" w:rsidRPr="006A3B79" w:rsidRDefault="001C6BE7" w:rsidP="006C2E16">
      <w:pPr>
        <w:rPr>
          <w:b/>
          <w:bCs/>
          <w:sz w:val="18"/>
          <w:szCs w:val="18"/>
        </w:rPr>
      </w:pPr>
      <w:r w:rsidRPr="006A3B79">
        <w:rPr>
          <w:sz w:val="18"/>
          <w:szCs w:val="18"/>
        </w:rPr>
        <w:t>Geometric mean = anti-log [(logA + log B +…..logN)/n]</w:t>
      </w:r>
      <w:r w:rsidRPr="006A3B79">
        <w:rPr>
          <w:sz w:val="18"/>
          <w:szCs w:val="18"/>
        </w:rPr>
        <w:tab/>
      </w:r>
      <w:r w:rsidRPr="006A3B79">
        <w:rPr>
          <w:sz w:val="18"/>
          <w:szCs w:val="18"/>
        </w:rPr>
        <w:tab/>
      </w:r>
      <w:r w:rsidRPr="006A3B79">
        <w:rPr>
          <w:sz w:val="18"/>
          <w:szCs w:val="18"/>
        </w:rPr>
        <w:tab/>
      </w:r>
      <w:r w:rsidRPr="006A3B79">
        <w:rPr>
          <w:sz w:val="18"/>
          <w:szCs w:val="18"/>
        </w:rPr>
        <w:tab/>
      </w:r>
      <w:r>
        <w:rPr>
          <w:sz w:val="18"/>
          <w:szCs w:val="18"/>
        </w:rPr>
        <w:tab/>
      </w:r>
      <w:r w:rsidRPr="006A3B79">
        <w:rPr>
          <w:i/>
          <w:iCs/>
          <w:sz w:val="18"/>
          <w:szCs w:val="18"/>
        </w:rPr>
        <w:t>(eq</w:t>
      </w:r>
      <w:r>
        <w:rPr>
          <w:i/>
          <w:iCs/>
          <w:sz w:val="18"/>
          <w:szCs w:val="18"/>
        </w:rPr>
        <w:t>uation</w:t>
      </w:r>
      <w:r w:rsidRPr="006A3B79">
        <w:rPr>
          <w:i/>
          <w:iCs/>
          <w:sz w:val="18"/>
          <w:szCs w:val="18"/>
        </w:rPr>
        <w:t xml:space="preserve"> 1</w:t>
      </w:r>
      <w:r>
        <w:rPr>
          <w:i/>
          <w:iCs/>
          <w:sz w:val="18"/>
          <w:szCs w:val="18"/>
        </w:rPr>
        <w:t>3</w:t>
      </w:r>
      <w:r w:rsidRPr="006A3B79">
        <w:rPr>
          <w:i/>
          <w:iCs/>
          <w:sz w:val="18"/>
          <w:szCs w:val="18"/>
        </w:rPr>
        <w:t>)</w:t>
      </w:r>
    </w:p>
    <w:p w:rsidR="001C6BE7" w:rsidRPr="006A3B79" w:rsidRDefault="001C6BE7" w:rsidP="006C2E16">
      <w:pPr>
        <w:rPr>
          <w:b/>
          <w:bCs/>
          <w:sz w:val="18"/>
          <w:szCs w:val="18"/>
        </w:rPr>
      </w:pPr>
      <w:r w:rsidRPr="006A3B79">
        <w:rPr>
          <w:sz w:val="18"/>
          <w:szCs w:val="18"/>
        </w:rPr>
        <w:t>In determining the geometric mean the data can be logged to any base (e.g. log</w:t>
      </w:r>
      <w:r w:rsidRPr="006A3B79">
        <w:rPr>
          <w:sz w:val="18"/>
          <w:szCs w:val="18"/>
          <w:vertAlign w:val="subscript"/>
        </w:rPr>
        <w:t>10</w:t>
      </w:r>
      <w:r w:rsidRPr="006A3B79">
        <w:rPr>
          <w:sz w:val="18"/>
          <w:szCs w:val="18"/>
        </w:rPr>
        <w:t>, log</w:t>
      </w:r>
      <w:r w:rsidRPr="006A3B79">
        <w:rPr>
          <w:sz w:val="18"/>
          <w:szCs w:val="18"/>
          <w:vertAlign w:val="subscript"/>
        </w:rPr>
        <w:t>2</w:t>
      </w:r>
      <w:r w:rsidRPr="006A3B79">
        <w:rPr>
          <w:sz w:val="18"/>
          <w:szCs w:val="18"/>
        </w:rPr>
        <w:t xml:space="preserve"> or the natural log</w:t>
      </w:r>
      <w:r w:rsidRPr="00853B2F">
        <w:rPr>
          <w:sz w:val="18"/>
          <w:szCs w:val="18"/>
        </w:rPr>
        <w:t xml:space="preserve">) as long </w:t>
      </w:r>
      <w:r>
        <w:rPr>
          <w:sz w:val="18"/>
          <w:szCs w:val="18"/>
        </w:rPr>
        <w:t xml:space="preserve">as </w:t>
      </w:r>
      <w:r w:rsidRPr="00853B2F">
        <w:rPr>
          <w:sz w:val="18"/>
          <w:szCs w:val="18"/>
        </w:rPr>
        <w:t xml:space="preserve">the same base is used throughout equation </w:t>
      </w:r>
      <w:r>
        <w:rPr>
          <w:sz w:val="18"/>
          <w:szCs w:val="18"/>
        </w:rPr>
        <w:t>13</w:t>
      </w:r>
      <w:r w:rsidRPr="00853B2F">
        <w:rPr>
          <w:sz w:val="18"/>
          <w:szCs w:val="18"/>
        </w:rPr>
        <w:t>.</w:t>
      </w:r>
    </w:p>
    <w:p w:rsidR="001C6BE7" w:rsidRPr="006A3B79" w:rsidRDefault="001C6BE7" w:rsidP="006C2E16">
      <w:pPr>
        <w:rPr>
          <w:b/>
          <w:bCs/>
          <w:sz w:val="18"/>
          <w:szCs w:val="18"/>
        </w:rPr>
      </w:pPr>
      <w:r w:rsidRPr="006A3B79">
        <w:rPr>
          <w:sz w:val="18"/>
          <w:szCs w:val="18"/>
        </w:rPr>
        <w:t>The reason for using the geometric mean rather than the arithmetic mean is that the geometric mean is not affected as much by extremely low or high values. For example, the geometric and arithmetic means of a data</w:t>
      </w:r>
      <w:r>
        <w:rPr>
          <w:sz w:val="18"/>
          <w:szCs w:val="18"/>
        </w:rPr>
        <w:t xml:space="preserve"> </w:t>
      </w:r>
      <w:r w:rsidRPr="006A3B79">
        <w:rPr>
          <w:sz w:val="18"/>
          <w:szCs w:val="18"/>
        </w:rPr>
        <w:t>set consisting of 10, 25, 40 are 21.5 and 25 respectively. If a value of 400 was added to the same data</w:t>
      </w:r>
      <w:r>
        <w:rPr>
          <w:sz w:val="18"/>
          <w:szCs w:val="18"/>
        </w:rPr>
        <w:t xml:space="preserve"> </w:t>
      </w:r>
      <w:r w:rsidRPr="006A3B79">
        <w:rPr>
          <w:sz w:val="18"/>
          <w:szCs w:val="18"/>
        </w:rPr>
        <w:t>set then the geometric and arithmetic means would be 45 and 119 respectively.</w:t>
      </w:r>
    </w:p>
    <w:p w:rsidR="001C6BE7" w:rsidRDefault="001C6BE7" w:rsidP="006C2E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Default="001C6B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Default="001C6B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Default="001C6B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Default="001C6B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Default="001C6B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Pr="00BB4623" w:rsidRDefault="001C6BE7" w:rsidP="00664C63">
    <w:pPr>
      <w:rPr>
        <w:sz w:val="24"/>
      </w:rPr>
    </w:pPr>
  </w:p>
  <w:p w:rsidR="001C6BE7" w:rsidRPr="00BB4623" w:rsidRDefault="001C6BE7" w:rsidP="00664C63">
    <w:pPr>
      <w:pBdr>
        <w:bottom w:val="single" w:sz="6" w:space="1" w:color="auto"/>
      </w:pBdr>
      <w:rPr>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Pr="00BB4623" w:rsidRDefault="001C6BE7" w:rsidP="00664C63">
    <w:pPr>
      <w:jc w:val="right"/>
      <w:rPr>
        <w:sz w:val="24"/>
      </w:rPr>
    </w:pPr>
    <w:r>
      <w:rPr>
        <w:noProof/>
        <w:sz w:val="24"/>
        <w:lang w:eastAsia="en-AU"/>
      </w:rPr>
      <mc:AlternateContent>
        <mc:Choice Requires="wps">
          <w:drawing>
            <wp:anchor distT="0" distB="0" distL="114300" distR="114300" simplePos="0" relativeHeight="251659264" behindDoc="1" locked="0" layoutInCell="1" allowOverlap="1" wp14:anchorId="031BFBCE" wp14:editId="6397BC4A">
              <wp:simplePos x="0" y="0"/>
              <wp:positionH relativeFrom="column">
                <wp:align>center</wp:align>
              </wp:positionH>
              <wp:positionV relativeFrom="page">
                <wp:posOffset>143510</wp:posOffset>
              </wp:positionV>
              <wp:extent cx="4410075" cy="34290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342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C6BE7" w:rsidRPr="00C65D65" w:rsidRDefault="001C6BE7" w:rsidP="00C65D65">
                          <w:pPr>
                            <w:jc w:val="center"/>
                            <w:rPr>
                              <w:rFonts w:ascii="Arial" w:hAnsi="Arial" w:cs="Arial"/>
                              <w:b/>
                              <w:sz w:val="40"/>
                            </w:rPr>
                          </w:pPr>
                          <w:r w:rsidRPr="00C65D65">
                            <w:rPr>
                              <w:rFonts w:ascii="Arial" w:hAnsi="Arial" w:cs="Arial"/>
                              <w:b/>
                              <w:sz w:val="40"/>
                            </w:rPr>
                            <w:fldChar w:fldCharType="begin"/>
                          </w:r>
                          <w:r w:rsidRPr="00C65D65">
                            <w:rPr>
                              <w:rFonts w:ascii="Arial" w:hAnsi="Arial" w:cs="Arial"/>
                              <w:b/>
                              <w:sz w:val="40"/>
                            </w:rPr>
                            <w:instrText xml:space="preserve"> DOCPROPERTY  Classification  \* MERGEFORMAT </w:instrText>
                          </w:r>
                          <w:r w:rsidRPr="00C65D65">
                            <w:rPr>
                              <w:rFonts w:ascii="Arial" w:hAnsi="Arial" w:cs="Arial"/>
                              <w:b/>
                              <w:sz w:val="40"/>
                            </w:rPr>
                            <w:fldChar w:fldCharType="separate"/>
                          </w:r>
                          <w:r w:rsidR="000F03FC">
                            <w:rPr>
                              <w:rFonts w:ascii="Arial" w:hAnsi="Arial" w:cs="Arial"/>
                              <w:b/>
                              <w:sz w:val="40"/>
                            </w:rPr>
                            <w:t>DRAFT-IN-CONFIDENCE</w:t>
                          </w:r>
                          <w:r w:rsidRPr="00C65D65">
                            <w:rPr>
                              <w:rFonts w:ascii="Arial" w:hAnsi="Arial" w:cs="Arial"/>
                              <w:b/>
                              <w:sz w:val="40"/>
                            </w:rPr>
                            <w:fldChar w:fldCharType="end"/>
                          </w:r>
                          <w:r w:rsidRPr="00C65D65">
                            <w:rPr>
                              <w:rFonts w:ascii="Arial" w:hAnsi="Arial" w:cs="Arial"/>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430" type="#_x0000_t202" style="position:absolute;left:0;text-align:left;margin-left:0;margin-top:11.3pt;width:347.25pt;height:27pt;z-index:-251657216;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" stroked="f">
              <v:stroke joinstyle="round"/>
              <v:path arrowok="t"/>
              <v:textbox>
                <w:txbxContent>
                  <w:p w:rsidR="001C6BE7" w:rsidRPr="00C65D65" w:rsidRDefault="001C6BE7" w:rsidP="00C65D65">
                    <w:pPr>
                      <w:jc w:val="center"/>
                      <w:rPr>
                        <w:rFonts w:ascii="Arial" w:hAnsi="Arial" w:cs="Arial"/>
                        <w:b/>
                        <w:sz w:val="40"/>
                      </w:rPr>
                    </w:pPr>
                    <w:r w:rsidRPr="00C65D65">
                      <w:rPr>
                        <w:rFonts w:ascii="Arial" w:hAnsi="Arial" w:cs="Arial"/>
                        <w:b/>
                        <w:sz w:val="40"/>
                      </w:rPr>
                      <w:fldChar w:fldCharType="begin"/>
                    </w:r>
                    <w:r w:rsidRPr="00C65D65">
                      <w:rPr>
                        <w:rFonts w:ascii="Arial" w:hAnsi="Arial" w:cs="Arial"/>
                        <w:b/>
                        <w:sz w:val="40"/>
                      </w:rPr>
                      <w:instrText xml:space="preserve"> DOCPROPERTY  Classification  \* MERGEFORMAT </w:instrText>
                    </w:r>
                    <w:r w:rsidRPr="00C65D65">
                      <w:rPr>
                        <w:rFonts w:ascii="Arial" w:hAnsi="Arial" w:cs="Arial"/>
                        <w:b/>
                        <w:sz w:val="40"/>
                      </w:rPr>
                      <w:fldChar w:fldCharType="separate"/>
                    </w:r>
                    <w:r w:rsidR="000F03FC">
                      <w:rPr>
                        <w:rFonts w:ascii="Arial" w:hAnsi="Arial" w:cs="Arial"/>
                        <w:b/>
                        <w:sz w:val="40"/>
                      </w:rPr>
                      <w:t>DRAFT-IN-CONFIDENCE</w:t>
                    </w:r>
                    <w:r w:rsidRPr="00C65D65">
                      <w:rPr>
                        <w:rFonts w:ascii="Arial" w:hAnsi="Arial" w:cs="Arial"/>
                        <w:b/>
                        <w:sz w:val="40"/>
                      </w:rPr>
                      <w:fldChar w:fldCharType="end"/>
                    </w:r>
                    <w:r w:rsidRPr="00C65D65">
                      <w:rPr>
                        <w:rFonts w:ascii="Arial" w:hAnsi="Arial" w:cs="Arial"/>
                        <w:b/>
                        <w:sz w:val="40"/>
                      </w:rPr>
                      <w:t xml:space="preserve"> </w:t>
                    </w:r>
                  </w:p>
                </w:txbxContent>
              </v:textbox>
              <w10:wrap anchory="page"/>
            </v:shape>
          </w:pict>
        </mc:Fallback>
      </mc:AlternateContent>
    </w:r>
  </w:p>
  <w:p w:rsidR="001C6BE7" w:rsidRPr="00BB4623" w:rsidRDefault="001C6BE7" w:rsidP="00664C63">
    <w:pPr>
      <w:pBdr>
        <w:bottom w:val="single" w:sz="6" w:space="1" w:color="auto"/>
      </w:pBdr>
      <w:jc w:val="right"/>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BE7" w:rsidRPr="00BB4623" w:rsidRDefault="001C6BE7" w:rsidP="00664C63">
    <w:pPr>
      <w:pStyle w:val="Header"/>
      <w:tabs>
        <w:tab w:val="clear" w:pos="4150"/>
        <w:tab w:val="clear" w:pos="830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F20"/>
    <w:multiLevelType w:val="hybridMultilevel"/>
    <w:tmpl w:val="F3209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28D7EA8"/>
    <w:multiLevelType w:val="hybridMultilevel"/>
    <w:tmpl w:val="692061D8"/>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
    <w:nsid w:val="031E54B5"/>
    <w:multiLevelType w:val="hybridMultilevel"/>
    <w:tmpl w:val="FC2A9D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7C0142E"/>
    <w:multiLevelType w:val="hybridMultilevel"/>
    <w:tmpl w:val="CB540648"/>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4">
    <w:nsid w:val="12404587"/>
    <w:multiLevelType w:val="hybridMultilevel"/>
    <w:tmpl w:val="34203D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4F52B90"/>
    <w:multiLevelType w:val="hybridMultilevel"/>
    <w:tmpl w:val="938E43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6F451F6"/>
    <w:multiLevelType w:val="hybridMultilevel"/>
    <w:tmpl w:val="29029E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FA820C3"/>
    <w:multiLevelType w:val="hybridMultilevel"/>
    <w:tmpl w:val="0AC21E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39425C5"/>
    <w:multiLevelType w:val="multilevel"/>
    <w:tmpl w:val="86F279C8"/>
    <w:styleLink w:val="111111"/>
    <w:lvl w:ilvl="0">
      <w:start w:val="2"/>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
    <w:nsid w:val="23DF5F49"/>
    <w:multiLevelType w:val="hybridMultilevel"/>
    <w:tmpl w:val="89EA60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7157DBB"/>
    <w:multiLevelType w:val="singleLevel"/>
    <w:tmpl w:val="7278FBC6"/>
    <w:lvl w:ilvl="0">
      <w:start w:val="1"/>
      <w:numFmt w:val="lowerRoman"/>
      <w:pStyle w:val="DotpointiCONSITES"/>
      <w:lvlText w:val="(%1)"/>
      <w:lvlJc w:val="left"/>
      <w:pPr>
        <w:tabs>
          <w:tab w:val="num" w:pos="720"/>
        </w:tabs>
        <w:ind w:left="360" w:hanging="360"/>
      </w:pPr>
    </w:lvl>
  </w:abstractNum>
  <w:abstractNum w:abstractNumId="11">
    <w:nsid w:val="2CE86FCE"/>
    <w:multiLevelType w:val="hybridMultilevel"/>
    <w:tmpl w:val="10E80CDA"/>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12">
    <w:nsid w:val="34BE2D2C"/>
    <w:multiLevelType w:val="hybridMultilevel"/>
    <w:tmpl w:val="7F2A0184"/>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13">
    <w:nsid w:val="351345D1"/>
    <w:multiLevelType w:val="hybridMultilevel"/>
    <w:tmpl w:val="3034AF90"/>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14">
    <w:nsid w:val="38683DC4"/>
    <w:multiLevelType w:val="hybridMultilevel"/>
    <w:tmpl w:val="8ED28952"/>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15">
    <w:nsid w:val="397736F5"/>
    <w:multiLevelType w:val="multilevel"/>
    <w:tmpl w:val="B504DD70"/>
    <w:lvl w:ilvl="0">
      <w:start w:val="1"/>
      <w:numFmt w:val="decimal"/>
      <w:lvlText w:val="%1."/>
      <w:lvlJc w:val="left"/>
      <w:pPr>
        <w:tabs>
          <w:tab w:val="num" w:pos="360"/>
        </w:tabs>
        <w:ind w:left="360" w:hanging="360"/>
      </w:pPr>
      <w:rPr>
        <w:rFonts w:hint="default"/>
        <w:b w:val="0"/>
        <w:bCs w:val="0"/>
        <w:i w:val="0"/>
        <w:iCs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7">
    <w:nsid w:val="3BB26458"/>
    <w:multiLevelType w:val="multilevel"/>
    <w:tmpl w:val="085C0706"/>
    <w:lvl w:ilvl="0">
      <w:start w:val="1"/>
      <w:numFmt w:val="decimal"/>
      <w:pStyle w:val="OutlineLev1"/>
      <w:lvlText w:val="%1."/>
      <w:lvlJc w:val="left"/>
      <w:pPr>
        <w:tabs>
          <w:tab w:val="num" w:pos="360"/>
        </w:tabs>
        <w:ind w:left="360" w:hanging="360"/>
      </w:pPr>
      <w:rPr>
        <w:rFonts w:ascii="Book Antiqua" w:hAnsi="Book Antiqua" w:cs="Book Antiqua" w:hint="default"/>
        <w:b w:val="0"/>
        <w:bCs w:val="0"/>
        <w:i w:val="0"/>
        <w:iCs w:val="0"/>
        <w:sz w:val="24"/>
        <w:szCs w:val="24"/>
      </w:rPr>
    </w:lvl>
    <w:lvl w:ilvl="1">
      <w:start w:val="1"/>
      <w:numFmt w:val="bullet"/>
      <w:pStyle w:val="OutlineLev2"/>
      <w:lvlText w:val=""/>
      <w:lvlJc w:val="left"/>
      <w:pPr>
        <w:tabs>
          <w:tab w:val="num" w:pos="720"/>
        </w:tabs>
        <w:ind w:left="720" w:hanging="360"/>
      </w:pPr>
      <w:rPr>
        <w:rFonts w:ascii="Symbol" w:hAnsi="Symbol" w:cs="Symbol" w:hint="default"/>
        <w:color w:val="auto"/>
        <w:sz w:val="16"/>
        <w:szCs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42911A0"/>
    <w:multiLevelType w:val="hybridMultilevel"/>
    <w:tmpl w:val="C8367224"/>
    <w:lvl w:ilvl="0" w:tplc="FFFFFFF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cs="Symbol"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9">
    <w:nsid w:val="469E57C3"/>
    <w:multiLevelType w:val="hybridMultilevel"/>
    <w:tmpl w:val="450E86AA"/>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0">
    <w:nsid w:val="47E31FB5"/>
    <w:multiLevelType w:val="multilevel"/>
    <w:tmpl w:val="64849FF0"/>
    <w:lvl w:ilvl="0">
      <w:start w:val="1"/>
      <w:numFmt w:val="decimal"/>
      <w:lvlText w:val="(%1)"/>
      <w:lvlJc w:val="left"/>
      <w:pPr>
        <w:tabs>
          <w:tab w:val="num" w:pos="360"/>
        </w:tabs>
        <w:ind w:left="360" w:hanging="360"/>
      </w:pPr>
      <w:rPr>
        <w:rFonts w:hint="default"/>
        <w:color w:val="auto"/>
        <w:sz w:val="18"/>
        <w:szCs w:val="18"/>
      </w:rPr>
    </w:lvl>
    <w:lvl w:ilvl="1">
      <w:start w:val="1"/>
      <w:numFmt w:val="bullet"/>
      <w:lvlText w:val=""/>
      <w:lvlJc w:val="left"/>
      <w:pPr>
        <w:tabs>
          <w:tab w:val="num" w:pos="720"/>
        </w:tabs>
        <w:ind w:left="720" w:hanging="360"/>
      </w:pPr>
      <w:rPr>
        <w:rFonts w:ascii="Symbol" w:hAnsi="Symbol" w:cs="Symbol" w:hint="default"/>
        <w:color w:val="auto"/>
        <w:sz w:val="16"/>
        <w:szCs w:val="16"/>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B900615"/>
    <w:multiLevelType w:val="hybridMultilevel"/>
    <w:tmpl w:val="0CC068F4"/>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2">
    <w:nsid w:val="4DE928C0"/>
    <w:multiLevelType w:val="multilevel"/>
    <w:tmpl w:val="B504DD70"/>
    <w:lvl w:ilvl="0">
      <w:start w:val="1"/>
      <w:numFmt w:val="decimal"/>
      <w:lvlText w:val="%1."/>
      <w:lvlJc w:val="left"/>
      <w:pPr>
        <w:tabs>
          <w:tab w:val="num" w:pos="360"/>
        </w:tabs>
        <w:ind w:left="360" w:hanging="360"/>
      </w:pPr>
      <w:rPr>
        <w:rFonts w:hint="default"/>
        <w:b w:val="0"/>
        <w:bCs w:val="0"/>
        <w:i w:val="0"/>
        <w:iCs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03709F9"/>
    <w:multiLevelType w:val="hybridMultilevel"/>
    <w:tmpl w:val="81143E54"/>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4">
    <w:nsid w:val="525F5FE3"/>
    <w:multiLevelType w:val="hybridMultilevel"/>
    <w:tmpl w:val="AA761644"/>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5">
    <w:nsid w:val="52FE10B0"/>
    <w:multiLevelType w:val="hybridMultilevel"/>
    <w:tmpl w:val="D88E6A22"/>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6">
    <w:nsid w:val="554923A0"/>
    <w:multiLevelType w:val="hybridMultilevel"/>
    <w:tmpl w:val="EAE6324A"/>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7">
    <w:nsid w:val="57FA6170"/>
    <w:multiLevelType w:val="hybridMultilevel"/>
    <w:tmpl w:val="B638FCEC"/>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8">
    <w:nsid w:val="5937661F"/>
    <w:multiLevelType w:val="hybridMultilevel"/>
    <w:tmpl w:val="DDD01A42"/>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9">
    <w:nsid w:val="59B66454"/>
    <w:multiLevelType w:val="hybridMultilevel"/>
    <w:tmpl w:val="81AABB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29C4473"/>
    <w:multiLevelType w:val="multilevel"/>
    <w:tmpl w:val="F39E89CC"/>
    <w:lvl w:ilvl="0">
      <w:start w:val="1"/>
      <w:numFmt w:val="decimal"/>
      <w:pStyle w:val="Heading1"/>
      <w:lvlText w:val="%1"/>
      <w:lvlJc w:val="left"/>
      <w:pPr>
        <w:tabs>
          <w:tab w:val="num" w:pos="720"/>
        </w:tabs>
        <w:ind w:left="720" w:hanging="720"/>
      </w:pPr>
      <w:rPr>
        <w:rFonts w:ascii="Book Antiqua" w:hAnsi="Book Antiqua" w:cs="Book Antiqua" w:hint="default"/>
        <w:b/>
        <w:bCs/>
        <w:i w:val="0"/>
        <w:iCs w:val="0"/>
        <w:sz w:val="32"/>
        <w:szCs w:val="32"/>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bCs/>
        <w:i w:val="0"/>
        <w:iCs w:val="0"/>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nsid w:val="63F61487"/>
    <w:multiLevelType w:val="hybridMultilevel"/>
    <w:tmpl w:val="7680A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40F602C"/>
    <w:multiLevelType w:val="hybridMultilevel"/>
    <w:tmpl w:val="6C64B36E"/>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33">
    <w:nsid w:val="684B4745"/>
    <w:multiLevelType w:val="multilevel"/>
    <w:tmpl w:val="88E40C24"/>
    <w:lvl w:ilvl="0">
      <w:start w:val="1"/>
      <w:numFmt w:val="lowerRoman"/>
      <w:lvlText w:val="(%1)"/>
      <w:lvlJc w:val="left"/>
      <w:pPr>
        <w:tabs>
          <w:tab w:val="num" w:pos="1080"/>
        </w:tabs>
        <w:ind w:left="360" w:hanging="360"/>
      </w:pPr>
    </w:lvl>
    <w:lvl w:ilvl="1">
      <w:start w:val="1"/>
      <w:numFmt w:val="bullet"/>
      <w:pStyle w:val="Dotpoint2ndCONSITES"/>
      <w:lvlText w:val=""/>
      <w:lvlJc w:val="left"/>
      <w:pPr>
        <w:tabs>
          <w:tab w:val="num" w:pos="720"/>
        </w:tabs>
        <w:ind w:left="720" w:hanging="360"/>
      </w:pPr>
      <w:rPr>
        <w:rFonts w:ascii="Symbol" w:hAnsi="Symbol" w:cs="Symbol" w:hint="default"/>
        <w:color w:val="auto"/>
        <w:sz w:val="16"/>
        <w:szCs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8F66748"/>
    <w:multiLevelType w:val="multilevel"/>
    <w:tmpl w:val="B504DD70"/>
    <w:lvl w:ilvl="0">
      <w:start w:val="1"/>
      <w:numFmt w:val="decimal"/>
      <w:lvlText w:val="%1."/>
      <w:lvlJc w:val="left"/>
      <w:pPr>
        <w:tabs>
          <w:tab w:val="num" w:pos="360"/>
        </w:tabs>
        <w:ind w:left="360" w:hanging="360"/>
      </w:pPr>
      <w:rPr>
        <w:rFonts w:hint="default"/>
        <w:b w:val="0"/>
        <w:bCs w:val="0"/>
        <w:i w:val="0"/>
        <w:iCs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9FA56F4"/>
    <w:multiLevelType w:val="hybridMultilevel"/>
    <w:tmpl w:val="100E641C"/>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36">
    <w:nsid w:val="6D6C1FDB"/>
    <w:multiLevelType w:val="hybridMultilevel"/>
    <w:tmpl w:val="B462996C"/>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37">
    <w:nsid w:val="6DBC1992"/>
    <w:multiLevelType w:val="hybridMultilevel"/>
    <w:tmpl w:val="8FD09F40"/>
    <w:lvl w:ilvl="0" w:tplc="FFFFFFFF">
      <w:start w:val="1"/>
      <w:numFmt w:val="bullet"/>
      <w:pStyle w:val="ListBullet"/>
      <w:lvlText w:val=""/>
      <w:lvlJc w:val="left"/>
      <w:pPr>
        <w:tabs>
          <w:tab w:val="num" w:pos="360"/>
        </w:tabs>
        <w:ind w:left="36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8">
    <w:nsid w:val="754F19AA"/>
    <w:multiLevelType w:val="multilevel"/>
    <w:tmpl w:val="B504DD70"/>
    <w:lvl w:ilvl="0">
      <w:start w:val="1"/>
      <w:numFmt w:val="decimal"/>
      <w:lvlText w:val="%1."/>
      <w:lvlJc w:val="left"/>
      <w:pPr>
        <w:tabs>
          <w:tab w:val="num" w:pos="360"/>
        </w:tabs>
        <w:ind w:left="360" w:hanging="360"/>
      </w:pPr>
      <w:rPr>
        <w:rFonts w:hint="default"/>
        <w:b w:val="0"/>
        <w:bCs w:val="0"/>
        <w:i w:val="0"/>
        <w:iCs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8A22BB8"/>
    <w:multiLevelType w:val="hybridMultilevel"/>
    <w:tmpl w:val="3CCA6F6C"/>
    <w:lvl w:ilvl="0" w:tplc="FFFFFFFF">
      <w:start w:val="1"/>
      <w:numFmt w:val="decimal"/>
      <w:pStyle w:val="Numberedlist"/>
      <w:lvlText w:val="%1."/>
      <w:lvlJc w:val="left"/>
      <w:pPr>
        <w:tabs>
          <w:tab w:val="num" w:pos="570"/>
        </w:tabs>
        <w:ind w:left="570" w:hanging="57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0">
    <w:nsid w:val="7F872864"/>
    <w:multiLevelType w:val="hybridMultilevel"/>
    <w:tmpl w:val="6DF26F18"/>
    <w:lvl w:ilvl="0" w:tplc="0C090001">
      <w:start w:val="1"/>
      <w:numFmt w:val="bullet"/>
      <w:lvlText w:val=""/>
      <w:lvlJc w:val="left"/>
      <w:pPr>
        <w:tabs>
          <w:tab w:val="num" w:pos="360"/>
        </w:tabs>
        <w:ind w:left="360" w:hanging="360"/>
      </w:pPr>
      <w:rPr>
        <w:rFonts w:ascii="Symbol" w:hAnsi="Symbol" w:cs="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num w:numId="1">
    <w:abstractNumId w:val="16"/>
  </w:num>
  <w:num w:numId="2">
    <w:abstractNumId w:val="33"/>
  </w:num>
  <w:num w:numId="3">
    <w:abstractNumId w:val="10"/>
  </w:num>
  <w:num w:numId="4">
    <w:abstractNumId w:val="20"/>
  </w:num>
  <w:num w:numId="5">
    <w:abstractNumId w:val="30"/>
  </w:num>
  <w:num w:numId="6">
    <w:abstractNumId w:val="17"/>
  </w:num>
  <w:num w:numId="7">
    <w:abstractNumId w:val="39"/>
  </w:num>
  <w:num w:numId="8">
    <w:abstractNumId w:val="34"/>
  </w:num>
  <w:num w:numId="9">
    <w:abstractNumId w:val="18"/>
  </w:num>
  <w:num w:numId="10">
    <w:abstractNumId w:val="38"/>
  </w:num>
  <w:num w:numId="11">
    <w:abstractNumId w:val="37"/>
  </w:num>
  <w:num w:numId="12">
    <w:abstractNumId w:val="8"/>
  </w:num>
  <w:num w:numId="13">
    <w:abstractNumId w:val="15"/>
  </w:num>
  <w:num w:numId="14">
    <w:abstractNumId w:val="22"/>
  </w:num>
  <w:num w:numId="15">
    <w:abstractNumId w:val="36"/>
  </w:num>
  <w:num w:numId="16">
    <w:abstractNumId w:val="11"/>
  </w:num>
  <w:num w:numId="17">
    <w:abstractNumId w:val="35"/>
  </w:num>
  <w:num w:numId="18">
    <w:abstractNumId w:val="12"/>
  </w:num>
  <w:num w:numId="19">
    <w:abstractNumId w:val="21"/>
  </w:num>
  <w:num w:numId="20">
    <w:abstractNumId w:val="27"/>
  </w:num>
  <w:num w:numId="21">
    <w:abstractNumId w:val="13"/>
  </w:num>
  <w:num w:numId="22">
    <w:abstractNumId w:val="23"/>
  </w:num>
  <w:num w:numId="23">
    <w:abstractNumId w:val="19"/>
  </w:num>
  <w:num w:numId="24">
    <w:abstractNumId w:val="25"/>
  </w:num>
  <w:num w:numId="25">
    <w:abstractNumId w:val="1"/>
  </w:num>
  <w:num w:numId="26">
    <w:abstractNumId w:val="40"/>
  </w:num>
  <w:num w:numId="27">
    <w:abstractNumId w:val="14"/>
  </w:num>
  <w:num w:numId="28">
    <w:abstractNumId w:val="24"/>
  </w:num>
  <w:num w:numId="29">
    <w:abstractNumId w:val="28"/>
  </w:num>
  <w:num w:numId="30">
    <w:abstractNumId w:val="26"/>
  </w:num>
  <w:num w:numId="31">
    <w:abstractNumId w:val="32"/>
  </w:num>
  <w:num w:numId="32">
    <w:abstractNumId w:val="3"/>
  </w:num>
  <w:num w:numId="33">
    <w:abstractNumId w:val="6"/>
  </w:num>
  <w:num w:numId="34">
    <w:abstractNumId w:val="29"/>
  </w:num>
  <w:num w:numId="35">
    <w:abstractNumId w:val="5"/>
  </w:num>
  <w:num w:numId="36">
    <w:abstractNumId w:val="4"/>
  </w:num>
  <w:num w:numId="37">
    <w:abstractNumId w:val="7"/>
  </w:num>
  <w:num w:numId="38">
    <w:abstractNumId w:val="31"/>
  </w:num>
  <w:num w:numId="39">
    <w:abstractNumId w:val="2"/>
  </w:num>
  <w:num w:numId="40">
    <w:abstractNumId w:val="9"/>
  </w:num>
  <w:num w:numId="41">
    <w:abstractNumId w:val="0"/>
  </w:num>
  <w:num w:numId="42">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E74"/>
    <w:rsid w:val="000136AF"/>
    <w:rsid w:val="00014B9A"/>
    <w:rsid w:val="000279D9"/>
    <w:rsid w:val="0003580B"/>
    <w:rsid w:val="000614BF"/>
    <w:rsid w:val="00087033"/>
    <w:rsid w:val="000D05EF"/>
    <w:rsid w:val="000F03FC"/>
    <w:rsid w:val="000F21C1"/>
    <w:rsid w:val="001016D1"/>
    <w:rsid w:val="0010745C"/>
    <w:rsid w:val="0011206D"/>
    <w:rsid w:val="00145F69"/>
    <w:rsid w:val="00166C2F"/>
    <w:rsid w:val="00180D6F"/>
    <w:rsid w:val="0018435F"/>
    <w:rsid w:val="001929E0"/>
    <w:rsid w:val="001939E1"/>
    <w:rsid w:val="00195382"/>
    <w:rsid w:val="001A6A69"/>
    <w:rsid w:val="001B0F61"/>
    <w:rsid w:val="001C69C4"/>
    <w:rsid w:val="001C6BE7"/>
    <w:rsid w:val="001D3904"/>
    <w:rsid w:val="001E089C"/>
    <w:rsid w:val="001E3590"/>
    <w:rsid w:val="001E7407"/>
    <w:rsid w:val="00240749"/>
    <w:rsid w:val="0024239A"/>
    <w:rsid w:val="00275808"/>
    <w:rsid w:val="002762F0"/>
    <w:rsid w:val="00297ECB"/>
    <w:rsid w:val="002A27A7"/>
    <w:rsid w:val="002D043A"/>
    <w:rsid w:val="002E04F7"/>
    <w:rsid w:val="00313C6F"/>
    <w:rsid w:val="00326C9D"/>
    <w:rsid w:val="003415D3"/>
    <w:rsid w:val="00352B0F"/>
    <w:rsid w:val="00366A72"/>
    <w:rsid w:val="00373DD8"/>
    <w:rsid w:val="003B7F33"/>
    <w:rsid w:val="003D0BFE"/>
    <w:rsid w:val="003D5700"/>
    <w:rsid w:val="004116CD"/>
    <w:rsid w:val="00424CA9"/>
    <w:rsid w:val="0043512F"/>
    <w:rsid w:val="0044291A"/>
    <w:rsid w:val="00476C2B"/>
    <w:rsid w:val="0048541B"/>
    <w:rsid w:val="00496F97"/>
    <w:rsid w:val="00502FF2"/>
    <w:rsid w:val="00516B8D"/>
    <w:rsid w:val="005230DA"/>
    <w:rsid w:val="00537FBC"/>
    <w:rsid w:val="00544DB3"/>
    <w:rsid w:val="005831E8"/>
    <w:rsid w:val="00584811"/>
    <w:rsid w:val="00593AA6"/>
    <w:rsid w:val="00594161"/>
    <w:rsid w:val="00594749"/>
    <w:rsid w:val="00595C7C"/>
    <w:rsid w:val="005B4067"/>
    <w:rsid w:val="005C3F41"/>
    <w:rsid w:val="005E3832"/>
    <w:rsid w:val="00600219"/>
    <w:rsid w:val="00664C63"/>
    <w:rsid w:val="0067781C"/>
    <w:rsid w:val="00677CC2"/>
    <w:rsid w:val="00687E1C"/>
    <w:rsid w:val="0069207B"/>
    <w:rsid w:val="006B0CF5"/>
    <w:rsid w:val="006C2E16"/>
    <w:rsid w:val="006C5791"/>
    <w:rsid w:val="006C7F8C"/>
    <w:rsid w:val="00700B2C"/>
    <w:rsid w:val="00713084"/>
    <w:rsid w:val="00731E00"/>
    <w:rsid w:val="00733107"/>
    <w:rsid w:val="007440B7"/>
    <w:rsid w:val="007715C9"/>
    <w:rsid w:val="00774EDD"/>
    <w:rsid w:val="007757EC"/>
    <w:rsid w:val="007E335B"/>
    <w:rsid w:val="007E6545"/>
    <w:rsid w:val="00830815"/>
    <w:rsid w:val="00856A31"/>
    <w:rsid w:val="008754D0"/>
    <w:rsid w:val="00875BD5"/>
    <w:rsid w:val="008D0EE0"/>
    <w:rsid w:val="00932377"/>
    <w:rsid w:val="009620C2"/>
    <w:rsid w:val="0096680D"/>
    <w:rsid w:val="009A37DE"/>
    <w:rsid w:val="009C1488"/>
    <w:rsid w:val="009F182B"/>
    <w:rsid w:val="00A10D4B"/>
    <w:rsid w:val="00A231E2"/>
    <w:rsid w:val="00A24CB9"/>
    <w:rsid w:val="00A25627"/>
    <w:rsid w:val="00A34A48"/>
    <w:rsid w:val="00A42B81"/>
    <w:rsid w:val="00A6121F"/>
    <w:rsid w:val="00A64912"/>
    <w:rsid w:val="00A708AE"/>
    <w:rsid w:val="00A70A74"/>
    <w:rsid w:val="00AB09A2"/>
    <w:rsid w:val="00AD5641"/>
    <w:rsid w:val="00AE59F7"/>
    <w:rsid w:val="00AE7BD7"/>
    <w:rsid w:val="00B33B3C"/>
    <w:rsid w:val="00B340B6"/>
    <w:rsid w:val="00B90D47"/>
    <w:rsid w:val="00BD5689"/>
    <w:rsid w:val="00BD6B2E"/>
    <w:rsid w:val="00BE719A"/>
    <w:rsid w:val="00BE720A"/>
    <w:rsid w:val="00C255AB"/>
    <w:rsid w:val="00C42BF8"/>
    <w:rsid w:val="00C44F3A"/>
    <w:rsid w:val="00C50043"/>
    <w:rsid w:val="00C65D65"/>
    <w:rsid w:val="00C7573B"/>
    <w:rsid w:val="00CE751B"/>
    <w:rsid w:val="00CF0BB2"/>
    <w:rsid w:val="00CF4975"/>
    <w:rsid w:val="00D13441"/>
    <w:rsid w:val="00D3213F"/>
    <w:rsid w:val="00D70DFB"/>
    <w:rsid w:val="00D766DF"/>
    <w:rsid w:val="00D81E74"/>
    <w:rsid w:val="00DF09AC"/>
    <w:rsid w:val="00E05704"/>
    <w:rsid w:val="00E4146C"/>
    <w:rsid w:val="00E74DC7"/>
    <w:rsid w:val="00E85227"/>
    <w:rsid w:val="00E9136A"/>
    <w:rsid w:val="00ED1A6C"/>
    <w:rsid w:val="00EF2E3A"/>
    <w:rsid w:val="00F078DC"/>
    <w:rsid w:val="00F1779C"/>
    <w:rsid w:val="00F44164"/>
    <w:rsid w:val="00F5076A"/>
    <w:rsid w:val="00F972AA"/>
    <w:rsid w:val="00FA3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0"/>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rsid w:val="001C69C4"/>
    <w:pPr>
      <w:spacing w:line="260" w:lineRule="atLeast"/>
    </w:pPr>
    <w:rPr>
      <w:sz w:val="22"/>
    </w:rPr>
  </w:style>
  <w:style w:type="paragraph" w:styleId="Heading1">
    <w:name w:val="heading 1"/>
    <w:basedOn w:val="text"/>
    <w:next w:val="text"/>
    <w:link w:val="Heading1Char2"/>
    <w:autoRedefine/>
    <w:uiPriority w:val="99"/>
    <w:qFormat/>
    <w:rsid w:val="001C6BE7"/>
    <w:pPr>
      <w:keepNext/>
      <w:pageBreakBefore/>
      <w:numPr>
        <w:numId w:val="5"/>
      </w:numPr>
      <w:tabs>
        <w:tab w:val="clear" w:pos="720"/>
      </w:tabs>
      <w:spacing w:before="0"/>
      <w:ind w:left="709" w:hanging="709"/>
      <w:outlineLvl w:val="0"/>
    </w:pPr>
    <w:rPr>
      <w:b/>
      <w:bCs/>
      <w:kern w:val="28"/>
      <w:sz w:val="32"/>
      <w:szCs w:val="32"/>
    </w:rPr>
  </w:style>
  <w:style w:type="paragraph" w:styleId="Heading2">
    <w:name w:val="heading 2"/>
    <w:basedOn w:val="Heading1"/>
    <w:next w:val="Normal"/>
    <w:link w:val="Heading2Char2"/>
    <w:autoRedefine/>
    <w:uiPriority w:val="99"/>
    <w:qFormat/>
    <w:rsid w:val="006C2E16"/>
    <w:pPr>
      <w:pageBreakBefore w:val="0"/>
      <w:numPr>
        <w:ilvl w:val="1"/>
      </w:numPr>
      <w:tabs>
        <w:tab w:val="clear" w:pos="576"/>
        <w:tab w:val="left" w:pos="709"/>
        <w:tab w:val="left" w:pos="9180"/>
      </w:tabs>
      <w:autoSpaceDE w:val="0"/>
      <w:autoSpaceDN w:val="0"/>
      <w:adjustRightInd w:val="0"/>
      <w:spacing w:before="240" w:after="0"/>
      <w:ind w:left="709" w:hanging="709"/>
      <w:outlineLvl w:val="1"/>
    </w:pPr>
    <w:rPr>
      <w:sz w:val="24"/>
      <w:szCs w:val="24"/>
      <w:lang w:eastAsia="en-US"/>
    </w:rPr>
  </w:style>
  <w:style w:type="paragraph" w:styleId="Heading3">
    <w:name w:val="heading 3"/>
    <w:basedOn w:val="Heading2"/>
    <w:next w:val="Normal"/>
    <w:link w:val="Heading3Char1"/>
    <w:uiPriority w:val="99"/>
    <w:qFormat/>
    <w:rsid w:val="006C2E16"/>
    <w:pPr>
      <w:numPr>
        <w:ilvl w:val="2"/>
      </w:numPr>
      <w:outlineLvl w:val="2"/>
    </w:pPr>
    <w:rPr>
      <w:sz w:val="22"/>
      <w:szCs w:val="22"/>
    </w:rPr>
  </w:style>
  <w:style w:type="paragraph" w:styleId="Heading4">
    <w:name w:val="heading 4"/>
    <w:basedOn w:val="Normal"/>
    <w:next w:val="Normal"/>
    <w:link w:val="Heading4Char1"/>
    <w:autoRedefine/>
    <w:uiPriority w:val="99"/>
    <w:qFormat/>
    <w:rsid w:val="006C2E16"/>
    <w:pPr>
      <w:keepNext/>
      <w:numPr>
        <w:ilvl w:val="3"/>
        <w:numId w:val="5"/>
      </w:numPr>
      <w:tabs>
        <w:tab w:val="left" w:pos="1134"/>
      </w:tabs>
      <w:spacing w:before="120" w:after="120" w:line="240" w:lineRule="auto"/>
      <w:jc w:val="both"/>
      <w:outlineLvl w:val="3"/>
    </w:pPr>
    <w:rPr>
      <w:rFonts w:ascii="Book Antiqua" w:eastAsia="Times New Roman" w:hAnsi="Book Antiqua" w:cs="Book Antiqua"/>
      <w:i/>
      <w:iCs/>
      <w:kern w:val="28"/>
      <w:szCs w:val="22"/>
      <w:lang w:eastAsia="en-AU"/>
    </w:rPr>
  </w:style>
  <w:style w:type="paragraph" w:styleId="Heading5">
    <w:name w:val="heading 5"/>
    <w:basedOn w:val="Normal"/>
    <w:next w:val="Normal"/>
    <w:link w:val="Heading5Char1"/>
    <w:uiPriority w:val="99"/>
    <w:rsid w:val="006C2E16"/>
    <w:pPr>
      <w:keepNext/>
      <w:numPr>
        <w:ilvl w:val="4"/>
        <w:numId w:val="5"/>
      </w:numPr>
      <w:spacing w:before="120" w:after="120" w:line="240" w:lineRule="auto"/>
      <w:ind w:right="-2"/>
      <w:outlineLvl w:val="4"/>
    </w:pPr>
    <w:rPr>
      <w:rFonts w:ascii="Book Antiqua" w:eastAsia="Times New Roman" w:hAnsi="Book Antiqua" w:cs="Book Antiqua"/>
      <w:b/>
      <w:bCs/>
      <w:sz w:val="20"/>
      <w:lang w:eastAsia="en-AU"/>
    </w:rPr>
  </w:style>
  <w:style w:type="paragraph" w:styleId="Heading6">
    <w:name w:val="heading 6"/>
    <w:basedOn w:val="Normal"/>
    <w:next w:val="Normal"/>
    <w:link w:val="Heading6Char1"/>
    <w:uiPriority w:val="99"/>
    <w:rsid w:val="006C2E16"/>
    <w:pPr>
      <w:numPr>
        <w:ilvl w:val="5"/>
        <w:numId w:val="5"/>
      </w:numPr>
      <w:spacing w:before="240" w:after="60" w:line="240" w:lineRule="auto"/>
      <w:jc w:val="both"/>
      <w:outlineLvl w:val="5"/>
    </w:pPr>
    <w:rPr>
      <w:rFonts w:ascii="Book Antiqua" w:eastAsia="Times New Roman" w:hAnsi="Book Antiqua" w:cs="Times New Roman"/>
      <w:i/>
      <w:iCs/>
      <w:szCs w:val="22"/>
      <w:lang w:eastAsia="en-AU"/>
    </w:rPr>
  </w:style>
  <w:style w:type="paragraph" w:styleId="Heading7">
    <w:name w:val="heading 7"/>
    <w:basedOn w:val="Normal"/>
    <w:next w:val="Normal"/>
    <w:link w:val="Heading7Char1"/>
    <w:uiPriority w:val="99"/>
    <w:rsid w:val="006C2E16"/>
    <w:pPr>
      <w:numPr>
        <w:ilvl w:val="6"/>
        <w:numId w:val="5"/>
      </w:numPr>
      <w:spacing w:before="240" w:after="60" w:line="240" w:lineRule="auto"/>
      <w:jc w:val="both"/>
      <w:outlineLvl w:val="6"/>
    </w:pPr>
    <w:rPr>
      <w:rFonts w:ascii="Arial" w:eastAsia="Times New Roman" w:hAnsi="Arial" w:cs="Arial"/>
      <w:sz w:val="20"/>
      <w:lang w:eastAsia="en-AU"/>
    </w:rPr>
  </w:style>
  <w:style w:type="paragraph" w:styleId="Heading8">
    <w:name w:val="heading 8"/>
    <w:basedOn w:val="Normal"/>
    <w:next w:val="Normal"/>
    <w:link w:val="Heading8Char1"/>
    <w:uiPriority w:val="99"/>
    <w:rsid w:val="006C2E16"/>
    <w:pPr>
      <w:numPr>
        <w:ilvl w:val="7"/>
        <w:numId w:val="5"/>
      </w:numPr>
      <w:spacing w:before="240" w:after="60" w:line="240" w:lineRule="auto"/>
      <w:jc w:val="both"/>
      <w:outlineLvl w:val="7"/>
    </w:pPr>
    <w:rPr>
      <w:rFonts w:ascii="Arial" w:eastAsia="Times New Roman" w:hAnsi="Arial" w:cs="Arial"/>
      <w:i/>
      <w:iCs/>
      <w:sz w:val="20"/>
      <w:lang w:eastAsia="en-AU"/>
    </w:rPr>
  </w:style>
  <w:style w:type="paragraph" w:styleId="Heading9">
    <w:name w:val="heading 9"/>
    <w:basedOn w:val="Normal"/>
    <w:next w:val="Normal"/>
    <w:link w:val="Heading9Char1"/>
    <w:uiPriority w:val="99"/>
    <w:rsid w:val="006C2E16"/>
    <w:pPr>
      <w:numPr>
        <w:ilvl w:val="8"/>
        <w:numId w:val="5"/>
      </w:numPr>
      <w:spacing w:before="240" w:after="60" w:line="240" w:lineRule="auto"/>
      <w:jc w:val="both"/>
      <w:outlineLvl w:val="8"/>
    </w:pPr>
    <w:rPr>
      <w:rFonts w:ascii="Arial" w:eastAsia="Times New Roman" w:hAnsi="Arial" w:cs="Arial"/>
      <w:b/>
      <w:bCs/>
      <w:i/>
      <w:iC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D1344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8754D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754D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754D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99"/>
    <w:semiHidden/>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99"/>
    <w:semiHidden/>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99"/>
    <w:semiHidden/>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99"/>
    <w:semiHidden/>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99"/>
    <w:semiHidden/>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664C63"/>
    <w:rPr>
      <w:rFonts w:eastAsia="Times New Roman" w:cs="Times New Roman"/>
      <w:sz w:val="22"/>
      <w:szCs w:val="24"/>
      <w:lang w:eastAsia="en-AU"/>
    </w:rPr>
  </w:style>
  <w:style w:type="character" w:styleId="LineNumber">
    <w:name w:val="line number"/>
    <w:basedOn w:val="OPCCharBase"/>
    <w:uiPriority w:val="99"/>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uiPriority w:val="99"/>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basedOn w:val="DefaultParagraphFont"/>
    <w:uiPriority w:val="99"/>
    <w:rsid w:val="006C2E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uiPriority w:val="99"/>
    <w:rsid w:val="006C2E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9"/>
    <w:rsid w:val="006C2E1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uiPriority w:val="99"/>
    <w:rsid w:val="006C2E1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uiPriority w:val="99"/>
    <w:rsid w:val="006C2E16"/>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uiPriority w:val="99"/>
    <w:rsid w:val="006C2E16"/>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uiPriority w:val="99"/>
    <w:rsid w:val="006C2E1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uiPriority w:val="99"/>
    <w:rsid w:val="006C2E1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uiPriority w:val="99"/>
    <w:rsid w:val="006C2E16"/>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1"/>
    <w:uiPriority w:val="99"/>
    <w:semiHidden/>
    <w:rsid w:val="006C2E16"/>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uiPriority w:val="99"/>
    <w:semiHidden/>
    <w:rsid w:val="006C2E16"/>
    <w:rPr>
      <w:rFonts w:ascii="Tahoma" w:hAnsi="Tahoma" w:cs="Tahoma"/>
      <w:sz w:val="16"/>
      <w:szCs w:val="16"/>
    </w:rPr>
  </w:style>
  <w:style w:type="paragraph" w:customStyle="1" w:styleId="DotpointCONSITES">
    <w:name w:val="Dotpoint CON SITES"/>
    <w:basedOn w:val="Normal"/>
    <w:next w:val="Normal"/>
    <w:autoRedefine/>
    <w:uiPriority w:val="99"/>
    <w:rsid w:val="006C2E16"/>
    <w:pPr>
      <w:spacing w:before="120" w:after="120" w:line="240" w:lineRule="auto"/>
      <w:jc w:val="both"/>
    </w:pPr>
    <w:rPr>
      <w:rFonts w:ascii="Book Antiqua" w:eastAsia="Times New Roman" w:hAnsi="Book Antiqua" w:cs="Book Antiqua"/>
      <w:b/>
      <w:bCs/>
      <w:szCs w:val="24"/>
      <w:lang w:eastAsia="en-AU"/>
    </w:rPr>
  </w:style>
  <w:style w:type="paragraph" w:customStyle="1" w:styleId="TableheadCONSITES">
    <w:name w:val="Tablehead CON SITES"/>
    <w:basedOn w:val="Normal"/>
    <w:next w:val="Normal"/>
    <w:uiPriority w:val="99"/>
    <w:rsid w:val="006C2E16"/>
    <w:pPr>
      <w:spacing w:before="120" w:after="120" w:line="240" w:lineRule="auto"/>
      <w:jc w:val="center"/>
    </w:pPr>
    <w:rPr>
      <w:rFonts w:ascii="Book Antiqua" w:eastAsia="Times New Roman" w:hAnsi="Book Antiqua" w:cs="Book Antiqua"/>
      <w:b/>
      <w:bCs/>
      <w:szCs w:val="24"/>
      <w:lang w:eastAsia="en-AU"/>
    </w:rPr>
  </w:style>
  <w:style w:type="character" w:styleId="PageNumber">
    <w:name w:val="page number"/>
    <w:basedOn w:val="DefaultParagraphFont"/>
    <w:rsid w:val="006C2E16"/>
  </w:style>
  <w:style w:type="paragraph" w:styleId="BlockText">
    <w:name w:val="Block Text"/>
    <w:basedOn w:val="Normal"/>
    <w:uiPriority w:val="99"/>
    <w:rsid w:val="006C2E16"/>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Book Antiqua"/>
      <w:szCs w:val="24"/>
      <w:lang w:eastAsia="en-AU"/>
    </w:rPr>
  </w:style>
  <w:style w:type="paragraph" w:customStyle="1" w:styleId="Glossary">
    <w:name w:val="Glossary"/>
    <w:basedOn w:val="Normal"/>
    <w:link w:val="GlossaryChar"/>
    <w:uiPriority w:val="99"/>
    <w:rsid w:val="006C2E16"/>
    <w:pPr>
      <w:keepLines/>
      <w:spacing w:before="120" w:after="120" w:line="240" w:lineRule="auto"/>
      <w:jc w:val="both"/>
    </w:pPr>
    <w:rPr>
      <w:rFonts w:ascii="Book Antiqua" w:eastAsia="Times New Roman" w:hAnsi="Book Antiqua" w:cs="Book Antiqua"/>
      <w:szCs w:val="24"/>
      <w:lang w:eastAsia="en-AU"/>
    </w:rPr>
  </w:style>
  <w:style w:type="paragraph" w:customStyle="1" w:styleId="TableText0">
    <w:name w:val="Table Text"/>
    <w:basedOn w:val="Normal"/>
    <w:uiPriority w:val="99"/>
    <w:rsid w:val="006C2E16"/>
    <w:pPr>
      <w:spacing w:before="60" w:after="60" w:line="240" w:lineRule="auto"/>
    </w:pPr>
    <w:rPr>
      <w:rFonts w:ascii="Book Antiqua" w:eastAsia="Times New Roman" w:hAnsi="Book Antiqua" w:cs="Book Antiqua"/>
      <w:sz w:val="20"/>
      <w:lang w:eastAsia="en-AU"/>
    </w:rPr>
  </w:style>
  <w:style w:type="paragraph" w:customStyle="1" w:styleId="Dotpoint2ndCONSITES">
    <w:name w:val="Dotpoint 2ndCON SITES"/>
    <w:basedOn w:val="DotpointCONSITES"/>
    <w:uiPriority w:val="99"/>
    <w:rsid w:val="006C2E16"/>
    <w:pPr>
      <w:numPr>
        <w:ilvl w:val="1"/>
        <w:numId w:val="2"/>
      </w:numPr>
      <w:tabs>
        <w:tab w:val="clear" w:pos="720"/>
        <w:tab w:val="num" w:pos="851"/>
      </w:tabs>
      <w:ind w:left="851" w:hanging="284"/>
    </w:pPr>
  </w:style>
  <w:style w:type="paragraph" w:customStyle="1" w:styleId="DotpointiCONSITES">
    <w:name w:val="Dotpoint (i)CON SITES"/>
    <w:basedOn w:val="DotpointCONSITES"/>
    <w:uiPriority w:val="99"/>
    <w:rsid w:val="006C2E16"/>
    <w:pPr>
      <w:numPr>
        <w:numId w:val="3"/>
      </w:numPr>
      <w:tabs>
        <w:tab w:val="clear" w:pos="720"/>
        <w:tab w:val="num" w:pos="567"/>
      </w:tabs>
      <w:ind w:left="567" w:hanging="567"/>
    </w:pPr>
  </w:style>
  <w:style w:type="paragraph" w:customStyle="1" w:styleId="AppendixHeading">
    <w:name w:val="Appendix Heading"/>
    <w:basedOn w:val="Heading1"/>
    <w:uiPriority w:val="99"/>
    <w:rsid w:val="006C2E16"/>
    <w:pPr>
      <w:numPr>
        <w:numId w:val="0"/>
      </w:numPr>
      <w:spacing w:after="0"/>
      <w:jc w:val="center"/>
    </w:pPr>
  </w:style>
  <w:style w:type="paragraph" w:customStyle="1" w:styleId="text">
    <w:name w:val="text"/>
    <w:basedOn w:val="Normal"/>
    <w:link w:val="textChar"/>
    <w:autoRedefine/>
    <w:qFormat/>
    <w:rsid w:val="001C6BE7"/>
    <w:pPr>
      <w:keepLines/>
      <w:spacing w:before="120" w:after="120" w:line="240" w:lineRule="auto"/>
      <w:ind w:left="720" w:hanging="720"/>
    </w:pPr>
    <w:rPr>
      <w:rFonts w:ascii="Book Antiqua" w:eastAsia="Times New Roman" w:hAnsi="Book Antiqua" w:cs="Book Antiqua"/>
      <w:szCs w:val="22"/>
      <w:lang w:eastAsia="en-AU"/>
    </w:rPr>
  </w:style>
  <w:style w:type="paragraph" w:customStyle="1" w:styleId="Dot-points">
    <w:name w:val="Dot-points"/>
    <w:basedOn w:val="text"/>
    <w:uiPriority w:val="99"/>
    <w:qFormat/>
    <w:rsid w:val="006C2E16"/>
    <w:pPr>
      <w:spacing w:before="0"/>
      <w:ind w:left="357" w:hanging="357"/>
    </w:pPr>
  </w:style>
  <w:style w:type="paragraph" w:customStyle="1" w:styleId="GlossaryHeading">
    <w:name w:val="Glossary Heading"/>
    <w:basedOn w:val="Heading1"/>
    <w:uiPriority w:val="99"/>
    <w:rsid w:val="006C2E16"/>
    <w:pPr>
      <w:numPr>
        <w:numId w:val="0"/>
      </w:numPr>
      <w:spacing w:after="0"/>
      <w:jc w:val="center"/>
    </w:pPr>
  </w:style>
  <w:style w:type="character" w:customStyle="1" w:styleId="Highlight">
    <w:name w:val="Highlight"/>
    <w:basedOn w:val="DefaultParagraphFont"/>
    <w:uiPriority w:val="99"/>
    <w:rsid w:val="006C2E16"/>
    <w:rPr>
      <w:rFonts w:ascii="Book Antiqua" w:hAnsi="Book Antiqua" w:cs="Book Antiqua"/>
      <w:b/>
      <w:bCs/>
      <w:sz w:val="22"/>
      <w:szCs w:val="22"/>
    </w:rPr>
  </w:style>
  <w:style w:type="paragraph" w:customStyle="1" w:styleId="Level1">
    <w:name w:val="Level 1"/>
    <w:basedOn w:val="Heading2"/>
    <w:uiPriority w:val="99"/>
    <w:rsid w:val="006C2E16"/>
    <w:pPr>
      <w:numPr>
        <w:ilvl w:val="0"/>
        <w:numId w:val="0"/>
      </w:numPr>
    </w:pPr>
  </w:style>
  <w:style w:type="paragraph" w:customStyle="1" w:styleId="Level2">
    <w:name w:val="Level 2"/>
    <w:basedOn w:val="Heading3"/>
    <w:uiPriority w:val="99"/>
    <w:rsid w:val="006C2E16"/>
    <w:pPr>
      <w:numPr>
        <w:ilvl w:val="0"/>
        <w:numId w:val="0"/>
      </w:numPr>
    </w:pPr>
  </w:style>
  <w:style w:type="paragraph" w:customStyle="1" w:styleId="Level3">
    <w:name w:val="Level 3"/>
    <w:basedOn w:val="Heading4"/>
    <w:uiPriority w:val="99"/>
    <w:rsid w:val="006C2E16"/>
    <w:pPr>
      <w:numPr>
        <w:ilvl w:val="0"/>
        <w:numId w:val="0"/>
      </w:numPr>
    </w:pPr>
  </w:style>
  <w:style w:type="paragraph" w:customStyle="1" w:styleId="TitleHeading">
    <w:name w:val="Title Heading"/>
    <w:basedOn w:val="text"/>
    <w:rsid w:val="006C2E16"/>
    <w:pPr>
      <w:spacing w:before="20" w:after="20"/>
      <w:ind w:left="1985"/>
      <w:jc w:val="center"/>
    </w:pPr>
    <w:rPr>
      <w:rFonts w:ascii="Arial Bold" w:hAnsi="Arial Bold" w:cs="Arial Bold"/>
      <w:b/>
      <w:bCs/>
      <w:sz w:val="40"/>
      <w:szCs w:val="40"/>
    </w:rPr>
  </w:style>
  <w:style w:type="paragraph" w:customStyle="1" w:styleId="NationalHeading">
    <w:name w:val="National Heading"/>
    <w:basedOn w:val="TitleHeading"/>
    <w:uiPriority w:val="99"/>
    <w:rsid w:val="006C2E16"/>
  </w:style>
  <w:style w:type="paragraph" w:styleId="FootnoteText">
    <w:name w:val="footnote text"/>
    <w:basedOn w:val="Normal"/>
    <w:link w:val="FootnoteTextChar1"/>
    <w:uiPriority w:val="99"/>
    <w:semiHidden/>
    <w:rsid w:val="006C2E16"/>
    <w:pPr>
      <w:spacing w:before="120" w:after="120" w:line="240" w:lineRule="auto"/>
      <w:ind w:left="142" w:hanging="142"/>
      <w:jc w:val="both"/>
    </w:pPr>
    <w:rPr>
      <w:rFonts w:ascii="Book Antiqua" w:eastAsia="Times New Roman" w:hAnsi="Book Antiqua" w:cs="Book Antiqua"/>
      <w:sz w:val="14"/>
      <w:szCs w:val="14"/>
    </w:rPr>
  </w:style>
  <w:style w:type="character" w:customStyle="1" w:styleId="FootnoteTextChar">
    <w:name w:val="Footnote Text Char"/>
    <w:basedOn w:val="DefaultParagraphFont"/>
    <w:uiPriority w:val="99"/>
    <w:semiHidden/>
    <w:rsid w:val="006C2E16"/>
  </w:style>
  <w:style w:type="paragraph" w:customStyle="1" w:styleId="OutlineLev1">
    <w:name w:val="Outline Lev 1"/>
    <w:basedOn w:val="Normal"/>
    <w:uiPriority w:val="99"/>
    <w:rsid w:val="006C2E16"/>
    <w:pPr>
      <w:numPr>
        <w:numId w:val="6"/>
      </w:numPr>
      <w:spacing w:before="240" w:after="100" w:line="240" w:lineRule="auto"/>
      <w:jc w:val="both"/>
    </w:pPr>
    <w:rPr>
      <w:rFonts w:ascii="Book Antiqua" w:eastAsia="Times New Roman" w:hAnsi="Book Antiqua" w:cs="Book Antiqua"/>
      <w:szCs w:val="24"/>
      <w:lang w:eastAsia="en-AU"/>
    </w:rPr>
  </w:style>
  <w:style w:type="paragraph" w:customStyle="1" w:styleId="OutlineLev2">
    <w:name w:val="Outline Lev 2"/>
    <w:basedOn w:val="Normal"/>
    <w:uiPriority w:val="99"/>
    <w:rsid w:val="006C2E16"/>
    <w:pPr>
      <w:numPr>
        <w:ilvl w:val="1"/>
        <w:numId w:val="6"/>
      </w:numPr>
      <w:spacing w:before="20" w:after="20" w:line="240" w:lineRule="auto"/>
      <w:jc w:val="both"/>
    </w:pPr>
    <w:rPr>
      <w:rFonts w:ascii="Book Antiqua" w:eastAsia="Times New Roman" w:hAnsi="Book Antiqua" w:cs="Book Antiqua"/>
      <w:szCs w:val="24"/>
      <w:lang w:eastAsia="en-AU"/>
    </w:rPr>
  </w:style>
  <w:style w:type="paragraph" w:styleId="TOCHeading">
    <w:name w:val="TOC Heading"/>
    <w:basedOn w:val="Heading2"/>
    <w:uiPriority w:val="99"/>
    <w:rsid w:val="006C2E16"/>
    <w:pPr>
      <w:numPr>
        <w:ilvl w:val="0"/>
        <w:numId w:val="0"/>
      </w:numPr>
      <w:spacing w:before="120"/>
      <w:jc w:val="center"/>
    </w:pPr>
    <w:rPr>
      <w:rFonts w:ascii="Arial" w:hAnsi="Arial" w:cs="Arial"/>
      <w:sz w:val="32"/>
      <w:szCs w:val="32"/>
    </w:rPr>
  </w:style>
  <w:style w:type="character" w:styleId="CommentReference">
    <w:name w:val="annotation reference"/>
    <w:basedOn w:val="DefaultParagraphFont"/>
    <w:uiPriority w:val="99"/>
    <w:semiHidden/>
    <w:rsid w:val="006C2E16"/>
    <w:rPr>
      <w:sz w:val="16"/>
      <w:szCs w:val="16"/>
    </w:rPr>
  </w:style>
  <w:style w:type="paragraph" w:styleId="CommentText">
    <w:name w:val="annotation text"/>
    <w:basedOn w:val="Normal"/>
    <w:link w:val="CommentTextChar2"/>
    <w:uiPriority w:val="99"/>
    <w:semiHidden/>
    <w:rsid w:val="006C2E16"/>
    <w:pPr>
      <w:spacing w:before="120" w:after="120" w:line="240" w:lineRule="auto"/>
      <w:jc w:val="both"/>
    </w:pPr>
    <w:rPr>
      <w:rFonts w:ascii="Book Antiqua" w:eastAsia="Times New Roman" w:hAnsi="Book Antiqua" w:cs="Book Antiqua"/>
      <w:sz w:val="20"/>
      <w:lang w:eastAsia="en-AU"/>
    </w:rPr>
  </w:style>
  <w:style w:type="character" w:customStyle="1" w:styleId="CommentTextChar">
    <w:name w:val="Comment Text Char"/>
    <w:basedOn w:val="DefaultParagraphFont"/>
    <w:uiPriority w:val="99"/>
    <w:semiHidden/>
    <w:rsid w:val="006C2E16"/>
  </w:style>
  <w:style w:type="character" w:customStyle="1" w:styleId="CommentTextChar2">
    <w:name w:val="Comment Text Char2"/>
    <w:basedOn w:val="DefaultParagraphFont"/>
    <w:link w:val="CommentText"/>
    <w:uiPriority w:val="99"/>
    <w:semiHidden/>
    <w:locked/>
    <w:rsid w:val="006C2E16"/>
    <w:rPr>
      <w:rFonts w:ascii="Book Antiqua" w:eastAsia="Times New Roman" w:hAnsi="Book Antiqua" w:cs="Book Antiqua"/>
      <w:lang w:eastAsia="en-AU"/>
    </w:rPr>
  </w:style>
  <w:style w:type="paragraph" w:styleId="CommentSubject">
    <w:name w:val="annotation subject"/>
    <w:basedOn w:val="CommentText"/>
    <w:next w:val="CommentText"/>
    <w:link w:val="CommentSubjectChar1"/>
    <w:uiPriority w:val="99"/>
    <w:semiHidden/>
    <w:rsid w:val="006C2E16"/>
    <w:rPr>
      <w:b/>
      <w:bCs/>
    </w:rPr>
  </w:style>
  <w:style w:type="character" w:customStyle="1" w:styleId="CommentSubjectChar">
    <w:name w:val="Comment Subject Char"/>
    <w:basedOn w:val="CommentTextChar"/>
    <w:uiPriority w:val="99"/>
    <w:semiHidden/>
    <w:rsid w:val="006C2E16"/>
    <w:rPr>
      <w:b/>
      <w:bCs/>
    </w:rPr>
  </w:style>
  <w:style w:type="character" w:customStyle="1" w:styleId="CommentSubjectChar1">
    <w:name w:val="Comment Subject Char1"/>
    <w:basedOn w:val="CommentTextChar2"/>
    <w:link w:val="CommentSubject"/>
    <w:uiPriority w:val="99"/>
    <w:semiHidden/>
    <w:locked/>
    <w:rsid w:val="006C2E16"/>
    <w:rPr>
      <w:rFonts w:ascii="Book Antiqua" w:eastAsia="Times New Roman" w:hAnsi="Book Antiqua" w:cs="Book Antiqua"/>
      <w:b/>
      <w:bCs/>
      <w:lang w:eastAsia="en-AU"/>
    </w:rPr>
  </w:style>
  <w:style w:type="character" w:styleId="FootnoteReference">
    <w:name w:val="footnote reference"/>
    <w:basedOn w:val="DefaultParagraphFont"/>
    <w:uiPriority w:val="99"/>
    <w:semiHidden/>
    <w:rsid w:val="006C2E16"/>
    <w:rPr>
      <w:rFonts w:ascii="Book Antiqua" w:hAnsi="Book Antiqua" w:cs="Book Antiqua"/>
      <w:vertAlign w:val="superscript"/>
    </w:rPr>
  </w:style>
  <w:style w:type="paragraph" w:styleId="BodyText3">
    <w:name w:val="Body Text 3"/>
    <w:basedOn w:val="Normal"/>
    <w:link w:val="BodyText3Char"/>
    <w:uiPriority w:val="99"/>
    <w:rsid w:val="006C2E16"/>
    <w:pPr>
      <w:spacing w:before="120" w:after="120" w:line="240" w:lineRule="auto"/>
    </w:pPr>
    <w:rPr>
      <w:rFonts w:ascii="Book Antiqua" w:eastAsia="Times New Roman" w:hAnsi="Book Antiqua" w:cs="Book Antiqua"/>
      <w:i/>
      <w:iCs/>
      <w:color w:val="FF0000"/>
      <w:szCs w:val="22"/>
    </w:rPr>
  </w:style>
  <w:style w:type="character" w:customStyle="1" w:styleId="BodyText3Char">
    <w:name w:val="Body Text 3 Char"/>
    <w:basedOn w:val="DefaultParagraphFont"/>
    <w:link w:val="BodyText3"/>
    <w:uiPriority w:val="99"/>
    <w:rsid w:val="006C2E16"/>
    <w:rPr>
      <w:rFonts w:ascii="Book Antiqua" w:eastAsia="Times New Roman" w:hAnsi="Book Antiqua" w:cs="Book Antiqua"/>
      <w:i/>
      <w:iCs/>
      <w:color w:val="FF0000"/>
      <w:sz w:val="22"/>
      <w:szCs w:val="22"/>
    </w:rPr>
  </w:style>
  <w:style w:type="paragraph" w:styleId="Revision">
    <w:name w:val="Revision"/>
    <w:hidden/>
    <w:uiPriority w:val="99"/>
    <w:semiHidden/>
    <w:rsid w:val="006C2E16"/>
    <w:rPr>
      <w:rFonts w:ascii="Book Antiqua" w:eastAsia="Times New Roman" w:hAnsi="Book Antiqua" w:cs="Book Antiqua"/>
      <w:sz w:val="24"/>
      <w:szCs w:val="24"/>
      <w:lang w:eastAsia="en-AU"/>
    </w:rPr>
  </w:style>
  <w:style w:type="character" w:styleId="Hyperlink">
    <w:name w:val="Hyperlink"/>
    <w:basedOn w:val="DefaultParagraphFont"/>
    <w:uiPriority w:val="99"/>
    <w:rsid w:val="006C2E16"/>
    <w:rPr>
      <w:color w:val="0000FF"/>
      <w:u w:val="single"/>
    </w:rPr>
  </w:style>
  <w:style w:type="paragraph" w:customStyle="1" w:styleId="Default">
    <w:name w:val="Default"/>
    <w:uiPriority w:val="99"/>
    <w:rsid w:val="006C2E16"/>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uiPriority w:val="99"/>
    <w:rsid w:val="006C2E16"/>
    <w:rPr>
      <w:color w:val="auto"/>
    </w:rPr>
  </w:style>
  <w:style w:type="paragraph" w:customStyle="1" w:styleId="glossary0">
    <w:name w:val="glossary"/>
    <w:basedOn w:val="Normal"/>
    <w:uiPriority w:val="99"/>
    <w:rsid w:val="006C2E16"/>
    <w:pPr>
      <w:autoSpaceDE w:val="0"/>
      <w:autoSpaceDN w:val="0"/>
      <w:spacing w:before="100" w:after="100" w:line="240" w:lineRule="auto"/>
    </w:pPr>
    <w:rPr>
      <w:rFonts w:ascii="Book Antiqua" w:eastAsia="Times New Roman" w:hAnsi="Book Antiqua" w:cs="Book Antiqua"/>
      <w:szCs w:val="24"/>
      <w:lang w:eastAsia="en-AU"/>
    </w:rPr>
  </w:style>
  <w:style w:type="paragraph" w:customStyle="1" w:styleId="Style1">
    <w:name w:val="Style1"/>
    <w:basedOn w:val="Heading2"/>
    <w:uiPriority w:val="99"/>
    <w:rsid w:val="006C2E16"/>
    <w:rPr>
      <w:rFonts w:ascii="Arial" w:hAnsi="Arial" w:cs="Arial"/>
    </w:rPr>
  </w:style>
  <w:style w:type="paragraph" w:customStyle="1" w:styleId="StyleTitleHeading22pt">
    <w:name w:val="Style Title Heading + 22 pt"/>
    <w:basedOn w:val="TitleHeading"/>
    <w:uiPriority w:val="99"/>
    <w:rsid w:val="006C2E16"/>
    <w:rPr>
      <w:caps/>
    </w:rPr>
  </w:style>
  <w:style w:type="paragraph" w:customStyle="1" w:styleId="StyleglossaryJustified">
    <w:name w:val="Style glossary + Justified"/>
    <w:basedOn w:val="glossary0"/>
    <w:uiPriority w:val="99"/>
    <w:rsid w:val="006C2E16"/>
    <w:pPr>
      <w:jc w:val="both"/>
    </w:pPr>
    <w:rPr>
      <w:szCs w:val="22"/>
    </w:rPr>
  </w:style>
  <w:style w:type="paragraph" w:customStyle="1" w:styleId="StyletextArialBold">
    <w:name w:val="Style text + Arial Bold"/>
    <w:basedOn w:val="text"/>
    <w:link w:val="StyletextArialBoldChar"/>
    <w:uiPriority w:val="99"/>
    <w:rsid w:val="006C2E16"/>
    <w:rPr>
      <w:rFonts w:ascii="Arial" w:hAnsi="Arial" w:cs="Arial"/>
      <w:b/>
      <w:bCs/>
    </w:rPr>
  </w:style>
  <w:style w:type="character" w:customStyle="1" w:styleId="textChar">
    <w:name w:val="text Char"/>
    <w:basedOn w:val="DefaultParagraphFont"/>
    <w:link w:val="text"/>
    <w:locked/>
    <w:rsid w:val="001C6BE7"/>
    <w:rPr>
      <w:rFonts w:ascii="Book Antiqua" w:eastAsia="Times New Roman" w:hAnsi="Book Antiqua" w:cs="Book Antiqua"/>
      <w:sz w:val="22"/>
      <w:szCs w:val="22"/>
      <w:lang w:eastAsia="en-AU"/>
    </w:rPr>
  </w:style>
  <w:style w:type="character" w:customStyle="1" w:styleId="StyletextArialBoldChar">
    <w:name w:val="Style text + Arial Bold Char"/>
    <w:basedOn w:val="textChar"/>
    <w:link w:val="StyletextArialBold"/>
    <w:uiPriority w:val="99"/>
    <w:locked/>
    <w:rsid w:val="006C2E16"/>
    <w:rPr>
      <w:rFonts w:ascii="Arial" w:eastAsia="Times New Roman" w:hAnsi="Arial" w:cs="Arial"/>
      <w:b/>
      <w:bCs/>
      <w:sz w:val="22"/>
      <w:szCs w:val="22"/>
      <w:lang w:eastAsia="en-AU"/>
    </w:rPr>
  </w:style>
  <w:style w:type="character" w:styleId="Strong">
    <w:name w:val="Strong"/>
    <w:basedOn w:val="DefaultParagraphFont"/>
    <w:uiPriority w:val="99"/>
    <w:rsid w:val="006C2E16"/>
    <w:rPr>
      <w:b/>
      <w:bCs/>
    </w:rPr>
  </w:style>
  <w:style w:type="paragraph" w:styleId="BodyText">
    <w:name w:val="Body Text"/>
    <w:basedOn w:val="Normal"/>
    <w:link w:val="BodyTextChar1"/>
    <w:uiPriority w:val="99"/>
    <w:rsid w:val="006C2E16"/>
    <w:pPr>
      <w:spacing w:before="120" w:after="120" w:line="240" w:lineRule="auto"/>
      <w:jc w:val="both"/>
    </w:pPr>
    <w:rPr>
      <w:rFonts w:ascii="Book Antiqua" w:eastAsia="Times New Roman" w:hAnsi="Book Antiqua" w:cs="Book Antiqua"/>
      <w:szCs w:val="24"/>
      <w:lang w:eastAsia="en-AU"/>
    </w:rPr>
  </w:style>
  <w:style w:type="character" w:customStyle="1" w:styleId="BodyTextChar">
    <w:name w:val="Body Text Char"/>
    <w:basedOn w:val="DefaultParagraphFont"/>
    <w:uiPriority w:val="99"/>
    <w:rsid w:val="006C2E16"/>
    <w:rPr>
      <w:sz w:val="22"/>
    </w:rPr>
  </w:style>
  <w:style w:type="paragraph" w:styleId="DocumentMap">
    <w:name w:val="Document Map"/>
    <w:basedOn w:val="Normal"/>
    <w:link w:val="DocumentMapChar1"/>
    <w:uiPriority w:val="99"/>
    <w:semiHidden/>
    <w:rsid w:val="006C2E16"/>
    <w:pPr>
      <w:keepLines/>
      <w:shd w:val="clear" w:color="auto" w:fill="000080"/>
      <w:tabs>
        <w:tab w:val="left" w:pos="2943"/>
        <w:tab w:val="left" w:pos="9180"/>
      </w:tabs>
      <w:spacing w:before="20" w:after="20" w:line="240" w:lineRule="auto"/>
      <w:jc w:val="both"/>
    </w:pPr>
    <w:rPr>
      <w:rFonts w:ascii="Tahoma" w:eastAsia="Times New Roman" w:hAnsi="Tahoma" w:cs="Tahoma"/>
      <w:szCs w:val="24"/>
      <w:lang w:eastAsia="en-AU"/>
    </w:rPr>
  </w:style>
  <w:style w:type="character" w:customStyle="1" w:styleId="DocumentMapChar">
    <w:name w:val="Document Map Char"/>
    <w:basedOn w:val="DefaultParagraphFont"/>
    <w:uiPriority w:val="99"/>
    <w:semiHidden/>
    <w:rsid w:val="006C2E16"/>
    <w:rPr>
      <w:rFonts w:ascii="Tahoma" w:hAnsi="Tahoma" w:cs="Tahoma"/>
      <w:sz w:val="16"/>
      <w:szCs w:val="16"/>
    </w:rPr>
  </w:style>
  <w:style w:type="character" w:customStyle="1" w:styleId="FootnoteTextChar1">
    <w:name w:val="Footnote Text Char1"/>
    <w:basedOn w:val="DefaultParagraphFont"/>
    <w:link w:val="FootnoteText"/>
    <w:uiPriority w:val="99"/>
    <w:semiHidden/>
    <w:locked/>
    <w:rsid w:val="006C2E16"/>
    <w:rPr>
      <w:rFonts w:ascii="Book Antiqua" w:eastAsia="Times New Roman" w:hAnsi="Book Antiqua" w:cs="Book Antiqua"/>
      <w:sz w:val="14"/>
      <w:szCs w:val="14"/>
    </w:rPr>
  </w:style>
  <w:style w:type="paragraph" w:styleId="Caption">
    <w:name w:val="caption"/>
    <w:aliases w:val="Map"/>
    <w:basedOn w:val="Normal"/>
    <w:next w:val="Normal"/>
    <w:link w:val="CaptionChar1"/>
    <w:uiPriority w:val="99"/>
    <w:qFormat/>
    <w:rsid w:val="006C2E16"/>
    <w:pPr>
      <w:spacing w:before="120" w:after="120" w:line="240" w:lineRule="auto"/>
      <w:ind w:left="142"/>
    </w:pPr>
    <w:rPr>
      <w:rFonts w:ascii="Book Antiqua" w:eastAsia="Times New Roman" w:hAnsi="Book Antiqua" w:cs="Book Antiqua"/>
      <w:b/>
      <w:bCs/>
      <w:szCs w:val="22"/>
      <w:lang w:eastAsia="en-AU"/>
    </w:rPr>
  </w:style>
  <w:style w:type="paragraph" w:styleId="BodyText2">
    <w:name w:val="Body Text 2"/>
    <w:basedOn w:val="Normal"/>
    <w:link w:val="BodyText2Char1"/>
    <w:uiPriority w:val="99"/>
    <w:rsid w:val="006C2E16"/>
    <w:pPr>
      <w:spacing w:before="20" w:after="20" w:line="240" w:lineRule="auto"/>
      <w:jc w:val="center"/>
    </w:pPr>
    <w:rPr>
      <w:rFonts w:ascii="Book Antiqua" w:eastAsia="Times New Roman" w:hAnsi="Book Antiqua" w:cs="Book Antiqua"/>
      <w:sz w:val="16"/>
      <w:szCs w:val="16"/>
      <w:lang w:eastAsia="en-AU"/>
    </w:rPr>
  </w:style>
  <w:style w:type="character" w:customStyle="1" w:styleId="BodyText2Char">
    <w:name w:val="Body Text 2 Char"/>
    <w:basedOn w:val="DefaultParagraphFont"/>
    <w:uiPriority w:val="99"/>
    <w:rsid w:val="006C2E16"/>
    <w:rPr>
      <w:sz w:val="22"/>
    </w:rPr>
  </w:style>
  <w:style w:type="character" w:styleId="FollowedHyperlink">
    <w:name w:val="FollowedHyperlink"/>
    <w:basedOn w:val="DefaultParagraphFont"/>
    <w:uiPriority w:val="99"/>
    <w:rsid w:val="006C2E16"/>
    <w:rPr>
      <w:color w:val="800080"/>
      <w:u w:val="single"/>
    </w:rPr>
  </w:style>
  <w:style w:type="paragraph" w:customStyle="1" w:styleId="CharCharChar">
    <w:name w:val="Char Char Char"/>
    <w:basedOn w:val="Normal"/>
    <w:uiPriority w:val="99"/>
    <w:rsid w:val="006C2E16"/>
    <w:pPr>
      <w:spacing w:before="120" w:after="120" w:line="240" w:lineRule="auto"/>
    </w:pPr>
    <w:rPr>
      <w:rFonts w:ascii="Arial" w:eastAsia="Times New Roman" w:hAnsi="Arial" w:cs="Arial"/>
      <w:szCs w:val="22"/>
    </w:rPr>
  </w:style>
  <w:style w:type="paragraph" w:customStyle="1" w:styleId="Tablenumbers">
    <w:name w:val="Table numbers"/>
    <w:basedOn w:val="Normal"/>
    <w:link w:val="TablenumbersChar"/>
    <w:uiPriority w:val="99"/>
    <w:rsid w:val="006C2E16"/>
    <w:pPr>
      <w:spacing w:before="80" w:after="120" w:line="240" w:lineRule="auto"/>
      <w:ind w:right="113"/>
      <w:jc w:val="right"/>
    </w:pPr>
    <w:rPr>
      <w:rFonts w:ascii="Arial" w:eastAsia="Times New Roman" w:hAnsi="Arial" w:cs="Arial"/>
      <w:sz w:val="18"/>
      <w:szCs w:val="18"/>
      <w:lang w:val="en-US"/>
    </w:rPr>
  </w:style>
  <w:style w:type="character" w:customStyle="1" w:styleId="TablenumbersChar">
    <w:name w:val="Table numbers Char"/>
    <w:basedOn w:val="DefaultParagraphFont"/>
    <w:link w:val="Tablenumbers"/>
    <w:uiPriority w:val="99"/>
    <w:locked/>
    <w:rsid w:val="006C2E16"/>
    <w:rPr>
      <w:rFonts w:ascii="Arial" w:eastAsia="Times New Roman" w:hAnsi="Arial" w:cs="Arial"/>
      <w:sz w:val="18"/>
      <w:szCs w:val="18"/>
      <w:lang w:val="en-US"/>
    </w:rPr>
  </w:style>
  <w:style w:type="character" w:customStyle="1" w:styleId="EmailStyle981">
    <w:name w:val="EmailStyle981"/>
    <w:basedOn w:val="DefaultParagraphFont"/>
    <w:uiPriority w:val="99"/>
    <w:semiHidden/>
    <w:rsid w:val="006C2E16"/>
    <w:rPr>
      <w:rFonts w:ascii="Arial" w:hAnsi="Arial" w:cs="Arial"/>
      <w:color w:val="000080"/>
      <w:sz w:val="20"/>
      <w:szCs w:val="20"/>
    </w:rPr>
  </w:style>
  <w:style w:type="paragraph" w:customStyle="1" w:styleId="Table">
    <w:name w:val="Table"/>
    <w:basedOn w:val="Caption"/>
    <w:link w:val="TableChar"/>
    <w:uiPriority w:val="99"/>
    <w:rsid w:val="006C2E16"/>
    <w:pPr>
      <w:spacing w:line="220" w:lineRule="exact"/>
      <w:jc w:val="both"/>
    </w:pPr>
    <w:rPr>
      <w:rFonts w:ascii="Arial" w:hAnsi="Arial" w:cs="Arial"/>
      <w:b w:val="0"/>
      <w:bCs w:val="0"/>
      <w:kern w:val="28"/>
      <w:sz w:val="20"/>
      <w:szCs w:val="20"/>
    </w:rPr>
  </w:style>
  <w:style w:type="character" w:customStyle="1" w:styleId="TableChar">
    <w:name w:val="Table Char"/>
    <w:basedOn w:val="DefaultParagraphFont"/>
    <w:link w:val="Table"/>
    <w:uiPriority w:val="99"/>
    <w:locked/>
    <w:rsid w:val="006C2E16"/>
    <w:rPr>
      <w:rFonts w:ascii="Arial" w:eastAsia="Times New Roman" w:hAnsi="Arial" w:cs="Arial"/>
      <w:kern w:val="28"/>
      <w:lang w:eastAsia="en-AU"/>
    </w:rPr>
  </w:style>
  <w:style w:type="paragraph" w:styleId="NormalWeb">
    <w:name w:val="Normal (Web)"/>
    <w:basedOn w:val="Normal"/>
    <w:uiPriority w:val="99"/>
    <w:rsid w:val="006C2E16"/>
    <w:pPr>
      <w:spacing w:before="100" w:beforeAutospacing="1" w:after="100" w:afterAutospacing="1" w:line="240" w:lineRule="auto"/>
    </w:pPr>
    <w:rPr>
      <w:rFonts w:ascii="Book Antiqua" w:eastAsia="Times New Roman" w:hAnsi="Book Antiqua" w:cs="Times New Roman"/>
      <w:szCs w:val="24"/>
      <w:lang w:val="en-US"/>
    </w:rPr>
  </w:style>
  <w:style w:type="character" w:customStyle="1" w:styleId="Heading2Char2">
    <w:name w:val="Heading 2 Char2"/>
    <w:basedOn w:val="DefaultParagraphFont"/>
    <w:link w:val="Heading2"/>
    <w:uiPriority w:val="99"/>
    <w:locked/>
    <w:rsid w:val="006C2E16"/>
    <w:rPr>
      <w:rFonts w:ascii="Book Antiqua" w:eastAsia="Times New Roman" w:hAnsi="Book Antiqua" w:cs="Book Antiqua"/>
      <w:b/>
      <w:bCs/>
      <w:kern w:val="28"/>
      <w:sz w:val="24"/>
      <w:szCs w:val="24"/>
    </w:rPr>
  </w:style>
  <w:style w:type="paragraph" w:customStyle="1" w:styleId="Numbers">
    <w:name w:val="Numbers"/>
    <w:basedOn w:val="Normal"/>
    <w:uiPriority w:val="99"/>
    <w:rsid w:val="006C2E16"/>
    <w:pPr>
      <w:keepNext/>
      <w:tabs>
        <w:tab w:val="num" w:pos="3087"/>
      </w:tabs>
      <w:spacing w:before="240" w:after="100" w:line="240" w:lineRule="auto"/>
      <w:ind w:left="3087" w:hanging="360"/>
      <w:jc w:val="both"/>
    </w:pPr>
    <w:rPr>
      <w:rFonts w:ascii="Book Antiqua" w:eastAsia="Times New Roman" w:hAnsi="Book Antiqua" w:cs="Book Antiqua"/>
      <w:b/>
      <w:bCs/>
      <w:szCs w:val="24"/>
      <w:lang w:eastAsia="en-AU"/>
    </w:rPr>
  </w:style>
  <w:style w:type="character" w:customStyle="1" w:styleId="GlossaryChar">
    <w:name w:val="Glossary Char"/>
    <w:basedOn w:val="DefaultParagraphFont"/>
    <w:link w:val="Glossary"/>
    <w:uiPriority w:val="99"/>
    <w:locked/>
    <w:rsid w:val="006C2E16"/>
    <w:rPr>
      <w:rFonts w:ascii="Book Antiqua" w:eastAsia="Times New Roman" w:hAnsi="Book Antiqua" w:cs="Book Antiqua"/>
      <w:sz w:val="22"/>
      <w:szCs w:val="24"/>
      <w:lang w:eastAsia="en-AU"/>
    </w:rPr>
  </w:style>
  <w:style w:type="character" w:customStyle="1" w:styleId="Heading1Char2">
    <w:name w:val="Heading 1 Char2"/>
    <w:basedOn w:val="DefaultParagraphFont"/>
    <w:link w:val="Heading1"/>
    <w:uiPriority w:val="99"/>
    <w:locked/>
    <w:rsid w:val="001C6BE7"/>
    <w:rPr>
      <w:rFonts w:ascii="Book Antiqua" w:eastAsia="Times New Roman" w:hAnsi="Book Antiqua" w:cs="Book Antiqua"/>
      <w:b/>
      <w:bCs/>
      <w:kern w:val="28"/>
      <w:sz w:val="32"/>
      <w:szCs w:val="32"/>
      <w:lang w:eastAsia="en-AU"/>
    </w:rPr>
  </w:style>
  <w:style w:type="character" w:customStyle="1" w:styleId="CaptionChar1">
    <w:name w:val="Caption Char1"/>
    <w:aliases w:val="Map Char1"/>
    <w:basedOn w:val="DefaultParagraphFont"/>
    <w:link w:val="Caption"/>
    <w:uiPriority w:val="99"/>
    <w:locked/>
    <w:rsid w:val="006C2E16"/>
    <w:rPr>
      <w:rFonts w:ascii="Book Antiqua" w:eastAsia="Times New Roman" w:hAnsi="Book Antiqua" w:cs="Book Antiqua"/>
      <w:b/>
      <w:bCs/>
      <w:sz w:val="22"/>
      <w:szCs w:val="22"/>
      <w:lang w:eastAsia="en-AU"/>
    </w:rPr>
  </w:style>
  <w:style w:type="paragraph" w:styleId="Bibliography">
    <w:name w:val="Bibliography"/>
    <w:basedOn w:val="text"/>
    <w:uiPriority w:val="99"/>
    <w:rsid w:val="006C2E16"/>
    <w:pPr>
      <w:spacing w:after="60"/>
      <w:ind w:left="567" w:hanging="567"/>
    </w:pPr>
    <w:rPr>
      <w:lang w:val="de-DE"/>
    </w:rPr>
  </w:style>
  <w:style w:type="paragraph" w:customStyle="1" w:styleId="CoverTitle2">
    <w:name w:val="CoverTitle2"/>
    <w:basedOn w:val="Normal"/>
    <w:next w:val="Normal"/>
    <w:autoRedefine/>
    <w:uiPriority w:val="99"/>
    <w:rsid w:val="006C2E16"/>
    <w:pPr>
      <w:spacing w:before="120" w:after="120" w:line="280" w:lineRule="atLeast"/>
      <w:ind w:right="68"/>
    </w:pPr>
    <w:rPr>
      <w:rFonts w:ascii="Arial" w:eastAsia="Times New Roman" w:hAnsi="Arial" w:cs="Arial"/>
      <w:color w:val="000000"/>
      <w:szCs w:val="22"/>
      <w:lang w:eastAsia="en-AU"/>
    </w:rPr>
  </w:style>
  <w:style w:type="character" w:customStyle="1" w:styleId="FooterChar1">
    <w:name w:val="Footer Char1"/>
    <w:basedOn w:val="DefaultParagraphFont"/>
    <w:uiPriority w:val="99"/>
    <w:semiHidden/>
    <w:locked/>
    <w:rsid w:val="006C2E16"/>
    <w:rPr>
      <w:rFonts w:ascii="Book Antiqua" w:hAnsi="Book Antiqua" w:cs="Book Antiqua"/>
      <w:sz w:val="16"/>
      <w:szCs w:val="16"/>
      <w:lang w:val="en-AU" w:eastAsia="en-AU"/>
    </w:rPr>
  </w:style>
  <w:style w:type="character" w:customStyle="1" w:styleId="HeaderChar1">
    <w:name w:val="Header Char1"/>
    <w:basedOn w:val="DefaultParagraphFont"/>
    <w:uiPriority w:val="99"/>
    <w:semiHidden/>
    <w:locked/>
    <w:rsid w:val="006C2E16"/>
    <w:rPr>
      <w:rFonts w:ascii="Book Antiqua" w:hAnsi="Book Antiqua" w:cs="Book Antiqua"/>
      <w:sz w:val="24"/>
      <w:szCs w:val="24"/>
      <w:lang w:val="en-AU" w:eastAsia="en-AU"/>
    </w:rPr>
  </w:style>
  <w:style w:type="paragraph" w:customStyle="1" w:styleId="Numberedlist">
    <w:name w:val="Numbered list"/>
    <w:basedOn w:val="BodyText"/>
    <w:uiPriority w:val="99"/>
    <w:rsid w:val="006C2E16"/>
    <w:pPr>
      <w:numPr>
        <w:numId w:val="7"/>
      </w:numPr>
      <w:tabs>
        <w:tab w:val="clear" w:pos="570"/>
        <w:tab w:val="num" w:pos="720"/>
      </w:tabs>
      <w:autoSpaceDE w:val="0"/>
      <w:autoSpaceDN w:val="0"/>
      <w:adjustRightInd w:val="0"/>
      <w:spacing w:before="60" w:line="280" w:lineRule="exact"/>
      <w:ind w:left="720" w:right="68" w:hanging="360"/>
    </w:pPr>
    <w:rPr>
      <w:rFonts w:ascii="Arial" w:hAnsi="Arial" w:cs="Arial"/>
      <w:kern w:val="28"/>
      <w:szCs w:val="22"/>
      <w:lang w:val="en-GB"/>
    </w:rPr>
  </w:style>
  <w:style w:type="paragraph" w:customStyle="1" w:styleId="NormalArial">
    <w:name w:val="Normal + Arial"/>
    <w:basedOn w:val="Normal"/>
    <w:uiPriority w:val="99"/>
    <w:rsid w:val="006C2E16"/>
    <w:pPr>
      <w:tabs>
        <w:tab w:val="num" w:pos="360"/>
      </w:tabs>
      <w:spacing w:before="120" w:after="120" w:line="240" w:lineRule="auto"/>
      <w:ind w:left="360" w:hanging="360"/>
    </w:pPr>
    <w:rPr>
      <w:rFonts w:ascii="Arial" w:eastAsia="Times New Roman" w:hAnsi="Arial" w:cs="Arial"/>
      <w:szCs w:val="22"/>
      <w:lang w:eastAsia="en-AU"/>
    </w:rPr>
  </w:style>
  <w:style w:type="paragraph" w:styleId="Quote">
    <w:name w:val="Quote"/>
    <w:basedOn w:val="text"/>
    <w:link w:val="QuoteChar"/>
    <w:uiPriority w:val="99"/>
    <w:rsid w:val="006C2E16"/>
    <w:pPr>
      <w:ind w:left="567"/>
    </w:pPr>
    <w:rPr>
      <w:i/>
      <w:iCs/>
    </w:rPr>
  </w:style>
  <w:style w:type="character" w:customStyle="1" w:styleId="QuoteChar">
    <w:name w:val="Quote Char"/>
    <w:basedOn w:val="DefaultParagraphFont"/>
    <w:link w:val="Quote"/>
    <w:uiPriority w:val="99"/>
    <w:rsid w:val="006C2E16"/>
    <w:rPr>
      <w:rFonts w:ascii="Book Antiqua" w:eastAsia="Times New Roman" w:hAnsi="Book Antiqua" w:cs="Book Antiqua"/>
      <w:i/>
      <w:iCs/>
      <w:sz w:val="22"/>
      <w:szCs w:val="22"/>
      <w:lang w:eastAsia="en-AU"/>
    </w:rPr>
  </w:style>
  <w:style w:type="character" w:customStyle="1" w:styleId="BodyTextChar1">
    <w:name w:val="Body Text Char1"/>
    <w:basedOn w:val="DefaultParagraphFont"/>
    <w:link w:val="BodyText"/>
    <w:uiPriority w:val="99"/>
    <w:locked/>
    <w:rsid w:val="006C2E16"/>
    <w:rPr>
      <w:rFonts w:ascii="Book Antiqua" w:eastAsia="Times New Roman" w:hAnsi="Book Antiqua" w:cs="Book Antiqua"/>
      <w:sz w:val="22"/>
      <w:szCs w:val="24"/>
      <w:lang w:eastAsia="en-AU"/>
    </w:rPr>
  </w:style>
  <w:style w:type="character" w:customStyle="1" w:styleId="Heading3Char1">
    <w:name w:val="Heading 3 Char1"/>
    <w:basedOn w:val="DefaultParagraphFont"/>
    <w:link w:val="Heading3"/>
    <w:uiPriority w:val="99"/>
    <w:locked/>
    <w:rsid w:val="006C2E16"/>
    <w:rPr>
      <w:rFonts w:ascii="Book Antiqua" w:eastAsia="Times New Roman" w:hAnsi="Book Antiqua" w:cs="Book Antiqua"/>
      <w:b/>
      <w:bCs/>
      <w:kern w:val="28"/>
      <w:sz w:val="22"/>
      <w:szCs w:val="22"/>
    </w:rPr>
  </w:style>
  <w:style w:type="character" w:customStyle="1" w:styleId="Heading4Char1">
    <w:name w:val="Heading 4 Char1"/>
    <w:basedOn w:val="DefaultParagraphFont"/>
    <w:link w:val="Heading4"/>
    <w:uiPriority w:val="99"/>
    <w:locked/>
    <w:rsid w:val="006C2E16"/>
    <w:rPr>
      <w:rFonts w:ascii="Book Antiqua" w:eastAsia="Times New Roman" w:hAnsi="Book Antiqua" w:cs="Book Antiqua"/>
      <w:i/>
      <w:iCs/>
      <w:kern w:val="28"/>
      <w:sz w:val="22"/>
      <w:szCs w:val="22"/>
      <w:lang w:eastAsia="en-AU"/>
    </w:rPr>
  </w:style>
  <w:style w:type="character" w:customStyle="1" w:styleId="Heading5Char1">
    <w:name w:val="Heading 5 Char1"/>
    <w:basedOn w:val="DefaultParagraphFont"/>
    <w:link w:val="Heading5"/>
    <w:uiPriority w:val="99"/>
    <w:locked/>
    <w:rsid w:val="006C2E16"/>
    <w:rPr>
      <w:rFonts w:ascii="Book Antiqua" w:eastAsia="Times New Roman" w:hAnsi="Book Antiqua" w:cs="Book Antiqua"/>
      <w:b/>
      <w:bCs/>
      <w:lang w:eastAsia="en-AU"/>
    </w:rPr>
  </w:style>
  <w:style w:type="character" w:customStyle="1" w:styleId="Heading6Char1">
    <w:name w:val="Heading 6 Char1"/>
    <w:basedOn w:val="DefaultParagraphFont"/>
    <w:link w:val="Heading6"/>
    <w:uiPriority w:val="99"/>
    <w:locked/>
    <w:rsid w:val="006C2E16"/>
    <w:rPr>
      <w:rFonts w:ascii="Book Antiqua" w:eastAsia="Times New Roman" w:hAnsi="Book Antiqua" w:cs="Times New Roman"/>
      <w:i/>
      <w:iCs/>
      <w:sz w:val="22"/>
      <w:szCs w:val="22"/>
      <w:lang w:eastAsia="en-AU"/>
    </w:rPr>
  </w:style>
  <w:style w:type="character" w:customStyle="1" w:styleId="Heading7Char1">
    <w:name w:val="Heading 7 Char1"/>
    <w:basedOn w:val="DefaultParagraphFont"/>
    <w:link w:val="Heading7"/>
    <w:uiPriority w:val="99"/>
    <w:locked/>
    <w:rsid w:val="006C2E16"/>
    <w:rPr>
      <w:rFonts w:ascii="Arial" w:eastAsia="Times New Roman" w:hAnsi="Arial" w:cs="Arial"/>
      <w:lang w:eastAsia="en-AU"/>
    </w:rPr>
  </w:style>
  <w:style w:type="character" w:customStyle="1" w:styleId="Heading8Char1">
    <w:name w:val="Heading 8 Char1"/>
    <w:basedOn w:val="DefaultParagraphFont"/>
    <w:link w:val="Heading8"/>
    <w:uiPriority w:val="99"/>
    <w:locked/>
    <w:rsid w:val="006C2E16"/>
    <w:rPr>
      <w:rFonts w:ascii="Arial" w:eastAsia="Times New Roman" w:hAnsi="Arial" w:cs="Arial"/>
      <w:i/>
      <w:iCs/>
      <w:lang w:eastAsia="en-AU"/>
    </w:rPr>
  </w:style>
  <w:style w:type="character" w:customStyle="1" w:styleId="Heading9Char1">
    <w:name w:val="Heading 9 Char1"/>
    <w:basedOn w:val="DefaultParagraphFont"/>
    <w:link w:val="Heading9"/>
    <w:uiPriority w:val="99"/>
    <w:locked/>
    <w:rsid w:val="006C2E16"/>
    <w:rPr>
      <w:rFonts w:ascii="Arial" w:eastAsia="Times New Roman" w:hAnsi="Arial" w:cs="Arial"/>
      <w:b/>
      <w:bCs/>
      <w:i/>
      <w:iCs/>
      <w:sz w:val="18"/>
      <w:szCs w:val="18"/>
      <w:lang w:eastAsia="en-AU"/>
    </w:rPr>
  </w:style>
  <w:style w:type="paragraph" w:customStyle="1" w:styleId="PresentationDate">
    <w:name w:val="Presentation Date"/>
    <w:basedOn w:val="ListBullet"/>
    <w:uiPriority w:val="99"/>
    <w:semiHidden/>
    <w:rsid w:val="006C2E16"/>
    <w:pPr>
      <w:numPr>
        <w:numId w:val="0"/>
      </w:numPr>
      <w:spacing w:line="312" w:lineRule="auto"/>
    </w:pPr>
    <w:rPr>
      <w:sz w:val="14"/>
      <w:szCs w:val="14"/>
      <w:lang w:val="en-US" w:eastAsia="en-US"/>
    </w:rPr>
  </w:style>
  <w:style w:type="paragraph" w:styleId="ListBullet">
    <w:name w:val="List Bullet"/>
    <w:basedOn w:val="BodyText"/>
    <w:link w:val="ListBulletChar1"/>
    <w:autoRedefine/>
    <w:uiPriority w:val="99"/>
    <w:rsid w:val="006C2E16"/>
    <w:pPr>
      <w:numPr>
        <w:numId w:val="11"/>
      </w:numPr>
      <w:tabs>
        <w:tab w:val="clear" w:pos="360"/>
      </w:tabs>
      <w:autoSpaceDE w:val="0"/>
      <w:autoSpaceDN w:val="0"/>
      <w:adjustRightInd w:val="0"/>
      <w:spacing w:before="60"/>
      <w:ind w:left="357" w:right="68" w:hanging="357"/>
    </w:pPr>
    <w:rPr>
      <w:rFonts w:cs="Times New Roman"/>
      <w:kern w:val="28"/>
      <w:szCs w:val="22"/>
      <w:lang w:val="en-GB"/>
    </w:rPr>
  </w:style>
  <w:style w:type="character" w:customStyle="1" w:styleId="BalloonTextChar1">
    <w:name w:val="Balloon Text Char1"/>
    <w:basedOn w:val="DefaultParagraphFont"/>
    <w:link w:val="BalloonText"/>
    <w:uiPriority w:val="99"/>
    <w:semiHidden/>
    <w:locked/>
    <w:rsid w:val="006C2E16"/>
    <w:rPr>
      <w:rFonts w:ascii="Tahoma" w:eastAsia="Times New Roman" w:hAnsi="Tahoma" w:cs="Tahoma"/>
      <w:sz w:val="16"/>
      <w:szCs w:val="16"/>
      <w:lang w:eastAsia="en-AU"/>
    </w:rPr>
  </w:style>
  <w:style w:type="character" w:customStyle="1" w:styleId="CharChar1">
    <w:name w:val="Char Char1"/>
    <w:basedOn w:val="DefaultParagraphFont"/>
    <w:uiPriority w:val="99"/>
    <w:rsid w:val="006C2E16"/>
    <w:rPr>
      <w:rFonts w:ascii="Arial" w:hAnsi="Arial" w:cs="Arial"/>
      <w:color w:val="000000"/>
      <w:sz w:val="24"/>
      <w:szCs w:val="24"/>
      <w:lang w:val="en-AU" w:eastAsia="en-AU"/>
    </w:rPr>
  </w:style>
  <w:style w:type="paragraph" w:customStyle="1" w:styleId="Reportbody">
    <w:name w:val="Report_body"/>
    <w:basedOn w:val="Normal"/>
    <w:uiPriority w:val="99"/>
    <w:semiHidden/>
    <w:rsid w:val="006C2E16"/>
    <w:pPr>
      <w:spacing w:before="120" w:after="120" w:line="260" w:lineRule="exact"/>
    </w:pPr>
    <w:rPr>
      <w:rFonts w:ascii="Arial" w:eastAsia="MS Mincho" w:hAnsi="Arial" w:cs="Arial"/>
      <w:szCs w:val="22"/>
      <w:lang w:val="en-US"/>
    </w:rPr>
  </w:style>
  <w:style w:type="character" w:customStyle="1" w:styleId="ReportbodyChar">
    <w:name w:val="Report_body Char"/>
    <w:basedOn w:val="DefaultParagraphFont"/>
    <w:uiPriority w:val="99"/>
    <w:rsid w:val="006C2E16"/>
    <w:rPr>
      <w:rFonts w:ascii="Arial" w:eastAsia="MS Mincho" w:hAnsi="Arial" w:cs="Arial"/>
      <w:sz w:val="24"/>
      <w:szCs w:val="24"/>
      <w:lang w:val="en-US" w:eastAsia="en-US"/>
    </w:rPr>
  </w:style>
  <w:style w:type="paragraph" w:customStyle="1" w:styleId="CoverTitle1">
    <w:name w:val="CoverTitle1"/>
    <w:basedOn w:val="Normal"/>
    <w:autoRedefine/>
    <w:uiPriority w:val="99"/>
    <w:rsid w:val="006C2E16"/>
    <w:pPr>
      <w:spacing w:before="120" w:after="120" w:line="240" w:lineRule="auto"/>
      <w:ind w:left="180" w:hanging="180"/>
      <w:jc w:val="both"/>
    </w:pPr>
    <w:rPr>
      <w:rFonts w:ascii="Arial" w:eastAsia="Times New Roman" w:hAnsi="Arial" w:cs="Arial"/>
      <w:sz w:val="36"/>
      <w:szCs w:val="36"/>
      <w:lang w:eastAsia="en-AU"/>
    </w:rPr>
  </w:style>
  <w:style w:type="character" w:customStyle="1" w:styleId="CoverTitle2Char">
    <w:name w:val="CoverTitle2 Char"/>
    <w:basedOn w:val="DefaultParagraphFont"/>
    <w:uiPriority w:val="99"/>
    <w:rsid w:val="006C2E16"/>
    <w:rPr>
      <w:rFonts w:ascii="Arial" w:hAnsi="Arial" w:cs="Arial"/>
      <w:color w:val="000000"/>
      <w:sz w:val="22"/>
      <w:szCs w:val="22"/>
      <w:lang w:val="en-AU" w:eastAsia="en-AU"/>
    </w:rPr>
  </w:style>
  <w:style w:type="character" w:customStyle="1" w:styleId="CoverTitle1Char">
    <w:name w:val="CoverTitle1 Char"/>
    <w:basedOn w:val="DefaultParagraphFont"/>
    <w:uiPriority w:val="99"/>
    <w:rsid w:val="006C2E16"/>
    <w:rPr>
      <w:rFonts w:ascii="Arial" w:hAnsi="Arial" w:cs="Arial"/>
      <w:sz w:val="24"/>
      <w:szCs w:val="24"/>
      <w:lang w:val="en-AU" w:eastAsia="en-AU"/>
    </w:rPr>
  </w:style>
  <w:style w:type="paragraph" w:customStyle="1" w:styleId="CoverTitle3">
    <w:name w:val="CoverTitle3"/>
    <w:basedOn w:val="Normal"/>
    <w:uiPriority w:val="99"/>
    <w:semiHidden/>
    <w:rsid w:val="006C2E16"/>
    <w:pPr>
      <w:spacing w:before="100" w:after="100" w:line="240" w:lineRule="auto"/>
    </w:pPr>
    <w:rPr>
      <w:rFonts w:ascii="Arial" w:eastAsia="Times New Roman" w:hAnsi="Arial" w:cs="Arial"/>
      <w:color w:val="FFFFFF"/>
      <w:sz w:val="18"/>
      <w:szCs w:val="18"/>
      <w:lang w:eastAsia="en-AU"/>
    </w:rPr>
  </w:style>
  <w:style w:type="paragraph" w:customStyle="1" w:styleId="Notice">
    <w:name w:val="Notice"/>
    <w:basedOn w:val="BodyText"/>
    <w:uiPriority w:val="99"/>
    <w:semiHidden/>
    <w:rsid w:val="006C2E16"/>
    <w:pPr>
      <w:shd w:val="clear" w:color="auto" w:fill="D9D9D9"/>
      <w:autoSpaceDE w:val="0"/>
      <w:autoSpaceDN w:val="0"/>
      <w:adjustRightInd w:val="0"/>
      <w:spacing w:before="60"/>
      <w:ind w:right="68"/>
    </w:pPr>
    <w:rPr>
      <w:rFonts w:ascii="Arial" w:hAnsi="Arial" w:cs="Arial"/>
      <w:kern w:val="28"/>
      <w:szCs w:val="22"/>
      <w:lang w:val="en-GB"/>
    </w:rPr>
  </w:style>
  <w:style w:type="character" w:customStyle="1" w:styleId="Red">
    <w:name w:val="Red"/>
    <w:basedOn w:val="DefaultParagraphFont"/>
    <w:uiPriority w:val="99"/>
    <w:rsid w:val="006C2E16"/>
    <w:rPr>
      <w:rFonts w:ascii="Arial" w:hAnsi="Arial" w:cs="Arial"/>
      <w:color w:val="FF0000"/>
      <w:sz w:val="22"/>
      <w:szCs w:val="22"/>
    </w:rPr>
  </w:style>
  <w:style w:type="character" w:customStyle="1" w:styleId="CharChar12">
    <w:name w:val="Char Char12"/>
    <w:basedOn w:val="DefaultParagraphFont"/>
    <w:uiPriority w:val="99"/>
    <w:semiHidden/>
    <w:locked/>
    <w:rsid w:val="006C2E16"/>
    <w:rPr>
      <w:rFonts w:ascii="Book Antiqua" w:hAnsi="Book Antiqua" w:cs="Book Antiqua"/>
      <w:lang w:val="en-AU" w:eastAsia="en-AU"/>
    </w:rPr>
  </w:style>
  <w:style w:type="character" w:customStyle="1" w:styleId="CharChar7">
    <w:name w:val="Char Char7"/>
    <w:basedOn w:val="CharChar12"/>
    <w:uiPriority w:val="99"/>
    <w:semiHidden/>
    <w:locked/>
    <w:rsid w:val="006C2E16"/>
    <w:rPr>
      <w:rFonts w:ascii="Book Antiqua" w:hAnsi="Book Antiqua" w:cs="Book Antiqua"/>
      <w:b/>
      <w:bCs/>
      <w:lang w:val="en-AU" w:eastAsia="en-AU"/>
    </w:rPr>
  </w:style>
  <w:style w:type="character" w:customStyle="1" w:styleId="DocumentMapChar1">
    <w:name w:val="Document Map Char1"/>
    <w:basedOn w:val="DefaultParagraphFont"/>
    <w:link w:val="DocumentMap"/>
    <w:uiPriority w:val="99"/>
    <w:semiHidden/>
    <w:locked/>
    <w:rsid w:val="006C2E16"/>
    <w:rPr>
      <w:rFonts w:ascii="Tahoma" w:eastAsia="Times New Roman" w:hAnsi="Tahoma" w:cs="Tahoma"/>
      <w:sz w:val="22"/>
      <w:szCs w:val="24"/>
      <w:shd w:val="clear" w:color="auto" w:fill="000080"/>
      <w:lang w:eastAsia="en-AU"/>
    </w:rPr>
  </w:style>
  <w:style w:type="character" w:styleId="EndnoteReference">
    <w:name w:val="endnote reference"/>
    <w:basedOn w:val="DefaultParagraphFont"/>
    <w:uiPriority w:val="99"/>
    <w:semiHidden/>
    <w:rsid w:val="006C2E16"/>
    <w:rPr>
      <w:vertAlign w:val="superscript"/>
    </w:rPr>
  </w:style>
  <w:style w:type="paragraph" w:styleId="EndnoteText">
    <w:name w:val="endnote text"/>
    <w:basedOn w:val="Normal"/>
    <w:link w:val="EndnoteTextChar1"/>
    <w:uiPriority w:val="99"/>
    <w:semiHidden/>
    <w:rsid w:val="006C2E16"/>
    <w:pPr>
      <w:spacing w:before="120" w:after="120" w:line="240" w:lineRule="auto"/>
    </w:pPr>
    <w:rPr>
      <w:rFonts w:ascii="Arial" w:eastAsia="Times New Roman" w:hAnsi="Arial" w:cs="Arial"/>
      <w:sz w:val="20"/>
      <w:lang w:eastAsia="en-AU"/>
    </w:rPr>
  </w:style>
  <w:style w:type="character" w:customStyle="1" w:styleId="EndnoteTextChar">
    <w:name w:val="Endnote Text Char"/>
    <w:basedOn w:val="DefaultParagraphFont"/>
    <w:uiPriority w:val="99"/>
    <w:semiHidden/>
    <w:rsid w:val="006C2E16"/>
  </w:style>
  <w:style w:type="character" w:customStyle="1" w:styleId="EndnoteTextChar1">
    <w:name w:val="Endnote Text Char1"/>
    <w:basedOn w:val="DefaultParagraphFont"/>
    <w:link w:val="EndnoteText"/>
    <w:uiPriority w:val="99"/>
    <w:semiHidden/>
    <w:locked/>
    <w:rsid w:val="006C2E16"/>
    <w:rPr>
      <w:rFonts w:ascii="Arial" w:eastAsia="Times New Roman" w:hAnsi="Arial" w:cs="Arial"/>
      <w:lang w:eastAsia="en-AU"/>
    </w:rPr>
  </w:style>
  <w:style w:type="paragraph" w:styleId="Index1">
    <w:name w:val="index 1"/>
    <w:basedOn w:val="Normal"/>
    <w:next w:val="Normal"/>
    <w:autoRedefine/>
    <w:uiPriority w:val="99"/>
    <w:semiHidden/>
    <w:rsid w:val="006C2E16"/>
    <w:pPr>
      <w:spacing w:before="120" w:after="120" w:line="240" w:lineRule="auto"/>
      <w:ind w:left="220" w:hanging="220"/>
    </w:pPr>
    <w:rPr>
      <w:rFonts w:ascii="Arial" w:eastAsia="Times New Roman" w:hAnsi="Arial" w:cs="Arial"/>
      <w:szCs w:val="22"/>
      <w:lang w:eastAsia="en-AU"/>
    </w:rPr>
  </w:style>
  <w:style w:type="paragraph" w:styleId="Index2">
    <w:name w:val="index 2"/>
    <w:basedOn w:val="Normal"/>
    <w:next w:val="Normal"/>
    <w:autoRedefine/>
    <w:uiPriority w:val="99"/>
    <w:semiHidden/>
    <w:rsid w:val="006C2E16"/>
    <w:pPr>
      <w:spacing w:before="120" w:after="120" w:line="240" w:lineRule="auto"/>
      <w:ind w:left="440" w:hanging="220"/>
    </w:pPr>
    <w:rPr>
      <w:rFonts w:ascii="Arial" w:eastAsia="Times New Roman" w:hAnsi="Arial" w:cs="Arial"/>
      <w:szCs w:val="22"/>
      <w:lang w:eastAsia="en-AU"/>
    </w:rPr>
  </w:style>
  <w:style w:type="paragraph" w:styleId="Index3">
    <w:name w:val="index 3"/>
    <w:basedOn w:val="Normal"/>
    <w:next w:val="Normal"/>
    <w:autoRedefine/>
    <w:uiPriority w:val="99"/>
    <w:semiHidden/>
    <w:rsid w:val="006C2E16"/>
    <w:pPr>
      <w:spacing w:before="120" w:after="120" w:line="240" w:lineRule="auto"/>
      <w:ind w:left="660" w:hanging="220"/>
    </w:pPr>
    <w:rPr>
      <w:rFonts w:ascii="Arial" w:eastAsia="Times New Roman" w:hAnsi="Arial" w:cs="Arial"/>
      <w:szCs w:val="22"/>
      <w:lang w:eastAsia="en-AU"/>
    </w:rPr>
  </w:style>
  <w:style w:type="paragraph" w:styleId="Index4">
    <w:name w:val="index 4"/>
    <w:basedOn w:val="Normal"/>
    <w:next w:val="Normal"/>
    <w:autoRedefine/>
    <w:uiPriority w:val="99"/>
    <w:semiHidden/>
    <w:rsid w:val="006C2E16"/>
    <w:pPr>
      <w:spacing w:before="120" w:after="120" w:line="240" w:lineRule="auto"/>
      <w:ind w:left="880" w:hanging="220"/>
    </w:pPr>
    <w:rPr>
      <w:rFonts w:ascii="Arial" w:eastAsia="Times New Roman" w:hAnsi="Arial" w:cs="Arial"/>
      <w:szCs w:val="22"/>
      <w:lang w:eastAsia="en-AU"/>
    </w:rPr>
  </w:style>
  <w:style w:type="paragraph" w:styleId="Index5">
    <w:name w:val="index 5"/>
    <w:basedOn w:val="Normal"/>
    <w:next w:val="Normal"/>
    <w:autoRedefine/>
    <w:uiPriority w:val="99"/>
    <w:semiHidden/>
    <w:rsid w:val="006C2E16"/>
    <w:pPr>
      <w:spacing w:before="120" w:after="120" w:line="240" w:lineRule="auto"/>
      <w:ind w:left="1100" w:hanging="220"/>
    </w:pPr>
    <w:rPr>
      <w:rFonts w:ascii="Arial" w:eastAsia="Times New Roman" w:hAnsi="Arial" w:cs="Arial"/>
      <w:szCs w:val="22"/>
      <w:lang w:eastAsia="en-AU"/>
    </w:rPr>
  </w:style>
  <w:style w:type="paragraph" w:styleId="Index6">
    <w:name w:val="index 6"/>
    <w:basedOn w:val="Normal"/>
    <w:next w:val="Normal"/>
    <w:autoRedefine/>
    <w:uiPriority w:val="99"/>
    <w:semiHidden/>
    <w:rsid w:val="006C2E16"/>
    <w:pPr>
      <w:spacing w:before="120" w:after="120" w:line="240" w:lineRule="auto"/>
      <w:ind w:left="1320" w:hanging="220"/>
    </w:pPr>
    <w:rPr>
      <w:rFonts w:ascii="Arial" w:eastAsia="Times New Roman" w:hAnsi="Arial" w:cs="Arial"/>
      <w:szCs w:val="22"/>
      <w:lang w:eastAsia="en-AU"/>
    </w:rPr>
  </w:style>
  <w:style w:type="paragraph" w:styleId="Index7">
    <w:name w:val="index 7"/>
    <w:basedOn w:val="Normal"/>
    <w:next w:val="Normal"/>
    <w:autoRedefine/>
    <w:uiPriority w:val="99"/>
    <w:semiHidden/>
    <w:rsid w:val="006C2E16"/>
    <w:pPr>
      <w:spacing w:before="120" w:after="120" w:line="240" w:lineRule="auto"/>
      <w:ind w:left="1540" w:hanging="220"/>
    </w:pPr>
    <w:rPr>
      <w:rFonts w:ascii="Arial" w:eastAsia="Times New Roman" w:hAnsi="Arial" w:cs="Arial"/>
      <w:szCs w:val="22"/>
      <w:lang w:eastAsia="en-AU"/>
    </w:rPr>
  </w:style>
  <w:style w:type="paragraph" w:styleId="Index8">
    <w:name w:val="index 8"/>
    <w:basedOn w:val="Normal"/>
    <w:next w:val="Normal"/>
    <w:autoRedefine/>
    <w:uiPriority w:val="99"/>
    <w:semiHidden/>
    <w:rsid w:val="006C2E16"/>
    <w:pPr>
      <w:spacing w:before="120" w:after="120" w:line="240" w:lineRule="auto"/>
      <w:ind w:left="1760" w:hanging="220"/>
    </w:pPr>
    <w:rPr>
      <w:rFonts w:ascii="Arial" w:eastAsia="Times New Roman" w:hAnsi="Arial" w:cs="Arial"/>
      <w:szCs w:val="22"/>
      <w:lang w:eastAsia="en-AU"/>
    </w:rPr>
  </w:style>
  <w:style w:type="paragraph" w:styleId="Index9">
    <w:name w:val="index 9"/>
    <w:basedOn w:val="Normal"/>
    <w:next w:val="Normal"/>
    <w:autoRedefine/>
    <w:uiPriority w:val="99"/>
    <w:semiHidden/>
    <w:rsid w:val="006C2E16"/>
    <w:pPr>
      <w:spacing w:before="120" w:after="120" w:line="240" w:lineRule="auto"/>
      <w:ind w:left="1980" w:hanging="220"/>
    </w:pPr>
    <w:rPr>
      <w:rFonts w:ascii="Arial" w:eastAsia="Times New Roman" w:hAnsi="Arial" w:cs="Arial"/>
      <w:szCs w:val="22"/>
      <w:lang w:eastAsia="en-AU"/>
    </w:rPr>
  </w:style>
  <w:style w:type="paragraph" w:styleId="IndexHeading">
    <w:name w:val="index heading"/>
    <w:basedOn w:val="Normal"/>
    <w:next w:val="Index1"/>
    <w:uiPriority w:val="99"/>
    <w:semiHidden/>
    <w:rsid w:val="006C2E16"/>
    <w:pPr>
      <w:spacing w:before="120" w:after="120" w:line="240" w:lineRule="auto"/>
    </w:pPr>
    <w:rPr>
      <w:rFonts w:ascii="Arial" w:eastAsia="Times New Roman" w:hAnsi="Arial" w:cs="Arial"/>
      <w:b/>
      <w:bCs/>
      <w:szCs w:val="22"/>
      <w:lang w:eastAsia="en-AU"/>
    </w:rPr>
  </w:style>
  <w:style w:type="paragraph" w:styleId="MacroText">
    <w:name w:val="macro"/>
    <w:link w:val="MacroTextChar1"/>
    <w:uiPriority w:val="99"/>
    <w:semiHidden/>
    <w:rsid w:val="006C2E1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uiPriority w:val="99"/>
    <w:semiHidden/>
    <w:rsid w:val="006C2E16"/>
    <w:rPr>
      <w:rFonts w:ascii="Consolas" w:hAnsi="Consolas" w:cs="Consolas"/>
    </w:rPr>
  </w:style>
  <w:style w:type="character" w:customStyle="1" w:styleId="MacroTextChar1">
    <w:name w:val="Macro Text Char1"/>
    <w:basedOn w:val="DefaultParagraphFont"/>
    <w:link w:val="MacroText"/>
    <w:uiPriority w:val="99"/>
    <w:semiHidden/>
    <w:locked/>
    <w:rsid w:val="006C2E16"/>
    <w:rPr>
      <w:rFonts w:ascii="Courier New" w:eastAsia="Times New Roman" w:hAnsi="Courier New" w:cs="Courier New"/>
      <w:lang w:eastAsia="en-AU"/>
    </w:rPr>
  </w:style>
  <w:style w:type="paragraph" w:styleId="TOAHeading">
    <w:name w:val="toa heading"/>
    <w:basedOn w:val="Normal"/>
    <w:next w:val="Normal"/>
    <w:uiPriority w:val="99"/>
    <w:semiHidden/>
    <w:rsid w:val="006C2E16"/>
    <w:pPr>
      <w:spacing w:before="120" w:after="120" w:line="240" w:lineRule="auto"/>
    </w:pPr>
    <w:rPr>
      <w:rFonts w:ascii="Arial" w:eastAsia="Times New Roman" w:hAnsi="Arial" w:cs="Arial"/>
      <w:b/>
      <w:bCs/>
      <w:szCs w:val="24"/>
      <w:lang w:eastAsia="en-AU"/>
    </w:rPr>
  </w:style>
  <w:style w:type="character" w:customStyle="1" w:styleId="CharChar">
    <w:name w:val="Char Char"/>
    <w:basedOn w:val="DefaultParagraphFont"/>
    <w:uiPriority w:val="99"/>
    <w:rsid w:val="006C2E16"/>
    <w:rPr>
      <w:rFonts w:ascii="Arial Bold" w:hAnsi="Arial Bold" w:cs="Arial Bold"/>
      <w:b/>
      <w:bCs/>
      <w:caps/>
      <w:sz w:val="24"/>
      <w:szCs w:val="24"/>
      <w:lang w:val="en-AU" w:eastAsia="en-AU"/>
    </w:rPr>
  </w:style>
  <w:style w:type="paragraph" w:customStyle="1" w:styleId="Tableheading0">
    <w:name w:val="Table heading"/>
    <w:basedOn w:val="Caption"/>
    <w:next w:val="TableText0"/>
    <w:autoRedefine/>
    <w:uiPriority w:val="99"/>
    <w:semiHidden/>
    <w:rsid w:val="006C2E16"/>
    <w:pPr>
      <w:keepNext/>
      <w:spacing w:before="0" w:after="0" w:line="240" w:lineRule="atLeast"/>
    </w:pPr>
    <w:rPr>
      <w:rFonts w:ascii="Arial" w:hAnsi="Arial" w:cs="Arial"/>
      <w:b w:val="0"/>
      <w:bCs w:val="0"/>
      <w:color w:val="000000"/>
      <w:sz w:val="20"/>
      <w:szCs w:val="20"/>
    </w:rPr>
  </w:style>
  <w:style w:type="paragraph" w:customStyle="1" w:styleId="CommercialinConfidence">
    <w:name w:val="Commercial in Confidence"/>
    <w:basedOn w:val="Heading2"/>
    <w:uiPriority w:val="99"/>
    <w:semiHidden/>
    <w:rsid w:val="006C2E16"/>
    <w:pPr>
      <w:keepLines w:val="0"/>
      <w:tabs>
        <w:tab w:val="clear" w:pos="9180"/>
        <w:tab w:val="num" w:pos="360"/>
      </w:tabs>
      <w:autoSpaceDE/>
      <w:autoSpaceDN/>
      <w:adjustRightInd/>
      <w:spacing w:before="0" w:after="4" w:line="280" w:lineRule="exact"/>
    </w:pPr>
    <w:rPr>
      <w:rFonts w:ascii="Arial" w:hAnsi="Arial" w:cs="Arial"/>
      <w:color w:val="000000"/>
      <w:kern w:val="0"/>
      <w:sz w:val="28"/>
      <w:szCs w:val="28"/>
      <w:lang w:val="en-US"/>
    </w:rPr>
  </w:style>
  <w:style w:type="character" w:customStyle="1" w:styleId="BodyText2Char1">
    <w:name w:val="Body Text 2 Char1"/>
    <w:basedOn w:val="DefaultParagraphFont"/>
    <w:link w:val="BodyText2"/>
    <w:uiPriority w:val="99"/>
    <w:locked/>
    <w:rsid w:val="006C2E16"/>
    <w:rPr>
      <w:rFonts w:ascii="Book Antiqua" w:eastAsia="Times New Roman" w:hAnsi="Book Antiqua" w:cs="Book Antiqua"/>
      <w:sz w:val="16"/>
      <w:szCs w:val="16"/>
      <w:lang w:eastAsia="en-AU"/>
    </w:rPr>
  </w:style>
  <w:style w:type="paragraph" w:customStyle="1" w:styleId="Dot1">
    <w:name w:val="Dot 1"/>
    <w:basedOn w:val="BodyText"/>
    <w:uiPriority w:val="99"/>
    <w:semiHidden/>
    <w:rsid w:val="006C2E16"/>
    <w:pPr>
      <w:tabs>
        <w:tab w:val="left" w:pos="360"/>
      </w:tabs>
      <w:autoSpaceDE w:val="0"/>
      <w:autoSpaceDN w:val="0"/>
      <w:adjustRightInd w:val="0"/>
      <w:spacing w:before="60" w:after="160" w:line="280" w:lineRule="exact"/>
      <w:ind w:left="357" w:right="68" w:hanging="357"/>
    </w:pPr>
    <w:rPr>
      <w:rFonts w:ascii="Arial" w:hAnsi="Arial" w:cs="Arial"/>
      <w:kern w:val="28"/>
      <w:szCs w:val="22"/>
      <w:lang w:val="en-GB"/>
    </w:rPr>
  </w:style>
  <w:style w:type="paragraph" w:customStyle="1" w:styleId="Cover-Title">
    <w:name w:val="Cover - Title"/>
    <w:basedOn w:val="Heading1"/>
    <w:uiPriority w:val="99"/>
    <w:semiHidden/>
    <w:rsid w:val="006C2E16"/>
    <w:pPr>
      <w:keepNext w:val="0"/>
      <w:tabs>
        <w:tab w:val="num" w:pos="360"/>
      </w:tabs>
      <w:spacing w:before="360" w:after="240"/>
      <w:ind w:left="360" w:hanging="360"/>
    </w:pPr>
    <w:rPr>
      <w:rFonts w:ascii="Arial" w:hAnsi="Arial" w:cs="Arial"/>
      <w:kern w:val="32"/>
      <w:sz w:val="36"/>
      <w:szCs w:val="36"/>
    </w:rPr>
  </w:style>
  <w:style w:type="character" w:customStyle="1" w:styleId="CharChar2">
    <w:name w:val="Char Char2"/>
    <w:basedOn w:val="DefaultParagraphFont"/>
    <w:uiPriority w:val="99"/>
    <w:rsid w:val="006C2E16"/>
    <w:rPr>
      <w:rFonts w:ascii="Arial" w:hAnsi="Arial" w:cs="Arial"/>
      <w:kern w:val="28"/>
      <w:sz w:val="18"/>
      <w:szCs w:val="18"/>
      <w:lang w:val="en-AU" w:eastAsia="en-AU"/>
    </w:rPr>
  </w:style>
  <w:style w:type="paragraph" w:customStyle="1" w:styleId="Dot2">
    <w:name w:val="Dot 2"/>
    <w:basedOn w:val="ListBullet"/>
    <w:autoRedefine/>
    <w:uiPriority w:val="99"/>
    <w:semiHidden/>
    <w:rsid w:val="006C2E16"/>
    <w:pPr>
      <w:tabs>
        <w:tab w:val="left" w:pos="709"/>
      </w:tabs>
      <w:ind w:left="714"/>
    </w:pPr>
  </w:style>
  <w:style w:type="paragraph" w:customStyle="1" w:styleId="indent">
    <w:name w:val="indent"/>
    <w:basedOn w:val="BodyText"/>
    <w:next w:val="Normal"/>
    <w:uiPriority w:val="99"/>
    <w:semiHidden/>
    <w:rsid w:val="006C2E16"/>
    <w:pPr>
      <w:autoSpaceDE w:val="0"/>
      <w:autoSpaceDN w:val="0"/>
      <w:adjustRightInd w:val="0"/>
      <w:spacing w:before="60" w:line="280" w:lineRule="exact"/>
      <w:ind w:left="709" w:right="68"/>
    </w:pPr>
    <w:rPr>
      <w:rFonts w:ascii="Arial" w:hAnsi="Arial" w:cs="Arial"/>
      <w:kern w:val="28"/>
      <w:szCs w:val="22"/>
      <w:lang w:val="en-GB"/>
    </w:rPr>
  </w:style>
  <w:style w:type="character" w:customStyle="1" w:styleId="italic">
    <w:name w:val="italic"/>
    <w:basedOn w:val="DefaultParagraphFont"/>
    <w:uiPriority w:val="99"/>
    <w:semiHidden/>
    <w:rsid w:val="006C2E16"/>
    <w:rPr>
      <w:i/>
      <w:iCs/>
    </w:rPr>
  </w:style>
  <w:style w:type="paragraph" w:styleId="ListBullet2">
    <w:name w:val="List Bullet 2"/>
    <w:basedOn w:val="ListBullet"/>
    <w:autoRedefine/>
    <w:uiPriority w:val="99"/>
    <w:rsid w:val="006C2E16"/>
    <w:pPr>
      <w:numPr>
        <w:numId w:val="0"/>
      </w:numPr>
      <w:tabs>
        <w:tab w:val="left" w:pos="714"/>
      </w:tabs>
      <w:ind w:left="714" w:hanging="360"/>
    </w:pPr>
  </w:style>
  <w:style w:type="paragraph" w:customStyle="1" w:styleId="bodycopy">
    <w:name w:val="body copy"/>
    <w:basedOn w:val="Normal"/>
    <w:uiPriority w:val="99"/>
    <w:semiHidden/>
    <w:rsid w:val="006C2E16"/>
    <w:pPr>
      <w:suppressAutoHyphens/>
      <w:autoSpaceDE w:val="0"/>
      <w:autoSpaceDN w:val="0"/>
      <w:adjustRightInd w:val="0"/>
      <w:spacing w:before="120" w:after="102" w:line="250" w:lineRule="atLeast"/>
      <w:textAlignment w:val="baseline"/>
    </w:pPr>
    <w:rPr>
      <w:rFonts w:ascii="Gill Sans" w:eastAsia="Times New Roman" w:hAnsi="Gill Sans" w:cs="Gill Sans"/>
      <w:color w:val="000000"/>
      <w:sz w:val="18"/>
      <w:szCs w:val="18"/>
      <w:lang w:eastAsia="en-AU"/>
    </w:rPr>
  </w:style>
  <w:style w:type="paragraph" w:customStyle="1" w:styleId="Level3heading">
    <w:name w:val="Level 3 heading"/>
    <w:basedOn w:val="Normal"/>
    <w:uiPriority w:val="99"/>
    <w:semiHidden/>
    <w:rsid w:val="006C2E16"/>
    <w:pPr>
      <w:keepNext/>
      <w:keepLines/>
      <w:suppressAutoHyphens/>
      <w:autoSpaceDE w:val="0"/>
      <w:autoSpaceDN w:val="0"/>
      <w:adjustRightInd w:val="0"/>
      <w:spacing w:before="170" w:after="102" w:line="270" w:lineRule="atLeast"/>
      <w:textAlignment w:val="baseline"/>
    </w:pPr>
    <w:rPr>
      <w:rFonts w:ascii="Gill Sans" w:eastAsia="Times New Roman" w:hAnsi="Gill Sans" w:cs="Gill Sans"/>
      <w:color w:val="00DDC9"/>
      <w:szCs w:val="22"/>
      <w:lang w:eastAsia="en-AU"/>
    </w:rPr>
  </w:style>
  <w:style w:type="paragraph" w:customStyle="1" w:styleId="Level4heading">
    <w:name w:val="Level 4 heading"/>
    <w:basedOn w:val="Normal"/>
    <w:uiPriority w:val="99"/>
    <w:semiHidden/>
    <w:rsid w:val="006C2E1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color w:val="000000"/>
      <w:sz w:val="20"/>
      <w:lang w:eastAsia="en-AU"/>
    </w:rPr>
  </w:style>
  <w:style w:type="paragraph" w:customStyle="1" w:styleId="Level5heading">
    <w:name w:val="Level 5 heading"/>
    <w:basedOn w:val="Normal"/>
    <w:uiPriority w:val="99"/>
    <w:semiHidden/>
    <w:rsid w:val="006C2E1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i/>
      <w:iCs/>
      <w:color w:val="000000"/>
      <w:sz w:val="18"/>
      <w:szCs w:val="18"/>
      <w:lang w:eastAsia="en-AU"/>
    </w:rPr>
  </w:style>
  <w:style w:type="paragraph" w:customStyle="1" w:styleId="bullet">
    <w:name w:val="bullet"/>
    <w:basedOn w:val="bodycopy"/>
    <w:uiPriority w:val="99"/>
    <w:semiHidden/>
    <w:rsid w:val="006C2E16"/>
    <w:pPr>
      <w:ind w:left="170" w:hanging="170"/>
    </w:pPr>
  </w:style>
  <w:style w:type="paragraph" w:styleId="TableofFigures">
    <w:name w:val="table of figures"/>
    <w:basedOn w:val="Normal"/>
    <w:next w:val="Normal"/>
    <w:uiPriority w:val="99"/>
    <w:semiHidden/>
    <w:rsid w:val="006C2E16"/>
    <w:pPr>
      <w:spacing w:before="120" w:after="120" w:line="240" w:lineRule="auto"/>
    </w:pPr>
    <w:rPr>
      <w:rFonts w:ascii="Arial" w:eastAsia="Times New Roman" w:hAnsi="Arial" w:cs="Arial"/>
      <w:szCs w:val="22"/>
      <w:lang w:eastAsia="en-AU"/>
    </w:rPr>
  </w:style>
  <w:style w:type="paragraph" w:customStyle="1" w:styleId="BodyText1">
    <w:name w:val="Body Text1"/>
    <w:basedOn w:val="Normal"/>
    <w:uiPriority w:val="99"/>
    <w:semiHidden/>
    <w:rsid w:val="006C2E16"/>
    <w:pPr>
      <w:spacing w:before="120" w:after="240" w:line="280" w:lineRule="exact"/>
    </w:pPr>
    <w:rPr>
      <w:rFonts w:ascii="Book Antiqua" w:eastAsia="Times New Roman" w:hAnsi="Book Antiqua" w:cs="Times New Roman"/>
      <w:kern w:val="28"/>
      <w:szCs w:val="22"/>
      <w:lang w:eastAsia="en-AU"/>
    </w:rPr>
  </w:style>
  <w:style w:type="paragraph" w:customStyle="1" w:styleId="tablehead">
    <w:name w:val="table head"/>
    <w:basedOn w:val="Normal"/>
    <w:uiPriority w:val="99"/>
    <w:rsid w:val="006C2E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pPr>
    <w:rPr>
      <w:rFonts w:ascii="Book Antiqua" w:eastAsia="Times New Roman" w:hAnsi="Book Antiqua" w:cs="Times New Roman"/>
      <w:b/>
      <w:bCs/>
      <w:sz w:val="20"/>
      <w:lang w:eastAsia="en-AU"/>
    </w:rPr>
  </w:style>
  <w:style w:type="paragraph" w:customStyle="1" w:styleId="tablebody">
    <w:name w:val="table body"/>
    <w:basedOn w:val="Normal"/>
    <w:uiPriority w:val="99"/>
    <w:rsid w:val="006C2E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120" w:after="60" w:line="240" w:lineRule="auto"/>
    </w:pPr>
    <w:rPr>
      <w:rFonts w:ascii="Book Antiqua" w:eastAsia="Times New Roman" w:hAnsi="Book Antiqua" w:cs="Times New Roman"/>
      <w:sz w:val="20"/>
      <w:lang w:eastAsia="en-AU"/>
    </w:rPr>
  </w:style>
  <w:style w:type="paragraph" w:customStyle="1" w:styleId="figurecaption">
    <w:name w:val="figure caption"/>
    <w:next w:val="Normal"/>
    <w:uiPriority w:val="99"/>
    <w:rsid w:val="006C2E16"/>
    <w:pPr>
      <w:spacing w:after="240" w:line="240" w:lineRule="atLeast"/>
      <w:jc w:val="center"/>
    </w:pPr>
    <w:rPr>
      <w:rFonts w:ascii="Arial" w:eastAsia="Times New Roman" w:hAnsi="Arial" w:cs="Arial"/>
      <w:sz w:val="18"/>
      <w:szCs w:val="18"/>
      <w:lang w:eastAsia="en-AU"/>
    </w:rPr>
  </w:style>
  <w:style w:type="paragraph" w:styleId="PlainText">
    <w:name w:val="Plain Text"/>
    <w:basedOn w:val="Normal"/>
    <w:link w:val="PlainTextChar1"/>
    <w:uiPriority w:val="99"/>
    <w:rsid w:val="006C2E16"/>
    <w:pPr>
      <w:spacing w:before="120" w:after="120" w:line="240" w:lineRule="auto"/>
    </w:pPr>
    <w:rPr>
      <w:rFonts w:ascii="Courier New" w:eastAsia="Times New Roman" w:hAnsi="Courier New" w:cs="Courier New"/>
      <w:sz w:val="20"/>
    </w:rPr>
  </w:style>
  <w:style w:type="character" w:customStyle="1" w:styleId="PlainTextChar">
    <w:name w:val="Plain Text Char"/>
    <w:basedOn w:val="DefaultParagraphFont"/>
    <w:uiPriority w:val="99"/>
    <w:rsid w:val="006C2E16"/>
    <w:rPr>
      <w:rFonts w:ascii="Consolas" w:hAnsi="Consolas" w:cs="Consolas"/>
      <w:sz w:val="21"/>
      <w:szCs w:val="21"/>
    </w:rPr>
  </w:style>
  <w:style w:type="character" w:customStyle="1" w:styleId="PlainTextChar1">
    <w:name w:val="Plain Text Char1"/>
    <w:basedOn w:val="DefaultParagraphFont"/>
    <w:link w:val="PlainText"/>
    <w:uiPriority w:val="99"/>
    <w:locked/>
    <w:rsid w:val="006C2E16"/>
    <w:rPr>
      <w:rFonts w:ascii="Courier New" w:eastAsia="Times New Roman" w:hAnsi="Courier New" w:cs="Courier New"/>
    </w:rPr>
  </w:style>
  <w:style w:type="paragraph" w:customStyle="1" w:styleId="tablecaption">
    <w:name w:val="table caption"/>
    <w:next w:val="Normal"/>
    <w:uiPriority w:val="99"/>
    <w:rsid w:val="006C2E16"/>
    <w:pPr>
      <w:keepNext/>
      <w:spacing w:before="120" w:after="120" w:line="240" w:lineRule="atLeast"/>
    </w:pPr>
    <w:rPr>
      <w:rFonts w:ascii="Arial" w:eastAsia="Times New Roman" w:hAnsi="Arial" w:cs="Arial"/>
      <w:sz w:val="18"/>
      <w:szCs w:val="18"/>
      <w:lang w:eastAsia="en-AU"/>
    </w:rPr>
  </w:style>
  <w:style w:type="paragraph" w:customStyle="1" w:styleId="table1">
    <w:name w:val="table 1"/>
    <w:uiPriority w:val="99"/>
    <w:rsid w:val="006C2E16"/>
    <w:pPr>
      <w:spacing w:before="60" w:after="60" w:line="200" w:lineRule="atLeast"/>
    </w:pPr>
    <w:rPr>
      <w:rFonts w:ascii="Arial" w:eastAsia="Times New Roman" w:hAnsi="Arial" w:cs="Arial"/>
      <w:sz w:val="16"/>
      <w:szCs w:val="16"/>
      <w:lang w:eastAsia="en-AU"/>
    </w:rPr>
  </w:style>
  <w:style w:type="paragraph" w:customStyle="1" w:styleId="tablenote">
    <w:name w:val="table note"/>
    <w:basedOn w:val="table1"/>
    <w:uiPriority w:val="99"/>
    <w:rsid w:val="006C2E16"/>
    <w:pPr>
      <w:tabs>
        <w:tab w:val="left" w:pos="240"/>
      </w:tabs>
      <w:spacing w:after="180" w:line="180" w:lineRule="atLeast"/>
      <w:ind w:left="238" w:hanging="238"/>
    </w:pPr>
    <w:rPr>
      <w:sz w:val="14"/>
      <w:szCs w:val="14"/>
    </w:rPr>
  </w:style>
  <w:style w:type="paragraph" w:styleId="NormalIndent">
    <w:name w:val="Normal Indent"/>
    <w:basedOn w:val="Normal"/>
    <w:uiPriority w:val="99"/>
    <w:rsid w:val="006C2E16"/>
    <w:pPr>
      <w:spacing w:before="120" w:after="120" w:line="240" w:lineRule="auto"/>
      <w:ind w:firstLine="360"/>
    </w:pPr>
    <w:rPr>
      <w:rFonts w:ascii="Book Antiqua" w:eastAsia="Times New Roman" w:hAnsi="Book Antiqua" w:cs="Times New Roman"/>
      <w:szCs w:val="24"/>
      <w:lang w:eastAsia="en-AU"/>
    </w:rPr>
  </w:style>
  <w:style w:type="paragraph" w:customStyle="1" w:styleId="Normalno">
    <w:name w:val="Normal no #"/>
    <w:basedOn w:val="Normal"/>
    <w:uiPriority w:val="99"/>
    <w:rsid w:val="006C2E16"/>
    <w:pPr>
      <w:spacing w:before="120" w:after="120" w:line="240" w:lineRule="auto"/>
    </w:pPr>
    <w:rPr>
      <w:rFonts w:ascii="Book Antiqua" w:eastAsia="Times New Roman" w:hAnsi="Book Antiqua" w:cs="Times New Roman"/>
      <w:szCs w:val="24"/>
      <w:lang w:eastAsia="en-AU"/>
    </w:rPr>
  </w:style>
  <w:style w:type="paragraph" w:customStyle="1" w:styleId="referencelist1">
    <w:name w:val="reference list 1"/>
    <w:uiPriority w:val="99"/>
    <w:rsid w:val="006C2E16"/>
    <w:pPr>
      <w:spacing w:after="120" w:line="280" w:lineRule="atLeast"/>
      <w:ind w:left="360" w:hanging="360"/>
      <w:jc w:val="both"/>
    </w:pPr>
    <w:rPr>
      <w:rFonts w:ascii="Book Antiqua" w:eastAsia="Times New Roman" w:hAnsi="Book Antiqua" w:cs="Times New Roman"/>
      <w:sz w:val="22"/>
      <w:szCs w:val="22"/>
      <w:lang w:eastAsia="en-AU"/>
    </w:rPr>
  </w:style>
  <w:style w:type="character" w:customStyle="1" w:styleId="EmailStyle1861">
    <w:name w:val="EmailStyle1861"/>
    <w:basedOn w:val="DefaultParagraphFont"/>
    <w:uiPriority w:val="99"/>
    <w:semiHidden/>
    <w:rsid w:val="006C2E16"/>
    <w:rPr>
      <w:rFonts w:ascii="Arial" w:hAnsi="Arial" w:cs="Arial"/>
      <w:color w:val="auto"/>
      <w:sz w:val="20"/>
      <w:szCs w:val="20"/>
    </w:rPr>
  </w:style>
  <w:style w:type="paragraph" w:styleId="E-mailSignature">
    <w:name w:val="E-mail Signature"/>
    <w:basedOn w:val="Normal"/>
    <w:link w:val="E-mailSignatureChar1"/>
    <w:uiPriority w:val="99"/>
    <w:rsid w:val="006C2E16"/>
    <w:pPr>
      <w:spacing w:before="100" w:beforeAutospacing="1" w:after="100" w:afterAutospacing="1" w:line="240" w:lineRule="auto"/>
    </w:pPr>
    <w:rPr>
      <w:rFonts w:ascii="Book Antiqua" w:eastAsia="Times New Roman" w:hAnsi="Book Antiqua" w:cs="Times New Roman"/>
      <w:szCs w:val="24"/>
      <w:lang w:eastAsia="en-AU"/>
    </w:rPr>
  </w:style>
  <w:style w:type="character" w:customStyle="1" w:styleId="E-mailSignatureChar">
    <w:name w:val="E-mail Signature Char"/>
    <w:basedOn w:val="DefaultParagraphFont"/>
    <w:uiPriority w:val="99"/>
    <w:rsid w:val="006C2E16"/>
    <w:rPr>
      <w:sz w:val="22"/>
    </w:rPr>
  </w:style>
  <w:style w:type="character" w:customStyle="1" w:styleId="E-mailSignatureChar1">
    <w:name w:val="E-mail Signature Char1"/>
    <w:basedOn w:val="DefaultParagraphFont"/>
    <w:link w:val="E-mailSignature"/>
    <w:uiPriority w:val="99"/>
    <w:locked/>
    <w:rsid w:val="006C2E16"/>
    <w:rPr>
      <w:rFonts w:ascii="Book Antiqua" w:eastAsia="Times New Roman" w:hAnsi="Book Antiqua" w:cs="Times New Roman"/>
      <w:sz w:val="22"/>
      <w:szCs w:val="24"/>
      <w:lang w:eastAsia="en-AU"/>
    </w:rPr>
  </w:style>
  <w:style w:type="character" w:styleId="Emphasis">
    <w:name w:val="Emphasis"/>
    <w:basedOn w:val="DefaultParagraphFont"/>
    <w:uiPriority w:val="99"/>
    <w:rsid w:val="006C2E16"/>
    <w:rPr>
      <w:i/>
      <w:iCs/>
    </w:rPr>
  </w:style>
  <w:style w:type="character" w:customStyle="1" w:styleId="ListBulletChar1">
    <w:name w:val="List Bullet Char1"/>
    <w:basedOn w:val="BodyTextChar1"/>
    <w:link w:val="ListBullet"/>
    <w:uiPriority w:val="99"/>
    <w:locked/>
    <w:rsid w:val="006C2E16"/>
    <w:rPr>
      <w:rFonts w:ascii="Book Antiqua" w:eastAsia="Times New Roman" w:hAnsi="Book Antiqua" w:cs="Times New Roman"/>
      <w:kern w:val="28"/>
      <w:sz w:val="22"/>
      <w:szCs w:val="22"/>
      <w:lang w:val="en-GB" w:eastAsia="en-AU"/>
    </w:rPr>
  </w:style>
  <w:style w:type="paragraph" w:customStyle="1" w:styleId="Body">
    <w:name w:val="Body"/>
    <w:basedOn w:val="Normal"/>
    <w:link w:val="BodyChar"/>
    <w:uiPriority w:val="99"/>
    <w:rsid w:val="006C2E16"/>
    <w:pPr>
      <w:spacing w:before="120" w:after="120" w:line="240" w:lineRule="auto"/>
    </w:pPr>
    <w:rPr>
      <w:rFonts w:ascii="Book Antiqua" w:eastAsia="Times New Roman" w:hAnsi="Book Antiqua" w:cs="Times New Roman"/>
      <w:szCs w:val="24"/>
      <w:lang w:val="en-US"/>
    </w:rPr>
  </w:style>
  <w:style w:type="paragraph" w:customStyle="1" w:styleId="H1NoNumber">
    <w:name w:val="H1NoNumber"/>
    <w:basedOn w:val="Heading1"/>
    <w:uiPriority w:val="99"/>
    <w:rsid w:val="006C2E16"/>
    <w:pPr>
      <w:numPr>
        <w:numId w:val="0"/>
      </w:numPr>
      <w:tabs>
        <w:tab w:val="left" w:pos="851"/>
      </w:tabs>
      <w:spacing w:after="0"/>
    </w:pPr>
    <w:rPr>
      <w:rFonts w:cs="Times New Roman"/>
      <w:caps/>
      <w:kern w:val="32"/>
      <w:lang w:val="en-US" w:eastAsia="en-US"/>
    </w:rPr>
  </w:style>
  <w:style w:type="character" w:customStyle="1" w:styleId="CharChar21">
    <w:name w:val="Char Char21"/>
    <w:basedOn w:val="DefaultParagraphFont"/>
    <w:uiPriority w:val="99"/>
    <w:semiHidden/>
    <w:rsid w:val="006C2E16"/>
    <w:rPr>
      <w:rFonts w:ascii="Calibri" w:hAnsi="Calibri" w:cs="Calibri"/>
      <w:lang w:val="en-US" w:eastAsia="en-US"/>
    </w:rPr>
  </w:style>
  <w:style w:type="character" w:customStyle="1" w:styleId="EmailStyle1951">
    <w:name w:val="EmailStyle1951"/>
    <w:basedOn w:val="DefaultParagraphFont"/>
    <w:uiPriority w:val="99"/>
    <w:semiHidden/>
    <w:rsid w:val="006C2E16"/>
    <w:rPr>
      <w:color w:val="auto"/>
    </w:rPr>
  </w:style>
  <w:style w:type="character" w:customStyle="1" w:styleId="BodyChar">
    <w:name w:val="Body Char"/>
    <w:basedOn w:val="DefaultParagraphFont"/>
    <w:link w:val="Body"/>
    <w:uiPriority w:val="99"/>
    <w:locked/>
    <w:rsid w:val="006C2E16"/>
    <w:rPr>
      <w:rFonts w:ascii="Book Antiqua" w:eastAsia="Times New Roman" w:hAnsi="Book Antiqua" w:cs="Times New Roman"/>
      <w:sz w:val="22"/>
      <w:szCs w:val="24"/>
      <w:lang w:val="en-US"/>
    </w:rPr>
  </w:style>
  <w:style w:type="paragraph" w:styleId="Date">
    <w:name w:val="Date"/>
    <w:basedOn w:val="Normal"/>
    <w:next w:val="Normal"/>
    <w:link w:val="DateChar"/>
    <w:uiPriority w:val="99"/>
    <w:rsid w:val="006C2E16"/>
    <w:pPr>
      <w:spacing w:before="120" w:after="120" w:line="240" w:lineRule="auto"/>
    </w:pPr>
    <w:rPr>
      <w:rFonts w:ascii="Arial" w:eastAsia="Times New Roman" w:hAnsi="Arial" w:cs="Arial"/>
      <w:szCs w:val="22"/>
      <w:lang w:eastAsia="en-AU"/>
    </w:rPr>
  </w:style>
  <w:style w:type="character" w:customStyle="1" w:styleId="DateChar">
    <w:name w:val="Date Char"/>
    <w:basedOn w:val="DefaultParagraphFont"/>
    <w:link w:val="Date"/>
    <w:uiPriority w:val="99"/>
    <w:rsid w:val="006C2E16"/>
    <w:rPr>
      <w:rFonts w:ascii="Arial" w:eastAsia="Times New Roman" w:hAnsi="Arial" w:cs="Arial"/>
      <w:sz w:val="22"/>
      <w:szCs w:val="22"/>
      <w:lang w:eastAsia="en-AU"/>
    </w:rPr>
  </w:style>
  <w:style w:type="paragraph" w:customStyle="1" w:styleId="Indent2cm">
    <w:name w:val="Indent 2cm"/>
    <w:basedOn w:val="Normal"/>
    <w:uiPriority w:val="99"/>
    <w:rsid w:val="006C2E16"/>
    <w:pPr>
      <w:spacing w:before="160" w:after="160" w:line="240" w:lineRule="auto"/>
      <w:jc w:val="both"/>
    </w:pPr>
    <w:rPr>
      <w:rFonts w:ascii="Book Antiqua" w:eastAsia="Times New Roman" w:hAnsi="Book Antiqua" w:cs="Book Antiqua"/>
      <w:szCs w:val="24"/>
      <w:lang w:eastAsia="en-AU"/>
    </w:rPr>
  </w:style>
  <w:style w:type="character" w:customStyle="1" w:styleId="EmailStyle2001">
    <w:name w:val="EmailStyle2001"/>
    <w:basedOn w:val="DefaultParagraphFont"/>
    <w:uiPriority w:val="99"/>
    <w:semiHidden/>
    <w:rsid w:val="006C2E16"/>
    <w:rPr>
      <w:rFonts w:ascii="Arial" w:hAnsi="Arial" w:cs="Arial"/>
      <w:color w:val="000080"/>
      <w:sz w:val="20"/>
      <w:szCs w:val="20"/>
    </w:rPr>
  </w:style>
  <w:style w:type="character" w:customStyle="1" w:styleId="Heading2Char1">
    <w:name w:val="Heading 2 Char1"/>
    <w:basedOn w:val="DefaultParagraphFont"/>
    <w:uiPriority w:val="99"/>
    <w:locked/>
    <w:rsid w:val="006C2E16"/>
    <w:rPr>
      <w:rFonts w:ascii="Arial Bold" w:hAnsi="Arial Bold" w:cs="Arial Bold"/>
      <w:b/>
      <w:bCs/>
      <w:caps/>
      <w:kern w:val="28"/>
      <w:sz w:val="22"/>
      <w:szCs w:val="22"/>
      <w:lang w:val="en-AU" w:eastAsia="en-US"/>
    </w:rPr>
  </w:style>
  <w:style w:type="character" w:customStyle="1" w:styleId="Heading1Char1">
    <w:name w:val="Heading 1 Char1"/>
    <w:basedOn w:val="DefaultParagraphFont"/>
    <w:uiPriority w:val="99"/>
    <w:locked/>
    <w:rsid w:val="006C2E16"/>
    <w:rPr>
      <w:rFonts w:ascii="Book Antiqua" w:hAnsi="Book Antiqua" w:cs="Book Antiqua"/>
      <w:b/>
      <w:bCs/>
      <w:kern w:val="28"/>
      <w:sz w:val="28"/>
      <w:szCs w:val="28"/>
      <w:lang w:val="en-AU" w:eastAsia="en-AU"/>
    </w:rPr>
  </w:style>
  <w:style w:type="character" w:customStyle="1" w:styleId="CaptionChar">
    <w:name w:val="Caption Char"/>
    <w:aliases w:val="Map Char"/>
    <w:basedOn w:val="DefaultParagraphFont"/>
    <w:uiPriority w:val="99"/>
    <w:locked/>
    <w:rsid w:val="006C2E16"/>
    <w:rPr>
      <w:rFonts w:ascii="Book Antiqua" w:hAnsi="Book Antiqua" w:cs="Book Antiqua"/>
      <w:b/>
      <w:bCs/>
      <w:sz w:val="24"/>
      <w:szCs w:val="24"/>
      <w:lang w:val="en-AU" w:eastAsia="en-AU"/>
    </w:rPr>
  </w:style>
  <w:style w:type="character" w:customStyle="1" w:styleId="EmailStyle2041">
    <w:name w:val="EmailStyle2041"/>
    <w:basedOn w:val="DefaultParagraphFont"/>
    <w:uiPriority w:val="99"/>
    <w:semiHidden/>
    <w:rsid w:val="006C2E16"/>
    <w:rPr>
      <w:rFonts w:ascii="Arial" w:hAnsi="Arial" w:cs="Arial"/>
      <w:color w:val="auto"/>
      <w:sz w:val="20"/>
      <w:szCs w:val="20"/>
    </w:rPr>
  </w:style>
  <w:style w:type="character" w:customStyle="1" w:styleId="ListBulletChar">
    <w:name w:val="List Bullet Char"/>
    <w:basedOn w:val="BodyTextChar"/>
    <w:uiPriority w:val="99"/>
    <w:locked/>
    <w:rsid w:val="006C2E16"/>
    <w:rPr>
      <w:rFonts w:ascii="Book Antiqua" w:hAnsi="Book Antiqua" w:cs="Book Antiqua"/>
      <w:b/>
      <w:bCs/>
      <w:kern w:val="28"/>
      <w:sz w:val="22"/>
      <w:szCs w:val="22"/>
      <w:lang w:val="en-GB" w:eastAsia="en-AU"/>
    </w:rPr>
  </w:style>
  <w:style w:type="character" w:customStyle="1" w:styleId="EmailStyle2061">
    <w:name w:val="EmailStyle2061"/>
    <w:basedOn w:val="DefaultParagraphFont"/>
    <w:uiPriority w:val="99"/>
    <w:semiHidden/>
    <w:rsid w:val="006C2E16"/>
    <w:rPr>
      <w:color w:val="auto"/>
    </w:rPr>
  </w:style>
  <w:style w:type="character" w:customStyle="1" w:styleId="CommentTextChar1">
    <w:name w:val="Comment Text Char1"/>
    <w:basedOn w:val="DefaultParagraphFont"/>
    <w:uiPriority w:val="99"/>
    <w:semiHidden/>
    <w:locked/>
    <w:rsid w:val="006C2E16"/>
    <w:rPr>
      <w:rFonts w:ascii="Book Antiqua" w:hAnsi="Book Antiqua" w:cs="Book Antiqua"/>
      <w:lang w:val="en-AU" w:eastAsia="en-AU"/>
    </w:rPr>
  </w:style>
  <w:style w:type="paragraph" w:customStyle="1" w:styleId="StyleHeading2LeftBefore18ptAfter12pt">
    <w:name w:val="Style Heading 2 + Left Before:  18 pt After:  12 pt"/>
    <w:basedOn w:val="Heading2"/>
    <w:uiPriority w:val="99"/>
    <w:rsid w:val="006C2E16"/>
  </w:style>
  <w:style w:type="paragraph" w:customStyle="1" w:styleId="StyleHeading4Before6ptAfter6pt">
    <w:name w:val="Style Heading 4 + Before:  6 pt After:  6 pt"/>
    <w:basedOn w:val="Heading4"/>
    <w:uiPriority w:val="99"/>
    <w:rsid w:val="006C2E16"/>
    <w:pPr>
      <w:tabs>
        <w:tab w:val="left" w:pos="737"/>
      </w:tabs>
      <w:ind w:left="737" w:hanging="737"/>
    </w:pPr>
  </w:style>
  <w:style w:type="numbering" w:styleId="111111">
    <w:name w:val="Outline List 2"/>
    <w:basedOn w:val="NoList"/>
    <w:uiPriority w:val="99"/>
    <w:semiHidden/>
    <w:unhideWhenUsed/>
    <w:rsid w:val="006C2E16"/>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0"/>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rsid w:val="001C69C4"/>
    <w:pPr>
      <w:spacing w:line="260" w:lineRule="atLeast"/>
    </w:pPr>
    <w:rPr>
      <w:sz w:val="22"/>
    </w:rPr>
  </w:style>
  <w:style w:type="paragraph" w:styleId="Heading1">
    <w:name w:val="heading 1"/>
    <w:basedOn w:val="text"/>
    <w:next w:val="text"/>
    <w:link w:val="Heading1Char2"/>
    <w:autoRedefine/>
    <w:uiPriority w:val="99"/>
    <w:qFormat/>
    <w:rsid w:val="001C6BE7"/>
    <w:pPr>
      <w:keepNext/>
      <w:pageBreakBefore/>
      <w:numPr>
        <w:numId w:val="5"/>
      </w:numPr>
      <w:tabs>
        <w:tab w:val="clear" w:pos="720"/>
      </w:tabs>
      <w:spacing w:before="0"/>
      <w:ind w:left="709" w:hanging="709"/>
      <w:outlineLvl w:val="0"/>
    </w:pPr>
    <w:rPr>
      <w:b/>
      <w:bCs/>
      <w:kern w:val="28"/>
      <w:sz w:val="32"/>
      <w:szCs w:val="32"/>
    </w:rPr>
  </w:style>
  <w:style w:type="paragraph" w:styleId="Heading2">
    <w:name w:val="heading 2"/>
    <w:basedOn w:val="Heading1"/>
    <w:next w:val="Normal"/>
    <w:link w:val="Heading2Char2"/>
    <w:autoRedefine/>
    <w:uiPriority w:val="99"/>
    <w:qFormat/>
    <w:rsid w:val="006C2E16"/>
    <w:pPr>
      <w:pageBreakBefore w:val="0"/>
      <w:numPr>
        <w:ilvl w:val="1"/>
      </w:numPr>
      <w:tabs>
        <w:tab w:val="clear" w:pos="576"/>
        <w:tab w:val="left" w:pos="709"/>
        <w:tab w:val="left" w:pos="9180"/>
      </w:tabs>
      <w:autoSpaceDE w:val="0"/>
      <w:autoSpaceDN w:val="0"/>
      <w:adjustRightInd w:val="0"/>
      <w:spacing w:before="240" w:after="0"/>
      <w:ind w:left="709" w:hanging="709"/>
      <w:outlineLvl w:val="1"/>
    </w:pPr>
    <w:rPr>
      <w:sz w:val="24"/>
      <w:szCs w:val="24"/>
      <w:lang w:eastAsia="en-US"/>
    </w:rPr>
  </w:style>
  <w:style w:type="paragraph" w:styleId="Heading3">
    <w:name w:val="heading 3"/>
    <w:basedOn w:val="Heading2"/>
    <w:next w:val="Normal"/>
    <w:link w:val="Heading3Char1"/>
    <w:uiPriority w:val="99"/>
    <w:qFormat/>
    <w:rsid w:val="006C2E16"/>
    <w:pPr>
      <w:numPr>
        <w:ilvl w:val="2"/>
      </w:numPr>
      <w:outlineLvl w:val="2"/>
    </w:pPr>
    <w:rPr>
      <w:sz w:val="22"/>
      <w:szCs w:val="22"/>
    </w:rPr>
  </w:style>
  <w:style w:type="paragraph" w:styleId="Heading4">
    <w:name w:val="heading 4"/>
    <w:basedOn w:val="Normal"/>
    <w:next w:val="Normal"/>
    <w:link w:val="Heading4Char1"/>
    <w:autoRedefine/>
    <w:uiPriority w:val="99"/>
    <w:qFormat/>
    <w:rsid w:val="006C2E16"/>
    <w:pPr>
      <w:keepNext/>
      <w:numPr>
        <w:ilvl w:val="3"/>
        <w:numId w:val="5"/>
      </w:numPr>
      <w:tabs>
        <w:tab w:val="left" w:pos="1134"/>
      </w:tabs>
      <w:spacing w:before="120" w:after="120" w:line="240" w:lineRule="auto"/>
      <w:jc w:val="both"/>
      <w:outlineLvl w:val="3"/>
    </w:pPr>
    <w:rPr>
      <w:rFonts w:ascii="Book Antiqua" w:eastAsia="Times New Roman" w:hAnsi="Book Antiqua" w:cs="Book Antiqua"/>
      <w:i/>
      <w:iCs/>
      <w:kern w:val="28"/>
      <w:szCs w:val="22"/>
      <w:lang w:eastAsia="en-AU"/>
    </w:rPr>
  </w:style>
  <w:style w:type="paragraph" w:styleId="Heading5">
    <w:name w:val="heading 5"/>
    <w:basedOn w:val="Normal"/>
    <w:next w:val="Normal"/>
    <w:link w:val="Heading5Char1"/>
    <w:uiPriority w:val="99"/>
    <w:rsid w:val="006C2E16"/>
    <w:pPr>
      <w:keepNext/>
      <w:numPr>
        <w:ilvl w:val="4"/>
        <w:numId w:val="5"/>
      </w:numPr>
      <w:spacing w:before="120" w:after="120" w:line="240" w:lineRule="auto"/>
      <w:ind w:right="-2"/>
      <w:outlineLvl w:val="4"/>
    </w:pPr>
    <w:rPr>
      <w:rFonts w:ascii="Book Antiqua" w:eastAsia="Times New Roman" w:hAnsi="Book Antiqua" w:cs="Book Antiqua"/>
      <w:b/>
      <w:bCs/>
      <w:sz w:val="20"/>
      <w:lang w:eastAsia="en-AU"/>
    </w:rPr>
  </w:style>
  <w:style w:type="paragraph" w:styleId="Heading6">
    <w:name w:val="heading 6"/>
    <w:basedOn w:val="Normal"/>
    <w:next w:val="Normal"/>
    <w:link w:val="Heading6Char1"/>
    <w:uiPriority w:val="99"/>
    <w:rsid w:val="006C2E16"/>
    <w:pPr>
      <w:numPr>
        <w:ilvl w:val="5"/>
        <w:numId w:val="5"/>
      </w:numPr>
      <w:spacing w:before="240" w:after="60" w:line="240" w:lineRule="auto"/>
      <w:jc w:val="both"/>
      <w:outlineLvl w:val="5"/>
    </w:pPr>
    <w:rPr>
      <w:rFonts w:ascii="Book Antiqua" w:eastAsia="Times New Roman" w:hAnsi="Book Antiqua" w:cs="Times New Roman"/>
      <w:i/>
      <w:iCs/>
      <w:szCs w:val="22"/>
      <w:lang w:eastAsia="en-AU"/>
    </w:rPr>
  </w:style>
  <w:style w:type="paragraph" w:styleId="Heading7">
    <w:name w:val="heading 7"/>
    <w:basedOn w:val="Normal"/>
    <w:next w:val="Normal"/>
    <w:link w:val="Heading7Char1"/>
    <w:uiPriority w:val="99"/>
    <w:rsid w:val="006C2E16"/>
    <w:pPr>
      <w:numPr>
        <w:ilvl w:val="6"/>
        <w:numId w:val="5"/>
      </w:numPr>
      <w:spacing w:before="240" w:after="60" w:line="240" w:lineRule="auto"/>
      <w:jc w:val="both"/>
      <w:outlineLvl w:val="6"/>
    </w:pPr>
    <w:rPr>
      <w:rFonts w:ascii="Arial" w:eastAsia="Times New Roman" w:hAnsi="Arial" w:cs="Arial"/>
      <w:sz w:val="20"/>
      <w:lang w:eastAsia="en-AU"/>
    </w:rPr>
  </w:style>
  <w:style w:type="paragraph" w:styleId="Heading8">
    <w:name w:val="heading 8"/>
    <w:basedOn w:val="Normal"/>
    <w:next w:val="Normal"/>
    <w:link w:val="Heading8Char1"/>
    <w:uiPriority w:val="99"/>
    <w:rsid w:val="006C2E16"/>
    <w:pPr>
      <w:numPr>
        <w:ilvl w:val="7"/>
        <w:numId w:val="5"/>
      </w:numPr>
      <w:spacing w:before="240" w:after="60" w:line="240" w:lineRule="auto"/>
      <w:jc w:val="both"/>
      <w:outlineLvl w:val="7"/>
    </w:pPr>
    <w:rPr>
      <w:rFonts w:ascii="Arial" w:eastAsia="Times New Roman" w:hAnsi="Arial" w:cs="Arial"/>
      <w:i/>
      <w:iCs/>
      <w:sz w:val="20"/>
      <w:lang w:eastAsia="en-AU"/>
    </w:rPr>
  </w:style>
  <w:style w:type="paragraph" w:styleId="Heading9">
    <w:name w:val="heading 9"/>
    <w:basedOn w:val="Normal"/>
    <w:next w:val="Normal"/>
    <w:link w:val="Heading9Char1"/>
    <w:uiPriority w:val="99"/>
    <w:rsid w:val="006C2E16"/>
    <w:pPr>
      <w:numPr>
        <w:ilvl w:val="8"/>
        <w:numId w:val="5"/>
      </w:numPr>
      <w:spacing w:before="240" w:after="60" w:line="240" w:lineRule="auto"/>
      <w:jc w:val="both"/>
      <w:outlineLvl w:val="8"/>
    </w:pPr>
    <w:rPr>
      <w:rFonts w:ascii="Arial" w:eastAsia="Times New Roman" w:hAnsi="Arial" w:cs="Arial"/>
      <w:b/>
      <w:bCs/>
      <w:i/>
      <w:iC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D1344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8754D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754D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754D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99"/>
    <w:semiHidden/>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99"/>
    <w:semiHidden/>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99"/>
    <w:semiHidden/>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99"/>
    <w:semiHidden/>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99"/>
    <w:semiHidden/>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664C63"/>
    <w:rPr>
      <w:rFonts w:eastAsia="Times New Roman" w:cs="Times New Roman"/>
      <w:sz w:val="22"/>
      <w:szCs w:val="24"/>
      <w:lang w:eastAsia="en-AU"/>
    </w:rPr>
  </w:style>
  <w:style w:type="character" w:styleId="LineNumber">
    <w:name w:val="line number"/>
    <w:basedOn w:val="OPCCharBase"/>
    <w:uiPriority w:val="99"/>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uiPriority w:val="99"/>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basedOn w:val="DefaultParagraphFont"/>
    <w:uiPriority w:val="99"/>
    <w:rsid w:val="006C2E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uiPriority w:val="99"/>
    <w:rsid w:val="006C2E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9"/>
    <w:rsid w:val="006C2E1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uiPriority w:val="99"/>
    <w:rsid w:val="006C2E1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uiPriority w:val="99"/>
    <w:rsid w:val="006C2E16"/>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uiPriority w:val="99"/>
    <w:rsid w:val="006C2E16"/>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uiPriority w:val="99"/>
    <w:rsid w:val="006C2E1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uiPriority w:val="99"/>
    <w:rsid w:val="006C2E1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uiPriority w:val="99"/>
    <w:rsid w:val="006C2E16"/>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1"/>
    <w:uiPriority w:val="99"/>
    <w:semiHidden/>
    <w:rsid w:val="006C2E16"/>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uiPriority w:val="99"/>
    <w:semiHidden/>
    <w:rsid w:val="006C2E16"/>
    <w:rPr>
      <w:rFonts w:ascii="Tahoma" w:hAnsi="Tahoma" w:cs="Tahoma"/>
      <w:sz w:val="16"/>
      <w:szCs w:val="16"/>
    </w:rPr>
  </w:style>
  <w:style w:type="paragraph" w:customStyle="1" w:styleId="DotpointCONSITES">
    <w:name w:val="Dotpoint CON SITES"/>
    <w:basedOn w:val="Normal"/>
    <w:next w:val="Normal"/>
    <w:autoRedefine/>
    <w:uiPriority w:val="99"/>
    <w:rsid w:val="006C2E16"/>
    <w:pPr>
      <w:spacing w:before="120" w:after="120" w:line="240" w:lineRule="auto"/>
      <w:jc w:val="both"/>
    </w:pPr>
    <w:rPr>
      <w:rFonts w:ascii="Book Antiqua" w:eastAsia="Times New Roman" w:hAnsi="Book Antiqua" w:cs="Book Antiqua"/>
      <w:b/>
      <w:bCs/>
      <w:szCs w:val="24"/>
      <w:lang w:eastAsia="en-AU"/>
    </w:rPr>
  </w:style>
  <w:style w:type="paragraph" w:customStyle="1" w:styleId="TableheadCONSITES">
    <w:name w:val="Tablehead CON SITES"/>
    <w:basedOn w:val="Normal"/>
    <w:next w:val="Normal"/>
    <w:uiPriority w:val="99"/>
    <w:rsid w:val="006C2E16"/>
    <w:pPr>
      <w:spacing w:before="120" w:after="120" w:line="240" w:lineRule="auto"/>
      <w:jc w:val="center"/>
    </w:pPr>
    <w:rPr>
      <w:rFonts w:ascii="Book Antiqua" w:eastAsia="Times New Roman" w:hAnsi="Book Antiqua" w:cs="Book Antiqua"/>
      <w:b/>
      <w:bCs/>
      <w:szCs w:val="24"/>
      <w:lang w:eastAsia="en-AU"/>
    </w:rPr>
  </w:style>
  <w:style w:type="character" w:styleId="PageNumber">
    <w:name w:val="page number"/>
    <w:basedOn w:val="DefaultParagraphFont"/>
    <w:rsid w:val="006C2E16"/>
  </w:style>
  <w:style w:type="paragraph" w:styleId="BlockText">
    <w:name w:val="Block Text"/>
    <w:basedOn w:val="Normal"/>
    <w:uiPriority w:val="99"/>
    <w:rsid w:val="006C2E16"/>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Book Antiqua"/>
      <w:szCs w:val="24"/>
      <w:lang w:eastAsia="en-AU"/>
    </w:rPr>
  </w:style>
  <w:style w:type="paragraph" w:customStyle="1" w:styleId="Glossary">
    <w:name w:val="Glossary"/>
    <w:basedOn w:val="Normal"/>
    <w:link w:val="GlossaryChar"/>
    <w:uiPriority w:val="99"/>
    <w:rsid w:val="006C2E16"/>
    <w:pPr>
      <w:keepLines/>
      <w:spacing w:before="120" w:after="120" w:line="240" w:lineRule="auto"/>
      <w:jc w:val="both"/>
    </w:pPr>
    <w:rPr>
      <w:rFonts w:ascii="Book Antiqua" w:eastAsia="Times New Roman" w:hAnsi="Book Antiqua" w:cs="Book Antiqua"/>
      <w:szCs w:val="24"/>
      <w:lang w:eastAsia="en-AU"/>
    </w:rPr>
  </w:style>
  <w:style w:type="paragraph" w:customStyle="1" w:styleId="TableText0">
    <w:name w:val="Table Text"/>
    <w:basedOn w:val="Normal"/>
    <w:uiPriority w:val="99"/>
    <w:rsid w:val="006C2E16"/>
    <w:pPr>
      <w:spacing w:before="60" w:after="60" w:line="240" w:lineRule="auto"/>
    </w:pPr>
    <w:rPr>
      <w:rFonts w:ascii="Book Antiqua" w:eastAsia="Times New Roman" w:hAnsi="Book Antiqua" w:cs="Book Antiqua"/>
      <w:sz w:val="20"/>
      <w:lang w:eastAsia="en-AU"/>
    </w:rPr>
  </w:style>
  <w:style w:type="paragraph" w:customStyle="1" w:styleId="Dotpoint2ndCONSITES">
    <w:name w:val="Dotpoint 2ndCON SITES"/>
    <w:basedOn w:val="DotpointCONSITES"/>
    <w:uiPriority w:val="99"/>
    <w:rsid w:val="006C2E16"/>
    <w:pPr>
      <w:numPr>
        <w:ilvl w:val="1"/>
        <w:numId w:val="2"/>
      </w:numPr>
      <w:tabs>
        <w:tab w:val="clear" w:pos="720"/>
        <w:tab w:val="num" w:pos="851"/>
      </w:tabs>
      <w:ind w:left="851" w:hanging="284"/>
    </w:pPr>
  </w:style>
  <w:style w:type="paragraph" w:customStyle="1" w:styleId="DotpointiCONSITES">
    <w:name w:val="Dotpoint (i)CON SITES"/>
    <w:basedOn w:val="DotpointCONSITES"/>
    <w:uiPriority w:val="99"/>
    <w:rsid w:val="006C2E16"/>
    <w:pPr>
      <w:numPr>
        <w:numId w:val="3"/>
      </w:numPr>
      <w:tabs>
        <w:tab w:val="clear" w:pos="720"/>
        <w:tab w:val="num" w:pos="567"/>
      </w:tabs>
      <w:ind w:left="567" w:hanging="567"/>
    </w:pPr>
  </w:style>
  <w:style w:type="paragraph" w:customStyle="1" w:styleId="AppendixHeading">
    <w:name w:val="Appendix Heading"/>
    <w:basedOn w:val="Heading1"/>
    <w:uiPriority w:val="99"/>
    <w:rsid w:val="006C2E16"/>
    <w:pPr>
      <w:numPr>
        <w:numId w:val="0"/>
      </w:numPr>
      <w:spacing w:after="0"/>
      <w:jc w:val="center"/>
    </w:pPr>
  </w:style>
  <w:style w:type="paragraph" w:customStyle="1" w:styleId="text">
    <w:name w:val="text"/>
    <w:basedOn w:val="Normal"/>
    <w:link w:val="textChar"/>
    <w:autoRedefine/>
    <w:qFormat/>
    <w:rsid w:val="001C6BE7"/>
    <w:pPr>
      <w:keepLines/>
      <w:spacing w:before="120" w:after="120" w:line="240" w:lineRule="auto"/>
      <w:ind w:left="720" w:hanging="720"/>
    </w:pPr>
    <w:rPr>
      <w:rFonts w:ascii="Book Antiqua" w:eastAsia="Times New Roman" w:hAnsi="Book Antiqua" w:cs="Book Antiqua"/>
      <w:szCs w:val="22"/>
      <w:lang w:eastAsia="en-AU"/>
    </w:rPr>
  </w:style>
  <w:style w:type="paragraph" w:customStyle="1" w:styleId="Dot-points">
    <w:name w:val="Dot-points"/>
    <w:basedOn w:val="text"/>
    <w:uiPriority w:val="99"/>
    <w:qFormat/>
    <w:rsid w:val="006C2E16"/>
    <w:pPr>
      <w:spacing w:before="0"/>
      <w:ind w:left="357" w:hanging="357"/>
    </w:pPr>
  </w:style>
  <w:style w:type="paragraph" w:customStyle="1" w:styleId="GlossaryHeading">
    <w:name w:val="Glossary Heading"/>
    <w:basedOn w:val="Heading1"/>
    <w:uiPriority w:val="99"/>
    <w:rsid w:val="006C2E16"/>
    <w:pPr>
      <w:numPr>
        <w:numId w:val="0"/>
      </w:numPr>
      <w:spacing w:after="0"/>
      <w:jc w:val="center"/>
    </w:pPr>
  </w:style>
  <w:style w:type="character" w:customStyle="1" w:styleId="Highlight">
    <w:name w:val="Highlight"/>
    <w:basedOn w:val="DefaultParagraphFont"/>
    <w:uiPriority w:val="99"/>
    <w:rsid w:val="006C2E16"/>
    <w:rPr>
      <w:rFonts w:ascii="Book Antiqua" w:hAnsi="Book Antiqua" w:cs="Book Antiqua"/>
      <w:b/>
      <w:bCs/>
      <w:sz w:val="22"/>
      <w:szCs w:val="22"/>
    </w:rPr>
  </w:style>
  <w:style w:type="paragraph" w:customStyle="1" w:styleId="Level1">
    <w:name w:val="Level 1"/>
    <w:basedOn w:val="Heading2"/>
    <w:uiPriority w:val="99"/>
    <w:rsid w:val="006C2E16"/>
    <w:pPr>
      <w:numPr>
        <w:ilvl w:val="0"/>
        <w:numId w:val="0"/>
      </w:numPr>
    </w:pPr>
  </w:style>
  <w:style w:type="paragraph" w:customStyle="1" w:styleId="Level2">
    <w:name w:val="Level 2"/>
    <w:basedOn w:val="Heading3"/>
    <w:uiPriority w:val="99"/>
    <w:rsid w:val="006C2E16"/>
    <w:pPr>
      <w:numPr>
        <w:ilvl w:val="0"/>
        <w:numId w:val="0"/>
      </w:numPr>
    </w:pPr>
  </w:style>
  <w:style w:type="paragraph" w:customStyle="1" w:styleId="Level3">
    <w:name w:val="Level 3"/>
    <w:basedOn w:val="Heading4"/>
    <w:uiPriority w:val="99"/>
    <w:rsid w:val="006C2E16"/>
    <w:pPr>
      <w:numPr>
        <w:ilvl w:val="0"/>
        <w:numId w:val="0"/>
      </w:numPr>
    </w:pPr>
  </w:style>
  <w:style w:type="paragraph" w:customStyle="1" w:styleId="TitleHeading">
    <w:name w:val="Title Heading"/>
    <w:basedOn w:val="text"/>
    <w:rsid w:val="006C2E16"/>
    <w:pPr>
      <w:spacing w:before="20" w:after="20"/>
      <w:ind w:left="1985"/>
      <w:jc w:val="center"/>
    </w:pPr>
    <w:rPr>
      <w:rFonts w:ascii="Arial Bold" w:hAnsi="Arial Bold" w:cs="Arial Bold"/>
      <w:b/>
      <w:bCs/>
      <w:sz w:val="40"/>
      <w:szCs w:val="40"/>
    </w:rPr>
  </w:style>
  <w:style w:type="paragraph" w:customStyle="1" w:styleId="NationalHeading">
    <w:name w:val="National Heading"/>
    <w:basedOn w:val="TitleHeading"/>
    <w:uiPriority w:val="99"/>
    <w:rsid w:val="006C2E16"/>
  </w:style>
  <w:style w:type="paragraph" w:styleId="FootnoteText">
    <w:name w:val="footnote text"/>
    <w:basedOn w:val="Normal"/>
    <w:link w:val="FootnoteTextChar1"/>
    <w:uiPriority w:val="99"/>
    <w:semiHidden/>
    <w:rsid w:val="006C2E16"/>
    <w:pPr>
      <w:spacing w:before="120" w:after="120" w:line="240" w:lineRule="auto"/>
      <w:ind w:left="142" w:hanging="142"/>
      <w:jc w:val="both"/>
    </w:pPr>
    <w:rPr>
      <w:rFonts w:ascii="Book Antiqua" w:eastAsia="Times New Roman" w:hAnsi="Book Antiqua" w:cs="Book Antiqua"/>
      <w:sz w:val="14"/>
      <w:szCs w:val="14"/>
    </w:rPr>
  </w:style>
  <w:style w:type="character" w:customStyle="1" w:styleId="FootnoteTextChar">
    <w:name w:val="Footnote Text Char"/>
    <w:basedOn w:val="DefaultParagraphFont"/>
    <w:uiPriority w:val="99"/>
    <w:semiHidden/>
    <w:rsid w:val="006C2E16"/>
  </w:style>
  <w:style w:type="paragraph" w:customStyle="1" w:styleId="OutlineLev1">
    <w:name w:val="Outline Lev 1"/>
    <w:basedOn w:val="Normal"/>
    <w:uiPriority w:val="99"/>
    <w:rsid w:val="006C2E16"/>
    <w:pPr>
      <w:numPr>
        <w:numId w:val="6"/>
      </w:numPr>
      <w:spacing w:before="240" w:after="100" w:line="240" w:lineRule="auto"/>
      <w:jc w:val="both"/>
    </w:pPr>
    <w:rPr>
      <w:rFonts w:ascii="Book Antiqua" w:eastAsia="Times New Roman" w:hAnsi="Book Antiqua" w:cs="Book Antiqua"/>
      <w:szCs w:val="24"/>
      <w:lang w:eastAsia="en-AU"/>
    </w:rPr>
  </w:style>
  <w:style w:type="paragraph" w:customStyle="1" w:styleId="OutlineLev2">
    <w:name w:val="Outline Lev 2"/>
    <w:basedOn w:val="Normal"/>
    <w:uiPriority w:val="99"/>
    <w:rsid w:val="006C2E16"/>
    <w:pPr>
      <w:numPr>
        <w:ilvl w:val="1"/>
        <w:numId w:val="6"/>
      </w:numPr>
      <w:spacing w:before="20" w:after="20" w:line="240" w:lineRule="auto"/>
      <w:jc w:val="both"/>
    </w:pPr>
    <w:rPr>
      <w:rFonts w:ascii="Book Antiqua" w:eastAsia="Times New Roman" w:hAnsi="Book Antiqua" w:cs="Book Antiqua"/>
      <w:szCs w:val="24"/>
      <w:lang w:eastAsia="en-AU"/>
    </w:rPr>
  </w:style>
  <w:style w:type="paragraph" w:styleId="TOCHeading">
    <w:name w:val="TOC Heading"/>
    <w:basedOn w:val="Heading2"/>
    <w:uiPriority w:val="99"/>
    <w:rsid w:val="006C2E16"/>
    <w:pPr>
      <w:numPr>
        <w:ilvl w:val="0"/>
        <w:numId w:val="0"/>
      </w:numPr>
      <w:spacing w:before="120"/>
      <w:jc w:val="center"/>
    </w:pPr>
    <w:rPr>
      <w:rFonts w:ascii="Arial" w:hAnsi="Arial" w:cs="Arial"/>
      <w:sz w:val="32"/>
      <w:szCs w:val="32"/>
    </w:rPr>
  </w:style>
  <w:style w:type="character" w:styleId="CommentReference">
    <w:name w:val="annotation reference"/>
    <w:basedOn w:val="DefaultParagraphFont"/>
    <w:uiPriority w:val="99"/>
    <w:semiHidden/>
    <w:rsid w:val="006C2E16"/>
    <w:rPr>
      <w:sz w:val="16"/>
      <w:szCs w:val="16"/>
    </w:rPr>
  </w:style>
  <w:style w:type="paragraph" w:styleId="CommentText">
    <w:name w:val="annotation text"/>
    <w:basedOn w:val="Normal"/>
    <w:link w:val="CommentTextChar2"/>
    <w:uiPriority w:val="99"/>
    <w:semiHidden/>
    <w:rsid w:val="006C2E16"/>
    <w:pPr>
      <w:spacing w:before="120" w:after="120" w:line="240" w:lineRule="auto"/>
      <w:jc w:val="both"/>
    </w:pPr>
    <w:rPr>
      <w:rFonts w:ascii="Book Antiqua" w:eastAsia="Times New Roman" w:hAnsi="Book Antiqua" w:cs="Book Antiqua"/>
      <w:sz w:val="20"/>
      <w:lang w:eastAsia="en-AU"/>
    </w:rPr>
  </w:style>
  <w:style w:type="character" w:customStyle="1" w:styleId="CommentTextChar">
    <w:name w:val="Comment Text Char"/>
    <w:basedOn w:val="DefaultParagraphFont"/>
    <w:uiPriority w:val="99"/>
    <w:semiHidden/>
    <w:rsid w:val="006C2E16"/>
  </w:style>
  <w:style w:type="character" w:customStyle="1" w:styleId="CommentTextChar2">
    <w:name w:val="Comment Text Char2"/>
    <w:basedOn w:val="DefaultParagraphFont"/>
    <w:link w:val="CommentText"/>
    <w:uiPriority w:val="99"/>
    <w:semiHidden/>
    <w:locked/>
    <w:rsid w:val="006C2E16"/>
    <w:rPr>
      <w:rFonts w:ascii="Book Antiqua" w:eastAsia="Times New Roman" w:hAnsi="Book Antiqua" w:cs="Book Antiqua"/>
      <w:lang w:eastAsia="en-AU"/>
    </w:rPr>
  </w:style>
  <w:style w:type="paragraph" w:styleId="CommentSubject">
    <w:name w:val="annotation subject"/>
    <w:basedOn w:val="CommentText"/>
    <w:next w:val="CommentText"/>
    <w:link w:val="CommentSubjectChar1"/>
    <w:uiPriority w:val="99"/>
    <w:semiHidden/>
    <w:rsid w:val="006C2E16"/>
    <w:rPr>
      <w:b/>
      <w:bCs/>
    </w:rPr>
  </w:style>
  <w:style w:type="character" w:customStyle="1" w:styleId="CommentSubjectChar">
    <w:name w:val="Comment Subject Char"/>
    <w:basedOn w:val="CommentTextChar"/>
    <w:uiPriority w:val="99"/>
    <w:semiHidden/>
    <w:rsid w:val="006C2E16"/>
    <w:rPr>
      <w:b/>
      <w:bCs/>
    </w:rPr>
  </w:style>
  <w:style w:type="character" w:customStyle="1" w:styleId="CommentSubjectChar1">
    <w:name w:val="Comment Subject Char1"/>
    <w:basedOn w:val="CommentTextChar2"/>
    <w:link w:val="CommentSubject"/>
    <w:uiPriority w:val="99"/>
    <w:semiHidden/>
    <w:locked/>
    <w:rsid w:val="006C2E16"/>
    <w:rPr>
      <w:rFonts w:ascii="Book Antiqua" w:eastAsia="Times New Roman" w:hAnsi="Book Antiqua" w:cs="Book Antiqua"/>
      <w:b/>
      <w:bCs/>
      <w:lang w:eastAsia="en-AU"/>
    </w:rPr>
  </w:style>
  <w:style w:type="character" w:styleId="FootnoteReference">
    <w:name w:val="footnote reference"/>
    <w:basedOn w:val="DefaultParagraphFont"/>
    <w:uiPriority w:val="99"/>
    <w:semiHidden/>
    <w:rsid w:val="006C2E16"/>
    <w:rPr>
      <w:rFonts w:ascii="Book Antiqua" w:hAnsi="Book Antiqua" w:cs="Book Antiqua"/>
      <w:vertAlign w:val="superscript"/>
    </w:rPr>
  </w:style>
  <w:style w:type="paragraph" w:styleId="BodyText3">
    <w:name w:val="Body Text 3"/>
    <w:basedOn w:val="Normal"/>
    <w:link w:val="BodyText3Char"/>
    <w:uiPriority w:val="99"/>
    <w:rsid w:val="006C2E16"/>
    <w:pPr>
      <w:spacing w:before="120" w:after="120" w:line="240" w:lineRule="auto"/>
    </w:pPr>
    <w:rPr>
      <w:rFonts w:ascii="Book Antiqua" w:eastAsia="Times New Roman" w:hAnsi="Book Antiqua" w:cs="Book Antiqua"/>
      <w:i/>
      <w:iCs/>
      <w:color w:val="FF0000"/>
      <w:szCs w:val="22"/>
    </w:rPr>
  </w:style>
  <w:style w:type="character" w:customStyle="1" w:styleId="BodyText3Char">
    <w:name w:val="Body Text 3 Char"/>
    <w:basedOn w:val="DefaultParagraphFont"/>
    <w:link w:val="BodyText3"/>
    <w:uiPriority w:val="99"/>
    <w:rsid w:val="006C2E16"/>
    <w:rPr>
      <w:rFonts w:ascii="Book Antiqua" w:eastAsia="Times New Roman" w:hAnsi="Book Antiqua" w:cs="Book Antiqua"/>
      <w:i/>
      <w:iCs/>
      <w:color w:val="FF0000"/>
      <w:sz w:val="22"/>
      <w:szCs w:val="22"/>
    </w:rPr>
  </w:style>
  <w:style w:type="paragraph" w:styleId="Revision">
    <w:name w:val="Revision"/>
    <w:hidden/>
    <w:uiPriority w:val="99"/>
    <w:semiHidden/>
    <w:rsid w:val="006C2E16"/>
    <w:rPr>
      <w:rFonts w:ascii="Book Antiqua" w:eastAsia="Times New Roman" w:hAnsi="Book Antiqua" w:cs="Book Antiqua"/>
      <w:sz w:val="24"/>
      <w:szCs w:val="24"/>
      <w:lang w:eastAsia="en-AU"/>
    </w:rPr>
  </w:style>
  <w:style w:type="character" w:styleId="Hyperlink">
    <w:name w:val="Hyperlink"/>
    <w:basedOn w:val="DefaultParagraphFont"/>
    <w:uiPriority w:val="99"/>
    <w:rsid w:val="006C2E16"/>
    <w:rPr>
      <w:color w:val="0000FF"/>
      <w:u w:val="single"/>
    </w:rPr>
  </w:style>
  <w:style w:type="paragraph" w:customStyle="1" w:styleId="Default">
    <w:name w:val="Default"/>
    <w:uiPriority w:val="99"/>
    <w:rsid w:val="006C2E16"/>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uiPriority w:val="99"/>
    <w:rsid w:val="006C2E16"/>
    <w:rPr>
      <w:color w:val="auto"/>
    </w:rPr>
  </w:style>
  <w:style w:type="paragraph" w:customStyle="1" w:styleId="glossary0">
    <w:name w:val="glossary"/>
    <w:basedOn w:val="Normal"/>
    <w:uiPriority w:val="99"/>
    <w:rsid w:val="006C2E16"/>
    <w:pPr>
      <w:autoSpaceDE w:val="0"/>
      <w:autoSpaceDN w:val="0"/>
      <w:spacing w:before="100" w:after="100" w:line="240" w:lineRule="auto"/>
    </w:pPr>
    <w:rPr>
      <w:rFonts w:ascii="Book Antiqua" w:eastAsia="Times New Roman" w:hAnsi="Book Antiqua" w:cs="Book Antiqua"/>
      <w:szCs w:val="24"/>
      <w:lang w:eastAsia="en-AU"/>
    </w:rPr>
  </w:style>
  <w:style w:type="paragraph" w:customStyle="1" w:styleId="Style1">
    <w:name w:val="Style1"/>
    <w:basedOn w:val="Heading2"/>
    <w:uiPriority w:val="99"/>
    <w:rsid w:val="006C2E16"/>
    <w:rPr>
      <w:rFonts w:ascii="Arial" w:hAnsi="Arial" w:cs="Arial"/>
    </w:rPr>
  </w:style>
  <w:style w:type="paragraph" w:customStyle="1" w:styleId="StyleTitleHeading22pt">
    <w:name w:val="Style Title Heading + 22 pt"/>
    <w:basedOn w:val="TitleHeading"/>
    <w:uiPriority w:val="99"/>
    <w:rsid w:val="006C2E16"/>
    <w:rPr>
      <w:caps/>
    </w:rPr>
  </w:style>
  <w:style w:type="paragraph" w:customStyle="1" w:styleId="StyleglossaryJustified">
    <w:name w:val="Style glossary + Justified"/>
    <w:basedOn w:val="glossary0"/>
    <w:uiPriority w:val="99"/>
    <w:rsid w:val="006C2E16"/>
    <w:pPr>
      <w:jc w:val="both"/>
    </w:pPr>
    <w:rPr>
      <w:szCs w:val="22"/>
    </w:rPr>
  </w:style>
  <w:style w:type="paragraph" w:customStyle="1" w:styleId="StyletextArialBold">
    <w:name w:val="Style text + Arial Bold"/>
    <w:basedOn w:val="text"/>
    <w:link w:val="StyletextArialBoldChar"/>
    <w:uiPriority w:val="99"/>
    <w:rsid w:val="006C2E16"/>
    <w:rPr>
      <w:rFonts w:ascii="Arial" w:hAnsi="Arial" w:cs="Arial"/>
      <w:b/>
      <w:bCs/>
    </w:rPr>
  </w:style>
  <w:style w:type="character" w:customStyle="1" w:styleId="textChar">
    <w:name w:val="text Char"/>
    <w:basedOn w:val="DefaultParagraphFont"/>
    <w:link w:val="text"/>
    <w:locked/>
    <w:rsid w:val="001C6BE7"/>
    <w:rPr>
      <w:rFonts w:ascii="Book Antiqua" w:eastAsia="Times New Roman" w:hAnsi="Book Antiqua" w:cs="Book Antiqua"/>
      <w:sz w:val="22"/>
      <w:szCs w:val="22"/>
      <w:lang w:eastAsia="en-AU"/>
    </w:rPr>
  </w:style>
  <w:style w:type="character" w:customStyle="1" w:styleId="StyletextArialBoldChar">
    <w:name w:val="Style text + Arial Bold Char"/>
    <w:basedOn w:val="textChar"/>
    <w:link w:val="StyletextArialBold"/>
    <w:uiPriority w:val="99"/>
    <w:locked/>
    <w:rsid w:val="006C2E16"/>
    <w:rPr>
      <w:rFonts w:ascii="Arial" w:eastAsia="Times New Roman" w:hAnsi="Arial" w:cs="Arial"/>
      <w:b/>
      <w:bCs/>
      <w:sz w:val="22"/>
      <w:szCs w:val="22"/>
      <w:lang w:eastAsia="en-AU"/>
    </w:rPr>
  </w:style>
  <w:style w:type="character" w:styleId="Strong">
    <w:name w:val="Strong"/>
    <w:basedOn w:val="DefaultParagraphFont"/>
    <w:uiPriority w:val="99"/>
    <w:rsid w:val="006C2E16"/>
    <w:rPr>
      <w:b/>
      <w:bCs/>
    </w:rPr>
  </w:style>
  <w:style w:type="paragraph" w:styleId="BodyText">
    <w:name w:val="Body Text"/>
    <w:basedOn w:val="Normal"/>
    <w:link w:val="BodyTextChar1"/>
    <w:uiPriority w:val="99"/>
    <w:rsid w:val="006C2E16"/>
    <w:pPr>
      <w:spacing w:before="120" w:after="120" w:line="240" w:lineRule="auto"/>
      <w:jc w:val="both"/>
    </w:pPr>
    <w:rPr>
      <w:rFonts w:ascii="Book Antiqua" w:eastAsia="Times New Roman" w:hAnsi="Book Antiqua" w:cs="Book Antiqua"/>
      <w:szCs w:val="24"/>
      <w:lang w:eastAsia="en-AU"/>
    </w:rPr>
  </w:style>
  <w:style w:type="character" w:customStyle="1" w:styleId="BodyTextChar">
    <w:name w:val="Body Text Char"/>
    <w:basedOn w:val="DefaultParagraphFont"/>
    <w:uiPriority w:val="99"/>
    <w:rsid w:val="006C2E16"/>
    <w:rPr>
      <w:sz w:val="22"/>
    </w:rPr>
  </w:style>
  <w:style w:type="paragraph" w:styleId="DocumentMap">
    <w:name w:val="Document Map"/>
    <w:basedOn w:val="Normal"/>
    <w:link w:val="DocumentMapChar1"/>
    <w:uiPriority w:val="99"/>
    <w:semiHidden/>
    <w:rsid w:val="006C2E16"/>
    <w:pPr>
      <w:keepLines/>
      <w:shd w:val="clear" w:color="auto" w:fill="000080"/>
      <w:tabs>
        <w:tab w:val="left" w:pos="2943"/>
        <w:tab w:val="left" w:pos="9180"/>
      </w:tabs>
      <w:spacing w:before="20" w:after="20" w:line="240" w:lineRule="auto"/>
      <w:jc w:val="both"/>
    </w:pPr>
    <w:rPr>
      <w:rFonts w:ascii="Tahoma" w:eastAsia="Times New Roman" w:hAnsi="Tahoma" w:cs="Tahoma"/>
      <w:szCs w:val="24"/>
      <w:lang w:eastAsia="en-AU"/>
    </w:rPr>
  </w:style>
  <w:style w:type="character" w:customStyle="1" w:styleId="DocumentMapChar">
    <w:name w:val="Document Map Char"/>
    <w:basedOn w:val="DefaultParagraphFont"/>
    <w:uiPriority w:val="99"/>
    <w:semiHidden/>
    <w:rsid w:val="006C2E16"/>
    <w:rPr>
      <w:rFonts w:ascii="Tahoma" w:hAnsi="Tahoma" w:cs="Tahoma"/>
      <w:sz w:val="16"/>
      <w:szCs w:val="16"/>
    </w:rPr>
  </w:style>
  <w:style w:type="character" w:customStyle="1" w:styleId="FootnoteTextChar1">
    <w:name w:val="Footnote Text Char1"/>
    <w:basedOn w:val="DefaultParagraphFont"/>
    <w:link w:val="FootnoteText"/>
    <w:uiPriority w:val="99"/>
    <w:semiHidden/>
    <w:locked/>
    <w:rsid w:val="006C2E16"/>
    <w:rPr>
      <w:rFonts w:ascii="Book Antiqua" w:eastAsia="Times New Roman" w:hAnsi="Book Antiqua" w:cs="Book Antiqua"/>
      <w:sz w:val="14"/>
      <w:szCs w:val="14"/>
    </w:rPr>
  </w:style>
  <w:style w:type="paragraph" w:styleId="Caption">
    <w:name w:val="caption"/>
    <w:aliases w:val="Map"/>
    <w:basedOn w:val="Normal"/>
    <w:next w:val="Normal"/>
    <w:link w:val="CaptionChar1"/>
    <w:uiPriority w:val="99"/>
    <w:qFormat/>
    <w:rsid w:val="006C2E16"/>
    <w:pPr>
      <w:spacing w:before="120" w:after="120" w:line="240" w:lineRule="auto"/>
      <w:ind w:left="142"/>
    </w:pPr>
    <w:rPr>
      <w:rFonts w:ascii="Book Antiqua" w:eastAsia="Times New Roman" w:hAnsi="Book Antiqua" w:cs="Book Antiqua"/>
      <w:b/>
      <w:bCs/>
      <w:szCs w:val="22"/>
      <w:lang w:eastAsia="en-AU"/>
    </w:rPr>
  </w:style>
  <w:style w:type="paragraph" w:styleId="BodyText2">
    <w:name w:val="Body Text 2"/>
    <w:basedOn w:val="Normal"/>
    <w:link w:val="BodyText2Char1"/>
    <w:uiPriority w:val="99"/>
    <w:rsid w:val="006C2E16"/>
    <w:pPr>
      <w:spacing w:before="20" w:after="20" w:line="240" w:lineRule="auto"/>
      <w:jc w:val="center"/>
    </w:pPr>
    <w:rPr>
      <w:rFonts w:ascii="Book Antiqua" w:eastAsia="Times New Roman" w:hAnsi="Book Antiqua" w:cs="Book Antiqua"/>
      <w:sz w:val="16"/>
      <w:szCs w:val="16"/>
      <w:lang w:eastAsia="en-AU"/>
    </w:rPr>
  </w:style>
  <w:style w:type="character" w:customStyle="1" w:styleId="BodyText2Char">
    <w:name w:val="Body Text 2 Char"/>
    <w:basedOn w:val="DefaultParagraphFont"/>
    <w:uiPriority w:val="99"/>
    <w:rsid w:val="006C2E16"/>
    <w:rPr>
      <w:sz w:val="22"/>
    </w:rPr>
  </w:style>
  <w:style w:type="character" w:styleId="FollowedHyperlink">
    <w:name w:val="FollowedHyperlink"/>
    <w:basedOn w:val="DefaultParagraphFont"/>
    <w:uiPriority w:val="99"/>
    <w:rsid w:val="006C2E16"/>
    <w:rPr>
      <w:color w:val="800080"/>
      <w:u w:val="single"/>
    </w:rPr>
  </w:style>
  <w:style w:type="paragraph" w:customStyle="1" w:styleId="CharCharChar">
    <w:name w:val="Char Char Char"/>
    <w:basedOn w:val="Normal"/>
    <w:uiPriority w:val="99"/>
    <w:rsid w:val="006C2E16"/>
    <w:pPr>
      <w:spacing w:before="120" w:after="120" w:line="240" w:lineRule="auto"/>
    </w:pPr>
    <w:rPr>
      <w:rFonts w:ascii="Arial" w:eastAsia="Times New Roman" w:hAnsi="Arial" w:cs="Arial"/>
      <w:szCs w:val="22"/>
    </w:rPr>
  </w:style>
  <w:style w:type="paragraph" w:customStyle="1" w:styleId="Tablenumbers">
    <w:name w:val="Table numbers"/>
    <w:basedOn w:val="Normal"/>
    <w:link w:val="TablenumbersChar"/>
    <w:uiPriority w:val="99"/>
    <w:rsid w:val="006C2E16"/>
    <w:pPr>
      <w:spacing w:before="80" w:after="120" w:line="240" w:lineRule="auto"/>
      <w:ind w:right="113"/>
      <w:jc w:val="right"/>
    </w:pPr>
    <w:rPr>
      <w:rFonts w:ascii="Arial" w:eastAsia="Times New Roman" w:hAnsi="Arial" w:cs="Arial"/>
      <w:sz w:val="18"/>
      <w:szCs w:val="18"/>
      <w:lang w:val="en-US"/>
    </w:rPr>
  </w:style>
  <w:style w:type="character" w:customStyle="1" w:styleId="TablenumbersChar">
    <w:name w:val="Table numbers Char"/>
    <w:basedOn w:val="DefaultParagraphFont"/>
    <w:link w:val="Tablenumbers"/>
    <w:uiPriority w:val="99"/>
    <w:locked/>
    <w:rsid w:val="006C2E16"/>
    <w:rPr>
      <w:rFonts w:ascii="Arial" w:eastAsia="Times New Roman" w:hAnsi="Arial" w:cs="Arial"/>
      <w:sz w:val="18"/>
      <w:szCs w:val="18"/>
      <w:lang w:val="en-US"/>
    </w:rPr>
  </w:style>
  <w:style w:type="character" w:customStyle="1" w:styleId="EmailStyle981">
    <w:name w:val="EmailStyle981"/>
    <w:basedOn w:val="DefaultParagraphFont"/>
    <w:uiPriority w:val="99"/>
    <w:semiHidden/>
    <w:rsid w:val="006C2E16"/>
    <w:rPr>
      <w:rFonts w:ascii="Arial" w:hAnsi="Arial" w:cs="Arial"/>
      <w:color w:val="000080"/>
      <w:sz w:val="20"/>
      <w:szCs w:val="20"/>
    </w:rPr>
  </w:style>
  <w:style w:type="paragraph" w:customStyle="1" w:styleId="Table">
    <w:name w:val="Table"/>
    <w:basedOn w:val="Caption"/>
    <w:link w:val="TableChar"/>
    <w:uiPriority w:val="99"/>
    <w:rsid w:val="006C2E16"/>
    <w:pPr>
      <w:spacing w:line="220" w:lineRule="exact"/>
      <w:jc w:val="both"/>
    </w:pPr>
    <w:rPr>
      <w:rFonts w:ascii="Arial" w:hAnsi="Arial" w:cs="Arial"/>
      <w:b w:val="0"/>
      <w:bCs w:val="0"/>
      <w:kern w:val="28"/>
      <w:sz w:val="20"/>
      <w:szCs w:val="20"/>
    </w:rPr>
  </w:style>
  <w:style w:type="character" w:customStyle="1" w:styleId="TableChar">
    <w:name w:val="Table Char"/>
    <w:basedOn w:val="DefaultParagraphFont"/>
    <w:link w:val="Table"/>
    <w:uiPriority w:val="99"/>
    <w:locked/>
    <w:rsid w:val="006C2E16"/>
    <w:rPr>
      <w:rFonts w:ascii="Arial" w:eastAsia="Times New Roman" w:hAnsi="Arial" w:cs="Arial"/>
      <w:kern w:val="28"/>
      <w:lang w:eastAsia="en-AU"/>
    </w:rPr>
  </w:style>
  <w:style w:type="paragraph" w:styleId="NormalWeb">
    <w:name w:val="Normal (Web)"/>
    <w:basedOn w:val="Normal"/>
    <w:uiPriority w:val="99"/>
    <w:rsid w:val="006C2E16"/>
    <w:pPr>
      <w:spacing w:before="100" w:beforeAutospacing="1" w:after="100" w:afterAutospacing="1" w:line="240" w:lineRule="auto"/>
    </w:pPr>
    <w:rPr>
      <w:rFonts w:ascii="Book Antiqua" w:eastAsia="Times New Roman" w:hAnsi="Book Antiqua" w:cs="Times New Roman"/>
      <w:szCs w:val="24"/>
      <w:lang w:val="en-US"/>
    </w:rPr>
  </w:style>
  <w:style w:type="character" w:customStyle="1" w:styleId="Heading2Char2">
    <w:name w:val="Heading 2 Char2"/>
    <w:basedOn w:val="DefaultParagraphFont"/>
    <w:link w:val="Heading2"/>
    <w:uiPriority w:val="99"/>
    <w:locked/>
    <w:rsid w:val="006C2E16"/>
    <w:rPr>
      <w:rFonts w:ascii="Book Antiqua" w:eastAsia="Times New Roman" w:hAnsi="Book Antiqua" w:cs="Book Antiqua"/>
      <w:b/>
      <w:bCs/>
      <w:kern w:val="28"/>
      <w:sz w:val="24"/>
      <w:szCs w:val="24"/>
    </w:rPr>
  </w:style>
  <w:style w:type="paragraph" w:customStyle="1" w:styleId="Numbers">
    <w:name w:val="Numbers"/>
    <w:basedOn w:val="Normal"/>
    <w:uiPriority w:val="99"/>
    <w:rsid w:val="006C2E16"/>
    <w:pPr>
      <w:keepNext/>
      <w:tabs>
        <w:tab w:val="num" w:pos="3087"/>
      </w:tabs>
      <w:spacing w:before="240" w:after="100" w:line="240" w:lineRule="auto"/>
      <w:ind w:left="3087" w:hanging="360"/>
      <w:jc w:val="both"/>
    </w:pPr>
    <w:rPr>
      <w:rFonts w:ascii="Book Antiqua" w:eastAsia="Times New Roman" w:hAnsi="Book Antiqua" w:cs="Book Antiqua"/>
      <w:b/>
      <w:bCs/>
      <w:szCs w:val="24"/>
      <w:lang w:eastAsia="en-AU"/>
    </w:rPr>
  </w:style>
  <w:style w:type="character" w:customStyle="1" w:styleId="GlossaryChar">
    <w:name w:val="Glossary Char"/>
    <w:basedOn w:val="DefaultParagraphFont"/>
    <w:link w:val="Glossary"/>
    <w:uiPriority w:val="99"/>
    <w:locked/>
    <w:rsid w:val="006C2E16"/>
    <w:rPr>
      <w:rFonts w:ascii="Book Antiqua" w:eastAsia="Times New Roman" w:hAnsi="Book Antiqua" w:cs="Book Antiqua"/>
      <w:sz w:val="22"/>
      <w:szCs w:val="24"/>
      <w:lang w:eastAsia="en-AU"/>
    </w:rPr>
  </w:style>
  <w:style w:type="character" w:customStyle="1" w:styleId="Heading1Char2">
    <w:name w:val="Heading 1 Char2"/>
    <w:basedOn w:val="DefaultParagraphFont"/>
    <w:link w:val="Heading1"/>
    <w:uiPriority w:val="99"/>
    <w:locked/>
    <w:rsid w:val="001C6BE7"/>
    <w:rPr>
      <w:rFonts w:ascii="Book Antiqua" w:eastAsia="Times New Roman" w:hAnsi="Book Antiqua" w:cs="Book Antiqua"/>
      <w:b/>
      <w:bCs/>
      <w:kern w:val="28"/>
      <w:sz w:val="32"/>
      <w:szCs w:val="32"/>
      <w:lang w:eastAsia="en-AU"/>
    </w:rPr>
  </w:style>
  <w:style w:type="character" w:customStyle="1" w:styleId="CaptionChar1">
    <w:name w:val="Caption Char1"/>
    <w:aliases w:val="Map Char1"/>
    <w:basedOn w:val="DefaultParagraphFont"/>
    <w:link w:val="Caption"/>
    <w:uiPriority w:val="99"/>
    <w:locked/>
    <w:rsid w:val="006C2E16"/>
    <w:rPr>
      <w:rFonts w:ascii="Book Antiqua" w:eastAsia="Times New Roman" w:hAnsi="Book Antiqua" w:cs="Book Antiqua"/>
      <w:b/>
      <w:bCs/>
      <w:sz w:val="22"/>
      <w:szCs w:val="22"/>
      <w:lang w:eastAsia="en-AU"/>
    </w:rPr>
  </w:style>
  <w:style w:type="paragraph" w:styleId="Bibliography">
    <w:name w:val="Bibliography"/>
    <w:basedOn w:val="text"/>
    <w:uiPriority w:val="99"/>
    <w:rsid w:val="006C2E16"/>
    <w:pPr>
      <w:spacing w:after="60"/>
      <w:ind w:left="567" w:hanging="567"/>
    </w:pPr>
    <w:rPr>
      <w:lang w:val="de-DE"/>
    </w:rPr>
  </w:style>
  <w:style w:type="paragraph" w:customStyle="1" w:styleId="CoverTitle2">
    <w:name w:val="CoverTitle2"/>
    <w:basedOn w:val="Normal"/>
    <w:next w:val="Normal"/>
    <w:autoRedefine/>
    <w:uiPriority w:val="99"/>
    <w:rsid w:val="006C2E16"/>
    <w:pPr>
      <w:spacing w:before="120" w:after="120" w:line="280" w:lineRule="atLeast"/>
      <w:ind w:right="68"/>
    </w:pPr>
    <w:rPr>
      <w:rFonts w:ascii="Arial" w:eastAsia="Times New Roman" w:hAnsi="Arial" w:cs="Arial"/>
      <w:color w:val="000000"/>
      <w:szCs w:val="22"/>
      <w:lang w:eastAsia="en-AU"/>
    </w:rPr>
  </w:style>
  <w:style w:type="character" w:customStyle="1" w:styleId="FooterChar1">
    <w:name w:val="Footer Char1"/>
    <w:basedOn w:val="DefaultParagraphFont"/>
    <w:uiPriority w:val="99"/>
    <w:semiHidden/>
    <w:locked/>
    <w:rsid w:val="006C2E16"/>
    <w:rPr>
      <w:rFonts w:ascii="Book Antiqua" w:hAnsi="Book Antiqua" w:cs="Book Antiqua"/>
      <w:sz w:val="16"/>
      <w:szCs w:val="16"/>
      <w:lang w:val="en-AU" w:eastAsia="en-AU"/>
    </w:rPr>
  </w:style>
  <w:style w:type="character" w:customStyle="1" w:styleId="HeaderChar1">
    <w:name w:val="Header Char1"/>
    <w:basedOn w:val="DefaultParagraphFont"/>
    <w:uiPriority w:val="99"/>
    <w:semiHidden/>
    <w:locked/>
    <w:rsid w:val="006C2E16"/>
    <w:rPr>
      <w:rFonts w:ascii="Book Antiqua" w:hAnsi="Book Antiqua" w:cs="Book Antiqua"/>
      <w:sz w:val="24"/>
      <w:szCs w:val="24"/>
      <w:lang w:val="en-AU" w:eastAsia="en-AU"/>
    </w:rPr>
  </w:style>
  <w:style w:type="paragraph" w:customStyle="1" w:styleId="Numberedlist">
    <w:name w:val="Numbered list"/>
    <w:basedOn w:val="BodyText"/>
    <w:uiPriority w:val="99"/>
    <w:rsid w:val="006C2E16"/>
    <w:pPr>
      <w:numPr>
        <w:numId w:val="7"/>
      </w:numPr>
      <w:tabs>
        <w:tab w:val="clear" w:pos="570"/>
        <w:tab w:val="num" w:pos="720"/>
      </w:tabs>
      <w:autoSpaceDE w:val="0"/>
      <w:autoSpaceDN w:val="0"/>
      <w:adjustRightInd w:val="0"/>
      <w:spacing w:before="60" w:line="280" w:lineRule="exact"/>
      <w:ind w:left="720" w:right="68" w:hanging="360"/>
    </w:pPr>
    <w:rPr>
      <w:rFonts w:ascii="Arial" w:hAnsi="Arial" w:cs="Arial"/>
      <w:kern w:val="28"/>
      <w:szCs w:val="22"/>
      <w:lang w:val="en-GB"/>
    </w:rPr>
  </w:style>
  <w:style w:type="paragraph" w:customStyle="1" w:styleId="NormalArial">
    <w:name w:val="Normal + Arial"/>
    <w:basedOn w:val="Normal"/>
    <w:uiPriority w:val="99"/>
    <w:rsid w:val="006C2E16"/>
    <w:pPr>
      <w:tabs>
        <w:tab w:val="num" w:pos="360"/>
      </w:tabs>
      <w:spacing w:before="120" w:after="120" w:line="240" w:lineRule="auto"/>
      <w:ind w:left="360" w:hanging="360"/>
    </w:pPr>
    <w:rPr>
      <w:rFonts w:ascii="Arial" w:eastAsia="Times New Roman" w:hAnsi="Arial" w:cs="Arial"/>
      <w:szCs w:val="22"/>
      <w:lang w:eastAsia="en-AU"/>
    </w:rPr>
  </w:style>
  <w:style w:type="paragraph" w:styleId="Quote">
    <w:name w:val="Quote"/>
    <w:basedOn w:val="text"/>
    <w:link w:val="QuoteChar"/>
    <w:uiPriority w:val="99"/>
    <w:rsid w:val="006C2E16"/>
    <w:pPr>
      <w:ind w:left="567"/>
    </w:pPr>
    <w:rPr>
      <w:i/>
      <w:iCs/>
    </w:rPr>
  </w:style>
  <w:style w:type="character" w:customStyle="1" w:styleId="QuoteChar">
    <w:name w:val="Quote Char"/>
    <w:basedOn w:val="DefaultParagraphFont"/>
    <w:link w:val="Quote"/>
    <w:uiPriority w:val="99"/>
    <w:rsid w:val="006C2E16"/>
    <w:rPr>
      <w:rFonts w:ascii="Book Antiqua" w:eastAsia="Times New Roman" w:hAnsi="Book Antiqua" w:cs="Book Antiqua"/>
      <w:i/>
      <w:iCs/>
      <w:sz w:val="22"/>
      <w:szCs w:val="22"/>
      <w:lang w:eastAsia="en-AU"/>
    </w:rPr>
  </w:style>
  <w:style w:type="character" w:customStyle="1" w:styleId="BodyTextChar1">
    <w:name w:val="Body Text Char1"/>
    <w:basedOn w:val="DefaultParagraphFont"/>
    <w:link w:val="BodyText"/>
    <w:uiPriority w:val="99"/>
    <w:locked/>
    <w:rsid w:val="006C2E16"/>
    <w:rPr>
      <w:rFonts w:ascii="Book Antiqua" w:eastAsia="Times New Roman" w:hAnsi="Book Antiqua" w:cs="Book Antiqua"/>
      <w:sz w:val="22"/>
      <w:szCs w:val="24"/>
      <w:lang w:eastAsia="en-AU"/>
    </w:rPr>
  </w:style>
  <w:style w:type="character" w:customStyle="1" w:styleId="Heading3Char1">
    <w:name w:val="Heading 3 Char1"/>
    <w:basedOn w:val="DefaultParagraphFont"/>
    <w:link w:val="Heading3"/>
    <w:uiPriority w:val="99"/>
    <w:locked/>
    <w:rsid w:val="006C2E16"/>
    <w:rPr>
      <w:rFonts w:ascii="Book Antiqua" w:eastAsia="Times New Roman" w:hAnsi="Book Antiqua" w:cs="Book Antiqua"/>
      <w:b/>
      <w:bCs/>
      <w:kern w:val="28"/>
      <w:sz w:val="22"/>
      <w:szCs w:val="22"/>
    </w:rPr>
  </w:style>
  <w:style w:type="character" w:customStyle="1" w:styleId="Heading4Char1">
    <w:name w:val="Heading 4 Char1"/>
    <w:basedOn w:val="DefaultParagraphFont"/>
    <w:link w:val="Heading4"/>
    <w:uiPriority w:val="99"/>
    <w:locked/>
    <w:rsid w:val="006C2E16"/>
    <w:rPr>
      <w:rFonts w:ascii="Book Antiqua" w:eastAsia="Times New Roman" w:hAnsi="Book Antiqua" w:cs="Book Antiqua"/>
      <w:i/>
      <w:iCs/>
      <w:kern w:val="28"/>
      <w:sz w:val="22"/>
      <w:szCs w:val="22"/>
      <w:lang w:eastAsia="en-AU"/>
    </w:rPr>
  </w:style>
  <w:style w:type="character" w:customStyle="1" w:styleId="Heading5Char1">
    <w:name w:val="Heading 5 Char1"/>
    <w:basedOn w:val="DefaultParagraphFont"/>
    <w:link w:val="Heading5"/>
    <w:uiPriority w:val="99"/>
    <w:locked/>
    <w:rsid w:val="006C2E16"/>
    <w:rPr>
      <w:rFonts w:ascii="Book Antiqua" w:eastAsia="Times New Roman" w:hAnsi="Book Antiqua" w:cs="Book Antiqua"/>
      <w:b/>
      <w:bCs/>
      <w:lang w:eastAsia="en-AU"/>
    </w:rPr>
  </w:style>
  <w:style w:type="character" w:customStyle="1" w:styleId="Heading6Char1">
    <w:name w:val="Heading 6 Char1"/>
    <w:basedOn w:val="DefaultParagraphFont"/>
    <w:link w:val="Heading6"/>
    <w:uiPriority w:val="99"/>
    <w:locked/>
    <w:rsid w:val="006C2E16"/>
    <w:rPr>
      <w:rFonts w:ascii="Book Antiqua" w:eastAsia="Times New Roman" w:hAnsi="Book Antiqua" w:cs="Times New Roman"/>
      <w:i/>
      <w:iCs/>
      <w:sz w:val="22"/>
      <w:szCs w:val="22"/>
      <w:lang w:eastAsia="en-AU"/>
    </w:rPr>
  </w:style>
  <w:style w:type="character" w:customStyle="1" w:styleId="Heading7Char1">
    <w:name w:val="Heading 7 Char1"/>
    <w:basedOn w:val="DefaultParagraphFont"/>
    <w:link w:val="Heading7"/>
    <w:uiPriority w:val="99"/>
    <w:locked/>
    <w:rsid w:val="006C2E16"/>
    <w:rPr>
      <w:rFonts w:ascii="Arial" w:eastAsia="Times New Roman" w:hAnsi="Arial" w:cs="Arial"/>
      <w:lang w:eastAsia="en-AU"/>
    </w:rPr>
  </w:style>
  <w:style w:type="character" w:customStyle="1" w:styleId="Heading8Char1">
    <w:name w:val="Heading 8 Char1"/>
    <w:basedOn w:val="DefaultParagraphFont"/>
    <w:link w:val="Heading8"/>
    <w:uiPriority w:val="99"/>
    <w:locked/>
    <w:rsid w:val="006C2E16"/>
    <w:rPr>
      <w:rFonts w:ascii="Arial" w:eastAsia="Times New Roman" w:hAnsi="Arial" w:cs="Arial"/>
      <w:i/>
      <w:iCs/>
      <w:lang w:eastAsia="en-AU"/>
    </w:rPr>
  </w:style>
  <w:style w:type="character" w:customStyle="1" w:styleId="Heading9Char1">
    <w:name w:val="Heading 9 Char1"/>
    <w:basedOn w:val="DefaultParagraphFont"/>
    <w:link w:val="Heading9"/>
    <w:uiPriority w:val="99"/>
    <w:locked/>
    <w:rsid w:val="006C2E16"/>
    <w:rPr>
      <w:rFonts w:ascii="Arial" w:eastAsia="Times New Roman" w:hAnsi="Arial" w:cs="Arial"/>
      <w:b/>
      <w:bCs/>
      <w:i/>
      <w:iCs/>
      <w:sz w:val="18"/>
      <w:szCs w:val="18"/>
      <w:lang w:eastAsia="en-AU"/>
    </w:rPr>
  </w:style>
  <w:style w:type="paragraph" w:customStyle="1" w:styleId="PresentationDate">
    <w:name w:val="Presentation Date"/>
    <w:basedOn w:val="ListBullet"/>
    <w:uiPriority w:val="99"/>
    <w:semiHidden/>
    <w:rsid w:val="006C2E16"/>
    <w:pPr>
      <w:numPr>
        <w:numId w:val="0"/>
      </w:numPr>
      <w:spacing w:line="312" w:lineRule="auto"/>
    </w:pPr>
    <w:rPr>
      <w:sz w:val="14"/>
      <w:szCs w:val="14"/>
      <w:lang w:val="en-US" w:eastAsia="en-US"/>
    </w:rPr>
  </w:style>
  <w:style w:type="paragraph" w:styleId="ListBullet">
    <w:name w:val="List Bullet"/>
    <w:basedOn w:val="BodyText"/>
    <w:link w:val="ListBulletChar1"/>
    <w:autoRedefine/>
    <w:uiPriority w:val="99"/>
    <w:rsid w:val="006C2E16"/>
    <w:pPr>
      <w:numPr>
        <w:numId w:val="11"/>
      </w:numPr>
      <w:tabs>
        <w:tab w:val="clear" w:pos="360"/>
      </w:tabs>
      <w:autoSpaceDE w:val="0"/>
      <w:autoSpaceDN w:val="0"/>
      <w:adjustRightInd w:val="0"/>
      <w:spacing w:before="60"/>
      <w:ind w:left="357" w:right="68" w:hanging="357"/>
    </w:pPr>
    <w:rPr>
      <w:rFonts w:cs="Times New Roman"/>
      <w:kern w:val="28"/>
      <w:szCs w:val="22"/>
      <w:lang w:val="en-GB"/>
    </w:rPr>
  </w:style>
  <w:style w:type="character" w:customStyle="1" w:styleId="BalloonTextChar1">
    <w:name w:val="Balloon Text Char1"/>
    <w:basedOn w:val="DefaultParagraphFont"/>
    <w:link w:val="BalloonText"/>
    <w:uiPriority w:val="99"/>
    <w:semiHidden/>
    <w:locked/>
    <w:rsid w:val="006C2E16"/>
    <w:rPr>
      <w:rFonts w:ascii="Tahoma" w:eastAsia="Times New Roman" w:hAnsi="Tahoma" w:cs="Tahoma"/>
      <w:sz w:val="16"/>
      <w:szCs w:val="16"/>
      <w:lang w:eastAsia="en-AU"/>
    </w:rPr>
  </w:style>
  <w:style w:type="character" w:customStyle="1" w:styleId="CharChar1">
    <w:name w:val="Char Char1"/>
    <w:basedOn w:val="DefaultParagraphFont"/>
    <w:uiPriority w:val="99"/>
    <w:rsid w:val="006C2E16"/>
    <w:rPr>
      <w:rFonts w:ascii="Arial" w:hAnsi="Arial" w:cs="Arial"/>
      <w:color w:val="000000"/>
      <w:sz w:val="24"/>
      <w:szCs w:val="24"/>
      <w:lang w:val="en-AU" w:eastAsia="en-AU"/>
    </w:rPr>
  </w:style>
  <w:style w:type="paragraph" w:customStyle="1" w:styleId="Reportbody">
    <w:name w:val="Report_body"/>
    <w:basedOn w:val="Normal"/>
    <w:uiPriority w:val="99"/>
    <w:semiHidden/>
    <w:rsid w:val="006C2E16"/>
    <w:pPr>
      <w:spacing w:before="120" w:after="120" w:line="260" w:lineRule="exact"/>
    </w:pPr>
    <w:rPr>
      <w:rFonts w:ascii="Arial" w:eastAsia="MS Mincho" w:hAnsi="Arial" w:cs="Arial"/>
      <w:szCs w:val="22"/>
      <w:lang w:val="en-US"/>
    </w:rPr>
  </w:style>
  <w:style w:type="character" w:customStyle="1" w:styleId="ReportbodyChar">
    <w:name w:val="Report_body Char"/>
    <w:basedOn w:val="DefaultParagraphFont"/>
    <w:uiPriority w:val="99"/>
    <w:rsid w:val="006C2E16"/>
    <w:rPr>
      <w:rFonts w:ascii="Arial" w:eastAsia="MS Mincho" w:hAnsi="Arial" w:cs="Arial"/>
      <w:sz w:val="24"/>
      <w:szCs w:val="24"/>
      <w:lang w:val="en-US" w:eastAsia="en-US"/>
    </w:rPr>
  </w:style>
  <w:style w:type="paragraph" w:customStyle="1" w:styleId="CoverTitle1">
    <w:name w:val="CoverTitle1"/>
    <w:basedOn w:val="Normal"/>
    <w:autoRedefine/>
    <w:uiPriority w:val="99"/>
    <w:rsid w:val="006C2E16"/>
    <w:pPr>
      <w:spacing w:before="120" w:after="120" w:line="240" w:lineRule="auto"/>
      <w:ind w:left="180" w:hanging="180"/>
      <w:jc w:val="both"/>
    </w:pPr>
    <w:rPr>
      <w:rFonts w:ascii="Arial" w:eastAsia="Times New Roman" w:hAnsi="Arial" w:cs="Arial"/>
      <w:sz w:val="36"/>
      <w:szCs w:val="36"/>
      <w:lang w:eastAsia="en-AU"/>
    </w:rPr>
  </w:style>
  <w:style w:type="character" w:customStyle="1" w:styleId="CoverTitle2Char">
    <w:name w:val="CoverTitle2 Char"/>
    <w:basedOn w:val="DefaultParagraphFont"/>
    <w:uiPriority w:val="99"/>
    <w:rsid w:val="006C2E16"/>
    <w:rPr>
      <w:rFonts w:ascii="Arial" w:hAnsi="Arial" w:cs="Arial"/>
      <w:color w:val="000000"/>
      <w:sz w:val="22"/>
      <w:szCs w:val="22"/>
      <w:lang w:val="en-AU" w:eastAsia="en-AU"/>
    </w:rPr>
  </w:style>
  <w:style w:type="character" w:customStyle="1" w:styleId="CoverTitle1Char">
    <w:name w:val="CoverTitle1 Char"/>
    <w:basedOn w:val="DefaultParagraphFont"/>
    <w:uiPriority w:val="99"/>
    <w:rsid w:val="006C2E16"/>
    <w:rPr>
      <w:rFonts w:ascii="Arial" w:hAnsi="Arial" w:cs="Arial"/>
      <w:sz w:val="24"/>
      <w:szCs w:val="24"/>
      <w:lang w:val="en-AU" w:eastAsia="en-AU"/>
    </w:rPr>
  </w:style>
  <w:style w:type="paragraph" w:customStyle="1" w:styleId="CoverTitle3">
    <w:name w:val="CoverTitle3"/>
    <w:basedOn w:val="Normal"/>
    <w:uiPriority w:val="99"/>
    <w:semiHidden/>
    <w:rsid w:val="006C2E16"/>
    <w:pPr>
      <w:spacing w:before="100" w:after="100" w:line="240" w:lineRule="auto"/>
    </w:pPr>
    <w:rPr>
      <w:rFonts w:ascii="Arial" w:eastAsia="Times New Roman" w:hAnsi="Arial" w:cs="Arial"/>
      <w:color w:val="FFFFFF"/>
      <w:sz w:val="18"/>
      <w:szCs w:val="18"/>
      <w:lang w:eastAsia="en-AU"/>
    </w:rPr>
  </w:style>
  <w:style w:type="paragraph" w:customStyle="1" w:styleId="Notice">
    <w:name w:val="Notice"/>
    <w:basedOn w:val="BodyText"/>
    <w:uiPriority w:val="99"/>
    <w:semiHidden/>
    <w:rsid w:val="006C2E16"/>
    <w:pPr>
      <w:shd w:val="clear" w:color="auto" w:fill="D9D9D9"/>
      <w:autoSpaceDE w:val="0"/>
      <w:autoSpaceDN w:val="0"/>
      <w:adjustRightInd w:val="0"/>
      <w:spacing w:before="60"/>
      <w:ind w:right="68"/>
    </w:pPr>
    <w:rPr>
      <w:rFonts w:ascii="Arial" w:hAnsi="Arial" w:cs="Arial"/>
      <w:kern w:val="28"/>
      <w:szCs w:val="22"/>
      <w:lang w:val="en-GB"/>
    </w:rPr>
  </w:style>
  <w:style w:type="character" w:customStyle="1" w:styleId="Red">
    <w:name w:val="Red"/>
    <w:basedOn w:val="DefaultParagraphFont"/>
    <w:uiPriority w:val="99"/>
    <w:rsid w:val="006C2E16"/>
    <w:rPr>
      <w:rFonts w:ascii="Arial" w:hAnsi="Arial" w:cs="Arial"/>
      <w:color w:val="FF0000"/>
      <w:sz w:val="22"/>
      <w:szCs w:val="22"/>
    </w:rPr>
  </w:style>
  <w:style w:type="character" w:customStyle="1" w:styleId="CharChar12">
    <w:name w:val="Char Char12"/>
    <w:basedOn w:val="DefaultParagraphFont"/>
    <w:uiPriority w:val="99"/>
    <w:semiHidden/>
    <w:locked/>
    <w:rsid w:val="006C2E16"/>
    <w:rPr>
      <w:rFonts w:ascii="Book Antiqua" w:hAnsi="Book Antiqua" w:cs="Book Antiqua"/>
      <w:lang w:val="en-AU" w:eastAsia="en-AU"/>
    </w:rPr>
  </w:style>
  <w:style w:type="character" w:customStyle="1" w:styleId="CharChar7">
    <w:name w:val="Char Char7"/>
    <w:basedOn w:val="CharChar12"/>
    <w:uiPriority w:val="99"/>
    <w:semiHidden/>
    <w:locked/>
    <w:rsid w:val="006C2E16"/>
    <w:rPr>
      <w:rFonts w:ascii="Book Antiqua" w:hAnsi="Book Antiqua" w:cs="Book Antiqua"/>
      <w:b/>
      <w:bCs/>
      <w:lang w:val="en-AU" w:eastAsia="en-AU"/>
    </w:rPr>
  </w:style>
  <w:style w:type="character" w:customStyle="1" w:styleId="DocumentMapChar1">
    <w:name w:val="Document Map Char1"/>
    <w:basedOn w:val="DefaultParagraphFont"/>
    <w:link w:val="DocumentMap"/>
    <w:uiPriority w:val="99"/>
    <w:semiHidden/>
    <w:locked/>
    <w:rsid w:val="006C2E16"/>
    <w:rPr>
      <w:rFonts w:ascii="Tahoma" w:eastAsia="Times New Roman" w:hAnsi="Tahoma" w:cs="Tahoma"/>
      <w:sz w:val="22"/>
      <w:szCs w:val="24"/>
      <w:shd w:val="clear" w:color="auto" w:fill="000080"/>
      <w:lang w:eastAsia="en-AU"/>
    </w:rPr>
  </w:style>
  <w:style w:type="character" w:styleId="EndnoteReference">
    <w:name w:val="endnote reference"/>
    <w:basedOn w:val="DefaultParagraphFont"/>
    <w:uiPriority w:val="99"/>
    <w:semiHidden/>
    <w:rsid w:val="006C2E16"/>
    <w:rPr>
      <w:vertAlign w:val="superscript"/>
    </w:rPr>
  </w:style>
  <w:style w:type="paragraph" w:styleId="EndnoteText">
    <w:name w:val="endnote text"/>
    <w:basedOn w:val="Normal"/>
    <w:link w:val="EndnoteTextChar1"/>
    <w:uiPriority w:val="99"/>
    <w:semiHidden/>
    <w:rsid w:val="006C2E16"/>
    <w:pPr>
      <w:spacing w:before="120" w:after="120" w:line="240" w:lineRule="auto"/>
    </w:pPr>
    <w:rPr>
      <w:rFonts w:ascii="Arial" w:eastAsia="Times New Roman" w:hAnsi="Arial" w:cs="Arial"/>
      <w:sz w:val="20"/>
      <w:lang w:eastAsia="en-AU"/>
    </w:rPr>
  </w:style>
  <w:style w:type="character" w:customStyle="1" w:styleId="EndnoteTextChar">
    <w:name w:val="Endnote Text Char"/>
    <w:basedOn w:val="DefaultParagraphFont"/>
    <w:uiPriority w:val="99"/>
    <w:semiHidden/>
    <w:rsid w:val="006C2E16"/>
  </w:style>
  <w:style w:type="character" w:customStyle="1" w:styleId="EndnoteTextChar1">
    <w:name w:val="Endnote Text Char1"/>
    <w:basedOn w:val="DefaultParagraphFont"/>
    <w:link w:val="EndnoteText"/>
    <w:uiPriority w:val="99"/>
    <w:semiHidden/>
    <w:locked/>
    <w:rsid w:val="006C2E16"/>
    <w:rPr>
      <w:rFonts w:ascii="Arial" w:eastAsia="Times New Roman" w:hAnsi="Arial" w:cs="Arial"/>
      <w:lang w:eastAsia="en-AU"/>
    </w:rPr>
  </w:style>
  <w:style w:type="paragraph" w:styleId="Index1">
    <w:name w:val="index 1"/>
    <w:basedOn w:val="Normal"/>
    <w:next w:val="Normal"/>
    <w:autoRedefine/>
    <w:uiPriority w:val="99"/>
    <w:semiHidden/>
    <w:rsid w:val="006C2E16"/>
    <w:pPr>
      <w:spacing w:before="120" w:after="120" w:line="240" w:lineRule="auto"/>
      <w:ind w:left="220" w:hanging="220"/>
    </w:pPr>
    <w:rPr>
      <w:rFonts w:ascii="Arial" w:eastAsia="Times New Roman" w:hAnsi="Arial" w:cs="Arial"/>
      <w:szCs w:val="22"/>
      <w:lang w:eastAsia="en-AU"/>
    </w:rPr>
  </w:style>
  <w:style w:type="paragraph" w:styleId="Index2">
    <w:name w:val="index 2"/>
    <w:basedOn w:val="Normal"/>
    <w:next w:val="Normal"/>
    <w:autoRedefine/>
    <w:uiPriority w:val="99"/>
    <w:semiHidden/>
    <w:rsid w:val="006C2E16"/>
    <w:pPr>
      <w:spacing w:before="120" w:after="120" w:line="240" w:lineRule="auto"/>
      <w:ind w:left="440" w:hanging="220"/>
    </w:pPr>
    <w:rPr>
      <w:rFonts w:ascii="Arial" w:eastAsia="Times New Roman" w:hAnsi="Arial" w:cs="Arial"/>
      <w:szCs w:val="22"/>
      <w:lang w:eastAsia="en-AU"/>
    </w:rPr>
  </w:style>
  <w:style w:type="paragraph" w:styleId="Index3">
    <w:name w:val="index 3"/>
    <w:basedOn w:val="Normal"/>
    <w:next w:val="Normal"/>
    <w:autoRedefine/>
    <w:uiPriority w:val="99"/>
    <w:semiHidden/>
    <w:rsid w:val="006C2E16"/>
    <w:pPr>
      <w:spacing w:before="120" w:after="120" w:line="240" w:lineRule="auto"/>
      <w:ind w:left="660" w:hanging="220"/>
    </w:pPr>
    <w:rPr>
      <w:rFonts w:ascii="Arial" w:eastAsia="Times New Roman" w:hAnsi="Arial" w:cs="Arial"/>
      <w:szCs w:val="22"/>
      <w:lang w:eastAsia="en-AU"/>
    </w:rPr>
  </w:style>
  <w:style w:type="paragraph" w:styleId="Index4">
    <w:name w:val="index 4"/>
    <w:basedOn w:val="Normal"/>
    <w:next w:val="Normal"/>
    <w:autoRedefine/>
    <w:uiPriority w:val="99"/>
    <w:semiHidden/>
    <w:rsid w:val="006C2E16"/>
    <w:pPr>
      <w:spacing w:before="120" w:after="120" w:line="240" w:lineRule="auto"/>
      <w:ind w:left="880" w:hanging="220"/>
    </w:pPr>
    <w:rPr>
      <w:rFonts w:ascii="Arial" w:eastAsia="Times New Roman" w:hAnsi="Arial" w:cs="Arial"/>
      <w:szCs w:val="22"/>
      <w:lang w:eastAsia="en-AU"/>
    </w:rPr>
  </w:style>
  <w:style w:type="paragraph" w:styleId="Index5">
    <w:name w:val="index 5"/>
    <w:basedOn w:val="Normal"/>
    <w:next w:val="Normal"/>
    <w:autoRedefine/>
    <w:uiPriority w:val="99"/>
    <w:semiHidden/>
    <w:rsid w:val="006C2E16"/>
    <w:pPr>
      <w:spacing w:before="120" w:after="120" w:line="240" w:lineRule="auto"/>
      <w:ind w:left="1100" w:hanging="220"/>
    </w:pPr>
    <w:rPr>
      <w:rFonts w:ascii="Arial" w:eastAsia="Times New Roman" w:hAnsi="Arial" w:cs="Arial"/>
      <w:szCs w:val="22"/>
      <w:lang w:eastAsia="en-AU"/>
    </w:rPr>
  </w:style>
  <w:style w:type="paragraph" w:styleId="Index6">
    <w:name w:val="index 6"/>
    <w:basedOn w:val="Normal"/>
    <w:next w:val="Normal"/>
    <w:autoRedefine/>
    <w:uiPriority w:val="99"/>
    <w:semiHidden/>
    <w:rsid w:val="006C2E16"/>
    <w:pPr>
      <w:spacing w:before="120" w:after="120" w:line="240" w:lineRule="auto"/>
      <w:ind w:left="1320" w:hanging="220"/>
    </w:pPr>
    <w:rPr>
      <w:rFonts w:ascii="Arial" w:eastAsia="Times New Roman" w:hAnsi="Arial" w:cs="Arial"/>
      <w:szCs w:val="22"/>
      <w:lang w:eastAsia="en-AU"/>
    </w:rPr>
  </w:style>
  <w:style w:type="paragraph" w:styleId="Index7">
    <w:name w:val="index 7"/>
    <w:basedOn w:val="Normal"/>
    <w:next w:val="Normal"/>
    <w:autoRedefine/>
    <w:uiPriority w:val="99"/>
    <w:semiHidden/>
    <w:rsid w:val="006C2E16"/>
    <w:pPr>
      <w:spacing w:before="120" w:after="120" w:line="240" w:lineRule="auto"/>
      <w:ind w:left="1540" w:hanging="220"/>
    </w:pPr>
    <w:rPr>
      <w:rFonts w:ascii="Arial" w:eastAsia="Times New Roman" w:hAnsi="Arial" w:cs="Arial"/>
      <w:szCs w:val="22"/>
      <w:lang w:eastAsia="en-AU"/>
    </w:rPr>
  </w:style>
  <w:style w:type="paragraph" w:styleId="Index8">
    <w:name w:val="index 8"/>
    <w:basedOn w:val="Normal"/>
    <w:next w:val="Normal"/>
    <w:autoRedefine/>
    <w:uiPriority w:val="99"/>
    <w:semiHidden/>
    <w:rsid w:val="006C2E16"/>
    <w:pPr>
      <w:spacing w:before="120" w:after="120" w:line="240" w:lineRule="auto"/>
      <w:ind w:left="1760" w:hanging="220"/>
    </w:pPr>
    <w:rPr>
      <w:rFonts w:ascii="Arial" w:eastAsia="Times New Roman" w:hAnsi="Arial" w:cs="Arial"/>
      <w:szCs w:val="22"/>
      <w:lang w:eastAsia="en-AU"/>
    </w:rPr>
  </w:style>
  <w:style w:type="paragraph" w:styleId="Index9">
    <w:name w:val="index 9"/>
    <w:basedOn w:val="Normal"/>
    <w:next w:val="Normal"/>
    <w:autoRedefine/>
    <w:uiPriority w:val="99"/>
    <w:semiHidden/>
    <w:rsid w:val="006C2E16"/>
    <w:pPr>
      <w:spacing w:before="120" w:after="120" w:line="240" w:lineRule="auto"/>
      <w:ind w:left="1980" w:hanging="220"/>
    </w:pPr>
    <w:rPr>
      <w:rFonts w:ascii="Arial" w:eastAsia="Times New Roman" w:hAnsi="Arial" w:cs="Arial"/>
      <w:szCs w:val="22"/>
      <w:lang w:eastAsia="en-AU"/>
    </w:rPr>
  </w:style>
  <w:style w:type="paragraph" w:styleId="IndexHeading">
    <w:name w:val="index heading"/>
    <w:basedOn w:val="Normal"/>
    <w:next w:val="Index1"/>
    <w:uiPriority w:val="99"/>
    <w:semiHidden/>
    <w:rsid w:val="006C2E16"/>
    <w:pPr>
      <w:spacing w:before="120" w:after="120" w:line="240" w:lineRule="auto"/>
    </w:pPr>
    <w:rPr>
      <w:rFonts w:ascii="Arial" w:eastAsia="Times New Roman" w:hAnsi="Arial" w:cs="Arial"/>
      <w:b/>
      <w:bCs/>
      <w:szCs w:val="22"/>
      <w:lang w:eastAsia="en-AU"/>
    </w:rPr>
  </w:style>
  <w:style w:type="paragraph" w:styleId="MacroText">
    <w:name w:val="macro"/>
    <w:link w:val="MacroTextChar1"/>
    <w:uiPriority w:val="99"/>
    <w:semiHidden/>
    <w:rsid w:val="006C2E1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uiPriority w:val="99"/>
    <w:semiHidden/>
    <w:rsid w:val="006C2E16"/>
    <w:rPr>
      <w:rFonts w:ascii="Consolas" w:hAnsi="Consolas" w:cs="Consolas"/>
    </w:rPr>
  </w:style>
  <w:style w:type="character" w:customStyle="1" w:styleId="MacroTextChar1">
    <w:name w:val="Macro Text Char1"/>
    <w:basedOn w:val="DefaultParagraphFont"/>
    <w:link w:val="MacroText"/>
    <w:uiPriority w:val="99"/>
    <w:semiHidden/>
    <w:locked/>
    <w:rsid w:val="006C2E16"/>
    <w:rPr>
      <w:rFonts w:ascii="Courier New" w:eastAsia="Times New Roman" w:hAnsi="Courier New" w:cs="Courier New"/>
      <w:lang w:eastAsia="en-AU"/>
    </w:rPr>
  </w:style>
  <w:style w:type="paragraph" w:styleId="TOAHeading">
    <w:name w:val="toa heading"/>
    <w:basedOn w:val="Normal"/>
    <w:next w:val="Normal"/>
    <w:uiPriority w:val="99"/>
    <w:semiHidden/>
    <w:rsid w:val="006C2E16"/>
    <w:pPr>
      <w:spacing w:before="120" w:after="120" w:line="240" w:lineRule="auto"/>
    </w:pPr>
    <w:rPr>
      <w:rFonts w:ascii="Arial" w:eastAsia="Times New Roman" w:hAnsi="Arial" w:cs="Arial"/>
      <w:b/>
      <w:bCs/>
      <w:szCs w:val="24"/>
      <w:lang w:eastAsia="en-AU"/>
    </w:rPr>
  </w:style>
  <w:style w:type="character" w:customStyle="1" w:styleId="CharChar">
    <w:name w:val="Char Char"/>
    <w:basedOn w:val="DefaultParagraphFont"/>
    <w:uiPriority w:val="99"/>
    <w:rsid w:val="006C2E16"/>
    <w:rPr>
      <w:rFonts w:ascii="Arial Bold" w:hAnsi="Arial Bold" w:cs="Arial Bold"/>
      <w:b/>
      <w:bCs/>
      <w:caps/>
      <w:sz w:val="24"/>
      <w:szCs w:val="24"/>
      <w:lang w:val="en-AU" w:eastAsia="en-AU"/>
    </w:rPr>
  </w:style>
  <w:style w:type="paragraph" w:customStyle="1" w:styleId="Tableheading0">
    <w:name w:val="Table heading"/>
    <w:basedOn w:val="Caption"/>
    <w:next w:val="TableText0"/>
    <w:autoRedefine/>
    <w:uiPriority w:val="99"/>
    <w:semiHidden/>
    <w:rsid w:val="006C2E16"/>
    <w:pPr>
      <w:keepNext/>
      <w:spacing w:before="0" w:after="0" w:line="240" w:lineRule="atLeast"/>
    </w:pPr>
    <w:rPr>
      <w:rFonts w:ascii="Arial" w:hAnsi="Arial" w:cs="Arial"/>
      <w:b w:val="0"/>
      <w:bCs w:val="0"/>
      <w:color w:val="000000"/>
      <w:sz w:val="20"/>
      <w:szCs w:val="20"/>
    </w:rPr>
  </w:style>
  <w:style w:type="paragraph" w:customStyle="1" w:styleId="CommercialinConfidence">
    <w:name w:val="Commercial in Confidence"/>
    <w:basedOn w:val="Heading2"/>
    <w:uiPriority w:val="99"/>
    <w:semiHidden/>
    <w:rsid w:val="006C2E16"/>
    <w:pPr>
      <w:keepLines w:val="0"/>
      <w:tabs>
        <w:tab w:val="clear" w:pos="9180"/>
        <w:tab w:val="num" w:pos="360"/>
      </w:tabs>
      <w:autoSpaceDE/>
      <w:autoSpaceDN/>
      <w:adjustRightInd/>
      <w:spacing w:before="0" w:after="4" w:line="280" w:lineRule="exact"/>
    </w:pPr>
    <w:rPr>
      <w:rFonts w:ascii="Arial" w:hAnsi="Arial" w:cs="Arial"/>
      <w:color w:val="000000"/>
      <w:kern w:val="0"/>
      <w:sz w:val="28"/>
      <w:szCs w:val="28"/>
      <w:lang w:val="en-US"/>
    </w:rPr>
  </w:style>
  <w:style w:type="character" w:customStyle="1" w:styleId="BodyText2Char1">
    <w:name w:val="Body Text 2 Char1"/>
    <w:basedOn w:val="DefaultParagraphFont"/>
    <w:link w:val="BodyText2"/>
    <w:uiPriority w:val="99"/>
    <w:locked/>
    <w:rsid w:val="006C2E16"/>
    <w:rPr>
      <w:rFonts w:ascii="Book Antiqua" w:eastAsia="Times New Roman" w:hAnsi="Book Antiqua" w:cs="Book Antiqua"/>
      <w:sz w:val="16"/>
      <w:szCs w:val="16"/>
      <w:lang w:eastAsia="en-AU"/>
    </w:rPr>
  </w:style>
  <w:style w:type="paragraph" w:customStyle="1" w:styleId="Dot1">
    <w:name w:val="Dot 1"/>
    <w:basedOn w:val="BodyText"/>
    <w:uiPriority w:val="99"/>
    <w:semiHidden/>
    <w:rsid w:val="006C2E16"/>
    <w:pPr>
      <w:tabs>
        <w:tab w:val="left" w:pos="360"/>
      </w:tabs>
      <w:autoSpaceDE w:val="0"/>
      <w:autoSpaceDN w:val="0"/>
      <w:adjustRightInd w:val="0"/>
      <w:spacing w:before="60" w:after="160" w:line="280" w:lineRule="exact"/>
      <w:ind w:left="357" w:right="68" w:hanging="357"/>
    </w:pPr>
    <w:rPr>
      <w:rFonts w:ascii="Arial" w:hAnsi="Arial" w:cs="Arial"/>
      <w:kern w:val="28"/>
      <w:szCs w:val="22"/>
      <w:lang w:val="en-GB"/>
    </w:rPr>
  </w:style>
  <w:style w:type="paragraph" w:customStyle="1" w:styleId="Cover-Title">
    <w:name w:val="Cover - Title"/>
    <w:basedOn w:val="Heading1"/>
    <w:uiPriority w:val="99"/>
    <w:semiHidden/>
    <w:rsid w:val="006C2E16"/>
    <w:pPr>
      <w:keepNext w:val="0"/>
      <w:tabs>
        <w:tab w:val="num" w:pos="360"/>
      </w:tabs>
      <w:spacing w:before="360" w:after="240"/>
      <w:ind w:left="360" w:hanging="360"/>
    </w:pPr>
    <w:rPr>
      <w:rFonts w:ascii="Arial" w:hAnsi="Arial" w:cs="Arial"/>
      <w:kern w:val="32"/>
      <w:sz w:val="36"/>
      <w:szCs w:val="36"/>
    </w:rPr>
  </w:style>
  <w:style w:type="character" w:customStyle="1" w:styleId="CharChar2">
    <w:name w:val="Char Char2"/>
    <w:basedOn w:val="DefaultParagraphFont"/>
    <w:uiPriority w:val="99"/>
    <w:rsid w:val="006C2E16"/>
    <w:rPr>
      <w:rFonts w:ascii="Arial" w:hAnsi="Arial" w:cs="Arial"/>
      <w:kern w:val="28"/>
      <w:sz w:val="18"/>
      <w:szCs w:val="18"/>
      <w:lang w:val="en-AU" w:eastAsia="en-AU"/>
    </w:rPr>
  </w:style>
  <w:style w:type="paragraph" w:customStyle="1" w:styleId="Dot2">
    <w:name w:val="Dot 2"/>
    <w:basedOn w:val="ListBullet"/>
    <w:autoRedefine/>
    <w:uiPriority w:val="99"/>
    <w:semiHidden/>
    <w:rsid w:val="006C2E16"/>
    <w:pPr>
      <w:tabs>
        <w:tab w:val="left" w:pos="709"/>
      </w:tabs>
      <w:ind w:left="714"/>
    </w:pPr>
  </w:style>
  <w:style w:type="paragraph" w:customStyle="1" w:styleId="indent">
    <w:name w:val="indent"/>
    <w:basedOn w:val="BodyText"/>
    <w:next w:val="Normal"/>
    <w:uiPriority w:val="99"/>
    <w:semiHidden/>
    <w:rsid w:val="006C2E16"/>
    <w:pPr>
      <w:autoSpaceDE w:val="0"/>
      <w:autoSpaceDN w:val="0"/>
      <w:adjustRightInd w:val="0"/>
      <w:spacing w:before="60" w:line="280" w:lineRule="exact"/>
      <w:ind w:left="709" w:right="68"/>
    </w:pPr>
    <w:rPr>
      <w:rFonts w:ascii="Arial" w:hAnsi="Arial" w:cs="Arial"/>
      <w:kern w:val="28"/>
      <w:szCs w:val="22"/>
      <w:lang w:val="en-GB"/>
    </w:rPr>
  </w:style>
  <w:style w:type="character" w:customStyle="1" w:styleId="italic">
    <w:name w:val="italic"/>
    <w:basedOn w:val="DefaultParagraphFont"/>
    <w:uiPriority w:val="99"/>
    <w:semiHidden/>
    <w:rsid w:val="006C2E16"/>
    <w:rPr>
      <w:i/>
      <w:iCs/>
    </w:rPr>
  </w:style>
  <w:style w:type="paragraph" w:styleId="ListBullet2">
    <w:name w:val="List Bullet 2"/>
    <w:basedOn w:val="ListBullet"/>
    <w:autoRedefine/>
    <w:uiPriority w:val="99"/>
    <w:rsid w:val="006C2E16"/>
    <w:pPr>
      <w:numPr>
        <w:numId w:val="0"/>
      </w:numPr>
      <w:tabs>
        <w:tab w:val="left" w:pos="714"/>
      </w:tabs>
      <w:ind w:left="714" w:hanging="360"/>
    </w:pPr>
  </w:style>
  <w:style w:type="paragraph" w:customStyle="1" w:styleId="bodycopy">
    <w:name w:val="body copy"/>
    <w:basedOn w:val="Normal"/>
    <w:uiPriority w:val="99"/>
    <w:semiHidden/>
    <w:rsid w:val="006C2E16"/>
    <w:pPr>
      <w:suppressAutoHyphens/>
      <w:autoSpaceDE w:val="0"/>
      <w:autoSpaceDN w:val="0"/>
      <w:adjustRightInd w:val="0"/>
      <w:spacing w:before="120" w:after="102" w:line="250" w:lineRule="atLeast"/>
      <w:textAlignment w:val="baseline"/>
    </w:pPr>
    <w:rPr>
      <w:rFonts w:ascii="Gill Sans" w:eastAsia="Times New Roman" w:hAnsi="Gill Sans" w:cs="Gill Sans"/>
      <w:color w:val="000000"/>
      <w:sz w:val="18"/>
      <w:szCs w:val="18"/>
      <w:lang w:eastAsia="en-AU"/>
    </w:rPr>
  </w:style>
  <w:style w:type="paragraph" w:customStyle="1" w:styleId="Level3heading">
    <w:name w:val="Level 3 heading"/>
    <w:basedOn w:val="Normal"/>
    <w:uiPriority w:val="99"/>
    <w:semiHidden/>
    <w:rsid w:val="006C2E16"/>
    <w:pPr>
      <w:keepNext/>
      <w:keepLines/>
      <w:suppressAutoHyphens/>
      <w:autoSpaceDE w:val="0"/>
      <w:autoSpaceDN w:val="0"/>
      <w:adjustRightInd w:val="0"/>
      <w:spacing w:before="170" w:after="102" w:line="270" w:lineRule="atLeast"/>
      <w:textAlignment w:val="baseline"/>
    </w:pPr>
    <w:rPr>
      <w:rFonts w:ascii="Gill Sans" w:eastAsia="Times New Roman" w:hAnsi="Gill Sans" w:cs="Gill Sans"/>
      <w:color w:val="00DDC9"/>
      <w:szCs w:val="22"/>
      <w:lang w:eastAsia="en-AU"/>
    </w:rPr>
  </w:style>
  <w:style w:type="paragraph" w:customStyle="1" w:styleId="Level4heading">
    <w:name w:val="Level 4 heading"/>
    <w:basedOn w:val="Normal"/>
    <w:uiPriority w:val="99"/>
    <w:semiHidden/>
    <w:rsid w:val="006C2E1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color w:val="000000"/>
      <w:sz w:val="20"/>
      <w:lang w:eastAsia="en-AU"/>
    </w:rPr>
  </w:style>
  <w:style w:type="paragraph" w:customStyle="1" w:styleId="Level5heading">
    <w:name w:val="Level 5 heading"/>
    <w:basedOn w:val="Normal"/>
    <w:uiPriority w:val="99"/>
    <w:semiHidden/>
    <w:rsid w:val="006C2E1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i/>
      <w:iCs/>
      <w:color w:val="000000"/>
      <w:sz w:val="18"/>
      <w:szCs w:val="18"/>
      <w:lang w:eastAsia="en-AU"/>
    </w:rPr>
  </w:style>
  <w:style w:type="paragraph" w:customStyle="1" w:styleId="bullet">
    <w:name w:val="bullet"/>
    <w:basedOn w:val="bodycopy"/>
    <w:uiPriority w:val="99"/>
    <w:semiHidden/>
    <w:rsid w:val="006C2E16"/>
    <w:pPr>
      <w:ind w:left="170" w:hanging="170"/>
    </w:pPr>
  </w:style>
  <w:style w:type="paragraph" w:styleId="TableofFigures">
    <w:name w:val="table of figures"/>
    <w:basedOn w:val="Normal"/>
    <w:next w:val="Normal"/>
    <w:uiPriority w:val="99"/>
    <w:semiHidden/>
    <w:rsid w:val="006C2E16"/>
    <w:pPr>
      <w:spacing w:before="120" w:after="120" w:line="240" w:lineRule="auto"/>
    </w:pPr>
    <w:rPr>
      <w:rFonts w:ascii="Arial" w:eastAsia="Times New Roman" w:hAnsi="Arial" w:cs="Arial"/>
      <w:szCs w:val="22"/>
      <w:lang w:eastAsia="en-AU"/>
    </w:rPr>
  </w:style>
  <w:style w:type="paragraph" w:customStyle="1" w:styleId="BodyText1">
    <w:name w:val="Body Text1"/>
    <w:basedOn w:val="Normal"/>
    <w:uiPriority w:val="99"/>
    <w:semiHidden/>
    <w:rsid w:val="006C2E16"/>
    <w:pPr>
      <w:spacing w:before="120" w:after="240" w:line="280" w:lineRule="exact"/>
    </w:pPr>
    <w:rPr>
      <w:rFonts w:ascii="Book Antiqua" w:eastAsia="Times New Roman" w:hAnsi="Book Antiqua" w:cs="Times New Roman"/>
      <w:kern w:val="28"/>
      <w:szCs w:val="22"/>
      <w:lang w:eastAsia="en-AU"/>
    </w:rPr>
  </w:style>
  <w:style w:type="paragraph" w:customStyle="1" w:styleId="tablehead">
    <w:name w:val="table head"/>
    <w:basedOn w:val="Normal"/>
    <w:uiPriority w:val="99"/>
    <w:rsid w:val="006C2E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pPr>
    <w:rPr>
      <w:rFonts w:ascii="Book Antiqua" w:eastAsia="Times New Roman" w:hAnsi="Book Antiqua" w:cs="Times New Roman"/>
      <w:b/>
      <w:bCs/>
      <w:sz w:val="20"/>
      <w:lang w:eastAsia="en-AU"/>
    </w:rPr>
  </w:style>
  <w:style w:type="paragraph" w:customStyle="1" w:styleId="tablebody">
    <w:name w:val="table body"/>
    <w:basedOn w:val="Normal"/>
    <w:uiPriority w:val="99"/>
    <w:rsid w:val="006C2E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120" w:after="60" w:line="240" w:lineRule="auto"/>
    </w:pPr>
    <w:rPr>
      <w:rFonts w:ascii="Book Antiqua" w:eastAsia="Times New Roman" w:hAnsi="Book Antiqua" w:cs="Times New Roman"/>
      <w:sz w:val="20"/>
      <w:lang w:eastAsia="en-AU"/>
    </w:rPr>
  </w:style>
  <w:style w:type="paragraph" w:customStyle="1" w:styleId="figurecaption">
    <w:name w:val="figure caption"/>
    <w:next w:val="Normal"/>
    <w:uiPriority w:val="99"/>
    <w:rsid w:val="006C2E16"/>
    <w:pPr>
      <w:spacing w:after="240" w:line="240" w:lineRule="atLeast"/>
      <w:jc w:val="center"/>
    </w:pPr>
    <w:rPr>
      <w:rFonts w:ascii="Arial" w:eastAsia="Times New Roman" w:hAnsi="Arial" w:cs="Arial"/>
      <w:sz w:val="18"/>
      <w:szCs w:val="18"/>
      <w:lang w:eastAsia="en-AU"/>
    </w:rPr>
  </w:style>
  <w:style w:type="paragraph" w:styleId="PlainText">
    <w:name w:val="Plain Text"/>
    <w:basedOn w:val="Normal"/>
    <w:link w:val="PlainTextChar1"/>
    <w:uiPriority w:val="99"/>
    <w:rsid w:val="006C2E16"/>
    <w:pPr>
      <w:spacing w:before="120" w:after="120" w:line="240" w:lineRule="auto"/>
    </w:pPr>
    <w:rPr>
      <w:rFonts w:ascii="Courier New" w:eastAsia="Times New Roman" w:hAnsi="Courier New" w:cs="Courier New"/>
      <w:sz w:val="20"/>
    </w:rPr>
  </w:style>
  <w:style w:type="character" w:customStyle="1" w:styleId="PlainTextChar">
    <w:name w:val="Plain Text Char"/>
    <w:basedOn w:val="DefaultParagraphFont"/>
    <w:uiPriority w:val="99"/>
    <w:rsid w:val="006C2E16"/>
    <w:rPr>
      <w:rFonts w:ascii="Consolas" w:hAnsi="Consolas" w:cs="Consolas"/>
      <w:sz w:val="21"/>
      <w:szCs w:val="21"/>
    </w:rPr>
  </w:style>
  <w:style w:type="character" w:customStyle="1" w:styleId="PlainTextChar1">
    <w:name w:val="Plain Text Char1"/>
    <w:basedOn w:val="DefaultParagraphFont"/>
    <w:link w:val="PlainText"/>
    <w:uiPriority w:val="99"/>
    <w:locked/>
    <w:rsid w:val="006C2E16"/>
    <w:rPr>
      <w:rFonts w:ascii="Courier New" w:eastAsia="Times New Roman" w:hAnsi="Courier New" w:cs="Courier New"/>
    </w:rPr>
  </w:style>
  <w:style w:type="paragraph" w:customStyle="1" w:styleId="tablecaption">
    <w:name w:val="table caption"/>
    <w:next w:val="Normal"/>
    <w:uiPriority w:val="99"/>
    <w:rsid w:val="006C2E16"/>
    <w:pPr>
      <w:keepNext/>
      <w:spacing w:before="120" w:after="120" w:line="240" w:lineRule="atLeast"/>
    </w:pPr>
    <w:rPr>
      <w:rFonts w:ascii="Arial" w:eastAsia="Times New Roman" w:hAnsi="Arial" w:cs="Arial"/>
      <w:sz w:val="18"/>
      <w:szCs w:val="18"/>
      <w:lang w:eastAsia="en-AU"/>
    </w:rPr>
  </w:style>
  <w:style w:type="paragraph" w:customStyle="1" w:styleId="table1">
    <w:name w:val="table 1"/>
    <w:uiPriority w:val="99"/>
    <w:rsid w:val="006C2E16"/>
    <w:pPr>
      <w:spacing w:before="60" w:after="60" w:line="200" w:lineRule="atLeast"/>
    </w:pPr>
    <w:rPr>
      <w:rFonts w:ascii="Arial" w:eastAsia="Times New Roman" w:hAnsi="Arial" w:cs="Arial"/>
      <w:sz w:val="16"/>
      <w:szCs w:val="16"/>
      <w:lang w:eastAsia="en-AU"/>
    </w:rPr>
  </w:style>
  <w:style w:type="paragraph" w:customStyle="1" w:styleId="tablenote">
    <w:name w:val="table note"/>
    <w:basedOn w:val="table1"/>
    <w:uiPriority w:val="99"/>
    <w:rsid w:val="006C2E16"/>
    <w:pPr>
      <w:tabs>
        <w:tab w:val="left" w:pos="240"/>
      </w:tabs>
      <w:spacing w:after="180" w:line="180" w:lineRule="atLeast"/>
      <w:ind w:left="238" w:hanging="238"/>
    </w:pPr>
    <w:rPr>
      <w:sz w:val="14"/>
      <w:szCs w:val="14"/>
    </w:rPr>
  </w:style>
  <w:style w:type="paragraph" w:styleId="NormalIndent">
    <w:name w:val="Normal Indent"/>
    <w:basedOn w:val="Normal"/>
    <w:uiPriority w:val="99"/>
    <w:rsid w:val="006C2E16"/>
    <w:pPr>
      <w:spacing w:before="120" w:after="120" w:line="240" w:lineRule="auto"/>
      <w:ind w:firstLine="360"/>
    </w:pPr>
    <w:rPr>
      <w:rFonts w:ascii="Book Antiqua" w:eastAsia="Times New Roman" w:hAnsi="Book Antiqua" w:cs="Times New Roman"/>
      <w:szCs w:val="24"/>
      <w:lang w:eastAsia="en-AU"/>
    </w:rPr>
  </w:style>
  <w:style w:type="paragraph" w:customStyle="1" w:styleId="Normalno">
    <w:name w:val="Normal no #"/>
    <w:basedOn w:val="Normal"/>
    <w:uiPriority w:val="99"/>
    <w:rsid w:val="006C2E16"/>
    <w:pPr>
      <w:spacing w:before="120" w:after="120" w:line="240" w:lineRule="auto"/>
    </w:pPr>
    <w:rPr>
      <w:rFonts w:ascii="Book Antiqua" w:eastAsia="Times New Roman" w:hAnsi="Book Antiqua" w:cs="Times New Roman"/>
      <w:szCs w:val="24"/>
      <w:lang w:eastAsia="en-AU"/>
    </w:rPr>
  </w:style>
  <w:style w:type="paragraph" w:customStyle="1" w:styleId="referencelist1">
    <w:name w:val="reference list 1"/>
    <w:uiPriority w:val="99"/>
    <w:rsid w:val="006C2E16"/>
    <w:pPr>
      <w:spacing w:after="120" w:line="280" w:lineRule="atLeast"/>
      <w:ind w:left="360" w:hanging="360"/>
      <w:jc w:val="both"/>
    </w:pPr>
    <w:rPr>
      <w:rFonts w:ascii="Book Antiqua" w:eastAsia="Times New Roman" w:hAnsi="Book Antiqua" w:cs="Times New Roman"/>
      <w:sz w:val="22"/>
      <w:szCs w:val="22"/>
      <w:lang w:eastAsia="en-AU"/>
    </w:rPr>
  </w:style>
  <w:style w:type="character" w:customStyle="1" w:styleId="EmailStyle1861">
    <w:name w:val="EmailStyle1861"/>
    <w:basedOn w:val="DefaultParagraphFont"/>
    <w:uiPriority w:val="99"/>
    <w:semiHidden/>
    <w:rsid w:val="006C2E16"/>
    <w:rPr>
      <w:rFonts w:ascii="Arial" w:hAnsi="Arial" w:cs="Arial"/>
      <w:color w:val="auto"/>
      <w:sz w:val="20"/>
      <w:szCs w:val="20"/>
    </w:rPr>
  </w:style>
  <w:style w:type="paragraph" w:styleId="E-mailSignature">
    <w:name w:val="E-mail Signature"/>
    <w:basedOn w:val="Normal"/>
    <w:link w:val="E-mailSignatureChar1"/>
    <w:uiPriority w:val="99"/>
    <w:rsid w:val="006C2E16"/>
    <w:pPr>
      <w:spacing w:before="100" w:beforeAutospacing="1" w:after="100" w:afterAutospacing="1" w:line="240" w:lineRule="auto"/>
    </w:pPr>
    <w:rPr>
      <w:rFonts w:ascii="Book Antiqua" w:eastAsia="Times New Roman" w:hAnsi="Book Antiqua" w:cs="Times New Roman"/>
      <w:szCs w:val="24"/>
      <w:lang w:eastAsia="en-AU"/>
    </w:rPr>
  </w:style>
  <w:style w:type="character" w:customStyle="1" w:styleId="E-mailSignatureChar">
    <w:name w:val="E-mail Signature Char"/>
    <w:basedOn w:val="DefaultParagraphFont"/>
    <w:uiPriority w:val="99"/>
    <w:rsid w:val="006C2E16"/>
    <w:rPr>
      <w:sz w:val="22"/>
    </w:rPr>
  </w:style>
  <w:style w:type="character" w:customStyle="1" w:styleId="E-mailSignatureChar1">
    <w:name w:val="E-mail Signature Char1"/>
    <w:basedOn w:val="DefaultParagraphFont"/>
    <w:link w:val="E-mailSignature"/>
    <w:uiPriority w:val="99"/>
    <w:locked/>
    <w:rsid w:val="006C2E16"/>
    <w:rPr>
      <w:rFonts w:ascii="Book Antiqua" w:eastAsia="Times New Roman" w:hAnsi="Book Antiqua" w:cs="Times New Roman"/>
      <w:sz w:val="22"/>
      <w:szCs w:val="24"/>
      <w:lang w:eastAsia="en-AU"/>
    </w:rPr>
  </w:style>
  <w:style w:type="character" w:styleId="Emphasis">
    <w:name w:val="Emphasis"/>
    <w:basedOn w:val="DefaultParagraphFont"/>
    <w:uiPriority w:val="99"/>
    <w:rsid w:val="006C2E16"/>
    <w:rPr>
      <w:i/>
      <w:iCs/>
    </w:rPr>
  </w:style>
  <w:style w:type="character" w:customStyle="1" w:styleId="ListBulletChar1">
    <w:name w:val="List Bullet Char1"/>
    <w:basedOn w:val="BodyTextChar1"/>
    <w:link w:val="ListBullet"/>
    <w:uiPriority w:val="99"/>
    <w:locked/>
    <w:rsid w:val="006C2E16"/>
    <w:rPr>
      <w:rFonts w:ascii="Book Antiqua" w:eastAsia="Times New Roman" w:hAnsi="Book Antiqua" w:cs="Times New Roman"/>
      <w:kern w:val="28"/>
      <w:sz w:val="22"/>
      <w:szCs w:val="22"/>
      <w:lang w:val="en-GB" w:eastAsia="en-AU"/>
    </w:rPr>
  </w:style>
  <w:style w:type="paragraph" w:customStyle="1" w:styleId="Body">
    <w:name w:val="Body"/>
    <w:basedOn w:val="Normal"/>
    <w:link w:val="BodyChar"/>
    <w:uiPriority w:val="99"/>
    <w:rsid w:val="006C2E16"/>
    <w:pPr>
      <w:spacing w:before="120" w:after="120" w:line="240" w:lineRule="auto"/>
    </w:pPr>
    <w:rPr>
      <w:rFonts w:ascii="Book Antiqua" w:eastAsia="Times New Roman" w:hAnsi="Book Antiqua" w:cs="Times New Roman"/>
      <w:szCs w:val="24"/>
      <w:lang w:val="en-US"/>
    </w:rPr>
  </w:style>
  <w:style w:type="paragraph" w:customStyle="1" w:styleId="H1NoNumber">
    <w:name w:val="H1NoNumber"/>
    <w:basedOn w:val="Heading1"/>
    <w:uiPriority w:val="99"/>
    <w:rsid w:val="006C2E16"/>
    <w:pPr>
      <w:numPr>
        <w:numId w:val="0"/>
      </w:numPr>
      <w:tabs>
        <w:tab w:val="left" w:pos="851"/>
      </w:tabs>
      <w:spacing w:after="0"/>
    </w:pPr>
    <w:rPr>
      <w:rFonts w:cs="Times New Roman"/>
      <w:caps/>
      <w:kern w:val="32"/>
      <w:lang w:val="en-US" w:eastAsia="en-US"/>
    </w:rPr>
  </w:style>
  <w:style w:type="character" w:customStyle="1" w:styleId="CharChar21">
    <w:name w:val="Char Char21"/>
    <w:basedOn w:val="DefaultParagraphFont"/>
    <w:uiPriority w:val="99"/>
    <w:semiHidden/>
    <w:rsid w:val="006C2E16"/>
    <w:rPr>
      <w:rFonts w:ascii="Calibri" w:hAnsi="Calibri" w:cs="Calibri"/>
      <w:lang w:val="en-US" w:eastAsia="en-US"/>
    </w:rPr>
  </w:style>
  <w:style w:type="character" w:customStyle="1" w:styleId="EmailStyle1951">
    <w:name w:val="EmailStyle1951"/>
    <w:basedOn w:val="DefaultParagraphFont"/>
    <w:uiPriority w:val="99"/>
    <w:semiHidden/>
    <w:rsid w:val="006C2E16"/>
    <w:rPr>
      <w:color w:val="auto"/>
    </w:rPr>
  </w:style>
  <w:style w:type="character" w:customStyle="1" w:styleId="BodyChar">
    <w:name w:val="Body Char"/>
    <w:basedOn w:val="DefaultParagraphFont"/>
    <w:link w:val="Body"/>
    <w:uiPriority w:val="99"/>
    <w:locked/>
    <w:rsid w:val="006C2E16"/>
    <w:rPr>
      <w:rFonts w:ascii="Book Antiqua" w:eastAsia="Times New Roman" w:hAnsi="Book Antiqua" w:cs="Times New Roman"/>
      <w:sz w:val="22"/>
      <w:szCs w:val="24"/>
      <w:lang w:val="en-US"/>
    </w:rPr>
  </w:style>
  <w:style w:type="paragraph" w:styleId="Date">
    <w:name w:val="Date"/>
    <w:basedOn w:val="Normal"/>
    <w:next w:val="Normal"/>
    <w:link w:val="DateChar"/>
    <w:uiPriority w:val="99"/>
    <w:rsid w:val="006C2E16"/>
    <w:pPr>
      <w:spacing w:before="120" w:after="120" w:line="240" w:lineRule="auto"/>
    </w:pPr>
    <w:rPr>
      <w:rFonts w:ascii="Arial" w:eastAsia="Times New Roman" w:hAnsi="Arial" w:cs="Arial"/>
      <w:szCs w:val="22"/>
      <w:lang w:eastAsia="en-AU"/>
    </w:rPr>
  </w:style>
  <w:style w:type="character" w:customStyle="1" w:styleId="DateChar">
    <w:name w:val="Date Char"/>
    <w:basedOn w:val="DefaultParagraphFont"/>
    <w:link w:val="Date"/>
    <w:uiPriority w:val="99"/>
    <w:rsid w:val="006C2E16"/>
    <w:rPr>
      <w:rFonts w:ascii="Arial" w:eastAsia="Times New Roman" w:hAnsi="Arial" w:cs="Arial"/>
      <w:sz w:val="22"/>
      <w:szCs w:val="22"/>
      <w:lang w:eastAsia="en-AU"/>
    </w:rPr>
  </w:style>
  <w:style w:type="paragraph" w:customStyle="1" w:styleId="Indent2cm">
    <w:name w:val="Indent 2cm"/>
    <w:basedOn w:val="Normal"/>
    <w:uiPriority w:val="99"/>
    <w:rsid w:val="006C2E16"/>
    <w:pPr>
      <w:spacing w:before="160" w:after="160" w:line="240" w:lineRule="auto"/>
      <w:jc w:val="both"/>
    </w:pPr>
    <w:rPr>
      <w:rFonts w:ascii="Book Antiqua" w:eastAsia="Times New Roman" w:hAnsi="Book Antiqua" w:cs="Book Antiqua"/>
      <w:szCs w:val="24"/>
      <w:lang w:eastAsia="en-AU"/>
    </w:rPr>
  </w:style>
  <w:style w:type="character" w:customStyle="1" w:styleId="EmailStyle2001">
    <w:name w:val="EmailStyle2001"/>
    <w:basedOn w:val="DefaultParagraphFont"/>
    <w:uiPriority w:val="99"/>
    <w:semiHidden/>
    <w:rsid w:val="006C2E16"/>
    <w:rPr>
      <w:rFonts w:ascii="Arial" w:hAnsi="Arial" w:cs="Arial"/>
      <w:color w:val="000080"/>
      <w:sz w:val="20"/>
      <w:szCs w:val="20"/>
    </w:rPr>
  </w:style>
  <w:style w:type="character" w:customStyle="1" w:styleId="Heading2Char1">
    <w:name w:val="Heading 2 Char1"/>
    <w:basedOn w:val="DefaultParagraphFont"/>
    <w:uiPriority w:val="99"/>
    <w:locked/>
    <w:rsid w:val="006C2E16"/>
    <w:rPr>
      <w:rFonts w:ascii="Arial Bold" w:hAnsi="Arial Bold" w:cs="Arial Bold"/>
      <w:b/>
      <w:bCs/>
      <w:caps/>
      <w:kern w:val="28"/>
      <w:sz w:val="22"/>
      <w:szCs w:val="22"/>
      <w:lang w:val="en-AU" w:eastAsia="en-US"/>
    </w:rPr>
  </w:style>
  <w:style w:type="character" w:customStyle="1" w:styleId="Heading1Char1">
    <w:name w:val="Heading 1 Char1"/>
    <w:basedOn w:val="DefaultParagraphFont"/>
    <w:uiPriority w:val="99"/>
    <w:locked/>
    <w:rsid w:val="006C2E16"/>
    <w:rPr>
      <w:rFonts w:ascii="Book Antiqua" w:hAnsi="Book Antiqua" w:cs="Book Antiqua"/>
      <w:b/>
      <w:bCs/>
      <w:kern w:val="28"/>
      <w:sz w:val="28"/>
      <w:szCs w:val="28"/>
      <w:lang w:val="en-AU" w:eastAsia="en-AU"/>
    </w:rPr>
  </w:style>
  <w:style w:type="character" w:customStyle="1" w:styleId="CaptionChar">
    <w:name w:val="Caption Char"/>
    <w:aliases w:val="Map Char"/>
    <w:basedOn w:val="DefaultParagraphFont"/>
    <w:uiPriority w:val="99"/>
    <w:locked/>
    <w:rsid w:val="006C2E16"/>
    <w:rPr>
      <w:rFonts w:ascii="Book Antiqua" w:hAnsi="Book Antiqua" w:cs="Book Antiqua"/>
      <w:b/>
      <w:bCs/>
      <w:sz w:val="24"/>
      <w:szCs w:val="24"/>
      <w:lang w:val="en-AU" w:eastAsia="en-AU"/>
    </w:rPr>
  </w:style>
  <w:style w:type="character" w:customStyle="1" w:styleId="EmailStyle2041">
    <w:name w:val="EmailStyle2041"/>
    <w:basedOn w:val="DefaultParagraphFont"/>
    <w:uiPriority w:val="99"/>
    <w:semiHidden/>
    <w:rsid w:val="006C2E16"/>
    <w:rPr>
      <w:rFonts w:ascii="Arial" w:hAnsi="Arial" w:cs="Arial"/>
      <w:color w:val="auto"/>
      <w:sz w:val="20"/>
      <w:szCs w:val="20"/>
    </w:rPr>
  </w:style>
  <w:style w:type="character" w:customStyle="1" w:styleId="ListBulletChar">
    <w:name w:val="List Bullet Char"/>
    <w:basedOn w:val="BodyTextChar"/>
    <w:uiPriority w:val="99"/>
    <w:locked/>
    <w:rsid w:val="006C2E16"/>
    <w:rPr>
      <w:rFonts w:ascii="Book Antiqua" w:hAnsi="Book Antiqua" w:cs="Book Antiqua"/>
      <w:b/>
      <w:bCs/>
      <w:kern w:val="28"/>
      <w:sz w:val="22"/>
      <w:szCs w:val="22"/>
      <w:lang w:val="en-GB" w:eastAsia="en-AU"/>
    </w:rPr>
  </w:style>
  <w:style w:type="character" w:customStyle="1" w:styleId="EmailStyle2061">
    <w:name w:val="EmailStyle2061"/>
    <w:basedOn w:val="DefaultParagraphFont"/>
    <w:uiPriority w:val="99"/>
    <w:semiHidden/>
    <w:rsid w:val="006C2E16"/>
    <w:rPr>
      <w:color w:val="auto"/>
    </w:rPr>
  </w:style>
  <w:style w:type="character" w:customStyle="1" w:styleId="CommentTextChar1">
    <w:name w:val="Comment Text Char1"/>
    <w:basedOn w:val="DefaultParagraphFont"/>
    <w:uiPriority w:val="99"/>
    <w:semiHidden/>
    <w:locked/>
    <w:rsid w:val="006C2E16"/>
    <w:rPr>
      <w:rFonts w:ascii="Book Antiqua" w:hAnsi="Book Antiqua" w:cs="Book Antiqua"/>
      <w:lang w:val="en-AU" w:eastAsia="en-AU"/>
    </w:rPr>
  </w:style>
  <w:style w:type="paragraph" w:customStyle="1" w:styleId="StyleHeading2LeftBefore18ptAfter12pt">
    <w:name w:val="Style Heading 2 + Left Before:  18 pt After:  12 pt"/>
    <w:basedOn w:val="Heading2"/>
    <w:uiPriority w:val="99"/>
    <w:rsid w:val="006C2E16"/>
  </w:style>
  <w:style w:type="paragraph" w:customStyle="1" w:styleId="StyleHeading4Before6ptAfter6pt">
    <w:name w:val="Style Heading 4 + Before:  6 pt After:  6 pt"/>
    <w:basedOn w:val="Heading4"/>
    <w:uiPriority w:val="99"/>
    <w:rsid w:val="006C2E16"/>
    <w:pPr>
      <w:tabs>
        <w:tab w:val="left" w:pos="737"/>
      </w:tabs>
      <w:ind w:left="737" w:hanging="737"/>
    </w:pPr>
  </w:style>
  <w:style w:type="numbering" w:styleId="111111">
    <w:name w:val="Outline List 2"/>
    <w:basedOn w:val="NoList"/>
    <w:uiPriority w:val="99"/>
    <w:semiHidden/>
    <w:unhideWhenUsed/>
    <w:rsid w:val="006C2E16"/>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9.wmf"/><Relationship Id="rId39" Type="http://schemas.openxmlformats.org/officeDocument/2006/relationships/hyperlink" Target="http://www.epa.gov/ecotox" TargetMode="External"/><Relationship Id="rId21" Type="http://schemas.openxmlformats.org/officeDocument/2006/relationships/oleObject" Target="embeddings/oleObject3.bin"/><Relationship Id="rId34" Type="http://schemas.openxmlformats.org/officeDocument/2006/relationships/hyperlink" Target="http://www.ccme.ca/publications/can_guidelines.html" TargetMode="External"/><Relationship Id="rId42" Type="http://schemas.openxmlformats.org/officeDocument/2006/relationships/oleObject" Target="embeddings/oleObject7.bin"/><Relationship Id="rId47" Type="http://schemas.openxmlformats.org/officeDocument/2006/relationships/footer" Target="footer4.xml"/><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yperlink" Target="http://www.clw.csiro.au/cecr/sedimenthandbook"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5.bin"/><Relationship Id="rId41" Type="http://schemas.openxmlformats.org/officeDocument/2006/relationships/image" Target="media/image13.wmf"/><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www.defra.gov.uk/science" TargetMode="External"/><Relationship Id="rId40" Type="http://schemas.openxmlformats.org/officeDocument/2006/relationships/hyperlink" Target="http://www.epa.gov/region9/superfund/prg/" TargetMode="External"/><Relationship Id="rId45" Type="http://schemas.openxmlformats.org/officeDocument/2006/relationships/header" Target="header3.xml"/><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0.wmf"/><Relationship Id="rId36" Type="http://schemas.openxmlformats.org/officeDocument/2006/relationships/hyperlink" Target="http://echa.europa.eu/chem_data/transit_measures/vrar_en.asp" TargetMode="External"/><Relationship Id="rId49" Type="http://schemas.openxmlformats.org/officeDocument/2006/relationships/header" Target="header6.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oleObject" Target="embeddings/oleObject8.bin"/><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w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hyperlink" Target="http://www.ccme.ca/assets/pdf/sg_protocol_1332_e.pdf" TargetMode="External"/><Relationship Id="rId43" Type="http://schemas.openxmlformats.org/officeDocument/2006/relationships/image" Target="media/image14.wmf"/><Relationship Id="rId48" Type="http://schemas.openxmlformats.org/officeDocument/2006/relationships/header" Target="header5.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I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C499C-366D-43B3-A8E2-CE20DFC44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INST_INS.DOTX</Template>
  <TotalTime>76</TotalTime>
  <Pages>83</Pages>
  <Words>35069</Words>
  <Characters>195339</Characters>
  <Application>Microsoft Office Word</Application>
  <DocSecurity>0</DocSecurity>
  <Lines>3756</Lines>
  <Paragraphs>1786</Paragraphs>
  <ScaleCrop>false</ScaleCrop>
  <HeadingPairs>
    <vt:vector size="2" baseType="variant">
      <vt:variant>
        <vt:lpstr>Title</vt:lpstr>
      </vt:variant>
      <vt:variant>
        <vt:i4>1</vt:i4>
      </vt:variant>
    </vt:vector>
  </HeadingPairs>
  <TitlesOfParts>
    <vt:vector size="1" baseType="lpstr">
      <vt:lpstr>National Environment Protection (Assessment of Site Contamination) Amendment Measure 2013 (No. A):Schedule B5b</vt:lpstr>
    </vt:vector>
  </TitlesOfParts>
  <Company>Office of Parliamentary Counsel</Company>
  <LinksUpToDate>false</LinksUpToDate>
  <CharactersWithSpaces>228622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Environment Protection (Assessment of Site Contamination) Amendment Measure 2013 (No. A):Schedule B5b</dc:title>
  <dc:creator>Larsen, Susan</dc:creator>
  <cp:lastModifiedBy>Anuj I. McFarland</cp:lastModifiedBy>
  <cp:revision>37</cp:revision>
  <cp:lastPrinted>2013-03-14T06:18:00Z</cp:lastPrinted>
  <dcterms:created xsi:type="dcterms:W3CDTF">2013-03-05T22:38:00Z</dcterms:created>
  <dcterms:modified xsi:type="dcterms:W3CDTF">2013-03-22T01:28:00Z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LI</vt:lpwstr>
  </property>
  <property fmtid="{D5CDD505-2E9C-101B-9397-08002B2CF9AE}" pid="3" name="ShortT">
    <vt:lpwstr>National Environment Protection (Assessment of Site Contamination) Amendment Measure 2013 (No. A):Schedule B5b;</vt:lpwstr>
  </property>
  <property fmtid="{D5CDD505-2E9C-101B-9397-08002B2CF9AE}" pid="4" name="Class">
    <vt:lpwstr>By-Law</vt:lpwstr>
  </property>
  <property fmtid="{D5CDD505-2E9C-101B-9397-08002B2CF9AE}" pid="5" name="DocType">
    <vt:lpwstr>INS</vt:lpwstr>
  </property>
  <property fmtid="{D5CDD505-2E9C-101B-9397-08002B2CF9AE}" pid="6" name="ID">
    <vt:lpwstr>OPC50357</vt:lpwstr>
  </property>
  <property fmtid="{D5CDD505-2E9C-101B-9397-08002B2CF9AE}" pid="7" name="ActMadeUnder">
    <vt:lpwstr/>
  </property>
  <property fmtid="{D5CDD505-2E9C-101B-9397-08002B2CF9AE}" pid="8" name="NonLegInst">
    <vt:lpwstr>0</vt:lpwstr>
  </property>
  <property fmtid="{D5CDD505-2E9C-101B-9397-08002B2CF9AE}" pid="9" name="Classification">
    <vt:lpwstr>DRAFT-IN-CONFIDENCE</vt:lpwstr>
  </property>
</Properties>
</file>