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02" w:rsidRDefault="00A97702" w:rsidP="0016384B">
      <w:pPr>
        <w:spacing w:before="240"/>
        <w:ind w:left="-709"/>
      </w:pPr>
      <w:r>
        <w:rPr>
          <w:noProof/>
          <w:lang w:eastAsia="en-AU"/>
        </w:rPr>
        <mc:AlternateContent>
          <mc:Choice Requires="wps">
            <w:drawing>
              <wp:inline distT="0" distB="0" distL="0" distR="0">
                <wp:extent cx="6934200" cy="392430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924300"/>
                        </a:xfrm>
                        <a:prstGeom prst="rect">
                          <a:avLst/>
                        </a:prstGeom>
                        <a:gradFill rotWithShape="1">
                          <a:gsLst>
                            <a:gs pos="0">
                              <a:srgbClr val="DDDDDD">
                                <a:alpha val="0"/>
                              </a:srgbClr>
                            </a:gs>
                            <a:gs pos="100000">
                              <a:srgbClr val="DDDDDD">
                                <a:gamma/>
                                <a:shade val="46275"/>
                                <a:invGamma/>
                                <a:alpha val="34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138" w:rsidRDefault="00590138" w:rsidP="00A97702">
                            <w:pPr>
                              <w:pStyle w:val="TitleHeading"/>
                              <w:ind w:left="0"/>
                              <w:jc w:val="both"/>
                              <w:rPr>
                                <w:rFonts w:ascii="Calibri" w:hAnsi="Calibri"/>
                                <w:color w:val="C0C0C0"/>
                                <w:sz w:val="30"/>
                                <w:szCs w:val="30"/>
                              </w:rPr>
                            </w:pP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National Environment Protection (Assessment of Site</w:t>
                            </w:r>
                            <w:r w:rsidRPr="00A76A0B">
                              <w:rPr>
                                <w:rFonts w:ascii="Calibri" w:hAnsi="Calibri"/>
                                <w:color w:val="C0C0C0"/>
                                <w:sz w:val="30"/>
                                <w:szCs w:val="30"/>
                              </w:rPr>
                              <w:t xml:space="preserve"> </w:t>
                            </w:r>
                            <w:r w:rsidRPr="00E70BF3">
                              <w:rPr>
                                <w:rFonts w:ascii="Calibri" w:hAnsi="Calibri"/>
                                <w:color w:val="C0C0C0"/>
                                <w:sz w:val="30"/>
                                <w:szCs w:val="30"/>
                              </w:rPr>
                              <w:t xml:space="preserve">Contamination) Measure </w:t>
                            </w:r>
                            <w:r w:rsidRPr="00F91573">
                              <w:rPr>
                                <w:rFonts w:ascii="Arial" w:hAnsi="Arial" w:cs="Arial"/>
                                <w:color w:val="C0C0C0"/>
                                <w:sz w:val="30"/>
                                <w:szCs w:val="30"/>
                              </w:rPr>
                              <w:t>1999</w:t>
                            </w:r>
                            <w:r>
                              <w:rPr>
                                <w:rFonts w:ascii="Calibri" w:hAnsi="Calibri"/>
                                <w:color w:val="C0C0C0"/>
                                <w:sz w:val="30"/>
                                <w:szCs w:val="30"/>
                              </w:rPr>
                              <w:t xml:space="preserve"> </w:t>
                            </w:r>
                            <w:r w:rsidRPr="00E70BF3">
                              <w:rPr>
                                <w:rFonts w:ascii="Book Antiqua" w:hAnsi="Book Antiqua"/>
                                <w:b w:val="0"/>
                                <w:bCs/>
                                <w:color w:val="C0C0C0"/>
                                <w:sz w:val="30"/>
                                <w:szCs w:val="30"/>
                              </w:rPr>
                              <w:t>National Environmen</w:t>
                            </w:r>
                            <w:r>
                              <w:rPr>
                                <w:rFonts w:ascii="Book Antiqua" w:hAnsi="Book Antiqua"/>
                                <w:b w:val="0"/>
                                <w:bCs/>
                                <w:color w:val="C0C0C0"/>
                                <w:sz w:val="30"/>
                                <w:szCs w:val="30"/>
                              </w:rPr>
                              <w:t>t Protection (Assessment of</w:t>
                            </w:r>
                            <w:r>
                              <w:rPr>
                                <w:rFonts w:ascii="Book Antiqua" w:hAnsi="Book Antiqua"/>
                                <w:b w:val="0"/>
                                <w:bCs/>
                                <w:color w:val="C0C0C0"/>
                                <w:sz w:val="30"/>
                                <w:szCs w:val="30"/>
                              </w:rPr>
                              <w:br/>
                            </w:r>
                          </w:p>
                          <w:p w:rsidR="00590138" w:rsidRPr="00E70BF3" w:rsidRDefault="00590138" w:rsidP="00A97702">
                            <w:pPr>
                              <w:pStyle w:val="TitleHeading"/>
                              <w:ind w:left="0"/>
                              <w:jc w:val="right"/>
                              <w:rPr>
                                <w:rFonts w:ascii="Calibri" w:hAnsi="Calibri"/>
                                <w:color w:val="C0C0C0"/>
                                <w:sz w:val="30"/>
                                <w:szCs w:val="30"/>
                              </w:rPr>
                            </w:pPr>
                            <w:r w:rsidRPr="000E0F3F">
                              <w:rPr>
                                <w:rFonts w:ascii="Georgia" w:eastAsia="Kozuka Mincho Pro B" w:hAnsi="Georgia"/>
                                <w:color w:val="000000"/>
                                <w:sz w:val="80"/>
                                <w:szCs w:val="80"/>
                              </w:rPr>
                              <w:t>Schedule B</w:t>
                            </w:r>
                            <w:r>
                              <w:rPr>
                                <w:rFonts w:ascii="Georgia" w:eastAsia="Kozuka Mincho Pro B" w:hAnsi="Georgia"/>
                                <w:color w:val="000000"/>
                                <w:sz w:val="80"/>
                                <w:szCs w:val="80"/>
                              </w:rPr>
                              <w:t>1</w:t>
                            </w:r>
                          </w:p>
                          <w:p w:rsidR="00590138" w:rsidRPr="00E70BF3" w:rsidRDefault="00590138" w:rsidP="00A97702">
                            <w:pPr>
                              <w:pStyle w:val="TitleHeading"/>
                              <w:ind w:left="0"/>
                              <w:jc w:val="both"/>
                              <w:rPr>
                                <w:rFonts w:ascii="Calibri" w:hAnsi="Calibri"/>
                                <w:color w:val="C0C0C0"/>
                                <w:sz w:val="30"/>
                                <w:szCs w:val="30"/>
                              </w:rPr>
                            </w:pPr>
                            <w:r w:rsidRPr="00E70BF3">
                              <w:rPr>
                                <w:rFonts w:ascii="Calibri" w:hAnsi="Calibri"/>
                                <w:color w:val="C0C0C0"/>
                                <w:sz w:val="30"/>
                                <w:szCs w:val="30"/>
                              </w:rPr>
                              <w:br/>
                            </w:r>
                          </w:p>
                          <w:p w:rsidR="00590138" w:rsidRPr="00E70BF3" w:rsidRDefault="00590138" w:rsidP="00A97702">
                            <w:pPr>
                              <w:pStyle w:val="TitleHeading"/>
                              <w:ind w:left="0"/>
                              <w:jc w:val="both"/>
                              <w:rPr>
                                <w:rFonts w:ascii="Calibri" w:hAnsi="Calibri"/>
                                <w:color w:val="C0C0C0"/>
                                <w:sz w:val="30"/>
                                <w:szCs w:val="30"/>
                              </w:rPr>
                            </w:pPr>
                          </w:p>
                          <w:p w:rsidR="00590138" w:rsidRPr="00E70BF3" w:rsidRDefault="00590138" w:rsidP="00A97702">
                            <w:pPr>
                              <w:pStyle w:val="TitleHeading"/>
                              <w:ind w:left="0"/>
                              <w:jc w:val="both"/>
                              <w:rPr>
                                <w:rFonts w:ascii="Calibri" w:hAnsi="Calibri"/>
                                <w:color w:val="C0C0C0"/>
                                <w:sz w:val="30"/>
                                <w:szCs w:val="30"/>
                              </w:rPr>
                            </w:pPr>
                          </w:p>
                          <w:p w:rsidR="00590138" w:rsidRPr="00E70BF3" w:rsidRDefault="00590138" w:rsidP="00A97702">
                            <w:pPr>
                              <w:rPr>
                                <w:color w:val="C0C0C0"/>
                                <w:sz w:val="30"/>
                                <w:szCs w:val="3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546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" fillcolor="#ddd" stroked="f">
                <v:fill opacity="0" color2="#666" o:opacity2="22282f" rotate="t" focus="100%" type="gradient"/>
                <v:textbox>
                  <w:txbxContent>
                    <w:p w:rsidR="00FD4A57" w:rsidRDefault="00FD4A57" w:rsidP="00A97702">
                      <w:pPr>
                        <w:pStyle w:val="TitleHeading"/>
                        <w:ind w:left="0"/>
                        <w:jc w:val="both"/>
                        <w:rPr>
                          <w:rFonts w:ascii="Calibri" w:hAnsi="Calibri"/>
                          <w:color w:val="C0C0C0"/>
                          <w:sz w:val="30"/>
                          <w:szCs w:val="30"/>
                        </w:rPr>
                      </w:pP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National Environment Protection (Assessment of Site</w:t>
                      </w:r>
                      <w:r w:rsidRPr="00A76A0B">
                        <w:rPr>
                          <w:rFonts w:ascii="Calibri" w:hAnsi="Calibri"/>
                          <w:color w:val="C0C0C0"/>
                          <w:sz w:val="30"/>
                          <w:szCs w:val="30"/>
                        </w:rPr>
                        <w:t xml:space="preserve"> </w:t>
                      </w:r>
                      <w:r w:rsidRPr="00E70BF3">
                        <w:rPr>
                          <w:rFonts w:ascii="Calibri" w:hAnsi="Calibri"/>
                          <w:color w:val="C0C0C0"/>
                          <w:sz w:val="30"/>
                          <w:szCs w:val="30"/>
                        </w:rPr>
                        <w:t xml:space="preserve">Contamination) Measure </w:t>
                      </w:r>
                      <w:r w:rsidRPr="00F91573">
                        <w:rPr>
                          <w:rFonts w:ascii="Arial" w:hAnsi="Arial" w:cs="Arial"/>
                          <w:color w:val="C0C0C0"/>
                          <w:sz w:val="30"/>
                          <w:szCs w:val="30"/>
                        </w:rPr>
                        <w:t>1999</w:t>
                      </w:r>
                      <w:r>
                        <w:rPr>
                          <w:rFonts w:ascii="Calibri" w:hAnsi="Calibri"/>
                          <w:color w:val="C0C0C0"/>
                          <w:sz w:val="30"/>
                          <w:szCs w:val="30"/>
                        </w:rPr>
                        <w:t xml:space="preserve"> </w:t>
                      </w:r>
                      <w:r w:rsidRPr="00E70BF3">
                        <w:rPr>
                          <w:rFonts w:ascii="Book Antiqua" w:hAnsi="Book Antiqua"/>
                          <w:b w:val="0"/>
                          <w:bCs/>
                          <w:color w:val="C0C0C0"/>
                          <w:sz w:val="30"/>
                          <w:szCs w:val="30"/>
                        </w:rPr>
                        <w:t>National Environmen</w:t>
                      </w:r>
                      <w:r>
                        <w:rPr>
                          <w:rFonts w:ascii="Book Antiqua" w:hAnsi="Book Antiqua"/>
                          <w:b w:val="0"/>
                          <w:bCs/>
                          <w:color w:val="C0C0C0"/>
                          <w:sz w:val="30"/>
                          <w:szCs w:val="30"/>
                        </w:rPr>
                        <w:t>t Protection (Assessment of</w:t>
                      </w:r>
                      <w:r>
                        <w:rPr>
                          <w:rFonts w:ascii="Book Antiqua" w:hAnsi="Book Antiqua"/>
                          <w:b w:val="0"/>
                          <w:bCs/>
                          <w:color w:val="C0C0C0"/>
                          <w:sz w:val="30"/>
                          <w:szCs w:val="30"/>
                        </w:rPr>
                        <w:br/>
                      </w:r>
                    </w:p>
                    <w:p w:rsidR="00FD4A57" w:rsidRPr="00E70BF3" w:rsidRDefault="00FD4A57" w:rsidP="00A97702">
                      <w:pPr>
                        <w:pStyle w:val="TitleHeading"/>
                        <w:ind w:left="0"/>
                        <w:jc w:val="right"/>
                        <w:rPr>
                          <w:rFonts w:ascii="Calibri" w:hAnsi="Calibri"/>
                          <w:color w:val="C0C0C0"/>
                          <w:sz w:val="30"/>
                          <w:szCs w:val="30"/>
                        </w:rPr>
                      </w:pPr>
                      <w:r w:rsidRPr="000E0F3F">
                        <w:rPr>
                          <w:rFonts w:ascii="Georgia" w:eastAsia="Kozuka Mincho Pro B" w:hAnsi="Georgia"/>
                          <w:color w:val="000000"/>
                          <w:sz w:val="80"/>
                          <w:szCs w:val="80"/>
                        </w:rPr>
                        <w:t>Schedule B</w:t>
                      </w:r>
                      <w:r>
                        <w:rPr>
                          <w:rFonts w:ascii="Georgia" w:eastAsia="Kozuka Mincho Pro B" w:hAnsi="Georgia"/>
                          <w:color w:val="000000"/>
                          <w:sz w:val="80"/>
                          <w:szCs w:val="80"/>
                        </w:rPr>
                        <w:t>1</w:t>
                      </w:r>
                    </w:p>
                    <w:p w:rsidR="00FD4A57" w:rsidRPr="00E70BF3" w:rsidRDefault="00FD4A57" w:rsidP="00A97702">
                      <w:pPr>
                        <w:pStyle w:val="TitleHeading"/>
                        <w:ind w:left="0"/>
                        <w:jc w:val="both"/>
                        <w:rPr>
                          <w:rFonts w:ascii="Calibri" w:hAnsi="Calibri"/>
                          <w:color w:val="C0C0C0"/>
                          <w:sz w:val="30"/>
                          <w:szCs w:val="30"/>
                        </w:rPr>
                      </w:pPr>
                      <w:r w:rsidRPr="00E70BF3">
                        <w:rPr>
                          <w:rFonts w:ascii="Calibri" w:hAnsi="Calibri"/>
                          <w:color w:val="C0C0C0"/>
                          <w:sz w:val="30"/>
                          <w:szCs w:val="30"/>
                        </w:rPr>
                        <w:br/>
                      </w:r>
                    </w:p>
                    <w:p w:rsidR="00FD4A57" w:rsidRPr="00E70BF3" w:rsidRDefault="00FD4A57" w:rsidP="00A97702">
                      <w:pPr>
                        <w:pStyle w:val="TitleHeading"/>
                        <w:ind w:left="0"/>
                        <w:jc w:val="both"/>
                        <w:rPr>
                          <w:rFonts w:ascii="Calibri" w:hAnsi="Calibri"/>
                          <w:color w:val="C0C0C0"/>
                          <w:sz w:val="30"/>
                          <w:szCs w:val="30"/>
                        </w:rPr>
                      </w:pPr>
                    </w:p>
                    <w:p w:rsidR="00FD4A57" w:rsidRPr="00E70BF3" w:rsidRDefault="00FD4A57" w:rsidP="00A97702">
                      <w:pPr>
                        <w:pStyle w:val="TitleHeading"/>
                        <w:ind w:left="0"/>
                        <w:jc w:val="both"/>
                        <w:rPr>
                          <w:rFonts w:ascii="Calibri" w:hAnsi="Calibri"/>
                          <w:color w:val="C0C0C0"/>
                          <w:sz w:val="30"/>
                          <w:szCs w:val="30"/>
                        </w:rPr>
                      </w:pPr>
                    </w:p>
                    <w:p w:rsidR="00FD4A57" w:rsidRPr="00E70BF3" w:rsidRDefault="00FD4A57" w:rsidP="00A97702">
                      <w:pPr>
                        <w:rPr>
                          <w:color w:val="C0C0C0"/>
                          <w:sz w:val="30"/>
                          <w:szCs w:val="30"/>
                        </w:rPr>
                      </w:pPr>
                    </w:p>
                  </w:txbxContent>
                </v:textbox>
                <w10:anchorlock/>
              </v:shape>
            </w:pict>
          </mc:Fallback>
        </mc:AlternateContent>
      </w:r>
    </w:p>
    <w:p w:rsidR="00A97702" w:rsidRDefault="00A97702" w:rsidP="0016384B">
      <w:pPr>
        <w:spacing w:before="240"/>
        <w:ind w:left="-709"/>
      </w:pPr>
    </w:p>
    <w:p w:rsidR="00A97702" w:rsidRDefault="000C0F87" w:rsidP="0016384B">
      <w:pPr>
        <w:spacing w:before="240"/>
        <w:ind w:left="-709" w:right="424"/>
        <w:jc w:val="right"/>
      </w:pPr>
      <w:r>
        <w:rPr>
          <w:noProof/>
          <w:lang w:eastAsia="en-AU"/>
        </w:rPr>
        <mc:AlternateContent>
          <mc:Choice Requires="wps">
            <w:drawing>
              <wp:inline distT="0" distB="0" distL="0" distR="0" wp14:anchorId="739E3387" wp14:editId="172BAC85">
                <wp:extent cx="0" cy="1828800"/>
                <wp:effectExtent l="38100" t="0" r="38100" b="0"/>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76200">
                          <a:solidFill>
                            <a:srgbClr val="808080"/>
                          </a:solidFill>
                          <a:prstDash val="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0,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" strokecolor="gray" strokeweight="6pt">
                <v:stroke dashstyle="dashDot"/>
                <w10:anchorlock/>
              </v:line>
            </w:pict>
          </mc:Fallback>
        </mc:AlternateContent>
      </w:r>
    </w:p>
    <w:p w:rsidR="00A97702" w:rsidRDefault="00A97702" w:rsidP="0016384B">
      <w:pPr>
        <w:ind w:left="-709"/>
      </w:pPr>
    </w:p>
    <w:p w:rsidR="00A97702" w:rsidRDefault="00A97702" w:rsidP="0016384B">
      <w:pPr>
        <w:spacing w:before="240"/>
        <w:ind w:left="-709"/>
      </w:pPr>
    </w:p>
    <w:p w:rsidR="00A97702" w:rsidRDefault="00A97702" w:rsidP="0016384B">
      <w:pPr>
        <w:ind w:left="-993"/>
      </w:pPr>
      <w:r>
        <w:rPr>
          <w:noProof/>
          <w:lang w:eastAsia="en-AU"/>
        </w:rPr>
        <mc:AlternateContent>
          <mc:Choice Requires="wps">
            <w:drawing>
              <wp:inline distT="0" distB="0" distL="0" distR="0" wp14:anchorId="01862224" wp14:editId="11D87EEC">
                <wp:extent cx="7429500" cy="2073910"/>
                <wp:effectExtent l="0" t="0" r="19050" b="215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073910"/>
                        </a:xfrm>
                        <a:prstGeom prst="rect">
                          <a:avLst/>
                        </a:prstGeom>
                        <a:solidFill>
                          <a:srgbClr val="FFFFFF"/>
                        </a:solidFill>
                        <a:ln w="9525">
                          <a:solidFill>
                            <a:srgbClr val="808080"/>
                          </a:solidFill>
                          <a:miter lim="800000"/>
                          <a:headEnd/>
                          <a:tailEnd/>
                        </a:ln>
                      </wps:spPr>
                      <wps:txbx>
                        <w:txbxContent>
                          <w:p w:rsidR="00590138" w:rsidRPr="000E0F3F" w:rsidRDefault="00590138" w:rsidP="00A97702">
                            <w:pPr>
                              <w:pStyle w:val="TitleHeading"/>
                              <w:spacing w:before="240"/>
                              <w:ind w:left="0" w:right="284"/>
                              <w:jc w:val="right"/>
                              <w:rPr>
                                <w:spacing w:val="60"/>
                                <w:sz w:val="50"/>
                                <w:szCs w:val="50"/>
                              </w:rPr>
                            </w:pPr>
                            <w:r w:rsidRPr="000E0F3F">
                              <w:rPr>
                                <w:spacing w:val="60"/>
                                <w:sz w:val="50"/>
                                <w:szCs w:val="50"/>
                              </w:rPr>
                              <w:t>GUIDELINE ON</w:t>
                            </w:r>
                          </w:p>
                          <w:p w:rsidR="00590138" w:rsidRPr="000E0F3F" w:rsidRDefault="00590138" w:rsidP="00A97702">
                            <w:pPr>
                              <w:pStyle w:val="TitleHeading"/>
                              <w:spacing w:before="360"/>
                              <w:ind w:left="0" w:right="284"/>
                              <w:jc w:val="right"/>
                              <w:rPr>
                                <w:color w:val="CC0066"/>
                                <w:spacing w:val="60"/>
                                <w:sz w:val="50"/>
                                <w:szCs w:val="50"/>
                              </w:rPr>
                            </w:pPr>
                            <w:r w:rsidRPr="000E0F3F">
                              <w:rPr>
                                <w:color w:val="CC0066"/>
                                <w:spacing w:val="60"/>
                                <w:sz w:val="50"/>
                                <w:szCs w:val="50"/>
                              </w:rPr>
                              <w:t>Investigation Levels</w:t>
                            </w:r>
                          </w:p>
                          <w:p w:rsidR="00590138" w:rsidRPr="000E0F3F" w:rsidRDefault="00590138" w:rsidP="00A97702">
                            <w:pPr>
                              <w:pStyle w:val="TitleHeading"/>
                              <w:ind w:left="0" w:right="284"/>
                              <w:jc w:val="right"/>
                              <w:rPr>
                                <w:color w:val="CC0066"/>
                                <w:spacing w:val="60"/>
                                <w:sz w:val="50"/>
                                <w:szCs w:val="50"/>
                              </w:rPr>
                            </w:pPr>
                            <w:r w:rsidRPr="000E0F3F">
                              <w:rPr>
                                <w:color w:val="CC0066"/>
                                <w:spacing w:val="60"/>
                                <w:sz w:val="50"/>
                                <w:szCs w:val="50"/>
                              </w:rPr>
                              <w:t>For Soil and Groundwater</w:t>
                            </w:r>
                          </w:p>
                          <w:p w:rsidR="00590138" w:rsidRPr="000E0F3F" w:rsidRDefault="00590138" w:rsidP="00A97702">
                            <w:pPr>
                              <w:pStyle w:val="TitleHeading"/>
                              <w:ind w:left="0" w:right="284"/>
                              <w:jc w:val="right"/>
                              <w:rPr>
                                <w:color w:val="CC0066"/>
                                <w:spacing w:val="60"/>
                                <w:sz w:val="50"/>
                                <w:szCs w:val="50"/>
                              </w:rPr>
                            </w:pPr>
                          </w:p>
                          <w:p w:rsidR="00590138" w:rsidRPr="00B72F2E" w:rsidRDefault="00590138" w:rsidP="00A97702">
                            <w:pPr>
                              <w:jc w:val="right"/>
                              <w:rPr>
                                <w:sz w:val="60"/>
                                <w:szCs w:val="60"/>
                              </w:rP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585pt;height:16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" strokecolor="gray">
                <v:textbox>
                  <w:txbxContent>
                    <w:p w:rsidR="00FD4A57" w:rsidRPr="000E0F3F" w:rsidRDefault="00FD4A57" w:rsidP="00A97702">
                      <w:pPr>
                        <w:pStyle w:val="TitleHeading"/>
                        <w:spacing w:before="240"/>
                        <w:ind w:left="0" w:right="284"/>
                        <w:jc w:val="right"/>
                        <w:rPr>
                          <w:spacing w:val="60"/>
                          <w:sz w:val="50"/>
                          <w:szCs w:val="50"/>
                        </w:rPr>
                      </w:pPr>
                      <w:r w:rsidRPr="000E0F3F">
                        <w:rPr>
                          <w:spacing w:val="60"/>
                          <w:sz w:val="50"/>
                          <w:szCs w:val="50"/>
                        </w:rPr>
                        <w:t>GUIDELINE ON</w:t>
                      </w:r>
                    </w:p>
                    <w:p w:rsidR="00FD4A57" w:rsidRPr="000E0F3F" w:rsidRDefault="00FD4A57" w:rsidP="00A97702">
                      <w:pPr>
                        <w:pStyle w:val="TitleHeading"/>
                        <w:spacing w:before="360"/>
                        <w:ind w:left="0" w:right="284"/>
                        <w:jc w:val="right"/>
                        <w:rPr>
                          <w:color w:val="CC0066"/>
                          <w:spacing w:val="60"/>
                          <w:sz w:val="50"/>
                          <w:szCs w:val="50"/>
                        </w:rPr>
                      </w:pPr>
                      <w:r w:rsidRPr="000E0F3F">
                        <w:rPr>
                          <w:color w:val="CC0066"/>
                          <w:spacing w:val="60"/>
                          <w:sz w:val="50"/>
                          <w:szCs w:val="50"/>
                        </w:rPr>
                        <w:t>Investigation Levels</w:t>
                      </w:r>
                    </w:p>
                    <w:p w:rsidR="00FD4A57" w:rsidRPr="000E0F3F" w:rsidRDefault="00FD4A57" w:rsidP="00A97702">
                      <w:pPr>
                        <w:pStyle w:val="TitleHeading"/>
                        <w:ind w:left="0" w:right="284"/>
                        <w:jc w:val="right"/>
                        <w:rPr>
                          <w:color w:val="CC0066"/>
                          <w:spacing w:val="60"/>
                          <w:sz w:val="50"/>
                          <w:szCs w:val="50"/>
                        </w:rPr>
                      </w:pPr>
                      <w:r w:rsidRPr="000E0F3F">
                        <w:rPr>
                          <w:color w:val="CC0066"/>
                          <w:spacing w:val="60"/>
                          <w:sz w:val="50"/>
                          <w:szCs w:val="50"/>
                        </w:rPr>
                        <w:t>For Soil and Groundwater</w:t>
                      </w:r>
                    </w:p>
                    <w:p w:rsidR="00FD4A57" w:rsidRPr="000E0F3F" w:rsidRDefault="00FD4A57" w:rsidP="00A97702">
                      <w:pPr>
                        <w:pStyle w:val="TitleHeading"/>
                        <w:ind w:left="0" w:right="284"/>
                        <w:jc w:val="right"/>
                        <w:rPr>
                          <w:color w:val="CC0066"/>
                          <w:spacing w:val="60"/>
                          <w:sz w:val="50"/>
                          <w:szCs w:val="50"/>
                        </w:rPr>
                      </w:pPr>
                    </w:p>
                    <w:p w:rsidR="00FD4A57" w:rsidRPr="00B72F2E" w:rsidRDefault="00FD4A57" w:rsidP="00A97702">
                      <w:pPr>
                        <w:jc w:val="right"/>
                        <w:rPr>
                          <w:sz w:val="60"/>
                          <w:szCs w:val="60"/>
                        </w:rPr>
                      </w:pPr>
                    </w:p>
                  </w:txbxContent>
                </v:textbox>
                <w10:anchorlock/>
              </v:shape>
            </w:pict>
          </mc:Fallback>
        </mc:AlternateContent>
      </w:r>
    </w:p>
    <w:p w:rsidR="00A97702" w:rsidRDefault="00A97702" w:rsidP="0016384B">
      <w:pPr>
        <w:ind w:left="-993"/>
      </w:pPr>
    </w:p>
    <w:p w:rsidR="00A97702" w:rsidRDefault="00A97702" w:rsidP="00A97702"/>
    <w:p w:rsidR="00A97702" w:rsidRDefault="00A97702" w:rsidP="00A97702"/>
    <w:p w:rsidR="00A97702" w:rsidRDefault="00A97702" w:rsidP="00A97702"/>
    <w:p w:rsidR="00A97702" w:rsidRDefault="00A97702" w:rsidP="00A97702"/>
    <w:p w:rsidR="00A97702" w:rsidRDefault="00A97702" w:rsidP="00A97702"/>
    <w:p w:rsidR="00A97702" w:rsidRPr="00C45564" w:rsidRDefault="00A97702" w:rsidP="00A97702">
      <w:pPr>
        <w:pStyle w:val="TitleHeading"/>
      </w:pPr>
    </w:p>
    <w:p w:rsidR="00A97702" w:rsidRDefault="00A97702" w:rsidP="00A97702">
      <w:pPr>
        <w:pStyle w:val="text"/>
      </w:pPr>
    </w:p>
    <w:p w:rsidR="00A97702" w:rsidRDefault="00A97702" w:rsidP="00A97702">
      <w:pPr>
        <w:pStyle w:val="text"/>
      </w:pPr>
    </w:p>
    <w:p w:rsidR="00A97702" w:rsidRDefault="00A97702" w:rsidP="00A97702">
      <w:pPr>
        <w:pStyle w:val="text"/>
      </w:pPr>
    </w:p>
    <w:p w:rsidR="00A97702" w:rsidRDefault="0016384B" w:rsidP="0016384B">
      <w:pPr>
        <w:pStyle w:val="text"/>
        <w:ind w:right="424"/>
        <w:jc w:val="right"/>
      </w:pPr>
      <w:r>
        <w:rPr>
          <w:noProof/>
        </w:rPr>
        <mc:AlternateContent>
          <mc:Choice Requires="wps">
            <w:drawing>
              <wp:inline distT="0" distB="0" distL="0" distR="0">
                <wp:extent cx="0" cy="1526540"/>
                <wp:effectExtent l="38100" t="0" r="38100" b="0"/>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6540"/>
                        </a:xfrm>
                        <a:prstGeom prst="line">
                          <a:avLst/>
                        </a:prstGeom>
                        <a:noFill/>
                        <a:ln w="76200">
                          <a:solidFill>
                            <a:srgbClr val="808080"/>
                          </a:solidFill>
                          <a:prstDash val="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0,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" strokecolor="gray" strokeweight="6pt">
                <v:stroke dashstyle="dashDot"/>
                <w10:anchorlock/>
              </v:line>
            </w:pict>
          </mc:Fallback>
        </mc:AlternateContent>
      </w:r>
    </w:p>
    <w:p w:rsidR="00A97702" w:rsidRDefault="00A97702" w:rsidP="00A97702">
      <w:pPr>
        <w:pStyle w:val="text"/>
      </w:pPr>
    </w:p>
    <w:p w:rsidR="00A97702" w:rsidRDefault="00A97702" w:rsidP="00A97702">
      <w:pPr>
        <w:pStyle w:val="text"/>
      </w:pPr>
      <w:r>
        <w:rPr>
          <w:noProof/>
        </w:rPr>
        <mc:AlternateContent>
          <mc:Choice Requires="wps">
            <w:drawing>
              <wp:inline distT="0" distB="0" distL="0" distR="0">
                <wp:extent cx="5969635" cy="3920490"/>
                <wp:effectExtent l="0" t="0" r="12065" b="228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3920490"/>
                        </a:xfrm>
                        <a:prstGeom prst="rect">
                          <a:avLst/>
                        </a:prstGeom>
                        <a:solidFill>
                          <a:srgbClr val="FFFFFF"/>
                        </a:solidFill>
                        <a:ln w="9525">
                          <a:solidFill>
                            <a:srgbClr val="000000"/>
                          </a:solidFill>
                          <a:miter lim="800000"/>
                          <a:headEnd/>
                          <a:tailEnd/>
                        </a:ln>
                      </wps:spPr>
                      <wps:txbx>
                        <w:txbxContent>
                          <w:p w:rsidR="00590138" w:rsidRPr="003238E3" w:rsidRDefault="00590138" w:rsidP="00A97702">
                            <w:pPr>
                              <w:rPr>
                                <w:rFonts w:ascii="Arial" w:hAnsi="Arial" w:cs="Arial"/>
                                <w:b/>
                                <w:spacing w:val="20"/>
                                <w:sz w:val="24"/>
                                <w:szCs w:val="24"/>
                              </w:rPr>
                            </w:pPr>
                            <w:r w:rsidRPr="003238E3">
                              <w:rPr>
                                <w:rFonts w:ascii="Arial" w:hAnsi="Arial" w:cs="Arial"/>
                                <w:b/>
                                <w:spacing w:val="20"/>
                                <w:sz w:val="24"/>
                                <w:szCs w:val="24"/>
                              </w:rPr>
                              <w:t>Explanatory note</w:t>
                            </w:r>
                          </w:p>
                          <w:p w:rsidR="00590138" w:rsidRPr="00342ED2" w:rsidRDefault="00590138" w:rsidP="00A97702">
                            <w:pPr>
                              <w:rPr>
                                <w:rFonts w:ascii="Calibri" w:hAnsi="Calibri"/>
                                <w:spacing w:val="20"/>
                                <w:szCs w:val="22"/>
                              </w:rPr>
                            </w:pPr>
                            <w:r w:rsidRPr="00342ED2">
                              <w:rPr>
                                <w:rFonts w:ascii="Arial" w:hAnsi="Arial" w:cs="Arial"/>
                                <w:spacing w:val="20"/>
                                <w:szCs w:val="22"/>
                              </w:rPr>
                              <w:t>The following guideline provides general guidance in relation to investigation levels for soil, soil vapour and groundwater in the assessment of site contamination.</w:t>
                            </w:r>
                          </w:p>
                          <w:p w:rsidR="00590138" w:rsidRPr="00342ED2" w:rsidRDefault="00590138" w:rsidP="00A97702">
                            <w:pPr>
                              <w:rPr>
                                <w:rFonts w:ascii="Arial" w:hAnsi="Arial" w:cs="Arial"/>
                                <w:spacing w:val="20"/>
                                <w:szCs w:val="22"/>
                              </w:rPr>
                            </w:pPr>
                          </w:p>
                          <w:p w:rsidR="00590138" w:rsidRPr="00342ED2" w:rsidRDefault="00590138" w:rsidP="00A97702">
                            <w:pPr>
                              <w:rPr>
                                <w:rFonts w:ascii="Arial" w:hAnsi="Arial" w:cs="Arial"/>
                                <w:spacing w:val="20"/>
                                <w:szCs w:val="22"/>
                              </w:rPr>
                            </w:pPr>
                            <w:r w:rsidRPr="00342ED2">
                              <w:rPr>
                                <w:rFonts w:ascii="Arial" w:hAnsi="Arial" w:cs="Arial"/>
                                <w:spacing w:val="20"/>
                                <w:szCs w:val="22"/>
                              </w:rPr>
                              <w:t>This Schedule forms part of the National Environment Protection (Assessment of Site Contamination) Measure 1999 and should be read in conjunction with that document, which includes a policy framework and assessment of site contamination flowchart.</w:t>
                            </w:r>
                          </w:p>
                          <w:p w:rsidR="00590138" w:rsidRPr="00342ED2" w:rsidRDefault="00590138" w:rsidP="00A97702">
                            <w:pPr>
                              <w:rPr>
                                <w:rFonts w:ascii="Arial" w:hAnsi="Arial" w:cs="Arial"/>
                                <w:spacing w:val="20"/>
                                <w:szCs w:val="22"/>
                              </w:rPr>
                            </w:pPr>
                          </w:p>
                          <w:p w:rsidR="00590138" w:rsidRPr="00342ED2" w:rsidRDefault="00590138" w:rsidP="00A97702">
                            <w:pPr>
                              <w:rPr>
                                <w:rFonts w:ascii="Arial" w:hAnsi="Arial" w:cs="Arial"/>
                                <w:spacing w:val="20"/>
                                <w:szCs w:val="22"/>
                              </w:rPr>
                            </w:pPr>
                            <w:r w:rsidRPr="00342ED2">
                              <w:rPr>
                                <w:rFonts w:ascii="Arial" w:hAnsi="Arial" w:cs="Arial"/>
                                <w:spacing w:val="20"/>
                                <w:szCs w:val="22"/>
                              </w:rPr>
                              <w:t>The original Schedule B1 to the National Environment Protection (Assessment of Site Contamination) Measure 1999 has been repealed and replaced by this document.</w:t>
                            </w:r>
                          </w:p>
                          <w:p w:rsidR="00590138" w:rsidRPr="00342ED2" w:rsidRDefault="00590138" w:rsidP="00A97702">
                            <w:pPr>
                              <w:rPr>
                                <w:rFonts w:ascii="Arial" w:hAnsi="Arial" w:cs="Arial"/>
                                <w:spacing w:val="20"/>
                                <w:szCs w:val="22"/>
                              </w:rPr>
                            </w:pPr>
                          </w:p>
                          <w:p w:rsidR="00590138" w:rsidRPr="00342ED2" w:rsidRDefault="00590138" w:rsidP="00A97702">
                            <w:pPr>
                              <w:rPr>
                                <w:rFonts w:ascii="Calibri" w:hAnsi="Calibri"/>
                                <w:spacing w:val="20"/>
                                <w:szCs w:val="22"/>
                              </w:rPr>
                            </w:pPr>
                            <w:r w:rsidRPr="00342ED2">
                              <w:rPr>
                                <w:rFonts w:ascii="Arial" w:hAnsi="Arial" w:cs="Arial"/>
                                <w:spacing w:val="20"/>
                                <w:szCs w:val="22"/>
                              </w:rPr>
                              <w:t>The National Environment Protection Council (NEPC) acknowledges the contribution of Queensland Department of Environment and Heritage Protection, Commonwealth Department of Health and Ageing, WA Department of Health, WA Department of Environment and Conservation, CRC Care and enHealth to the development of this Schedule.</w:t>
                            </w:r>
                          </w:p>
                        </w:txbxContent>
                      </wps:txbx>
                      <wps:bodyPr rot="0" vert="horz" wrap="square" lIns="91440" tIns="45720" rIns="91440" bIns="45720" anchor="t" anchorCtr="0" upright="1">
                        <a:noAutofit/>
                      </wps:bodyPr>
                    </wps:wsp>
                  </a:graphicData>
                </a:graphic>
              </wp:inline>
            </w:drawing>
          </mc:Choice>
          <mc:Fallback>
            <w:pict>
              <v:shape id="Text Box 5" o:spid="_x0000_s1028" type="#_x0000_t202" style="width:470.05pt;height:3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">
                <v:textbox>
                  <w:txbxContent>
                    <w:p w:rsidR="00FD4A57" w:rsidRPr="003238E3" w:rsidRDefault="00FD4A57" w:rsidP="00A97702">
                      <w:pPr>
                        <w:rPr>
                          <w:rFonts w:ascii="Arial" w:hAnsi="Arial" w:cs="Arial"/>
                          <w:b/>
                          <w:spacing w:val="20"/>
                          <w:sz w:val="24"/>
                          <w:szCs w:val="24"/>
                        </w:rPr>
                      </w:pPr>
                      <w:r w:rsidRPr="003238E3">
                        <w:rPr>
                          <w:rFonts w:ascii="Arial" w:hAnsi="Arial" w:cs="Arial"/>
                          <w:b/>
                          <w:spacing w:val="20"/>
                          <w:sz w:val="24"/>
                          <w:szCs w:val="24"/>
                        </w:rPr>
                        <w:t>Explanatory note</w:t>
                      </w:r>
                    </w:p>
                    <w:p w:rsidR="00FD4A57" w:rsidRPr="00342ED2" w:rsidRDefault="00FD4A57" w:rsidP="00A97702">
                      <w:pPr>
                        <w:rPr>
                          <w:rFonts w:ascii="Calibri" w:hAnsi="Calibri"/>
                          <w:spacing w:val="20"/>
                          <w:szCs w:val="22"/>
                        </w:rPr>
                      </w:pPr>
                      <w:r w:rsidRPr="00342ED2">
                        <w:rPr>
                          <w:rFonts w:ascii="Arial" w:hAnsi="Arial" w:cs="Arial"/>
                          <w:spacing w:val="20"/>
                          <w:szCs w:val="22"/>
                        </w:rPr>
                        <w:t>The following guideline provides general guidance in relation to investigation levels for soil, soil vapour and groundwater in the assessment of site contamination.</w:t>
                      </w:r>
                    </w:p>
                    <w:p w:rsidR="00FD4A57" w:rsidRPr="00342ED2" w:rsidRDefault="00FD4A57" w:rsidP="00A97702">
                      <w:pPr>
                        <w:rPr>
                          <w:rFonts w:ascii="Arial" w:hAnsi="Arial" w:cs="Arial"/>
                          <w:spacing w:val="20"/>
                          <w:szCs w:val="22"/>
                        </w:rPr>
                      </w:pPr>
                    </w:p>
                    <w:p w:rsidR="00FD4A57" w:rsidRPr="00342ED2" w:rsidRDefault="00FD4A57" w:rsidP="00A97702">
                      <w:pPr>
                        <w:rPr>
                          <w:rFonts w:ascii="Arial" w:hAnsi="Arial" w:cs="Arial"/>
                          <w:spacing w:val="20"/>
                          <w:szCs w:val="22"/>
                        </w:rPr>
                      </w:pPr>
                      <w:r w:rsidRPr="00342ED2">
                        <w:rPr>
                          <w:rFonts w:ascii="Arial" w:hAnsi="Arial" w:cs="Arial"/>
                          <w:spacing w:val="20"/>
                          <w:szCs w:val="22"/>
                        </w:rPr>
                        <w:t>This Schedule forms part of the National Environment Protection (Assessment of Site Contamination) Measure 1999 and should be read in conjunction with that document, which includes a policy framework and assessment of site contamination flowchart.</w:t>
                      </w:r>
                    </w:p>
                    <w:p w:rsidR="00FD4A57" w:rsidRPr="00342ED2" w:rsidRDefault="00FD4A57" w:rsidP="00A97702">
                      <w:pPr>
                        <w:rPr>
                          <w:rFonts w:ascii="Arial" w:hAnsi="Arial" w:cs="Arial"/>
                          <w:spacing w:val="20"/>
                          <w:szCs w:val="22"/>
                        </w:rPr>
                      </w:pPr>
                    </w:p>
                    <w:p w:rsidR="00FD4A57" w:rsidRPr="00342ED2" w:rsidRDefault="00FD4A57" w:rsidP="00A97702">
                      <w:pPr>
                        <w:rPr>
                          <w:rFonts w:ascii="Arial" w:hAnsi="Arial" w:cs="Arial"/>
                          <w:spacing w:val="20"/>
                          <w:szCs w:val="22"/>
                        </w:rPr>
                      </w:pPr>
                      <w:r w:rsidRPr="00342ED2">
                        <w:rPr>
                          <w:rFonts w:ascii="Arial" w:hAnsi="Arial" w:cs="Arial"/>
                          <w:spacing w:val="20"/>
                          <w:szCs w:val="22"/>
                        </w:rPr>
                        <w:t>The original Schedule B1 to the National Environment Protection (Assessment of Site Contamination) Measure 1999 has been repealed and replaced by this document.</w:t>
                      </w:r>
                    </w:p>
                    <w:p w:rsidR="00FD4A57" w:rsidRPr="00342ED2" w:rsidRDefault="00FD4A57" w:rsidP="00A97702">
                      <w:pPr>
                        <w:rPr>
                          <w:rFonts w:ascii="Arial" w:hAnsi="Arial" w:cs="Arial"/>
                          <w:spacing w:val="20"/>
                          <w:szCs w:val="22"/>
                        </w:rPr>
                      </w:pPr>
                    </w:p>
                    <w:p w:rsidR="00FD4A57" w:rsidRPr="00342ED2" w:rsidRDefault="00FD4A57" w:rsidP="00A97702">
                      <w:pPr>
                        <w:rPr>
                          <w:rFonts w:ascii="Calibri" w:hAnsi="Calibri"/>
                          <w:spacing w:val="20"/>
                          <w:szCs w:val="22"/>
                        </w:rPr>
                      </w:pPr>
                      <w:r w:rsidRPr="00342ED2">
                        <w:rPr>
                          <w:rFonts w:ascii="Arial" w:hAnsi="Arial" w:cs="Arial"/>
                          <w:spacing w:val="20"/>
                          <w:szCs w:val="22"/>
                        </w:rPr>
                        <w:t>The National Environment Protection Council (NEPC) acknowledges the contribution of Queensland Department of Environment and Heritage Protection, Commonwealth Department of Health and Ageing, WA Department of Health, WA Department of Environment and Conservation, CRC Care and enHealth to the development of this Schedule.</w:t>
                      </w:r>
                    </w:p>
                  </w:txbxContent>
                </v:textbox>
                <w10:anchorlock/>
              </v:shape>
            </w:pict>
          </mc:Fallback>
        </mc:AlternateContent>
      </w:r>
    </w:p>
    <w:p w:rsidR="00A97702" w:rsidRDefault="00A97702" w:rsidP="00A97702">
      <w:pPr>
        <w:pStyle w:val="text"/>
      </w:pPr>
    </w:p>
    <w:p w:rsidR="00A97702" w:rsidRPr="0010461D" w:rsidRDefault="00A97702" w:rsidP="00A97702">
      <w:pPr>
        <w:pStyle w:val="text"/>
        <w:rPr>
          <w:rFonts w:ascii="Arial" w:hAnsi="Arial" w:cs="Arial"/>
        </w:rPr>
      </w:pPr>
    </w:p>
    <w:p w:rsidR="00A97702" w:rsidRPr="00C45564" w:rsidRDefault="00A97702" w:rsidP="00A97702">
      <w:pPr>
        <w:sectPr w:rsidR="00A97702" w:rsidRPr="00C45564" w:rsidSect="00A97702">
          <w:footerReference w:type="even" r:id="rId9"/>
          <w:footerReference w:type="default" r:id="rId10"/>
          <w:headerReference w:type="first" r:id="rId11"/>
          <w:pgSz w:w="11906" w:h="16838" w:code="9"/>
          <w:pgMar w:top="567" w:right="567" w:bottom="567" w:left="1134" w:header="720" w:footer="720" w:gutter="0"/>
          <w:paperSrc w:first="2" w:other="2"/>
          <w:cols w:space="720"/>
        </w:sectPr>
      </w:pPr>
    </w:p>
    <w:p w:rsidR="00A97702" w:rsidRPr="00B77135" w:rsidRDefault="00A97702" w:rsidP="00B77135">
      <w:pPr>
        <w:pStyle w:val="TOC1"/>
      </w:pPr>
      <w:r>
        <w:rPr>
          <w:noProof/>
        </w:rPr>
        <w:lastRenderedPageBreak/>
        <mc:AlternateContent>
          <mc:Choice Requires="wps">
            <w:drawing>
              <wp:anchor distT="0" distB="0" distL="114300" distR="114300" simplePos="0" relativeHeight="251661312" behindDoc="0" locked="0" layoutInCell="0" allowOverlap="1" wp14:anchorId="4AAFA7DA" wp14:editId="4FC731FB">
                <wp:simplePos x="0" y="0"/>
                <wp:positionH relativeFrom="page">
                  <wp:posOffset>914400</wp:posOffset>
                </wp:positionH>
                <wp:positionV relativeFrom="page">
                  <wp:posOffset>824230</wp:posOffset>
                </wp:positionV>
                <wp:extent cx="5920740" cy="890270"/>
                <wp:effectExtent l="9525" t="5080" r="1333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90270"/>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FFFFFF">
                                      <a:gamma/>
                                      <a:shade val="46275"/>
                                      <a:invGamma/>
                                    </a:srgbClr>
                                  </a:gs>
                                  <a:gs pos="100000">
                                    <a:srgbClr val="FFFFFF"/>
                                  </a:gs>
                                </a:gsLst>
                                <a:lin ang="5400000" scaled="1"/>
                              </a:gradFill>
                            </a14:hiddenFill>
                          </a:ext>
                        </a:extLst>
                      </wps:spPr>
                      <wps:txbx>
                        <w:txbxContent>
                          <w:p w:rsidR="00590138" w:rsidRPr="00245A87" w:rsidRDefault="00590138" w:rsidP="00A97702">
                            <w:pPr>
                              <w:jc w:val="center"/>
                              <w:rPr>
                                <w:rFonts w:ascii="Arial" w:hAnsi="Arial" w:cs="Arial"/>
                                <w:b/>
                                <w:sz w:val="32"/>
                                <w:szCs w:val="32"/>
                              </w:rPr>
                            </w:pPr>
                            <w:r w:rsidRPr="00245A87">
                              <w:rPr>
                                <w:rFonts w:ascii="Arial" w:hAnsi="Arial" w:cs="Arial"/>
                                <w:b/>
                                <w:sz w:val="32"/>
                                <w:szCs w:val="32"/>
                              </w:rPr>
                              <w:t>Contents</w:t>
                            </w:r>
                          </w:p>
                          <w:p w:rsidR="00590138" w:rsidRPr="00245A87" w:rsidRDefault="00590138" w:rsidP="00A97702">
                            <w:pPr>
                              <w:jc w:val="center"/>
                              <w:rPr>
                                <w:rFonts w:ascii="Arial" w:hAnsi="Arial" w:cs="Arial"/>
                                <w:b/>
                                <w:sz w:val="32"/>
                                <w:szCs w:val="32"/>
                              </w:rPr>
                            </w:pPr>
                            <w:r w:rsidRPr="00245A87">
                              <w:rPr>
                                <w:rFonts w:ascii="Arial" w:hAnsi="Arial" w:cs="Arial"/>
                                <w:sz w:val="32"/>
                                <w:szCs w:val="32"/>
                              </w:rPr>
                              <w:t>Investigation levels for soil and groundwater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in;margin-top:64.9pt;width:466.2pt;height:7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" o:allowincell="f" filled="f" fillcolor="#767676">
                <v:fill focus="100%" type="gradient"/>
                <v:textbox>
                  <w:txbxContent>
                    <w:p w:rsidR="00FD4A57" w:rsidRPr="00245A87" w:rsidRDefault="00FD4A57" w:rsidP="00A97702">
                      <w:pPr>
                        <w:jc w:val="center"/>
                        <w:rPr>
                          <w:rFonts w:ascii="Arial" w:hAnsi="Arial" w:cs="Arial"/>
                          <w:b/>
                          <w:sz w:val="32"/>
                          <w:szCs w:val="32"/>
                        </w:rPr>
                      </w:pPr>
                      <w:r w:rsidRPr="00245A87">
                        <w:rPr>
                          <w:rFonts w:ascii="Arial" w:hAnsi="Arial" w:cs="Arial"/>
                          <w:b/>
                          <w:sz w:val="32"/>
                          <w:szCs w:val="32"/>
                        </w:rPr>
                        <w:t>Contents</w:t>
                      </w:r>
                    </w:p>
                    <w:p w:rsidR="00FD4A57" w:rsidRPr="00245A87" w:rsidRDefault="00FD4A57" w:rsidP="00A97702">
                      <w:pPr>
                        <w:jc w:val="center"/>
                        <w:rPr>
                          <w:rFonts w:ascii="Arial" w:hAnsi="Arial" w:cs="Arial"/>
                          <w:b/>
                          <w:sz w:val="32"/>
                          <w:szCs w:val="32"/>
                        </w:rPr>
                      </w:pPr>
                      <w:r w:rsidRPr="00245A87">
                        <w:rPr>
                          <w:rFonts w:ascii="Arial" w:hAnsi="Arial" w:cs="Arial"/>
                          <w:sz w:val="32"/>
                          <w:szCs w:val="32"/>
                        </w:rPr>
                        <w:t>Investigation levels for soil and groundwater</w:t>
                      </w:r>
                    </w:p>
                  </w:txbxContent>
                </v:textbox>
                <w10:wrap type="square" anchorx="page" anchory="page"/>
              </v:shape>
            </w:pict>
          </mc:Fallback>
        </mc:AlternateContent>
      </w:r>
      <w:r w:rsidR="00B77135">
        <w:tab/>
      </w:r>
      <w:r w:rsidR="00B77135">
        <w:tab/>
      </w:r>
      <w:r w:rsidRPr="00245A87">
        <w:rPr>
          <w:b w:val="0"/>
        </w:rPr>
        <w:t>Page</w:t>
      </w:r>
    </w:p>
    <w:p w:rsidR="00B542A2" w:rsidRDefault="00FD4A57">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B542A2">
        <w:rPr>
          <w:noProof/>
        </w:rPr>
        <w:t>1</w:t>
      </w:r>
      <w:r w:rsidR="00B542A2">
        <w:rPr>
          <w:rFonts w:asciiTheme="minorHAnsi" w:eastAsiaTheme="minorEastAsia" w:hAnsiTheme="minorHAnsi" w:cstheme="minorBidi"/>
          <w:b w:val="0"/>
          <w:noProof/>
          <w:kern w:val="0"/>
          <w:sz w:val="22"/>
          <w:szCs w:val="22"/>
        </w:rPr>
        <w:tab/>
      </w:r>
      <w:r w:rsidR="00B542A2">
        <w:rPr>
          <w:noProof/>
        </w:rPr>
        <w:t>Introduction</w:t>
      </w:r>
      <w:r w:rsidR="00B542A2">
        <w:rPr>
          <w:noProof/>
        </w:rPr>
        <w:tab/>
      </w:r>
      <w:r w:rsidR="00B542A2">
        <w:rPr>
          <w:noProof/>
        </w:rPr>
        <w:fldChar w:fldCharType="begin"/>
      </w:r>
      <w:r w:rsidR="00B542A2">
        <w:rPr>
          <w:noProof/>
        </w:rPr>
        <w:instrText xml:space="preserve"> PAGEREF _Toc351712006 \h </w:instrText>
      </w:r>
      <w:r w:rsidR="00B542A2">
        <w:rPr>
          <w:noProof/>
        </w:rPr>
      </w:r>
      <w:r w:rsidR="00B542A2">
        <w:rPr>
          <w:noProof/>
        </w:rPr>
        <w:fldChar w:fldCharType="separate"/>
      </w:r>
      <w:r w:rsidR="005838D8">
        <w:rPr>
          <w:noProof/>
        </w:rPr>
        <w:t>1</w:t>
      </w:r>
      <w:r w:rsidR="00B542A2">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1.1</w:t>
      </w:r>
      <w:r>
        <w:rPr>
          <w:rFonts w:asciiTheme="minorHAnsi" w:eastAsiaTheme="minorEastAsia" w:hAnsiTheme="minorHAnsi" w:cstheme="minorBidi"/>
          <w:b w:val="0"/>
          <w:noProof/>
          <w:kern w:val="0"/>
          <w:sz w:val="22"/>
          <w:szCs w:val="22"/>
        </w:rPr>
        <w:tab/>
      </w:r>
      <w:r>
        <w:rPr>
          <w:noProof/>
        </w:rPr>
        <w:t>Overview</w:t>
      </w:r>
      <w:r>
        <w:rPr>
          <w:noProof/>
        </w:rPr>
        <w:tab/>
      </w:r>
      <w:r>
        <w:rPr>
          <w:noProof/>
        </w:rPr>
        <w:fldChar w:fldCharType="begin"/>
      </w:r>
      <w:r>
        <w:rPr>
          <w:noProof/>
        </w:rPr>
        <w:instrText xml:space="preserve"> PAGEREF _Toc351712007 \h </w:instrText>
      </w:r>
      <w:r>
        <w:rPr>
          <w:noProof/>
        </w:rPr>
      </w:r>
      <w:r>
        <w:rPr>
          <w:noProof/>
        </w:rPr>
        <w:fldChar w:fldCharType="separate"/>
      </w:r>
      <w:r w:rsidR="005838D8">
        <w:rPr>
          <w:noProof/>
        </w:rPr>
        <w:t>1</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1.2</w:t>
      </w:r>
      <w:r>
        <w:rPr>
          <w:rFonts w:asciiTheme="minorHAnsi" w:eastAsiaTheme="minorEastAsia" w:hAnsiTheme="minorHAnsi" w:cstheme="minorBidi"/>
          <w:b w:val="0"/>
          <w:noProof/>
          <w:kern w:val="0"/>
          <w:sz w:val="22"/>
          <w:szCs w:val="22"/>
        </w:rPr>
        <w:tab/>
      </w:r>
      <w:r>
        <w:rPr>
          <w:noProof/>
        </w:rPr>
        <w:t>Prevention of site contamination</w:t>
      </w:r>
      <w:r>
        <w:rPr>
          <w:noProof/>
        </w:rPr>
        <w:tab/>
      </w:r>
      <w:r>
        <w:rPr>
          <w:noProof/>
        </w:rPr>
        <w:fldChar w:fldCharType="begin"/>
      </w:r>
      <w:r>
        <w:rPr>
          <w:noProof/>
        </w:rPr>
        <w:instrText xml:space="preserve"> PAGEREF _Toc351712008 \h </w:instrText>
      </w:r>
      <w:r>
        <w:rPr>
          <w:noProof/>
        </w:rPr>
      </w:r>
      <w:r>
        <w:rPr>
          <w:noProof/>
        </w:rPr>
        <w:fldChar w:fldCharType="separate"/>
      </w:r>
      <w:r w:rsidR="005838D8">
        <w:rPr>
          <w:noProof/>
        </w:rPr>
        <w:t>1</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1.3</w:t>
      </w:r>
      <w:r>
        <w:rPr>
          <w:rFonts w:asciiTheme="minorHAnsi" w:eastAsiaTheme="minorEastAsia" w:hAnsiTheme="minorHAnsi" w:cstheme="minorBidi"/>
          <w:b w:val="0"/>
          <w:noProof/>
          <w:kern w:val="0"/>
          <w:sz w:val="22"/>
          <w:szCs w:val="22"/>
        </w:rPr>
        <w:tab/>
      </w:r>
      <w:r>
        <w:rPr>
          <w:noProof/>
        </w:rPr>
        <w:t>Specialised assessments</w:t>
      </w:r>
      <w:r>
        <w:rPr>
          <w:noProof/>
        </w:rPr>
        <w:tab/>
      </w:r>
      <w:r>
        <w:rPr>
          <w:noProof/>
        </w:rPr>
        <w:fldChar w:fldCharType="begin"/>
      </w:r>
      <w:r>
        <w:rPr>
          <w:noProof/>
        </w:rPr>
        <w:instrText xml:space="preserve"> PAGEREF _Toc351712009 \h </w:instrText>
      </w:r>
      <w:r>
        <w:rPr>
          <w:noProof/>
        </w:rPr>
      </w:r>
      <w:r>
        <w:rPr>
          <w:noProof/>
        </w:rPr>
        <w:fldChar w:fldCharType="separate"/>
      </w:r>
      <w:r w:rsidR="005838D8">
        <w:rPr>
          <w:noProof/>
        </w:rPr>
        <w:t>1</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1.4</w:t>
      </w:r>
      <w:r>
        <w:rPr>
          <w:rFonts w:asciiTheme="minorHAnsi" w:eastAsiaTheme="minorEastAsia" w:hAnsiTheme="minorHAnsi" w:cstheme="minorBidi"/>
          <w:b w:val="0"/>
          <w:noProof/>
          <w:kern w:val="0"/>
          <w:sz w:val="22"/>
          <w:szCs w:val="22"/>
        </w:rPr>
        <w:tab/>
      </w:r>
      <w:r>
        <w:rPr>
          <w:noProof/>
        </w:rPr>
        <w:t>Acute hazards</w:t>
      </w:r>
      <w:r>
        <w:rPr>
          <w:noProof/>
        </w:rPr>
        <w:tab/>
      </w:r>
      <w:r>
        <w:rPr>
          <w:noProof/>
        </w:rPr>
        <w:fldChar w:fldCharType="begin"/>
      </w:r>
      <w:r>
        <w:rPr>
          <w:noProof/>
        </w:rPr>
        <w:instrText xml:space="preserve"> PAGEREF _Toc351712010 \h </w:instrText>
      </w:r>
      <w:r>
        <w:rPr>
          <w:noProof/>
        </w:rPr>
      </w:r>
      <w:r>
        <w:rPr>
          <w:noProof/>
        </w:rPr>
        <w:fldChar w:fldCharType="separate"/>
      </w:r>
      <w:r w:rsidR="005838D8">
        <w:rPr>
          <w:noProof/>
        </w:rPr>
        <w:t>1</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1.5</w:t>
      </w:r>
      <w:r>
        <w:rPr>
          <w:rFonts w:asciiTheme="minorHAnsi" w:eastAsiaTheme="minorEastAsia" w:hAnsiTheme="minorHAnsi" w:cstheme="minorBidi"/>
          <w:b w:val="0"/>
          <w:noProof/>
          <w:kern w:val="0"/>
          <w:sz w:val="22"/>
          <w:szCs w:val="22"/>
        </w:rPr>
        <w:tab/>
      </w:r>
      <w:r>
        <w:rPr>
          <w:noProof/>
        </w:rPr>
        <w:t>Mineralised areas</w:t>
      </w:r>
      <w:r>
        <w:rPr>
          <w:noProof/>
        </w:rPr>
        <w:tab/>
      </w:r>
      <w:r>
        <w:rPr>
          <w:noProof/>
        </w:rPr>
        <w:fldChar w:fldCharType="begin"/>
      </w:r>
      <w:r>
        <w:rPr>
          <w:noProof/>
        </w:rPr>
        <w:instrText xml:space="preserve"> PAGEREF _Toc351712011 \h </w:instrText>
      </w:r>
      <w:r>
        <w:rPr>
          <w:noProof/>
        </w:rPr>
      </w:r>
      <w:r>
        <w:rPr>
          <w:noProof/>
        </w:rPr>
        <w:fldChar w:fldCharType="separate"/>
      </w:r>
      <w:r w:rsidR="005838D8">
        <w:rPr>
          <w:noProof/>
        </w:rPr>
        <w:t>2</w:t>
      </w:r>
      <w:r>
        <w:rPr>
          <w:noProof/>
        </w:rPr>
        <w:fldChar w:fldCharType="end"/>
      </w:r>
    </w:p>
    <w:p w:rsidR="00B542A2" w:rsidRDefault="00B542A2">
      <w:pPr>
        <w:pStyle w:val="TOC1"/>
        <w:rPr>
          <w:rFonts w:asciiTheme="minorHAnsi" w:eastAsiaTheme="minorEastAsia" w:hAnsiTheme="minorHAnsi" w:cstheme="minorBidi"/>
          <w:b w:val="0"/>
          <w:noProof/>
          <w:kern w:val="0"/>
          <w:sz w:val="22"/>
          <w:szCs w:val="22"/>
        </w:rPr>
      </w:pPr>
      <w:r>
        <w:rPr>
          <w:noProof/>
        </w:rPr>
        <w:t>2</w:t>
      </w:r>
      <w:r>
        <w:rPr>
          <w:rFonts w:asciiTheme="minorHAnsi" w:eastAsiaTheme="minorEastAsia" w:hAnsiTheme="minorHAnsi" w:cstheme="minorBidi"/>
          <w:b w:val="0"/>
          <w:noProof/>
          <w:kern w:val="0"/>
          <w:sz w:val="22"/>
          <w:szCs w:val="22"/>
        </w:rPr>
        <w:tab/>
      </w:r>
      <w:r>
        <w:rPr>
          <w:noProof/>
        </w:rPr>
        <w:t>Derivation of investigation and screening levels</w:t>
      </w:r>
      <w:r>
        <w:rPr>
          <w:noProof/>
        </w:rPr>
        <w:tab/>
      </w:r>
      <w:r>
        <w:rPr>
          <w:noProof/>
        </w:rPr>
        <w:fldChar w:fldCharType="begin"/>
      </w:r>
      <w:r>
        <w:rPr>
          <w:noProof/>
        </w:rPr>
        <w:instrText xml:space="preserve"> PAGEREF _Toc351712012 \h </w:instrText>
      </w:r>
      <w:r>
        <w:rPr>
          <w:noProof/>
        </w:rPr>
      </w:r>
      <w:r>
        <w:rPr>
          <w:noProof/>
        </w:rPr>
        <w:fldChar w:fldCharType="separate"/>
      </w:r>
      <w:r w:rsidR="005838D8">
        <w:rPr>
          <w:noProof/>
        </w:rPr>
        <w:t>3</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2.1</w:t>
      </w:r>
      <w:r>
        <w:rPr>
          <w:rFonts w:asciiTheme="minorHAnsi" w:eastAsiaTheme="minorEastAsia" w:hAnsiTheme="minorHAnsi" w:cstheme="minorBidi"/>
          <w:b w:val="0"/>
          <w:noProof/>
          <w:kern w:val="0"/>
          <w:sz w:val="22"/>
          <w:szCs w:val="22"/>
        </w:rPr>
        <w:tab/>
      </w:r>
      <w:r>
        <w:rPr>
          <w:noProof/>
        </w:rPr>
        <w:t>Introduction</w:t>
      </w:r>
      <w:r>
        <w:rPr>
          <w:noProof/>
        </w:rPr>
        <w:tab/>
      </w:r>
      <w:r>
        <w:rPr>
          <w:noProof/>
        </w:rPr>
        <w:fldChar w:fldCharType="begin"/>
      </w:r>
      <w:r>
        <w:rPr>
          <w:noProof/>
        </w:rPr>
        <w:instrText xml:space="preserve"> PAGEREF _Toc351712013 \h </w:instrText>
      </w:r>
      <w:r>
        <w:rPr>
          <w:noProof/>
        </w:rPr>
      </w:r>
      <w:r>
        <w:rPr>
          <w:noProof/>
        </w:rPr>
        <w:fldChar w:fldCharType="separate"/>
      </w:r>
      <w:r w:rsidR="005838D8">
        <w:rPr>
          <w:noProof/>
        </w:rPr>
        <w:t>3</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2.1.1</w:t>
      </w:r>
      <w:r>
        <w:rPr>
          <w:rFonts w:asciiTheme="minorHAnsi" w:eastAsiaTheme="minorEastAsia" w:hAnsiTheme="minorHAnsi" w:cstheme="minorBidi"/>
          <w:b w:val="0"/>
          <w:noProof/>
          <w:kern w:val="0"/>
          <w:szCs w:val="22"/>
        </w:rPr>
        <w:tab/>
      </w:r>
      <w:r>
        <w:rPr>
          <w:noProof/>
        </w:rPr>
        <w:t>Definitions</w:t>
      </w:r>
      <w:r>
        <w:rPr>
          <w:noProof/>
        </w:rPr>
        <w:tab/>
      </w:r>
      <w:r>
        <w:rPr>
          <w:noProof/>
        </w:rPr>
        <w:fldChar w:fldCharType="begin"/>
      </w:r>
      <w:r>
        <w:rPr>
          <w:noProof/>
        </w:rPr>
        <w:instrText xml:space="preserve"> PAGEREF _Toc351712014 \h </w:instrText>
      </w:r>
      <w:r>
        <w:rPr>
          <w:noProof/>
        </w:rPr>
      </w:r>
      <w:r>
        <w:rPr>
          <w:noProof/>
        </w:rPr>
        <w:fldChar w:fldCharType="separate"/>
      </w:r>
      <w:r w:rsidR="005838D8">
        <w:rPr>
          <w:noProof/>
        </w:rPr>
        <w:t>3</w:t>
      </w:r>
      <w:r>
        <w:rPr>
          <w:noProof/>
        </w:rPr>
        <w:fldChar w:fldCharType="end"/>
      </w:r>
      <w:bookmarkStart w:id="0" w:name="_GoBack"/>
      <w:bookmarkEnd w:id="0"/>
    </w:p>
    <w:p w:rsidR="00B542A2" w:rsidRDefault="00B542A2">
      <w:pPr>
        <w:pStyle w:val="TOC3"/>
        <w:rPr>
          <w:rFonts w:asciiTheme="minorHAnsi" w:eastAsiaTheme="minorEastAsia" w:hAnsiTheme="minorHAnsi" w:cstheme="minorBidi"/>
          <w:b w:val="0"/>
          <w:noProof/>
          <w:kern w:val="0"/>
          <w:szCs w:val="22"/>
        </w:rPr>
      </w:pPr>
      <w:r>
        <w:rPr>
          <w:noProof/>
        </w:rPr>
        <w:t>2.1.2</w:t>
      </w:r>
      <w:r>
        <w:rPr>
          <w:rFonts w:asciiTheme="minorHAnsi" w:eastAsiaTheme="minorEastAsia" w:hAnsiTheme="minorHAnsi" w:cstheme="minorBidi"/>
          <w:b w:val="0"/>
          <w:noProof/>
          <w:kern w:val="0"/>
          <w:szCs w:val="22"/>
        </w:rPr>
        <w:tab/>
      </w:r>
      <w:r>
        <w:rPr>
          <w:noProof/>
        </w:rPr>
        <w:t>Inappropriate use of investigation levels and screening levels</w:t>
      </w:r>
      <w:r>
        <w:rPr>
          <w:noProof/>
        </w:rPr>
        <w:tab/>
      </w:r>
      <w:r>
        <w:rPr>
          <w:noProof/>
        </w:rPr>
        <w:fldChar w:fldCharType="begin"/>
      </w:r>
      <w:r>
        <w:rPr>
          <w:noProof/>
        </w:rPr>
        <w:instrText xml:space="preserve"> PAGEREF _Toc351712015 \h </w:instrText>
      </w:r>
      <w:r>
        <w:rPr>
          <w:noProof/>
        </w:rPr>
      </w:r>
      <w:r>
        <w:rPr>
          <w:noProof/>
        </w:rPr>
        <w:fldChar w:fldCharType="separate"/>
      </w:r>
      <w:r w:rsidR="005838D8">
        <w:rPr>
          <w:noProof/>
        </w:rPr>
        <w:t>4</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2.2</w:t>
      </w:r>
      <w:r>
        <w:rPr>
          <w:rFonts w:asciiTheme="minorHAnsi" w:eastAsiaTheme="minorEastAsia" w:hAnsiTheme="minorHAnsi" w:cstheme="minorBidi"/>
          <w:b w:val="0"/>
          <w:noProof/>
          <w:kern w:val="0"/>
          <w:sz w:val="22"/>
          <w:szCs w:val="22"/>
        </w:rPr>
        <w:tab/>
      </w:r>
      <w:r>
        <w:rPr>
          <w:noProof/>
        </w:rPr>
        <w:t>Health investigation levels</w:t>
      </w:r>
      <w:r>
        <w:rPr>
          <w:noProof/>
        </w:rPr>
        <w:tab/>
      </w:r>
      <w:r>
        <w:rPr>
          <w:noProof/>
        </w:rPr>
        <w:fldChar w:fldCharType="begin"/>
      </w:r>
      <w:r>
        <w:rPr>
          <w:noProof/>
        </w:rPr>
        <w:instrText xml:space="preserve"> PAGEREF _Toc351712016 \h </w:instrText>
      </w:r>
      <w:r>
        <w:rPr>
          <w:noProof/>
        </w:rPr>
      </w:r>
      <w:r>
        <w:rPr>
          <w:noProof/>
        </w:rPr>
        <w:fldChar w:fldCharType="separate"/>
      </w:r>
      <w:r w:rsidR="005838D8">
        <w:rPr>
          <w:noProof/>
        </w:rPr>
        <w:t>4</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2.3</w:t>
      </w:r>
      <w:r>
        <w:rPr>
          <w:rFonts w:asciiTheme="minorHAnsi" w:eastAsiaTheme="minorEastAsia" w:hAnsiTheme="minorHAnsi" w:cstheme="minorBidi"/>
          <w:b w:val="0"/>
          <w:noProof/>
          <w:kern w:val="0"/>
          <w:sz w:val="22"/>
          <w:szCs w:val="22"/>
        </w:rPr>
        <w:tab/>
      </w:r>
      <w:r>
        <w:rPr>
          <w:noProof/>
        </w:rPr>
        <w:t>Interim HILs for volatile organic chlorinated compounds</w:t>
      </w:r>
      <w:r>
        <w:rPr>
          <w:noProof/>
        </w:rPr>
        <w:tab/>
      </w:r>
      <w:r>
        <w:rPr>
          <w:noProof/>
        </w:rPr>
        <w:fldChar w:fldCharType="begin"/>
      </w:r>
      <w:r>
        <w:rPr>
          <w:noProof/>
        </w:rPr>
        <w:instrText xml:space="preserve"> PAGEREF _Toc351712017 \h </w:instrText>
      </w:r>
      <w:r>
        <w:rPr>
          <w:noProof/>
        </w:rPr>
      </w:r>
      <w:r>
        <w:rPr>
          <w:noProof/>
        </w:rPr>
        <w:fldChar w:fldCharType="separate"/>
      </w:r>
      <w:r w:rsidR="005838D8">
        <w:rPr>
          <w:noProof/>
        </w:rPr>
        <w:t>5</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2.4</w:t>
      </w:r>
      <w:r>
        <w:rPr>
          <w:rFonts w:asciiTheme="minorHAnsi" w:eastAsiaTheme="minorEastAsia" w:hAnsiTheme="minorHAnsi" w:cstheme="minorBidi"/>
          <w:b w:val="0"/>
          <w:noProof/>
          <w:kern w:val="0"/>
          <w:sz w:val="22"/>
          <w:szCs w:val="22"/>
        </w:rPr>
        <w:tab/>
      </w:r>
      <w:r>
        <w:rPr>
          <w:noProof/>
        </w:rPr>
        <w:t>Health screening levels for petroleum hydrocarbon compounds</w:t>
      </w:r>
      <w:r>
        <w:rPr>
          <w:noProof/>
        </w:rPr>
        <w:tab/>
      </w:r>
      <w:r>
        <w:rPr>
          <w:noProof/>
        </w:rPr>
        <w:fldChar w:fldCharType="begin"/>
      </w:r>
      <w:r>
        <w:rPr>
          <w:noProof/>
        </w:rPr>
        <w:instrText xml:space="preserve"> PAGEREF _Toc351712018 \h </w:instrText>
      </w:r>
      <w:r>
        <w:rPr>
          <w:noProof/>
        </w:rPr>
      </w:r>
      <w:r>
        <w:rPr>
          <w:noProof/>
        </w:rPr>
        <w:fldChar w:fldCharType="separate"/>
      </w:r>
      <w:r w:rsidR="005838D8">
        <w:rPr>
          <w:noProof/>
        </w:rPr>
        <w:t>6</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_Toc351712019 \h </w:instrText>
      </w:r>
      <w:r>
        <w:rPr>
          <w:noProof/>
        </w:rPr>
      </w:r>
      <w:r>
        <w:rPr>
          <w:noProof/>
        </w:rPr>
        <w:fldChar w:fldCharType="separate"/>
      </w:r>
      <w:r w:rsidR="005838D8">
        <w:rPr>
          <w:noProof/>
        </w:rPr>
        <w:t>6</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2.4.2</w:t>
      </w:r>
      <w:r>
        <w:rPr>
          <w:rFonts w:asciiTheme="minorHAnsi" w:eastAsiaTheme="minorEastAsia" w:hAnsiTheme="minorHAnsi" w:cstheme="minorBidi"/>
          <w:b w:val="0"/>
          <w:noProof/>
          <w:kern w:val="0"/>
          <w:szCs w:val="22"/>
        </w:rPr>
        <w:tab/>
      </w:r>
      <w:r>
        <w:rPr>
          <w:noProof/>
        </w:rPr>
        <w:t>HSL methodology</w:t>
      </w:r>
      <w:r>
        <w:rPr>
          <w:noProof/>
        </w:rPr>
        <w:tab/>
      </w:r>
      <w:r>
        <w:rPr>
          <w:noProof/>
        </w:rPr>
        <w:fldChar w:fldCharType="begin"/>
      </w:r>
      <w:r>
        <w:rPr>
          <w:noProof/>
        </w:rPr>
        <w:instrText xml:space="preserve"> PAGEREF _Toc351712020 \h </w:instrText>
      </w:r>
      <w:r>
        <w:rPr>
          <w:noProof/>
        </w:rPr>
      </w:r>
      <w:r>
        <w:rPr>
          <w:noProof/>
        </w:rPr>
        <w:fldChar w:fldCharType="separate"/>
      </w:r>
      <w:r w:rsidR="005838D8">
        <w:rPr>
          <w:noProof/>
        </w:rPr>
        <w:t>6</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2.4.3</w:t>
      </w:r>
      <w:r>
        <w:rPr>
          <w:rFonts w:asciiTheme="minorHAnsi" w:eastAsiaTheme="minorEastAsia" w:hAnsiTheme="minorHAnsi" w:cstheme="minorBidi"/>
          <w:b w:val="0"/>
          <w:noProof/>
          <w:kern w:val="0"/>
          <w:szCs w:val="22"/>
        </w:rPr>
        <w:tab/>
      </w:r>
      <w:r>
        <w:rPr>
          <w:noProof/>
        </w:rPr>
        <w:t>Sub-slab to indoor air attenuation factor</w:t>
      </w:r>
      <w:r>
        <w:rPr>
          <w:noProof/>
        </w:rPr>
        <w:tab/>
      </w:r>
      <w:r>
        <w:rPr>
          <w:noProof/>
        </w:rPr>
        <w:fldChar w:fldCharType="begin"/>
      </w:r>
      <w:r>
        <w:rPr>
          <w:noProof/>
        </w:rPr>
        <w:instrText xml:space="preserve"> PAGEREF _Toc351712021 \h </w:instrText>
      </w:r>
      <w:r>
        <w:rPr>
          <w:noProof/>
        </w:rPr>
      </w:r>
      <w:r>
        <w:rPr>
          <w:noProof/>
        </w:rPr>
        <w:fldChar w:fldCharType="separate"/>
      </w:r>
      <w:r w:rsidR="005838D8">
        <w:rPr>
          <w:noProof/>
        </w:rPr>
        <w:t>7</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2.4.4</w:t>
      </w:r>
      <w:r>
        <w:rPr>
          <w:rFonts w:asciiTheme="minorHAnsi" w:eastAsiaTheme="minorEastAsia" w:hAnsiTheme="minorHAnsi" w:cstheme="minorBidi"/>
          <w:b w:val="0"/>
          <w:noProof/>
          <w:kern w:val="0"/>
          <w:szCs w:val="22"/>
        </w:rPr>
        <w:tab/>
      </w:r>
      <w:r>
        <w:rPr>
          <w:noProof/>
        </w:rPr>
        <w:t>Petroleum fuel composition</w:t>
      </w:r>
      <w:r>
        <w:rPr>
          <w:noProof/>
        </w:rPr>
        <w:tab/>
      </w:r>
      <w:r>
        <w:rPr>
          <w:noProof/>
        </w:rPr>
        <w:fldChar w:fldCharType="begin"/>
      </w:r>
      <w:r>
        <w:rPr>
          <w:noProof/>
        </w:rPr>
        <w:instrText xml:space="preserve"> PAGEREF _Toc351712022 \h </w:instrText>
      </w:r>
      <w:r>
        <w:rPr>
          <w:noProof/>
        </w:rPr>
      </w:r>
      <w:r>
        <w:rPr>
          <w:noProof/>
        </w:rPr>
        <w:fldChar w:fldCharType="separate"/>
      </w:r>
      <w:r w:rsidR="005838D8">
        <w:rPr>
          <w:noProof/>
        </w:rPr>
        <w:t>8</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2.4.5</w:t>
      </w:r>
      <w:r>
        <w:rPr>
          <w:rFonts w:asciiTheme="minorHAnsi" w:eastAsiaTheme="minorEastAsia" w:hAnsiTheme="minorHAnsi" w:cstheme="minorBidi"/>
          <w:b w:val="0"/>
          <w:noProof/>
          <w:kern w:val="0"/>
          <w:szCs w:val="22"/>
        </w:rPr>
        <w:tab/>
      </w:r>
      <w:r>
        <w:rPr>
          <w:noProof/>
        </w:rPr>
        <w:t>The Total Recoverable Hydrocarbons analytical method</w:t>
      </w:r>
      <w:r>
        <w:rPr>
          <w:noProof/>
        </w:rPr>
        <w:tab/>
      </w:r>
      <w:r>
        <w:rPr>
          <w:noProof/>
        </w:rPr>
        <w:fldChar w:fldCharType="begin"/>
      </w:r>
      <w:r>
        <w:rPr>
          <w:noProof/>
        </w:rPr>
        <w:instrText xml:space="preserve"> PAGEREF _Toc351712023 \h </w:instrText>
      </w:r>
      <w:r>
        <w:rPr>
          <w:noProof/>
        </w:rPr>
      </w:r>
      <w:r>
        <w:rPr>
          <w:noProof/>
        </w:rPr>
        <w:fldChar w:fldCharType="separate"/>
      </w:r>
      <w:r w:rsidR="005838D8">
        <w:rPr>
          <w:noProof/>
        </w:rPr>
        <w:t>8</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2.4.6</w:t>
      </w:r>
      <w:r>
        <w:rPr>
          <w:rFonts w:asciiTheme="minorHAnsi" w:eastAsiaTheme="minorEastAsia" w:hAnsiTheme="minorHAnsi" w:cstheme="minorBidi"/>
          <w:b w:val="0"/>
          <w:noProof/>
          <w:kern w:val="0"/>
          <w:szCs w:val="22"/>
        </w:rPr>
        <w:tab/>
      </w:r>
      <w:r>
        <w:rPr>
          <w:noProof/>
        </w:rPr>
        <w:t>Petroleum hydrocarbon compounds and fractions</w:t>
      </w:r>
      <w:r>
        <w:rPr>
          <w:noProof/>
        </w:rPr>
        <w:tab/>
      </w:r>
      <w:r>
        <w:rPr>
          <w:noProof/>
        </w:rPr>
        <w:fldChar w:fldCharType="begin"/>
      </w:r>
      <w:r>
        <w:rPr>
          <w:noProof/>
        </w:rPr>
        <w:instrText xml:space="preserve"> PAGEREF _Toc351712024 \h </w:instrText>
      </w:r>
      <w:r>
        <w:rPr>
          <w:noProof/>
        </w:rPr>
      </w:r>
      <w:r>
        <w:rPr>
          <w:noProof/>
        </w:rPr>
        <w:fldChar w:fldCharType="separate"/>
      </w:r>
      <w:r w:rsidR="005838D8">
        <w:rPr>
          <w:noProof/>
        </w:rPr>
        <w:t>9</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2.4.7</w:t>
      </w:r>
      <w:r>
        <w:rPr>
          <w:rFonts w:asciiTheme="minorHAnsi" w:eastAsiaTheme="minorEastAsia" w:hAnsiTheme="minorHAnsi" w:cstheme="minorBidi"/>
          <w:b w:val="0"/>
          <w:noProof/>
          <w:kern w:val="0"/>
          <w:szCs w:val="22"/>
        </w:rPr>
        <w:tab/>
      </w:r>
      <w:r>
        <w:rPr>
          <w:noProof/>
        </w:rPr>
        <w:t>Soil texture</w:t>
      </w:r>
      <w:r>
        <w:rPr>
          <w:noProof/>
        </w:rPr>
        <w:tab/>
      </w:r>
      <w:r>
        <w:rPr>
          <w:noProof/>
        </w:rPr>
        <w:fldChar w:fldCharType="begin"/>
      </w:r>
      <w:r>
        <w:rPr>
          <w:noProof/>
        </w:rPr>
        <w:instrText xml:space="preserve"> PAGEREF _Toc351712025 \h </w:instrText>
      </w:r>
      <w:r>
        <w:rPr>
          <w:noProof/>
        </w:rPr>
      </w:r>
      <w:r>
        <w:rPr>
          <w:noProof/>
        </w:rPr>
        <w:fldChar w:fldCharType="separate"/>
      </w:r>
      <w:r w:rsidR="005838D8">
        <w:rPr>
          <w:noProof/>
        </w:rPr>
        <w:t>9</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2.4.8</w:t>
      </w:r>
      <w:r>
        <w:rPr>
          <w:rFonts w:asciiTheme="minorHAnsi" w:eastAsiaTheme="minorEastAsia" w:hAnsiTheme="minorHAnsi" w:cstheme="minorBidi"/>
          <w:b w:val="0"/>
          <w:noProof/>
          <w:kern w:val="0"/>
          <w:szCs w:val="22"/>
        </w:rPr>
        <w:tab/>
      </w:r>
      <w:r>
        <w:rPr>
          <w:noProof/>
        </w:rPr>
        <w:t>Land use</w:t>
      </w:r>
      <w:r>
        <w:rPr>
          <w:noProof/>
        </w:rPr>
        <w:tab/>
      </w:r>
      <w:r>
        <w:rPr>
          <w:noProof/>
        </w:rPr>
        <w:fldChar w:fldCharType="begin"/>
      </w:r>
      <w:r>
        <w:rPr>
          <w:noProof/>
        </w:rPr>
        <w:instrText xml:space="preserve"> PAGEREF _Toc351712026 \h </w:instrText>
      </w:r>
      <w:r>
        <w:rPr>
          <w:noProof/>
        </w:rPr>
      </w:r>
      <w:r>
        <w:rPr>
          <w:noProof/>
        </w:rPr>
        <w:fldChar w:fldCharType="separate"/>
      </w:r>
      <w:r w:rsidR="005838D8">
        <w:rPr>
          <w:noProof/>
        </w:rPr>
        <w:t>10</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2.4.9</w:t>
      </w:r>
      <w:r>
        <w:rPr>
          <w:rFonts w:asciiTheme="minorHAnsi" w:eastAsiaTheme="minorEastAsia" w:hAnsiTheme="minorHAnsi" w:cstheme="minorBidi"/>
          <w:b w:val="0"/>
          <w:noProof/>
          <w:kern w:val="0"/>
          <w:szCs w:val="22"/>
        </w:rPr>
        <w:tab/>
      </w:r>
      <w:r>
        <w:rPr>
          <w:noProof/>
        </w:rPr>
        <w:t>Adjusting  HSLs to site-specific circumstances</w:t>
      </w:r>
      <w:r>
        <w:rPr>
          <w:noProof/>
        </w:rPr>
        <w:tab/>
      </w:r>
      <w:r>
        <w:rPr>
          <w:noProof/>
        </w:rPr>
        <w:fldChar w:fldCharType="begin"/>
      </w:r>
      <w:r>
        <w:rPr>
          <w:noProof/>
        </w:rPr>
        <w:instrText xml:space="preserve"> PAGEREF _Toc351712027 \h </w:instrText>
      </w:r>
      <w:r>
        <w:rPr>
          <w:noProof/>
        </w:rPr>
      </w:r>
      <w:r>
        <w:rPr>
          <w:noProof/>
        </w:rPr>
        <w:fldChar w:fldCharType="separate"/>
      </w:r>
      <w:r w:rsidR="005838D8">
        <w:rPr>
          <w:noProof/>
        </w:rPr>
        <w:t>10</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2.4.10</w:t>
      </w:r>
      <w:r>
        <w:rPr>
          <w:rFonts w:asciiTheme="minorHAnsi" w:eastAsiaTheme="minorEastAsia" w:hAnsiTheme="minorHAnsi" w:cstheme="minorBidi"/>
          <w:b w:val="0"/>
          <w:noProof/>
          <w:kern w:val="0"/>
          <w:szCs w:val="22"/>
        </w:rPr>
        <w:tab/>
      </w:r>
      <w:r>
        <w:rPr>
          <w:noProof/>
        </w:rPr>
        <w:t>Biodegradation</w:t>
      </w:r>
      <w:r>
        <w:rPr>
          <w:noProof/>
        </w:rPr>
        <w:tab/>
      </w:r>
      <w:r>
        <w:rPr>
          <w:noProof/>
        </w:rPr>
        <w:fldChar w:fldCharType="begin"/>
      </w:r>
      <w:r>
        <w:rPr>
          <w:noProof/>
        </w:rPr>
        <w:instrText xml:space="preserve"> PAGEREF _Toc351712028 \h </w:instrText>
      </w:r>
      <w:r>
        <w:rPr>
          <w:noProof/>
        </w:rPr>
      </w:r>
      <w:r>
        <w:rPr>
          <w:noProof/>
        </w:rPr>
        <w:fldChar w:fldCharType="separate"/>
      </w:r>
      <w:r w:rsidR="005838D8">
        <w:rPr>
          <w:noProof/>
        </w:rPr>
        <w:t>10</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2.4.11</w:t>
      </w:r>
      <w:r>
        <w:rPr>
          <w:rFonts w:asciiTheme="minorHAnsi" w:eastAsiaTheme="minorEastAsia" w:hAnsiTheme="minorHAnsi" w:cstheme="minorBidi"/>
          <w:b w:val="0"/>
          <w:noProof/>
          <w:kern w:val="0"/>
          <w:szCs w:val="22"/>
        </w:rPr>
        <w:tab/>
      </w:r>
      <w:r>
        <w:rPr>
          <w:noProof/>
        </w:rPr>
        <w:t>Direct contact HSLs</w:t>
      </w:r>
      <w:r>
        <w:rPr>
          <w:noProof/>
        </w:rPr>
        <w:tab/>
      </w:r>
      <w:r>
        <w:rPr>
          <w:noProof/>
        </w:rPr>
        <w:fldChar w:fldCharType="begin"/>
      </w:r>
      <w:r>
        <w:rPr>
          <w:noProof/>
        </w:rPr>
        <w:instrText xml:space="preserve"> PAGEREF _Toc351712029 \h </w:instrText>
      </w:r>
      <w:r>
        <w:rPr>
          <w:noProof/>
        </w:rPr>
      </w:r>
      <w:r>
        <w:rPr>
          <w:noProof/>
        </w:rPr>
        <w:fldChar w:fldCharType="separate"/>
      </w:r>
      <w:r w:rsidR="005838D8">
        <w:rPr>
          <w:noProof/>
        </w:rPr>
        <w:t>11</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2.4.12</w:t>
      </w:r>
      <w:r>
        <w:rPr>
          <w:rFonts w:asciiTheme="minorHAnsi" w:eastAsiaTheme="minorEastAsia" w:hAnsiTheme="minorHAnsi" w:cstheme="minorBidi"/>
          <w:b w:val="0"/>
          <w:noProof/>
          <w:kern w:val="0"/>
          <w:szCs w:val="22"/>
        </w:rPr>
        <w:tab/>
      </w:r>
      <w:r>
        <w:rPr>
          <w:noProof/>
        </w:rPr>
        <w:t>HSLs and multiple-lines-of-evidence approach</w:t>
      </w:r>
      <w:r>
        <w:rPr>
          <w:noProof/>
        </w:rPr>
        <w:tab/>
      </w:r>
      <w:r>
        <w:rPr>
          <w:noProof/>
        </w:rPr>
        <w:fldChar w:fldCharType="begin"/>
      </w:r>
      <w:r>
        <w:rPr>
          <w:noProof/>
        </w:rPr>
        <w:instrText xml:space="preserve"> PAGEREF _Toc351712030 \h </w:instrText>
      </w:r>
      <w:r>
        <w:rPr>
          <w:noProof/>
        </w:rPr>
      </w:r>
      <w:r>
        <w:rPr>
          <w:noProof/>
        </w:rPr>
        <w:fldChar w:fldCharType="separate"/>
      </w:r>
      <w:r w:rsidR="005838D8">
        <w:rPr>
          <w:noProof/>
        </w:rPr>
        <w:t>11</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2.4.13</w:t>
      </w:r>
      <w:r>
        <w:rPr>
          <w:rFonts w:asciiTheme="minorHAnsi" w:eastAsiaTheme="minorEastAsia" w:hAnsiTheme="minorHAnsi" w:cstheme="minorBidi"/>
          <w:b w:val="0"/>
          <w:noProof/>
          <w:kern w:val="0"/>
          <w:szCs w:val="22"/>
        </w:rPr>
        <w:tab/>
      </w:r>
      <w:r>
        <w:rPr>
          <w:noProof/>
        </w:rPr>
        <w:t>Limitations of the HSLs</w:t>
      </w:r>
      <w:r>
        <w:rPr>
          <w:noProof/>
        </w:rPr>
        <w:tab/>
      </w:r>
      <w:r>
        <w:rPr>
          <w:noProof/>
        </w:rPr>
        <w:fldChar w:fldCharType="begin"/>
      </w:r>
      <w:r>
        <w:rPr>
          <w:noProof/>
        </w:rPr>
        <w:instrText xml:space="preserve"> PAGEREF _Toc351712031 \h </w:instrText>
      </w:r>
      <w:r>
        <w:rPr>
          <w:noProof/>
        </w:rPr>
      </w:r>
      <w:r>
        <w:rPr>
          <w:noProof/>
        </w:rPr>
        <w:fldChar w:fldCharType="separate"/>
      </w:r>
      <w:r w:rsidR="005838D8">
        <w:rPr>
          <w:noProof/>
        </w:rPr>
        <w:t>12</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2.5</w:t>
      </w:r>
      <w:r>
        <w:rPr>
          <w:rFonts w:asciiTheme="minorHAnsi" w:eastAsiaTheme="minorEastAsia" w:hAnsiTheme="minorHAnsi" w:cstheme="minorBidi"/>
          <w:b w:val="0"/>
          <w:noProof/>
          <w:kern w:val="0"/>
          <w:sz w:val="22"/>
          <w:szCs w:val="22"/>
        </w:rPr>
        <w:tab/>
      </w:r>
      <w:r>
        <w:rPr>
          <w:noProof/>
        </w:rPr>
        <w:t>Ecological investigation levels</w:t>
      </w:r>
      <w:r>
        <w:rPr>
          <w:noProof/>
        </w:rPr>
        <w:tab/>
      </w:r>
      <w:r>
        <w:rPr>
          <w:noProof/>
        </w:rPr>
        <w:fldChar w:fldCharType="begin"/>
      </w:r>
      <w:r>
        <w:rPr>
          <w:noProof/>
        </w:rPr>
        <w:instrText xml:space="preserve"> PAGEREF _Toc351712032 \h </w:instrText>
      </w:r>
      <w:r>
        <w:rPr>
          <w:noProof/>
        </w:rPr>
      </w:r>
      <w:r>
        <w:rPr>
          <w:noProof/>
        </w:rPr>
        <w:fldChar w:fldCharType="separate"/>
      </w:r>
      <w:r w:rsidR="005838D8">
        <w:rPr>
          <w:noProof/>
        </w:rPr>
        <w:t>13</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_Toc351712033 \h </w:instrText>
      </w:r>
      <w:r>
        <w:rPr>
          <w:noProof/>
        </w:rPr>
      </w:r>
      <w:r>
        <w:rPr>
          <w:noProof/>
        </w:rPr>
        <w:fldChar w:fldCharType="separate"/>
      </w:r>
      <w:r w:rsidR="005838D8">
        <w:rPr>
          <w:noProof/>
        </w:rPr>
        <w:t>13</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2.5.2</w:t>
      </w:r>
      <w:r>
        <w:rPr>
          <w:rFonts w:asciiTheme="minorHAnsi" w:eastAsiaTheme="minorEastAsia" w:hAnsiTheme="minorHAnsi" w:cstheme="minorBidi"/>
          <w:b w:val="0"/>
          <w:noProof/>
          <w:kern w:val="0"/>
          <w:szCs w:val="22"/>
        </w:rPr>
        <w:tab/>
      </w:r>
      <w:r>
        <w:rPr>
          <w:noProof/>
        </w:rPr>
        <w:t>EIL methodology</w:t>
      </w:r>
      <w:r>
        <w:rPr>
          <w:noProof/>
        </w:rPr>
        <w:tab/>
      </w:r>
      <w:r>
        <w:rPr>
          <w:noProof/>
        </w:rPr>
        <w:fldChar w:fldCharType="begin"/>
      </w:r>
      <w:r>
        <w:rPr>
          <w:noProof/>
        </w:rPr>
        <w:instrText xml:space="preserve"> PAGEREF _Toc351712034 \h </w:instrText>
      </w:r>
      <w:r>
        <w:rPr>
          <w:noProof/>
        </w:rPr>
      </w:r>
      <w:r>
        <w:rPr>
          <w:noProof/>
        </w:rPr>
        <w:fldChar w:fldCharType="separate"/>
      </w:r>
      <w:r w:rsidR="005838D8">
        <w:rPr>
          <w:noProof/>
        </w:rPr>
        <w:t>13</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2.5.3</w:t>
      </w:r>
      <w:r>
        <w:rPr>
          <w:rFonts w:asciiTheme="minorHAnsi" w:eastAsiaTheme="minorEastAsia" w:hAnsiTheme="minorHAnsi" w:cstheme="minorBidi"/>
          <w:b w:val="0"/>
          <w:noProof/>
          <w:kern w:val="0"/>
          <w:szCs w:val="22"/>
        </w:rPr>
        <w:tab/>
      </w:r>
      <w:r>
        <w:rPr>
          <w:noProof/>
        </w:rPr>
        <w:t>Land use</w:t>
      </w:r>
      <w:r>
        <w:rPr>
          <w:noProof/>
        </w:rPr>
        <w:tab/>
      </w:r>
      <w:r>
        <w:rPr>
          <w:noProof/>
        </w:rPr>
        <w:fldChar w:fldCharType="begin"/>
      </w:r>
      <w:r>
        <w:rPr>
          <w:noProof/>
        </w:rPr>
        <w:instrText xml:space="preserve"> PAGEREF _Toc351712035 \h </w:instrText>
      </w:r>
      <w:r>
        <w:rPr>
          <w:noProof/>
        </w:rPr>
      </w:r>
      <w:r>
        <w:rPr>
          <w:noProof/>
        </w:rPr>
        <w:fldChar w:fldCharType="separate"/>
      </w:r>
      <w:r w:rsidR="005838D8">
        <w:rPr>
          <w:noProof/>
        </w:rPr>
        <w:t>13</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2.5.4</w:t>
      </w:r>
      <w:r>
        <w:rPr>
          <w:rFonts w:asciiTheme="minorHAnsi" w:eastAsiaTheme="minorEastAsia" w:hAnsiTheme="minorHAnsi" w:cstheme="minorBidi"/>
          <w:b w:val="0"/>
          <w:noProof/>
          <w:kern w:val="0"/>
          <w:szCs w:val="22"/>
        </w:rPr>
        <w:tab/>
      </w:r>
      <w:r>
        <w:rPr>
          <w:noProof/>
        </w:rPr>
        <w:t>Levels of protection</w:t>
      </w:r>
      <w:r>
        <w:rPr>
          <w:noProof/>
        </w:rPr>
        <w:tab/>
      </w:r>
      <w:r>
        <w:rPr>
          <w:noProof/>
        </w:rPr>
        <w:fldChar w:fldCharType="begin"/>
      </w:r>
      <w:r>
        <w:rPr>
          <w:noProof/>
        </w:rPr>
        <w:instrText xml:space="preserve"> PAGEREF _Toc351712036 \h </w:instrText>
      </w:r>
      <w:r>
        <w:rPr>
          <w:noProof/>
        </w:rPr>
      </w:r>
      <w:r>
        <w:rPr>
          <w:noProof/>
        </w:rPr>
        <w:fldChar w:fldCharType="separate"/>
      </w:r>
      <w:r w:rsidR="005838D8">
        <w:rPr>
          <w:noProof/>
        </w:rPr>
        <w:t>13</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2.5.5</w:t>
      </w:r>
      <w:r>
        <w:rPr>
          <w:rFonts w:asciiTheme="minorHAnsi" w:eastAsiaTheme="minorEastAsia" w:hAnsiTheme="minorHAnsi" w:cstheme="minorBidi"/>
          <w:b w:val="0"/>
          <w:noProof/>
          <w:kern w:val="0"/>
          <w:szCs w:val="22"/>
        </w:rPr>
        <w:tab/>
      </w:r>
      <w:r>
        <w:rPr>
          <w:noProof/>
        </w:rPr>
        <w:t>Ecotoxicity data</w:t>
      </w:r>
      <w:r>
        <w:rPr>
          <w:noProof/>
        </w:rPr>
        <w:tab/>
      </w:r>
      <w:r>
        <w:rPr>
          <w:noProof/>
        </w:rPr>
        <w:fldChar w:fldCharType="begin"/>
      </w:r>
      <w:r>
        <w:rPr>
          <w:noProof/>
        </w:rPr>
        <w:instrText xml:space="preserve"> PAGEREF _Toc351712037 \h </w:instrText>
      </w:r>
      <w:r>
        <w:rPr>
          <w:noProof/>
        </w:rPr>
      </w:r>
      <w:r>
        <w:rPr>
          <w:noProof/>
        </w:rPr>
        <w:fldChar w:fldCharType="separate"/>
      </w:r>
      <w:r w:rsidR="005838D8">
        <w:rPr>
          <w:noProof/>
        </w:rPr>
        <w:t>13</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2.5.6</w:t>
      </w:r>
      <w:r>
        <w:rPr>
          <w:rFonts w:asciiTheme="minorHAnsi" w:eastAsiaTheme="minorEastAsia" w:hAnsiTheme="minorHAnsi" w:cstheme="minorBidi"/>
          <w:b w:val="0"/>
          <w:noProof/>
          <w:kern w:val="0"/>
          <w:szCs w:val="22"/>
        </w:rPr>
        <w:tab/>
      </w:r>
      <w:r>
        <w:rPr>
          <w:noProof/>
        </w:rPr>
        <w:t>Depth of application</w:t>
      </w:r>
      <w:r>
        <w:rPr>
          <w:noProof/>
        </w:rPr>
        <w:tab/>
      </w:r>
      <w:r>
        <w:rPr>
          <w:noProof/>
        </w:rPr>
        <w:fldChar w:fldCharType="begin"/>
      </w:r>
      <w:r>
        <w:rPr>
          <w:noProof/>
        </w:rPr>
        <w:instrText xml:space="preserve"> PAGEREF _Toc351712038 \h </w:instrText>
      </w:r>
      <w:r>
        <w:rPr>
          <w:noProof/>
        </w:rPr>
      </w:r>
      <w:r>
        <w:rPr>
          <w:noProof/>
        </w:rPr>
        <w:fldChar w:fldCharType="separate"/>
      </w:r>
      <w:r w:rsidR="005838D8">
        <w:rPr>
          <w:noProof/>
        </w:rPr>
        <w:t>14</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2.5.7</w:t>
      </w:r>
      <w:r>
        <w:rPr>
          <w:rFonts w:asciiTheme="minorHAnsi" w:eastAsiaTheme="minorEastAsia" w:hAnsiTheme="minorHAnsi" w:cstheme="minorBidi"/>
          <w:b w:val="0"/>
          <w:noProof/>
          <w:kern w:val="0"/>
          <w:szCs w:val="22"/>
        </w:rPr>
        <w:tab/>
      </w:r>
      <w:r>
        <w:rPr>
          <w:noProof/>
        </w:rPr>
        <w:t>Ambient background concentration</w:t>
      </w:r>
      <w:r>
        <w:rPr>
          <w:noProof/>
        </w:rPr>
        <w:tab/>
      </w:r>
      <w:r>
        <w:rPr>
          <w:noProof/>
        </w:rPr>
        <w:fldChar w:fldCharType="begin"/>
      </w:r>
      <w:r>
        <w:rPr>
          <w:noProof/>
        </w:rPr>
        <w:instrText xml:space="preserve"> PAGEREF _Toc351712039 \h </w:instrText>
      </w:r>
      <w:r>
        <w:rPr>
          <w:noProof/>
        </w:rPr>
      </w:r>
      <w:r>
        <w:rPr>
          <w:noProof/>
        </w:rPr>
        <w:fldChar w:fldCharType="separate"/>
      </w:r>
      <w:r w:rsidR="005838D8">
        <w:rPr>
          <w:noProof/>
        </w:rPr>
        <w:t>14</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2.5.8</w:t>
      </w:r>
      <w:r>
        <w:rPr>
          <w:rFonts w:asciiTheme="minorHAnsi" w:eastAsiaTheme="minorEastAsia" w:hAnsiTheme="minorHAnsi" w:cstheme="minorBidi"/>
          <w:b w:val="0"/>
          <w:noProof/>
          <w:kern w:val="0"/>
          <w:szCs w:val="22"/>
        </w:rPr>
        <w:tab/>
      </w:r>
      <w:r>
        <w:rPr>
          <w:noProof/>
        </w:rPr>
        <w:t>Added contaminant limits</w:t>
      </w:r>
      <w:r>
        <w:rPr>
          <w:noProof/>
        </w:rPr>
        <w:tab/>
      </w:r>
      <w:r>
        <w:rPr>
          <w:noProof/>
        </w:rPr>
        <w:fldChar w:fldCharType="begin"/>
      </w:r>
      <w:r>
        <w:rPr>
          <w:noProof/>
        </w:rPr>
        <w:instrText xml:space="preserve"> PAGEREF _Toc351712040 \h </w:instrText>
      </w:r>
      <w:r>
        <w:rPr>
          <w:noProof/>
        </w:rPr>
      </w:r>
      <w:r>
        <w:rPr>
          <w:noProof/>
        </w:rPr>
        <w:fldChar w:fldCharType="separate"/>
      </w:r>
      <w:r w:rsidR="005838D8">
        <w:rPr>
          <w:noProof/>
        </w:rPr>
        <w:t>14</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lastRenderedPageBreak/>
        <w:t>2.5.9</w:t>
      </w:r>
      <w:r>
        <w:rPr>
          <w:rFonts w:asciiTheme="minorHAnsi" w:eastAsiaTheme="minorEastAsia" w:hAnsiTheme="minorHAnsi" w:cstheme="minorBidi"/>
          <w:b w:val="0"/>
          <w:noProof/>
          <w:kern w:val="0"/>
          <w:szCs w:val="22"/>
        </w:rPr>
        <w:tab/>
      </w:r>
      <w:r>
        <w:rPr>
          <w:noProof/>
        </w:rPr>
        <w:t>Ageing of contamination and soil properties</w:t>
      </w:r>
      <w:r>
        <w:rPr>
          <w:noProof/>
        </w:rPr>
        <w:tab/>
      </w:r>
      <w:r>
        <w:rPr>
          <w:noProof/>
        </w:rPr>
        <w:fldChar w:fldCharType="begin"/>
      </w:r>
      <w:r>
        <w:rPr>
          <w:noProof/>
        </w:rPr>
        <w:instrText xml:space="preserve"> PAGEREF _Toc351712041 \h </w:instrText>
      </w:r>
      <w:r>
        <w:rPr>
          <w:noProof/>
        </w:rPr>
      </w:r>
      <w:r>
        <w:rPr>
          <w:noProof/>
        </w:rPr>
        <w:fldChar w:fldCharType="separate"/>
      </w:r>
      <w:r w:rsidR="005838D8">
        <w:rPr>
          <w:noProof/>
        </w:rPr>
        <w:t>15</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2.5.10</w:t>
      </w:r>
      <w:r>
        <w:rPr>
          <w:rFonts w:asciiTheme="minorHAnsi" w:eastAsiaTheme="minorEastAsia" w:hAnsiTheme="minorHAnsi" w:cstheme="minorBidi"/>
          <w:b w:val="0"/>
          <w:noProof/>
          <w:kern w:val="0"/>
          <w:szCs w:val="22"/>
        </w:rPr>
        <w:tab/>
      </w:r>
      <w:r>
        <w:rPr>
          <w:noProof/>
        </w:rPr>
        <w:t>Determining site-specific EILs</w:t>
      </w:r>
      <w:r>
        <w:rPr>
          <w:noProof/>
        </w:rPr>
        <w:tab/>
      </w:r>
      <w:r>
        <w:rPr>
          <w:noProof/>
        </w:rPr>
        <w:fldChar w:fldCharType="begin"/>
      </w:r>
      <w:r>
        <w:rPr>
          <w:noProof/>
        </w:rPr>
        <w:instrText xml:space="preserve"> PAGEREF _Toc351712042 \h </w:instrText>
      </w:r>
      <w:r>
        <w:rPr>
          <w:noProof/>
        </w:rPr>
      </w:r>
      <w:r>
        <w:rPr>
          <w:noProof/>
        </w:rPr>
        <w:fldChar w:fldCharType="separate"/>
      </w:r>
      <w:r w:rsidR="005838D8">
        <w:rPr>
          <w:noProof/>
        </w:rPr>
        <w:t>15</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2.6</w:t>
      </w:r>
      <w:r>
        <w:rPr>
          <w:rFonts w:asciiTheme="minorHAnsi" w:eastAsiaTheme="minorEastAsia" w:hAnsiTheme="minorHAnsi" w:cstheme="minorBidi"/>
          <w:b w:val="0"/>
          <w:noProof/>
          <w:kern w:val="0"/>
          <w:sz w:val="22"/>
          <w:szCs w:val="22"/>
        </w:rPr>
        <w:tab/>
      </w:r>
      <w:r>
        <w:rPr>
          <w:noProof/>
        </w:rPr>
        <w:t>Ecological screening levels for petroleum hydrocarbon compounds</w:t>
      </w:r>
      <w:r>
        <w:rPr>
          <w:noProof/>
        </w:rPr>
        <w:tab/>
      </w:r>
      <w:r>
        <w:rPr>
          <w:noProof/>
        </w:rPr>
        <w:fldChar w:fldCharType="begin"/>
      </w:r>
      <w:r>
        <w:rPr>
          <w:noProof/>
        </w:rPr>
        <w:instrText xml:space="preserve"> PAGEREF _Toc351712043 \h </w:instrText>
      </w:r>
      <w:r>
        <w:rPr>
          <w:noProof/>
        </w:rPr>
      </w:r>
      <w:r>
        <w:rPr>
          <w:noProof/>
        </w:rPr>
        <w:fldChar w:fldCharType="separate"/>
      </w:r>
      <w:r w:rsidR="005838D8">
        <w:rPr>
          <w:noProof/>
        </w:rPr>
        <w:t>16</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2.6.1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_Toc351712044 \h </w:instrText>
      </w:r>
      <w:r>
        <w:rPr>
          <w:noProof/>
        </w:rPr>
      </w:r>
      <w:r>
        <w:rPr>
          <w:noProof/>
        </w:rPr>
        <w:fldChar w:fldCharType="separate"/>
      </w:r>
      <w:r w:rsidR="005838D8">
        <w:rPr>
          <w:noProof/>
        </w:rPr>
        <w:t>16</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2.6.2</w:t>
      </w:r>
      <w:r>
        <w:rPr>
          <w:rFonts w:asciiTheme="minorHAnsi" w:eastAsiaTheme="minorEastAsia" w:hAnsiTheme="minorHAnsi" w:cstheme="minorBidi"/>
          <w:b w:val="0"/>
          <w:noProof/>
          <w:kern w:val="0"/>
          <w:szCs w:val="22"/>
        </w:rPr>
        <w:tab/>
      </w:r>
      <w:r>
        <w:rPr>
          <w:noProof/>
        </w:rPr>
        <w:t>ESL Methodology</w:t>
      </w:r>
      <w:r>
        <w:rPr>
          <w:noProof/>
        </w:rPr>
        <w:tab/>
      </w:r>
      <w:r>
        <w:rPr>
          <w:noProof/>
        </w:rPr>
        <w:fldChar w:fldCharType="begin"/>
      </w:r>
      <w:r>
        <w:rPr>
          <w:noProof/>
        </w:rPr>
        <w:instrText xml:space="preserve"> PAGEREF _Toc351712045 \h </w:instrText>
      </w:r>
      <w:r>
        <w:rPr>
          <w:noProof/>
        </w:rPr>
      </w:r>
      <w:r>
        <w:rPr>
          <w:noProof/>
        </w:rPr>
        <w:fldChar w:fldCharType="separate"/>
      </w:r>
      <w:r w:rsidR="005838D8">
        <w:rPr>
          <w:noProof/>
        </w:rPr>
        <w:t>16</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2.6.3</w:t>
      </w:r>
      <w:r>
        <w:rPr>
          <w:rFonts w:asciiTheme="minorHAnsi" w:eastAsiaTheme="minorEastAsia" w:hAnsiTheme="minorHAnsi" w:cstheme="minorBidi"/>
          <w:b w:val="0"/>
          <w:noProof/>
          <w:kern w:val="0"/>
          <w:szCs w:val="22"/>
        </w:rPr>
        <w:tab/>
      </w:r>
      <w:r>
        <w:rPr>
          <w:noProof/>
        </w:rPr>
        <w:t>Depth of application</w:t>
      </w:r>
      <w:r>
        <w:rPr>
          <w:noProof/>
        </w:rPr>
        <w:tab/>
      </w:r>
      <w:r>
        <w:rPr>
          <w:noProof/>
        </w:rPr>
        <w:fldChar w:fldCharType="begin"/>
      </w:r>
      <w:r>
        <w:rPr>
          <w:noProof/>
        </w:rPr>
        <w:instrText xml:space="preserve"> PAGEREF _Toc351712046 \h </w:instrText>
      </w:r>
      <w:r>
        <w:rPr>
          <w:noProof/>
        </w:rPr>
      </w:r>
      <w:r>
        <w:rPr>
          <w:noProof/>
        </w:rPr>
        <w:fldChar w:fldCharType="separate"/>
      </w:r>
      <w:r w:rsidR="005838D8">
        <w:rPr>
          <w:noProof/>
        </w:rPr>
        <w:t>17</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2.6.4</w:t>
      </w:r>
      <w:r>
        <w:rPr>
          <w:rFonts w:asciiTheme="minorHAnsi" w:eastAsiaTheme="minorEastAsia" w:hAnsiTheme="minorHAnsi" w:cstheme="minorBidi"/>
          <w:b w:val="0"/>
          <w:noProof/>
          <w:kern w:val="0"/>
          <w:szCs w:val="22"/>
        </w:rPr>
        <w:tab/>
      </w:r>
      <w:r>
        <w:rPr>
          <w:noProof/>
        </w:rPr>
        <w:t>Soil texture</w:t>
      </w:r>
      <w:r>
        <w:rPr>
          <w:noProof/>
        </w:rPr>
        <w:tab/>
      </w:r>
      <w:r>
        <w:rPr>
          <w:noProof/>
        </w:rPr>
        <w:fldChar w:fldCharType="begin"/>
      </w:r>
      <w:r>
        <w:rPr>
          <w:noProof/>
        </w:rPr>
        <w:instrText xml:space="preserve"> PAGEREF _Toc351712047 \h </w:instrText>
      </w:r>
      <w:r>
        <w:rPr>
          <w:noProof/>
        </w:rPr>
      </w:r>
      <w:r>
        <w:rPr>
          <w:noProof/>
        </w:rPr>
        <w:fldChar w:fldCharType="separate"/>
      </w:r>
      <w:r w:rsidR="005838D8">
        <w:rPr>
          <w:noProof/>
        </w:rPr>
        <w:t>17</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2.6.5</w:t>
      </w:r>
      <w:r>
        <w:rPr>
          <w:rFonts w:asciiTheme="minorHAnsi" w:eastAsiaTheme="minorEastAsia" w:hAnsiTheme="minorHAnsi" w:cstheme="minorBidi"/>
          <w:b w:val="0"/>
          <w:noProof/>
          <w:kern w:val="0"/>
          <w:szCs w:val="22"/>
        </w:rPr>
        <w:tab/>
      </w:r>
      <w:r>
        <w:rPr>
          <w:noProof/>
        </w:rPr>
        <w:t>Fresh and aged contamination</w:t>
      </w:r>
      <w:r>
        <w:rPr>
          <w:noProof/>
        </w:rPr>
        <w:tab/>
      </w:r>
      <w:r>
        <w:rPr>
          <w:noProof/>
        </w:rPr>
        <w:fldChar w:fldCharType="begin"/>
      </w:r>
      <w:r>
        <w:rPr>
          <w:noProof/>
        </w:rPr>
        <w:instrText xml:space="preserve"> PAGEREF _Toc351712048 \h </w:instrText>
      </w:r>
      <w:r>
        <w:rPr>
          <w:noProof/>
        </w:rPr>
      </w:r>
      <w:r>
        <w:rPr>
          <w:noProof/>
        </w:rPr>
        <w:fldChar w:fldCharType="separate"/>
      </w:r>
      <w:r w:rsidR="005838D8">
        <w:rPr>
          <w:noProof/>
        </w:rPr>
        <w:t>17</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2.7</w:t>
      </w:r>
      <w:r>
        <w:rPr>
          <w:rFonts w:asciiTheme="minorHAnsi" w:eastAsiaTheme="minorEastAsia" w:hAnsiTheme="minorHAnsi" w:cstheme="minorBidi"/>
          <w:b w:val="0"/>
          <w:noProof/>
          <w:kern w:val="0"/>
          <w:sz w:val="22"/>
          <w:szCs w:val="22"/>
        </w:rPr>
        <w:tab/>
      </w:r>
      <w:r>
        <w:rPr>
          <w:noProof/>
        </w:rPr>
        <w:t>Sediment quality guidelines</w:t>
      </w:r>
      <w:r>
        <w:rPr>
          <w:noProof/>
        </w:rPr>
        <w:tab/>
      </w:r>
      <w:r>
        <w:rPr>
          <w:noProof/>
        </w:rPr>
        <w:fldChar w:fldCharType="begin"/>
      </w:r>
      <w:r>
        <w:rPr>
          <w:noProof/>
        </w:rPr>
        <w:instrText xml:space="preserve"> PAGEREF _Toc351712049 \h </w:instrText>
      </w:r>
      <w:r>
        <w:rPr>
          <w:noProof/>
        </w:rPr>
      </w:r>
      <w:r>
        <w:rPr>
          <w:noProof/>
        </w:rPr>
        <w:fldChar w:fldCharType="separate"/>
      </w:r>
      <w:r w:rsidR="005838D8">
        <w:rPr>
          <w:noProof/>
        </w:rPr>
        <w:t>17</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2.8</w:t>
      </w:r>
      <w:r>
        <w:rPr>
          <w:rFonts w:asciiTheme="minorHAnsi" w:eastAsiaTheme="minorEastAsia" w:hAnsiTheme="minorHAnsi" w:cstheme="minorBidi"/>
          <w:b w:val="0"/>
          <w:noProof/>
          <w:kern w:val="0"/>
          <w:sz w:val="22"/>
          <w:szCs w:val="22"/>
        </w:rPr>
        <w:tab/>
      </w:r>
      <w:r>
        <w:rPr>
          <w:noProof/>
        </w:rPr>
        <w:t>Groundwater investigation levels</w:t>
      </w:r>
      <w:r>
        <w:rPr>
          <w:noProof/>
        </w:rPr>
        <w:tab/>
      </w:r>
      <w:r>
        <w:rPr>
          <w:noProof/>
        </w:rPr>
        <w:fldChar w:fldCharType="begin"/>
      </w:r>
      <w:r>
        <w:rPr>
          <w:noProof/>
        </w:rPr>
        <w:instrText xml:space="preserve"> PAGEREF _Toc351712050 \h </w:instrText>
      </w:r>
      <w:r>
        <w:rPr>
          <w:noProof/>
        </w:rPr>
      </w:r>
      <w:r>
        <w:rPr>
          <w:noProof/>
        </w:rPr>
        <w:fldChar w:fldCharType="separate"/>
      </w:r>
      <w:r w:rsidR="005838D8">
        <w:rPr>
          <w:noProof/>
        </w:rPr>
        <w:t>17</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2.9</w:t>
      </w:r>
      <w:r>
        <w:rPr>
          <w:rFonts w:asciiTheme="minorHAnsi" w:eastAsiaTheme="minorEastAsia" w:hAnsiTheme="minorHAnsi" w:cstheme="minorBidi"/>
          <w:b w:val="0"/>
          <w:noProof/>
          <w:kern w:val="0"/>
          <w:sz w:val="22"/>
          <w:szCs w:val="22"/>
        </w:rPr>
        <w:tab/>
      </w:r>
      <w:r>
        <w:rPr>
          <w:noProof/>
        </w:rPr>
        <w:t>‘Management limits’ for petroleum hydrocarbon compounds</w:t>
      </w:r>
      <w:r>
        <w:rPr>
          <w:noProof/>
        </w:rPr>
        <w:tab/>
      </w:r>
      <w:r>
        <w:rPr>
          <w:noProof/>
        </w:rPr>
        <w:fldChar w:fldCharType="begin"/>
      </w:r>
      <w:r>
        <w:rPr>
          <w:noProof/>
        </w:rPr>
        <w:instrText xml:space="preserve"> PAGEREF _Toc351712051 \h </w:instrText>
      </w:r>
      <w:r>
        <w:rPr>
          <w:noProof/>
        </w:rPr>
      </w:r>
      <w:r>
        <w:rPr>
          <w:noProof/>
        </w:rPr>
        <w:fldChar w:fldCharType="separate"/>
      </w:r>
      <w:r w:rsidR="005838D8">
        <w:rPr>
          <w:noProof/>
        </w:rPr>
        <w:t>18</w:t>
      </w:r>
      <w:r>
        <w:rPr>
          <w:noProof/>
        </w:rPr>
        <w:fldChar w:fldCharType="end"/>
      </w:r>
    </w:p>
    <w:p w:rsidR="00B542A2" w:rsidRDefault="00B542A2">
      <w:pPr>
        <w:pStyle w:val="TOC1"/>
        <w:rPr>
          <w:rFonts w:asciiTheme="minorHAnsi" w:eastAsiaTheme="minorEastAsia" w:hAnsiTheme="minorHAnsi" w:cstheme="minorBidi"/>
          <w:b w:val="0"/>
          <w:noProof/>
          <w:kern w:val="0"/>
          <w:sz w:val="22"/>
          <w:szCs w:val="22"/>
        </w:rPr>
      </w:pPr>
      <w:r>
        <w:rPr>
          <w:noProof/>
        </w:rPr>
        <w:t>3</w:t>
      </w:r>
      <w:r>
        <w:rPr>
          <w:rFonts w:asciiTheme="minorHAnsi" w:eastAsiaTheme="minorEastAsia" w:hAnsiTheme="minorHAnsi" w:cstheme="minorBidi"/>
          <w:b w:val="0"/>
          <w:noProof/>
          <w:kern w:val="0"/>
          <w:sz w:val="22"/>
          <w:szCs w:val="22"/>
        </w:rPr>
        <w:tab/>
      </w:r>
      <w:r>
        <w:rPr>
          <w:noProof/>
        </w:rPr>
        <w:t>Application of investigation and screening levels</w:t>
      </w:r>
      <w:r>
        <w:rPr>
          <w:noProof/>
        </w:rPr>
        <w:tab/>
      </w:r>
      <w:r>
        <w:rPr>
          <w:noProof/>
        </w:rPr>
        <w:fldChar w:fldCharType="begin"/>
      </w:r>
      <w:r>
        <w:rPr>
          <w:noProof/>
        </w:rPr>
        <w:instrText xml:space="preserve"> PAGEREF _Toc351712052 \h </w:instrText>
      </w:r>
      <w:r>
        <w:rPr>
          <w:noProof/>
        </w:rPr>
      </w:r>
      <w:r>
        <w:rPr>
          <w:noProof/>
        </w:rPr>
        <w:fldChar w:fldCharType="separate"/>
      </w:r>
      <w:r w:rsidR="005838D8">
        <w:rPr>
          <w:noProof/>
        </w:rPr>
        <w:t>19</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3.1</w:t>
      </w:r>
      <w:r>
        <w:rPr>
          <w:rFonts w:asciiTheme="minorHAnsi" w:eastAsiaTheme="minorEastAsia" w:hAnsiTheme="minorHAnsi" w:cstheme="minorBidi"/>
          <w:b w:val="0"/>
          <w:noProof/>
          <w:kern w:val="0"/>
          <w:sz w:val="22"/>
          <w:szCs w:val="22"/>
        </w:rPr>
        <w:tab/>
      </w:r>
      <w:r>
        <w:rPr>
          <w:noProof/>
        </w:rPr>
        <w:t>Recommended process for assessment of site contamination</w:t>
      </w:r>
      <w:r>
        <w:rPr>
          <w:noProof/>
        </w:rPr>
        <w:tab/>
      </w:r>
      <w:r>
        <w:rPr>
          <w:noProof/>
        </w:rPr>
        <w:fldChar w:fldCharType="begin"/>
      </w:r>
      <w:r>
        <w:rPr>
          <w:noProof/>
        </w:rPr>
        <w:instrText xml:space="preserve"> PAGEREF _Toc351712053 \h </w:instrText>
      </w:r>
      <w:r>
        <w:rPr>
          <w:noProof/>
        </w:rPr>
      </w:r>
      <w:r>
        <w:rPr>
          <w:noProof/>
        </w:rPr>
        <w:fldChar w:fldCharType="separate"/>
      </w:r>
      <w:r w:rsidR="005838D8">
        <w:rPr>
          <w:noProof/>
        </w:rPr>
        <w:t>19</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3.2</w:t>
      </w:r>
      <w:r>
        <w:rPr>
          <w:rFonts w:asciiTheme="minorHAnsi" w:eastAsiaTheme="minorEastAsia" w:hAnsiTheme="minorHAnsi" w:cstheme="minorBidi"/>
          <w:b w:val="0"/>
          <w:noProof/>
          <w:kern w:val="0"/>
          <w:sz w:val="22"/>
          <w:szCs w:val="22"/>
        </w:rPr>
        <w:tab/>
      </w:r>
      <w:r>
        <w:rPr>
          <w:noProof/>
        </w:rPr>
        <w:t>Tier 1 assessment</w:t>
      </w:r>
      <w:r>
        <w:rPr>
          <w:noProof/>
        </w:rPr>
        <w:tab/>
      </w:r>
      <w:r>
        <w:rPr>
          <w:noProof/>
        </w:rPr>
        <w:fldChar w:fldCharType="begin"/>
      </w:r>
      <w:r>
        <w:rPr>
          <w:noProof/>
        </w:rPr>
        <w:instrText xml:space="preserve"> PAGEREF _Toc351712054 \h </w:instrText>
      </w:r>
      <w:r>
        <w:rPr>
          <w:noProof/>
        </w:rPr>
      </w:r>
      <w:r>
        <w:rPr>
          <w:noProof/>
        </w:rPr>
        <w:fldChar w:fldCharType="separate"/>
      </w:r>
      <w:r w:rsidR="005838D8">
        <w:rPr>
          <w:noProof/>
        </w:rPr>
        <w:t>19</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3.2.1</w:t>
      </w:r>
      <w:r>
        <w:rPr>
          <w:rFonts w:asciiTheme="minorHAnsi" w:eastAsiaTheme="minorEastAsia" w:hAnsiTheme="minorHAnsi" w:cstheme="minorBidi"/>
          <w:b w:val="0"/>
          <w:noProof/>
          <w:kern w:val="0"/>
          <w:szCs w:val="22"/>
        </w:rPr>
        <w:tab/>
      </w:r>
      <w:r>
        <w:rPr>
          <w:noProof/>
        </w:rPr>
        <w:t>Comparison with investigation and screening levels</w:t>
      </w:r>
      <w:r>
        <w:rPr>
          <w:noProof/>
        </w:rPr>
        <w:tab/>
      </w:r>
      <w:r>
        <w:rPr>
          <w:noProof/>
        </w:rPr>
        <w:fldChar w:fldCharType="begin"/>
      </w:r>
      <w:r>
        <w:rPr>
          <w:noProof/>
        </w:rPr>
        <w:instrText xml:space="preserve"> PAGEREF _Toc351712055 \h </w:instrText>
      </w:r>
      <w:r>
        <w:rPr>
          <w:noProof/>
        </w:rPr>
      </w:r>
      <w:r>
        <w:rPr>
          <w:noProof/>
        </w:rPr>
        <w:fldChar w:fldCharType="separate"/>
      </w:r>
      <w:r w:rsidR="005838D8">
        <w:rPr>
          <w:noProof/>
        </w:rPr>
        <w:t>19</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3.2.2</w:t>
      </w:r>
      <w:r>
        <w:rPr>
          <w:rFonts w:asciiTheme="minorHAnsi" w:eastAsiaTheme="minorEastAsia" w:hAnsiTheme="minorHAnsi" w:cstheme="minorBidi"/>
          <w:b w:val="0"/>
          <w:noProof/>
          <w:kern w:val="0"/>
          <w:szCs w:val="22"/>
        </w:rPr>
        <w:tab/>
      </w:r>
      <w:r>
        <w:rPr>
          <w:noProof/>
        </w:rPr>
        <w:t>Exceedence of Tier 1 investigation and screening levels</w:t>
      </w:r>
      <w:r>
        <w:rPr>
          <w:noProof/>
        </w:rPr>
        <w:tab/>
      </w:r>
      <w:r>
        <w:rPr>
          <w:noProof/>
        </w:rPr>
        <w:fldChar w:fldCharType="begin"/>
      </w:r>
      <w:r>
        <w:rPr>
          <w:noProof/>
        </w:rPr>
        <w:instrText xml:space="preserve"> PAGEREF _Toc351712056 \h </w:instrText>
      </w:r>
      <w:r>
        <w:rPr>
          <w:noProof/>
        </w:rPr>
      </w:r>
      <w:r>
        <w:rPr>
          <w:noProof/>
        </w:rPr>
        <w:fldChar w:fldCharType="separate"/>
      </w:r>
      <w:r w:rsidR="005838D8">
        <w:rPr>
          <w:noProof/>
        </w:rPr>
        <w:t>20</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3.2.3</w:t>
      </w:r>
      <w:r>
        <w:rPr>
          <w:rFonts w:asciiTheme="minorHAnsi" w:eastAsiaTheme="minorEastAsia" w:hAnsiTheme="minorHAnsi" w:cstheme="minorBidi"/>
          <w:b w:val="0"/>
          <w:noProof/>
          <w:kern w:val="0"/>
          <w:szCs w:val="22"/>
        </w:rPr>
        <w:tab/>
      </w:r>
      <w:r>
        <w:rPr>
          <w:noProof/>
        </w:rPr>
        <w:t>Procedure if no generic investigation or screening levels are available</w:t>
      </w:r>
      <w:r>
        <w:rPr>
          <w:noProof/>
        </w:rPr>
        <w:tab/>
      </w:r>
      <w:r>
        <w:rPr>
          <w:noProof/>
        </w:rPr>
        <w:fldChar w:fldCharType="begin"/>
      </w:r>
      <w:r>
        <w:rPr>
          <w:noProof/>
        </w:rPr>
        <w:instrText xml:space="preserve"> PAGEREF _Toc351712057 \h </w:instrText>
      </w:r>
      <w:r>
        <w:rPr>
          <w:noProof/>
        </w:rPr>
      </w:r>
      <w:r>
        <w:rPr>
          <w:noProof/>
        </w:rPr>
        <w:fldChar w:fldCharType="separate"/>
      </w:r>
      <w:r w:rsidR="005838D8">
        <w:rPr>
          <w:noProof/>
        </w:rPr>
        <w:t>20</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3.3</w:t>
      </w:r>
      <w:r>
        <w:rPr>
          <w:rFonts w:asciiTheme="minorHAnsi" w:eastAsiaTheme="minorEastAsia" w:hAnsiTheme="minorHAnsi" w:cstheme="minorBidi"/>
          <w:b w:val="0"/>
          <w:noProof/>
          <w:kern w:val="0"/>
          <w:sz w:val="22"/>
          <w:szCs w:val="22"/>
        </w:rPr>
        <w:tab/>
      </w:r>
      <w:r>
        <w:rPr>
          <w:noProof/>
        </w:rPr>
        <w:t>Specific considerations for  petroleum hydrocarbons</w:t>
      </w:r>
      <w:r>
        <w:rPr>
          <w:noProof/>
        </w:rPr>
        <w:tab/>
      </w:r>
      <w:r>
        <w:rPr>
          <w:noProof/>
        </w:rPr>
        <w:fldChar w:fldCharType="begin"/>
      </w:r>
      <w:r>
        <w:rPr>
          <w:noProof/>
        </w:rPr>
        <w:instrText xml:space="preserve"> PAGEREF _Toc351712058 \h </w:instrText>
      </w:r>
      <w:r>
        <w:rPr>
          <w:noProof/>
        </w:rPr>
      </w:r>
      <w:r>
        <w:rPr>
          <w:noProof/>
        </w:rPr>
        <w:fldChar w:fldCharType="separate"/>
      </w:r>
      <w:r w:rsidR="005838D8">
        <w:rPr>
          <w:noProof/>
        </w:rPr>
        <w:t>21</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3.4</w:t>
      </w:r>
      <w:r>
        <w:rPr>
          <w:rFonts w:asciiTheme="minorHAnsi" w:eastAsiaTheme="minorEastAsia" w:hAnsiTheme="minorHAnsi" w:cstheme="minorBidi"/>
          <w:b w:val="0"/>
          <w:noProof/>
          <w:kern w:val="0"/>
          <w:sz w:val="22"/>
          <w:szCs w:val="22"/>
        </w:rPr>
        <w:tab/>
      </w:r>
      <w:r>
        <w:rPr>
          <w:noProof/>
        </w:rPr>
        <w:t>Considerations for ecological assessment</w:t>
      </w:r>
      <w:r>
        <w:rPr>
          <w:noProof/>
        </w:rPr>
        <w:tab/>
      </w:r>
      <w:r>
        <w:rPr>
          <w:noProof/>
        </w:rPr>
        <w:fldChar w:fldCharType="begin"/>
      </w:r>
      <w:r>
        <w:rPr>
          <w:noProof/>
        </w:rPr>
        <w:instrText xml:space="preserve"> PAGEREF _Toc351712059 \h </w:instrText>
      </w:r>
      <w:r>
        <w:rPr>
          <w:noProof/>
        </w:rPr>
      </w:r>
      <w:r>
        <w:rPr>
          <w:noProof/>
        </w:rPr>
        <w:fldChar w:fldCharType="separate"/>
      </w:r>
      <w:r w:rsidR="005838D8">
        <w:rPr>
          <w:noProof/>
        </w:rPr>
        <w:t>22</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3.4.1</w:t>
      </w:r>
      <w:r>
        <w:rPr>
          <w:rFonts w:asciiTheme="minorHAnsi" w:eastAsiaTheme="minorEastAsia" w:hAnsiTheme="minorHAnsi" w:cstheme="minorBidi"/>
          <w:b w:val="0"/>
          <w:noProof/>
          <w:kern w:val="0"/>
          <w:szCs w:val="22"/>
        </w:rPr>
        <w:tab/>
      </w:r>
      <w:r>
        <w:rPr>
          <w:noProof/>
        </w:rPr>
        <w:t>General</w:t>
      </w:r>
      <w:r>
        <w:rPr>
          <w:noProof/>
        </w:rPr>
        <w:tab/>
      </w:r>
      <w:r>
        <w:rPr>
          <w:noProof/>
        </w:rPr>
        <w:fldChar w:fldCharType="begin"/>
      </w:r>
      <w:r>
        <w:rPr>
          <w:noProof/>
        </w:rPr>
        <w:instrText xml:space="preserve"> PAGEREF _Toc351712060 \h </w:instrText>
      </w:r>
      <w:r>
        <w:rPr>
          <w:noProof/>
        </w:rPr>
      </w:r>
      <w:r>
        <w:rPr>
          <w:noProof/>
        </w:rPr>
        <w:fldChar w:fldCharType="separate"/>
      </w:r>
      <w:r w:rsidR="005838D8">
        <w:rPr>
          <w:noProof/>
        </w:rPr>
        <w:t>22</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3.4.2</w:t>
      </w:r>
      <w:r>
        <w:rPr>
          <w:rFonts w:asciiTheme="minorHAnsi" w:eastAsiaTheme="minorEastAsia" w:hAnsiTheme="minorHAnsi" w:cstheme="minorBidi"/>
          <w:b w:val="0"/>
          <w:noProof/>
          <w:kern w:val="0"/>
          <w:szCs w:val="22"/>
        </w:rPr>
        <w:tab/>
      </w:r>
      <w:r>
        <w:rPr>
          <w:noProof/>
        </w:rPr>
        <w:t>Scope of ecological assessment</w:t>
      </w:r>
      <w:r>
        <w:rPr>
          <w:noProof/>
        </w:rPr>
        <w:tab/>
      </w:r>
      <w:r>
        <w:rPr>
          <w:noProof/>
        </w:rPr>
        <w:fldChar w:fldCharType="begin"/>
      </w:r>
      <w:r>
        <w:rPr>
          <w:noProof/>
        </w:rPr>
        <w:instrText xml:space="preserve"> PAGEREF _Toc351712061 \h </w:instrText>
      </w:r>
      <w:r>
        <w:rPr>
          <w:noProof/>
        </w:rPr>
      </w:r>
      <w:r>
        <w:rPr>
          <w:noProof/>
        </w:rPr>
        <w:fldChar w:fldCharType="separate"/>
      </w:r>
      <w:r w:rsidR="005838D8">
        <w:rPr>
          <w:noProof/>
        </w:rPr>
        <w:t>23</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3.4.3</w:t>
      </w:r>
      <w:r>
        <w:rPr>
          <w:rFonts w:asciiTheme="minorHAnsi" w:eastAsiaTheme="minorEastAsia" w:hAnsiTheme="minorHAnsi" w:cstheme="minorBidi"/>
          <w:b w:val="0"/>
          <w:noProof/>
          <w:kern w:val="0"/>
          <w:szCs w:val="22"/>
        </w:rPr>
        <w:tab/>
      </w:r>
      <w:r>
        <w:rPr>
          <w:noProof/>
        </w:rPr>
        <w:t>Mobility of contaminants</w:t>
      </w:r>
      <w:r>
        <w:rPr>
          <w:noProof/>
        </w:rPr>
        <w:tab/>
      </w:r>
      <w:r>
        <w:rPr>
          <w:noProof/>
        </w:rPr>
        <w:fldChar w:fldCharType="begin"/>
      </w:r>
      <w:r>
        <w:rPr>
          <w:noProof/>
        </w:rPr>
        <w:instrText xml:space="preserve"> PAGEREF _Toc351712062 \h </w:instrText>
      </w:r>
      <w:r>
        <w:rPr>
          <w:noProof/>
        </w:rPr>
      </w:r>
      <w:r>
        <w:rPr>
          <w:noProof/>
        </w:rPr>
        <w:fldChar w:fldCharType="separate"/>
      </w:r>
      <w:r w:rsidR="005838D8">
        <w:rPr>
          <w:noProof/>
        </w:rPr>
        <w:t>23</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3.5</w:t>
      </w:r>
      <w:r>
        <w:rPr>
          <w:rFonts w:asciiTheme="minorHAnsi" w:eastAsiaTheme="minorEastAsia" w:hAnsiTheme="minorHAnsi" w:cstheme="minorBidi"/>
          <w:b w:val="0"/>
          <w:noProof/>
          <w:kern w:val="0"/>
          <w:sz w:val="22"/>
          <w:szCs w:val="22"/>
        </w:rPr>
        <w:tab/>
      </w:r>
      <w:r>
        <w:rPr>
          <w:noProof/>
        </w:rPr>
        <w:t>Considerations for groundwater assessment</w:t>
      </w:r>
      <w:r>
        <w:rPr>
          <w:noProof/>
        </w:rPr>
        <w:tab/>
      </w:r>
      <w:r>
        <w:rPr>
          <w:noProof/>
        </w:rPr>
        <w:fldChar w:fldCharType="begin"/>
      </w:r>
      <w:r>
        <w:rPr>
          <w:noProof/>
        </w:rPr>
        <w:instrText xml:space="preserve"> PAGEREF _Toc351712063 \h </w:instrText>
      </w:r>
      <w:r>
        <w:rPr>
          <w:noProof/>
        </w:rPr>
      </w:r>
      <w:r>
        <w:rPr>
          <w:noProof/>
        </w:rPr>
        <w:fldChar w:fldCharType="separate"/>
      </w:r>
      <w:r w:rsidR="005838D8">
        <w:rPr>
          <w:noProof/>
        </w:rPr>
        <w:t>24</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3.6</w:t>
      </w:r>
      <w:r>
        <w:rPr>
          <w:rFonts w:asciiTheme="minorHAnsi" w:eastAsiaTheme="minorEastAsia" w:hAnsiTheme="minorHAnsi" w:cstheme="minorBidi"/>
          <w:b w:val="0"/>
          <w:noProof/>
          <w:kern w:val="0"/>
          <w:sz w:val="22"/>
          <w:szCs w:val="22"/>
        </w:rPr>
        <w:tab/>
      </w:r>
      <w:r>
        <w:rPr>
          <w:noProof/>
        </w:rPr>
        <w:t>Aesthetic considerations</w:t>
      </w:r>
      <w:r>
        <w:rPr>
          <w:noProof/>
        </w:rPr>
        <w:tab/>
      </w:r>
      <w:r>
        <w:rPr>
          <w:noProof/>
        </w:rPr>
        <w:fldChar w:fldCharType="begin"/>
      </w:r>
      <w:r>
        <w:rPr>
          <w:noProof/>
        </w:rPr>
        <w:instrText xml:space="preserve"> PAGEREF _Toc351712064 \h </w:instrText>
      </w:r>
      <w:r>
        <w:rPr>
          <w:noProof/>
        </w:rPr>
      </w:r>
      <w:r>
        <w:rPr>
          <w:noProof/>
        </w:rPr>
        <w:fldChar w:fldCharType="separate"/>
      </w:r>
      <w:r w:rsidR="005838D8">
        <w:rPr>
          <w:noProof/>
        </w:rPr>
        <w:t>24</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3.6.1</w:t>
      </w:r>
      <w:r>
        <w:rPr>
          <w:rFonts w:asciiTheme="minorHAnsi" w:eastAsiaTheme="minorEastAsia" w:hAnsiTheme="minorHAnsi" w:cstheme="minorBidi"/>
          <w:b w:val="0"/>
          <w:noProof/>
          <w:kern w:val="0"/>
          <w:szCs w:val="22"/>
        </w:rPr>
        <w:tab/>
      </w:r>
      <w:r>
        <w:rPr>
          <w:noProof/>
        </w:rPr>
        <w:t>Introduction</w:t>
      </w:r>
      <w:r>
        <w:rPr>
          <w:noProof/>
        </w:rPr>
        <w:tab/>
      </w:r>
      <w:r>
        <w:rPr>
          <w:noProof/>
        </w:rPr>
        <w:fldChar w:fldCharType="begin"/>
      </w:r>
      <w:r>
        <w:rPr>
          <w:noProof/>
        </w:rPr>
        <w:instrText xml:space="preserve"> PAGEREF _Toc351712065 \h </w:instrText>
      </w:r>
      <w:r>
        <w:rPr>
          <w:noProof/>
        </w:rPr>
      </w:r>
      <w:r>
        <w:rPr>
          <w:noProof/>
        </w:rPr>
        <w:fldChar w:fldCharType="separate"/>
      </w:r>
      <w:r w:rsidR="005838D8">
        <w:rPr>
          <w:noProof/>
        </w:rPr>
        <w:t>24</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3.6.2</w:t>
      </w:r>
      <w:r>
        <w:rPr>
          <w:rFonts w:asciiTheme="minorHAnsi" w:eastAsiaTheme="minorEastAsia" w:hAnsiTheme="minorHAnsi" w:cstheme="minorBidi"/>
          <w:b w:val="0"/>
          <w:noProof/>
          <w:kern w:val="0"/>
          <w:szCs w:val="22"/>
        </w:rPr>
        <w:tab/>
      </w:r>
      <w:r>
        <w:rPr>
          <w:noProof/>
        </w:rPr>
        <w:t>Circumstances which would trigger an assessment of aesthetics</w:t>
      </w:r>
      <w:r>
        <w:rPr>
          <w:noProof/>
        </w:rPr>
        <w:tab/>
      </w:r>
      <w:r>
        <w:rPr>
          <w:noProof/>
        </w:rPr>
        <w:fldChar w:fldCharType="begin"/>
      </w:r>
      <w:r>
        <w:rPr>
          <w:noProof/>
        </w:rPr>
        <w:instrText xml:space="preserve"> PAGEREF _Toc351712066 \h </w:instrText>
      </w:r>
      <w:r>
        <w:rPr>
          <w:noProof/>
        </w:rPr>
      </w:r>
      <w:r>
        <w:rPr>
          <w:noProof/>
        </w:rPr>
        <w:fldChar w:fldCharType="separate"/>
      </w:r>
      <w:r w:rsidR="005838D8">
        <w:rPr>
          <w:noProof/>
        </w:rPr>
        <w:t>24</w:t>
      </w:r>
      <w:r>
        <w:rPr>
          <w:noProof/>
        </w:rPr>
        <w:fldChar w:fldCharType="end"/>
      </w:r>
    </w:p>
    <w:p w:rsidR="00B542A2" w:rsidRDefault="00B542A2">
      <w:pPr>
        <w:pStyle w:val="TOC3"/>
        <w:rPr>
          <w:rFonts w:asciiTheme="minorHAnsi" w:eastAsiaTheme="minorEastAsia" w:hAnsiTheme="minorHAnsi" w:cstheme="minorBidi"/>
          <w:b w:val="0"/>
          <w:noProof/>
          <w:kern w:val="0"/>
          <w:szCs w:val="22"/>
        </w:rPr>
      </w:pPr>
      <w:r>
        <w:rPr>
          <w:noProof/>
        </w:rPr>
        <w:t>3.6.3</w:t>
      </w:r>
      <w:r>
        <w:rPr>
          <w:rFonts w:asciiTheme="minorHAnsi" w:eastAsiaTheme="minorEastAsia" w:hAnsiTheme="minorHAnsi" w:cstheme="minorBidi"/>
          <w:b w:val="0"/>
          <w:noProof/>
          <w:kern w:val="0"/>
          <w:szCs w:val="22"/>
        </w:rPr>
        <w:tab/>
      </w:r>
      <w:r>
        <w:rPr>
          <w:noProof/>
        </w:rPr>
        <w:t>Assessment process for aesthetic issues</w:t>
      </w:r>
      <w:r>
        <w:rPr>
          <w:noProof/>
        </w:rPr>
        <w:tab/>
      </w:r>
      <w:r>
        <w:rPr>
          <w:noProof/>
        </w:rPr>
        <w:fldChar w:fldCharType="begin"/>
      </w:r>
      <w:r>
        <w:rPr>
          <w:noProof/>
        </w:rPr>
        <w:instrText xml:space="preserve"> PAGEREF _Toc351712067 \h </w:instrText>
      </w:r>
      <w:r>
        <w:rPr>
          <w:noProof/>
        </w:rPr>
      </w:r>
      <w:r>
        <w:rPr>
          <w:noProof/>
        </w:rPr>
        <w:fldChar w:fldCharType="separate"/>
      </w:r>
      <w:r w:rsidR="005838D8">
        <w:rPr>
          <w:noProof/>
        </w:rPr>
        <w:t>25</w:t>
      </w:r>
      <w:r>
        <w:rPr>
          <w:noProof/>
        </w:rPr>
        <w:fldChar w:fldCharType="end"/>
      </w:r>
    </w:p>
    <w:p w:rsidR="00B542A2" w:rsidRDefault="00B542A2">
      <w:pPr>
        <w:pStyle w:val="TOC1"/>
        <w:rPr>
          <w:rFonts w:asciiTheme="minorHAnsi" w:eastAsiaTheme="minorEastAsia" w:hAnsiTheme="minorHAnsi" w:cstheme="minorBidi"/>
          <w:b w:val="0"/>
          <w:noProof/>
          <w:kern w:val="0"/>
          <w:sz w:val="22"/>
          <w:szCs w:val="22"/>
        </w:rPr>
      </w:pPr>
      <w:r>
        <w:rPr>
          <w:noProof/>
        </w:rPr>
        <w:t>4</w:t>
      </w:r>
      <w:r>
        <w:rPr>
          <w:rFonts w:asciiTheme="minorHAnsi" w:eastAsiaTheme="minorEastAsia" w:hAnsiTheme="minorHAnsi" w:cstheme="minorBidi"/>
          <w:b w:val="0"/>
          <w:noProof/>
          <w:kern w:val="0"/>
          <w:sz w:val="22"/>
          <w:szCs w:val="22"/>
        </w:rPr>
        <w:tab/>
      </w:r>
      <w:r>
        <w:rPr>
          <w:noProof/>
        </w:rPr>
        <w:t>Asbestos materials in soil</w:t>
      </w:r>
      <w:r>
        <w:rPr>
          <w:noProof/>
        </w:rPr>
        <w:tab/>
      </w:r>
      <w:r>
        <w:rPr>
          <w:noProof/>
        </w:rPr>
        <w:fldChar w:fldCharType="begin"/>
      </w:r>
      <w:r>
        <w:rPr>
          <w:noProof/>
        </w:rPr>
        <w:instrText xml:space="preserve"> PAGEREF _Toc351712068 \h </w:instrText>
      </w:r>
      <w:r>
        <w:rPr>
          <w:noProof/>
        </w:rPr>
      </w:r>
      <w:r>
        <w:rPr>
          <w:noProof/>
        </w:rPr>
        <w:fldChar w:fldCharType="separate"/>
      </w:r>
      <w:r w:rsidR="005838D8">
        <w:rPr>
          <w:noProof/>
        </w:rPr>
        <w:t>26</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4.1</w:t>
      </w:r>
      <w:r>
        <w:rPr>
          <w:rFonts w:asciiTheme="minorHAnsi" w:eastAsiaTheme="minorEastAsia" w:hAnsiTheme="minorHAnsi" w:cstheme="minorBidi"/>
          <w:b w:val="0"/>
          <w:noProof/>
          <w:kern w:val="0"/>
          <w:sz w:val="22"/>
          <w:szCs w:val="22"/>
        </w:rPr>
        <w:tab/>
      </w:r>
      <w:r>
        <w:rPr>
          <w:noProof/>
        </w:rPr>
        <w:t>Scope of the guidance</w:t>
      </w:r>
      <w:r>
        <w:rPr>
          <w:noProof/>
        </w:rPr>
        <w:tab/>
      </w:r>
      <w:r>
        <w:rPr>
          <w:noProof/>
        </w:rPr>
        <w:fldChar w:fldCharType="begin"/>
      </w:r>
      <w:r>
        <w:rPr>
          <w:noProof/>
        </w:rPr>
        <w:instrText xml:space="preserve"> PAGEREF _Toc351712069 \h </w:instrText>
      </w:r>
      <w:r>
        <w:rPr>
          <w:noProof/>
        </w:rPr>
      </w:r>
      <w:r>
        <w:rPr>
          <w:noProof/>
        </w:rPr>
        <w:fldChar w:fldCharType="separate"/>
      </w:r>
      <w:r w:rsidR="005838D8">
        <w:rPr>
          <w:noProof/>
        </w:rPr>
        <w:t>26</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4.2</w:t>
      </w:r>
      <w:r>
        <w:rPr>
          <w:rFonts w:asciiTheme="minorHAnsi" w:eastAsiaTheme="minorEastAsia" w:hAnsiTheme="minorHAnsi" w:cstheme="minorBidi"/>
          <w:b w:val="0"/>
          <w:noProof/>
          <w:kern w:val="0"/>
          <w:sz w:val="22"/>
          <w:szCs w:val="22"/>
        </w:rPr>
        <w:tab/>
      </w:r>
      <w:r>
        <w:rPr>
          <w:noProof/>
        </w:rPr>
        <w:t>Historical use of asbestos in Australia</w:t>
      </w:r>
      <w:r>
        <w:rPr>
          <w:noProof/>
        </w:rPr>
        <w:tab/>
      </w:r>
      <w:r>
        <w:rPr>
          <w:noProof/>
        </w:rPr>
        <w:fldChar w:fldCharType="begin"/>
      </w:r>
      <w:r>
        <w:rPr>
          <w:noProof/>
        </w:rPr>
        <w:instrText xml:space="preserve"> PAGEREF _Toc351712070 \h </w:instrText>
      </w:r>
      <w:r>
        <w:rPr>
          <w:noProof/>
        </w:rPr>
      </w:r>
      <w:r>
        <w:rPr>
          <w:noProof/>
        </w:rPr>
        <w:fldChar w:fldCharType="separate"/>
      </w:r>
      <w:r w:rsidR="005838D8">
        <w:rPr>
          <w:noProof/>
        </w:rPr>
        <w:t>26</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4.3</w:t>
      </w:r>
      <w:r>
        <w:rPr>
          <w:rFonts w:asciiTheme="minorHAnsi" w:eastAsiaTheme="minorEastAsia" w:hAnsiTheme="minorHAnsi" w:cstheme="minorBidi"/>
          <w:b w:val="0"/>
          <w:noProof/>
          <w:kern w:val="0"/>
          <w:sz w:val="22"/>
          <w:szCs w:val="22"/>
        </w:rPr>
        <w:tab/>
      </w:r>
      <w:r>
        <w:rPr>
          <w:noProof/>
        </w:rPr>
        <w:t>Work Health and Safety</w:t>
      </w:r>
      <w:r>
        <w:rPr>
          <w:noProof/>
        </w:rPr>
        <w:tab/>
      </w:r>
      <w:r>
        <w:rPr>
          <w:noProof/>
        </w:rPr>
        <w:fldChar w:fldCharType="begin"/>
      </w:r>
      <w:r>
        <w:rPr>
          <w:noProof/>
        </w:rPr>
        <w:instrText xml:space="preserve"> PAGEREF _Toc351712071 \h </w:instrText>
      </w:r>
      <w:r>
        <w:rPr>
          <w:noProof/>
        </w:rPr>
      </w:r>
      <w:r>
        <w:rPr>
          <w:noProof/>
        </w:rPr>
        <w:fldChar w:fldCharType="separate"/>
      </w:r>
      <w:r w:rsidR="005838D8">
        <w:rPr>
          <w:noProof/>
        </w:rPr>
        <w:t>26</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4.4</w:t>
      </w:r>
      <w:r>
        <w:rPr>
          <w:rFonts w:asciiTheme="minorHAnsi" w:eastAsiaTheme="minorEastAsia" w:hAnsiTheme="minorHAnsi" w:cstheme="minorBidi"/>
          <w:b w:val="0"/>
          <w:noProof/>
          <w:kern w:val="0"/>
          <w:sz w:val="22"/>
          <w:szCs w:val="22"/>
        </w:rPr>
        <w:tab/>
      </w:r>
      <w:r>
        <w:rPr>
          <w:noProof/>
        </w:rPr>
        <w:t>Terminology for asbestos contamination in soil</w:t>
      </w:r>
      <w:r>
        <w:rPr>
          <w:noProof/>
        </w:rPr>
        <w:tab/>
      </w:r>
      <w:r>
        <w:rPr>
          <w:noProof/>
        </w:rPr>
        <w:fldChar w:fldCharType="begin"/>
      </w:r>
      <w:r>
        <w:rPr>
          <w:noProof/>
        </w:rPr>
        <w:instrText xml:space="preserve"> PAGEREF _Toc351712072 \h </w:instrText>
      </w:r>
      <w:r>
        <w:rPr>
          <w:noProof/>
        </w:rPr>
      </w:r>
      <w:r>
        <w:rPr>
          <w:noProof/>
        </w:rPr>
        <w:fldChar w:fldCharType="separate"/>
      </w:r>
      <w:r w:rsidR="005838D8">
        <w:rPr>
          <w:noProof/>
        </w:rPr>
        <w:t>27</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4.5</w:t>
      </w:r>
      <w:r>
        <w:rPr>
          <w:rFonts w:asciiTheme="minorHAnsi" w:eastAsiaTheme="minorEastAsia" w:hAnsiTheme="minorHAnsi" w:cstheme="minorBidi"/>
          <w:b w:val="0"/>
          <w:noProof/>
          <w:kern w:val="0"/>
          <w:sz w:val="22"/>
          <w:szCs w:val="22"/>
        </w:rPr>
        <w:tab/>
      </w:r>
      <w:r>
        <w:rPr>
          <w:noProof/>
        </w:rPr>
        <w:t>Occurrence of asbestos contamination in soil</w:t>
      </w:r>
      <w:r>
        <w:rPr>
          <w:noProof/>
        </w:rPr>
        <w:tab/>
      </w:r>
      <w:r>
        <w:rPr>
          <w:noProof/>
        </w:rPr>
        <w:fldChar w:fldCharType="begin"/>
      </w:r>
      <w:r>
        <w:rPr>
          <w:noProof/>
        </w:rPr>
        <w:instrText xml:space="preserve"> PAGEREF _Toc351712073 \h </w:instrText>
      </w:r>
      <w:r>
        <w:rPr>
          <w:noProof/>
        </w:rPr>
      </w:r>
      <w:r>
        <w:rPr>
          <w:noProof/>
        </w:rPr>
        <w:fldChar w:fldCharType="separate"/>
      </w:r>
      <w:r w:rsidR="005838D8">
        <w:rPr>
          <w:noProof/>
        </w:rPr>
        <w:t>28</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4.6</w:t>
      </w:r>
      <w:r>
        <w:rPr>
          <w:rFonts w:asciiTheme="minorHAnsi" w:eastAsiaTheme="minorEastAsia" w:hAnsiTheme="minorHAnsi" w:cstheme="minorBidi"/>
          <w:b w:val="0"/>
          <w:noProof/>
          <w:kern w:val="0"/>
          <w:sz w:val="22"/>
          <w:szCs w:val="22"/>
        </w:rPr>
        <w:tab/>
      </w:r>
      <w:r>
        <w:rPr>
          <w:noProof/>
        </w:rPr>
        <w:t>Asbestos soil contamination and health risk</w:t>
      </w:r>
      <w:r>
        <w:rPr>
          <w:noProof/>
        </w:rPr>
        <w:tab/>
      </w:r>
      <w:r>
        <w:rPr>
          <w:noProof/>
        </w:rPr>
        <w:fldChar w:fldCharType="begin"/>
      </w:r>
      <w:r>
        <w:rPr>
          <w:noProof/>
        </w:rPr>
        <w:instrText xml:space="preserve"> PAGEREF _Toc351712074 \h </w:instrText>
      </w:r>
      <w:r>
        <w:rPr>
          <w:noProof/>
        </w:rPr>
      </w:r>
      <w:r>
        <w:rPr>
          <w:noProof/>
        </w:rPr>
        <w:fldChar w:fldCharType="separate"/>
      </w:r>
      <w:r w:rsidR="005838D8">
        <w:rPr>
          <w:noProof/>
        </w:rPr>
        <w:t>29</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4.7</w:t>
      </w:r>
      <w:r>
        <w:rPr>
          <w:rFonts w:asciiTheme="minorHAnsi" w:eastAsiaTheme="minorEastAsia" w:hAnsiTheme="minorHAnsi" w:cstheme="minorBidi"/>
          <w:b w:val="0"/>
          <w:noProof/>
          <w:kern w:val="0"/>
          <w:sz w:val="22"/>
          <w:szCs w:val="22"/>
        </w:rPr>
        <w:tab/>
      </w:r>
      <w:r>
        <w:rPr>
          <w:noProof/>
        </w:rPr>
        <w:t>Basis for health screening levels for asbestos in soil</w:t>
      </w:r>
      <w:r>
        <w:rPr>
          <w:noProof/>
        </w:rPr>
        <w:tab/>
      </w:r>
      <w:r>
        <w:rPr>
          <w:noProof/>
        </w:rPr>
        <w:fldChar w:fldCharType="begin"/>
      </w:r>
      <w:r>
        <w:rPr>
          <w:noProof/>
        </w:rPr>
        <w:instrText xml:space="preserve"> PAGEREF _Toc351712075 \h </w:instrText>
      </w:r>
      <w:r>
        <w:rPr>
          <w:noProof/>
        </w:rPr>
      </w:r>
      <w:r>
        <w:rPr>
          <w:noProof/>
        </w:rPr>
        <w:fldChar w:fldCharType="separate"/>
      </w:r>
      <w:r w:rsidR="005838D8">
        <w:rPr>
          <w:noProof/>
        </w:rPr>
        <w:t>29</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4.8</w:t>
      </w:r>
      <w:r>
        <w:rPr>
          <w:rFonts w:asciiTheme="minorHAnsi" w:eastAsiaTheme="minorEastAsia" w:hAnsiTheme="minorHAnsi" w:cstheme="minorBidi"/>
          <w:b w:val="0"/>
          <w:noProof/>
          <w:kern w:val="0"/>
          <w:sz w:val="22"/>
          <w:szCs w:val="22"/>
        </w:rPr>
        <w:tab/>
      </w:r>
      <w:r>
        <w:rPr>
          <w:noProof/>
        </w:rPr>
        <w:t>Health screening levels for asbestos in soil</w:t>
      </w:r>
      <w:r>
        <w:rPr>
          <w:noProof/>
        </w:rPr>
        <w:tab/>
      </w:r>
      <w:r>
        <w:rPr>
          <w:noProof/>
        </w:rPr>
        <w:fldChar w:fldCharType="begin"/>
      </w:r>
      <w:r>
        <w:rPr>
          <w:noProof/>
        </w:rPr>
        <w:instrText xml:space="preserve"> PAGEREF _Toc351712076 \h </w:instrText>
      </w:r>
      <w:r>
        <w:rPr>
          <w:noProof/>
        </w:rPr>
      </w:r>
      <w:r>
        <w:rPr>
          <w:noProof/>
        </w:rPr>
        <w:fldChar w:fldCharType="separate"/>
      </w:r>
      <w:r w:rsidR="005838D8">
        <w:rPr>
          <w:noProof/>
        </w:rPr>
        <w:t>29</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4.9</w:t>
      </w:r>
      <w:r>
        <w:rPr>
          <w:rFonts w:asciiTheme="minorHAnsi" w:eastAsiaTheme="minorEastAsia" w:hAnsiTheme="minorHAnsi" w:cstheme="minorBidi"/>
          <w:b w:val="0"/>
          <w:noProof/>
          <w:kern w:val="0"/>
          <w:sz w:val="22"/>
          <w:szCs w:val="22"/>
        </w:rPr>
        <w:tab/>
      </w:r>
      <w:r>
        <w:rPr>
          <w:noProof/>
        </w:rPr>
        <w:t>Process for assessment of asbestos contamination</w:t>
      </w:r>
      <w:r>
        <w:rPr>
          <w:noProof/>
        </w:rPr>
        <w:tab/>
      </w:r>
      <w:r>
        <w:rPr>
          <w:noProof/>
        </w:rPr>
        <w:fldChar w:fldCharType="begin"/>
      </w:r>
      <w:r>
        <w:rPr>
          <w:noProof/>
        </w:rPr>
        <w:instrText xml:space="preserve"> PAGEREF _Toc351712077 \h </w:instrText>
      </w:r>
      <w:r>
        <w:rPr>
          <w:noProof/>
        </w:rPr>
      </w:r>
      <w:r>
        <w:rPr>
          <w:noProof/>
        </w:rPr>
        <w:fldChar w:fldCharType="separate"/>
      </w:r>
      <w:r w:rsidR="005838D8">
        <w:rPr>
          <w:noProof/>
        </w:rPr>
        <w:t>30</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4.10</w:t>
      </w:r>
      <w:r>
        <w:rPr>
          <w:rFonts w:asciiTheme="minorHAnsi" w:eastAsiaTheme="minorEastAsia" w:hAnsiTheme="minorHAnsi" w:cstheme="minorBidi"/>
          <w:b w:val="0"/>
          <w:noProof/>
          <w:kern w:val="0"/>
          <w:sz w:val="22"/>
          <w:szCs w:val="22"/>
        </w:rPr>
        <w:tab/>
      </w:r>
      <w:r>
        <w:rPr>
          <w:noProof/>
        </w:rPr>
        <w:t>Determining asbestos in soil concentrations</w:t>
      </w:r>
      <w:r>
        <w:rPr>
          <w:noProof/>
        </w:rPr>
        <w:tab/>
      </w:r>
      <w:r>
        <w:rPr>
          <w:noProof/>
        </w:rPr>
        <w:fldChar w:fldCharType="begin"/>
      </w:r>
      <w:r>
        <w:rPr>
          <w:noProof/>
        </w:rPr>
        <w:instrText xml:space="preserve"> PAGEREF _Toc351712078 \h </w:instrText>
      </w:r>
      <w:r>
        <w:rPr>
          <w:noProof/>
        </w:rPr>
      </w:r>
      <w:r>
        <w:rPr>
          <w:noProof/>
        </w:rPr>
        <w:fldChar w:fldCharType="separate"/>
      </w:r>
      <w:r w:rsidR="005838D8">
        <w:rPr>
          <w:noProof/>
        </w:rPr>
        <w:t>30</w:t>
      </w:r>
      <w:r>
        <w:rPr>
          <w:noProof/>
        </w:rPr>
        <w:fldChar w:fldCharType="end"/>
      </w:r>
    </w:p>
    <w:p w:rsidR="00B542A2" w:rsidRDefault="00B542A2">
      <w:pPr>
        <w:pStyle w:val="TOC2"/>
        <w:rPr>
          <w:rFonts w:asciiTheme="minorHAnsi" w:eastAsiaTheme="minorEastAsia" w:hAnsiTheme="minorHAnsi" w:cstheme="minorBidi"/>
          <w:b w:val="0"/>
          <w:noProof/>
          <w:kern w:val="0"/>
          <w:sz w:val="22"/>
          <w:szCs w:val="22"/>
        </w:rPr>
      </w:pPr>
      <w:r>
        <w:rPr>
          <w:noProof/>
        </w:rPr>
        <w:t>4.11</w:t>
      </w:r>
      <w:r>
        <w:rPr>
          <w:rFonts w:asciiTheme="minorHAnsi" w:eastAsiaTheme="minorEastAsia" w:hAnsiTheme="minorHAnsi" w:cstheme="minorBidi"/>
          <w:b w:val="0"/>
          <w:noProof/>
          <w:kern w:val="0"/>
          <w:sz w:val="22"/>
          <w:szCs w:val="22"/>
        </w:rPr>
        <w:tab/>
      </w:r>
      <w:r>
        <w:rPr>
          <w:noProof/>
        </w:rPr>
        <w:t>Assessment against asbestos screening levels and procedure for exceedences</w:t>
      </w:r>
      <w:r>
        <w:rPr>
          <w:noProof/>
        </w:rPr>
        <w:tab/>
      </w:r>
      <w:r>
        <w:rPr>
          <w:noProof/>
        </w:rPr>
        <w:fldChar w:fldCharType="begin"/>
      </w:r>
      <w:r>
        <w:rPr>
          <w:noProof/>
        </w:rPr>
        <w:instrText xml:space="preserve"> PAGEREF _Toc351712079 \h </w:instrText>
      </w:r>
      <w:r>
        <w:rPr>
          <w:noProof/>
        </w:rPr>
      </w:r>
      <w:r>
        <w:rPr>
          <w:noProof/>
        </w:rPr>
        <w:fldChar w:fldCharType="separate"/>
      </w:r>
      <w:r w:rsidR="005838D8">
        <w:rPr>
          <w:noProof/>
        </w:rPr>
        <w:t>33</w:t>
      </w:r>
      <w:r>
        <w:rPr>
          <w:noProof/>
        </w:rPr>
        <w:fldChar w:fldCharType="end"/>
      </w:r>
    </w:p>
    <w:p w:rsidR="00B542A2" w:rsidRDefault="00B542A2">
      <w:pPr>
        <w:pStyle w:val="TOC1"/>
        <w:rPr>
          <w:rFonts w:asciiTheme="minorHAnsi" w:eastAsiaTheme="minorEastAsia" w:hAnsiTheme="minorHAnsi" w:cstheme="minorBidi"/>
          <w:b w:val="0"/>
          <w:noProof/>
          <w:kern w:val="0"/>
          <w:sz w:val="22"/>
          <w:szCs w:val="22"/>
        </w:rPr>
      </w:pPr>
      <w:r>
        <w:rPr>
          <w:noProof/>
        </w:rPr>
        <w:lastRenderedPageBreak/>
        <w:t>5</w:t>
      </w:r>
      <w:r>
        <w:rPr>
          <w:rFonts w:asciiTheme="minorHAnsi" w:eastAsiaTheme="minorEastAsia" w:hAnsiTheme="minorHAnsi" w:cstheme="minorBidi"/>
          <w:b w:val="0"/>
          <w:noProof/>
          <w:kern w:val="0"/>
          <w:sz w:val="22"/>
          <w:szCs w:val="22"/>
        </w:rPr>
        <w:tab/>
      </w:r>
      <w:r>
        <w:rPr>
          <w:noProof/>
        </w:rPr>
        <w:t>Case Studies</w:t>
      </w:r>
      <w:r>
        <w:rPr>
          <w:noProof/>
        </w:rPr>
        <w:tab/>
      </w:r>
      <w:r>
        <w:rPr>
          <w:noProof/>
        </w:rPr>
        <w:fldChar w:fldCharType="begin"/>
      </w:r>
      <w:r>
        <w:rPr>
          <w:noProof/>
        </w:rPr>
        <w:instrText xml:space="preserve"> PAGEREF _Toc351712080 \h </w:instrText>
      </w:r>
      <w:r>
        <w:rPr>
          <w:noProof/>
        </w:rPr>
      </w:r>
      <w:r>
        <w:rPr>
          <w:noProof/>
        </w:rPr>
        <w:fldChar w:fldCharType="separate"/>
      </w:r>
      <w:r w:rsidR="005838D8">
        <w:rPr>
          <w:noProof/>
        </w:rPr>
        <w:t>35</w:t>
      </w:r>
      <w:r>
        <w:rPr>
          <w:noProof/>
        </w:rPr>
        <w:fldChar w:fldCharType="end"/>
      </w:r>
    </w:p>
    <w:p w:rsidR="00B542A2" w:rsidRDefault="00B542A2">
      <w:pPr>
        <w:pStyle w:val="TOC1"/>
        <w:rPr>
          <w:rFonts w:asciiTheme="minorHAnsi" w:eastAsiaTheme="minorEastAsia" w:hAnsiTheme="minorHAnsi" w:cstheme="minorBidi"/>
          <w:b w:val="0"/>
          <w:noProof/>
          <w:kern w:val="0"/>
          <w:sz w:val="22"/>
          <w:szCs w:val="22"/>
        </w:rPr>
      </w:pPr>
      <w:r>
        <w:rPr>
          <w:noProof/>
        </w:rPr>
        <w:t>6</w:t>
      </w:r>
      <w:r>
        <w:rPr>
          <w:rFonts w:asciiTheme="minorHAnsi" w:eastAsiaTheme="minorEastAsia" w:hAnsiTheme="minorHAnsi" w:cstheme="minorBidi"/>
          <w:b w:val="0"/>
          <w:noProof/>
          <w:kern w:val="0"/>
          <w:sz w:val="22"/>
          <w:szCs w:val="22"/>
        </w:rPr>
        <w:tab/>
      </w:r>
      <w:r>
        <w:rPr>
          <w:noProof/>
        </w:rPr>
        <w:t>Tabulated investigation and screening levels</w:t>
      </w:r>
      <w:r>
        <w:rPr>
          <w:noProof/>
        </w:rPr>
        <w:tab/>
      </w:r>
      <w:r>
        <w:rPr>
          <w:noProof/>
        </w:rPr>
        <w:fldChar w:fldCharType="begin"/>
      </w:r>
      <w:r>
        <w:rPr>
          <w:noProof/>
        </w:rPr>
        <w:instrText xml:space="preserve"> PAGEREF _Toc351712081 \h </w:instrText>
      </w:r>
      <w:r>
        <w:rPr>
          <w:noProof/>
        </w:rPr>
      </w:r>
      <w:r>
        <w:rPr>
          <w:noProof/>
        </w:rPr>
        <w:fldChar w:fldCharType="separate"/>
      </w:r>
      <w:r w:rsidR="005838D8">
        <w:rPr>
          <w:noProof/>
        </w:rPr>
        <w:t>47</w:t>
      </w:r>
      <w:r>
        <w:rPr>
          <w:noProof/>
        </w:rPr>
        <w:fldChar w:fldCharType="end"/>
      </w:r>
    </w:p>
    <w:p w:rsidR="00B542A2" w:rsidRDefault="00B542A2">
      <w:pPr>
        <w:pStyle w:val="TOC1"/>
        <w:rPr>
          <w:rFonts w:asciiTheme="minorHAnsi" w:eastAsiaTheme="minorEastAsia" w:hAnsiTheme="minorHAnsi" w:cstheme="minorBidi"/>
          <w:b w:val="0"/>
          <w:noProof/>
          <w:kern w:val="0"/>
          <w:sz w:val="22"/>
          <w:szCs w:val="22"/>
        </w:rPr>
      </w:pPr>
      <w:r>
        <w:rPr>
          <w:noProof/>
        </w:rPr>
        <w:t>7</w:t>
      </w:r>
      <w:r>
        <w:rPr>
          <w:rFonts w:asciiTheme="minorHAnsi" w:eastAsiaTheme="minorEastAsia" w:hAnsiTheme="minorHAnsi" w:cstheme="minorBidi"/>
          <w:b w:val="0"/>
          <w:noProof/>
          <w:kern w:val="0"/>
          <w:sz w:val="22"/>
          <w:szCs w:val="22"/>
        </w:rPr>
        <w:tab/>
      </w:r>
      <w:r>
        <w:rPr>
          <w:noProof/>
        </w:rPr>
        <w:t>Bibliography</w:t>
      </w:r>
      <w:r>
        <w:rPr>
          <w:noProof/>
        </w:rPr>
        <w:tab/>
      </w:r>
      <w:r>
        <w:rPr>
          <w:noProof/>
        </w:rPr>
        <w:fldChar w:fldCharType="begin"/>
      </w:r>
      <w:r>
        <w:rPr>
          <w:noProof/>
        </w:rPr>
        <w:instrText xml:space="preserve"> PAGEREF _Toc351712082 \h </w:instrText>
      </w:r>
      <w:r>
        <w:rPr>
          <w:noProof/>
        </w:rPr>
      </w:r>
      <w:r>
        <w:rPr>
          <w:noProof/>
        </w:rPr>
        <w:fldChar w:fldCharType="separate"/>
      </w:r>
      <w:r w:rsidR="005838D8">
        <w:rPr>
          <w:noProof/>
        </w:rPr>
        <w:t>75</w:t>
      </w:r>
      <w:r>
        <w:rPr>
          <w:noProof/>
        </w:rPr>
        <w:fldChar w:fldCharType="end"/>
      </w:r>
    </w:p>
    <w:p w:rsidR="00B542A2" w:rsidRDefault="00B542A2">
      <w:pPr>
        <w:pStyle w:val="TOC1"/>
        <w:rPr>
          <w:rFonts w:asciiTheme="minorHAnsi" w:eastAsiaTheme="minorEastAsia" w:hAnsiTheme="minorHAnsi" w:cstheme="minorBidi"/>
          <w:b w:val="0"/>
          <w:noProof/>
          <w:kern w:val="0"/>
          <w:sz w:val="22"/>
          <w:szCs w:val="22"/>
        </w:rPr>
      </w:pPr>
      <w:r>
        <w:rPr>
          <w:noProof/>
        </w:rPr>
        <w:t>8</w:t>
      </w:r>
      <w:r>
        <w:rPr>
          <w:rFonts w:asciiTheme="minorHAnsi" w:eastAsiaTheme="minorEastAsia" w:hAnsiTheme="minorHAnsi" w:cstheme="minorBidi"/>
          <w:b w:val="0"/>
          <w:noProof/>
          <w:kern w:val="0"/>
          <w:sz w:val="22"/>
          <w:szCs w:val="22"/>
        </w:rPr>
        <w:tab/>
      </w:r>
      <w:r>
        <w:rPr>
          <w:noProof/>
        </w:rPr>
        <w:t>Glossary</w:t>
      </w:r>
      <w:r>
        <w:rPr>
          <w:noProof/>
        </w:rPr>
        <w:tab/>
      </w:r>
      <w:r>
        <w:rPr>
          <w:noProof/>
        </w:rPr>
        <w:fldChar w:fldCharType="begin"/>
      </w:r>
      <w:r>
        <w:rPr>
          <w:noProof/>
        </w:rPr>
        <w:instrText xml:space="preserve"> PAGEREF _Toc351712083 \h </w:instrText>
      </w:r>
      <w:r>
        <w:rPr>
          <w:noProof/>
        </w:rPr>
      </w:r>
      <w:r>
        <w:rPr>
          <w:noProof/>
        </w:rPr>
        <w:fldChar w:fldCharType="separate"/>
      </w:r>
      <w:r w:rsidR="005838D8">
        <w:rPr>
          <w:noProof/>
        </w:rPr>
        <w:t>78</w:t>
      </w:r>
      <w:r>
        <w:rPr>
          <w:noProof/>
        </w:rPr>
        <w:fldChar w:fldCharType="end"/>
      </w:r>
    </w:p>
    <w:p w:rsidR="00B542A2" w:rsidRDefault="00B542A2">
      <w:pPr>
        <w:pStyle w:val="TOC1"/>
        <w:rPr>
          <w:rFonts w:asciiTheme="minorHAnsi" w:eastAsiaTheme="minorEastAsia" w:hAnsiTheme="minorHAnsi" w:cstheme="minorBidi"/>
          <w:b w:val="0"/>
          <w:noProof/>
          <w:kern w:val="0"/>
          <w:sz w:val="22"/>
          <w:szCs w:val="22"/>
        </w:rPr>
      </w:pPr>
      <w:r>
        <w:rPr>
          <w:noProof/>
        </w:rPr>
        <w:t>9</w:t>
      </w:r>
      <w:r>
        <w:rPr>
          <w:rFonts w:asciiTheme="minorHAnsi" w:eastAsiaTheme="minorEastAsia" w:hAnsiTheme="minorHAnsi" w:cstheme="minorBidi"/>
          <w:b w:val="0"/>
          <w:noProof/>
          <w:kern w:val="0"/>
          <w:sz w:val="22"/>
          <w:szCs w:val="22"/>
        </w:rPr>
        <w:tab/>
      </w:r>
      <w:r>
        <w:rPr>
          <w:noProof/>
        </w:rPr>
        <w:t>Shortened forms</w:t>
      </w:r>
      <w:r>
        <w:rPr>
          <w:noProof/>
        </w:rPr>
        <w:tab/>
      </w:r>
      <w:r>
        <w:rPr>
          <w:noProof/>
        </w:rPr>
        <w:fldChar w:fldCharType="begin"/>
      </w:r>
      <w:r>
        <w:rPr>
          <w:noProof/>
        </w:rPr>
        <w:instrText xml:space="preserve"> PAGEREF _Toc351712084 \h </w:instrText>
      </w:r>
      <w:r>
        <w:rPr>
          <w:noProof/>
        </w:rPr>
      </w:r>
      <w:r>
        <w:rPr>
          <w:noProof/>
        </w:rPr>
        <w:fldChar w:fldCharType="separate"/>
      </w:r>
      <w:r w:rsidR="005838D8">
        <w:rPr>
          <w:noProof/>
        </w:rPr>
        <w:t>81</w:t>
      </w:r>
      <w:r>
        <w:rPr>
          <w:noProof/>
        </w:rPr>
        <w:fldChar w:fldCharType="end"/>
      </w:r>
    </w:p>
    <w:p w:rsidR="00A97702" w:rsidRDefault="00FD4A57" w:rsidP="00A97702">
      <w:r>
        <w:fldChar w:fldCharType="end"/>
      </w:r>
    </w:p>
    <w:p w:rsidR="00A97702" w:rsidRDefault="00A97702" w:rsidP="00A97702"/>
    <w:p w:rsidR="00A97702" w:rsidRPr="00C45564" w:rsidRDefault="00A97702" w:rsidP="00A97702">
      <w:pPr>
        <w:sectPr w:rsidR="00A97702" w:rsidRPr="00C45564" w:rsidSect="00DA1C9D">
          <w:headerReference w:type="even" r:id="rId12"/>
          <w:headerReference w:type="default" r:id="rId13"/>
          <w:footerReference w:type="default" r:id="rId14"/>
          <w:headerReference w:type="first" r:id="rId15"/>
          <w:footerReference w:type="first" r:id="rId16"/>
          <w:pgSz w:w="11906" w:h="16838" w:code="9"/>
          <w:pgMar w:top="1134" w:right="1134" w:bottom="1134" w:left="1418" w:header="720" w:footer="567" w:gutter="0"/>
          <w:paperSrc w:first="2" w:other="2"/>
          <w:pgNumType w:start="1"/>
          <w:cols w:space="720"/>
          <w:titlePg/>
        </w:sectPr>
      </w:pPr>
    </w:p>
    <w:p w:rsidR="00A97702" w:rsidRPr="003455CD" w:rsidRDefault="00A97702" w:rsidP="00A97702">
      <w:pPr>
        <w:pStyle w:val="Heading1"/>
      </w:pPr>
      <w:bookmarkStart w:id="1" w:name="_Toc351712006"/>
      <w:r w:rsidRPr="003455CD">
        <w:lastRenderedPageBreak/>
        <w:t>Introduction</w:t>
      </w:r>
      <w:bookmarkEnd w:id="1"/>
    </w:p>
    <w:p w:rsidR="00A97702" w:rsidRDefault="00A97702" w:rsidP="00A97702">
      <w:pPr>
        <w:pStyle w:val="Heading2"/>
      </w:pPr>
      <w:bookmarkStart w:id="2" w:name="_Toc351712007"/>
      <w:r>
        <w:t>Overview</w:t>
      </w:r>
      <w:bookmarkEnd w:id="2"/>
    </w:p>
    <w:p w:rsidR="00A97702" w:rsidRDefault="00A97702" w:rsidP="00A97702">
      <w:r>
        <w:t>The purpose of site assessment is to determine the human health and ecological risks associated with the presence of site contamination and to inform any remediation or management plan to make the site fit for the current or proposed land use. The appropriate use of investigation levels is an integral compo</w:t>
      </w:r>
      <w:r w:rsidR="00FD4A57">
        <w:t>nent of the assessment process.</w:t>
      </w:r>
    </w:p>
    <w:p w:rsidR="00FF4FD0" w:rsidRDefault="00FF4FD0" w:rsidP="00A97702"/>
    <w:p w:rsidR="00A97702" w:rsidRDefault="00A97702" w:rsidP="00A97702">
      <w:r w:rsidRPr="00BB1D5D">
        <w:t xml:space="preserve">This </w:t>
      </w:r>
      <w:r>
        <w:t>S</w:t>
      </w:r>
      <w:r w:rsidRPr="00BB1D5D">
        <w:t xml:space="preserve">chedule </w:t>
      </w:r>
      <w:r>
        <w:t>provides</w:t>
      </w:r>
      <w:r w:rsidRPr="00BB1D5D">
        <w:t xml:space="preserve"> a framework for the use of investigation </w:t>
      </w:r>
      <w:r>
        <w:t xml:space="preserve">and screening </w:t>
      </w:r>
      <w:r w:rsidRPr="00BB1D5D">
        <w:t>levels</w:t>
      </w:r>
      <w:r>
        <w:t xml:space="preserve">. </w:t>
      </w:r>
      <w:r w:rsidRPr="00BB1D5D">
        <w:t xml:space="preserve">The framework is based </w:t>
      </w:r>
      <w:r>
        <w:t>on</w:t>
      </w:r>
      <w:r w:rsidRPr="00BB1D5D">
        <w:t xml:space="preserve"> a matrix of </w:t>
      </w:r>
      <w:r>
        <w:t xml:space="preserve">human </w:t>
      </w:r>
      <w:r w:rsidRPr="00BB1D5D">
        <w:t xml:space="preserve">health and ecological soil and groundwater investigation </w:t>
      </w:r>
      <w:r>
        <w:t xml:space="preserve">and screening </w:t>
      </w:r>
      <w:r w:rsidRPr="00BB1D5D">
        <w:t>levels and guidance for specific contaminant</w:t>
      </w:r>
      <w:r>
        <w:t xml:space="preserve">s. </w:t>
      </w:r>
      <w:r w:rsidRPr="00BB1D5D">
        <w:t>The derivation of health</w:t>
      </w:r>
      <w:r>
        <w:t>-based</w:t>
      </w:r>
      <w:r w:rsidRPr="00BB1D5D">
        <w:t xml:space="preserve"> investigation levels is outlined in Schedule B7, and the risk assessment methodologies are detailed in Schedule B4.</w:t>
      </w:r>
      <w:r>
        <w:t xml:space="preserve"> </w:t>
      </w:r>
      <w:r w:rsidRPr="00BB1D5D">
        <w:t>Schedule B5</w:t>
      </w:r>
      <w:r>
        <w:t>a</w:t>
      </w:r>
      <w:r w:rsidRPr="00BB1D5D">
        <w:t xml:space="preserve"> outlines a risk</w:t>
      </w:r>
      <w:r>
        <w:t>-</w:t>
      </w:r>
      <w:r w:rsidRPr="00BB1D5D">
        <w:t>based framework for site</w:t>
      </w:r>
      <w:r>
        <w:t>-</w:t>
      </w:r>
      <w:r w:rsidRPr="00BB1D5D">
        <w:t>specific ecological risk assessment</w:t>
      </w:r>
      <w:r>
        <w:t xml:space="preserve">. </w:t>
      </w:r>
      <w:r w:rsidRPr="00BB1D5D">
        <w:t>The derivation of ecological investigation levels is outlined in Schedule B5</w:t>
      </w:r>
      <w:r>
        <w:t>c</w:t>
      </w:r>
      <w:r w:rsidRPr="00BB1D5D">
        <w:t xml:space="preserve"> and the methodology is detailed in Schedule B5</w:t>
      </w:r>
      <w:r>
        <w:t xml:space="preserve">b. </w:t>
      </w:r>
      <w:r w:rsidRPr="00BB1D5D">
        <w:t>Reference is also made to the derivation and use of health and ecological screening levels in site assessment.</w:t>
      </w:r>
    </w:p>
    <w:p w:rsidR="00FF4FD0" w:rsidRPr="00BB1D5D" w:rsidRDefault="00FF4FD0" w:rsidP="00A97702"/>
    <w:p w:rsidR="00A97702" w:rsidRDefault="00A97702" w:rsidP="00A97702">
      <w:r>
        <w:t>The selection of the most appropriate investigation levels for use in a range of environmental settings and land use scenarios should consider factors including the protection of human health, ecosystems, groundwater resources and aesthetics. The development of a conceptual site model is an essential element of site assessment and should inform the selection of appropriate investigation and screening criteria. A balance between the use of generic soil, soil vapour and groundwater criteria and site-specific considerations is essenti</w:t>
      </w:r>
      <w:r w:rsidR="00FD4A57">
        <w:t>al practice in site assessment.</w:t>
      </w:r>
    </w:p>
    <w:p w:rsidR="00A97702" w:rsidRDefault="00A97702" w:rsidP="00A97702">
      <w:pPr>
        <w:pStyle w:val="Heading2"/>
      </w:pPr>
      <w:bookmarkStart w:id="3" w:name="_Toc351712008"/>
      <w:r>
        <w:t>Prevention of site contamination</w:t>
      </w:r>
      <w:bookmarkEnd w:id="3"/>
    </w:p>
    <w:p w:rsidR="00A97702" w:rsidRDefault="00A97702" w:rsidP="00A97702">
      <w:r w:rsidRPr="00BB1D5D">
        <w:t>The National Environment Protection (Assessment of Site Contamination) Measur</w:t>
      </w:r>
      <w:r>
        <w:t xml:space="preserve">e 1999 (NEPM) </w:t>
      </w:r>
      <w:r w:rsidRPr="00BB1D5D">
        <w:t>does not provide guidance on prevention of site contamination</w:t>
      </w:r>
      <w:r>
        <w:t xml:space="preserve">. </w:t>
      </w:r>
      <w:r w:rsidRPr="00BB1D5D">
        <w:t>Owners and occupiers of sites on which</w:t>
      </w:r>
      <w:r>
        <w:t xml:space="preserve"> potentially contaminating activities are occurring are subject to the environmental protection legislation applying in each jurisdiction. Legislation provides for appropriate controls on potentially contaminating sources, including licensing of industrial activities, to minimise emissions and its application is the principal strategy for prevention of soil and groundwater contamination.</w:t>
      </w:r>
    </w:p>
    <w:p w:rsidR="00A97702" w:rsidRDefault="00A97702" w:rsidP="00A97702">
      <w:pPr>
        <w:pStyle w:val="Heading2"/>
      </w:pPr>
      <w:bookmarkStart w:id="4" w:name="_Toc351712009"/>
      <w:r w:rsidRPr="00450F36">
        <w:t>Specialised</w:t>
      </w:r>
      <w:r>
        <w:t xml:space="preserve"> assessments</w:t>
      </w:r>
      <w:bookmarkEnd w:id="4"/>
    </w:p>
    <w:p w:rsidR="00A97702" w:rsidRDefault="00A97702" w:rsidP="00A97702">
      <w:r>
        <w:t>Specialised forms of assessment are required for sites affected by the following types of contaminants:</w:t>
      </w:r>
    </w:p>
    <w:p w:rsidR="00A97702" w:rsidRPr="00CF4C5A" w:rsidRDefault="00A97702" w:rsidP="00A97702">
      <w:pPr>
        <w:pStyle w:val="Dot-points"/>
        <w:tabs>
          <w:tab w:val="clear" w:pos="926"/>
          <w:tab w:val="num" w:pos="360"/>
        </w:tabs>
      </w:pPr>
      <w:r w:rsidRPr="00CF4C5A">
        <w:t>radioactive substances</w:t>
      </w:r>
    </w:p>
    <w:p w:rsidR="00A97702" w:rsidRPr="00CF4C5A" w:rsidRDefault="00A97702" w:rsidP="00A97702">
      <w:pPr>
        <w:pStyle w:val="Dot-points"/>
        <w:tabs>
          <w:tab w:val="clear" w:pos="926"/>
          <w:tab w:val="num" w:pos="360"/>
        </w:tabs>
      </w:pPr>
      <w:r w:rsidRPr="00CF4C5A">
        <w:t>unexploded ordnance</w:t>
      </w:r>
    </w:p>
    <w:p w:rsidR="00A97702" w:rsidRDefault="00A97702" w:rsidP="00A97702">
      <w:pPr>
        <w:pStyle w:val="Dot-points"/>
        <w:tabs>
          <w:tab w:val="clear" w:pos="926"/>
          <w:tab w:val="num" w:pos="360"/>
        </w:tabs>
      </w:pPr>
      <w:r w:rsidRPr="00CF4C5A">
        <w:t>pathogenic materials and waste</w:t>
      </w:r>
    </w:p>
    <w:p w:rsidR="00A97702" w:rsidRDefault="00A97702" w:rsidP="00A97702">
      <w:pPr>
        <w:pStyle w:val="Dot-points"/>
        <w:tabs>
          <w:tab w:val="clear" w:pos="926"/>
          <w:tab w:val="num" w:pos="360"/>
        </w:tabs>
      </w:pPr>
      <w:r>
        <w:t>explosive gas mixtures.</w:t>
      </w:r>
    </w:p>
    <w:p w:rsidR="00A97702" w:rsidRDefault="00A97702" w:rsidP="00A97702">
      <w:r>
        <w:t>In situations where these materials occur on a site under assessment, guidance should be sought from the relevant jurisdictional environmental or health authority for assessment requirements. While the general principles of site assessment are applicable to these contamination types, compliance with specialised safety protocols and assessment guidance is essential to ensure protection of human health and the environment.</w:t>
      </w:r>
    </w:p>
    <w:p w:rsidR="00A97702" w:rsidRDefault="00A97702" w:rsidP="00A97702">
      <w:pPr>
        <w:pStyle w:val="Heading2"/>
      </w:pPr>
      <w:bookmarkStart w:id="5" w:name="_Toc351712010"/>
      <w:r>
        <w:t>Acute hazards</w:t>
      </w:r>
      <w:bookmarkEnd w:id="5"/>
    </w:p>
    <w:p w:rsidR="00A97702" w:rsidRPr="00AD6C97" w:rsidRDefault="00A97702" w:rsidP="00A97702">
      <w:pPr>
        <w:pStyle w:val="text"/>
        <w:pBdr>
          <w:top w:val="single" w:sz="12" w:space="6" w:color="auto"/>
          <w:left w:val="single" w:sz="12" w:space="4" w:color="auto"/>
          <w:bottom w:val="single" w:sz="12" w:space="6" w:color="auto"/>
          <w:right w:val="single" w:sz="12" w:space="4" w:color="auto"/>
        </w:pBdr>
        <w:jc w:val="center"/>
        <w:rPr>
          <w:b/>
          <w:szCs w:val="22"/>
        </w:rPr>
      </w:pPr>
      <w:r w:rsidRPr="00AD6C97">
        <w:rPr>
          <w:b/>
          <w:szCs w:val="22"/>
        </w:rPr>
        <w:t>Risk of explosion or other acute exposure hazards should be addressed immediately and are not within the scope of this guidance document.</w:t>
      </w:r>
    </w:p>
    <w:p w:rsidR="00A97702" w:rsidRDefault="00A97702" w:rsidP="00A97702">
      <w:r>
        <w:t xml:space="preserve">Health effects can be broadly separated into acute and chronic effects. The distinction between acute and chronic exposure relates to the duration of exposure and the timing of onset of any health effects. </w:t>
      </w:r>
      <w:r>
        <w:lastRenderedPageBreak/>
        <w:t>Acute health effects occur within minutes, hours or days of a relatively short period of exposure, while chronic health effects occur as a result of prolonged or repeated exposures over many days, months or years and sympto</w:t>
      </w:r>
      <w:r w:rsidR="00FD4A57">
        <w:t>ms may not be readily apparent.</w:t>
      </w:r>
    </w:p>
    <w:p w:rsidR="00A97702" w:rsidRDefault="00A97702" w:rsidP="00A97702">
      <w:r>
        <w:t>Most contaminated land assessments will be focussed on chronic health effects; however, some sites may pose acute risks. Assessment of sites with petroleum hydrocarbon contamination will need to consider the potential for acute health risks and the risk of fire and explosion from the presence of light non aqueous phase liquids (LNAPLs).</w:t>
      </w:r>
    </w:p>
    <w:p w:rsidR="00A97702" w:rsidRPr="00AD6C97" w:rsidRDefault="00A97702" w:rsidP="00A97702">
      <w:pPr>
        <w:pStyle w:val="text"/>
        <w:pBdr>
          <w:top w:val="single" w:sz="12" w:space="6" w:color="auto"/>
          <w:left w:val="single" w:sz="12" w:space="4" w:color="auto"/>
          <w:bottom w:val="single" w:sz="12" w:space="6" w:color="auto"/>
          <w:right w:val="single" w:sz="12" w:space="4" w:color="auto"/>
        </w:pBdr>
        <w:jc w:val="center"/>
        <w:rPr>
          <w:b/>
          <w:szCs w:val="22"/>
        </w:rPr>
      </w:pPr>
      <w:r w:rsidRPr="00AD6C97">
        <w:rPr>
          <w:b/>
          <w:szCs w:val="22"/>
        </w:rPr>
        <w:t>Work health and safety issues should be considered for all sites and managed according to national and jurisdictional legislative requirements.</w:t>
      </w:r>
    </w:p>
    <w:p w:rsidR="00A97702" w:rsidRDefault="00A97702" w:rsidP="00A97702">
      <w:pPr>
        <w:pStyle w:val="Heading2"/>
      </w:pPr>
      <w:bookmarkStart w:id="6" w:name="_Toc351712011"/>
      <w:r>
        <w:t>Mineralised areas</w:t>
      </w:r>
      <w:bookmarkEnd w:id="6"/>
    </w:p>
    <w:p w:rsidR="00A97702" w:rsidRDefault="00A97702" w:rsidP="00A97702">
      <w:r>
        <w:t>High levels of metals, metalloids and asbestos can be associated with ore bodies. Soils in mining areas may contain elevated levels of these materials due to natural mineralisation. Some urban areas may be affected by asbestos and various elements including lead, copper, zinc, cadmium and arsenic from the ore bodies, as well as activities associated with mining, smeltin</w:t>
      </w:r>
      <w:r w:rsidR="00FD4A57">
        <w:t>g and metallurgical industries.</w:t>
      </w:r>
    </w:p>
    <w:p w:rsidR="00FF4FD0" w:rsidRDefault="00FF4FD0" w:rsidP="00A97702"/>
    <w:p w:rsidR="00A97702" w:rsidRDefault="00A97702" w:rsidP="00A97702">
      <w:pPr>
        <w:rPr>
          <w:noProof/>
        </w:rPr>
      </w:pPr>
      <w:r>
        <w:rPr>
          <w:noProof/>
        </w:rPr>
        <w:t>Due to the health concerns associated with asbestos, affected areas should be effectively managed in the short and long term. Naturally occuring asbestos is most likely encountered during exploration and mining operations. Management measures similar to those for free fibre usually apply.</w:t>
      </w:r>
    </w:p>
    <w:p w:rsidR="00FF4FD0" w:rsidRDefault="00FF4FD0" w:rsidP="00A97702"/>
    <w:p w:rsidR="00A97702" w:rsidRDefault="00A97702" w:rsidP="00A97702">
      <w:r>
        <w:t xml:space="preserve">These environments may require specific prevention measures and community awareness programs when human settlement has occurred, to enable appropriate precautions to be taken (for example, preventing the use of potentially contaminated soil or fill from a mining site for growing vegetables in the home garden, constructing driveways or filling private land and publicly accessible areas). Public information about preventing exposure to mineralised or contaminated soil is an essential component of public health programs to minimise community </w:t>
      </w:r>
      <w:r w:rsidR="00FD4A57">
        <w:t>exposure to these contaminants.</w:t>
      </w:r>
    </w:p>
    <w:p w:rsidR="00FF4FD0" w:rsidRDefault="00FF4FD0" w:rsidP="00A97702"/>
    <w:p w:rsidR="00A97702" w:rsidRDefault="00A97702" w:rsidP="00A97702">
      <w:r>
        <w:t>Depending on the nature of the contaminants associated with the mining (or quarrying) activity, contaminated soil may be only one of a number of exposure pathways. Local health issues may be more effectively targeted by monitoring key community health parameters such as blood lead or by environmental monitoring of ambient air quality and dust.</w:t>
      </w:r>
    </w:p>
    <w:p w:rsidR="00A97702" w:rsidRDefault="00A97702" w:rsidP="00A97702">
      <w:pPr>
        <w:pStyle w:val="Heading1"/>
      </w:pPr>
      <w:bookmarkStart w:id="7" w:name="_Toc351712012"/>
      <w:r>
        <w:lastRenderedPageBreak/>
        <w:t>Derivation of investigation and screening levels</w:t>
      </w:r>
      <w:bookmarkEnd w:id="7"/>
    </w:p>
    <w:p w:rsidR="00A97702" w:rsidRDefault="00A97702" w:rsidP="00A97702">
      <w:pPr>
        <w:pStyle w:val="Heading2"/>
      </w:pPr>
      <w:bookmarkStart w:id="8" w:name="_Toc351712013"/>
      <w:r>
        <w:t>Introduction</w:t>
      </w:r>
      <w:bookmarkEnd w:id="8"/>
    </w:p>
    <w:p w:rsidR="00A97702" w:rsidRDefault="00A97702" w:rsidP="00A97702">
      <w:r w:rsidRPr="00E72970">
        <w:t xml:space="preserve">The purpose of this </w:t>
      </w:r>
      <w:r>
        <w:t>Schedule</w:t>
      </w:r>
      <w:r w:rsidRPr="00E72970">
        <w:t xml:space="preserve"> is to describe soil</w:t>
      </w:r>
      <w:r>
        <w:t>, soil vapour</w:t>
      </w:r>
      <w:r w:rsidRPr="00E72970">
        <w:t xml:space="preserve"> and groundwater criteria that can be used to </w:t>
      </w:r>
      <w:r>
        <w:t>evaluate</w:t>
      </w:r>
      <w:r w:rsidRPr="00E72970">
        <w:t xml:space="preserve"> potential risks to human health and ecosystems from site contamination</w:t>
      </w:r>
      <w:r>
        <w:t>. Investigation and screening l</w:t>
      </w:r>
      <w:r w:rsidRPr="00E72970">
        <w:t xml:space="preserve">evels are provided </w:t>
      </w:r>
      <w:r>
        <w:t xml:space="preserve">for </w:t>
      </w:r>
      <w:r w:rsidRPr="00E72970">
        <w:t xml:space="preserve">commonly encountered contaminants </w:t>
      </w:r>
      <w:r>
        <w:t>which are applicable to generic</w:t>
      </w:r>
      <w:r w:rsidRPr="00E72970">
        <w:t xml:space="preserve"> land use</w:t>
      </w:r>
      <w:r>
        <w:t xml:space="preserve"> scenario</w:t>
      </w:r>
      <w:r w:rsidRPr="00E72970">
        <w:t xml:space="preserve">s and </w:t>
      </w:r>
      <w:r>
        <w:t xml:space="preserve">include </w:t>
      </w:r>
      <w:r w:rsidRPr="00E72970">
        <w:t>consider</w:t>
      </w:r>
      <w:r>
        <w:t>ation of, where possible,</w:t>
      </w:r>
      <w:r w:rsidRPr="00E72970">
        <w:t xml:space="preserve"> the soil type </w:t>
      </w:r>
      <w:r w:rsidR="00FD4A57">
        <w:t>and the depth of contamination.</w:t>
      </w:r>
    </w:p>
    <w:p w:rsidR="00FF4FD0" w:rsidRDefault="00FF4FD0" w:rsidP="00A97702"/>
    <w:p w:rsidR="00A97702" w:rsidRDefault="00A97702" w:rsidP="00A97702">
      <w:r w:rsidRPr="005B32EA">
        <w:t>Investigation levels and screening levels are applicable to the first stage of site assessment. The selection and use of investigation and screening levels should be considered in the context of the iterative development of a conceptual site model (CSM) (refer Schedule B2 Section 4) to ensure appropriate evaluation of hu</w:t>
      </w:r>
      <w:r w:rsidR="00FD4A57">
        <w:t>man health and ecosystem risks.</w:t>
      </w:r>
    </w:p>
    <w:p w:rsidR="00FF4FD0" w:rsidRPr="005B32EA" w:rsidRDefault="00FF4FD0" w:rsidP="00A97702"/>
    <w:p w:rsidR="00A97702" w:rsidRDefault="00A97702" w:rsidP="00A97702">
      <w:pPr>
        <w:rPr>
          <w:rFonts w:cs="Courier New"/>
        </w:rPr>
      </w:pPr>
      <w:r w:rsidRPr="003172D9">
        <w:rPr>
          <w:rFonts w:cs="Courier New"/>
        </w:rPr>
        <w:t xml:space="preserve">Site assessment </w:t>
      </w:r>
      <w:r>
        <w:rPr>
          <w:rFonts w:cs="Courier New"/>
        </w:rPr>
        <w:t>should</w:t>
      </w:r>
      <w:r w:rsidRPr="003172D9">
        <w:rPr>
          <w:rFonts w:cs="Courier New"/>
        </w:rPr>
        <w:t xml:space="preserve"> include </w:t>
      </w:r>
      <w:r>
        <w:rPr>
          <w:rFonts w:cs="Courier New"/>
        </w:rPr>
        <w:t xml:space="preserve">consideration of all relevant human exposure pathways, </w:t>
      </w:r>
      <w:r w:rsidRPr="003172D9">
        <w:rPr>
          <w:rFonts w:cs="Courier New"/>
        </w:rPr>
        <w:t>ecological risk</w:t>
      </w:r>
      <w:r>
        <w:rPr>
          <w:rFonts w:cs="Courier New"/>
        </w:rPr>
        <w:t>s and risk to groundwater resources.</w:t>
      </w:r>
    </w:p>
    <w:p w:rsidR="00A97702" w:rsidRDefault="00A97702" w:rsidP="00A97702">
      <w:pPr>
        <w:pStyle w:val="Heading3"/>
        <w:ind w:left="720" w:hanging="720"/>
      </w:pPr>
      <w:bookmarkStart w:id="9" w:name="_Toc351712014"/>
      <w:r>
        <w:t>Definitions</w:t>
      </w:r>
      <w:bookmarkEnd w:id="9"/>
    </w:p>
    <w:p w:rsidR="00A97702" w:rsidRDefault="00A97702" w:rsidP="00A97702">
      <w:r w:rsidRPr="00B728C4">
        <w:rPr>
          <w:b/>
        </w:rPr>
        <w:t>Investigation levels</w:t>
      </w:r>
      <w:r w:rsidRPr="00B728C4">
        <w:t xml:space="preserve"> and </w:t>
      </w:r>
      <w:r w:rsidRPr="00B728C4">
        <w:rPr>
          <w:b/>
        </w:rPr>
        <w:t>screening levels</w:t>
      </w:r>
      <w:r w:rsidRPr="00B728C4">
        <w:t xml:space="preserve"> are the concentrations of a contaminant above which further appropriate investigation a</w:t>
      </w:r>
      <w:r w:rsidR="00FD4A57">
        <w:t>nd evaluation will be required.</w:t>
      </w:r>
    </w:p>
    <w:p w:rsidR="00FF4FD0" w:rsidRDefault="00FF4FD0" w:rsidP="00A97702"/>
    <w:p w:rsidR="00A97702" w:rsidRDefault="00A97702" w:rsidP="00A97702">
      <w:r w:rsidRPr="00B728C4">
        <w:t xml:space="preserve">Investigation and screening levels provide the basis of Tier 1 risk assessment. A Tier 1 assessment is a risk-based analysis comparing site data with </w:t>
      </w:r>
      <w:r>
        <w:t xml:space="preserve">generic </w:t>
      </w:r>
      <w:r w:rsidRPr="00B728C4">
        <w:t xml:space="preserve">investigation and screening levels for various land uses to determine the need for further assessment or development of an appropriate management strategy. </w:t>
      </w:r>
      <w:r>
        <w:t>The application of i</w:t>
      </w:r>
      <w:r w:rsidRPr="00B728C4">
        <w:t xml:space="preserve">nvestigation and screening levels </w:t>
      </w:r>
      <w:r>
        <w:t>is subject to a range of limitations</w:t>
      </w:r>
      <w:r w:rsidRPr="00B728C4">
        <w:t>.</w:t>
      </w:r>
    </w:p>
    <w:p w:rsidR="00FF4FD0" w:rsidRDefault="00FF4FD0" w:rsidP="00A97702"/>
    <w:p w:rsidR="00A97702" w:rsidRDefault="00A97702" w:rsidP="00A97702">
      <w:r w:rsidRPr="005A3404">
        <w:rPr>
          <w:b/>
        </w:rPr>
        <w:t>Ecological investigation levels (EILs</w:t>
      </w:r>
      <w:r w:rsidRPr="00755E1C">
        <w:t xml:space="preserve">) </w:t>
      </w:r>
      <w:r>
        <w:t xml:space="preserve">have been developed for selected metals and organic substances and are applicable for assessing risk to terrestrial ecosystems. EILs </w:t>
      </w:r>
      <w:r w:rsidRPr="00755E1C">
        <w:t>depend on specific soil physicochemical properties and land use scenarios and generally apply to the top 2</w:t>
      </w:r>
      <w:r>
        <w:t xml:space="preserve"> </w:t>
      </w:r>
      <w:r w:rsidRPr="00755E1C">
        <w:t>m of soil.</w:t>
      </w:r>
      <w:r>
        <w:t xml:space="preserve"> Further detail is provided in Section </w:t>
      </w:r>
      <w:r w:rsidRPr="00AC1F7C">
        <w:t>2.5</w:t>
      </w:r>
      <w:r>
        <w:t xml:space="preserve"> and Schedule B5.</w:t>
      </w:r>
    </w:p>
    <w:p w:rsidR="00FF4FD0" w:rsidRDefault="00FF4FD0" w:rsidP="00A97702"/>
    <w:p w:rsidR="00A97702" w:rsidRDefault="00A97702" w:rsidP="00A97702">
      <w:r w:rsidRPr="005A3404">
        <w:rPr>
          <w:b/>
        </w:rPr>
        <w:t>Ecological screening levels (ESLs)</w:t>
      </w:r>
      <w:r w:rsidRPr="00755E1C">
        <w:t xml:space="preserve"> </w:t>
      </w:r>
      <w:r>
        <w:t>have been developed for selected</w:t>
      </w:r>
      <w:r w:rsidRPr="00755E1C">
        <w:t xml:space="preserve"> petroleum hydrocarbon </w:t>
      </w:r>
      <w:r>
        <w:t>compounds and total petroleum hydrocarbon (TPH) fractions and are applicable for assessing risk to terrestrial ecosystems. ESLs</w:t>
      </w:r>
      <w:r w:rsidRPr="00755E1C">
        <w:t xml:space="preserve"> broadly apply to coarse</w:t>
      </w:r>
      <w:r>
        <w:t>-</w:t>
      </w:r>
      <w:r w:rsidRPr="00755E1C">
        <w:t xml:space="preserve"> and fine</w:t>
      </w:r>
      <w:r>
        <w:t>-</w:t>
      </w:r>
      <w:r w:rsidRPr="00755E1C">
        <w:t>grained soils and various land uses</w:t>
      </w:r>
      <w:r>
        <w:t xml:space="preserve">. </w:t>
      </w:r>
      <w:r w:rsidRPr="00755E1C">
        <w:t xml:space="preserve">They are </w:t>
      </w:r>
      <w:r>
        <w:t xml:space="preserve">generally </w:t>
      </w:r>
      <w:r w:rsidRPr="00755E1C">
        <w:t xml:space="preserve">applicable to the top </w:t>
      </w:r>
      <w:r>
        <w:t xml:space="preserve">2 </w:t>
      </w:r>
      <w:r w:rsidRPr="00755E1C">
        <w:t>m of soil.</w:t>
      </w:r>
      <w:r w:rsidRPr="00613F29">
        <w:t xml:space="preserve"> </w:t>
      </w:r>
      <w:r>
        <w:t>Further detail on their use is provided in Section 2.6 and Warne (2010a, 2010b), avail</w:t>
      </w:r>
      <w:r w:rsidR="00FD4A57">
        <w:t>able from the ASC NEPM Toolbox.</w:t>
      </w:r>
    </w:p>
    <w:p w:rsidR="00FF4FD0" w:rsidRDefault="00FF4FD0" w:rsidP="00A97702"/>
    <w:p w:rsidR="00A97702" w:rsidRDefault="00A97702" w:rsidP="00A97702">
      <w:r w:rsidRPr="009B3230">
        <w:rPr>
          <w:b/>
        </w:rPr>
        <w:t>Groundwater investigation level</w:t>
      </w:r>
      <w:r>
        <w:rPr>
          <w:b/>
        </w:rPr>
        <w:t>s</w:t>
      </w:r>
      <w:r w:rsidRPr="009B3230">
        <w:rPr>
          <w:b/>
        </w:rPr>
        <w:t xml:space="preserve"> (GIL</w:t>
      </w:r>
      <w:r>
        <w:rPr>
          <w:b/>
        </w:rPr>
        <w:t>s</w:t>
      </w:r>
      <w:r w:rsidRPr="009B3230">
        <w:rPr>
          <w:b/>
        </w:rPr>
        <w:t>)</w:t>
      </w:r>
      <w:r w:rsidRPr="009B3230">
        <w:rPr>
          <w:rFonts w:ascii="Arial" w:hAnsi="Arial"/>
        </w:rPr>
        <w:t xml:space="preserve"> </w:t>
      </w:r>
      <w:r>
        <w:t>are</w:t>
      </w:r>
      <w:r w:rsidRPr="009B3230">
        <w:t xml:space="preserve"> the</w:t>
      </w:r>
      <w:r w:rsidRPr="009B3230">
        <w:rPr>
          <w:rFonts w:ascii="Arial" w:hAnsi="Arial"/>
        </w:rPr>
        <w:t xml:space="preserve"> </w:t>
      </w:r>
      <w:r w:rsidRPr="009B3230">
        <w:t>concentration</w:t>
      </w:r>
      <w:r>
        <w:t>s</w:t>
      </w:r>
      <w:r w:rsidRPr="009B3230">
        <w:t xml:space="preserve"> of a </w:t>
      </w:r>
      <w:r>
        <w:t>contaminant</w:t>
      </w:r>
      <w:r w:rsidRPr="009B3230">
        <w:t xml:space="preserve"> </w:t>
      </w:r>
      <w:r>
        <w:t>in groundwater above</w:t>
      </w:r>
      <w:r w:rsidRPr="009B3230">
        <w:t xml:space="preserve"> which further investigation (point of extraction) or a response (point of use) is required. GILs are based on Australian water quality guidelines and drinking water guidelines</w:t>
      </w:r>
      <w:r>
        <w:t xml:space="preserve"> and are applicable for assessing human health risk and ecological risk from direct contact (including consumption) with groundwater</w:t>
      </w:r>
      <w:r w:rsidRPr="009B3230">
        <w:t>.</w:t>
      </w:r>
      <w:r w:rsidRPr="00613F29">
        <w:t xml:space="preserve"> </w:t>
      </w:r>
      <w:r>
        <w:t>Further information is provided in Section 2.8 and Schedule B6.</w:t>
      </w:r>
    </w:p>
    <w:p w:rsidR="00FF4FD0" w:rsidRDefault="00FF4FD0" w:rsidP="00A97702"/>
    <w:p w:rsidR="00A97702" w:rsidRDefault="00A97702" w:rsidP="00A97702">
      <w:r w:rsidRPr="005A3404">
        <w:rPr>
          <w:b/>
        </w:rPr>
        <w:t>Health investigation levels (HILs)</w:t>
      </w:r>
      <w:r w:rsidRPr="00755E1C">
        <w:t xml:space="preserve"> </w:t>
      </w:r>
      <w:r>
        <w:t xml:space="preserve">have been developed for a broad range of metals and organic substances. The HILs are applicable for assessing human health risk via all relevant pathways of exposure. The HILs </w:t>
      </w:r>
      <w:r w:rsidRPr="00755E1C">
        <w:t xml:space="preserve">are generic </w:t>
      </w:r>
      <w:r>
        <w:t xml:space="preserve">to all soil </w:t>
      </w:r>
      <w:r w:rsidRPr="00384EE5">
        <w:t>types</w:t>
      </w:r>
      <w:r>
        <w:t xml:space="preserve"> </w:t>
      </w:r>
      <w:r w:rsidRPr="00755E1C">
        <w:t>and apply generally to a depth of 3</w:t>
      </w:r>
      <w:r>
        <w:t xml:space="preserve"> </w:t>
      </w:r>
      <w:r w:rsidRPr="00755E1C">
        <w:t xml:space="preserve">m below </w:t>
      </w:r>
      <w:r>
        <w:t xml:space="preserve">the </w:t>
      </w:r>
      <w:r w:rsidRPr="00755E1C">
        <w:t>surface</w:t>
      </w:r>
      <w:r>
        <w:t xml:space="preserve"> for residential use</w:t>
      </w:r>
      <w:r w:rsidRPr="00755E1C">
        <w:t>.</w:t>
      </w:r>
      <w:r w:rsidRPr="00613F29">
        <w:t xml:space="preserve"> </w:t>
      </w:r>
      <w:r w:rsidRPr="00B20B39">
        <w:t>Site-specific conditions should determine the depth to which HILs apply for other land uses</w:t>
      </w:r>
      <w:r>
        <w:t>. Further detail is provided in Section 2.2 and Schedules B4 and B7.</w:t>
      </w:r>
    </w:p>
    <w:p w:rsidR="00FF4FD0" w:rsidRDefault="00FF4FD0" w:rsidP="00A97702"/>
    <w:p w:rsidR="00A97702" w:rsidRDefault="00A97702" w:rsidP="00A97702">
      <w:r w:rsidRPr="00773169">
        <w:rPr>
          <w:b/>
        </w:rPr>
        <w:t>Interim</w:t>
      </w:r>
      <w:r w:rsidRPr="00773169">
        <w:t xml:space="preserve"> </w:t>
      </w:r>
      <w:r w:rsidRPr="00E85A21">
        <w:rPr>
          <w:b/>
        </w:rPr>
        <w:t>soil vapour</w:t>
      </w:r>
      <w:r w:rsidRPr="00773169">
        <w:t xml:space="preserve"> </w:t>
      </w:r>
      <w:r>
        <w:rPr>
          <w:b/>
        </w:rPr>
        <w:t>h</w:t>
      </w:r>
      <w:r w:rsidRPr="00773169">
        <w:rPr>
          <w:b/>
        </w:rPr>
        <w:t xml:space="preserve">ealth investigation levels </w:t>
      </w:r>
      <w:r>
        <w:rPr>
          <w:b/>
        </w:rPr>
        <w:t xml:space="preserve">(interim HILs) </w:t>
      </w:r>
      <w:r w:rsidRPr="00773169">
        <w:t>have been developed for</w:t>
      </w:r>
      <w:r w:rsidRPr="00773169">
        <w:rPr>
          <w:b/>
        </w:rPr>
        <w:t xml:space="preserve"> </w:t>
      </w:r>
      <w:r w:rsidRPr="00E85A21">
        <w:t>selected</w:t>
      </w:r>
      <w:r w:rsidRPr="00773169">
        <w:rPr>
          <w:b/>
        </w:rPr>
        <w:t xml:space="preserve"> </w:t>
      </w:r>
      <w:r w:rsidRPr="00773169">
        <w:t>volatile organic chlorinated compounds</w:t>
      </w:r>
      <w:r>
        <w:t xml:space="preserve"> (VOCCs) and are applicable to assessing human health risk by the inhalational pathway</w:t>
      </w:r>
      <w:r w:rsidRPr="00773169">
        <w:t>.</w:t>
      </w:r>
      <w:r>
        <w:t xml:space="preserve">  They have interim status pending further scientific work on volatile gas modelling from the sub-surface to building interiors for chlorinated compounds.</w:t>
      </w:r>
      <w:r w:rsidRPr="00613F29">
        <w:t xml:space="preserve"> </w:t>
      </w:r>
      <w:r>
        <w:t xml:space="preserve">Further detail on their use is provided in Section </w:t>
      </w:r>
      <w:r w:rsidRPr="00AC1F7C">
        <w:t>2.</w:t>
      </w:r>
      <w:r>
        <w:t>3 and Schedule B4.</w:t>
      </w:r>
    </w:p>
    <w:p w:rsidR="00FF4FD0" w:rsidRDefault="00FF4FD0" w:rsidP="00A97702"/>
    <w:p w:rsidR="00A97702" w:rsidRDefault="00A97702" w:rsidP="00A97702">
      <w:r w:rsidRPr="005A3404">
        <w:rPr>
          <w:b/>
        </w:rPr>
        <w:t>Health screening levels (HSLs)</w:t>
      </w:r>
      <w:r w:rsidRPr="00755E1C">
        <w:t xml:space="preserve"> </w:t>
      </w:r>
      <w:r>
        <w:t xml:space="preserve">have been developed for selected petroleum compounds and fractions and are applicable to assessing human health risk via the inhalation and direct contact pathways. The HSLs </w:t>
      </w:r>
      <w:r w:rsidRPr="00755E1C">
        <w:t xml:space="preserve">depend on </w:t>
      </w:r>
      <w:r>
        <w:t xml:space="preserve">specific soil </w:t>
      </w:r>
      <w:r w:rsidRPr="00755E1C">
        <w:t>physicochemical properties</w:t>
      </w:r>
      <w:r>
        <w:t>, land use scenarios,</w:t>
      </w:r>
      <w:r w:rsidRPr="00755E1C">
        <w:t xml:space="preserve"> and the characteristics of building structures</w:t>
      </w:r>
      <w:r>
        <w:t xml:space="preserve">. </w:t>
      </w:r>
      <w:r w:rsidRPr="00755E1C">
        <w:t>They apply to different soil types, and depths below surface to &gt;4</w:t>
      </w:r>
      <w:r>
        <w:t xml:space="preserve"> </w:t>
      </w:r>
      <w:r w:rsidRPr="00755E1C">
        <w:t>m</w:t>
      </w:r>
      <w:r>
        <w:t>. Further detail on their use is provided in Section 2.4 and Friebel and Nadebaum (2011a, 20</w:t>
      </w:r>
      <w:r w:rsidR="00FD4A57">
        <w:t>11b &amp; 2011c).</w:t>
      </w:r>
    </w:p>
    <w:p w:rsidR="00FF4FD0" w:rsidRDefault="00FF4FD0" w:rsidP="00A97702"/>
    <w:p w:rsidR="00A97702" w:rsidRDefault="00A97702" w:rsidP="00A97702">
      <w:r>
        <w:rPr>
          <w:b/>
        </w:rPr>
        <w:t>‘</w:t>
      </w:r>
      <w:r w:rsidRPr="0029479F">
        <w:rPr>
          <w:b/>
        </w:rPr>
        <w:t>Petroleum hydrocarbon</w:t>
      </w:r>
      <w:r>
        <w:t xml:space="preserve"> </w:t>
      </w:r>
      <w:r w:rsidRPr="002161E7">
        <w:rPr>
          <w:b/>
        </w:rPr>
        <w:t>management limits’</w:t>
      </w:r>
      <w:r w:rsidRPr="00755E1C">
        <w:t xml:space="preserve"> </w:t>
      </w:r>
      <w:r>
        <w:t>(</w:t>
      </w:r>
      <w:r w:rsidRPr="0029479F">
        <w:rPr>
          <w:b/>
        </w:rPr>
        <w:t>‘management limits’</w:t>
      </w:r>
      <w:r>
        <w:t xml:space="preserve">) are applicable to petroleum hydrocarbon compounds only. They are applicable as screening levels following evaluation of human health and ecological risks and risks to groundwater resources.  They are relevant for operating sites where significant sub-surface leakage of petroleum compounds has occurred and when decommissioning industrial and commercial sites.  Further detail on their use is provided in Section </w:t>
      </w:r>
      <w:r w:rsidRPr="00AC1F7C">
        <w:t>2.</w:t>
      </w:r>
      <w:r>
        <w:t>9, including factors to be considered in determining the depth to which they apply.</w:t>
      </w:r>
    </w:p>
    <w:p w:rsidR="00A97702" w:rsidRDefault="00A97702" w:rsidP="00A97702">
      <w:pPr>
        <w:pStyle w:val="Heading3"/>
        <w:ind w:left="720" w:hanging="720"/>
      </w:pPr>
      <w:bookmarkStart w:id="10" w:name="_Toc351712015"/>
      <w:r>
        <w:t>Inappropriate use of investigation levels and screening levels</w:t>
      </w:r>
      <w:bookmarkEnd w:id="10"/>
    </w:p>
    <w:p w:rsidR="00A97702" w:rsidRDefault="00A97702" w:rsidP="00A97702">
      <w:r>
        <w:t>Investigation and screening levels are not clean-up or response levels nor are they desirable soil quality criteria. Investigation and screening levels are intended for assessing existing contamination and to trigger consideration of an appropriate site-specific risk-based approach or appropriate risk management options when they are exceeded. The use of these levels in regulating emissions and application of wastes to soil is inappropriate.</w:t>
      </w:r>
    </w:p>
    <w:p w:rsidR="00FF4FD0" w:rsidRDefault="00FF4FD0" w:rsidP="00A97702"/>
    <w:p w:rsidR="00A97702" w:rsidRDefault="00A97702" w:rsidP="00A97702">
      <w:r>
        <w:t>The use of investigation and screening levels as default remediation criteria may result in unnecessary remediation and increased development costs, unnecessary disturbance to the site and local environment, and potential waste of valuable landfill space. Similarly, the inclusion of an investigation and screening level in this guidance should not be interpreted as condoning discharg</w:t>
      </w:r>
      <w:r w:rsidR="00FD4A57">
        <w:t>es of waste up to these levels.</w:t>
      </w:r>
    </w:p>
    <w:p w:rsidR="00A97702" w:rsidRDefault="00A97702" w:rsidP="00A97702">
      <w:pPr>
        <w:pStyle w:val="Heading2"/>
      </w:pPr>
      <w:bookmarkStart w:id="11" w:name="_Toc351712016"/>
      <w:r w:rsidRPr="00691771">
        <w:t xml:space="preserve">Health </w:t>
      </w:r>
      <w:r>
        <w:t>i</w:t>
      </w:r>
      <w:r w:rsidRPr="00691771">
        <w:t xml:space="preserve">nvestigation </w:t>
      </w:r>
      <w:r>
        <w:t>l</w:t>
      </w:r>
      <w:r w:rsidRPr="00691771">
        <w:t>evels</w:t>
      </w:r>
      <w:bookmarkEnd w:id="11"/>
    </w:p>
    <w:p w:rsidR="00A97702" w:rsidRDefault="00A97702" w:rsidP="00A97702">
      <w:pPr>
        <w:rPr>
          <w:szCs w:val="22"/>
        </w:rPr>
      </w:pPr>
      <w:r w:rsidRPr="00484E36">
        <w:t>The health risk assessment methodology that forms the basis for calculation of HILs is provided in Schedule B4</w:t>
      </w:r>
      <w:r>
        <w:t>. The</w:t>
      </w:r>
      <w:r w:rsidRPr="00484E36">
        <w:t xml:space="preserve"> deriv</w:t>
      </w:r>
      <w:r>
        <w:t>ation of</w:t>
      </w:r>
      <w:r w:rsidRPr="00484E36">
        <w:t xml:space="preserve"> </w:t>
      </w:r>
      <w:r>
        <w:t xml:space="preserve">the </w:t>
      </w:r>
      <w:r w:rsidRPr="00484E36">
        <w:t xml:space="preserve">HILs </w:t>
      </w:r>
      <w:r>
        <w:t>is</w:t>
      </w:r>
      <w:r w:rsidRPr="00484E36">
        <w:t xml:space="preserve"> presented in Schedule B7</w:t>
      </w:r>
      <w:r>
        <w:t xml:space="preserve"> (and </w:t>
      </w:r>
      <w:r w:rsidRPr="005C1125">
        <w:t xml:space="preserve">appendices) and uses the </w:t>
      </w:r>
      <w:r w:rsidRPr="005C1125">
        <w:rPr>
          <w:i/>
        </w:rPr>
        <w:t>Australian exposure factor guidance</w:t>
      </w:r>
      <w:r w:rsidRPr="005C1125">
        <w:t xml:space="preserve"> (enHealth 2012). The derivation of the HILs is illustrated by two worked examples for cadmium and benzo(a)pyrene (refer Schedule B7 Appendix B). The spreadsheet for calculating HILs is included in the ASC NEPM Toolbox (</w:t>
      </w:r>
      <w:hyperlink r:id="rId17" w:history="1">
        <w:r w:rsidR="00DA192E">
          <w:rPr>
            <w:rStyle w:val="Hyperlink"/>
            <w:rFonts w:ascii="Calibri" w:hAnsi="Calibri" w:cs="Calibri"/>
            <w:szCs w:val="22"/>
          </w:rPr>
          <w:t>www.scew.gov.au/nepms/assessment-of-site-contamination.html</w:t>
        </w:r>
      </w:hyperlink>
      <w:r w:rsidRPr="005C1125">
        <w:rPr>
          <w:szCs w:val="22"/>
        </w:rPr>
        <w:t>).</w:t>
      </w:r>
    </w:p>
    <w:p w:rsidR="00FF4FD0" w:rsidRPr="005C1125" w:rsidRDefault="00FF4FD0" w:rsidP="00A97702">
      <w:pPr>
        <w:rPr>
          <w:szCs w:val="22"/>
        </w:rPr>
      </w:pPr>
    </w:p>
    <w:p w:rsidR="00A97702" w:rsidRDefault="00A97702" w:rsidP="00A97702">
      <w:r w:rsidRPr="005C1125">
        <w:t>The HILs are listed in Table 1A(1), fou</w:t>
      </w:r>
      <w:r w:rsidR="00FD4A57">
        <w:t>nd at the end of this Schedule.</w:t>
      </w:r>
    </w:p>
    <w:p w:rsidR="00FF4FD0" w:rsidRPr="005C1125" w:rsidRDefault="00FF4FD0" w:rsidP="00A97702"/>
    <w:p w:rsidR="00A97702" w:rsidRDefault="00A97702" w:rsidP="00A97702">
      <w:r w:rsidRPr="005C1125">
        <w:t>HILs are scientifically based, generic assessment criteria designed to be used in the first stage (Tier 1 or ‘screening’) of an assessment of potential risks to human health from chronic exposure to contaminants. They are intentionally conservative and</w:t>
      </w:r>
      <w:r w:rsidRPr="00484E36">
        <w:t xml:space="preserve"> are based on a reasonable worst</w:t>
      </w:r>
      <w:r>
        <w:t>-</w:t>
      </w:r>
      <w:r w:rsidRPr="00484E36">
        <w:t xml:space="preserve">case scenario for </w:t>
      </w:r>
      <w:r>
        <w:t>four generic</w:t>
      </w:r>
      <w:r w:rsidRPr="00484E36">
        <w:t xml:space="preserve"> </w:t>
      </w:r>
      <w:r>
        <w:t>land use</w:t>
      </w:r>
      <w:r w:rsidRPr="00484E36">
        <w:t xml:space="preserve"> settings</w:t>
      </w:r>
      <w:r>
        <w:t xml:space="preserve">: </w:t>
      </w:r>
    </w:p>
    <w:p w:rsidR="00A97702" w:rsidRDefault="00A97702" w:rsidP="00A97702">
      <w:pPr>
        <w:pStyle w:val="Dot-points"/>
        <w:tabs>
          <w:tab w:val="clear" w:pos="926"/>
          <w:tab w:val="num" w:pos="360"/>
        </w:tabs>
      </w:pPr>
      <w:r w:rsidRPr="00A6704C">
        <w:t>HIL A</w:t>
      </w:r>
      <w:r>
        <w:t xml:space="preserve"> </w:t>
      </w:r>
      <w:r>
        <w:sym w:font="Symbol" w:char="F02D"/>
      </w:r>
      <w:r>
        <w:t xml:space="preserve"> </w:t>
      </w:r>
      <w:r w:rsidRPr="00A6704C">
        <w:t>residential with garden/accessible soil (home grown produce &lt;10% fruit and vegetable intake,</w:t>
      </w:r>
      <w:r>
        <w:t xml:space="preserve"> </w:t>
      </w:r>
      <w:r w:rsidRPr="00A6704C">
        <w:t xml:space="preserve">(no poultry), </w:t>
      </w:r>
      <w:r>
        <w:t xml:space="preserve">also </w:t>
      </w:r>
      <w:r w:rsidRPr="00A6704C">
        <w:t>includes children’s day care centres, preschools and primary schools</w:t>
      </w:r>
    </w:p>
    <w:p w:rsidR="00A97702" w:rsidRPr="00A6704C" w:rsidRDefault="00A97702" w:rsidP="00A97702">
      <w:pPr>
        <w:pStyle w:val="Dot-points"/>
        <w:tabs>
          <w:tab w:val="clear" w:pos="926"/>
          <w:tab w:val="num" w:pos="360"/>
        </w:tabs>
      </w:pPr>
      <w:r w:rsidRPr="00A6704C">
        <w:t xml:space="preserve">HIL B </w:t>
      </w:r>
      <w:r>
        <w:sym w:font="Symbol" w:char="F02D"/>
      </w:r>
      <w:r>
        <w:t xml:space="preserve"> r</w:t>
      </w:r>
      <w:r w:rsidRPr="00A6704C">
        <w:t>esidential with minimal opportunities for soil access includes dwellings with fully and permanently paved yard space such as high-rise buildings and flats</w:t>
      </w:r>
    </w:p>
    <w:p w:rsidR="00A97702" w:rsidRPr="00A6704C" w:rsidRDefault="00A97702" w:rsidP="00A97702">
      <w:pPr>
        <w:pStyle w:val="Dot-points"/>
        <w:tabs>
          <w:tab w:val="clear" w:pos="926"/>
          <w:tab w:val="num" w:pos="360"/>
        </w:tabs>
      </w:pPr>
      <w:r w:rsidRPr="00A6704C">
        <w:t>HIL C</w:t>
      </w:r>
      <w:r>
        <w:t xml:space="preserve"> </w:t>
      </w:r>
      <w:r>
        <w:sym w:font="Symbol" w:char="F02D"/>
      </w:r>
      <w:r>
        <w:t xml:space="preserve"> public</w:t>
      </w:r>
      <w:r w:rsidRPr="00A6704C">
        <w:t xml:space="preserve"> open space such as parks, </w:t>
      </w:r>
      <w:r w:rsidRPr="0029479F">
        <w:t>playgrounds</w:t>
      </w:r>
      <w:r w:rsidRPr="006D4B08">
        <w:t>,</w:t>
      </w:r>
      <w:r w:rsidRPr="00A6704C">
        <w:t xml:space="preserve"> playing fields (e.g. ovals), secondary schools and footpaths. </w:t>
      </w:r>
      <w:r>
        <w:t>It d</w:t>
      </w:r>
      <w:r w:rsidRPr="00A6704C">
        <w:t>oes not include undeveloped public open space</w:t>
      </w:r>
      <w:r>
        <w:t xml:space="preserve"> (such as urban bushland and reserves) </w:t>
      </w:r>
      <w:r w:rsidRPr="00A6704C">
        <w:t>which should be subject to a site-specific assessment where appropriate</w:t>
      </w:r>
    </w:p>
    <w:p w:rsidR="00FF4FD0" w:rsidRPr="00A6704C" w:rsidRDefault="00A97702" w:rsidP="00FF4FD0">
      <w:pPr>
        <w:pStyle w:val="Dot-points"/>
        <w:tabs>
          <w:tab w:val="clear" w:pos="926"/>
          <w:tab w:val="num" w:pos="360"/>
        </w:tabs>
      </w:pPr>
      <w:r w:rsidRPr="00A6704C">
        <w:t xml:space="preserve">HIL D </w:t>
      </w:r>
      <w:r>
        <w:sym w:font="Symbol" w:char="F02D"/>
      </w:r>
      <w:r>
        <w:t xml:space="preserve"> c</w:t>
      </w:r>
      <w:r w:rsidRPr="00A6704C">
        <w:t>ommercial/industrial such as shops, offices, factories and industrial sites.</w:t>
      </w:r>
    </w:p>
    <w:p w:rsidR="00A97702" w:rsidRDefault="00A97702" w:rsidP="00A97702">
      <w:r>
        <w:lastRenderedPageBreak/>
        <w:t>The land use scenarios are described in detail in Section 3 of Schedule B7. T</w:t>
      </w:r>
      <w:r w:rsidRPr="00484E36">
        <w:t>o make generic estimates of potential human exposure to soil contaminants, scientifically</w:t>
      </w:r>
      <w:r>
        <w:t xml:space="preserve"> </w:t>
      </w:r>
      <w:r w:rsidRPr="00484E36">
        <w:t xml:space="preserve">based assumptions are made about the environment, human behaviour, the physicochemical characteristics of contaminants, and the fate and transport of contaminants in soil within each of these </w:t>
      </w:r>
      <w:r>
        <w:t>land use</w:t>
      </w:r>
      <w:r w:rsidRPr="00484E36">
        <w:t xml:space="preserve"> categories</w:t>
      </w:r>
      <w:r>
        <w:t xml:space="preserve">. </w:t>
      </w:r>
      <w:r w:rsidRPr="00484E36">
        <w:t>The HILs are derived by integrating these exposure estimates with toxicity reference values</w:t>
      </w:r>
      <w:r>
        <w:t>, that is, t</w:t>
      </w:r>
      <w:r w:rsidRPr="00484E36">
        <w:t xml:space="preserve">olerable </w:t>
      </w:r>
      <w:r>
        <w:t>d</w:t>
      </w:r>
      <w:r w:rsidRPr="00484E36">
        <w:t xml:space="preserve">aily </w:t>
      </w:r>
      <w:r>
        <w:t>i</w:t>
      </w:r>
      <w:r w:rsidRPr="00484E36">
        <w:t xml:space="preserve">ntakes (TDI), </w:t>
      </w:r>
      <w:r>
        <w:t>a</w:t>
      </w:r>
      <w:r w:rsidRPr="00484E36">
        <w:t xml:space="preserve">cceptable </w:t>
      </w:r>
      <w:r>
        <w:t>d</w:t>
      </w:r>
      <w:r w:rsidRPr="00484E36">
        <w:t xml:space="preserve">aily </w:t>
      </w:r>
      <w:r>
        <w:t>i</w:t>
      </w:r>
      <w:r w:rsidRPr="00484E36">
        <w:t>ntakes (ADI),</w:t>
      </w:r>
      <w:r>
        <w:t xml:space="preserve"> and r</w:t>
      </w:r>
      <w:r w:rsidRPr="00484E36">
        <w:t xml:space="preserve">eference </w:t>
      </w:r>
      <w:r>
        <w:t>d</w:t>
      </w:r>
      <w:r w:rsidRPr="00484E36">
        <w:t>oses (RfD)</w:t>
      </w:r>
      <w:r>
        <w:t>,</w:t>
      </w:r>
      <w:r w:rsidRPr="00484E36">
        <w:t xml:space="preserve"> to estimate the soil concentration of a substance that will prevent </w:t>
      </w:r>
      <w:r>
        <w:t>exceede</w:t>
      </w:r>
      <w:r w:rsidRPr="00484E36">
        <w:t>nce of the toxicity reference value under the defined scenario</w:t>
      </w:r>
      <w:r>
        <w:t xml:space="preserve">. </w:t>
      </w:r>
      <w:r w:rsidRPr="00484E36">
        <w:t>The toxicity reference values are generally based on the known most sensitive significant toxicological effect</w:t>
      </w:r>
      <w:r>
        <w:t xml:space="preserve">. </w:t>
      </w:r>
      <w:r w:rsidRPr="00484E36">
        <w:t>Where toxicity reference values come from multiple sources, their underlying assumptions, defaults and science policy should be co</w:t>
      </w:r>
      <w:r w:rsidR="00FD4A57">
        <w:t>mpatible and generally similar.</w:t>
      </w:r>
    </w:p>
    <w:p w:rsidR="00FF4FD0" w:rsidRDefault="00FF4FD0" w:rsidP="00A97702"/>
    <w:p w:rsidR="00A97702" w:rsidRDefault="00A97702" w:rsidP="00A97702">
      <w:r w:rsidRPr="00484E36">
        <w:t>HILs establish the concentration of a contaminant above which further appropriate health investigation and evaluation will be required</w:t>
      </w:r>
      <w:r>
        <w:t xml:space="preserve">. </w:t>
      </w:r>
      <w:r w:rsidRPr="00484E36">
        <w:t>Levels slightly in excess of the HILs do not imply unacceptability or that a significant health risk is likely to be present</w:t>
      </w:r>
      <w:r>
        <w:t xml:space="preserve">. </w:t>
      </w:r>
      <w:r w:rsidRPr="00484E36">
        <w:t xml:space="preserve">Exceeding a HIL means further investigation </w:t>
      </w:r>
      <w:r>
        <w:t>is required and</w:t>
      </w:r>
      <w:r w:rsidRPr="00484E36">
        <w:t xml:space="preserve"> not ‘risk is present, </w:t>
      </w:r>
      <w:r>
        <w:t>clean-up</w:t>
      </w:r>
      <w:r w:rsidRPr="00484E36">
        <w:t xml:space="preserve"> required’</w:t>
      </w:r>
      <w:r>
        <w:t>.</w:t>
      </w:r>
    </w:p>
    <w:p w:rsidR="00FF4FD0" w:rsidRDefault="00FF4FD0" w:rsidP="00A97702"/>
    <w:p w:rsidR="00A97702" w:rsidRDefault="00A97702" w:rsidP="00A97702">
      <w:r w:rsidRPr="00484E36">
        <w:t>The HILs are referred to by regulators, auditors and consultants in the process of assessing soil contamination</w:t>
      </w:r>
      <w:r>
        <w:t xml:space="preserve">. HILs apply generally to the top 3 m of soil for residential use. </w:t>
      </w:r>
      <w:r w:rsidRPr="00384EE5">
        <w:t>Site-specific conditions should determine the depth to which HILs apply for other land uses.</w:t>
      </w:r>
    </w:p>
    <w:p w:rsidR="00FF4FD0" w:rsidRDefault="00FF4FD0" w:rsidP="00A97702"/>
    <w:p w:rsidR="00A97702" w:rsidRDefault="00A97702" w:rsidP="00A97702">
      <w:r w:rsidRPr="00484E36">
        <w:t xml:space="preserve">HILs are not intended to be </w:t>
      </w:r>
      <w:r>
        <w:t>clean-up</w:t>
      </w:r>
      <w:r w:rsidRPr="00484E36">
        <w:t xml:space="preserve"> levels</w:t>
      </w:r>
      <w:r>
        <w:t xml:space="preserve">. </w:t>
      </w:r>
      <w:r w:rsidRPr="00484E36">
        <w:t xml:space="preserve">The decision on whether </w:t>
      </w:r>
      <w:r>
        <w:t>clean-up</w:t>
      </w:r>
      <w:r w:rsidRPr="00484E36">
        <w:t xml:space="preserve"> is required</w:t>
      </w:r>
      <w:r>
        <w:t>,</w:t>
      </w:r>
      <w:r w:rsidRPr="00484E36">
        <w:t xml:space="preserve"> and to what extent, should be based on site-specific assessment</w:t>
      </w:r>
      <w:r>
        <w:t xml:space="preserve"> triggered by an exceedence of the HIL. </w:t>
      </w:r>
      <w:r w:rsidRPr="00484E36">
        <w:t xml:space="preserve">Health risk assessment is the primary </w:t>
      </w:r>
      <w:r>
        <w:t>driver for</w:t>
      </w:r>
      <w:r w:rsidRPr="00484E36">
        <w:t xml:space="preserve"> making site decisions</w:t>
      </w:r>
      <w:r>
        <w:t>. O</w:t>
      </w:r>
      <w:r w:rsidRPr="00484E36">
        <w:t xml:space="preserve">ther considerations such as practicality, timescale, effectiveness, cost, </w:t>
      </w:r>
      <w:r>
        <w:t>sustainability</w:t>
      </w:r>
      <w:r w:rsidRPr="00484E36">
        <w:t xml:space="preserve"> and associated</w:t>
      </w:r>
      <w:r>
        <w:t xml:space="preserve"> </w:t>
      </w:r>
      <w:r w:rsidRPr="00484E36">
        <w:t>ecological ris</w:t>
      </w:r>
      <w:r w:rsidR="00FD4A57">
        <w:t>k assessment are also relevant.</w:t>
      </w:r>
    </w:p>
    <w:p w:rsidR="00A97702" w:rsidRDefault="00A97702" w:rsidP="00A97702">
      <w:pPr>
        <w:pStyle w:val="Heading2"/>
      </w:pPr>
      <w:bookmarkStart w:id="12" w:name="_Toc351712017"/>
      <w:r w:rsidRPr="00691771">
        <w:t xml:space="preserve">Interim HILs for volatile </w:t>
      </w:r>
      <w:r>
        <w:t xml:space="preserve">organic </w:t>
      </w:r>
      <w:r w:rsidRPr="00691771">
        <w:t>chlorinated compounds</w:t>
      </w:r>
      <w:bookmarkEnd w:id="12"/>
      <w:r w:rsidRPr="00691771">
        <w:t xml:space="preserve"> </w:t>
      </w:r>
    </w:p>
    <w:p w:rsidR="00A97702" w:rsidRDefault="00A97702" w:rsidP="00A97702">
      <w:r>
        <w:t>Interim HIL soil vapour levels for specific volatile organic chlorinated compounds (VOCCs) have been developed</w:t>
      </w:r>
      <w:r w:rsidRPr="00BD2E21">
        <w:t xml:space="preserve"> </w:t>
      </w:r>
      <w:r>
        <w:t>(see Table 1A(2) at the end of this Schedule) to assess the vapour inhalation pathway (also known as the ‘vapour intrusion’ pathway when referring to indoor exposure). The</w:t>
      </w:r>
      <w:r w:rsidRPr="00484E36">
        <w:t xml:space="preserve"> deriv</w:t>
      </w:r>
      <w:r>
        <w:t>ation of</w:t>
      </w:r>
      <w:r w:rsidRPr="00484E36">
        <w:t xml:space="preserve"> </w:t>
      </w:r>
      <w:r>
        <w:t xml:space="preserve">the interim </w:t>
      </w:r>
      <w:r w:rsidRPr="00484E36">
        <w:t xml:space="preserve">HILs </w:t>
      </w:r>
      <w:r>
        <w:t>is</w:t>
      </w:r>
      <w:r w:rsidRPr="00484E36">
        <w:t xml:space="preserve"> presented in Schedule B7</w:t>
      </w:r>
      <w:r>
        <w:t xml:space="preserve"> and Appendix A6. The methodology employs a simple though conservative approach using an attenuation factor that relates the concentration of a volatile contaminant in indoor air to the concentration in soil gas immediately be</w:t>
      </w:r>
      <w:r w:rsidR="00271CD8">
        <w:t>low a building foundation slab.</w:t>
      </w:r>
    </w:p>
    <w:p w:rsidR="00FF4FD0" w:rsidRDefault="00FF4FD0" w:rsidP="00A97702"/>
    <w:p w:rsidR="00A97702" w:rsidRDefault="00A97702" w:rsidP="00A97702">
      <w:r w:rsidRPr="005B32EA">
        <w:t>The interim HIL values derived for volatile compounds are driven by the vapour intrusion pathway (that contributes &gt;99% of the total risk whe</w:t>
      </w:r>
      <w:r>
        <w:t>n</w:t>
      </w:r>
      <w:r w:rsidRPr="005B32EA">
        <w:t xml:space="preserve"> all pathways are considered). However, it is noted that there are limitations and uncertainties associated with the assessment of volatile contaminants on the basis of soil concentrations. As these limitations are significant for volatile organic chlorinated compounds, interim HILs for soil have not been derived. Rather it is recognised that where indoor/ambient air data cannot be collected (or the data is </w:t>
      </w:r>
      <w:r>
        <w:t xml:space="preserve">adversely </w:t>
      </w:r>
      <w:r w:rsidRPr="005B32EA">
        <w:t>affected by background sources), the most relevant approach to the assessment of this pathway is through the collection of soil vapour data. On this basis, interim HILs have been developed for soil vapour.</w:t>
      </w:r>
    </w:p>
    <w:p w:rsidR="00FF4FD0" w:rsidRDefault="00FF4FD0" w:rsidP="00A97702"/>
    <w:p w:rsidR="00A97702" w:rsidRDefault="00A97702" w:rsidP="00A97702">
      <w:r>
        <w:t>The interim HILs provide Tier 1 guidance for health risks from soil contamination sources and groundwater plumes associated with this group of compounds. The values may be applied for general site assessment and sub-slab environments for evaluation of potential health risks for the 0</w:t>
      </w:r>
      <w:r>
        <w:sym w:font="Symbol" w:char="F02D"/>
      </w:r>
      <w:r>
        <w:t>1 m sub-slab profile. The interim HILs broadly apply to the same</w:t>
      </w:r>
      <w:r w:rsidRPr="00484E36">
        <w:t xml:space="preserve"> generic </w:t>
      </w:r>
      <w:r>
        <w:t>land use</w:t>
      </w:r>
      <w:r w:rsidRPr="00484E36">
        <w:t xml:space="preserve"> categories as </w:t>
      </w:r>
      <w:r>
        <w:t xml:space="preserve">do the HILs, though  the values for residential A and B are </w:t>
      </w:r>
      <w:r w:rsidRPr="005E7AD0">
        <w:t>combined as they are based on the same exposure conditions (i.e. the same amount of time spent indoors) for the vapour inhalation pathway.  In addition, secondary school buildings should be treated as residential for the purposes of evaluating risks from vapour intrusion.</w:t>
      </w:r>
    </w:p>
    <w:p w:rsidR="00FF4FD0" w:rsidRPr="005E7AD0" w:rsidRDefault="00FF4FD0" w:rsidP="00A97702"/>
    <w:p w:rsidR="00A97702" w:rsidRPr="005E7AD0" w:rsidRDefault="00A97702" w:rsidP="00A97702">
      <w:r w:rsidRPr="005E7AD0">
        <w:lastRenderedPageBreak/>
        <w:t>Biodegradation of VOCCs has not been included in the development of the interim HILs. The biodegradation approach developed for petroleum hydrocarbons (refer Section 2.4.10) is not applicable to the degradation of VOCCs as the mechanism by which degradation occurs is different for most chlorinated hydrocarbons compar</w:t>
      </w:r>
      <w:r w:rsidR="00271CD8">
        <w:t>ed with petroleum hydrocarbons.</w:t>
      </w:r>
    </w:p>
    <w:p w:rsidR="00A97702" w:rsidRDefault="00A97702" w:rsidP="00A97702">
      <w:pPr>
        <w:pStyle w:val="Heading2"/>
      </w:pPr>
      <w:bookmarkStart w:id="13" w:name="_Toc351712018"/>
      <w:r w:rsidRPr="005E7AD0">
        <w:t>Health screening levels for</w:t>
      </w:r>
      <w:r w:rsidRPr="00691771">
        <w:t xml:space="preserve"> petroleum </w:t>
      </w:r>
      <w:r>
        <w:t xml:space="preserve">hydrocarbon </w:t>
      </w:r>
      <w:r w:rsidRPr="00691771">
        <w:t>compounds</w:t>
      </w:r>
      <w:bookmarkEnd w:id="13"/>
    </w:p>
    <w:p w:rsidR="00A97702" w:rsidRDefault="00A97702" w:rsidP="00A97702">
      <w:pPr>
        <w:pStyle w:val="Heading3"/>
        <w:ind w:left="720" w:hanging="720"/>
      </w:pPr>
      <w:bookmarkStart w:id="14" w:name="_Toc351712019"/>
      <w:r>
        <w:t>Introduction</w:t>
      </w:r>
      <w:bookmarkEnd w:id="14"/>
    </w:p>
    <w:p w:rsidR="00A97702" w:rsidRDefault="00A97702" w:rsidP="00A97702">
      <w:r w:rsidRPr="00ED37D9">
        <w:t>Si</w:t>
      </w:r>
      <w:r>
        <w:t>te</w:t>
      </w:r>
      <w:r w:rsidRPr="00ED37D9">
        <w:t xml:space="preserve"> contamination </w:t>
      </w:r>
      <w:r>
        <w:t>by petroleum hydrocarbon compounds is frequently encountered. The complex mixtures of aliphatic and aromatic compounds that comprise petroleum hydrocarbon products present human health concerns predominantly through inhalation of vapours from contaminant sources and by direct contact with affected soils and groundwater. Assessment of petroleum impacts should include evaluation of</w:t>
      </w:r>
      <w:r w:rsidRPr="003172D9">
        <w:t xml:space="preserve"> risks </w:t>
      </w:r>
      <w:r>
        <w:t xml:space="preserve">via the groundwater pathway (e.g. consumption of contaminated groundwater that is not considered in the HSLs), the risk </w:t>
      </w:r>
      <w:r w:rsidRPr="003172D9">
        <w:t xml:space="preserve">to groundwater </w:t>
      </w:r>
      <w:r>
        <w:t xml:space="preserve">resources </w:t>
      </w:r>
      <w:r w:rsidRPr="003172D9">
        <w:t>and appropriate consideration of aesthetics</w:t>
      </w:r>
      <w:r>
        <w:t>. The a</w:t>
      </w:r>
      <w:r w:rsidRPr="003172D9">
        <w:t xml:space="preserve">pplication of relevant </w:t>
      </w:r>
      <w:r>
        <w:t xml:space="preserve">ecological and ‘management’ </w:t>
      </w:r>
      <w:r w:rsidRPr="003172D9">
        <w:t xml:space="preserve">criteria </w:t>
      </w:r>
      <w:r>
        <w:t xml:space="preserve">for petroleum compounds is discussed </w:t>
      </w:r>
      <w:r w:rsidRPr="003172D9">
        <w:t xml:space="preserve">in </w:t>
      </w:r>
      <w:r>
        <w:t>Sections 2.6 and 2</w:t>
      </w:r>
      <w:r w:rsidR="00271CD8">
        <w:t>.9.</w:t>
      </w:r>
    </w:p>
    <w:p w:rsidR="00FF4FD0" w:rsidRDefault="00FF4FD0" w:rsidP="00A97702"/>
    <w:p w:rsidR="00A97702" w:rsidRDefault="00A97702" w:rsidP="00A97702">
      <w:r>
        <w:t>Health Screening Levels (HSLs) for various petroleum hydrocarbon compounds were developed by the Cooperative Research Centre for Contamination Assessment and Remediation of the Environment (CRC CARE). The principal reference for the HSL methodology is Friebel and Nadebaum (2011a). In addition to the documentation of the methodology, a detailed application report (Friebel &amp; Nadebaum 2011b) and a sensitivity analysis of the main parameter inputs ((Friebel &amp;</w:t>
      </w:r>
      <w:r w:rsidR="00271CD8">
        <w:t xml:space="preserve"> Nadebaum 2011c) are available.</w:t>
      </w:r>
    </w:p>
    <w:p w:rsidR="00FF4FD0" w:rsidRDefault="00FF4FD0" w:rsidP="00A97702"/>
    <w:p w:rsidR="00A97702" w:rsidRDefault="00A97702" w:rsidP="00A97702">
      <w:r>
        <w:t>Predictive modelling of sub-surface vapour movement in soil and penetration of building structures is a field of intensive data collection and research. The most recent research and derivation approaches adopted in developed international jurisdictions have been considered and adapted, as far as is practicable, for Australian conditions, to derive Tier 1 screening criteria for evaluating human health ri</w:t>
      </w:r>
      <w:r w:rsidR="00271CD8">
        <w:t>sk from petroleum hydrocarbons.</w:t>
      </w:r>
    </w:p>
    <w:p w:rsidR="00FF4FD0" w:rsidRDefault="00FF4FD0" w:rsidP="00A97702"/>
    <w:p w:rsidR="00A97702" w:rsidRDefault="00A97702" w:rsidP="00A97702">
      <w:r>
        <w:t>The HSLs’ development was guided by a project advisory group with health, environmental, assessment and remediation, petroleum industry and regulatory expertise. A specialised technical working group provided technical support and review throughout the development process. The HSL methodology was subject to international peer review during</w:t>
      </w:r>
      <w:r w:rsidR="00271CD8">
        <w:t xml:space="preserve"> its development.</w:t>
      </w:r>
    </w:p>
    <w:p w:rsidR="00FF4FD0" w:rsidRDefault="00FF4FD0" w:rsidP="00A97702"/>
    <w:p w:rsidR="00A97702" w:rsidRPr="005E7AD0" w:rsidRDefault="00A97702" w:rsidP="00A97702">
      <w:r>
        <w:t xml:space="preserve">Copies of the technical reports can be found in the ASC NEPM Toolbox. Additional </w:t>
      </w:r>
      <w:r w:rsidRPr="005E7AD0">
        <w:t>information on the development phases of the project, including responses to peer review comments, can be found on the CRC CARE website:</w:t>
      </w:r>
    </w:p>
    <w:p w:rsidR="00A97702" w:rsidRPr="005E7AD0" w:rsidRDefault="00A97702" w:rsidP="00A97702">
      <w:r w:rsidRPr="005E7AD0">
        <w:t xml:space="preserve"> </w:t>
      </w:r>
      <w:hyperlink r:id="rId18" w:history="1">
        <w:r w:rsidRPr="005E7AD0">
          <w:rPr>
            <w:rStyle w:val="Hyperlink"/>
          </w:rPr>
          <w:t>http://www.crccare.com/publications/technical_reports/hsl_tech_report.html</w:t>
        </w:r>
      </w:hyperlink>
    </w:p>
    <w:p w:rsidR="00A97702" w:rsidRPr="004F5584" w:rsidRDefault="00A97702" w:rsidP="00A97702">
      <w:pPr>
        <w:pStyle w:val="text"/>
        <w:pBdr>
          <w:top w:val="single" w:sz="4" w:space="6" w:color="auto"/>
          <w:left w:val="single" w:sz="4" w:space="4" w:color="auto"/>
          <w:bottom w:val="single" w:sz="4" w:space="6" w:color="auto"/>
          <w:right w:val="single" w:sz="4" w:space="4" w:color="auto"/>
        </w:pBdr>
        <w:jc w:val="center"/>
        <w:rPr>
          <w:b/>
        </w:rPr>
      </w:pPr>
      <w:r w:rsidRPr="0029479F">
        <w:rPr>
          <w:b/>
        </w:rPr>
        <w:t>Assessment of vapour risks is a specialist area. It is the responsibility of contaminated land professionals to become familiar with the limitations of the HSLs and their correct application in site assessment (Friebel &amp; Nadebaum 2011a, 2011b, 2011c).</w:t>
      </w:r>
    </w:p>
    <w:p w:rsidR="00A97702" w:rsidRDefault="00A97702" w:rsidP="00A97702">
      <w:pPr>
        <w:pStyle w:val="Heading3"/>
        <w:ind w:left="720" w:hanging="720"/>
      </w:pPr>
      <w:bookmarkStart w:id="15" w:name="_Toc351712020"/>
      <w:r w:rsidRPr="00C60370">
        <w:t xml:space="preserve">HSL </w:t>
      </w:r>
      <w:r>
        <w:t>m</w:t>
      </w:r>
      <w:r w:rsidRPr="00C60370">
        <w:t>ethodology</w:t>
      </w:r>
      <w:bookmarkEnd w:id="15"/>
    </w:p>
    <w:p w:rsidR="00A97702" w:rsidRDefault="00A97702" w:rsidP="00A97702">
      <w:r>
        <w:t>The HSLs were developed to be protective of human health by determining the reasonable maximum exposure from site sources for a range of situations commonly encountered on contaminated sites. As there are many parameter inputs to the methodology, very conservative assumptions have not been made for every parameter as this would result in an unrealistic result arising from the compounding of conservatism. Typically the parameter values selected correspond to the mean or median of the available information, with some parameters corresponding to the 95</w:t>
      </w:r>
      <w:r w:rsidRPr="00F969B7">
        <w:rPr>
          <w:vertAlign w:val="superscript"/>
        </w:rPr>
        <w:t>th</w:t>
      </w:r>
      <w:r>
        <w:t xml:space="preserve"> percentile. For further information on the rationale for each parameter selected, refer to Friebel and Nadebaum (2011a).</w:t>
      </w:r>
    </w:p>
    <w:p w:rsidR="00FF4FD0" w:rsidRDefault="00FF4FD0" w:rsidP="00A97702"/>
    <w:p w:rsidR="00A97702" w:rsidRDefault="00A97702" w:rsidP="00A97702">
      <w:r>
        <w:lastRenderedPageBreak/>
        <w:t xml:space="preserve">The HSLs apply to the same land use settings as for the interim HILs for VOCCs and include  additional consideration of soil texture and depth to source to determine the appropriate soil, groundwater and soil vapour criteria for the exposure scenario. As with all modelling approaches, the assumptions made regarding the exposure scenario limit the extent of their reasonable application. The main limitations for the HSLs are summarised in </w:t>
      </w:r>
      <w:r w:rsidRPr="00CD2E58">
        <w:t>Section 2.4.13.</w:t>
      </w:r>
    </w:p>
    <w:p w:rsidR="00FF4FD0" w:rsidRDefault="00FF4FD0" w:rsidP="00A97702"/>
    <w:p w:rsidR="00A97702" w:rsidRDefault="00A97702" w:rsidP="00A97702">
      <w:r>
        <w:t xml:space="preserve">HSLs for soil (Table 1A(3)), groundwater  (Table  1A(4)) and soil vapour (Table 1A(5)) apply to exposure to petroleum hydrocarbons through the dominant vapour inhalation exposure pathway only. </w:t>
      </w:r>
      <w:r w:rsidRPr="00E308BE">
        <w:t xml:space="preserve">Direct contact HSLs have been developed </w:t>
      </w:r>
      <w:r>
        <w:t>for the incidental soil</w:t>
      </w:r>
      <w:r w:rsidRPr="00E308BE">
        <w:t xml:space="preserve"> ingestion, dermal and inhalation exposure pathways. The</w:t>
      </w:r>
      <w:r>
        <w:t xml:space="preserve"> direct contact</w:t>
      </w:r>
      <w:r w:rsidRPr="00E308BE">
        <w:t xml:space="preserve"> HSLs are generally not the risk drivers for further site assessment for the same contamination source as the HSLs for vapour intrusion.  Direct contact exposure should be considered where relevant to the site-specific scenario e.g. an external source in near-surface soils in a residential or recreational setting. Further details can be found in Friebel </w:t>
      </w:r>
      <w:r>
        <w:t>and</w:t>
      </w:r>
      <w:r w:rsidRPr="00E308BE">
        <w:t xml:space="preserve"> Nadebaum (2011a,</w:t>
      </w:r>
      <w:r>
        <w:t xml:space="preserve"> 2011</w:t>
      </w:r>
      <w:r w:rsidRPr="00E308BE">
        <w:t>b</w:t>
      </w:r>
      <w:r>
        <w:t>, and 2011</w:t>
      </w:r>
      <w:r w:rsidRPr="00E308BE">
        <w:t>c).</w:t>
      </w:r>
    </w:p>
    <w:p w:rsidR="00FF4FD0" w:rsidRDefault="00FF4FD0" w:rsidP="00A97702"/>
    <w:p w:rsidR="00A97702" w:rsidRDefault="00A97702" w:rsidP="00A97702">
      <w:r>
        <w:t>There are many site-specific, soil-specific and building-specific variables that affect the level of the HSLs and these factors should be considered in the site assessment. Detailed information on the model inputs and assumptions (for example, soil properties, sub-slab attenuation factor, organic carbon content, chemical properties, building parameters) and overall limitations are provided in Friebel and Nadebaum (2011a). A sensitivity analysis was used to evaluate the effect that these parameters have on the derived HSLs (Friebel &amp; Nadebaum 2011c).</w:t>
      </w:r>
    </w:p>
    <w:p w:rsidR="00FF4FD0" w:rsidRDefault="00FF4FD0" w:rsidP="00A97702"/>
    <w:p w:rsidR="00A97702" w:rsidRDefault="00A97702" w:rsidP="00A97702">
      <w:r>
        <w:t>A review of vapour models was undertaken by CSIRO as a precursor project to the development of the HSLs (Davis et al. 2009c). As a result of this review, a modified Johnson and Ettinger vapour exposure model (US EPA 2004) was selected to derive HSLs for the vapour inhalation pathway. The model has been used assuming a finite source for soils equivalent to a source thickness of 2 m which avoids the extreme conservatism associated with assuming an infinite source and reflects empirical field observations. For groundwater and soil vapour, an infinite source (i.e. steady state model) has been assumed as replenishment of vapours may occur by contaminated ground</w:t>
      </w:r>
      <w:r w:rsidR="00271CD8">
        <w:t>water flowing beneath the site.</w:t>
      </w:r>
    </w:p>
    <w:p w:rsidR="00FF4FD0" w:rsidRDefault="00FF4FD0" w:rsidP="00A97702"/>
    <w:p w:rsidR="00A97702" w:rsidRDefault="00A97702" w:rsidP="00A97702">
      <w:r>
        <w:t>It is noted that the Johnson and Ettinger model and other similar vapour intrusion models do not adequately address vapour risk issues where there are preferential vapour migration pathways, where the building structure extends into a saturated contaminated zone (i.e. into the groundwater table) or where biodegradation is of significance (see section 2</w:t>
      </w:r>
      <w:r w:rsidR="00271CD8">
        <w:t>.4.10 for further information).</w:t>
      </w:r>
    </w:p>
    <w:p w:rsidR="00FF4FD0" w:rsidRDefault="00FF4FD0" w:rsidP="00A97702"/>
    <w:p w:rsidR="00A97702" w:rsidRDefault="00A97702" w:rsidP="00A97702">
      <w:r>
        <w:t xml:space="preserve">The soil and groundwater HSLs are based on three-phase equilibrium theory and soil vapour is limited by the maximum solubility limit of the chemical in the soil pore water phase or the groundwater. The soil saturation concentration of a particular contaminant is the condition where pore water is at its solubility limit and soil vapour is at the maximum vapour concentration. When a calculated HSL in soil or groundwater exceeds this limit, the vapour in the soil or above groundwater cannot result in an unacceptable vapour risk and is denoted as NL (not limiting) in the HSL tables (Tables 1 A(3) </w:t>
      </w:r>
      <w:r>
        <w:sym w:font="Symbol" w:char="F02D"/>
      </w:r>
      <w:r>
        <w:t xml:space="preserve"> 1A(5)). </w:t>
      </w:r>
      <w:r w:rsidRPr="00E85A21">
        <w:t>Soil vapour</w:t>
      </w:r>
      <w:r w:rsidRPr="00107303">
        <w:t xml:space="preserve"> HSLs are based on the vapour pressures of individual chemicals.</w:t>
      </w:r>
      <w:r>
        <w:t xml:space="preserve"> Calculated soil vapour HSLs that exceed the possible maximu</w:t>
      </w:r>
      <w:r w:rsidR="00271CD8">
        <w:t>ms are similarly denoted as NL.</w:t>
      </w:r>
    </w:p>
    <w:p w:rsidR="00FF4FD0" w:rsidRDefault="00FF4FD0" w:rsidP="00A97702"/>
    <w:p w:rsidR="00A97702" w:rsidRPr="00AE64C9" w:rsidRDefault="00A97702" w:rsidP="00A97702">
      <w:r w:rsidRPr="00AE64C9">
        <w:t xml:space="preserve">The HSLs have been derived using accepted approaches to assessment for non threshold (cancer) risk and threshold (non-cancer) risk. Exposure factors for the individual carcinogenic and non-carcinogenic compounds of concern were derived from </w:t>
      </w:r>
      <w:r>
        <w:t xml:space="preserve">a near-final draft of </w:t>
      </w:r>
      <w:r w:rsidRPr="00AE64C9">
        <w:t>enHealth (2012).</w:t>
      </w:r>
    </w:p>
    <w:p w:rsidR="00A97702" w:rsidRDefault="00A97702" w:rsidP="00A97702">
      <w:pPr>
        <w:pStyle w:val="Heading3"/>
        <w:ind w:left="720" w:hanging="720"/>
      </w:pPr>
      <w:bookmarkStart w:id="16" w:name="_Toc351712021"/>
      <w:r w:rsidRPr="00AE64C9">
        <w:t>Sub-slab</w:t>
      </w:r>
      <w:r>
        <w:t xml:space="preserve"> to indoor air attenuation factor</w:t>
      </w:r>
      <w:bookmarkEnd w:id="16"/>
    </w:p>
    <w:p w:rsidR="00A97702" w:rsidRDefault="00A97702" w:rsidP="00A97702">
      <w:r>
        <w:t>Unlike the derivation of the soil vapour interim HILs, t</w:t>
      </w:r>
      <w:r w:rsidRPr="005937CA">
        <w:t xml:space="preserve">he attenuation factor adopted for petroleum </w:t>
      </w:r>
      <w:r>
        <w:t xml:space="preserve">hydrocarbon </w:t>
      </w:r>
      <w:r w:rsidRPr="005937CA">
        <w:t xml:space="preserve">compounds is not used directly </w:t>
      </w:r>
      <w:r>
        <w:t xml:space="preserve">to </w:t>
      </w:r>
      <w:r w:rsidRPr="005937CA">
        <w:t>calculate indoor air concentrations from soil gas</w:t>
      </w:r>
      <w:r>
        <w:t xml:space="preserve"> concentrations (or vice versa); ra</w:t>
      </w:r>
      <w:r w:rsidRPr="005937CA">
        <w:t>ther it is used to calculate one</w:t>
      </w:r>
      <w:r>
        <w:t xml:space="preserve"> </w:t>
      </w:r>
      <w:r w:rsidRPr="005937CA">
        <w:t xml:space="preserve">of the </w:t>
      </w:r>
      <w:r>
        <w:t xml:space="preserve">many </w:t>
      </w:r>
      <w:r w:rsidRPr="005937CA">
        <w:t xml:space="preserve">input parameters </w:t>
      </w:r>
      <w:r w:rsidRPr="005937CA">
        <w:lastRenderedPageBreak/>
        <w:t xml:space="preserve">(advective </w:t>
      </w:r>
      <w:r>
        <w:t>air</w:t>
      </w:r>
      <w:r w:rsidRPr="005937CA">
        <w:t xml:space="preserve"> f</w:t>
      </w:r>
      <w:r>
        <w:t>low) in the Johnson &amp; Ettinger m</w:t>
      </w:r>
      <w:r w:rsidRPr="005937CA">
        <w:t>odel</w:t>
      </w:r>
      <w:r>
        <w:t>. For further information refer to section 7.3.2 o</w:t>
      </w:r>
      <w:r w:rsidR="00271CD8">
        <w:t>f Friebel and Nadebaum (2011a).</w:t>
      </w:r>
    </w:p>
    <w:p w:rsidR="00FF4FD0" w:rsidRDefault="00FF4FD0" w:rsidP="00A97702"/>
    <w:p w:rsidR="00A97702" w:rsidRDefault="00A97702" w:rsidP="00A97702">
      <w:r>
        <w:t xml:space="preserve">As for other input parameters, the selected value for the attenuation factor is based on a reasonable assumption rather than the maximum possible exposure and is equivalent to the </w:t>
      </w:r>
      <w:r w:rsidRPr="00C014A1">
        <w:t>median</w:t>
      </w:r>
      <w:r>
        <w:t xml:space="preserve"> of the US EPA 2008 attenuation factor database (US EPA 2008) and lies within the 75</w:t>
      </w:r>
      <w:r w:rsidRPr="00C34B20">
        <w:rPr>
          <w:vertAlign w:val="superscript"/>
        </w:rPr>
        <w:t>th</w:t>
      </w:r>
      <w:r>
        <w:t xml:space="preserve"> to 95</w:t>
      </w:r>
      <w:r w:rsidRPr="00C34B20">
        <w:rPr>
          <w:vertAlign w:val="superscript"/>
        </w:rPr>
        <w:t>th</w:t>
      </w:r>
      <w:r>
        <w:t xml:space="preserve"> percentiles of the updated database published in 2012 (US EPA 2012). The selected value of 0.005 was considered to represent the upper value not affected by indoor air sources, background air or other confounding factors.</w:t>
      </w:r>
    </w:p>
    <w:p w:rsidR="00A97702" w:rsidRDefault="00A97702" w:rsidP="00A97702">
      <w:pPr>
        <w:pStyle w:val="Heading3"/>
        <w:ind w:left="720" w:hanging="720"/>
      </w:pPr>
      <w:bookmarkStart w:id="17" w:name="_Toc351712022"/>
      <w:r>
        <w:t>Petroleum fuel composition</w:t>
      </w:r>
      <w:bookmarkEnd w:id="17"/>
    </w:p>
    <w:p w:rsidR="00A97702" w:rsidRDefault="00A97702" w:rsidP="00A97702">
      <w:r>
        <w:t xml:space="preserve">The soil saturation and water solubility limits used in the derivation of the HSLs assume a fixed fuel composition based on fresh petrol and diesel fuels typical of those available in Australia. The HSLs may be applied to other fuel types (e.g. kerosene, aviation fuel and fuel oil) providing that the aliphatic/aromatic speciation is similar to that assumed in the derivation of the HSLs (80:20). Further information on these fuel types can be found in TPHCWG (1998). There are a number of fuel additives, such as MTBE and ethanol, for which HSLs have not been derived. Where these are identified as potential contaminants of concern, then a site-specific risk assessment for these </w:t>
      </w:r>
      <w:r w:rsidR="00271CD8">
        <w:t>chemicals should be considered.</w:t>
      </w:r>
    </w:p>
    <w:p w:rsidR="00FF4FD0" w:rsidRDefault="00FF4FD0" w:rsidP="00A97702"/>
    <w:p w:rsidR="00A97702" w:rsidRDefault="00A97702" w:rsidP="00A97702">
      <w:r>
        <w:t>The HSLs apply to petroleum contamination sources and are not applicable to pure compound solvents, as solubility limits incorporated into the HSLs were derived based on typical petrol and diesel fuel mixtures. Equivalent values to the HSLs applicable to pure compounds (rather than fuel mixtures) are available in Friebel and Nadebaum (2011a Appendix C).</w:t>
      </w:r>
    </w:p>
    <w:p w:rsidR="00A97702" w:rsidRDefault="00A97702" w:rsidP="00A97702">
      <w:pPr>
        <w:pStyle w:val="Heading3"/>
        <w:ind w:left="720" w:hanging="720"/>
      </w:pPr>
      <w:bookmarkStart w:id="18" w:name="_Toc351712023"/>
      <w:r>
        <w:t>The Total Recoverable Hydrocarbons analytical method</w:t>
      </w:r>
      <w:bookmarkEnd w:id="18"/>
    </w:p>
    <w:p w:rsidR="00A97702" w:rsidRDefault="00A97702" w:rsidP="00A97702">
      <w:r>
        <w:t>The Total Recoverable Hydrocarbons (TRH) method is recommended for the analysis of petroleum hydrocarbon compounds in soil. Detailed information is provided in Schedule B3.</w:t>
      </w:r>
    </w:p>
    <w:p w:rsidR="00FF4FD0" w:rsidRDefault="00FF4FD0" w:rsidP="00A97702"/>
    <w:p w:rsidR="00A97702" w:rsidRDefault="00A97702" w:rsidP="00A97702">
      <w:r>
        <w:t>The term TRH is equivalent to the previously used total petroleum hydrocarbons (TPH) and represents extracted biogenic (biological) and petrogenic (petroleum) hydrocarbons by selected solvents. The TRH analysis is non-specific and will extract organic compounds such as ethanol, biodiesel compounds (esterised long chain fatty acids), organic acids, sterols and n-alkanes from plant waxes, as well as petroleum hydrocarbons. The sample extraction process may also extract other industrial organic chemicals. When used in the context of a screening assessment for petroleum hydrocarbon contamination, TRH analyses are likely to be conservative when non-pe</w:t>
      </w:r>
      <w:r w:rsidR="00271CD8">
        <w:t>troleum compounds are present.</w:t>
      </w:r>
    </w:p>
    <w:p w:rsidR="00FF4FD0" w:rsidRDefault="00FF4FD0" w:rsidP="00A97702"/>
    <w:p w:rsidR="00A97702" w:rsidRDefault="00A97702" w:rsidP="00A97702">
      <w:r w:rsidRPr="00E16576">
        <w:t xml:space="preserve">The </w:t>
      </w:r>
      <w:r>
        <w:t>potential for inclusion of non-</w:t>
      </w:r>
      <w:r w:rsidRPr="00E16576">
        <w:t>petroleum compounds</w:t>
      </w:r>
      <w:r>
        <w:t xml:space="preserve"> in the results may </w:t>
      </w:r>
      <w:r w:rsidRPr="00E16576">
        <w:t xml:space="preserve">be </w:t>
      </w:r>
      <w:r>
        <w:t>relevant for</w:t>
      </w:r>
      <w:r w:rsidRPr="00E16576">
        <w:t xml:space="preserve"> </w:t>
      </w:r>
      <w:r>
        <w:t>site-specific</w:t>
      </w:r>
      <w:r w:rsidRPr="00E16576">
        <w:t xml:space="preserve"> asse</w:t>
      </w:r>
      <w:r>
        <w:t>ssment of petroleum hydrocarbon contamination</w:t>
      </w:r>
      <w:r w:rsidRPr="00E16576">
        <w:t>.</w:t>
      </w:r>
      <w:r>
        <w:t xml:space="preserve"> For example, the TRH analytical results may be overly conservative if soil organic matter is unusually high, for example from heavy applications of mulch, manure, compost or other natural organic material, or the presence of other synthetic organic compounds which are extractable in the analytical process. To assess potential false positive results, it is recommended that equivalent soil from the site, unaffected by petroleum hydrocarbon contamination, is analysed for comparison.</w:t>
      </w:r>
    </w:p>
    <w:p w:rsidR="00FF4FD0" w:rsidRDefault="00FF4FD0" w:rsidP="00A97702"/>
    <w:p w:rsidR="00A97702" w:rsidRDefault="00A97702" w:rsidP="00A97702">
      <w:r>
        <w:t>Where there is reasonable doubt as to the nature of the contamination, the sample may be subjected to a silica gel clean-up and analysed by gas chromatography mass spectrometry (GC-MS) (or other appropriate analytical method) to assist with the identification of contamination of petroleum origin. In these cases, an analyst report should be obtained with an interpretation of the chromatogram and the nature and extent of conta</w:t>
      </w:r>
      <w:r w:rsidR="00271CD8">
        <w:t>mination present in the sample.</w:t>
      </w:r>
    </w:p>
    <w:p w:rsidR="00A97702" w:rsidRDefault="00A97702" w:rsidP="00A97702">
      <w:pPr>
        <w:pStyle w:val="Heading3"/>
        <w:ind w:left="720" w:hanging="720"/>
      </w:pPr>
      <w:bookmarkStart w:id="19" w:name="_Toc351712024"/>
      <w:r>
        <w:lastRenderedPageBreak/>
        <w:t>Petroleum hydrocarbon compounds and fractions</w:t>
      </w:r>
      <w:bookmarkEnd w:id="19"/>
    </w:p>
    <w:p w:rsidR="00A97702" w:rsidRDefault="00A97702" w:rsidP="00A97702">
      <w:r>
        <w:t xml:space="preserve">HSLs have been developed for BTEX and naphthalene plus four carbon chain fractions based on the fractions adopted in the </w:t>
      </w:r>
      <w:r w:rsidRPr="006A79E8">
        <w:rPr>
          <w:i/>
        </w:rPr>
        <w:t>Canada-</w:t>
      </w:r>
      <w:r>
        <w:rPr>
          <w:i/>
        </w:rPr>
        <w:t>w</w:t>
      </w:r>
      <w:r w:rsidRPr="006A79E8">
        <w:rPr>
          <w:i/>
        </w:rPr>
        <w:t xml:space="preserve">ide </w:t>
      </w:r>
      <w:r>
        <w:rPr>
          <w:i/>
        </w:rPr>
        <w:t>s</w:t>
      </w:r>
      <w:r w:rsidRPr="006A79E8">
        <w:rPr>
          <w:i/>
        </w:rPr>
        <w:t xml:space="preserve">tandard for </w:t>
      </w:r>
      <w:r>
        <w:rPr>
          <w:i/>
        </w:rPr>
        <w:t>p</w:t>
      </w:r>
      <w:r w:rsidRPr="006A79E8">
        <w:rPr>
          <w:i/>
        </w:rPr>
        <w:t xml:space="preserve">etroleum </w:t>
      </w:r>
      <w:r>
        <w:rPr>
          <w:i/>
        </w:rPr>
        <w:t>h</w:t>
      </w:r>
      <w:r w:rsidRPr="006A79E8">
        <w:rPr>
          <w:i/>
        </w:rPr>
        <w:t xml:space="preserve">ydrocarbons (PHC) in </w:t>
      </w:r>
      <w:r>
        <w:rPr>
          <w:i/>
        </w:rPr>
        <w:t>s</w:t>
      </w:r>
      <w:r w:rsidRPr="006A79E8">
        <w:rPr>
          <w:i/>
        </w:rPr>
        <w:t>oil</w:t>
      </w:r>
      <w:r>
        <w:t xml:space="preserve"> (CCME 2008). The fractions are listed in Table 1 below:</w:t>
      </w:r>
    </w:p>
    <w:p w:rsidR="00A97702" w:rsidRDefault="00A97702" w:rsidP="00A97702">
      <w:pPr>
        <w:pStyle w:val="Caption"/>
      </w:pPr>
      <w:r w:rsidRPr="000800F8">
        <w:t>Table 1. HSL fractions and corresponding equivalent carbon range</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3969"/>
      </w:tblGrid>
      <w:tr w:rsidR="00A97702" w:rsidRPr="008C5453" w:rsidTr="00DA1C9D">
        <w:tc>
          <w:tcPr>
            <w:tcW w:w="2835" w:type="dxa"/>
            <w:shd w:val="clear" w:color="auto" w:fill="C6D9F1" w:themeFill="text2" w:themeFillTint="33"/>
          </w:tcPr>
          <w:p w:rsidR="00A97702" w:rsidRPr="008C5453" w:rsidRDefault="00A97702" w:rsidP="00DA1C9D">
            <w:pPr>
              <w:pStyle w:val="text"/>
              <w:jc w:val="center"/>
              <w:rPr>
                <w:b/>
                <w:szCs w:val="22"/>
              </w:rPr>
            </w:pPr>
            <w:r w:rsidRPr="008C5453">
              <w:rPr>
                <w:b/>
                <w:szCs w:val="22"/>
              </w:rPr>
              <w:t>Fraction number</w:t>
            </w:r>
          </w:p>
        </w:tc>
        <w:tc>
          <w:tcPr>
            <w:tcW w:w="3969" w:type="dxa"/>
            <w:shd w:val="clear" w:color="auto" w:fill="C6D9F1" w:themeFill="text2" w:themeFillTint="33"/>
          </w:tcPr>
          <w:p w:rsidR="00A97702" w:rsidRPr="008C5453" w:rsidRDefault="00A97702" w:rsidP="00DA1C9D">
            <w:pPr>
              <w:pStyle w:val="text"/>
              <w:jc w:val="center"/>
              <w:rPr>
                <w:b/>
                <w:szCs w:val="22"/>
              </w:rPr>
            </w:pPr>
            <w:r w:rsidRPr="008C5453">
              <w:rPr>
                <w:b/>
                <w:szCs w:val="22"/>
              </w:rPr>
              <w:t>Equivalent carbon number range</w:t>
            </w:r>
          </w:p>
        </w:tc>
      </w:tr>
      <w:tr w:rsidR="00A97702" w:rsidRPr="008C5453" w:rsidTr="00DA1C9D">
        <w:tc>
          <w:tcPr>
            <w:tcW w:w="2835" w:type="dxa"/>
          </w:tcPr>
          <w:p w:rsidR="00A97702" w:rsidRPr="008C5453" w:rsidRDefault="00A97702" w:rsidP="00DA1C9D">
            <w:pPr>
              <w:pStyle w:val="text"/>
              <w:jc w:val="center"/>
              <w:rPr>
                <w:szCs w:val="22"/>
              </w:rPr>
            </w:pPr>
            <w:r w:rsidRPr="008C5453">
              <w:rPr>
                <w:szCs w:val="22"/>
              </w:rPr>
              <w:t>F1</w:t>
            </w:r>
          </w:p>
        </w:tc>
        <w:tc>
          <w:tcPr>
            <w:tcW w:w="3969" w:type="dxa"/>
          </w:tcPr>
          <w:p w:rsidR="00A97702" w:rsidRPr="008C5453" w:rsidRDefault="00A97702" w:rsidP="00DA1C9D">
            <w:pPr>
              <w:pStyle w:val="text"/>
              <w:jc w:val="center"/>
              <w:rPr>
                <w:szCs w:val="22"/>
              </w:rPr>
            </w:pPr>
            <w:r w:rsidRPr="008C5453">
              <w:rPr>
                <w:szCs w:val="22"/>
              </w:rPr>
              <w:t>C</w:t>
            </w:r>
            <w:r w:rsidRPr="008C5453">
              <w:rPr>
                <w:szCs w:val="22"/>
                <w:vertAlign w:val="subscript"/>
              </w:rPr>
              <w:t>6</w:t>
            </w:r>
            <w:r w:rsidRPr="008C5453">
              <w:rPr>
                <w:szCs w:val="22"/>
              </w:rPr>
              <w:t xml:space="preserve"> – C</w:t>
            </w:r>
            <w:r w:rsidRPr="008C5453">
              <w:rPr>
                <w:szCs w:val="22"/>
                <w:vertAlign w:val="subscript"/>
              </w:rPr>
              <w:t>10</w:t>
            </w:r>
          </w:p>
        </w:tc>
      </w:tr>
      <w:tr w:rsidR="00A97702" w:rsidRPr="008C5453" w:rsidTr="00DA1C9D">
        <w:tc>
          <w:tcPr>
            <w:tcW w:w="2835" w:type="dxa"/>
          </w:tcPr>
          <w:p w:rsidR="00A97702" w:rsidRPr="008C5453" w:rsidRDefault="00A97702" w:rsidP="00DA1C9D">
            <w:pPr>
              <w:pStyle w:val="text"/>
              <w:jc w:val="center"/>
              <w:rPr>
                <w:szCs w:val="22"/>
              </w:rPr>
            </w:pPr>
            <w:r w:rsidRPr="008C5453">
              <w:rPr>
                <w:szCs w:val="22"/>
              </w:rPr>
              <w:t>F2</w:t>
            </w:r>
          </w:p>
        </w:tc>
        <w:tc>
          <w:tcPr>
            <w:tcW w:w="3969" w:type="dxa"/>
          </w:tcPr>
          <w:p w:rsidR="00A97702" w:rsidRPr="008C5453" w:rsidRDefault="00A97702" w:rsidP="00DA1C9D">
            <w:pPr>
              <w:pStyle w:val="text"/>
              <w:jc w:val="center"/>
              <w:rPr>
                <w:szCs w:val="22"/>
              </w:rPr>
            </w:pPr>
            <w:r w:rsidRPr="008C5453">
              <w:rPr>
                <w:szCs w:val="22"/>
              </w:rPr>
              <w:t>&gt;C</w:t>
            </w:r>
            <w:r w:rsidRPr="008C5453">
              <w:rPr>
                <w:szCs w:val="22"/>
                <w:vertAlign w:val="subscript"/>
              </w:rPr>
              <w:t xml:space="preserve">10 </w:t>
            </w:r>
            <w:r w:rsidRPr="008C5453">
              <w:rPr>
                <w:szCs w:val="22"/>
              </w:rPr>
              <w:t>– C</w:t>
            </w:r>
            <w:r w:rsidRPr="008C5453">
              <w:rPr>
                <w:szCs w:val="22"/>
                <w:vertAlign w:val="subscript"/>
              </w:rPr>
              <w:t>16</w:t>
            </w:r>
          </w:p>
        </w:tc>
      </w:tr>
      <w:tr w:rsidR="00A97702" w:rsidRPr="008C5453" w:rsidTr="00DA1C9D">
        <w:tc>
          <w:tcPr>
            <w:tcW w:w="2835" w:type="dxa"/>
          </w:tcPr>
          <w:p w:rsidR="00A97702" w:rsidRPr="008C5453" w:rsidRDefault="00A97702" w:rsidP="00DA1C9D">
            <w:pPr>
              <w:pStyle w:val="text"/>
              <w:jc w:val="center"/>
              <w:rPr>
                <w:szCs w:val="22"/>
              </w:rPr>
            </w:pPr>
            <w:r w:rsidRPr="008C5453">
              <w:rPr>
                <w:szCs w:val="22"/>
              </w:rPr>
              <w:t>F3</w:t>
            </w:r>
          </w:p>
        </w:tc>
        <w:tc>
          <w:tcPr>
            <w:tcW w:w="3969" w:type="dxa"/>
          </w:tcPr>
          <w:p w:rsidR="00A97702" w:rsidRPr="008C5453" w:rsidRDefault="00A97702" w:rsidP="00DA1C9D">
            <w:pPr>
              <w:pStyle w:val="text"/>
              <w:jc w:val="center"/>
              <w:rPr>
                <w:szCs w:val="22"/>
              </w:rPr>
            </w:pPr>
            <w:r w:rsidRPr="008C5453">
              <w:rPr>
                <w:szCs w:val="22"/>
              </w:rPr>
              <w:t>&gt;C</w:t>
            </w:r>
            <w:r w:rsidRPr="008C5453">
              <w:rPr>
                <w:szCs w:val="22"/>
                <w:vertAlign w:val="subscript"/>
              </w:rPr>
              <w:t>16</w:t>
            </w:r>
            <w:r w:rsidRPr="008C5453">
              <w:rPr>
                <w:szCs w:val="22"/>
              </w:rPr>
              <w:t xml:space="preserve"> – C</w:t>
            </w:r>
            <w:r w:rsidRPr="008C5453">
              <w:rPr>
                <w:szCs w:val="22"/>
                <w:vertAlign w:val="subscript"/>
              </w:rPr>
              <w:t>34</w:t>
            </w:r>
          </w:p>
        </w:tc>
      </w:tr>
      <w:tr w:rsidR="00A97702" w:rsidRPr="008C5453" w:rsidTr="00DA1C9D">
        <w:tc>
          <w:tcPr>
            <w:tcW w:w="2835" w:type="dxa"/>
          </w:tcPr>
          <w:p w:rsidR="00A97702" w:rsidRPr="008C5453" w:rsidRDefault="00A97702" w:rsidP="00DA1C9D">
            <w:pPr>
              <w:pStyle w:val="text"/>
              <w:jc w:val="center"/>
              <w:rPr>
                <w:szCs w:val="22"/>
              </w:rPr>
            </w:pPr>
            <w:r w:rsidRPr="008C5453">
              <w:rPr>
                <w:szCs w:val="22"/>
              </w:rPr>
              <w:t>F4</w:t>
            </w:r>
          </w:p>
        </w:tc>
        <w:tc>
          <w:tcPr>
            <w:tcW w:w="3969" w:type="dxa"/>
          </w:tcPr>
          <w:p w:rsidR="00A97702" w:rsidRPr="008C5453" w:rsidRDefault="00A97702" w:rsidP="00DA1C9D">
            <w:pPr>
              <w:pStyle w:val="text"/>
              <w:jc w:val="center"/>
              <w:rPr>
                <w:szCs w:val="22"/>
              </w:rPr>
            </w:pPr>
            <w:r w:rsidRPr="008C5453">
              <w:rPr>
                <w:szCs w:val="22"/>
              </w:rPr>
              <w:t>&gt;C</w:t>
            </w:r>
            <w:r w:rsidRPr="008C5453">
              <w:rPr>
                <w:szCs w:val="22"/>
                <w:vertAlign w:val="subscript"/>
              </w:rPr>
              <w:t xml:space="preserve">34 </w:t>
            </w:r>
            <w:r w:rsidRPr="008C5453">
              <w:rPr>
                <w:szCs w:val="22"/>
              </w:rPr>
              <w:t xml:space="preserve"> - C</w:t>
            </w:r>
            <w:r w:rsidRPr="008C5453">
              <w:rPr>
                <w:szCs w:val="22"/>
                <w:vertAlign w:val="subscript"/>
              </w:rPr>
              <w:t>40</w:t>
            </w:r>
          </w:p>
        </w:tc>
      </w:tr>
    </w:tbl>
    <w:p w:rsidR="00A97702" w:rsidRDefault="00A97702" w:rsidP="00A97702">
      <w:pPr>
        <w:pStyle w:val="text"/>
      </w:pPr>
    </w:p>
    <w:p w:rsidR="00A97702" w:rsidRDefault="00A97702" w:rsidP="00A97702">
      <w:r>
        <w:t>The HSLs are pro</w:t>
      </w:r>
      <w:r w:rsidR="00271CD8">
        <w:t>vided in Tables 1A(3) – 1A(5)).</w:t>
      </w:r>
    </w:p>
    <w:p w:rsidR="00FF4FD0" w:rsidRDefault="00FF4FD0" w:rsidP="00A97702"/>
    <w:p w:rsidR="00A97702" w:rsidRDefault="00A97702" w:rsidP="00A97702">
      <w:r>
        <w:t xml:space="preserve">BTEX results should be subtracted from the </w:t>
      </w:r>
      <w:r w:rsidRPr="00B36315">
        <w:t xml:space="preserve">TRH </w:t>
      </w:r>
      <w:r>
        <w:t>C</w:t>
      </w:r>
      <w:r w:rsidRPr="003B7EB6">
        <w:rPr>
          <w:vertAlign w:val="subscript"/>
        </w:rPr>
        <w:t>6</w:t>
      </w:r>
      <w:r>
        <w:t xml:space="preserve"> – C</w:t>
      </w:r>
      <w:r w:rsidRPr="003B7EB6">
        <w:rPr>
          <w:vertAlign w:val="subscript"/>
        </w:rPr>
        <w:t>10</w:t>
      </w:r>
      <w:r>
        <w:rPr>
          <w:vertAlign w:val="subscript"/>
        </w:rPr>
        <w:t xml:space="preserve"> </w:t>
      </w:r>
      <w:r>
        <w:t xml:space="preserve">analytical results </w:t>
      </w:r>
      <w:r w:rsidRPr="00E85A21">
        <w:t>for</w:t>
      </w:r>
      <w:r>
        <w:rPr>
          <w:vertAlign w:val="subscript"/>
        </w:rPr>
        <w:t xml:space="preserve"> </w:t>
      </w:r>
      <w:r>
        <w:t>comparison with the HSL for F1. Likewise, naphthalene should be subtracted from &gt;C</w:t>
      </w:r>
      <w:r w:rsidRPr="003B7EB6">
        <w:rPr>
          <w:vertAlign w:val="subscript"/>
        </w:rPr>
        <w:t xml:space="preserve">10 </w:t>
      </w:r>
      <w:r>
        <w:t>– C</w:t>
      </w:r>
      <w:r w:rsidRPr="003B7EB6">
        <w:rPr>
          <w:vertAlign w:val="subscript"/>
        </w:rPr>
        <w:t>16</w:t>
      </w:r>
      <w:r>
        <w:rPr>
          <w:vertAlign w:val="subscript"/>
        </w:rPr>
        <w:t xml:space="preserve"> </w:t>
      </w:r>
      <w:r w:rsidRPr="00E85A21">
        <w:t xml:space="preserve">for </w:t>
      </w:r>
      <w:r w:rsidRPr="000F40A2">
        <w:t>comparison</w:t>
      </w:r>
      <w:r w:rsidRPr="00E85A21">
        <w:t xml:space="preserve"> with </w:t>
      </w:r>
      <w:r w:rsidR="00271CD8">
        <w:t>the HSL for F2.</w:t>
      </w:r>
    </w:p>
    <w:p w:rsidR="00FF4FD0" w:rsidRDefault="00FF4FD0" w:rsidP="00A97702"/>
    <w:p w:rsidR="00A97702" w:rsidRDefault="00A97702" w:rsidP="00A97702">
      <w:r>
        <w:t>Chemicals in the &gt;C</w:t>
      </w:r>
      <w:r w:rsidRPr="00477EEC">
        <w:rPr>
          <w:vertAlign w:val="subscript"/>
        </w:rPr>
        <w:t>16</w:t>
      </w:r>
      <w:r>
        <w:t>-C</w:t>
      </w:r>
      <w:r w:rsidRPr="00E85A21">
        <w:rPr>
          <w:vertAlign w:val="subscript"/>
        </w:rPr>
        <w:t>34</w:t>
      </w:r>
      <w:r>
        <w:t xml:space="preserve"> and &gt;C</w:t>
      </w:r>
      <w:r>
        <w:rPr>
          <w:vertAlign w:val="subscript"/>
        </w:rPr>
        <w:t>34</w:t>
      </w:r>
      <w:r>
        <w:t>-C</w:t>
      </w:r>
      <w:r w:rsidRPr="00C21C34">
        <w:rPr>
          <w:vertAlign w:val="subscript"/>
        </w:rPr>
        <w:t>4</w:t>
      </w:r>
      <w:r>
        <w:rPr>
          <w:vertAlign w:val="subscript"/>
        </w:rPr>
        <w:t>0</w:t>
      </w:r>
      <w:r>
        <w:t xml:space="preserve"> fractions are non-volatile and therefore not of concern for vapour intrusion, however, exposure can be via direct contact pathways (dermal contact and incidental ingestion and inhalation of soil particles). Direct contact HSLs for these fractions can be found in Friebel and Nadebaum (2011a).</w:t>
      </w:r>
    </w:p>
    <w:p w:rsidR="00A97702" w:rsidRDefault="00A97702" w:rsidP="00A97702">
      <w:pPr>
        <w:pStyle w:val="Heading3"/>
        <w:ind w:left="720" w:hanging="720"/>
      </w:pPr>
      <w:bookmarkStart w:id="20" w:name="_Toc351712025"/>
      <w:r>
        <w:t>Soil texture</w:t>
      </w:r>
      <w:bookmarkEnd w:id="20"/>
    </w:p>
    <w:p w:rsidR="00A97702" w:rsidRDefault="00A97702" w:rsidP="00A97702">
      <w:r>
        <w:t>HSLs for soil, groundwater and soil vapour have been developed for sand, silt and clay soils based on the US soil texture classification system (Friebel &amp; Nadebaum 2011a). The HSLs assume a uniform soil profile and the soil texture making up the greatest proportion of the soil profile should be used in selecting the appropriate HSLs (Friebel &amp; Nadebaum 2011a and 2011b).</w:t>
      </w:r>
    </w:p>
    <w:p w:rsidR="00FF4FD0" w:rsidRDefault="00FF4FD0" w:rsidP="00A97702"/>
    <w:p w:rsidR="00A97702" w:rsidRDefault="00A97702" w:rsidP="00A97702">
      <w:r w:rsidRPr="00706291">
        <w:t xml:space="preserve">For Tier 1 soil assessment, the HSL classifications of sand, silt and clay may be broadly applied to </w:t>
      </w:r>
      <w:r>
        <w:t>the</w:t>
      </w:r>
      <w:r w:rsidRPr="00706291">
        <w:t xml:space="preserve"> soil texture classification </w:t>
      </w:r>
      <w:r>
        <w:t>in Table A1 of Standard AS 1726</w:t>
      </w:r>
      <w:r w:rsidR="00271CD8">
        <w:t>.</w:t>
      </w:r>
    </w:p>
    <w:p w:rsidR="00A97702" w:rsidRDefault="00A97702" w:rsidP="00A97702">
      <w:pPr>
        <w:pStyle w:val="Caption"/>
      </w:pPr>
      <w:r w:rsidRPr="000800F8">
        <w:t>Table 2. HSL soil classification and equivalent soil classification in</w:t>
      </w:r>
      <w:r>
        <w:t xml:space="preserve"> </w:t>
      </w:r>
      <w:r w:rsidRPr="000800F8">
        <w:t>AS</w:t>
      </w:r>
      <w:r>
        <w:t xml:space="preserve"> </w:t>
      </w:r>
      <w:r w:rsidRPr="000800F8">
        <w:t>1726</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tblGrid>
      <w:tr w:rsidR="00A97702" w:rsidRPr="008C5453" w:rsidTr="00DA1C9D">
        <w:tc>
          <w:tcPr>
            <w:tcW w:w="1985" w:type="dxa"/>
            <w:shd w:val="clear" w:color="auto" w:fill="C6D9F1" w:themeFill="text2" w:themeFillTint="33"/>
          </w:tcPr>
          <w:p w:rsidR="00A97702" w:rsidRPr="008C5453" w:rsidRDefault="00A97702" w:rsidP="00DA1C9D">
            <w:pPr>
              <w:pStyle w:val="text"/>
              <w:jc w:val="center"/>
              <w:rPr>
                <w:b/>
                <w:szCs w:val="22"/>
              </w:rPr>
            </w:pPr>
            <w:r w:rsidRPr="008C5453">
              <w:rPr>
                <w:b/>
                <w:szCs w:val="22"/>
              </w:rPr>
              <w:t>HSL soil classification</w:t>
            </w:r>
          </w:p>
        </w:tc>
        <w:tc>
          <w:tcPr>
            <w:tcW w:w="5103" w:type="dxa"/>
            <w:shd w:val="clear" w:color="auto" w:fill="C6D9F1" w:themeFill="text2" w:themeFillTint="33"/>
          </w:tcPr>
          <w:p w:rsidR="00A97702" w:rsidRPr="008C5453" w:rsidRDefault="00A97702" w:rsidP="00DA1C9D">
            <w:pPr>
              <w:pStyle w:val="text"/>
              <w:jc w:val="center"/>
              <w:rPr>
                <w:b/>
                <w:szCs w:val="22"/>
              </w:rPr>
            </w:pPr>
            <w:r w:rsidRPr="008C5453">
              <w:rPr>
                <w:b/>
                <w:szCs w:val="22"/>
              </w:rPr>
              <w:t>AS 1726 Equivalent</w:t>
            </w:r>
          </w:p>
        </w:tc>
      </w:tr>
      <w:tr w:rsidR="00A97702" w:rsidRPr="008C5453" w:rsidTr="00DA1C9D">
        <w:tc>
          <w:tcPr>
            <w:tcW w:w="1985" w:type="dxa"/>
          </w:tcPr>
          <w:p w:rsidR="00A97702" w:rsidRPr="008C5453" w:rsidRDefault="00A97702" w:rsidP="00DA1C9D">
            <w:pPr>
              <w:pStyle w:val="text"/>
              <w:rPr>
                <w:szCs w:val="22"/>
              </w:rPr>
            </w:pPr>
            <w:r>
              <w:rPr>
                <w:szCs w:val="22"/>
              </w:rPr>
              <w:t>S</w:t>
            </w:r>
            <w:r w:rsidRPr="008C5453">
              <w:rPr>
                <w:szCs w:val="22"/>
              </w:rPr>
              <w:t>and</w:t>
            </w:r>
          </w:p>
        </w:tc>
        <w:tc>
          <w:tcPr>
            <w:tcW w:w="5103" w:type="dxa"/>
          </w:tcPr>
          <w:p w:rsidR="00A97702" w:rsidRPr="008C5453" w:rsidRDefault="00A97702" w:rsidP="00DA1C9D">
            <w:pPr>
              <w:pStyle w:val="text"/>
              <w:rPr>
                <w:szCs w:val="22"/>
              </w:rPr>
            </w:pPr>
            <w:r w:rsidRPr="008C5453">
              <w:rPr>
                <w:szCs w:val="22"/>
              </w:rPr>
              <w:t>Coarse-grained soil</w:t>
            </w:r>
          </w:p>
        </w:tc>
      </w:tr>
      <w:tr w:rsidR="00A97702" w:rsidRPr="008C5453" w:rsidTr="00DA1C9D">
        <w:tc>
          <w:tcPr>
            <w:tcW w:w="1985" w:type="dxa"/>
          </w:tcPr>
          <w:p w:rsidR="00A97702" w:rsidRPr="008C5453" w:rsidRDefault="00A97702" w:rsidP="00DA1C9D">
            <w:pPr>
              <w:pStyle w:val="text"/>
              <w:rPr>
                <w:szCs w:val="22"/>
              </w:rPr>
            </w:pPr>
            <w:r>
              <w:rPr>
                <w:szCs w:val="22"/>
              </w:rPr>
              <w:t>S</w:t>
            </w:r>
            <w:r w:rsidRPr="008C5453">
              <w:rPr>
                <w:szCs w:val="22"/>
              </w:rPr>
              <w:t>ilt</w:t>
            </w:r>
          </w:p>
        </w:tc>
        <w:tc>
          <w:tcPr>
            <w:tcW w:w="5103" w:type="dxa"/>
          </w:tcPr>
          <w:p w:rsidR="00A97702" w:rsidRPr="008C5453" w:rsidRDefault="00A97702" w:rsidP="00DA1C9D">
            <w:pPr>
              <w:pStyle w:val="text"/>
              <w:rPr>
                <w:szCs w:val="22"/>
              </w:rPr>
            </w:pPr>
            <w:r w:rsidRPr="008C5453">
              <w:rPr>
                <w:szCs w:val="22"/>
              </w:rPr>
              <w:t>Fine-grained soil - silts and clays (liquid limit &lt;50%)</w:t>
            </w:r>
          </w:p>
        </w:tc>
      </w:tr>
      <w:tr w:rsidR="00A97702" w:rsidRPr="008C5453" w:rsidTr="00DA1C9D">
        <w:tc>
          <w:tcPr>
            <w:tcW w:w="1985" w:type="dxa"/>
          </w:tcPr>
          <w:p w:rsidR="00A97702" w:rsidRPr="008C5453" w:rsidRDefault="00A97702" w:rsidP="00DA1C9D">
            <w:pPr>
              <w:pStyle w:val="text"/>
              <w:rPr>
                <w:szCs w:val="22"/>
              </w:rPr>
            </w:pPr>
            <w:r>
              <w:rPr>
                <w:szCs w:val="22"/>
              </w:rPr>
              <w:t>C</w:t>
            </w:r>
            <w:r w:rsidRPr="008C5453">
              <w:rPr>
                <w:szCs w:val="22"/>
              </w:rPr>
              <w:t>lay</w:t>
            </w:r>
          </w:p>
        </w:tc>
        <w:tc>
          <w:tcPr>
            <w:tcW w:w="5103" w:type="dxa"/>
          </w:tcPr>
          <w:p w:rsidR="00A97702" w:rsidRPr="008C5453" w:rsidRDefault="00A97702" w:rsidP="00DA1C9D">
            <w:pPr>
              <w:pStyle w:val="text"/>
              <w:rPr>
                <w:szCs w:val="22"/>
              </w:rPr>
            </w:pPr>
            <w:r w:rsidRPr="008C5453">
              <w:rPr>
                <w:szCs w:val="22"/>
              </w:rPr>
              <w:t>Fine-grained soil - silts and clays (liquid limit &gt;50%)</w:t>
            </w:r>
          </w:p>
        </w:tc>
      </w:tr>
    </w:tbl>
    <w:p w:rsidR="00A97702" w:rsidRDefault="00A97702" w:rsidP="00A97702">
      <w:r>
        <w:rPr>
          <w:vanish/>
        </w:rPr>
        <w:cr/>
      </w:r>
      <w:r>
        <w:t xml:space="preserve">Where </w:t>
      </w:r>
      <w:r w:rsidRPr="00706291">
        <w:t xml:space="preserve">there is </w:t>
      </w:r>
      <w:r>
        <w:t>reasonable doubt</w:t>
      </w:r>
      <w:r w:rsidRPr="00706291">
        <w:t xml:space="preserve"> as to the appropriate soil texture to select, either a conservative selection should be made </w:t>
      </w:r>
      <w:r>
        <w:t xml:space="preserve">(i.e. select coarsest applicable grain size such as sand) </w:t>
      </w:r>
      <w:r w:rsidRPr="00706291">
        <w:t>or laboratory analysis carried out to determine particle size</w:t>
      </w:r>
      <w:r>
        <w:t xml:space="preserve"> and hence </w:t>
      </w:r>
      <w:r w:rsidRPr="00706291">
        <w:t xml:space="preserve">soil texture </w:t>
      </w:r>
      <w:r>
        <w:t>sub-</w:t>
      </w:r>
      <w:r w:rsidRPr="00706291">
        <w:t>class</w:t>
      </w:r>
      <w:r>
        <w:t xml:space="preserve"> (refer Section 7.3.1 in Friebel and Nadebaum 2011b)</w:t>
      </w:r>
      <w:r w:rsidRPr="00706291">
        <w:t xml:space="preserve">. If </w:t>
      </w:r>
      <w:r>
        <w:t xml:space="preserve">particle size </w:t>
      </w:r>
      <w:r w:rsidRPr="00706291">
        <w:t xml:space="preserve">analysis is undertaken then </w:t>
      </w:r>
      <w:r>
        <w:t xml:space="preserve">laboratory </w:t>
      </w:r>
      <w:r w:rsidRPr="00706291">
        <w:t xml:space="preserve">measurement of </w:t>
      </w:r>
      <w:r>
        <w:lastRenderedPageBreak/>
        <w:t>additional parameters used in</w:t>
      </w:r>
      <w:r w:rsidRPr="00706291">
        <w:t xml:space="preserve"> site-specific </w:t>
      </w:r>
      <w:r>
        <w:t>risk</w:t>
      </w:r>
      <w:r w:rsidRPr="00706291">
        <w:t xml:space="preserve"> assessment</w:t>
      </w:r>
      <w:r>
        <w:t xml:space="preserve"> (such as soil moisture content, organic carbon content and saturation porosity</w:t>
      </w:r>
      <w:r>
        <w:rPr>
          <w:rFonts w:ascii="Arial" w:hAnsi="Arial" w:cs="Arial"/>
        </w:rPr>
        <w:t xml:space="preserve"> - r</w:t>
      </w:r>
      <w:r>
        <w:t>efer Friebel &amp; Nadebaum 2011b for further information) could also be considered if further assessment is possible</w:t>
      </w:r>
      <w:r w:rsidRPr="00706291">
        <w:t xml:space="preserve">. </w:t>
      </w:r>
      <w:r>
        <w:t>If laboratory measurement is undertaken, sufficient samples should be obtained and analysed to determine a representative value for each soil unit of interest for the ass</w:t>
      </w:r>
      <w:r w:rsidR="00271CD8">
        <w:t>essment.</w:t>
      </w:r>
    </w:p>
    <w:p w:rsidR="00A97702" w:rsidRDefault="00A97702" w:rsidP="00A97702">
      <w:pPr>
        <w:pStyle w:val="Heading3"/>
        <w:ind w:left="720" w:hanging="720"/>
      </w:pPr>
      <w:bookmarkStart w:id="21" w:name="_Toc351712026"/>
      <w:r>
        <w:t>Land use</w:t>
      </w:r>
      <w:bookmarkEnd w:id="21"/>
    </w:p>
    <w:p w:rsidR="00A97702" w:rsidRDefault="00A97702" w:rsidP="00A97702">
      <w:r>
        <w:t>The HSLs are derived for various depths to source and for the same generic land uses as for the HILs (described in detail in Schedule B7). The values for residential A and B are combined in the HSL tables as they are based on the same exposure conditions for the vapour inhalation pathway (i.e. the same</w:t>
      </w:r>
      <w:r w:rsidR="00271CD8">
        <w:t xml:space="preserve"> amount of time spent indoors).</w:t>
      </w:r>
    </w:p>
    <w:p w:rsidR="00FF4FD0" w:rsidRDefault="00FF4FD0" w:rsidP="00A97702"/>
    <w:p w:rsidR="00A97702" w:rsidRDefault="00A97702" w:rsidP="00A97702">
      <w:r>
        <w:t>The HSLs are applicable to ground floor land use. If the vapour exposure is acceptable at ground level, it can be assumed that it is also acceptable for floors above ground level.  For multistorey buildings where non-residential uses (e.g. car parking or commercial use) exist in a basement or at ground level, then land use category D (commercial</w:t>
      </w:r>
      <w:r w:rsidR="00271CD8">
        <w:t>/industrial) should be applied.</w:t>
      </w:r>
    </w:p>
    <w:p w:rsidR="00FF4FD0" w:rsidRDefault="00FF4FD0" w:rsidP="00A97702"/>
    <w:p w:rsidR="00A97702" w:rsidRDefault="00A97702" w:rsidP="00A97702">
      <w:r>
        <w:t>Any sensitive land uses e.g. childcare or day care centre will require application of HSL A irrespective of their planning zoning.  Secondary school buildings (as opposed to secondary school grounds) should also be assessed using HSL A.</w:t>
      </w:r>
    </w:p>
    <w:p w:rsidR="00A97702" w:rsidRDefault="00A97702" w:rsidP="00A97702">
      <w:pPr>
        <w:pStyle w:val="Heading3"/>
        <w:ind w:left="720" w:hanging="720"/>
      </w:pPr>
      <w:bookmarkStart w:id="22" w:name="_Toc351712027"/>
      <w:r>
        <w:t xml:space="preserve">Adjusting </w:t>
      </w:r>
      <w:r w:rsidRPr="00C60370">
        <w:t xml:space="preserve"> HSLs</w:t>
      </w:r>
      <w:r>
        <w:t xml:space="preserve"> to site-specific circumstances</w:t>
      </w:r>
      <w:bookmarkEnd w:id="22"/>
    </w:p>
    <w:p w:rsidR="00A97702" w:rsidRDefault="00A97702" w:rsidP="00A97702">
      <w:r w:rsidRPr="000665EA">
        <w:t>The HSL methodology enables parameter inputs to be changed to more accurately reflect local soil, site or building conditions</w:t>
      </w:r>
      <w:r>
        <w:t>.</w:t>
      </w:r>
      <w:r w:rsidRPr="000665EA">
        <w:t xml:space="preserve"> Input parameters should be </w:t>
      </w:r>
      <w:r>
        <w:t xml:space="preserve">selected to be </w:t>
      </w:r>
      <w:r w:rsidRPr="000665EA">
        <w:t xml:space="preserve">representative of long-term </w:t>
      </w:r>
      <w:r>
        <w:t xml:space="preserve">stable </w:t>
      </w:r>
      <w:r w:rsidRPr="000665EA">
        <w:t>conditions</w:t>
      </w:r>
      <w:r>
        <w:t xml:space="preserve"> and appropriate to the soil unit/aquifer of concern</w:t>
      </w:r>
      <w:r w:rsidRPr="000665EA">
        <w:t xml:space="preserve"> </w:t>
      </w:r>
      <w:r>
        <w:t>e.g. moisture content may vary seasonally and may also be different beneath buildings.</w:t>
      </w:r>
      <w:r w:rsidRPr="000665EA">
        <w:t xml:space="preserve"> </w:t>
      </w:r>
      <w:r w:rsidRPr="00CF3979">
        <w:t>Where insufficient data is available to establish a representative value, a conservative approach should be taken, for</w:t>
      </w:r>
      <w:r w:rsidRPr="000665EA">
        <w:t xml:space="preserve"> example, by assuming dry soil moisture conditions in sand. The </w:t>
      </w:r>
      <w:r>
        <w:t xml:space="preserve">HSL </w:t>
      </w:r>
      <w:r w:rsidRPr="000665EA">
        <w:t>application and sensitivity documents (Friebel &amp; Nadebaum 2011b</w:t>
      </w:r>
      <w:r>
        <w:t>, 2011</w:t>
      </w:r>
      <w:r w:rsidRPr="000665EA">
        <w:t>c) provide further details. Jurisdictions may also adopt policies to vary the HSLs to account for local conditions.</w:t>
      </w:r>
    </w:p>
    <w:p w:rsidR="00FF4FD0" w:rsidRDefault="00FF4FD0" w:rsidP="00A97702"/>
    <w:p w:rsidR="00A97702" w:rsidRDefault="00A97702" w:rsidP="00A97702">
      <w:r>
        <w:t>For example, air exchange rates have been set at 0.6 building volumes/hr which may not be appropriate for buildings designed for tropical and cold climates. Similarly, soil moisture has a significant effect on penetration of volatiles into buildings.</w:t>
      </w:r>
    </w:p>
    <w:p w:rsidR="00FF4FD0" w:rsidRDefault="00FF4FD0" w:rsidP="00A97702"/>
    <w:p w:rsidR="00A97702" w:rsidRDefault="00A97702" w:rsidP="00A97702">
      <w:r>
        <w:t>The HSL derivation has assumed a slab-on-ground construction. Elevated buildings on concrete supports or timber poles with no direct floor contact with the soil and clear underfloor ventilation are at lower risk of penetration of volatiles and the risk decreases with the elevation of the floor above ground. The state of the slab will require consideration if it has deteriorated, as cracks can act as preferential pathways.</w:t>
      </w:r>
    </w:p>
    <w:p w:rsidR="00A97702" w:rsidRDefault="00A97702" w:rsidP="00A97702">
      <w:pPr>
        <w:pStyle w:val="Heading3"/>
        <w:ind w:left="720" w:hanging="720"/>
      </w:pPr>
      <w:bookmarkStart w:id="23" w:name="_Toc351712028"/>
      <w:r w:rsidRPr="00853054">
        <w:t>Biodegradation</w:t>
      </w:r>
      <w:bookmarkEnd w:id="23"/>
    </w:p>
    <w:p w:rsidR="00A97702" w:rsidRDefault="00A97702" w:rsidP="00A97702">
      <w:r>
        <w:t>Recent research on underslab biodegradation of petroleum hydrocarbon contamination is reported in Davis et al. (2009a and 2009b). This research identified that the following site conditions are conducive to biodegradation of petroleum hydrocarbo</w:t>
      </w:r>
      <w:r w:rsidR="00271CD8">
        <w:t>n compounds in the sub-surface:</w:t>
      </w:r>
    </w:p>
    <w:p w:rsidR="00A97702" w:rsidRDefault="00A97702" w:rsidP="00A97702">
      <w:pPr>
        <w:pStyle w:val="Dot-points"/>
        <w:tabs>
          <w:tab w:val="clear" w:pos="926"/>
          <w:tab w:val="num" w:pos="360"/>
        </w:tabs>
      </w:pPr>
      <w:r>
        <w:t>the presence of oxygen at concentrations greater than 5% in soil vapour at a depth 1 m below the surface immediately adjacent to the concrete slab</w:t>
      </w:r>
    </w:p>
    <w:p w:rsidR="00A97702" w:rsidRDefault="00A97702" w:rsidP="00A97702">
      <w:r>
        <w:t>and</w:t>
      </w:r>
    </w:p>
    <w:p w:rsidR="00A97702" w:rsidRDefault="00A97702" w:rsidP="00A97702">
      <w:pPr>
        <w:pStyle w:val="Dot-points"/>
        <w:tabs>
          <w:tab w:val="clear" w:pos="926"/>
          <w:tab w:val="num" w:pos="360"/>
        </w:tabs>
      </w:pPr>
      <w:r>
        <w:t>a maximum slab width of less than 15 m, with oxygen access on both sides of the slab</w:t>
      </w:r>
      <w:r w:rsidRPr="00340D3D">
        <w:t xml:space="preserve"> </w:t>
      </w:r>
      <w:r>
        <w:t>for Tier 1 screening purposes. A distance of 7</w:t>
      </w:r>
      <w:r>
        <w:sym w:font="Symbol" w:char="F02D"/>
      </w:r>
      <w:r>
        <w:t>8 m from the exposed soil at the slab boundary is considered the maximum lateral u</w:t>
      </w:r>
      <w:r w:rsidR="00271CD8">
        <w:t>nderslab penetration of oxygen.</w:t>
      </w:r>
    </w:p>
    <w:p w:rsidR="00A97702" w:rsidRDefault="00A97702" w:rsidP="00A97702">
      <w:r w:rsidRPr="00EA63D6">
        <w:t>It is noted that the</w:t>
      </w:r>
      <w:r w:rsidRPr="00623CF1">
        <w:t xml:space="preserve"> measurement of oxygen in the soil</w:t>
      </w:r>
      <w:r>
        <w:t xml:space="preserve"> profile can be difficult and care should be taken when using this data to support biodegradation.</w:t>
      </w:r>
    </w:p>
    <w:p w:rsidR="00FF4FD0" w:rsidRDefault="00FF4FD0" w:rsidP="00A97702"/>
    <w:p w:rsidR="00A97702" w:rsidRDefault="00A97702" w:rsidP="00A97702">
      <w:r>
        <w:t>If these conditions are fulfilled, biodegradation factors can be applied to the vapour intrusion HSLs as follows:</w:t>
      </w:r>
    </w:p>
    <w:p w:rsidR="00A97702" w:rsidRDefault="00A97702" w:rsidP="00A97702">
      <w:pPr>
        <w:pStyle w:val="Dot-points"/>
        <w:tabs>
          <w:tab w:val="clear" w:pos="926"/>
          <w:tab w:val="num" w:pos="360"/>
        </w:tabs>
      </w:pPr>
      <w:r>
        <w:t>factor of x10 for depths to source of 2 to &lt;4 m and</w:t>
      </w:r>
    </w:p>
    <w:p w:rsidR="00A97702" w:rsidRDefault="00A97702" w:rsidP="00A97702">
      <w:pPr>
        <w:pStyle w:val="Dot-points"/>
        <w:tabs>
          <w:tab w:val="clear" w:pos="926"/>
          <w:tab w:val="num" w:pos="360"/>
        </w:tabs>
      </w:pPr>
      <w:r>
        <w:t>factor of x100 for depths to source of 4 m and greater where the vapour source strength is 100 mg/L (100,000 mg/m</w:t>
      </w:r>
      <w:r w:rsidRPr="0024426F">
        <w:rPr>
          <w:vertAlign w:val="superscript"/>
        </w:rPr>
        <w:t>3</w:t>
      </w:r>
      <w:r>
        <w:t>) or less.</w:t>
      </w:r>
    </w:p>
    <w:p w:rsidR="00A97702" w:rsidRDefault="00A97702" w:rsidP="00A97702">
      <w:r>
        <w:t xml:space="preserve">The biodegradation factors above are not applicable for depths of less than 2 m. For the purpose of this </w:t>
      </w:r>
      <w:r>
        <w:rPr>
          <w:color w:val="000000"/>
        </w:rPr>
        <w:t>NEPM</w:t>
      </w:r>
      <w:r w:rsidRPr="00F30649">
        <w:rPr>
          <w:color w:val="000000"/>
        </w:rPr>
        <w:t>,</w:t>
      </w:r>
      <w:r>
        <w:rPr>
          <w:color w:val="FF0000"/>
        </w:rPr>
        <w:t xml:space="preserve"> </w:t>
      </w:r>
      <w:r w:rsidRPr="00AF55CD">
        <w:t xml:space="preserve">assessment </w:t>
      </w:r>
      <w:r>
        <w:t>including</w:t>
      </w:r>
      <w:r w:rsidRPr="00AF55CD">
        <w:t xml:space="preserve"> biodegradation </w:t>
      </w:r>
      <w:r>
        <w:t xml:space="preserve">of petroleum hydrocarbons </w:t>
      </w:r>
      <w:r w:rsidRPr="00AF55CD">
        <w:t>is considered a Tier</w:t>
      </w:r>
      <w:r>
        <w:t xml:space="preserve"> </w:t>
      </w:r>
      <w:r w:rsidRPr="00AF55CD">
        <w:t>1 activity.</w:t>
      </w:r>
    </w:p>
    <w:p w:rsidR="00FF4FD0" w:rsidRPr="00AF55CD" w:rsidRDefault="00FF4FD0" w:rsidP="00A97702"/>
    <w:p w:rsidR="00A97702" w:rsidRDefault="00A97702" w:rsidP="00A97702">
      <w:r>
        <w:t xml:space="preserve">Application of the biodegradation factors described above may result in levels of TPH, BTEX and naphthalene that are acceptable for human health risk from the vapour exposure pathway for the specific land </w:t>
      </w:r>
      <w:r w:rsidRPr="003D49EB">
        <w:t>use</w:t>
      </w:r>
      <w:r>
        <w:t xml:space="preserve"> but which may not be acceptable for protection of the environment or water resources or from an aesthetics perspective.</w:t>
      </w:r>
      <w:r w:rsidRPr="003D49EB">
        <w:t xml:space="preserve"> </w:t>
      </w:r>
      <w:r>
        <w:t>S</w:t>
      </w:r>
      <w:r w:rsidRPr="003D49EB">
        <w:t>ite results should be considered with reference to</w:t>
      </w:r>
      <w:r>
        <w:t xml:space="preserve"> relevant ecological and ’management levels‘(refer Sections </w:t>
      </w:r>
      <w:r w:rsidRPr="004837AC">
        <w:t>2.5 and 2.9)</w:t>
      </w:r>
      <w:r>
        <w:t xml:space="preserve"> which may become the predominant risk driver. Management levels should be applied after human health, ecological risks and risks to groundwater resources have been assessed.</w:t>
      </w:r>
    </w:p>
    <w:p w:rsidR="00A97702" w:rsidRDefault="00A97702" w:rsidP="00A97702">
      <w:pPr>
        <w:pStyle w:val="Heading3"/>
        <w:ind w:left="720" w:hanging="720"/>
      </w:pPr>
      <w:bookmarkStart w:id="24" w:name="_Toc351712029"/>
      <w:r>
        <w:t>Direct contact HSLs</w:t>
      </w:r>
      <w:bookmarkEnd w:id="24"/>
    </w:p>
    <w:p w:rsidR="00A97702" w:rsidRDefault="00A97702" w:rsidP="00A97702">
      <w:r w:rsidRPr="00355521">
        <w:t>Direct contact HSLs have been developed for exposure through dermal contact</w:t>
      </w:r>
      <w:r>
        <w:t>, incidental</w:t>
      </w:r>
      <w:r w:rsidRPr="00355521">
        <w:t xml:space="preserve"> </w:t>
      </w:r>
      <w:r>
        <w:t xml:space="preserve">oral </w:t>
      </w:r>
      <w:r w:rsidRPr="00355521">
        <w:t xml:space="preserve">ingestion and </w:t>
      </w:r>
      <w:r>
        <w:t xml:space="preserve">dust </w:t>
      </w:r>
      <w:r w:rsidRPr="00355521">
        <w:t>inhalation</w:t>
      </w:r>
      <w:r>
        <w:t xml:space="preserve"> and then combined as a single HSL for direct contact with soil</w:t>
      </w:r>
      <w:r w:rsidRPr="00355521">
        <w:t xml:space="preserve"> (Friebel &amp; Nadebaum, 2011a).  For most site assessments, the direct contact HSLs are unlikely to become drivers for further investigation or site management as the values are </w:t>
      </w:r>
      <w:r>
        <w:t xml:space="preserve">significantly </w:t>
      </w:r>
      <w:r w:rsidRPr="00355521">
        <w:t>higher than most other soil screening levels</w:t>
      </w:r>
      <w:r>
        <w:t xml:space="preserve"> and consequently have not been included here. </w:t>
      </w:r>
      <w:r w:rsidRPr="00355521">
        <w:t xml:space="preserve"> </w:t>
      </w:r>
      <w:r>
        <w:t>There are situations where the combined vapour and direct contact pathways can make a difference to the outcome of the assessment. For further information on considering combined vapour and direct contact exposure, refer to Section 3.3 of Friebel and Nadebaum (2011b). The combined HSLs for direct contact can be found in Appendix A of Friebel &amp; Nadebaum</w:t>
      </w:r>
      <w:r w:rsidRPr="00355521">
        <w:t xml:space="preserve"> </w:t>
      </w:r>
      <w:r>
        <w:t>(</w:t>
      </w:r>
      <w:r w:rsidRPr="00355521">
        <w:t>2011a</w:t>
      </w:r>
      <w:r>
        <w:t>).</w:t>
      </w:r>
    </w:p>
    <w:p w:rsidR="00FF4FD0" w:rsidRDefault="00FF4FD0" w:rsidP="00A97702"/>
    <w:p w:rsidR="00A97702" w:rsidRDefault="00A97702" w:rsidP="00A97702">
      <w:r w:rsidRPr="00355521">
        <w:t xml:space="preserve">Contamination at the levels of the direct contact HSLs </w:t>
      </w:r>
      <w:r>
        <w:t>are likely to</w:t>
      </w:r>
      <w:r w:rsidRPr="00355521">
        <w:t xml:space="preserve"> present unacce</w:t>
      </w:r>
      <w:r>
        <w:t>ptable aesthetic considerations which should be addressed in accordance with the discussion in Section 3.6.</w:t>
      </w:r>
      <w:r w:rsidRPr="00355521">
        <w:t xml:space="preserve">  Exposure to a contaminated surface (other than of short and temporary duration) at the levels of the direct contact HSLs may also cause an unacceptable short</w:t>
      </w:r>
      <w:r>
        <w:t>-</w:t>
      </w:r>
      <w:r w:rsidRPr="00355521">
        <w:t>term vapour exposure risk.</w:t>
      </w:r>
    </w:p>
    <w:p w:rsidR="00A97702" w:rsidRDefault="00A97702" w:rsidP="00A97702">
      <w:pPr>
        <w:pStyle w:val="Heading3"/>
        <w:ind w:left="720" w:hanging="720"/>
      </w:pPr>
      <w:bookmarkStart w:id="25" w:name="_Toc351712030"/>
      <w:r w:rsidRPr="00C60370">
        <w:t xml:space="preserve">HSLs and </w:t>
      </w:r>
      <w:r>
        <w:t>m</w:t>
      </w:r>
      <w:r w:rsidRPr="00C60370">
        <w:t>ultiple</w:t>
      </w:r>
      <w:r>
        <w:t>-l</w:t>
      </w:r>
      <w:r w:rsidRPr="00C60370">
        <w:t>ines</w:t>
      </w:r>
      <w:r>
        <w:t>-</w:t>
      </w:r>
      <w:r w:rsidRPr="00C60370">
        <w:t>of</w:t>
      </w:r>
      <w:r>
        <w:t>-e</w:t>
      </w:r>
      <w:r w:rsidRPr="00C60370">
        <w:t xml:space="preserve">vidence </w:t>
      </w:r>
      <w:r>
        <w:t>a</w:t>
      </w:r>
      <w:r w:rsidRPr="00C60370">
        <w:t>pproach</w:t>
      </w:r>
      <w:bookmarkEnd w:id="25"/>
    </w:p>
    <w:p w:rsidR="00A97702" w:rsidRDefault="00A97702" w:rsidP="00A97702">
      <w:r w:rsidRPr="00ED261C">
        <w:t xml:space="preserve">For </w:t>
      </w:r>
      <w:r>
        <w:t>an</w:t>
      </w:r>
      <w:r w:rsidRPr="00ED261C">
        <w:t xml:space="preserve"> assessor to conclude that the vapour intrusion/emission pathways are unlikely to be active or to present a significant risk, </w:t>
      </w:r>
      <w:r>
        <w:t xml:space="preserve">the assessor should undertake a </w:t>
      </w:r>
      <w:r w:rsidRPr="00ED261C">
        <w:t>multiple</w:t>
      </w:r>
      <w:r>
        <w:t>-</w:t>
      </w:r>
      <w:r w:rsidRPr="00ED261C">
        <w:t>lines</w:t>
      </w:r>
      <w:r>
        <w:t>-</w:t>
      </w:r>
      <w:r w:rsidRPr="00ED261C">
        <w:t>of</w:t>
      </w:r>
      <w:r>
        <w:t>-</w:t>
      </w:r>
      <w:r w:rsidRPr="00ED261C">
        <w:t xml:space="preserve">evidence </w:t>
      </w:r>
      <w:r>
        <w:t>approach</w:t>
      </w:r>
      <w:r w:rsidRPr="00ED261C">
        <w:t xml:space="preserve">. This requires the assessor to present </w:t>
      </w:r>
      <w:r>
        <w:t>several</w:t>
      </w:r>
      <w:r w:rsidRPr="00ED261C">
        <w:t xml:space="preserve"> reasoned line</w:t>
      </w:r>
      <w:r>
        <w:t>s</w:t>
      </w:r>
      <w:r w:rsidRPr="00ED261C">
        <w:t xml:space="preserve"> of evidence as to why the pathway is considered inactive</w:t>
      </w:r>
      <w:r>
        <w:t xml:space="preserve"> or is </w:t>
      </w:r>
      <w:r w:rsidRPr="00ED261C">
        <w:t>unlikely to present a significant risk.</w:t>
      </w:r>
    </w:p>
    <w:p w:rsidR="00FF4FD0" w:rsidRDefault="00FF4FD0" w:rsidP="00A97702"/>
    <w:p w:rsidR="00A97702" w:rsidRDefault="00A97702" w:rsidP="00A97702">
      <w:r>
        <w:t>The soil and groundwater HSLs provide the principal assessment criteria for open excavations (such as tank removal operations) while greater emphasis is placed on soil vapour HSLs in assessing potential vapour intrusion risks from hydrocarbon sources and groundwater plumes adjacent to or under buildings. In general, evaluating all contaminant phases will provide greater confidence in the o</w:t>
      </w:r>
      <w:r w:rsidR="00271CD8">
        <w:t>utcomes of the site assessment.</w:t>
      </w:r>
    </w:p>
    <w:p w:rsidR="00FF4FD0" w:rsidRDefault="00FF4FD0" w:rsidP="00A97702"/>
    <w:p w:rsidR="00A97702" w:rsidRDefault="00A97702" w:rsidP="00A97702">
      <w:r>
        <w:t>Soil vapour measurements can provide a more accurate representation of vapour risks (compared with the soil and groundwater HSLs), depending on site-specific conditions e.g.</w:t>
      </w:r>
      <w:r w:rsidRPr="00107303">
        <w:t xml:space="preserve"> </w:t>
      </w:r>
      <w:r>
        <w:t xml:space="preserve">where soil vapour can be measured directly under conditions that are relevant to the future or continuing use of the site. In high moisture conditions, however, such as occur within the capillary fringe or as a result of seasonal watertable fluctuations, it is not possible to obtain reliable soil vapour readings. In these conditions, consideration may be given to obtaining vapour headspace readings from appropriately constructed </w:t>
      </w:r>
      <w:r>
        <w:lastRenderedPageBreak/>
        <w:t>groundwater monitoring wells fitted with a soil vapour monitoring cap that seals the groundwater w</w:t>
      </w:r>
      <w:r w:rsidR="00271CD8">
        <w:t>ell from the atmosphere.</w:t>
      </w:r>
    </w:p>
    <w:p w:rsidR="00FF4FD0" w:rsidRDefault="00FF4FD0" w:rsidP="00A97702"/>
    <w:p w:rsidR="00A97702" w:rsidRDefault="00A97702" w:rsidP="00A97702">
      <w:r>
        <w:t>Soil vapour measurements are also preferred where contaminated groundwater is present at less than 2 m below the ground or basement foundation, though in fine-grained soils the ability to obtain soil vapour measurements may be constrained by moisture conditions, as the thickness of the capillary fringe increases</w:t>
      </w:r>
      <w:r w:rsidR="00271CD8">
        <w:t xml:space="preserve"> as the soil texture decreases.</w:t>
      </w:r>
    </w:p>
    <w:p w:rsidR="00FF4FD0" w:rsidRDefault="00FF4FD0" w:rsidP="00A97702"/>
    <w:p w:rsidR="00A97702" w:rsidRDefault="00A97702" w:rsidP="00A97702">
      <w:r>
        <w:t>Where the watertable rises seasonally to intersect basements or building foundations, indoor air measurements will be required to assess vapour risk. The assessment approach may also include soil vapour measurements taken in the dry season as part of a multiple-lines-of-evidence approach.</w:t>
      </w:r>
    </w:p>
    <w:p w:rsidR="00FF4FD0" w:rsidRDefault="00FF4FD0" w:rsidP="00A97702"/>
    <w:p w:rsidR="00A97702" w:rsidRDefault="00A97702" w:rsidP="00A97702">
      <w:r>
        <w:t>Additional information on vapour assessment and the multiple-lines-of-evidence approach is provided in Section 9.2 of Schedule B2 and Friebel and Nadebaum (2011a, 2011b).</w:t>
      </w:r>
    </w:p>
    <w:p w:rsidR="00A97702" w:rsidRDefault="00A97702" w:rsidP="00A97702">
      <w:pPr>
        <w:pStyle w:val="Heading3"/>
        <w:ind w:left="720" w:hanging="720"/>
      </w:pPr>
      <w:bookmarkStart w:id="26" w:name="_Toc351712031"/>
      <w:r>
        <w:t>Limitations of the</w:t>
      </w:r>
      <w:r w:rsidRPr="00C60370">
        <w:t xml:space="preserve"> HSLs</w:t>
      </w:r>
      <w:bookmarkEnd w:id="26"/>
      <w:r>
        <w:t xml:space="preserve"> </w:t>
      </w:r>
    </w:p>
    <w:p w:rsidR="00A97702" w:rsidRDefault="00A97702" w:rsidP="00A97702">
      <w:r>
        <w:t>As with all generic screening levels, actual site-specific conditions may mean that the assumptions underpinning the derivation of the screening levels are not valid for the site and consequently a site-specific assessment will be required. The principal limitations applicable to the HSLs are listed in Table 3 below, together with suggested alternative assessment approaches.</w:t>
      </w:r>
    </w:p>
    <w:p w:rsidR="00A97702" w:rsidRDefault="00A97702" w:rsidP="00A97702">
      <w:pPr>
        <w:pStyle w:val="text"/>
        <w:pBdr>
          <w:top w:val="single" w:sz="4" w:space="1" w:color="auto"/>
          <w:left w:val="single" w:sz="4" w:space="4" w:color="auto"/>
          <w:bottom w:val="single" w:sz="4" w:space="1" w:color="auto"/>
          <w:right w:val="single" w:sz="4" w:space="4" w:color="auto"/>
        </w:pBdr>
        <w:jc w:val="center"/>
      </w:pPr>
      <w:r>
        <w:t>I</w:t>
      </w:r>
      <w:r w:rsidRPr="00997FAE">
        <w:rPr>
          <w:b/>
        </w:rPr>
        <w:t>mmediate action should be taken where potentially explosive or acutely toxic gas concentrations are present in buildings or in-ground services (</w:t>
      </w:r>
      <w:r>
        <w:rPr>
          <w:b/>
        </w:rPr>
        <w:t xml:space="preserve">e.g. </w:t>
      </w:r>
      <w:r w:rsidRPr="00997FAE">
        <w:rPr>
          <w:b/>
        </w:rPr>
        <w:t>utility trenches, sumps or drains) connecting a vapour source to a building. Emergency management actions, such as relocation of building occupants, should be implemented as necessary.</w:t>
      </w:r>
    </w:p>
    <w:p w:rsidR="00A97702" w:rsidRDefault="00A97702" w:rsidP="00A97702"/>
    <w:p w:rsidR="00A97702" w:rsidRPr="0010014B" w:rsidRDefault="00A97702" w:rsidP="00A97702">
      <w:pPr>
        <w:pStyle w:val="Caption"/>
      </w:pPr>
      <w:r w:rsidRPr="000800F8">
        <w:t xml:space="preserve">Table 3.  Site scenarios where the application of the HSLs is limited and possible alternative </w:t>
      </w:r>
      <w:r>
        <w:t>assessment</w:t>
      </w:r>
      <w:r w:rsidRPr="0010014B">
        <w:t xml:space="preserve"> </w:t>
      </w:r>
      <w:r w:rsidRPr="000800F8">
        <w:t>approach</w:t>
      </w:r>
      <w:r w:rsidR="00271CD8">
        <w: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4267"/>
      </w:tblGrid>
      <w:tr w:rsidR="00A97702" w:rsidRPr="00293AB0" w:rsidTr="00DA1C9D">
        <w:tc>
          <w:tcPr>
            <w:tcW w:w="4913" w:type="dxa"/>
            <w:shd w:val="clear" w:color="auto" w:fill="C6D9F1" w:themeFill="text2" w:themeFillTint="33"/>
          </w:tcPr>
          <w:p w:rsidR="00A97702" w:rsidRPr="00853054" w:rsidRDefault="00A97702" w:rsidP="00DA1C9D">
            <w:pPr>
              <w:jc w:val="center"/>
              <w:rPr>
                <w:b/>
              </w:rPr>
            </w:pPr>
            <w:r w:rsidRPr="00853054">
              <w:rPr>
                <w:b/>
              </w:rPr>
              <w:t>Site scenario</w:t>
            </w:r>
          </w:p>
        </w:tc>
        <w:tc>
          <w:tcPr>
            <w:tcW w:w="4267" w:type="dxa"/>
            <w:shd w:val="clear" w:color="auto" w:fill="C6D9F1" w:themeFill="text2" w:themeFillTint="33"/>
          </w:tcPr>
          <w:p w:rsidR="00A97702" w:rsidRPr="00853054" w:rsidRDefault="00A97702" w:rsidP="00DA1C9D">
            <w:pPr>
              <w:jc w:val="center"/>
              <w:rPr>
                <w:b/>
              </w:rPr>
            </w:pPr>
            <w:r w:rsidRPr="00853054">
              <w:rPr>
                <w:b/>
              </w:rPr>
              <w:t>Alternative assessment approach</w:t>
            </w:r>
          </w:p>
        </w:tc>
      </w:tr>
      <w:tr w:rsidR="00A97702" w:rsidTr="00DA1C9D">
        <w:tc>
          <w:tcPr>
            <w:tcW w:w="4913" w:type="dxa"/>
          </w:tcPr>
          <w:p w:rsidR="00A97702" w:rsidRPr="0010014B" w:rsidRDefault="00A97702" w:rsidP="00DA1C9D">
            <w:r>
              <w:t>T</w:t>
            </w:r>
            <w:r w:rsidRPr="000800F8">
              <w:t>he identified contamination has an atypical petrole</w:t>
            </w:r>
            <w:r w:rsidR="00271CD8">
              <w:t>um composition</w:t>
            </w:r>
          </w:p>
          <w:p w:rsidR="00A97702" w:rsidRPr="0010014B" w:rsidRDefault="00A97702" w:rsidP="00DA1C9D"/>
        </w:tc>
        <w:tc>
          <w:tcPr>
            <w:tcW w:w="4267" w:type="dxa"/>
          </w:tcPr>
          <w:p w:rsidR="00A97702" w:rsidRPr="00DE0AA7" w:rsidRDefault="00A97702" w:rsidP="00DA1C9D">
            <w:r>
              <w:t>S</w:t>
            </w:r>
            <w:r w:rsidRPr="000800F8">
              <w:t>ite-specific risk assessment including assessment of cumulative effects of chemical constituents</w:t>
            </w:r>
          </w:p>
        </w:tc>
      </w:tr>
      <w:tr w:rsidR="00A97702" w:rsidTr="00DA1C9D">
        <w:tc>
          <w:tcPr>
            <w:tcW w:w="4913" w:type="dxa"/>
          </w:tcPr>
          <w:p w:rsidR="00A97702" w:rsidRPr="00DE0AA7" w:rsidRDefault="00A97702" w:rsidP="00DA1C9D">
            <w:r>
              <w:t>C</w:t>
            </w:r>
            <w:r w:rsidRPr="000800F8">
              <w:t>ontaminated groundwater or LNAPL is entering or is in contact with a basement or building foundation</w:t>
            </w:r>
          </w:p>
        </w:tc>
        <w:tc>
          <w:tcPr>
            <w:tcW w:w="4267" w:type="dxa"/>
          </w:tcPr>
          <w:p w:rsidR="00A97702" w:rsidRPr="00DE0AA7" w:rsidRDefault="00A97702" w:rsidP="00DA1C9D">
            <w:r>
              <w:t>C</w:t>
            </w:r>
            <w:r w:rsidRPr="000800F8">
              <w:t>onsider indoor air sampling</w:t>
            </w:r>
          </w:p>
        </w:tc>
      </w:tr>
      <w:tr w:rsidR="00A97702" w:rsidTr="00DA1C9D">
        <w:tc>
          <w:tcPr>
            <w:tcW w:w="4913" w:type="dxa"/>
          </w:tcPr>
          <w:p w:rsidR="00A97702" w:rsidRPr="00DE0AA7" w:rsidRDefault="00A97702" w:rsidP="00DA1C9D">
            <w:r>
              <w:t>D</w:t>
            </w:r>
            <w:r w:rsidRPr="000800F8">
              <w:t>epth to groundwater impact is less than 2 m</w:t>
            </w:r>
          </w:p>
        </w:tc>
        <w:tc>
          <w:tcPr>
            <w:tcW w:w="4267" w:type="dxa"/>
          </w:tcPr>
          <w:p w:rsidR="00A97702" w:rsidRPr="00DE0AA7" w:rsidRDefault="00A97702" w:rsidP="00DA1C9D">
            <w:r>
              <w:t>C</w:t>
            </w:r>
            <w:r w:rsidRPr="000800F8">
              <w:t>onsider soil vapour measurements for vapour intrusion</w:t>
            </w:r>
          </w:p>
        </w:tc>
      </w:tr>
      <w:tr w:rsidR="00A97702" w:rsidTr="00DA1C9D">
        <w:tc>
          <w:tcPr>
            <w:tcW w:w="4913" w:type="dxa"/>
          </w:tcPr>
          <w:p w:rsidR="00A97702" w:rsidRPr="0010014B" w:rsidRDefault="00A97702" w:rsidP="00DA1C9D">
            <w:r>
              <w:t>T</w:t>
            </w:r>
            <w:r w:rsidRPr="000800F8">
              <w:t>he impacted soil source thickness is significantly greater than 2 m</w:t>
            </w:r>
          </w:p>
          <w:p w:rsidR="00A97702" w:rsidRPr="0010014B" w:rsidRDefault="00A97702" w:rsidP="00DA1C9D"/>
        </w:tc>
        <w:tc>
          <w:tcPr>
            <w:tcW w:w="4267" w:type="dxa"/>
          </w:tcPr>
          <w:p w:rsidR="00A97702" w:rsidRPr="00DE0AA7" w:rsidRDefault="00A97702" w:rsidP="00DA1C9D">
            <w:r w:rsidRPr="000800F8">
              <w:t>HSLs may be conservative for thinner soil sources. For t</w:t>
            </w:r>
            <w:r>
              <w:t xml:space="preserve">hicker soil sources, refer to Section </w:t>
            </w:r>
            <w:r w:rsidRPr="000800F8">
              <w:t xml:space="preserve">2.4.7 of the HSLs application document (Friebel &amp; Nadebaum 2011b) </w:t>
            </w:r>
          </w:p>
        </w:tc>
      </w:tr>
      <w:tr w:rsidR="00A97702" w:rsidTr="00DA1C9D">
        <w:tc>
          <w:tcPr>
            <w:tcW w:w="4913" w:type="dxa"/>
          </w:tcPr>
          <w:p w:rsidR="00A97702" w:rsidRDefault="00A97702" w:rsidP="00DA1C9D">
            <w:r>
              <w:t>A</w:t>
            </w:r>
            <w:r w:rsidRPr="000800F8">
              <w:t xml:space="preserve"> preferential migration pathway is present </w:t>
            </w:r>
            <w:r>
              <w:t>that</w:t>
            </w:r>
            <w:r w:rsidRPr="000800F8">
              <w:t xml:space="preserve"> could connect a vapour source to a building interior</w:t>
            </w:r>
          </w:p>
        </w:tc>
        <w:tc>
          <w:tcPr>
            <w:tcW w:w="4267" w:type="dxa"/>
          </w:tcPr>
          <w:p w:rsidR="00A97702" w:rsidRPr="0010014B" w:rsidRDefault="00A97702" w:rsidP="00DA1C9D">
            <w:r>
              <w:t>S</w:t>
            </w:r>
            <w:r w:rsidR="00271CD8">
              <w:t>ite-specific assessment</w:t>
            </w:r>
          </w:p>
          <w:p w:rsidR="00A97702" w:rsidRPr="0010014B" w:rsidRDefault="00A97702" w:rsidP="00DA1C9D"/>
        </w:tc>
      </w:tr>
      <w:tr w:rsidR="00A97702" w:rsidTr="00DA1C9D">
        <w:tc>
          <w:tcPr>
            <w:tcW w:w="4913" w:type="dxa"/>
          </w:tcPr>
          <w:p w:rsidR="00A97702" w:rsidRDefault="00A97702" w:rsidP="00DA1C9D">
            <w:r>
              <w:t>H</w:t>
            </w:r>
            <w:r w:rsidRPr="000800F8">
              <w:t>ydrocarbon odour present in buildings or in-ground services (not attributable to an indoor or ambient source) which indicates an active preferential migration pathway and potentially an immediate human health risk</w:t>
            </w:r>
          </w:p>
        </w:tc>
        <w:tc>
          <w:tcPr>
            <w:tcW w:w="4267" w:type="dxa"/>
          </w:tcPr>
          <w:p w:rsidR="00A97702" w:rsidRPr="0010014B" w:rsidRDefault="00A97702" w:rsidP="00DA1C9D">
            <w:r>
              <w:t>C</w:t>
            </w:r>
            <w:r w:rsidRPr="000800F8">
              <w:t xml:space="preserve">onsider indoor air sampling or immediate action in the case of strong </w:t>
            </w:r>
            <w:r>
              <w:t xml:space="preserve">hydrocarbon </w:t>
            </w:r>
            <w:r w:rsidRPr="000800F8">
              <w:t>odours</w:t>
            </w:r>
          </w:p>
        </w:tc>
      </w:tr>
    </w:tbl>
    <w:p w:rsidR="00A97702" w:rsidRDefault="00A97702" w:rsidP="00A97702"/>
    <w:p w:rsidR="00A97702" w:rsidRPr="00EC0047" w:rsidRDefault="00A97702" w:rsidP="00A97702">
      <w:pPr>
        <w:pStyle w:val="Heading2"/>
      </w:pPr>
      <w:bookmarkStart w:id="27" w:name="_Toc351712032"/>
      <w:r w:rsidRPr="00EC0047">
        <w:lastRenderedPageBreak/>
        <w:t xml:space="preserve">Ecological </w:t>
      </w:r>
      <w:r>
        <w:t>investigation levels</w:t>
      </w:r>
      <w:bookmarkEnd w:id="27"/>
    </w:p>
    <w:p w:rsidR="00A97702" w:rsidRPr="005F29D5" w:rsidRDefault="00A97702" w:rsidP="00A97702">
      <w:pPr>
        <w:pStyle w:val="Heading3"/>
        <w:ind w:left="720" w:hanging="720"/>
      </w:pPr>
      <w:bookmarkStart w:id="28" w:name="_Toc351712033"/>
      <w:r>
        <w:t>Introduction</w:t>
      </w:r>
      <w:bookmarkEnd w:id="28"/>
    </w:p>
    <w:p w:rsidR="00A97702" w:rsidRDefault="00A97702" w:rsidP="00A97702">
      <w:r>
        <w:t>Ecological investigation levels (EILs</w:t>
      </w:r>
      <w:r w:rsidRPr="00AE64C9">
        <w:t>) for the protection of terrestrial ecosystems have been derived for common contaminants in soil based on a species sensitivity distribution (SSD) model developed for Australian conditions. EILs have been derived for As, Cu, CrIII, DDT, naphthalene, Ni, Pb and Zn.</w:t>
      </w:r>
    </w:p>
    <w:p w:rsidR="00FF4FD0" w:rsidRDefault="00FF4FD0" w:rsidP="00A97702"/>
    <w:p w:rsidR="00A97702" w:rsidRDefault="00A97702" w:rsidP="00A97702">
      <w:r>
        <w:t>Schedule B5a provides detailed guidance on the framework for ecological risk assessment. The methodology for deriving EILs is described in Schedule B5b and the detailed derivations of EILs for As, Cu, CrIII, DDT, naphthalene, Ni, Pb and Zn are presented in Schedule B5c. A spreadsheet, which may be used for calculating site-specific EILs is included in the ASC NEPM Toolbox.</w:t>
      </w:r>
    </w:p>
    <w:p w:rsidR="00A97702" w:rsidRPr="005F29D5" w:rsidRDefault="00A97702" w:rsidP="00A97702">
      <w:pPr>
        <w:pStyle w:val="Heading3"/>
        <w:ind w:left="720" w:hanging="720"/>
      </w:pPr>
      <w:bookmarkStart w:id="29" w:name="_Toc351712034"/>
      <w:r>
        <w:t>EIL methodology</w:t>
      </w:r>
      <w:bookmarkEnd w:id="29"/>
    </w:p>
    <w:p w:rsidR="00A97702" w:rsidRDefault="00A97702" w:rsidP="00A97702">
      <w:r>
        <w:t xml:space="preserve">The detailed methodology, incorporated in Schedule B5b, was developed by CSIRO using data from various Australasian databases, the Australian National Biosolids Research Program and supplemented by data from the US EPA ecotoxicology database where necessary. The methodology is based on an SSD approach, which considers the physicochemical properties of soil and contaminants and the capacity of the local ecosystem to accommodate increases in contaminant levels (referred to as the ‘added contaminant limit’ or ACL) above ambient background.  Where </w:t>
      </w:r>
      <w:r w:rsidRPr="00615991">
        <w:t>insufficient data is available</w:t>
      </w:r>
      <w:r>
        <w:t xml:space="preserve"> for the SSD method to be used, a more conservative method using an assessment factor approach may be adopted.</w:t>
      </w:r>
    </w:p>
    <w:p w:rsidR="00FF4FD0" w:rsidRDefault="00FF4FD0" w:rsidP="00A97702"/>
    <w:p w:rsidR="00A97702" w:rsidRDefault="00A97702" w:rsidP="00A97702">
      <w:r>
        <w:t>The EILs are derived for specified levels of percentage species protection depending on land use. The approach is analogous to the methodology used for derivation of the Australian water quality guid</w:t>
      </w:r>
      <w:r w:rsidR="00271CD8">
        <w:t>elines (ANZECC &amp; ARMCANZ 2000).</w:t>
      </w:r>
    </w:p>
    <w:p w:rsidR="00A97702" w:rsidRDefault="00A97702" w:rsidP="00A97702">
      <w:pPr>
        <w:pStyle w:val="Heading3"/>
        <w:ind w:left="720" w:hanging="720"/>
      </w:pPr>
      <w:bookmarkStart w:id="30" w:name="_Toc351712035"/>
      <w:r>
        <w:t>Land use</w:t>
      </w:r>
      <w:bookmarkEnd w:id="30"/>
      <w:r w:rsidRPr="001362C7">
        <w:t xml:space="preserve"> </w:t>
      </w:r>
    </w:p>
    <w:p w:rsidR="00A97702" w:rsidRDefault="00A97702" w:rsidP="00A97702">
      <w:r w:rsidRPr="00AD7343">
        <w:t xml:space="preserve">EILs </w:t>
      </w:r>
      <w:r>
        <w:t xml:space="preserve">have been developed </w:t>
      </w:r>
      <w:r w:rsidRPr="00AD7343">
        <w:t xml:space="preserve">for three </w:t>
      </w:r>
      <w:r>
        <w:t>generic land use</w:t>
      </w:r>
      <w:r w:rsidRPr="00AD7343">
        <w:t xml:space="preserve"> settings</w:t>
      </w:r>
      <w:r>
        <w:t>:</w:t>
      </w:r>
      <w:r w:rsidRPr="00AD7343">
        <w:t xml:space="preserve"> </w:t>
      </w:r>
    </w:p>
    <w:p w:rsidR="00A97702" w:rsidRPr="00F85203" w:rsidRDefault="00A97702" w:rsidP="00A97702">
      <w:pPr>
        <w:pStyle w:val="Dot-points"/>
        <w:tabs>
          <w:tab w:val="clear" w:pos="926"/>
          <w:tab w:val="num" w:pos="360"/>
        </w:tabs>
      </w:pPr>
      <w:r w:rsidRPr="00F85203">
        <w:t>a</w:t>
      </w:r>
      <w:r w:rsidR="00271CD8">
        <w:t>reas of ecological significance</w:t>
      </w:r>
    </w:p>
    <w:p w:rsidR="00A97702" w:rsidRDefault="00A97702" w:rsidP="00A97702">
      <w:pPr>
        <w:pStyle w:val="Dot-points"/>
        <w:tabs>
          <w:tab w:val="clear" w:pos="926"/>
          <w:tab w:val="num" w:pos="360"/>
        </w:tabs>
      </w:pPr>
      <w:r>
        <w:t>u</w:t>
      </w:r>
      <w:r w:rsidRPr="00AD7343">
        <w:t xml:space="preserve">rban residential areas </w:t>
      </w:r>
      <w:r w:rsidR="00271CD8">
        <w:t>and public open space</w:t>
      </w:r>
    </w:p>
    <w:p w:rsidR="00A97702" w:rsidRDefault="00A97702" w:rsidP="00A97702">
      <w:pPr>
        <w:pStyle w:val="Dot-points"/>
        <w:tabs>
          <w:tab w:val="clear" w:pos="926"/>
          <w:tab w:val="num" w:pos="360"/>
        </w:tabs>
      </w:pPr>
      <w:r w:rsidRPr="00AD7343">
        <w:t>commercial</w:t>
      </w:r>
      <w:r>
        <w:t xml:space="preserve"> and </w:t>
      </w:r>
      <w:r w:rsidRPr="00AD7343">
        <w:t>industrial land uses</w:t>
      </w:r>
      <w:r>
        <w:t>.</w:t>
      </w:r>
    </w:p>
    <w:p w:rsidR="00A97702" w:rsidRDefault="00A97702" w:rsidP="00A97702">
      <w:pPr>
        <w:rPr>
          <w:lang w:bidi="hi-IN"/>
        </w:rPr>
      </w:pPr>
      <w:r w:rsidRPr="00F85203">
        <w:rPr>
          <w:lang w:bidi="hi-IN"/>
        </w:rPr>
        <w:t xml:space="preserve">An area of ecological significance is one where the planning provisions or </w:t>
      </w:r>
      <w:r>
        <w:rPr>
          <w:lang w:bidi="hi-IN"/>
        </w:rPr>
        <w:t>land use</w:t>
      </w:r>
      <w:r w:rsidRPr="00F85203">
        <w:rPr>
          <w:lang w:bidi="hi-IN"/>
        </w:rPr>
        <w:t xml:space="preserve"> designation is for the primary intention of conserving and protecting the natural environment. This would include national parks, state parks, wilderness areas and designated conservation areas.</w:t>
      </w:r>
    </w:p>
    <w:p w:rsidR="00FF4FD0" w:rsidRDefault="00FF4FD0" w:rsidP="00A97702">
      <w:pPr>
        <w:rPr>
          <w:lang w:bidi="hi-IN"/>
        </w:rPr>
      </w:pPr>
    </w:p>
    <w:p w:rsidR="00A97702" w:rsidRDefault="00A97702" w:rsidP="00A97702">
      <w:pPr>
        <w:rPr>
          <w:lang w:bidi="hi-IN"/>
        </w:rPr>
      </w:pPr>
      <w:r>
        <w:rPr>
          <w:lang w:bidi="hi-IN"/>
        </w:rPr>
        <w:t>U</w:t>
      </w:r>
      <w:r w:rsidRPr="00F16A89">
        <w:rPr>
          <w:lang w:bidi="hi-IN"/>
        </w:rPr>
        <w:t>rban residential/public open space is broadly equivalent to the HIL</w:t>
      </w:r>
      <w:r>
        <w:rPr>
          <w:lang w:bidi="hi-IN"/>
        </w:rPr>
        <w:t xml:space="preserve"> </w:t>
      </w:r>
      <w:r w:rsidRPr="00F16A89">
        <w:rPr>
          <w:lang w:bidi="hi-IN"/>
        </w:rPr>
        <w:t>A, HIL</w:t>
      </w:r>
      <w:r>
        <w:rPr>
          <w:lang w:bidi="hi-IN"/>
        </w:rPr>
        <w:t xml:space="preserve"> </w:t>
      </w:r>
      <w:r w:rsidRPr="00F16A89">
        <w:rPr>
          <w:lang w:bidi="hi-IN"/>
        </w:rPr>
        <w:t>B and HIL</w:t>
      </w:r>
      <w:r>
        <w:rPr>
          <w:lang w:bidi="hi-IN"/>
        </w:rPr>
        <w:t xml:space="preserve"> </w:t>
      </w:r>
      <w:r w:rsidRPr="00F16A89">
        <w:rPr>
          <w:lang w:bidi="hi-IN"/>
        </w:rPr>
        <w:t xml:space="preserve">C </w:t>
      </w:r>
      <w:r>
        <w:rPr>
          <w:lang w:bidi="hi-IN"/>
        </w:rPr>
        <w:t>land use</w:t>
      </w:r>
      <w:r w:rsidRPr="00F16A89">
        <w:rPr>
          <w:lang w:bidi="hi-IN"/>
        </w:rPr>
        <w:t xml:space="preserve"> scenarios </w:t>
      </w:r>
      <w:r>
        <w:rPr>
          <w:lang w:bidi="hi-IN"/>
        </w:rPr>
        <w:t xml:space="preserve">(see Section 2.2 </w:t>
      </w:r>
      <w:r w:rsidRPr="00F16A89">
        <w:rPr>
          <w:lang w:bidi="hi-IN"/>
        </w:rPr>
        <w:t>and Schedule B7</w:t>
      </w:r>
      <w:r>
        <w:rPr>
          <w:lang w:bidi="hi-IN"/>
        </w:rPr>
        <w:t>)</w:t>
      </w:r>
      <w:r w:rsidRPr="00F16A89">
        <w:rPr>
          <w:lang w:bidi="hi-IN"/>
        </w:rPr>
        <w:t>.</w:t>
      </w:r>
    </w:p>
    <w:p w:rsidR="00FF4FD0" w:rsidRPr="00F16A89" w:rsidRDefault="00FF4FD0" w:rsidP="00A97702">
      <w:pPr>
        <w:rPr>
          <w:lang w:bidi="hi-IN"/>
        </w:rPr>
      </w:pPr>
    </w:p>
    <w:p w:rsidR="00A97702" w:rsidRDefault="00A97702" w:rsidP="00A97702">
      <w:r>
        <w:t>EILs are not applicable to agricultural soils, which need evaluation in relation to crop toxicity, plant contaminant uptake and detailed consideration of soil type.</w:t>
      </w:r>
    </w:p>
    <w:p w:rsidR="00A97702" w:rsidRDefault="00A97702" w:rsidP="00A97702">
      <w:pPr>
        <w:pStyle w:val="Heading3"/>
        <w:ind w:left="720" w:hanging="720"/>
      </w:pPr>
      <w:bookmarkStart w:id="31" w:name="_Toc351712036"/>
      <w:r>
        <w:t xml:space="preserve">Levels of </w:t>
      </w:r>
      <w:r w:rsidRPr="001362C7">
        <w:t>protection</w:t>
      </w:r>
      <w:bookmarkEnd w:id="31"/>
    </w:p>
    <w:p w:rsidR="00A97702" w:rsidRDefault="00A97702" w:rsidP="00A97702">
      <w:r>
        <w:t>The protection levels</w:t>
      </w:r>
      <w:r w:rsidRPr="00AD7343">
        <w:t xml:space="preserve"> for </w:t>
      </w:r>
      <w:r>
        <w:t>the</w:t>
      </w:r>
      <w:r w:rsidRPr="00AD7343">
        <w:t xml:space="preserve"> </w:t>
      </w:r>
      <w:r>
        <w:t>generic land use</w:t>
      </w:r>
      <w:r w:rsidRPr="00AD7343">
        <w:t xml:space="preserve"> settings</w:t>
      </w:r>
      <w:r>
        <w:t xml:space="preserve"> are:</w:t>
      </w:r>
    </w:p>
    <w:p w:rsidR="00A97702" w:rsidRPr="00F85203" w:rsidRDefault="00A97702" w:rsidP="00A97702">
      <w:pPr>
        <w:pStyle w:val="Dot-points"/>
        <w:tabs>
          <w:tab w:val="clear" w:pos="926"/>
          <w:tab w:val="num" w:pos="360"/>
        </w:tabs>
      </w:pPr>
      <w:r>
        <w:t xml:space="preserve">99% for </w:t>
      </w:r>
      <w:r w:rsidRPr="00F85203">
        <w:t>areas of ecological signi</w:t>
      </w:r>
      <w:r w:rsidR="00271CD8">
        <w:t>ficance</w:t>
      </w:r>
    </w:p>
    <w:p w:rsidR="00A97702" w:rsidRDefault="00A97702" w:rsidP="00A97702">
      <w:pPr>
        <w:pStyle w:val="Dot-points"/>
        <w:tabs>
          <w:tab w:val="clear" w:pos="926"/>
          <w:tab w:val="num" w:pos="360"/>
        </w:tabs>
      </w:pPr>
      <w:r>
        <w:t>80% for u</w:t>
      </w:r>
      <w:r w:rsidRPr="00AD7343">
        <w:t>rban resident</w:t>
      </w:r>
      <w:r w:rsidR="00271CD8">
        <w:t>ial areas and public open space</w:t>
      </w:r>
    </w:p>
    <w:p w:rsidR="00A97702" w:rsidRDefault="00A97702" w:rsidP="00A97702">
      <w:pPr>
        <w:pStyle w:val="Dot-points"/>
        <w:tabs>
          <w:tab w:val="clear" w:pos="926"/>
          <w:tab w:val="num" w:pos="360"/>
        </w:tabs>
      </w:pPr>
      <w:r>
        <w:t xml:space="preserve">60% for </w:t>
      </w:r>
      <w:r w:rsidRPr="00AD7343">
        <w:t>commercial</w:t>
      </w:r>
      <w:r>
        <w:t xml:space="preserve"> and </w:t>
      </w:r>
      <w:r w:rsidRPr="00AD7343">
        <w:t>industrial land uses</w:t>
      </w:r>
      <w:r>
        <w:t>.</w:t>
      </w:r>
    </w:p>
    <w:p w:rsidR="00A97702" w:rsidRDefault="00A97702" w:rsidP="00A97702">
      <w:r>
        <w:t xml:space="preserve">These protection levels are increased by 5% when biomagnification </w:t>
      </w:r>
      <w:r w:rsidR="00271CD8">
        <w:t>may occur (refer Schedule B5b).</w:t>
      </w:r>
    </w:p>
    <w:p w:rsidR="00A97702" w:rsidRDefault="00A97702" w:rsidP="00A97702">
      <w:pPr>
        <w:pStyle w:val="Heading3"/>
        <w:ind w:left="720" w:hanging="720"/>
      </w:pPr>
      <w:bookmarkStart w:id="32" w:name="_Toc351712037"/>
      <w:r>
        <w:t>Ecotoxicity data</w:t>
      </w:r>
      <w:bookmarkEnd w:id="32"/>
    </w:p>
    <w:p w:rsidR="00A97702" w:rsidRDefault="00A97702" w:rsidP="00A97702">
      <w:r>
        <w:t>The NEPM has adopted lowest observed effect concentration (LOEC) or effective concentration 30% (EC</w:t>
      </w:r>
      <w:r w:rsidRPr="0029479F">
        <w:rPr>
          <w:vertAlign w:val="subscript"/>
        </w:rPr>
        <w:t>30</w:t>
      </w:r>
      <w:r>
        <w:t>) data to derive E</w:t>
      </w:r>
      <w:r w:rsidR="00271CD8">
        <w:t>ILs for the land use scenarios.</w:t>
      </w:r>
    </w:p>
    <w:p w:rsidR="00FF4FD0" w:rsidRDefault="00FF4FD0" w:rsidP="00A97702"/>
    <w:p w:rsidR="00A97702" w:rsidRDefault="00A97702" w:rsidP="00A97702">
      <w:r>
        <w:t xml:space="preserve">The LOEC is the lowest concentration used in a toxicity test that causes a toxic effect that is significantly different from the control. </w:t>
      </w:r>
      <w:r w:rsidRPr="00615991">
        <w:rPr>
          <w:lang w:bidi="hi-IN"/>
        </w:rPr>
        <w:t>EC</w:t>
      </w:r>
      <w:r w:rsidRPr="00615991">
        <w:rPr>
          <w:vertAlign w:val="subscript"/>
          <w:lang w:bidi="hi-IN"/>
        </w:rPr>
        <w:t>30</w:t>
      </w:r>
      <w:r w:rsidRPr="00615991">
        <w:rPr>
          <w:lang w:bidi="hi-IN"/>
        </w:rPr>
        <w:t xml:space="preserve"> data is </w:t>
      </w:r>
      <w:r w:rsidRPr="00615991">
        <w:t>the</w:t>
      </w:r>
      <w:r w:rsidRPr="00AD7343">
        <w:t xml:space="preserve"> concentrations of contaminants that cause an effect on 30% </w:t>
      </w:r>
      <w:r>
        <w:t xml:space="preserve">of </w:t>
      </w:r>
      <w:r w:rsidRPr="00AD7343">
        <w:t xml:space="preserve">the test group of an organism </w:t>
      </w:r>
      <w:r>
        <w:t xml:space="preserve">after a specified exposure time. </w:t>
      </w:r>
      <w:r w:rsidRPr="00615991">
        <w:t>The data is drawn from</w:t>
      </w:r>
      <w:r w:rsidRPr="00AD7343">
        <w:t xml:space="preserve"> a range of species to derive individual EILs</w:t>
      </w:r>
      <w:r w:rsidR="00271CD8">
        <w:t>.</w:t>
      </w:r>
    </w:p>
    <w:p w:rsidR="00FF4FD0" w:rsidRDefault="00FF4FD0" w:rsidP="00A97702"/>
    <w:p w:rsidR="00A97702" w:rsidRDefault="00A97702" w:rsidP="00A97702">
      <w:r>
        <w:t>For further information see Schedule B5b.</w:t>
      </w:r>
    </w:p>
    <w:p w:rsidR="00A97702" w:rsidRDefault="00A97702" w:rsidP="00A97702">
      <w:pPr>
        <w:pStyle w:val="Heading3"/>
        <w:ind w:left="720" w:hanging="720"/>
      </w:pPr>
      <w:bookmarkStart w:id="33" w:name="_Toc351712038"/>
      <w:r>
        <w:t>Depth of application</w:t>
      </w:r>
      <w:bookmarkEnd w:id="33"/>
    </w:p>
    <w:p w:rsidR="00A97702" w:rsidRDefault="00A97702" w:rsidP="00A97702">
      <w:r>
        <w:t>EILs apply principally to contaminants in the top 2 m of soil at the finished surface/ground level which corresponds to the root zone and habitation zone of many species. In arid regions, where the predominant species may have greater root penetration, specific considerations may result in their application to 3 m depth.</w:t>
      </w:r>
    </w:p>
    <w:p w:rsidR="00A97702" w:rsidRDefault="00A97702" w:rsidP="00A97702">
      <w:pPr>
        <w:pStyle w:val="Heading3"/>
        <w:ind w:left="720" w:hanging="720"/>
      </w:pPr>
      <w:bookmarkStart w:id="34" w:name="_Toc351712039"/>
      <w:r w:rsidRPr="004470E9">
        <w:t>Ambient background concentration</w:t>
      </w:r>
      <w:bookmarkEnd w:id="34"/>
    </w:p>
    <w:p w:rsidR="00A97702" w:rsidRDefault="00A97702" w:rsidP="00A97702">
      <w:r>
        <w:t>The methodology assumes that the ecosystem is adapted to the ambient background concentration (ABC) for the locality and that it is only adding contaminants over and above this background concentration which has an adv</w:t>
      </w:r>
      <w:r w:rsidR="00271CD8">
        <w:t>erse effect on the environment.</w:t>
      </w:r>
    </w:p>
    <w:p w:rsidR="00FF4FD0" w:rsidRPr="00FD1445" w:rsidRDefault="00FF4FD0" w:rsidP="00A97702"/>
    <w:p w:rsidR="00A97702" w:rsidRDefault="00A97702" w:rsidP="00A97702">
      <w:pPr>
        <w:rPr>
          <w:rFonts w:cs="Courier New"/>
          <w:szCs w:val="24"/>
        </w:rPr>
      </w:pPr>
      <w:r>
        <w:rPr>
          <w:rFonts w:cs="Courier New"/>
          <w:szCs w:val="24"/>
        </w:rPr>
        <w:t xml:space="preserve">The </w:t>
      </w:r>
      <w:r w:rsidRPr="002B55A7">
        <w:rPr>
          <w:rFonts w:cs="Courier New"/>
          <w:szCs w:val="24"/>
        </w:rPr>
        <w:t>ABC of a contaminant is the soil concentration</w:t>
      </w:r>
      <w:r>
        <w:rPr>
          <w:rFonts w:cs="Courier New"/>
        </w:rPr>
        <w:t xml:space="preserve"> </w:t>
      </w:r>
      <w:r w:rsidRPr="002B55A7">
        <w:rPr>
          <w:rFonts w:cs="Courier New"/>
          <w:szCs w:val="24"/>
        </w:rPr>
        <w:t xml:space="preserve">in a specified locality that is the sum of the naturally occurring background </w:t>
      </w:r>
      <w:r>
        <w:rPr>
          <w:rFonts w:cs="Courier New"/>
          <w:szCs w:val="24"/>
        </w:rPr>
        <w:t xml:space="preserve">level </w:t>
      </w:r>
      <w:r w:rsidRPr="002B55A7">
        <w:rPr>
          <w:rFonts w:cs="Courier New"/>
          <w:szCs w:val="24"/>
        </w:rPr>
        <w:t xml:space="preserve">and the </w:t>
      </w:r>
      <w:r>
        <w:rPr>
          <w:rFonts w:cs="Courier New"/>
        </w:rPr>
        <w:t xml:space="preserve">contaminant levels </w:t>
      </w:r>
      <w:r w:rsidRPr="002B55A7">
        <w:rPr>
          <w:rFonts w:cs="Courier New"/>
          <w:szCs w:val="24"/>
        </w:rPr>
        <w:t>that ha</w:t>
      </w:r>
      <w:r>
        <w:rPr>
          <w:rFonts w:cs="Courier New"/>
          <w:szCs w:val="24"/>
        </w:rPr>
        <w:t>ve</w:t>
      </w:r>
      <w:r w:rsidRPr="002B55A7">
        <w:rPr>
          <w:rFonts w:cs="Courier New"/>
          <w:szCs w:val="24"/>
        </w:rPr>
        <w:t xml:space="preserve"> been introduced </w:t>
      </w:r>
      <w:r>
        <w:rPr>
          <w:rFonts w:cs="Courier New"/>
          <w:szCs w:val="24"/>
        </w:rPr>
        <w:t xml:space="preserve">from diffuse or non-point sources </w:t>
      </w:r>
      <w:r w:rsidRPr="002B55A7">
        <w:rPr>
          <w:rFonts w:cs="Courier New"/>
          <w:szCs w:val="24"/>
        </w:rPr>
        <w:t>by general anthropogenic activity</w:t>
      </w:r>
      <w:r>
        <w:rPr>
          <w:rFonts w:cs="Courier New"/>
        </w:rPr>
        <w:t xml:space="preserve"> not attributed to industrial, commercial, or agricultural activities</w:t>
      </w:r>
      <w:r>
        <w:rPr>
          <w:rFonts w:cs="Courier New"/>
          <w:szCs w:val="24"/>
        </w:rPr>
        <w:t>, for example, motor vehicle emissions. Methods to estimate background levels are provided in Schedule B5b.</w:t>
      </w:r>
    </w:p>
    <w:p w:rsidR="00FF4FD0" w:rsidRDefault="00FF4FD0" w:rsidP="00A97702">
      <w:pPr>
        <w:rPr>
          <w:rFonts w:cs="Courier New"/>
          <w:szCs w:val="24"/>
        </w:rPr>
      </w:pPr>
    </w:p>
    <w:p w:rsidR="00A97702" w:rsidRDefault="00A97702" w:rsidP="00A97702">
      <w:pPr>
        <w:rPr>
          <w:lang w:val="en-GB"/>
        </w:rPr>
      </w:pPr>
      <w:r>
        <w:rPr>
          <w:lang w:val="en-GB"/>
        </w:rPr>
        <w:t>Three methods for determining the ABC are presented in Schedule B5b. The preferred method is to measure the ABC at an appropriate reference site. This approach is essential in areas where there is a high naturally occurring background level such as w</w:t>
      </w:r>
      <w:r w:rsidR="00271CD8">
        <w:rPr>
          <w:lang w:val="en-GB"/>
        </w:rPr>
        <w:t>ill occur in mineralised areas.</w:t>
      </w:r>
    </w:p>
    <w:p w:rsidR="00FF4FD0" w:rsidRDefault="00FF4FD0" w:rsidP="00A97702">
      <w:pPr>
        <w:rPr>
          <w:lang w:val="en-GB"/>
        </w:rPr>
      </w:pPr>
    </w:p>
    <w:p w:rsidR="00A97702" w:rsidRDefault="00A97702" w:rsidP="00A97702">
      <w:pPr>
        <w:rPr>
          <w:lang w:val="en-GB"/>
        </w:rPr>
      </w:pPr>
      <w:r>
        <w:rPr>
          <w:lang w:val="en-GB"/>
        </w:rPr>
        <w:t>In other situations where an appropriate reference site cannot be determined, the method based on urban metal levels in Olszowy et al. (1995) or the method from Hamon et al. (2004) may b</w:t>
      </w:r>
      <w:r w:rsidR="00271CD8">
        <w:rPr>
          <w:lang w:val="en-GB"/>
        </w:rPr>
        <w:t>e used.</w:t>
      </w:r>
    </w:p>
    <w:p w:rsidR="000F57E9" w:rsidRDefault="000F57E9" w:rsidP="00A97702">
      <w:pPr>
        <w:rPr>
          <w:lang w:val="en-GB"/>
        </w:rPr>
      </w:pPr>
    </w:p>
    <w:p w:rsidR="00A97702" w:rsidRDefault="00A97702" w:rsidP="00A97702">
      <w:r>
        <w:rPr>
          <w:lang w:val="en-GB"/>
        </w:rPr>
        <w:t xml:space="preserve">In the method of Hamon et al. (2004), the ABC varies (depending on the element) with the soil iron and/or manganese concentration; for example, the ABC for zinc varies from </w:t>
      </w:r>
      <w:r>
        <w:rPr>
          <w:lang w:val="en-GB"/>
        </w:rPr>
        <w:br/>
        <w:t xml:space="preserve">3 to 62mg/kg in soils with soil iron </w:t>
      </w:r>
      <w:r w:rsidRPr="00AE64C9">
        <w:rPr>
          <w:lang w:val="en-GB"/>
        </w:rPr>
        <w:t xml:space="preserve">concentrations between 0.1% and 20%. Alternatively, ABCs for old and new suburbs and high and low traffic areas for New South Wales, Queensland, South Australia and Victoria for Zn, Cu, Ni, Pb, and CrIII are included in </w:t>
      </w:r>
      <w:r w:rsidRPr="00AE64C9">
        <w:t xml:space="preserve"> Schedule B5b and are derived from </w:t>
      </w:r>
      <w:r w:rsidRPr="00AE64C9">
        <w:rPr>
          <w:lang w:val="en-GB"/>
        </w:rPr>
        <w:t>Olszowy et al. (1995)</w:t>
      </w:r>
      <w:r w:rsidRPr="00AE64C9">
        <w:t>. Values for new suburbs would be appropriate to use for new suburbs or in areas with no known history of contamination</w:t>
      </w:r>
      <w:r>
        <w:t xml:space="preserve"> for that metal. In old-established urban areas (i.e. suburbs more than 20 years old), it would be appropriate to use the 25</w:t>
      </w:r>
      <w:r w:rsidRPr="000F041D">
        <w:rPr>
          <w:vertAlign w:val="superscript"/>
        </w:rPr>
        <w:t>th</w:t>
      </w:r>
      <w:r>
        <w:t xml:space="preserve"> percentile of the ABC values from Olszowy et al. (1995).</w:t>
      </w:r>
    </w:p>
    <w:p w:rsidR="00FF4FD0" w:rsidRPr="002B55A7" w:rsidRDefault="00FF4FD0" w:rsidP="00A97702">
      <w:pPr>
        <w:rPr>
          <w:rFonts w:cs="Courier New"/>
          <w:szCs w:val="24"/>
        </w:rPr>
      </w:pPr>
    </w:p>
    <w:p w:rsidR="00A97702" w:rsidRPr="005162AD" w:rsidRDefault="00A97702" w:rsidP="00A97702">
      <w:pPr>
        <w:rPr>
          <w:lang w:val="en-GB"/>
        </w:rPr>
      </w:pPr>
      <w:r>
        <w:rPr>
          <w:lang w:val="en-GB"/>
        </w:rPr>
        <w:t>In some situations the ABC may be comparatively low and have a minor effect on the magnitude of the site EIL.</w:t>
      </w:r>
    </w:p>
    <w:p w:rsidR="00A97702" w:rsidRDefault="00A97702" w:rsidP="00A97702">
      <w:pPr>
        <w:pStyle w:val="Heading3"/>
        <w:ind w:left="720" w:hanging="720"/>
      </w:pPr>
      <w:bookmarkStart w:id="35" w:name="_Toc351712040"/>
      <w:r w:rsidRPr="001362C7">
        <w:t>Added contaminant limits</w:t>
      </w:r>
      <w:bookmarkEnd w:id="35"/>
    </w:p>
    <w:p w:rsidR="00A97702" w:rsidRDefault="00A97702" w:rsidP="00A97702">
      <w:r w:rsidRPr="00D90C87">
        <w:rPr>
          <w:lang w:val="en-GB"/>
        </w:rPr>
        <w:t xml:space="preserve">An </w:t>
      </w:r>
      <w:r>
        <w:t>added contaminant limit (</w:t>
      </w:r>
      <w:r w:rsidRPr="00D90C87">
        <w:t>ACL</w:t>
      </w:r>
      <w:r>
        <w:t>)</w:t>
      </w:r>
      <w:r w:rsidRPr="00D90C87">
        <w:t xml:space="preserve"> is the added concentration </w:t>
      </w:r>
      <w:r>
        <w:t xml:space="preserve">(above the ABC) </w:t>
      </w:r>
      <w:r w:rsidRPr="00D90C87">
        <w:t xml:space="preserve">of a contaminant above which further appropriate investigation and evaluation of the impact on ecological values </w:t>
      </w:r>
      <w:r>
        <w:t>is</w:t>
      </w:r>
      <w:r w:rsidRPr="00D90C87">
        <w:t xml:space="preserve"> required</w:t>
      </w:r>
      <w:r>
        <w:t xml:space="preserve">. </w:t>
      </w:r>
      <w:r w:rsidRPr="00462B4D">
        <w:t xml:space="preserve">The EIL is derived by summing the </w:t>
      </w:r>
      <w:r>
        <w:t>ACL</w:t>
      </w:r>
      <w:r w:rsidRPr="00462B4D">
        <w:t xml:space="preserve"> and the </w:t>
      </w:r>
      <w:r>
        <w:t>ABC</w:t>
      </w:r>
      <w:r w:rsidRPr="00462B4D">
        <w:t>.</w:t>
      </w:r>
    </w:p>
    <w:p w:rsidR="00FF4FD0" w:rsidRDefault="00FF4FD0" w:rsidP="00A97702"/>
    <w:p w:rsidR="00A97702" w:rsidRDefault="00A97702" w:rsidP="00A97702">
      <w:pPr>
        <w:rPr>
          <w:lang w:val="en-GB"/>
        </w:rPr>
      </w:pPr>
      <w:r>
        <w:rPr>
          <w:lang w:val="en-GB"/>
        </w:rPr>
        <w:t xml:space="preserve">ACLs are based on the soil characteristics of pH, CEC and clay content. Empirical relationships that can model the effect of these soil properties on toxicity are used to develop soil-specific values. These soil-specific values take into account the biological availability of the element in various soils. In this </w:t>
      </w:r>
      <w:r>
        <w:rPr>
          <w:lang w:val="en-GB"/>
        </w:rPr>
        <w:lastRenderedPageBreak/>
        <w:t>approach different soils will have different contaminant EILs rather than a single ge</w:t>
      </w:r>
      <w:r w:rsidR="00271CD8">
        <w:rPr>
          <w:lang w:val="en-GB"/>
        </w:rPr>
        <w:t>neric EIL for each contaminant.</w:t>
      </w:r>
    </w:p>
    <w:p w:rsidR="00FF4FD0" w:rsidRPr="00D92E4E" w:rsidRDefault="00FF4FD0" w:rsidP="00A97702">
      <w:pPr>
        <w:rPr>
          <w:lang w:val="en-GB"/>
        </w:rPr>
      </w:pPr>
    </w:p>
    <w:p w:rsidR="00A97702" w:rsidRDefault="00A97702" w:rsidP="00A97702">
      <w:pPr>
        <w:rPr>
          <w:lang w:val="en-GB"/>
        </w:rPr>
      </w:pPr>
      <w:r>
        <w:t xml:space="preserve">ACLs apply to chromium III (CrIII), copper (Cu), nickel (Ni) and zinc (Zn) for site-specific EIL determination. </w:t>
      </w:r>
      <w:r>
        <w:rPr>
          <w:lang w:val="en-GB"/>
        </w:rPr>
        <w:t>The soil properties to be determined for each relevant soil type at the site, are shown in Table 4 below.</w:t>
      </w:r>
    </w:p>
    <w:p w:rsidR="00A97702" w:rsidRPr="00EF74E5" w:rsidRDefault="00A97702" w:rsidP="00A97702">
      <w:pPr>
        <w:pStyle w:val="Caption"/>
      </w:pPr>
      <w:r w:rsidRPr="00EF74E5">
        <w:t>Table 4:</w:t>
      </w:r>
      <w:r w:rsidRPr="00EF74E5">
        <w:tab/>
        <w:t xml:space="preserve">Soil properties to be measured for </w:t>
      </w:r>
      <w:r>
        <w:t>site-specific derivation of ACLs</w:t>
      </w:r>
      <w:r w:rsidRPr="00EF74E5">
        <w:t xml:space="preserve"> </w:t>
      </w:r>
      <w:r>
        <w:t>for CrIII, Cu, Ni and Zn</w:t>
      </w:r>
    </w:p>
    <w:tbl>
      <w:tblPr>
        <w:tblW w:w="0" w:type="auto"/>
        <w:jc w:val="center"/>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2"/>
        <w:gridCol w:w="1729"/>
        <w:gridCol w:w="1417"/>
        <w:gridCol w:w="1417"/>
        <w:gridCol w:w="1417"/>
      </w:tblGrid>
      <w:tr w:rsidR="00A97702" w:rsidRPr="002977FC" w:rsidTr="00DA1C9D">
        <w:trPr>
          <w:jc w:val="center"/>
        </w:trPr>
        <w:tc>
          <w:tcPr>
            <w:tcW w:w="2822" w:type="dxa"/>
            <w:tcBorders>
              <w:bottom w:val="single" w:sz="4" w:space="0" w:color="auto"/>
            </w:tcBorders>
            <w:shd w:val="clear" w:color="auto" w:fill="C6D9F1" w:themeFill="text2" w:themeFillTint="33"/>
          </w:tcPr>
          <w:p w:rsidR="00A97702" w:rsidRPr="002977FC" w:rsidRDefault="00A97702" w:rsidP="00DA1C9D">
            <w:pPr>
              <w:pStyle w:val="TableHeading"/>
              <w:spacing w:after="60"/>
              <w:rPr>
                <w:sz w:val="22"/>
                <w:szCs w:val="22"/>
              </w:rPr>
            </w:pPr>
            <w:r w:rsidRPr="002977FC">
              <w:rPr>
                <w:sz w:val="22"/>
                <w:szCs w:val="22"/>
              </w:rPr>
              <w:t>Soil physicochemical property</w:t>
            </w:r>
          </w:p>
        </w:tc>
        <w:tc>
          <w:tcPr>
            <w:tcW w:w="1729" w:type="dxa"/>
            <w:shd w:val="clear" w:color="auto" w:fill="C6D9F1" w:themeFill="text2" w:themeFillTint="33"/>
          </w:tcPr>
          <w:p w:rsidR="00A97702" w:rsidRPr="002977FC" w:rsidRDefault="00A97702" w:rsidP="00DA1C9D">
            <w:pPr>
              <w:pStyle w:val="TableHeading"/>
              <w:spacing w:after="60"/>
              <w:rPr>
                <w:sz w:val="22"/>
                <w:szCs w:val="22"/>
              </w:rPr>
            </w:pPr>
            <w:r w:rsidRPr="002977FC">
              <w:rPr>
                <w:sz w:val="22"/>
                <w:szCs w:val="22"/>
              </w:rPr>
              <w:t>CrIII</w:t>
            </w:r>
          </w:p>
        </w:tc>
        <w:tc>
          <w:tcPr>
            <w:tcW w:w="1417" w:type="dxa"/>
            <w:shd w:val="clear" w:color="auto" w:fill="C6D9F1" w:themeFill="text2" w:themeFillTint="33"/>
          </w:tcPr>
          <w:p w:rsidR="00A97702" w:rsidRPr="002977FC" w:rsidRDefault="00A97702" w:rsidP="00DA1C9D">
            <w:pPr>
              <w:pStyle w:val="TableHeading"/>
              <w:spacing w:after="60"/>
              <w:rPr>
                <w:sz w:val="22"/>
                <w:szCs w:val="22"/>
              </w:rPr>
            </w:pPr>
            <w:r w:rsidRPr="002977FC">
              <w:rPr>
                <w:sz w:val="22"/>
                <w:szCs w:val="22"/>
              </w:rPr>
              <w:t>Cu</w:t>
            </w:r>
          </w:p>
        </w:tc>
        <w:tc>
          <w:tcPr>
            <w:tcW w:w="1417" w:type="dxa"/>
            <w:shd w:val="clear" w:color="auto" w:fill="C6D9F1" w:themeFill="text2" w:themeFillTint="33"/>
          </w:tcPr>
          <w:p w:rsidR="00A97702" w:rsidRPr="002977FC" w:rsidRDefault="00A97702" w:rsidP="00DA1C9D">
            <w:pPr>
              <w:pStyle w:val="TableHeading"/>
              <w:spacing w:after="60"/>
              <w:rPr>
                <w:sz w:val="22"/>
                <w:szCs w:val="22"/>
              </w:rPr>
            </w:pPr>
            <w:r w:rsidRPr="002977FC">
              <w:rPr>
                <w:sz w:val="22"/>
                <w:szCs w:val="22"/>
              </w:rPr>
              <w:t>Ni</w:t>
            </w:r>
          </w:p>
        </w:tc>
        <w:tc>
          <w:tcPr>
            <w:tcW w:w="1417" w:type="dxa"/>
            <w:shd w:val="clear" w:color="auto" w:fill="C6D9F1" w:themeFill="text2" w:themeFillTint="33"/>
          </w:tcPr>
          <w:p w:rsidR="00A97702" w:rsidRPr="002977FC" w:rsidRDefault="00A97702" w:rsidP="00DA1C9D">
            <w:pPr>
              <w:pStyle w:val="TableHeading"/>
              <w:spacing w:after="60"/>
              <w:rPr>
                <w:sz w:val="22"/>
                <w:szCs w:val="22"/>
              </w:rPr>
            </w:pPr>
            <w:r w:rsidRPr="002977FC">
              <w:rPr>
                <w:sz w:val="22"/>
                <w:szCs w:val="22"/>
              </w:rPr>
              <w:t>Zn</w:t>
            </w:r>
          </w:p>
        </w:tc>
      </w:tr>
      <w:tr w:rsidR="00A97702" w:rsidRPr="002977FC" w:rsidTr="00DA1C9D">
        <w:trPr>
          <w:jc w:val="center"/>
        </w:trPr>
        <w:tc>
          <w:tcPr>
            <w:tcW w:w="2822" w:type="dxa"/>
            <w:shd w:val="clear" w:color="auto" w:fill="auto"/>
            <w:vAlign w:val="center"/>
          </w:tcPr>
          <w:p w:rsidR="00A97702" w:rsidRPr="002977FC" w:rsidRDefault="00A97702" w:rsidP="00DA1C9D">
            <w:pPr>
              <w:pStyle w:val="TableHeadingLeft"/>
              <w:spacing w:before="60" w:after="60"/>
              <w:jc w:val="left"/>
              <w:rPr>
                <w:sz w:val="22"/>
                <w:szCs w:val="22"/>
              </w:rPr>
            </w:pPr>
            <w:r w:rsidRPr="002977FC">
              <w:rPr>
                <w:sz w:val="22"/>
                <w:szCs w:val="22"/>
              </w:rPr>
              <w:t>pH</w:t>
            </w:r>
          </w:p>
        </w:tc>
        <w:tc>
          <w:tcPr>
            <w:tcW w:w="1729" w:type="dxa"/>
            <w:vAlign w:val="center"/>
          </w:tcPr>
          <w:p w:rsidR="00A97702" w:rsidRPr="002977FC" w:rsidRDefault="00A97702" w:rsidP="00DA1C9D">
            <w:pPr>
              <w:pStyle w:val="Ticks"/>
              <w:spacing w:before="60" w:after="60"/>
              <w:rPr>
                <w:b/>
                <w:sz w:val="22"/>
                <w:szCs w:val="22"/>
              </w:rPr>
            </w:pPr>
          </w:p>
        </w:tc>
        <w:tc>
          <w:tcPr>
            <w:tcW w:w="1417" w:type="dxa"/>
            <w:vAlign w:val="center"/>
          </w:tcPr>
          <w:p w:rsidR="00A97702" w:rsidRPr="002977FC" w:rsidRDefault="00A97702" w:rsidP="00DA1C9D">
            <w:pPr>
              <w:pStyle w:val="Ticks"/>
              <w:spacing w:before="60" w:after="60"/>
              <w:rPr>
                <w:b/>
                <w:sz w:val="22"/>
                <w:szCs w:val="22"/>
              </w:rPr>
            </w:pPr>
            <w:r w:rsidRPr="002977FC">
              <w:rPr>
                <w:b/>
                <w:sz w:val="22"/>
                <w:szCs w:val="22"/>
              </w:rPr>
              <w:sym w:font="Wingdings 2" w:char="F050"/>
            </w:r>
          </w:p>
        </w:tc>
        <w:tc>
          <w:tcPr>
            <w:tcW w:w="1417" w:type="dxa"/>
            <w:vAlign w:val="center"/>
          </w:tcPr>
          <w:p w:rsidR="00A97702" w:rsidRPr="002977FC" w:rsidRDefault="00A97702" w:rsidP="00DA1C9D">
            <w:pPr>
              <w:pStyle w:val="Ticks"/>
              <w:spacing w:before="60" w:after="60"/>
              <w:rPr>
                <w:b/>
                <w:sz w:val="22"/>
                <w:szCs w:val="22"/>
              </w:rPr>
            </w:pPr>
          </w:p>
        </w:tc>
        <w:tc>
          <w:tcPr>
            <w:tcW w:w="1417" w:type="dxa"/>
            <w:vAlign w:val="center"/>
          </w:tcPr>
          <w:p w:rsidR="00A97702" w:rsidRPr="002977FC" w:rsidRDefault="00A97702" w:rsidP="00DA1C9D">
            <w:pPr>
              <w:pStyle w:val="Ticks"/>
              <w:spacing w:before="60" w:after="60"/>
              <w:rPr>
                <w:b/>
                <w:sz w:val="22"/>
                <w:szCs w:val="22"/>
              </w:rPr>
            </w:pPr>
          </w:p>
        </w:tc>
      </w:tr>
      <w:tr w:rsidR="00A97702" w:rsidRPr="002977FC" w:rsidTr="00DA1C9D">
        <w:trPr>
          <w:jc w:val="center"/>
        </w:trPr>
        <w:tc>
          <w:tcPr>
            <w:tcW w:w="2822" w:type="dxa"/>
            <w:shd w:val="clear" w:color="auto" w:fill="auto"/>
            <w:vAlign w:val="center"/>
          </w:tcPr>
          <w:p w:rsidR="00A97702" w:rsidRPr="002977FC" w:rsidRDefault="00A97702" w:rsidP="00DA1C9D">
            <w:pPr>
              <w:pStyle w:val="TableHeadingLeft"/>
              <w:spacing w:before="60" w:after="60"/>
              <w:jc w:val="left"/>
              <w:rPr>
                <w:sz w:val="22"/>
                <w:szCs w:val="22"/>
              </w:rPr>
            </w:pPr>
            <w:r w:rsidRPr="002977FC">
              <w:rPr>
                <w:sz w:val="22"/>
                <w:szCs w:val="22"/>
              </w:rPr>
              <w:t>CEC</w:t>
            </w:r>
          </w:p>
        </w:tc>
        <w:tc>
          <w:tcPr>
            <w:tcW w:w="1729" w:type="dxa"/>
            <w:vAlign w:val="center"/>
          </w:tcPr>
          <w:p w:rsidR="00A97702" w:rsidRPr="002977FC" w:rsidRDefault="00A97702" w:rsidP="00DA1C9D">
            <w:pPr>
              <w:pStyle w:val="Ticks"/>
              <w:spacing w:before="60" w:after="60"/>
              <w:rPr>
                <w:b/>
                <w:sz w:val="22"/>
                <w:szCs w:val="22"/>
              </w:rPr>
            </w:pPr>
          </w:p>
        </w:tc>
        <w:tc>
          <w:tcPr>
            <w:tcW w:w="1417" w:type="dxa"/>
            <w:vAlign w:val="center"/>
          </w:tcPr>
          <w:p w:rsidR="00A97702" w:rsidRPr="002977FC" w:rsidRDefault="00A97702" w:rsidP="00DA1C9D">
            <w:pPr>
              <w:pStyle w:val="Ticks"/>
              <w:spacing w:before="60" w:after="60"/>
              <w:rPr>
                <w:b/>
                <w:sz w:val="22"/>
                <w:szCs w:val="22"/>
              </w:rPr>
            </w:pPr>
            <w:r w:rsidRPr="002977FC">
              <w:rPr>
                <w:b/>
                <w:sz w:val="22"/>
                <w:szCs w:val="22"/>
              </w:rPr>
              <w:sym w:font="Wingdings 2" w:char="F050"/>
            </w:r>
          </w:p>
        </w:tc>
        <w:tc>
          <w:tcPr>
            <w:tcW w:w="1417" w:type="dxa"/>
            <w:vAlign w:val="center"/>
          </w:tcPr>
          <w:p w:rsidR="00A97702" w:rsidRPr="002977FC" w:rsidRDefault="00A97702" w:rsidP="00DA1C9D">
            <w:pPr>
              <w:pStyle w:val="Ticks"/>
              <w:spacing w:before="60" w:after="60"/>
              <w:rPr>
                <w:b/>
                <w:sz w:val="22"/>
                <w:szCs w:val="22"/>
              </w:rPr>
            </w:pPr>
            <w:r w:rsidRPr="002977FC">
              <w:rPr>
                <w:b/>
                <w:sz w:val="22"/>
                <w:szCs w:val="22"/>
              </w:rPr>
              <w:sym w:font="Wingdings 2" w:char="F050"/>
            </w:r>
          </w:p>
        </w:tc>
        <w:tc>
          <w:tcPr>
            <w:tcW w:w="1417" w:type="dxa"/>
            <w:vAlign w:val="center"/>
          </w:tcPr>
          <w:p w:rsidR="00A97702" w:rsidRPr="002977FC" w:rsidRDefault="00A97702" w:rsidP="00DA1C9D">
            <w:pPr>
              <w:pStyle w:val="Ticks"/>
              <w:spacing w:before="60" w:after="60"/>
              <w:rPr>
                <w:b/>
                <w:sz w:val="22"/>
                <w:szCs w:val="22"/>
              </w:rPr>
            </w:pPr>
            <w:r w:rsidRPr="002977FC">
              <w:rPr>
                <w:b/>
                <w:sz w:val="22"/>
                <w:szCs w:val="22"/>
              </w:rPr>
              <w:sym w:font="Wingdings 2" w:char="F050"/>
            </w:r>
          </w:p>
        </w:tc>
      </w:tr>
      <w:tr w:rsidR="00A97702" w:rsidRPr="002977FC" w:rsidTr="00DA1C9D">
        <w:trPr>
          <w:jc w:val="center"/>
        </w:trPr>
        <w:tc>
          <w:tcPr>
            <w:tcW w:w="2822" w:type="dxa"/>
            <w:shd w:val="clear" w:color="auto" w:fill="auto"/>
            <w:vAlign w:val="center"/>
          </w:tcPr>
          <w:p w:rsidR="00A97702" w:rsidRPr="002977FC" w:rsidRDefault="00A97702" w:rsidP="00DA1C9D">
            <w:pPr>
              <w:pStyle w:val="TableHeadingLeft"/>
              <w:spacing w:before="60" w:after="60"/>
              <w:jc w:val="left"/>
              <w:rPr>
                <w:sz w:val="22"/>
                <w:szCs w:val="22"/>
              </w:rPr>
            </w:pPr>
            <w:r w:rsidRPr="002977FC">
              <w:rPr>
                <w:sz w:val="22"/>
                <w:szCs w:val="22"/>
              </w:rPr>
              <w:t>% clay</w:t>
            </w:r>
          </w:p>
        </w:tc>
        <w:tc>
          <w:tcPr>
            <w:tcW w:w="1729" w:type="dxa"/>
            <w:vAlign w:val="center"/>
          </w:tcPr>
          <w:p w:rsidR="00A97702" w:rsidRPr="002977FC" w:rsidRDefault="00A97702" w:rsidP="00DA1C9D">
            <w:pPr>
              <w:pStyle w:val="Ticks"/>
              <w:spacing w:before="60" w:after="60"/>
              <w:rPr>
                <w:b/>
                <w:sz w:val="22"/>
                <w:szCs w:val="22"/>
              </w:rPr>
            </w:pPr>
            <w:r w:rsidRPr="002977FC">
              <w:rPr>
                <w:b/>
                <w:sz w:val="22"/>
                <w:szCs w:val="22"/>
              </w:rPr>
              <w:sym w:font="Wingdings 2" w:char="F050"/>
            </w:r>
          </w:p>
        </w:tc>
        <w:tc>
          <w:tcPr>
            <w:tcW w:w="1417" w:type="dxa"/>
            <w:vAlign w:val="center"/>
          </w:tcPr>
          <w:p w:rsidR="00A97702" w:rsidRPr="002977FC" w:rsidRDefault="00A97702" w:rsidP="00DA1C9D">
            <w:pPr>
              <w:pStyle w:val="Ticks"/>
              <w:spacing w:before="60" w:after="60"/>
              <w:rPr>
                <w:b/>
                <w:sz w:val="22"/>
                <w:szCs w:val="22"/>
              </w:rPr>
            </w:pPr>
          </w:p>
        </w:tc>
        <w:tc>
          <w:tcPr>
            <w:tcW w:w="1417" w:type="dxa"/>
            <w:vAlign w:val="center"/>
          </w:tcPr>
          <w:p w:rsidR="00A97702" w:rsidRPr="002977FC" w:rsidRDefault="00A97702" w:rsidP="00DA1C9D">
            <w:pPr>
              <w:pStyle w:val="Ticks"/>
              <w:spacing w:before="60" w:after="60"/>
              <w:rPr>
                <w:b/>
                <w:sz w:val="22"/>
                <w:szCs w:val="22"/>
              </w:rPr>
            </w:pPr>
          </w:p>
        </w:tc>
        <w:tc>
          <w:tcPr>
            <w:tcW w:w="1417" w:type="dxa"/>
            <w:vAlign w:val="center"/>
          </w:tcPr>
          <w:p w:rsidR="00A97702" w:rsidRPr="002977FC" w:rsidRDefault="00A97702" w:rsidP="00DA1C9D">
            <w:pPr>
              <w:pStyle w:val="Ticks"/>
              <w:spacing w:before="60" w:after="60"/>
              <w:rPr>
                <w:b/>
                <w:sz w:val="22"/>
                <w:szCs w:val="22"/>
              </w:rPr>
            </w:pPr>
          </w:p>
        </w:tc>
      </w:tr>
    </w:tbl>
    <w:p w:rsidR="00A97702" w:rsidRDefault="00A97702" w:rsidP="00A97702">
      <w:pPr>
        <w:pStyle w:val="text"/>
      </w:pPr>
    </w:p>
    <w:p w:rsidR="00A97702" w:rsidRPr="00FD1445" w:rsidRDefault="00A97702" w:rsidP="00A97702">
      <w:r w:rsidRPr="00615991">
        <w:t>Insufficient data was available to derive ACLs for arsenic (As), DDT, lead (Pb) and naphthalene. As a result, the derived</w:t>
      </w:r>
      <w:r>
        <w:t xml:space="preserve"> EILs are generic to all soils and are presented as total soil contaminant concentrations in </w:t>
      </w:r>
      <w:r w:rsidRPr="00B22904">
        <w:t>Tables 1B(4) and 1B(5).</w:t>
      </w:r>
    </w:p>
    <w:p w:rsidR="00A97702" w:rsidRDefault="00A97702" w:rsidP="00A97702">
      <w:pPr>
        <w:pStyle w:val="Heading3"/>
        <w:ind w:left="720" w:hanging="720"/>
      </w:pPr>
      <w:bookmarkStart w:id="36" w:name="_Toc351712041"/>
      <w:r w:rsidRPr="00A772C6">
        <w:t>Ag</w:t>
      </w:r>
      <w:r>
        <w:t>e</w:t>
      </w:r>
      <w:r w:rsidRPr="00A772C6">
        <w:t xml:space="preserve">ing of contamination and </w:t>
      </w:r>
      <w:r>
        <w:t>soil</w:t>
      </w:r>
      <w:r w:rsidRPr="00A772C6">
        <w:t xml:space="preserve"> properties</w:t>
      </w:r>
      <w:bookmarkEnd w:id="36"/>
    </w:p>
    <w:p w:rsidR="00A97702" w:rsidRDefault="00A97702" w:rsidP="00A97702">
      <w:r>
        <w:t>In general the toxicity of soil contaminants (both organic and inorganic) will reduce or age over time to a lower and more stable level by binding to various soil components and decreasing their</w:t>
      </w:r>
      <w:r w:rsidRPr="0071272D">
        <w:t xml:space="preserve"> </w:t>
      </w:r>
      <w:r>
        <w:t xml:space="preserve">biological availability. Hence, toxicity can be affected by the physicochemical or chemical properties of the soil including clay content, </w:t>
      </w:r>
      <w:r>
        <w:rPr>
          <w:rFonts w:cs="Book Antiqua"/>
          <w:color w:val="000000"/>
          <w:szCs w:val="22"/>
          <w:lang w:val="en-GB"/>
        </w:rPr>
        <w:t>cation exchange capacity (CEC) measured in centi-mole charge/kg (cmol</w:t>
      </w:r>
      <w:r>
        <w:rPr>
          <w:rFonts w:cs="Book Antiqua"/>
          <w:color w:val="000000"/>
          <w:szCs w:val="22"/>
          <w:vertAlign w:val="subscript"/>
          <w:lang w:val="en-GB"/>
        </w:rPr>
        <w:t>c</w:t>
      </w:r>
      <w:r>
        <w:rPr>
          <w:rFonts w:cs="Book Antiqua"/>
          <w:color w:val="000000"/>
          <w:szCs w:val="22"/>
          <w:lang w:val="en-GB"/>
        </w:rPr>
        <w:t xml:space="preserve">/kg), </w:t>
      </w:r>
      <w:r>
        <w:t>pH, i</w:t>
      </w:r>
      <w:r w:rsidR="00271CD8">
        <w:t>ron and organic carbon content.</w:t>
      </w:r>
    </w:p>
    <w:p w:rsidR="00FF4FD0" w:rsidRDefault="00FF4FD0" w:rsidP="00A97702"/>
    <w:p w:rsidR="00A97702" w:rsidRDefault="00A97702" w:rsidP="00A97702">
      <w:r>
        <w:t>For the purposes of EIL derivation, a contaminant incorporated in soil for at least two years is considered to be aged for the purpose of EIL derivation. The majority of contaminated sites are likely to be affected by aged contamination. Fresh contamination is usually associated with current industrial activity and chemical spills.</w:t>
      </w:r>
    </w:p>
    <w:p w:rsidR="00FF4FD0" w:rsidRDefault="00FF4FD0" w:rsidP="00A97702"/>
    <w:p w:rsidR="00A97702" w:rsidRDefault="00A97702" w:rsidP="00A97702">
      <w:r>
        <w:t>In some cases insufficient data on aged contamination was available to apply the EIL methodology, and where possible, ageing factors based on relevant studies have been applied to determine a soi</w:t>
      </w:r>
      <w:r w:rsidR="00271CD8">
        <w:t>l value for aged contamination.</w:t>
      </w:r>
    </w:p>
    <w:p w:rsidR="00FF4FD0" w:rsidRDefault="00FF4FD0" w:rsidP="00A97702"/>
    <w:p w:rsidR="00A97702" w:rsidRPr="00FF4FD0" w:rsidRDefault="00A97702" w:rsidP="00A97702">
      <w:pPr>
        <w:rPr>
          <w:szCs w:val="22"/>
        </w:rPr>
      </w:pPr>
      <w:r w:rsidRPr="00A34420">
        <w:rPr>
          <w:szCs w:val="22"/>
        </w:rPr>
        <w:t xml:space="preserve">EIL determination for fresh contamination (that is, </w:t>
      </w:r>
      <w:r>
        <w:rPr>
          <w:szCs w:val="22"/>
        </w:rPr>
        <w:t>present for less than two</w:t>
      </w:r>
      <w:r w:rsidRPr="00A34420">
        <w:rPr>
          <w:szCs w:val="22"/>
        </w:rPr>
        <w:t xml:space="preserve"> years) for the relevant contaminants should be site-specifically determined by reference to </w:t>
      </w:r>
      <w:r>
        <w:rPr>
          <w:szCs w:val="22"/>
        </w:rPr>
        <w:t xml:space="preserve">the </w:t>
      </w:r>
      <w:r w:rsidRPr="00A34420">
        <w:rPr>
          <w:szCs w:val="22"/>
        </w:rPr>
        <w:t>relevant tables in Schedule B5c.</w:t>
      </w:r>
    </w:p>
    <w:p w:rsidR="00A97702" w:rsidRDefault="00A97702" w:rsidP="00A97702">
      <w:pPr>
        <w:pStyle w:val="Heading3"/>
        <w:ind w:left="720" w:hanging="720"/>
      </w:pPr>
      <w:bookmarkStart w:id="37" w:name="_Toc351712042"/>
      <w:r w:rsidRPr="004470E9">
        <w:t xml:space="preserve">Determining </w:t>
      </w:r>
      <w:r>
        <w:t xml:space="preserve">site-specific </w:t>
      </w:r>
      <w:r w:rsidRPr="004470E9">
        <w:t>EILs</w:t>
      </w:r>
      <w:bookmarkEnd w:id="37"/>
      <w:r w:rsidRPr="004470E9">
        <w:t xml:space="preserve"> </w:t>
      </w:r>
    </w:p>
    <w:p w:rsidR="00A97702" w:rsidRPr="00E64BAE" w:rsidRDefault="00A97702" w:rsidP="00A97702">
      <w:r>
        <w:t>Detailed information on the derivation of the EILs is provided in Schedule B5c. The following section describes the steps that are taken to derive site-specific EILs. A spreadsheet is included in the ASC NEPM Toolbox which can also be used for calculating site-specific EILs.</w:t>
      </w:r>
    </w:p>
    <w:p w:rsidR="00A97702" w:rsidRPr="00793C40" w:rsidRDefault="00A97702" w:rsidP="00A97702">
      <w:pPr>
        <w:pStyle w:val="AHeading"/>
      </w:pPr>
      <w:r w:rsidRPr="00793C40">
        <w:t>A.</w:t>
      </w:r>
      <w:r w:rsidRPr="00793C40">
        <w:tab/>
        <w:t xml:space="preserve">EILs for </w:t>
      </w:r>
      <w:r w:rsidRPr="00793C40">
        <w:rPr>
          <w:rFonts w:cs="Book Antiqua"/>
          <w:color w:val="000000"/>
          <w:szCs w:val="22"/>
          <w:lang w:val="en-GB"/>
        </w:rPr>
        <w:t>Ni, Cr</w:t>
      </w:r>
      <w:r>
        <w:rPr>
          <w:rFonts w:cs="Book Antiqua"/>
          <w:color w:val="000000"/>
          <w:szCs w:val="22"/>
          <w:lang w:val="en-GB"/>
        </w:rPr>
        <w:t xml:space="preserve"> </w:t>
      </w:r>
      <w:r w:rsidRPr="00793C40">
        <w:rPr>
          <w:rFonts w:cs="Book Antiqua"/>
          <w:color w:val="000000"/>
          <w:szCs w:val="22"/>
          <w:lang w:val="en-GB"/>
        </w:rPr>
        <w:t xml:space="preserve">III, Cu, Zn and Pb </w:t>
      </w:r>
      <w:r w:rsidRPr="00793C40">
        <w:t>aged contamination (&gt;2 years)</w:t>
      </w:r>
    </w:p>
    <w:p w:rsidR="00A97702" w:rsidRDefault="00A97702" w:rsidP="00A97702">
      <w:pPr>
        <w:pStyle w:val="indentedunderAHeading"/>
      </w:pPr>
      <w:r>
        <w:t>Steps 1–4 below describe the process for deriving site-specific EILs for the above elements using Tables 1B(1) – 1B(4), which can be fou</w:t>
      </w:r>
      <w:r w:rsidR="00271CD8">
        <w:t>nd at the end of this Schedule.</w:t>
      </w:r>
    </w:p>
    <w:p w:rsidR="00A97702" w:rsidRDefault="00A97702" w:rsidP="00A97702">
      <w:pPr>
        <w:pStyle w:val="NumberedunderAHeading"/>
        <w:tabs>
          <w:tab w:val="clear" w:pos="926"/>
        </w:tabs>
      </w:pPr>
      <w:r>
        <w:t>Measure or analyse the soil properties relevant to the potential contaminant of concern (see Table 4). Sufficient samples need to be taken for these determinations to obtain representative values for each soil type in which the contaminant occurs.</w:t>
      </w:r>
    </w:p>
    <w:p w:rsidR="00A97702" w:rsidRDefault="00A97702" w:rsidP="00A97702">
      <w:pPr>
        <w:pStyle w:val="NumberedunderAHeading"/>
        <w:tabs>
          <w:tab w:val="clear" w:pos="926"/>
        </w:tabs>
      </w:pPr>
      <w:r>
        <w:lastRenderedPageBreak/>
        <w:t xml:space="preserve">Establish the sample ACL for the appropriate land use and with consideration of the soil-specific pH, clay content or CEC. The ACL for Cu may be determined by pH or CEC and the lower of the determined values should be selected for EIL calculation. Note that the ACL for Pb is taken directly from </w:t>
      </w:r>
      <w:r w:rsidRPr="008F381D">
        <w:t>Table 1(B)4.</w:t>
      </w:r>
    </w:p>
    <w:p w:rsidR="00A97702" w:rsidRDefault="00A97702" w:rsidP="00A97702">
      <w:pPr>
        <w:pStyle w:val="NumberedunderAHeading"/>
        <w:tabs>
          <w:tab w:val="clear" w:pos="926"/>
        </w:tabs>
      </w:pPr>
      <w:r>
        <w:t>Calculate the contaminant ABC in soil for the particular contaminant and location from a suitable reference site measurement or other appropriate method.</w:t>
      </w:r>
    </w:p>
    <w:p w:rsidR="00A97702" w:rsidRDefault="00A97702" w:rsidP="00A97702">
      <w:pPr>
        <w:pStyle w:val="NumberedunderAHeading"/>
        <w:tabs>
          <w:tab w:val="clear" w:pos="926"/>
        </w:tabs>
      </w:pPr>
      <w:r>
        <w:t>Calculate the EIL by summing the ACL and ABC:</w:t>
      </w:r>
    </w:p>
    <w:p w:rsidR="00A97702" w:rsidRDefault="00A97702" w:rsidP="00A97702">
      <w:pPr>
        <w:pStyle w:val="NumberedunderAHeading"/>
        <w:numPr>
          <w:ilvl w:val="0"/>
          <w:numId w:val="0"/>
        </w:numPr>
        <w:ind w:left="414" w:firstLine="720"/>
      </w:pPr>
      <w:r>
        <w:t>EIL = ABC + ACL</w:t>
      </w:r>
    </w:p>
    <w:p w:rsidR="00A97702" w:rsidRPr="00950FA5" w:rsidRDefault="00A97702" w:rsidP="00A97702">
      <w:pPr>
        <w:pStyle w:val="AHeading"/>
      </w:pPr>
      <w:r w:rsidRPr="00950FA5">
        <w:t xml:space="preserve">B. </w:t>
      </w:r>
      <w:r w:rsidRPr="00950FA5">
        <w:tab/>
        <w:t>EILs for As, DDT and naphthalene</w:t>
      </w:r>
    </w:p>
    <w:p w:rsidR="00A97702" w:rsidRDefault="00A97702" w:rsidP="00A97702">
      <w:pPr>
        <w:pStyle w:val="indentedunderAHeading"/>
      </w:pPr>
      <w:r>
        <w:t xml:space="preserve">EILs for aged contamination for DDT and naphthalene are not available and the adopted EIL is based on fresh contamination taken directly from </w:t>
      </w:r>
      <w:r w:rsidRPr="008F381D">
        <w:t>Table 1B(</w:t>
      </w:r>
      <w:r>
        <w:t>5</w:t>
      </w:r>
      <w:r w:rsidRPr="008F381D">
        <w:t>). The EILs for As, DDT and naphthalene are generic i.e. they are not dependent on soil type and are taken directly from Table 1B(</w:t>
      </w:r>
      <w:r>
        <w:t>5</w:t>
      </w:r>
      <w:r w:rsidRPr="008F381D">
        <w:t>).</w:t>
      </w:r>
      <w:r>
        <w:t xml:space="preserve"> Only EILs for fresh contamination are available for As, DDT and naphthalene due to the absence of suitable data</w:t>
      </w:r>
      <w:r w:rsidRPr="00435571">
        <w:t xml:space="preserve"> </w:t>
      </w:r>
      <w:r>
        <w:t>for aged contaminants.</w:t>
      </w:r>
    </w:p>
    <w:p w:rsidR="00A97702" w:rsidRDefault="00A97702" w:rsidP="00A97702">
      <w:pPr>
        <w:pStyle w:val="Heading2"/>
      </w:pPr>
      <w:bookmarkStart w:id="38" w:name="_Toc351712043"/>
      <w:r w:rsidRPr="005F29D5">
        <w:t xml:space="preserve">Ecological screening levels for </w:t>
      </w:r>
      <w:r>
        <w:t>petroleum hydrocarbon compounds</w:t>
      </w:r>
      <w:bookmarkEnd w:id="38"/>
    </w:p>
    <w:p w:rsidR="00A97702" w:rsidRDefault="00A97702" w:rsidP="00A97702">
      <w:pPr>
        <w:pStyle w:val="Heading3"/>
        <w:ind w:left="720" w:hanging="720"/>
      </w:pPr>
      <w:bookmarkStart w:id="39" w:name="_Toc351712044"/>
      <w:r>
        <w:t>Introduction</w:t>
      </w:r>
      <w:bookmarkEnd w:id="39"/>
    </w:p>
    <w:p w:rsidR="00A97702" w:rsidRDefault="00A97702" w:rsidP="00A97702">
      <w:r>
        <w:t xml:space="preserve">Ecological screening levels (ESLs) are presented based on a </w:t>
      </w:r>
      <w:r w:rsidRPr="00AE64C9">
        <w:t>review of  Canadian guidance for petroleum hydrocarbons in soil and application of the Australian methodology (Schedule B5b) to derive Tier 1 ESLs for BTEX, benzo(a)pyrene and F1 and</w:t>
      </w:r>
      <w:r>
        <w:t xml:space="preserve"> F2 (Warne 2010a, 2010b).</w:t>
      </w:r>
    </w:p>
    <w:p w:rsidR="00FF4FD0" w:rsidRDefault="00FF4FD0" w:rsidP="00A97702"/>
    <w:p w:rsidR="00A97702" w:rsidRDefault="00A97702" w:rsidP="00A97702">
      <w:r>
        <w:t xml:space="preserve">The Canadian Council of the Ministers of the Environment (CCME) has adopted risk-based TPH standards for human health and ecological aspects for various land uses in the </w:t>
      </w:r>
      <w:r w:rsidRPr="006A79E8">
        <w:rPr>
          <w:i/>
        </w:rPr>
        <w:t>Canada-</w:t>
      </w:r>
      <w:r>
        <w:rPr>
          <w:i/>
        </w:rPr>
        <w:t>w</w:t>
      </w:r>
      <w:r w:rsidRPr="006A79E8">
        <w:rPr>
          <w:i/>
        </w:rPr>
        <w:t xml:space="preserve">ide </w:t>
      </w:r>
      <w:r>
        <w:rPr>
          <w:i/>
        </w:rPr>
        <w:t>s</w:t>
      </w:r>
      <w:r w:rsidRPr="006A79E8">
        <w:rPr>
          <w:i/>
        </w:rPr>
        <w:t xml:space="preserve">tandard for </w:t>
      </w:r>
      <w:r>
        <w:rPr>
          <w:i/>
        </w:rPr>
        <w:t>p</w:t>
      </w:r>
      <w:r w:rsidRPr="006A79E8">
        <w:rPr>
          <w:i/>
        </w:rPr>
        <w:t xml:space="preserve">etroleum </w:t>
      </w:r>
      <w:r>
        <w:rPr>
          <w:i/>
        </w:rPr>
        <w:t>h</w:t>
      </w:r>
      <w:r w:rsidRPr="006A79E8">
        <w:rPr>
          <w:i/>
        </w:rPr>
        <w:t xml:space="preserve">ydrocarbons (PHC) in </w:t>
      </w:r>
      <w:r>
        <w:rPr>
          <w:i/>
        </w:rPr>
        <w:t>s</w:t>
      </w:r>
      <w:r w:rsidRPr="006A79E8">
        <w:rPr>
          <w:i/>
        </w:rPr>
        <w:t>oil</w:t>
      </w:r>
      <w:r>
        <w:t xml:space="preserve"> (CCME 2008)</w:t>
      </w:r>
      <w:r w:rsidRPr="001A561D">
        <w:t xml:space="preserve"> (CWS PHC)</w:t>
      </w:r>
      <w:r>
        <w:t>. The standards established soil values including ecologically based criteria for sites affected by TPH contamination for coars</w:t>
      </w:r>
      <w:r w:rsidR="00271CD8">
        <w:t>e- and fine-grained soil types.</w:t>
      </w:r>
    </w:p>
    <w:p w:rsidR="00FF4FD0" w:rsidRDefault="00FF4FD0" w:rsidP="00A97702"/>
    <w:p w:rsidR="00A97702" w:rsidRDefault="00A97702" w:rsidP="00A97702">
      <w:r>
        <w:t xml:space="preserve">The standard applies to the same four fractions (F1–F4) adopted for the HSLs (refer Section </w:t>
      </w:r>
      <w:r w:rsidRPr="00DD0E2E">
        <w:t>2.4.5</w:t>
      </w:r>
      <w:r w:rsidR="00271CD8">
        <w:t xml:space="preserve"> of this Schedule).</w:t>
      </w:r>
    </w:p>
    <w:p w:rsidR="00A97702" w:rsidRDefault="00A97702" w:rsidP="00A97702">
      <w:pPr>
        <w:pStyle w:val="Heading3"/>
        <w:ind w:left="720" w:hanging="720"/>
      </w:pPr>
      <w:bookmarkStart w:id="40" w:name="_Toc351712045"/>
      <w:r>
        <w:t>ESL Methodology</w:t>
      </w:r>
      <w:bookmarkEnd w:id="40"/>
    </w:p>
    <w:p w:rsidR="00A97702" w:rsidRDefault="00A97702" w:rsidP="00A97702">
      <w:r>
        <w:t xml:space="preserve">The CWS PHC approach uses an SSD method and, when </w:t>
      </w:r>
      <w:r w:rsidRPr="00615991">
        <w:t>there is insufficient data for the SSD method, applies a weight-of-evidence approach to derive ecologically based ’Tier 1</w:t>
      </w:r>
      <w:r>
        <w:t xml:space="preserve"> eco soil contact‘ values for TPH fractions and specific compounds. The overall approach has similarities to the Australian EIL methodology by developing protective criteria based on EC</w:t>
      </w:r>
      <w:r w:rsidRPr="0029479F">
        <w:rPr>
          <w:vertAlign w:val="subscript"/>
        </w:rPr>
        <w:t>25</w:t>
      </w:r>
      <w:r>
        <w:t xml:space="preserve"> toxicity for residential land use and EC</w:t>
      </w:r>
      <w:r w:rsidRPr="0029479F">
        <w:rPr>
          <w:vertAlign w:val="subscript"/>
        </w:rPr>
        <w:t>50</w:t>
      </w:r>
      <w:r>
        <w:t xml:space="preserve"> for commercial/industrial land (cf. Australia EC</w:t>
      </w:r>
      <w:r w:rsidRPr="0029479F">
        <w:rPr>
          <w:vertAlign w:val="subscript"/>
        </w:rPr>
        <w:t>30</w:t>
      </w:r>
      <w:r>
        <w:t xml:space="preserve"> and</w:t>
      </w:r>
      <w:r w:rsidR="00271CD8">
        <w:t xml:space="preserve"> LOEC data).</w:t>
      </w:r>
    </w:p>
    <w:p w:rsidR="00FF4FD0" w:rsidRDefault="00FF4FD0" w:rsidP="00A97702"/>
    <w:p w:rsidR="00A97702" w:rsidRDefault="00A97702" w:rsidP="00A97702">
      <w:r>
        <w:t>The Australian EIL methodology was applied to the ecotoxicity data used to derive the Canadian F1 and F2 (eco soil contact) values (</w:t>
      </w:r>
      <w:r w:rsidRPr="004F01C4">
        <w:t>Warne 2010</w:t>
      </w:r>
      <w:r>
        <w:rPr>
          <w:szCs w:val="24"/>
        </w:rPr>
        <w:t>a)</w:t>
      </w:r>
      <w:r w:rsidRPr="00BB13E4">
        <w:rPr>
          <w:i/>
          <w:szCs w:val="24"/>
        </w:rPr>
        <w:t xml:space="preserve"> </w:t>
      </w:r>
      <w:r>
        <w:t xml:space="preserve">to produce comparable Tier 1 values for these fractions. Based on the data quality and applicability to the Australian environment, the derived values for F1 and F2 are adopted as moderate reliability ESLs (see Table 1B(6) at the end of this Schedule) and apply generically to </w:t>
      </w:r>
      <w:r w:rsidR="00271CD8">
        <w:t>fine- and coarse-grained soils.</w:t>
      </w:r>
    </w:p>
    <w:p w:rsidR="00FF4FD0" w:rsidRDefault="00FF4FD0" w:rsidP="00A97702"/>
    <w:p w:rsidR="00A97702" w:rsidRDefault="00A97702" w:rsidP="00A97702">
      <w:r>
        <w:t>Due to the limited ecotoxicity data for F3 and F4, the Australian methodology was not able to be applied. The data limitations were recognised in the Canadian guidance and an alternative weight-of-evidence approach was used to develop values for these fractions. Consequently, the adopted values for F3 and F4 (</w:t>
      </w:r>
      <w:r w:rsidRPr="008F381D">
        <w:t>see Table 1B(</w:t>
      </w:r>
      <w:r>
        <w:t>6</w:t>
      </w:r>
      <w:r w:rsidRPr="008F381D">
        <w:t>)</w:t>
      </w:r>
      <w:r>
        <w:t xml:space="preserve">) are considered low reliability </w:t>
      </w:r>
      <w:r w:rsidRPr="00706291">
        <w:t>ESLs for fine</w:t>
      </w:r>
      <w:r>
        <w:t>-</w:t>
      </w:r>
      <w:r w:rsidRPr="00706291">
        <w:t xml:space="preserve"> and coarse</w:t>
      </w:r>
      <w:r>
        <w:t>-</w:t>
      </w:r>
      <w:r w:rsidRPr="00706291">
        <w:t>grained soils</w:t>
      </w:r>
      <w:r>
        <w:t xml:space="preserve"> (</w:t>
      </w:r>
      <w:r w:rsidRPr="000742FB">
        <w:t>Warne 2010</w:t>
      </w:r>
      <w:r>
        <w:t>a, 2010b).</w:t>
      </w:r>
    </w:p>
    <w:p w:rsidR="00FF4FD0" w:rsidRDefault="00FF4FD0" w:rsidP="00A97702"/>
    <w:p w:rsidR="00A97702" w:rsidRDefault="00A97702" w:rsidP="00A97702">
      <w:r>
        <w:lastRenderedPageBreak/>
        <w:t>A further review of Canadian soil quality guidelines was undertaken for BTEX and benzo(a)pyrene (</w:t>
      </w:r>
      <w:r w:rsidRPr="004F01C4">
        <w:t>Warne 2010</w:t>
      </w:r>
      <w:r>
        <w:rPr>
          <w:szCs w:val="24"/>
        </w:rPr>
        <w:t>b</w:t>
      </w:r>
      <w:r w:rsidRPr="00744B37">
        <w:rPr>
          <w:szCs w:val="22"/>
        </w:rPr>
        <w:t xml:space="preserve">) and the Australian methodology applied to the </w:t>
      </w:r>
      <w:r>
        <w:rPr>
          <w:szCs w:val="22"/>
        </w:rPr>
        <w:t>ecotoxicological</w:t>
      </w:r>
      <w:r w:rsidRPr="00744B37">
        <w:rPr>
          <w:szCs w:val="22"/>
        </w:rPr>
        <w:t xml:space="preserve"> data as far as possible</w:t>
      </w:r>
      <w:r>
        <w:rPr>
          <w:szCs w:val="22"/>
        </w:rPr>
        <w:t xml:space="preserve"> to derive equivalent ESLs</w:t>
      </w:r>
      <w:r w:rsidRPr="00744B37">
        <w:rPr>
          <w:szCs w:val="22"/>
        </w:rPr>
        <w:t>.</w:t>
      </w:r>
      <w:r w:rsidRPr="00744B37">
        <w:t xml:space="preserve"> </w:t>
      </w:r>
      <w:r>
        <w:t xml:space="preserve">However, data limitations did not allow the full use of the EIL derivation methodology and the resulting values are adopted as low reliability ESLs </w:t>
      </w:r>
      <w:r w:rsidRPr="008F381D">
        <w:t>in Table 1B(</w:t>
      </w:r>
      <w:r>
        <w:t>6</w:t>
      </w:r>
      <w:r w:rsidRPr="008F381D">
        <w:t>)</w:t>
      </w:r>
      <w:r>
        <w:t>. Values were derived using the Canadian data reduction methods, the Australian SSD method and employing the Australian levels of pr</w:t>
      </w:r>
      <w:r w:rsidR="00271CD8">
        <w:t>otection for various land uses.</w:t>
      </w:r>
    </w:p>
    <w:p w:rsidR="00FF4FD0" w:rsidRDefault="00FF4FD0" w:rsidP="00A97702"/>
    <w:p w:rsidR="00A97702" w:rsidRDefault="00A97702" w:rsidP="00A97702">
      <w:r>
        <w:t>ESLs for the adopted carbon fraction ranges are based on TRH analysis with F1 being obtaine</w:t>
      </w:r>
      <w:r w:rsidR="00271CD8">
        <w:t>d after subtraction of BTEX.</w:t>
      </w:r>
    </w:p>
    <w:p w:rsidR="00A97702" w:rsidRDefault="00A97702" w:rsidP="00A97702">
      <w:pPr>
        <w:pStyle w:val="Heading3"/>
        <w:ind w:left="720" w:hanging="720"/>
      </w:pPr>
      <w:bookmarkStart w:id="41" w:name="_Toc351712046"/>
      <w:r>
        <w:t>Depth of application</w:t>
      </w:r>
      <w:bookmarkEnd w:id="41"/>
    </w:p>
    <w:p w:rsidR="00A97702" w:rsidRDefault="00A97702" w:rsidP="00A97702">
      <w:r>
        <w:t>ESLs apply from the surface to 2 m depth below finished surface/ground level, which corresponds to the root zone and habitation zone of many species. In arid regions, where the predominant species may have greater root penetration, specific considerations may result in their application to 3 m depth.</w:t>
      </w:r>
    </w:p>
    <w:p w:rsidR="00A97702" w:rsidRDefault="00A97702" w:rsidP="00A97702">
      <w:pPr>
        <w:pStyle w:val="Heading3"/>
        <w:ind w:left="720" w:hanging="720"/>
      </w:pPr>
      <w:bookmarkStart w:id="42" w:name="_Toc351712047"/>
      <w:r>
        <w:t>Soil texture</w:t>
      </w:r>
      <w:bookmarkEnd w:id="42"/>
    </w:p>
    <w:p w:rsidR="00A97702" w:rsidRDefault="00A97702" w:rsidP="00A97702">
      <w:r w:rsidRPr="00706291">
        <w:t xml:space="preserve">The ESLs are applicable to </w:t>
      </w:r>
      <w:r>
        <w:t xml:space="preserve">coarse and fine textured soils </w:t>
      </w:r>
      <w:r w:rsidRPr="00706291">
        <w:t xml:space="preserve">equivalent to </w:t>
      </w:r>
      <w:r>
        <w:t xml:space="preserve">coarse-grained </w:t>
      </w:r>
      <w:r w:rsidRPr="00706291">
        <w:t>soils and fine</w:t>
      </w:r>
      <w:r>
        <w:t xml:space="preserve">-grained </w:t>
      </w:r>
      <w:r w:rsidRPr="00706291">
        <w:t xml:space="preserve">soils in </w:t>
      </w:r>
      <w:r>
        <w:t xml:space="preserve">Table A1 of Standard </w:t>
      </w:r>
      <w:r w:rsidRPr="00706291">
        <w:t>AS 1726</w:t>
      </w:r>
      <w:r>
        <w:t>:</w:t>
      </w:r>
      <w:r w:rsidRPr="00706291">
        <w:t xml:space="preserve">1993. </w:t>
      </w:r>
      <w:r>
        <w:t>C</w:t>
      </w:r>
      <w:r w:rsidRPr="00706291">
        <w:t xml:space="preserve">onservative Tier 1 values (i.e. values for </w:t>
      </w:r>
      <w:r>
        <w:t>coarse soils) should be applied where site-specific textura</w:t>
      </w:r>
      <w:r w:rsidR="00271CD8">
        <w:t>l information is not available.</w:t>
      </w:r>
    </w:p>
    <w:p w:rsidR="00A97702" w:rsidRDefault="00A97702" w:rsidP="00A97702">
      <w:pPr>
        <w:pStyle w:val="Heading3"/>
        <w:ind w:left="720" w:hanging="720"/>
      </w:pPr>
      <w:bookmarkStart w:id="43" w:name="_Toc351712048"/>
      <w:r>
        <w:t>Fresh and aged contamination</w:t>
      </w:r>
      <w:bookmarkEnd w:id="43"/>
    </w:p>
    <w:p w:rsidR="00A97702" w:rsidRDefault="00A97702" w:rsidP="00A97702">
      <w:r>
        <w:t>ESLs were derived on the basis of fresh contamination. GC-MS analysis and examination of the gas chromatogram output can assist in differentiating between fre</w:t>
      </w:r>
      <w:r w:rsidR="00271CD8">
        <w:t>sh and aged TPH contamination.</w:t>
      </w:r>
    </w:p>
    <w:p w:rsidR="00FF4FD0" w:rsidRDefault="00FF4FD0" w:rsidP="00A97702"/>
    <w:p w:rsidR="00A97702" w:rsidRDefault="00A97702" w:rsidP="00A97702">
      <w:r w:rsidRPr="00580F1B">
        <w:t>While aged contamination is generally of less human health and environmental concern, sub-surface conditions can preserv</w:t>
      </w:r>
      <w:r>
        <w:t>e some petroleum hydrocarbons</w:t>
      </w:r>
      <w:r w:rsidRPr="00580F1B">
        <w:t xml:space="preserve"> for extended periods</w:t>
      </w:r>
      <w:r>
        <w:t xml:space="preserve"> of time</w:t>
      </w:r>
      <w:r w:rsidRPr="00580F1B">
        <w:t>. Consideration should be given to the realistic risk of material being excavate</w:t>
      </w:r>
      <w:r w:rsidR="00271CD8">
        <w:t>d and causing an exposure risk.</w:t>
      </w:r>
    </w:p>
    <w:p w:rsidR="00A97702" w:rsidRDefault="00A97702" w:rsidP="00A97702">
      <w:pPr>
        <w:pStyle w:val="ChapterHeading2"/>
      </w:pPr>
      <w:bookmarkStart w:id="44" w:name="_Toc351712049"/>
      <w:r>
        <w:t>Sediment quality guidelines</w:t>
      </w:r>
      <w:bookmarkEnd w:id="44"/>
    </w:p>
    <w:p w:rsidR="00A97702" w:rsidRDefault="00A97702" w:rsidP="00A97702">
      <w:r>
        <w:t xml:space="preserve">Investigation and screening levels developed for soils should not be applied directly to the assessment of sediments. </w:t>
      </w:r>
    </w:p>
    <w:p w:rsidR="00FF4FD0" w:rsidRDefault="00FF4FD0" w:rsidP="00A97702"/>
    <w:p w:rsidR="00A97702" w:rsidRDefault="00A97702" w:rsidP="00A97702">
      <w:r>
        <w:t xml:space="preserve">Interim sediment quality guidelines (ISQG) are available in the </w:t>
      </w:r>
      <w:r>
        <w:rPr>
          <w:i/>
        </w:rPr>
        <w:t>Australian and N</w:t>
      </w:r>
      <w:r w:rsidRPr="00DA4FB0">
        <w:rPr>
          <w:i/>
        </w:rPr>
        <w:t xml:space="preserve">ew Zealand guidelines for Fresh and Marine Water Quality </w:t>
      </w:r>
      <w:r>
        <w:t xml:space="preserve"> (ANZECC &amp; ARMCANZ 2000) for a number of common metal, metalloid and organometallic contaminants and organics, principally PAHs and organochlorine pesticides (OCPs). The ISQG have limitations relating to the availability of appropriate ecotoxicology data and the small number of s</w:t>
      </w:r>
      <w:r w:rsidR="00946DD4">
        <w:t>pecies on which they are based.</w:t>
      </w:r>
    </w:p>
    <w:p w:rsidR="00FF4FD0" w:rsidRDefault="00FF4FD0" w:rsidP="00A97702"/>
    <w:p w:rsidR="00A97702" w:rsidRPr="00901251" w:rsidRDefault="00A97702" w:rsidP="00A97702">
      <w:r>
        <w:t>Reference to these guidelines, balanced by consideration of their limitations, may have application in the site-specific assessment of sites where contamination may impact aquatic receptors.</w:t>
      </w:r>
      <w:r w:rsidRPr="00076983">
        <w:t xml:space="preserve"> </w:t>
      </w:r>
      <w:r>
        <w:t xml:space="preserve">Guidance on the sampling of sediments can be found in AS/NZS 5667.12:1999 </w:t>
      </w:r>
      <w:r w:rsidRPr="00221F6E">
        <w:rPr>
          <w:i/>
        </w:rPr>
        <w:t>Guidance on sampling of bottom sediments</w:t>
      </w:r>
      <w:r>
        <w:t xml:space="preserve"> and Simpson et al. (2005).</w:t>
      </w:r>
    </w:p>
    <w:p w:rsidR="00A97702" w:rsidRPr="00321A32" w:rsidRDefault="00A97702" w:rsidP="00A97702">
      <w:pPr>
        <w:pStyle w:val="Heading2"/>
      </w:pPr>
      <w:bookmarkStart w:id="45" w:name="_Toc351712050"/>
      <w:r w:rsidRPr="00321A32">
        <w:t>Groundwater investigation levels</w:t>
      </w:r>
      <w:bookmarkEnd w:id="45"/>
    </w:p>
    <w:p w:rsidR="00A97702" w:rsidRDefault="00A97702" w:rsidP="00A97702">
      <w:r w:rsidRPr="0012296D">
        <w:t xml:space="preserve">Site assessment should consider the risks </w:t>
      </w:r>
      <w:r>
        <w:t>from</w:t>
      </w:r>
      <w:r w:rsidRPr="0012296D">
        <w:t xml:space="preserve"> contaminated groundwater to all potential receptors on and off the site of origin and </w:t>
      </w:r>
      <w:r>
        <w:t>potential effects on</w:t>
      </w:r>
      <w:r w:rsidRPr="0012296D">
        <w:t xml:space="preserve"> groundwater resources.</w:t>
      </w:r>
    </w:p>
    <w:p w:rsidR="00FF4FD0" w:rsidRPr="0012296D" w:rsidRDefault="00FF4FD0" w:rsidP="00A97702"/>
    <w:p w:rsidR="00A97702" w:rsidRDefault="00A97702" w:rsidP="00A97702">
      <w:r>
        <w:t xml:space="preserve">The </w:t>
      </w:r>
      <w:r w:rsidRPr="001342FA">
        <w:rPr>
          <w:szCs w:val="22"/>
        </w:rPr>
        <w:t xml:space="preserve">Groundwater </w:t>
      </w:r>
      <w:r>
        <w:rPr>
          <w:szCs w:val="22"/>
        </w:rPr>
        <w:t>i</w:t>
      </w:r>
      <w:r w:rsidRPr="001342FA">
        <w:rPr>
          <w:szCs w:val="22"/>
        </w:rPr>
        <w:t xml:space="preserve">nvestigation </w:t>
      </w:r>
      <w:r>
        <w:rPr>
          <w:szCs w:val="22"/>
        </w:rPr>
        <w:t>l</w:t>
      </w:r>
      <w:r w:rsidRPr="001342FA">
        <w:rPr>
          <w:szCs w:val="22"/>
        </w:rPr>
        <w:t>evels</w:t>
      </w:r>
      <w:r w:rsidRPr="00095656">
        <w:t xml:space="preserve"> </w:t>
      </w:r>
      <w:r>
        <w:t>(</w:t>
      </w:r>
      <w:r w:rsidRPr="00095656">
        <w:t>GILs</w:t>
      </w:r>
      <w:r>
        <w:t>)</w:t>
      </w:r>
      <w:r w:rsidRPr="00095656">
        <w:t xml:space="preserve"> are based on the </w:t>
      </w:r>
      <w:r w:rsidRPr="001A4297">
        <w:rPr>
          <w:i/>
        </w:rPr>
        <w:t>Australian Water Quality Guidelines 2000</w:t>
      </w:r>
      <w:r w:rsidRPr="00095656">
        <w:t xml:space="preserve"> (AWQG), </w:t>
      </w:r>
      <w:r w:rsidRPr="001A4297">
        <w:rPr>
          <w:i/>
        </w:rPr>
        <w:t xml:space="preserve">Australian Drinking Water Guidelines 2011 </w:t>
      </w:r>
      <w:r w:rsidRPr="00095656">
        <w:t xml:space="preserve">(ADWG) and </w:t>
      </w:r>
      <w:r w:rsidRPr="001A4297">
        <w:rPr>
          <w:i/>
        </w:rPr>
        <w:t xml:space="preserve">Guidelines for Managing Risk in Recreational Waters 2008 </w:t>
      </w:r>
      <w:r w:rsidRPr="00095656">
        <w:t xml:space="preserve">(GMRRW). The GILs are adopted in the </w:t>
      </w:r>
      <w:r>
        <w:t>NEPM</w:t>
      </w:r>
      <w:r w:rsidRPr="00095656">
        <w:t xml:space="preserve"> as investigation levels in the context of the framework for risk-based assessment of groundwater contamination (refer Schedule B6) i.e. levels above which further assessment is required.</w:t>
      </w:r>
    </w:p>
    <w:p w:rsidR="00FF4FD0" w:rsidRDefault="00FF4FD0" w:rsidP="00A97702"/>
    <w:p w:rsidR="00A97702" w:rsidRDefault="00A97702" w:rsidP="00A97702">
      <w:r>
        <w:lastRenderedPageBreak/>
        <w:t>The AWQG provide tabulated values based on percentage species protection for various aquatic environments and water uses. The appropriate settings for current and potential uses of groundwater need to be identified for the aquifer undergoing assessment. The guideline documents should be consulted for appropriate interpretation of guideline values, in consultation with relevant regulatory authorities if necessary.</w:t>
      </w:r>
    </w:p>
    <w:p w:rsidR="00A97702" w:rsidRDefault="00A97702" w:rsidP="00A97702"/>
    <w:p w:rsidR="00A97702" w:rsidRDefault="00A97702" w:rsidP="00A97702">
      <w:pPr>
        <w:pStyle w:val="Caption"/>
      </w:pPr>
      <w:r w:rsidRPr="000800F8">
        <w:t xml:space="preserve">Table </w:t>
      </w:r>
      <w:r>
        <w:t>5</w:t>
      </w:r>
      <w:r w:rsidRPr="000800F8">
        <w:t xml:space="preserve">.  </w:t>
      </w:r>
      <w:r>
        <w:t xml:space="preserve">Groundwater environmental values and </w:t>
      </w:r>
      <w:r w:rsidR="00946DD4">
        <w:t>guidelines for their protection</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2742"/>
      </w:tblGrid>
      <w:tr w:rsidR="00A97702" w:rsidRPr="00293AB0" w:rsidTr="00DA1C9D">
        <w:tc>
          <w:tcPr>
            <w:tcW w:w="4301" w:type="dxa"/>
            <w:shd w:val="clear" w:color="auto" w:fill="C6D9F1" w:themeFill="text2" w:themeFillTint="33"/>
          </w:tcPr>
          <w:p w:rsidR="00A97702" w:rsidRPr="002977FC" w:rsidRDefault="00A97702" w:rsidP="00DA1C9D">
            <w:pPr>
              <w:jc w:val="center"/>
              <w:rPr>
                <w:b/>
              </w:rPr>
            </w:pPr>
            <w:r w:rsidRPr="002977FC">
              <w:rPr>
                <w:b/>
              </w:rPr>
              <w:t>Environmental value to be protected</w:t>
            </w:r>
          </w:p>
        </w:tc>
        <w:tc>
          <w:tcPr>
            <w:tcW w:w="2742" w:type="dxa"/>
            <w:shd w:val="clear" w:color="auto" w:fill="C6D9F1" w:themeFill="text2" w:themeFillTint="33"/>
          </w:tcPr>
          <w:p w:rsidR="00A97702" w:rsidRPr="002977FC" w:rsidRDefault="00A97702" w:rsidP="00DA1C9D">
            <w:pPr>
              <w:jc w:val="center"/>
              <w:rPr>
                <w:b/>
              </w:rPr>
            </w:pPr>
            <w:r w:rsidRPr="002977FC">
              <w:rPr>
                <w:b/>
              </w:rPr>
              <w:t>Guidelines to apply</w:t>
            </w:r>
          </w:p>
        </w:tc>
      </w:tr>
      <w:tr w:rsidR="00A97702" w:rsidTr="00DA1C9D">
        <w:tc>
          <w:tcPr>
            <w:tcW w:w="4301" w:type="dxa"/>
          </w:tcPr>
          <w:p w:rsidR="00A97702" w:rsidRDefault="00A97702" w:rsidP="00DA1C9D">
            <w:r>
              <w:t>R</w:t>
            </w:r>
            <w:r w:rsidRPr="00CE45E2">
              <w:t xml:space="preserve">aw drinking water source </w:t>
            </w:r>
          </w:p>
        </w:tc>
        <w:tc>
          <w:tcPr>
            <w:tcW w:w="2742" w:type="dxa"/>
          </w:tcPr>
          <w:p w:rsidR="00A97702" w:rsidRPr="000865A2" w:rsidRDefault="00A97702" w:rsidP="00DA1C9D">
            <w:r w:rsidRPr="0029479F">
              <w:t>ADWG</w:t>
            </w:r>
          </w:p>
        </w:tc>
      </w:tr>
      <w:tr w:rsidR="00A97702" w:rsidTr="00DA1C9D">
        <w:tc>
          <w:tcPr>
            <w:tcW w:w="4301" w:type="dxa"/>
          </w:tcPr>
          <w:p w:rsidR="00A97702" w:rsidRPr="000865A2" w:rsidRDefault="00A97702" w:rsidP="00DA1C9D">
            <w:r>
              <w:t>A</w:t>
            </w:r>
            <w:r w:rsidRPr="00CE45E2">
              <w:t>gricultural use – stock watering</w:t>
            </w:r>
          </w:p>
        </w:tc>
        <w:tc>
          <w:tcPr>
            <w:tcW w:w="2742" w:type="dxa"/>
          </w:tcPr>
          <w:p w:rsidR="00A97702" w:rsidRPr="000865A2" w:rsidRDefault="00A97702" w:rsidP="00DA1C9D">
            <w:r w:rsidRPr="00CE45E2">
              <w:t>AWQG</w:t>
            </w:r>
          </w:p>
        </w:tc>
      </w:tr>
      <w:tr w:rsidR="00A97702" w:rsidTr="00DA1C9D">
        <w:tc>
          <w:tcPr>
            <w:tcW w:w="4301" w:type="dxa"/>
          </w:tcPr>
          <w:p w:rsidR="00A97702" w:rsidRPr="000865A2" w:rsidRDefault="00A97702" w:rsidP="00DA1C9D">
            <w:r>
              <w:t>A</w:t>
            </w:r>
            <w:r w:rsidRPr="00CE45E2">
              <w:t>gricultural use – irrigation</w:t>
            </w:r>
          </w:p>
        </w:tc>
        <w:tc>
          <w:tcPr>
            <w:tcW w:w="2742" w:type="dxa"/>
          </w:tcPr>
          <w:p w:rsidR="00A97702" w:rsidRPr="000865A2" w:rsidRDefault="00A97702" w:rsidP="00DA1C9D">
            <w:r w:rsidRPr="00CE45E2">
              <w:t>AWQG</w:t>
            </w:r>
          </w:p>
        </w:tc>
      </w:tr>
      <w:tr w:rsidR="00A97702" w:rsidTr="00DA1C9D">
        <w:tc>
          <w:tcPr>
            <w:tcW w:w="4301" w:type="dxa"/>
          </w:tcPr>
          <w:p w:rsidR="00A97702" w:rsidRDefault="00A97702" w:rsidP="00DA1C9D">
            <w:r>
              <w:t>Fresh water aquatic ecosystem</w:t>
            </w:r>
          </w:p>
        </w:tc>
        <w:tc>
          <w:tcPr>
            <w:tcW w:w="2742" w:type="dxa"/>
          </w:tcPr>
          <w:p w:rsidR="00A97702" w:rsidRDefault="00A97702" w:rsidP="00DA1C9D">
            <w:r w:rsidRPr="00CE45E2">
              <w:t>AWQG</w:t>
            </w:r>
          </w:p>
        </w:tc>
      </w:tr>
      <w:tr w:rsidR="00A97702" w:rsidTr="00DA1C9D">
        <w:tc>
          <w:tcPr>
            <w:tcW w:w="4301" w:type="dxa"/>
          </w:tcPr>
          <w:p w:rsidR="00A97702" w:rsidRDefault="00A97702" w:rsidP="00DA1C9D">
            <w:r>
              <w:t>Marine water aquatic ecosystem</w:t>
            </w:r>
          </w:p>
        </w:tc>
        <w:tc>
          <w:tcPr>
            <w:tcW w:w="2742" w:type="dxa"/>
          </w:tcPr>
          <w:p w:rsidR="00A97702" w:rsidRDefault="00A97702" w:rsidP="00DA1C9D">
            <w:r w:rsidRPr="00CE45E2">
              <w:t>AWQG</w:t>
            </w:r>
          </w:p>
        </w:tc>
      </w:tr>
      <w:tr w:rsidR="00A97702" w:rsidTr="00DA1C9D">
        <w:tc>
          <w:tcPr>
            <w:tcW w:w="4301" w:type="dxa"/>
          </w:tcPr>
          <w:p w:rsidR="00A97702" w:rsidRDefault="00A97702" w:rsidP="00DA1C9D">
            <w:r>
              <w:t>Recreational use</w:t>
            </w:r>
          </w:p>
        </w:tc>
        <w:tc>
          <w:tcPr>
            <w:tcW w:w="2742" w:type="dxa"/>
          </w:tcPr>
          <w:p w:rsidR="00A97702" w:rsidRDefault="00A97702" w:rsidP="00DA1C9D">
            <w:r w:rsidRPr="00203C5B">
              <w:t>GMRRW</w:t>
            </w:r>
          </w:p>
        </w:tc>
      </w:tr>
    </w:tbl>
    <w:p w:rsidR="000F57E9" w:rsidRDefault="000F57E9" w:rsidP="00A97702"/>
    <w:p w:rsidR="00A97702" w:rsidRDefault="00A97702" w:rsidP="00A97702">
      <w:r w:rsidRPr="001342FA">
        <w:t xml:space="preserve">The GILs provided in </w:t>
      </w:r>
      <w:r w:rsidRPr="008F381D">
        <w:t>Table 1C at the end of this Schedule</w:t>
      </w:r>
      <w:r>
        <w:t>,</w:t>
      </w:r>
      <w:r w:rsidRPr="008F381D">
        <w:t xml:space="preserve"> define acceptable water quality for various contaminants at the point of use.  </w:t>
      </w:r>
      <w:r>
        <w:t>Table 1C provides f</w:t>
      </w:r>
      <w:r w:rsidRPr="008F381D">
        <w:t xml:space="preserve">requently used values for drinking water and </w:t>
      </w:r>
      <w:r>
        <w:t>protection of fresh and marine ecosystems</w:t>
      </w:r>
      <w:r w:rsidRPr="008F381D">
        <w:t>. Additional</w:t>
      </w:r>
      <w:r w:rsidRPr="001342FA">
        <w:t xml:space="preserve"> GILs </w:t>
      </w:r>
      <w:r>
        <w:t xml:space="preserve">applicable to </w:t>
      </w:r>
      <w:r w:rsidRPr="001342FA">
        <w:t>industrial use (aquaculture)</w:t>
      </w:r>
      <w:r>
        <w:t>,</w:t>
      </w:r>
      <w:r w:rsidRPr="001342FA">
        <w:t xml:space="preserve"> agricultural use (stock watering and irrigation)</w:t>
      </w:r>
      <w:r>
        <w:t xml:space="preserve"> and recreational waters are provided in</w:t>
      </w:r>
      <w:r w:rsidRPr="001342FA">
        <w:t xml:space="preserve"> the </w:t>
      </w:r>
      <w:r>
        <w:t>referenced</w:t>
      </w:r>
      <w:r w:rsidR="00946DD4">
        <w:t xml:space="preserve"> documents.</w:t>
      </w:r>
    </w:p>
    <w:p w:rsidR="00FF4FD0" w:rsidRDefault="00FF4FD0" w:rsidP="00A97702"/>
    <w:p w:rsidR="00A97702" w:rsidRDefault="00A97702" w:rsidP="00A97702">
      <w:r>
        <w:t>The GMRRW recommend applying a multiplication factor of 10 to 20 to the ADWG for assessment of the acceptability of recreational water quality. GILs for other receptors should be obtained directly from the ‘p</w:t>
      </w:r>
      <w:r w:rsidRPr="006E2D77">
        <w:t xml:space="preserve">rimary </w:t>
      </w:r>
      <w:r>
        <w:t>i</w:t>
      </w:r>
      <w:r w:rsidRPr="006E2D77">
        <w:t>ndustries</w:t>
      </w:r>
      <w:r>
        <w:t>’ section of the AWQG where relevant. Note that the recreational and aesthetics sections of the AWQG hav</w:t>
      </w:r>
      <w:r w:rsidR="00946DD4">
        <w:t>e been superseded by the GMRRW.</w:t>
      </w:r>
    </w:p>
    <w:p w:rsidR="00A97702" w:rsidRDefault="00A97702" w:rsidP="00A97702">
      <w:pPr>
        <w:pStyle w:val="Heading2"/>
      </w:pPr>
      <w:bookmarkStart w:id="46" w:name="_Toc351712051"/>
      <w:r>
        <w:t>‘Management limits’ for petroleum hydrocarbon compounds</w:t>
      </w:r>
      <w:bookmarkEnd w:id="46"/>
    </w:p>
    <w:p w:rsidR="00A97702" w:rsidRDefault="00A97702" w:rsidP="00A97702">
      <w:r>
        <w:t>In addition to appropriate consideration and application of the HSLs and ESLs, there are a number of policy considerations which reflect the nature and proper</w:t>
      </w:r>
      <w:r w:rsidR="00946DD4">
        <w:t>ties of petroleum hydrocarbons:</w:t>
      </w:r>
    </w:p>
    <w:p w:rsidR="00A97702" w:rsidRDefault="00A97702" w:rsidP="00A97702">
      <w:pPr>
        <w:pStyle w:val="Dot-points"/>
        <w:tabs>
          <w:tab w:val="clear" w:pos="926"/>
          <w:tab w:val="num" w:pos="360"/>
        </w:tabs>
      </w:pPr>
      <w:r>
        <w:t>formation of observable light non-aqueous phase li</w:t>
      </w:r>
      <w:r w:rsidR="00946DD4">
        <w:t>quids (LNAPL),</w:t>
      </w:r>
    </w:p>
    <w:p w:rsidR="00A97702" w:rsidRDefault="00946DD4" w:rsidP="00A97702">
      <w:pPr>
        <w:pStyle w:val="Dot-points"/>
        <w:tabs>
          <w:tab w:val="clear" w:pos="926"/>
          <w:tab w:val="num" w:pos="360"/>
        </w:tabs>
      </w:pPr>
      <w:r>
        <w:t>fire and explosive hazards and</w:t>
      </w:r>
    </w:p>
    <w:p w:rsidR="00A97702" w:rsidRPr="00323343" w:rsidRDefault="00A97702" w:rsidP="00A97702">
      <w:pPr>
        <w:pStyle w:val="Dot-points"/>
        <w:tabs>
          <w:tab w:val="clear" w:pos="926"/>
          <w:tab w:val="num" w:pos="360"/>
        </w:tabs>
      </w:pPr>
      <w:r>
        <w:t>effects on buried infrastructure e.g. penetration of, or damage to, in-ground services by hydrocarbons</w:t>
      </w:r>
      <w:r w:rsidR="00946DD4">
        <w:t>.</w:t>
      </w:r>
    </w:p>
    <w:p w:rsidR="00A97702" w:rsidRDefault="00A97702" w:rsidP="00A97702">
      <w:r>
        <w:t xml:space="preserve">The CWS PHC includes ‘management limits’ to avoid or minimise these potential effects and these values have been adopted as interim Tier 1 guidance. The values are included in </w:t>
      </w:r>
      <w:r w:rsidRPr="008F381D">
        <w:t>Table 1B(</w:t>
      </w:r>
      <w:r>
        <w:t>7</w:t>
      </w:r>
      <w:r w:rsidRPr="008F381D">
        <w:t>) at the end of this Schedule. A site-specific assessment (Tier 2 or 3) may be pref</w:t>
      </w:r>
      <w:r w:rsidRPr="007440E4">
        <w:t xml:space="preserve">erred where </w:t>
      </w:r>
      <w:r>
        <w:t>relevant</w:t>
      </w:r>
      <w:r w:rsidRPr="007440E4">
        <w:t xml:space="preserve"> site-specific information is available.</w:t>
      </w:r>
    </w:p>
    <w:p w:rsidR="00FF4FD0" w:rsidRDefault="00FF4FD0" w:rsidP="00A97702"/>
    <w:p w:rsidR="00A97702" w:rsidRDefault="00A97702" w:rsidP="00A97702">
      <w:r w:rsidRPr="00B82255">
        <w:rPr>
          <w:szCs w:val="22"/>
        </w:rPr>
        <w:t xml:space="preserve">Application of the management limits will require consideration of </w:t>
      </w:r>
      <w:r>
        <w:rPr>
          <w:szCs w:val="22"/>
        </w:rPr>
        <w:t>site-specific</w:t>
      </w:r>
      <w:r w:rsidRPr="00B82255">
        <w:rPr>
          <w:szCs w:val="22"/>
        </w:rPr>
        <w:t xml:space="preserve"> factors such as the depth of building basements and services and depth to groundwater, to determine the maximum depth to which the limits should apply.</w:t>
      </w:r>
      <w:r w:rsidRPr="008340CE">
        <w:rPr>
          <w:szCs w:val="22"/>
        </w:rPr>
        <w:t xml:space="preserve">  </w:t>
      </w:r>
      <w:r>
        <w:t>The management limits may have less relevance at operating industrial sites (including mine sites) which have no or limited sensitive receptors in the area of potential impact. When the management limits are exceeded, further site-specific assessment and management may enable any identified risk to be add</w:t>
      </w:r>
      <w:r w:rsidR="00946DD4">
        <w:t>ressed.</w:t>
      </w:r>
    </w:p>
    <w:p w:rsidR="00FF4FD0" w:rsidRDefault="00FF4FD0" w:rsidP="00A97702"/>
    <w:p w:rsidR="00A97702" w:rsidRDefault="00A97702" w:rsidP="00A97702">
      <w:r w:rsidRPr="003B46A0">
        <w:t>The presence of site TPH contamination at the levels of the management limits does not imply that there is no need for administrative notification or controls</w:t>
      </w:r>
      <w:r>
        <w:t xml:space="preserve"> in accordance with jurisdiction requirements</w:t>
      </w:r>
      <w:r w:rsidRPr="003B46A0">
        <w:t>.</w:t>
      </w:r>
    </w:p>
    <w:p w:rsidR="00FF4FD0" w:rsidRDefault="00FF4FD0" w:rsidP="00A97702"/>
    <w:p w:rsidR="00A97702" w:rsidRDefault="00A97702" w:rsidP="00A97702">
      <w:r w:rsidRPr="007440E4">
        <w:t xml:space="preserve">Further information on the consideration of aesthetics </w:t>
      </w:r>
      <w:r>
        <w:t xml:space="preserve">with respect to petroleum hydrocarbons </w:t>
      </w:r>
      <w:r w:rsidRPr="007440E4">
        <w:t xml:space="preserve">is included in </w:t>
      </w:r>
      <w:r w:rsidRPr="008F381D">
        <w:t>Section 3.</w:t>
      </w:r>
      <w:r>
        <w:t>6</w:t>
      </w:r>
      <w:r w:rsidRPr="007440E4">
        <w:t>.</w:t>
      </w:r>
    </w:p>
    <w:p w:rsidR="00A97702" w:rsidRDefault="00A97702" w:rsidP="00A97702">
      <w:pPr>
        <w:pStyle w:val="Heading1"/>
      </w:pPr>
      <w:bookmarkStart w:id="47" w:name="_Toc351712052"/>
      <w:r w:rsidRPr="00D97773">
        <w:lastRenderedPageBreak/>
        <w:t>Application</w:t>
      </w:r>
      <w:r>
        <w:t xml:space="preserve"> of investigation and screening levels</w:t>
      </w:r>
      <w:bookmarkEnd w:id="47"/>
    </w:p>
    <w:p w:rsidR="00A97702" w:rsidRDefault="00A97702" w:rsidP="00A97702">
      <w:pPr>
        <w:pStyle w:val="Heading2"/>
      </w:pPr>
      <w:bookmarkStart w:id="48" w:name="_Toc351712053"/>
      <w:r>
        <w:t>Recommended process for assessment</w:t>
      </w:r>
      <w:r w:rsidRPr="003A5A8E">
        <w:t xml:space="preserve"> </w:t>
      </w:r>
      <w:r>
        <w:t>of site contamination</w:t>
      </w:r>
      <w:bookmarkEnd w:id="48"/>
    </w:p>
    <w:p w:rsidR="00A97702" w:rsidRDefault="00A97702" w:rsidP="00A97702">
      <w:r>
        <w:t>The recommended site assessment process is shown in Schedule A of the NEPM. Refer to Schedule B2 for guidance on site characterisation.</w:t>
      </w:r>
    </w:p>
    <w:p w:rsidR="00A97702" w:rsidRPr="00E02D2D" w:rsidRDefault="00A97702" w:rsidP="00A97702">
      <w:pPr>
        <w:pStyle w:val="text"/>
        <w:pBdr>
          <w:top w:val="single" w:sz="4" w:space="6" w:color="auto"/>
          <w:left w:val="single" w:sz="4" w:space="4" w:color="auto"/>
          <w:bottom w:val="single" w:sz="4" w:space="6" w:color="auto"/>
          <w:right w:val="single" w:sz="4" w:space="4" w:color="auto"/>
        </w:pBdr>
        <w:jc w:val="center"/>
        <w:rPr>
          <w:b/>
        </w:rPr>
      </w:pPr>
      <w:r w:rsidRPr="00E02D2D">
        <w:rPr>
          <w:b/>
        </w:rPr>
        <w:t>Before comparing site data with investigation and screening levels, it is important that  sufficient and appropriate characterisation of the site is carried out to ensure that the comparison is both meaningful and relevant for assessing potential risks to human health and the environment.</w:t>
      </w:r>
    </w:p>
    <w:p w:rsidR="00A97702" w:rsidRPr="00E02D2D" w:rsidRDefault="00A97702" w:rsidP="00A97702">
      <w:r w:rsidRPr="00E02D2D">
        <w:t>A number of cases studies which illustrate the application of the investigation and screening levels in site assessment are included in Section 5 of this Schedule.</w:t>
      </w:r>
    </w:p>
    <w:p w:rsidR="00A97702" w:rsidRDefault="00A97702" w:rsidP="00A97702">
      <w:pPr>
        <w:pStyle w:val="Heading2"/>
      </w:pPr>
      <w:bookmarkStart w:id="49" w:name="_Toc351712054"/>
      <w:r w:rsidRPr="0047458E">
        <w:t>Tier 1 assessment</w:t>
      </w:r>
      <w:bookmarkEnd w:id="49"/>
    </w:p>
    <w:p w:rsidR="00A97702" w:rsidRDefault="00A97702" w:rsidP="00A97702">
      <w:r>
        <w:t>A Tier 1 (or screening level) assessment comprises a comparison of representative site data with generic investigation levels and/or screening levels for protection of human health and the environment, together with an assessment of any limitations on their use in relation to site-specific conditions. A Tier 1 assessment provides an initial screening of the data to determine whether further assessment is required.</w:t>
      </w:r>
    </w:p>
    <w:p w:rsidR="00FF4FD0" w:rsidRDefault="00FF4FD0" w:rsidP="00A97702"/>
    <w:p w:rsidR="00A97702" w:rsidRDefault="00A97702" w:rsidP="00A97702">
      <w:r>
        <w:t>Contaminated sites may contain multiple contaminants in soil and groundwater and the risk posed is affected by site characteristics such as soil properties and the depth to the contamination. The selection of the appropriate investigation and screening levels to apply at a particular site should be determined using professional judgement</w:t>
      </w:r>
      <w:r w:rsidR="00946DD4">
        <w:t xml:space="preserve"> and with reference to the CSM.</w:t>
      </w:r>
    </w:p>
    <w:p w:rsidR="00A97702" w:rsidRDefault="00A97702" w:rsidP="00A97702">
      <w:pPr>
        <w:pStyle w:val="Heading3"/>
        <w:ind w:left="720" w:hanging="720"/>
      </w:pPr>
      <w:bookmarkStart w:id="50" w:name="_Toc351712055"/>
      <w:r>
        <w:t>Comparison with investigation and screening levels</w:t>
      </w:r>
      <w:bookmarkEnd w:id="50"/>
    </w:p>
    <w:p w:rsidR="00A97702" w:rsidRDefault="00A97702" w:rsidP="00A97702">
      <w:r>
        <w:t>N</w:t>
      </w:r>
      <w:r w:rsidRPr="0078440B">
        <w:t>o single summary statistic will fully characterise a site and appropriate consideration of relevant statistical measurements should be used in the data evaluation process and iterative development of the CSM (re</w:t>
      </w:r>
      <w:r w:rsidR="00946DD4">
        <w:t>fer to Schedule B2, Section 4).</w:t>
      </w:r>
    </w:p>
    <w:p w:rsidR="00FF4FD0" w:rsidRDefault="00FF4FD0" w:rsidP="00A97702"/>
    <w:p w:rsidR="00A97702" w:rsidRDefault="00A97702" w:rsidP="00A97702">
      <w:r>
        <w:t>The preferred approach is</w:t>
      </w:r>
      <w:r w:rsidRPr="008F381D">
        <w:t xml:space="preserve"> to examine a range of summary statistics including the contaminant range, </w:t>
      </w:r>
      <w:r>
        <w:t>median, arithmetic/geometric</w:t>
      </w:r>
      <w:r w:rsidRPr="007440E4">
        <w:t xml:space="preserve"> mean</w:t>
      </w:r>
      <w:r>
        <w:t>, standard deviation and</w:t>
      </w:r>
      <w:r w:rsidRPr="007440E4">
        <w:t xml:space="preserve"> 95%</w:t>
      </w:r>
      <w:r>
        <w:t xml:space="preserve"> upper confidence limit (</w:t>
      </w:r>
      <w:r w:rsidRPr="007440E4">
        <w:t>UCL</w:t>
      </w:r>
      <w:r>
        <w:t>)</w:t>
      </w:r>
      <w:r w:rsidRPr="007440E4">
        <w:t>.</w:t>
      </w:r>
      <w:r>
        <w:t xml:space="preserve"> Further information is provided in Section 11 of Schedule B2.</w:t>
      </w:r>
    </w:p>
    <w:p w:rsidR="00FF4FD0" w:rsidRDefault="00FF4FD0" w:rsidP="00A97702"/>
    <w:p w:rsidR="00A97702" w:rsidRPr="00FE287C" w:rsidRDefault="00A97702" w:rsidP="00A97702">
      <w:r>
        <w:t>At the very least</w:t>
      </w:r>
      <w:r w:rsidRPr="00E7504B">
        <w:t xml:space="preserve">, the maximum </w:t>
      </w:r>
      <w:r>
        <w:t>and the</w:t>
      </w:r>
      <w:r w:rsidRPr="00E7504B">
        <w:t xml:space="preserve"> </w:t>
      </w:r>
      <w:r w:rsidRPr="00175A0B">
        <w:t xml:space="preserve">95% UCL of the arithmetic mean contaminant </w:t>
      </w:r>
      <w:r w:rsidRPr="00A41ECD">
        <w:t>concentration should be compared to the relevant Tier 1 screening criteria. However, where there is sufficient data available, and it is appropriate for the exposure being evaluated, the arithmetic mean (or geometric mean in cases where the data is log normally distributed) should also be compared to the relevant Tier 1 investigation or screening level. The implications of localised elevated values (hotspots) should also be</w:t>
      </w:r>
      <w:r w:rsidRPr="00E7504B">
        <w:t xml:space="preserve"> considered. The results should also meet the following criteria:</w:t>
      </w:r>
    </w:p>
    <w:p w:rsidR="00A97702" w:rsidRPr="008F381D" w:rsidRDefault="00A97702" w:rsidP="00A97702">
      <w:pPr>
        <w:pStyle w:val="Dot-points"/>
        <w:tabs>
          <w:tab w:val="clear" w:pos="926"/>
          <w:tab w:val="num" w:pos="360"/>
        </w:tabs>
      </w:pPr>
      <w:r w:rsidRPr="007440E4">
        <w:t xml:space="preserve">the standard deviation of the results should be less than 50% of the </w:t>
      </w:r>
      <w:r>
        <w:t>relevant investigation or screening level</w:t>
      </w:r>
      <w:r w:rsidRPr="008F381D">
        <w:t>, and</w:t>
      </w:r>
    </w:p>
    <w:p w:rsidR="00A97702" w:rsidRDefault="00A97702" w:rsidP="00A97702">
      <w:pPr>
        <w:pStyle w:val="Dot-points"/>
        <w:tabs>
          <w:tab w:val="clear" w:pos="926"/>
          <w:tab w:val="num" w:pos="360"/>
        </w:tabs>
      </w:pPr>
      <w:r w:rsidRPr="008F381D">
        <w:t xml:space="preserve">no single value should exceed 250% of the relevant </w:t>
      </w:r>
      <w:r>
        <w:t>investigation or screening level</w:t>
      </w:r>
      <w:r w:rsidRPr="008F381D">
        <w:t>.</w:t>
      </w:r>
    </w:p>
    <w:p w:rsidR="00A97702" w:rsidRDefault="00A97702" w:rsidP="00A97702">
      <w:r>
        <w:t>The m</w:t>
      </w:r>
      <w:r w:rsidRPr="00F75334">
        <w:t xml:space="preserve">aximum observed contaminant concentration generally provides a conservative assessment </w:t>
      </w:r>
      <w:r>
        <w:t xml:space="preserve">of exposure </w:t>
      </w:r>
      <w:r w:rsidRPr="00F75334">
        <w:t xml:space="preserve">because if estimated risks from the maximum concentrations are not of concern, then the site should be suitable for use under the CSM considered. However, a maximum concentration may not be representative of the source as a whole and may result in an overestimation or underestimation of </w:t>
      </w:r>
      <w:r w:rsidRPr="00A41ECD">
        <w:t>risk if the data is extremely</w:t>
      </w:r>
      <w:r w:rsidRPr="00F75334">
        <w:t xml:space="preserve"> limited.</w:t>
      </w:r>
    </w:p>
    <w:p w:rsidR="00FF4FD0" w:rsidRPr="00F75334" w:rsidRDefault="00FF4FD0" w:rsidP="00A97702"/>
    <w:p w:rsidR="00A97702" w:rsidRDefault="00A97702" w:rsidP="00A97702">
      <w:r w:rsidRPr="00F75334">
        <w:t xml:space="preserve">The mean contaminant concentration can be a suitable </w:t>
      </w:r>
      <w:r>
        <w:t>metric</w:t>
      </w:r>
      <w:r w:rsidRPr="00F75334">
        <w:t xml:space="preserve"> provided that it can be shown that it adequately represents the source being considered. It is important that small areas of high concentrations or hot-spots are not ignored by averaging with lower values from other parts of the site. </w:t>
      </w:r>
      <w:r w:rsidRPr="00F75334">
        <w:lastRenderedPageBreak/>
        <w:t>The mean value may be more representative of the source as a whole than the maximum, and may provide a better estimation of the actual concentration that a population would be exposed to over a period of time.</w:t>
      </w:r>
    </w:p>
    <w:p w:rsidR="00FF4FD0" w:rsidRPr="00F75334" w:rsidRDefault="00FF4FD0" w:rsidP="00A97702"/>
    <w:p w:rsidR="00A97702" w:rsidRDefault="00A97702" w:rsidP="00A97702">
      <w:r w:rsidRPr="00F75334">
        <w:t>The 95% UCL of the arithmetic mean provides a 95% confidence level that the true population mean will be less than, or equal to</w:t>
      </w:r>
      <w:r>
        <w:t>,</w:t>
      </w:r>
      <w:r w:rsidRPr="00F75334">
        <w:t xml:space="preserve"> this value. The 95% UCL is a useful mechanism to account for uncertainty in whether the data set is large enough for the mean to </w:t>
      </w:r>
      <w:r w:rsidRPr="00AE64C9">
        <w:t>provide a reliable measure of central tendency. Note that small data sets result in higher values for the 95% UCL. Further guidance on the use of 95% UCLs can be found in NSW DEC</w:t>
      </w:r>
      <w:r>
        <w:t>C</w:t>
      </w:r>
      <w:r w:rsidRPr="00AE64C9">
        <w:t xml:space="preserve"> (</w:t>
      </w:r>
      <w:r>
        <w:t>2006</w:t>
      </w:r>
      <w:r w:rsidRPr="00AE64C9">
        <w:t>), US EPA (2006</w:t>
      </w:r>
      <w:r>
        <w:t>b</w:t>
      </w:r>
      <w:r w:rsidRPr="00AE64C9">
        <w:t>) and US EPA (2007a).</w:t>
      </w:r>
    </w:p>
    <w:p w:rsidR="00FF4FD0" w:rsidRPr="00F75334" w:rsidRDefault="00FF4FD0" w:rsidP="00A97702"/>
    <w:p w:rsidR="00A97702" w:rsidRDefault="00A97702" w:rsidP="00A97702">
      <w:r w:rsidRPr="00F75334">
        <w:t>Groundwater data being used to assess exposure should consider a relevant average at the site or off-site (as appropriate based on the CSM) together with a reasonable maximum based on understanding of seasonal and other trends in groundwater quality. Where trends are poorly defined in the early stages of an investigation, greater weight should be place</w:t>
      </w:r>
      <w:r w:rsidR="00946DD4">
        <w:t>d on the maximum concentration.</w:t>
      </w:r>
    </w:p>
    <w:p w:rsidR="00FF4FD0" w:rsidRPr="00F75334" w:rsidRDefault="00FF4FD0" w:rsidP="00A97702"/>
    <w:p w:rsidR="00A97702" w:rsidRDefault="00A97702" w:rsidP="00A97702">
      <w:r w:rsidRPr="00F75334">
        <w:t xml:space="preserve">If air data or soil </w:t>
      </w:r>
      <w:r w:rsidRPr="00A41ECD">
        <w:t>vapour data is available</w:t>
      </w:r>
      <w:r w:rsidRPr="00F75334">
        <w:t xml:space="preserve"> for the site, then the use of that data needs to be considered within the context of the CSM and the activities at the site or adjacent to the site that may affect the presence of substances in the air</w:t>
      </w:r>
      <w:r>
        <w:t>,</w:t>
      </w:r>
      <w:r w:rsidRPr="00F75334">
        <w:t xml:space="preserve"> including confounding substances. Consideration of both a reasonable maximum and a relevant average case should be considered where possible.</w:t>
      </w:r>
    </w:p>
    <w:p w:rsidR="00FF4FD0" w:rsidRPr="00F75334" w:rsidRDefault="00FF4FD0" w:rsidP="00A97702"/>
    <w:p w:rsidR="00A97702" w:rsidRPr="00F75334" w:rsidRDefault="00A97702" w:rsidP="00A97702">
      <w:r w:rsidRPr="00F75334">
        <w:t xml:space="preserve">The effects of applying a multiplication factor to account for biodegradation to soil, soil vapour and groundwater HSLs where relevant should be considered in the data analysis. The data should be evaluated for trends and the presence of hot spots prior to the application </w:t>
      </w:r>
      <w:r w:rsidR="00946DD4">
        <w:t>of any biodegradation factors.</w:t>
      </w:r>
    </w:p>
    <w:p w:rsidR="00A97702" w:rsidRDefault="00A97702" w:rsidP="00A97702">
      <w:pPr>
        <w:pStyle w:val="Heading3"/>
        <w:ind w:left="720" w:hanging="720"/>
      </w:pPr>
      <w:bookmarkStart w:id="51" w:name="_Toc351712056"/>
      <w:r w:rsidRPr="0047458E">
        <w:t xml:space="preserve">Exceedence of Tier 1 </w:t>
      </w:r>
      <w:r>
        <w:t>investigation and screening levels</w:t>
      </w:r>
      <w:bookmarkEnd w:id="51"/>
    </w:p>
    <w:p w:rsidR="00A97702" w:rsidRDefault="00A97702" w:rsidP="00A97702">
      <w:r w:rsidRPr="00B55607">
        <w:t xml:space="preserve">The magnitude of the </w:t>
      </w:r>
      <w:r>
        <w:t>exceedence</w:t>
      </w:r>
      <w:r w:rsidRPr="00B55607">
        <w:t xml:space="preserve"> should be considered in the context of the CSM (that is, whether the exposure pathways are plausible and whether exposure will result in harm).</w:t>
      </w:r>
      <w:r>
        <w:t xml:space="preserve"> In cases of minor exceedence of investigation or screening levels, a qualitative risk assessment may be sufficient to</w:t>
      </w:r>
      <w:r w:rsidR="00946DD4">
        <w:t xml:space="preserve"> evaluate the potential impact.</w:t>
      </w:r>
    </w:p>
    <w:p w:rsidR="00FF4FD0" w:rsidRDefault="00FF4FD0" w:rsidP="00A97702"/>
    <w:p w:rsidR="00A97702" w:rsidRDefault="00A97702" w:rsidP="00A97702">
      <w:r>
        <w:t>Where exceedence of Tier 1 investigation and screening levels indicates that there is a likelihood of an adverse impact on human health or ecological values for that site, site-specific health and/or ecological risk assessment (Tier 2 or 3) should be carried out as appropriate. This will usually require the collection of additional site data.</w:t>
      </w:r>
    </w:p>
    <w:p w:rsidR="00FF4FD0" w:rsidRDefault="00FF4FD0" w:rsidP="00A97702"/>
    <w:p w:rsidR="00A97702" w:rsidRDefault="00A97702" w:rsidP="00A97702">
      <w:r>
        <w:t>Alternatively, appropriate management options may be considered such as engaging with landowners and occupants/site users regarding the nature of the contamination and implementing appropriate site management plans. Guidance on community engagement and risk communicat</w:t>
      </w:r>
      <w:r w:rsidR="00946DD4">
        <w:t>ion is provided in Schedule B8.</w:t>
      </w:r>
    </w:p>
    <w:p w:rsidR="00FF4FD0" w:rsidRDefault="00FF4FD0" w:rsidP="00A97702"/>
    <w:p w:rsidR="00A97702" w:rsidRDefault="00A97702" w:rsidP="00A97702">
      <w:r>
        <w:t>The nature of the response should be determined on a site-specific basis and be proportional to the potential risk posed to human health and/or the environment.</w:t>
      </w:r>
    </w:p>
    <w:p w:rsidR="00A97702" w:rsidRDefault="00A97702" w:rsidP="00A97702">
      <w:pPr>
        <w:pStyle w:val="Heading3"/>
        <w:ind w:left="720" w:hanging="720"/>
      </w:pPr>
      <w:bookmarkStart w:id="52" w:name="_Toc351712057"/>
      <w:r>
        <w:t>Procedure if no generic investigation or screening levels are available</w:t>
      </w:r>
      <w:bookmarkEnd w:id="52"/>
    </w:p>
    <w:p w:rsidR="00A97702" w:rsidRDefault="00A97702" w:rsidP="00A97702">
      <w:r>
        <w:t xml:space="preserve">Site-specific </w:t>
      </w:r>
      <w:r w:rsidRPr="00621567">
        <w:t xml:space="preserve">investigation levels </w:t>
      </w:r>
      <w:r>
        <w:t xml:space="preserve">will </w:t>
      </w:r>
      <w:r w:rsidRPr="00621567">
        <w:t>need to be</w:t>
      </w:r>
      <w:r>
        <w:t xml:space="preserve"> developed when:</w:t>
      </w:r>
    </w:p>
    <w:p w:rsidR="00A97702" w:rsidRDefault="00A97702" w:rsidP="00A97702">
      <w:pPr>
        <w:pStyle w:val="Dot-points"/>
        <w:tabs>
          <w:tab w:val="clear" w:pos="926"/>
          <w:tab w:val="num" w:pos="360"/>
        </w:tabs>
      </w:pPr>
      <w:r>
        <w:t xml:space="preserve">investigation or screening values are not available for the contaminants of concern and/or </w:t>
      </w:r>
      <w:r w:rsidRPr="00A41ECD">
        <w:t>insufficient data is available</w:t>
      </w:r>
      <w:r>
        <w:t xml:space="preserve"> for the derivation of generic guideline values</w:t>
      </w:r>
    </w:p>
    <w:p w:rsidR="00A97702" w:rsidRDefault="00A97702" w:rsidP="00A97702">
      <w:pPr>
        <w:pStyle w:val="Dot-points"/>
        <w:tabs>
          <w:tab w:val="clear" w:pos="926"/>
          <w:tab w:val="num" w:pos="360"/>
        </w:tabs>
      </w:pPr>
      <w:r>
        <w:t>site conditions, receptors and/or exposure pathways differ significantly from those assumed in the derivation of the generic investigation or screening levels.</w:t>
      </w:r>
    </w:p>
    <w:p w:rsidR="00A97702" w:rsidRDefault="00A97702" w:rsidP="00A97702">
      <w:r>
        <w:t>Consult Schedules B4 and B7 for guidance on deriving site-specific HILs and on applying the HIL methodology to derive HILs for additional substances.</w:t>
      </w:r>
    </w:p>
    <w:p w:rsidR="00FF4FD0" w:rsidRDefault="00FF4FD0" w:rsidP="00A97702"/>
    <w:p w:rsidR="00A97702" w:rsidRDefault="00A97702" w:rsidP="00A97702">
      <w:pPr>
        <w:rPr>
          <w:sz w:val="20"/>
        </w:rPr>
      </w:pPr>
      <w:r>
        <w:lastRenderedPageBreak/>
        <w:t>Consult Schedule B5b for guidance on applying the EIL methodology to derive EILs for additional substances. Schedule B5b Appendix B provides guidance using a method of soil</w:t>
      </w:r>
      <w:r>
        <w:sym w:font="Symbol" w:char="F02D"/>
      </w:r>
      <w:r>
        <w:t>water partitioning coefficients for deriving EILs that are pr</w:t>
      </w:r>
      <w:r w:rsidR="00946DD4">
        <w:t>otective of aquatic ecosystems.</w:t>
      </w:r>
    </w:p>
    <w:p w:rsidR="00A97702" w:rsidRDefault="00A97702" w:rsidP="00A97702">
      <w:pPr>
        <w:pStyle w:val="Heading2"/>
      </w:pPr>
      <w:bookmarkStart w:id="53" w:name="_Toc351712058"/>
      <w:r>
        <w:t>Specific considerations for  petroleum hydrocarbons</w:t>
      </w:r>
      <w:bookmarkEnd w:id="53"/>
    </w:p>
    <w:p w:rsidR="00A97702" w:rsidRPr="00F75334" w:rsidRDefault="00A97702" w:rsidP="00A97702">
      <w:r w:rsidRPr="00F75334">
        <w:t xml:space="preserve">The flowchart in </w:t>
      </w:r>
      <w:r>
        <w:fldChar w:fldCharType="begin"/>
      </w:r>
      <w:r>
        <w:instrText xml:space="preserve"> REF _Ref294189563 \h  \* MERGEFORMAT </w:instrText>
      </w:r>
      <w:r>
        <w:fldChar w:fldCharType="separate"/>
      </w:r>
      <w:r w:rsidR="005838D8">
        <w:t>Figure 1</w:t>
      </w:r>
      <w:r>
        <w:fldChar w:fldCharType="end"/>
      </w:r>
      <w:r w:rsidRPr="00F75334">
        <w:t xml:space="preserve"> </w:t>
      </w:r>
      <w:r>
        <w:t xml:space="preserve">(below) </w:t>
      </w:r>
      <w:r w:rsidRPr="00F75334">
        <w:t>provides a general overview of the application of the HSLs and ESLs for petroleum hydrocarbons including linkage to the ‘management limits’ for TPH contamination. Information on these screening levels can be found in:</w:t>
      </w:r>
    </w:p>
    <w:p w:rsidR="00A97702" w:rsidRPr="001679B1" w:rsidRDefault="00A97702" w:rsidP="00A97702">
      <w:pPr>
        <w:pStyle w:val="NoteNumbered"/>
        <w:numPr>
          <w:ilvl w:val="0"/>
          <w:numId w:val="0"/>
        </w:numPr>
        <w:rPr>
          <w:b/>
          <w:sz w:val="22"/>
          <w:szCs w:val="22"/>
        </w:rPr>
      </w:pPr>
      <w:r w:rsidRPr="001679B1">
        <w:rPr>
          <w:b/>
          <w:sz w:val="22"/>
          <w:szCs w:val="22"/>
        </w:rPr>
        <w:t>Human health concerns</w:t>
      </w:r>
    </w:p>
    <w:p w:rsidR="00A97702" w:rsidRDefault="00A97702" w:rsidP="00A97702">
      <w:pPr>
        <w:pStyle w:val="NoteNumbered"/>
        <w:numPr>
          <w:ilvl w:val="0"/>
          <w:numId w:val="33"/>
        </w:numPr>
        <w:ind w:left="357" w:hanging="357"/>
        <w:rPr>
          <w:sz w:val="22"/>
          <w:szCs w:val="22"/>
        </w:rPr>
      </w:pPr>
      <w:r>
        <w:rPr>
          <w:sz w:val="22"/>
          <w:szCs w:val="22"/>
        </w:rPr>
        <w:t>HSLs check list – ASC NEPM Toolbox</w:t>
      </w:r>
    </w:p>
    <w:p w:rsidR="00A97702" w:rsidRDefault="00A97702" w:rsidP="00A97702">
      <w:pPr>
        <w:pStyle w:val="NoteNumbered"/>
        <w:numPr>
          <w:ilvl w:val="0"/>
          <w:numId w:val="33"/>
        </w:numPr>
        <w:ind w:left="357" w:hanging="357"/>
        <w:rPr>
          <w:sz w:val="22"/>
          <w:szCs w:val="22"/>
        </w:rPr>
      </w:pPr>
      <w:r>
        <w:rPr>
          <w:sz w:val="22"/>
          <w:szCs w:val="22"/>
        </w:rPr>
        <w:t>Vapour inhalation pathway – HSLs – Section 2.4</w:t>
      </w:r>
    </w:p>
    <w:p w:rsidR="00A97702" w:rsidRDefault="00A97702" w:rsidP="00A97702">
      <w:pPr>
        <w:pStyle w:val="NoteNumbered"/>
        <w:numPr>
          <w:ilvl w:val="0"/>
          <w:numId w:val="33"/>
        </w:numPr>
        <w:ind w:left="357" w:hanging="357"/>
        <w:rPr>
          <w:sz w:val="22"/>
          <w:szCs w:val="22"/>
        </w:rPr>
      </w:pPr>
      <w:r>
        <w:rPr>
          <w:sz w:val="22"/>
          <w:szCs w:val="22"/>
        </w:rPr>
        <w:t>Direct contact pathways – HSLs – Section 2.4</w:t>
      </w:r>
    </w:p>
    <w:p w:rsidR="00A97702" w:rsidRDefault="00A97702" w:rsidP="00A97702">
      <w:pPr>
        <w:pStyle w:val="NoteNumbered"/>
        <w:numPr>
          <w:ilvl w:val="0"/>
          <w:numId w:val="33"/>
        </w:numPr>
        <w:ind w:left="357" w:hanging="357"/>
        <w:rPr>
          <w:sz w:val="22"/>
          <w:szCs w:val="22"/>
        </w:rPr>
      </w:pPr>
      <w:r>
        <w:rPr>
          <w:sz w:val="22"/>
          <w:szCs w:val="22"/>
        </w:rPr>
        <w:t>Consumption of groundwater – GILs – Section 2.8 and Schedule B6</w:t>
      </w:r>
    </w:p>
    <w:p w:rsidR="00A97702" w:rsidRDefault="00A97702" w:rsidP="00A97702">
      <w:pPr>
        <w:pStyle w:val="NoteNumbered"/>
        <w:numPr>
          <w:ilvl w:val="0"/>
          <w:numId w:val="33"/>
        </w:numPr>
        <w:ind w:left="357" w:hanging="357"/>
        <w:rPr>
          <w:sz w:val="22"/>
          <w:szCs w:val="22"/>
        </w:rPr>
      </w:pPr>
      <w:r>
        <w:rPr>
          <w:sz w:val="22"/>
          <w:szCs w:val="22"/>
        </w:rPr>
        <w:t>HILs – Benzo(a)pyrene, total PAH and lead – Section 2.2 and Schedule B7</w:t>
      </w:r>
      <w:r w:rsidRPr="00272CF1">
        <w:rPr>
          <w:sz w:val="22"/>
          <w:szCs w:val="22"/>
        </w:rPr>
        <w:t xml:space="preserve"> </w:t>
      </w:r>
    </w:p>
    <w:p w:rsidR="00A97702" w:rsidRDefault="00A97702" w:rsidP="00A97702">
      <w:pPr>
        <w:pStyle w:val="NoteNumbered"/>
        <w:numPr>
          <w:ilvl w:val="0"/>
          <w:numId w:val="33"/>
        </w:numPr>
        <w:ind w:left="357" w:hanging="357"/>
        <w:rPr>
          <w:sz w:val="22"/>
          <w:szCs w:val="22"/>
        </w:rPr>
      </w:pPr>
      <w:r>
        <w:rPr>
          <w:sz w:val="22"/>
          <w:szCs w:val="22"/>
        </w:rPr>
        <w:t>Aesthetics – Section 3.6</w:t>
      </w:r>
    </w:p>
    <w:p w:rsidR="00A97702" w:rsidRPr="00272CF1" w:rsidRDefault="00A97702" w:rsidP="00A97702">
      <w:pPr>
        <w:pStyle w:val="NoteNumbered"/>
        <w:numPr>
          <w:ilvl w:val="0"/>
          <w:numId w:val="33"/>
        </w:numPr>
        <w:ind w:left="357" w:hanging="357"/>
        <w:rPr>
          <w:sz w:val="22"/>
          <w:szCs w:val="22"/>
        </w:rPr>
      </w:pPr>
      <w:r>
        <w:rPr>
          <w:sz w:val="22"/>
          <w:szCs w:val="22"/>
        </w:rPr>
        <w:t>‘Management limits’ – Section 2.9.</w:t>
      </w:r>
    </w:p>
    <w:p w:rsidR="00A97702" w:rsidRPr="001679B1" w:rsidRDefault="00A97702" w:rsidP="00A97702">
      <w:pPr>
        <w:rPr>
          <w:b/>
        </w:rPr>
      </w:pPr>
      <w:r w:rsidRPr="001679B1">
        <w:rPr>
          <w:b/>
        </w:rPr>
        <w:t>Ecological concerns</w:t>
      </w:r>
    </w:p>
    <w:p w:rsidR="00A97702" w:rsidRPr="00426C5B" w:rsidRDefault="00A97702" w:rsidP="00A97702">
      <w:pPr>
        <w:pStyle w:val="text"/>
        <w:numPr>
          <w:ilvl w:val="0"/>
          <w:numId w:val="34"/>
        </w:numPr>
        <w:spacing w:before="0" w:after="0" w:line="276" w:lineRule="auto"/>
        <w:ind w:left="357" w:hanging="357"/>
      </w:pPr>
      <w:r>
        <w:rPr>
          <w:rFonts w:cs="Courier New"/>
          <w:szCs w:val="22"/>
        </w:rPr>
        <w:t>ESLs – terrestrial ecosystems – Section 2.6</w:t>
      </w:r>
    </w:p>
    <w:p w:rsidR="00A97702" w:rsidRPr="00357345" w:rsidRDefault="00A97702" w:rsidP="00A97702">
      <w:pPr>
        <w:pStyle w:val="NoteNumbered"/>
        <w:numPr>
          <w:ilvl w:val="0"/>
          <w:numId w:val="33"/>
        </w:numPr>
        <w:ind w:left="357" w:hanging="357"/>
        <w:rPr>
          <w:sz w:val="22"/>
          <w:szCs w:val="22"/>
        </w:rPr>
      </w:pPr>
      <w:r>
        <w:rPr>
          <w:rFonts w:cs="Courier New"/>
          <w:sz w:val="22"/>
          <w:szCs w:val="22"/>
        </w:rPr>
        <w:t>AQ</w:t>
      </w:r>
      <w:r w:rsidRPr="00357345">
        <w:rPr>
          <w:rFonts w:cs="Courier New"/>
          <w:sz w:val="22"/>
          <w:szCs w:val="22"/>
        </w:rPr>
        <w:t xml:space="preserve">WG – aquatic ecosystems - </w:t>
      </w:r>
      <w:r w:rsidRPr="00357345">
        <w:rPr>
          <w:sz w:val="22"/>
          <w:szCs w:val="22"/>
        </w:rPr>
        <w:t>Section</w:t>
      </w:r>
      <w:r>
        <w:rPr>
          <w:sz w:val="22"/>
          <w:szCs w:val="22"/>
        </w:rPr>
        <w:t xml:space="preserve"> 2.8 and Schedule B6</w:t>
      </w:r>
    </w:p>
    <w:p w:rsidR="00A97702" w:rsidRPr="00272CF1" w:rsidRDefault="00A97702" w:rsidP="00A97702">
      <w:pPr>
        <w:pStyle w:val="text"/>
        <w:numPr>
          <w:ilvl w:val="0"/>
          <w:numId w:val="34"/>
        </w:numPr>
        <w:spacing w:before="0" w:after="0" w:line="276" w:lineRule="auto"/>
        <w:ind w:left="357" w:hanging="357"/>
      </w:pPr>
      <w:r>
        <w:t>EILs – terrestrial ecosystems - lead – Section 2.5.</w:t>
      </w:r>
    </w:p>
    <w:p w:rsidR="00A97702" w:rsidRDefault="00A97702" w:rsidP="00A97702">
      <w:pPr>
        <w:pStyle w:val="text"/>
        <w:spacing w:before="0" w:after="0" w:line="276" w:lineRule="auto"/>
        <w:rPr>
          <w:rFonts w:cs="Courier New"/>
          <w:szCs w:val="22"/>
        </w:rPr>
      </w:pPr>
    </w:p>
    <w:p w:rsidR="00A97702" w:rsidRPr="006A5D8E" w:rsidRDefault="00A97702" w:rsidP="00A97702">
      <w:pPr>
        <w:pStyle w:val="text"/>
        <w:rPr>
          <w:b/>
        </w:rPr>
      </w:pPr>
      <w:r w:rsidRPr="006A5D8E">
        <w:rPr>
          <w:b/>
        </w:rPr>
        <w:t>The application of these screening levels is illustrated by the ca</w:t>
      </w:r>
      <w:r>
        <w:rPr>
          <w:b/>
        </w:rPr>
        <w:t>se studies included in Section 5</w:t>
      </w:r>
      <w:r w:rsidRPr="006A5D8E">
        <w:rPr>
          <w:b/>
        </w:rPr>
        <w:t>.</w:t>
      </w:r>
    </w:p>
    <w:p w:rsidR="00A97702" w:rsidRDefault="00A97702" w:rsidP="00A97702">
      <w:r>
        <w:t>In many cases, sites assessed for petroleum hydrocarbon contamination are driven initially by human health concerns regarding volatile components (F1 and F2). In circumstances where the HSLs are modified by biodegradation factors or where the more volatile fractions are absent, then ecological considerations may become the predominant concern, particularly for the long</w:t>
      </w:r>
      <w:r w:rsidR="00946DD4">
        <w:t>er chain fractions (F3 and F4).</w:t>
      </w:r>
    </w:p>
    <w:p w:rsidR="00FF4FD0" w:rsidRDefault="00FF4FD0" w:rsidP="00A97702"/>
    <w:p w:rsidR="00A97702" w:rsidRDefault="00A97702" w:rsidP="00A97702">
      <w:r>
        <w:t xml:space="preserve">There are many HSLs that are denoted as non limiting </w:t>
      </w:r>
      <w:r w:rsidRPr="00AE6330">
        <w:t>or NL (refer Section 2.4.2, footnotes to HSL Tables and Friebel &amp; Nadebaum (2011a)) and high levels of petroleum hydrocarbons, including observable LNAPL, may be present at the site without presenting</w:t>
      </w:r>
      <w:r>
        <w:t xml:space="preserve"> a risk via the vapour inhalation pathway.  The presence of observable and mobile LNAPL in test pits and bores will require careful consideration of health, environmental, fire and explosive risks and aesthetic concerns.  This presentation of LNAPL may lead to active management depending on the current or proposed site use and the extent of the LNAPL. An immediate response may be required where there is penetration of in-ground services or detectable odours in building interiors.  Dispersed droplets of LNAPL that are relatively immobile (e.g. in a clay-rich soil) that are assessed as low risk may not require </w:t>
      </w:r>
      <w:r w:rsidRPr="00580F1B">
        <w:t>active</w:t>
      </w:r>
      <w:r w:rsidR="00946DD4">
        <w:t xml:space="preserve"> management.</w:t>
      </w:r>
    </w:p>
    <w:p w:rsidR="00A97702" w:rsidRDefault="00A97702" w:rsidP="00A97702">
      <w:pPr>
        <w:pStyle w:val="text"/>
      </w:pPr>
    </w:p>
    <w:p w:rsidR="00A97702" w:rsidRDefault="00A97702" w:rsidP="00A97702">
      <w:pPr>
        <w:pStyle w:val="Caption"/>
      </w:pPr>
      <w:bookmarkStart w:id="54" w:name="_Ref294189563"/>
      <w:r>
        <w:lastRenderedPageBreak/>
        <w:t xml:space="preserve">Figure </w:t>
      </w:r>
      <w:r w:rsidR="005838D8">
        <w:fldChar w:fldCharType="begin"/>
      </w:r>
      <w:r w:rsidR="005838D8">
        <w:instrText xml:space="preserve"> SEQ Figure \* ARABIC </w:instrText>
      </w:r>
      <w:r w:rsidR="005838D8">
        <w:fldChar w:fldCharType="separate"/>
      </w:r>
      <w:r w:rsidR="005838D8">
        <w:rPr>
          <w:noProof/>
        </w:rPr>
        <w:t>1</w:t>
      </w:r>
      <w:r w:rsidR="005838D8">
        <w:rPr>
          <w:noProof/>
        </w:rPr>
        <w:fldChar w:fldCharType="end"/>
      </w:r>
      <w:bookmarkEnd w:id="54"/>
      <w:r>
        <w:t>:</w:t>
      </w:r>
      <w:r>
        <w:tab/>
        <w:t>Flowchart for Tier 1 human and ecological risk assessment of petroleum hydrocarbon contamination—Application of HSLs and ESLs and consideration of management limits</w:t>
      </w:r>
    </w:p>
    <w:p w:rsidR="00A97702" w:rsidRDefault="00A97702" w:rsidP="00A97702">
      <w:pPr>
        <w:rPr>
          <w:sz w:val="18"/>
          <w:szCs w:val="18"/>
        </w:rPr>
      </w:pPr>
      <w:r>
        <w:rPr>
          <w:noProof/>
          <w:lang w:eastAsia="en-AU"/>
        </w:rPr>
        <w:drawing>
          <wp:inline distT="0" distB="0" distL="0" distR="0" wp14:anchorId="40BE9FC8" wp14:editId="6C048C47">
            <wp:extent cx="5734050" cy="4200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5734050" cy="4200525"/>
                    </a:xfrm>
                    <a:prstGeom prst="rect">
                      <a:avLst/>
                    </a:prstGeom>
                    <a:noFill/>
                    <a:ln w="9525">
                      <a:noFill/>
                      <a:miter lim="800000"/>
                      <a:headEnd/>
                      <a:tailEnd/>
                    </a:ln>
                  </pic:spPr>
                </pic:pic>
              </a:graphicData>
            </a:graphic>
          </wp:inline>
        </w:drawing>
      </w:r>
    </w:p>
    <w:p w:rsidR="00A97702" w:rsidRDefault="00A97702" w:rsidP="00A97702">
      <w:pPr>
        <w:rPr>
          <w:sz w:val="18"/>
          <w:szCs w:val="18"/>
        </w:rPr>
      </w:pPr>
    </w:p>
    <w:p w:rsidR="00A97702" w:rsidRDefault="00A97702" w:rsidP="00A97702">
      <w:pPr>
        <w:rPr>
          <w:sz w:val="18"/>
          <w:szCs w:val="18"/>
        </w:rPr>
      </w:pPr>
      <w:r w:rsidRPr="0047458E">
        <w:rPr>
          <w:sz w:val="18"/>
          <w:szCs w:val="18"/>
        </w:rPr>
        <w:t>Notes</w:t>
      </w:r>
    </w:p>
    <w:p w:rsidR="00A97702" w:rsidRPr="000719A1" w:rsidRDefault="00A97702" w:rsidP="00A97702">
      <w:pPr>
        <w:pStyle w:val="NoteNumbered"/>
      </w:pPr>
      <w:r w:rsidRPr="000719A1">
        <w:t xml:space="preserve">The </w:t>
      </w:r>
      <w:r>
        <w:t>CSM</w:t>
      </w:r>
      <w:r w:rsidRPr="000719A1">
        <w:t xml:space="preserve"> should inform the selection and application of </w:t>
      </w:r>
      <w:r>
        <w:t xml:space="preserve">human health and ecological </w:t>
      </w:r>
      <w:r w:rsidRPr="000719A1">
        <w:t>screening levels an</w:t>
      </w:r>
      <w:r>
        <w:t>d management limits</w:t>
      </w:r>
      <w:r w:rsidRPr="000719A1">
        <w:t xml:space="preserve">. Relevant </w:t>
      </w:r>
      <w:r>
        <w:t xml:space="preserve">HSLs, GILs, </w:t>
      </w:r>
      <w:r w:rsidRPr="000719A1">
        <w:t>HILs and EILs (e.g. PAHs and l</w:t>
      </w:r>
      <w:r>
        <w:t xml:space="preserve">ead) </w:t>
      </w:r>
      <w:r w:rsidRPr="000719A1">
        <w:t xml:space="preserve">should be considered </w:t>
      </w:r>
      <w:r>
        <w:t>for sites affected by petroleum hydrocarbons.</w:t>
      </w:r>
    </w:p>
    <w:p w:rsidR="00A97702" w:rsidRPr="000719A1" w:rsidRDefault="00A97702" w:rsidP="00A97702">
      <w:pPr>
        <w:pStyle w:val="NoteNumbered"/>
      </w:pPr>
      <w:r w:rsidRPr="000719A1">
        <w:t xml:space="preserve">The </w:t>
      </w:r>
      <w:r>
        <w:t>limitations of the screening levels and investigation levels</w:t>
      </w:r>
      <w:r w:rsidRPr="000719A1">
        <w:t xml:space="preserve"> should be considered on a site-specific basis.</w:t>
      </w:r>
    </w:p>
    <w:p w:rsidR="00A97702" w:rsidRPr="000719A1" w:rsidRDefault="00A97702" w:rsidP="00A97702">
      <w:pPr>
        <w:pStyle w:val="NoteNumbered"/>
      </w:pPr>
      <w:r>
        <w:t>Petroleum hydrocarbon</w:t>
      </w:r>
      <w:r w:rsidRPr="000719A1">
        <w:t xml:space="preserve"> ‘management limits</w:t>
      </w:r>
      <w:r>
        <w:t>’</w:t>
      </w:r>
      <w:r w:rsidRPr="000719A1">
        <w:t xml:space="preserve"> </w:t>
      </w:r>
      <w:r>
        <w:t xml:space="preserve">are used to </w:t>
      </w:r>
      <w:r w:rsidRPr="000719A1">
        <w:t>consider the potential effects of LNAPL</w:t>
      </w:r>
      <w:r>
        <w:t>-</w:t>
      </w:r>
      <w:r w:rsidRPr="000719A1">
        <w:t xml:space="preserve">related hazards. Refer to Section </w:t>
      </w:r>
      <w:r w:rsidRPr="00643542">
        <w:t>2.</w:t>
      </w:r>
      <w:r>
        <w:t>9</w:t>
      </w:r>
      <w:r w:rsidRPr="000719A1">
        <w:t xml:space="preserve"> for more information on depth of application. Jurisdictions may have policies applicable to the presence of LNAPL.</w:t>
      </w:r>
    </w:p>
    <w:p w:rsidR="00A97702" w:rsidRDefault="00A97702" w:rsidP="00FF4FD0">
      <w:pPr>
        <w:pStyle w:val="NoteNumbered"/>
      </w:pPr>
      <w:r w:rsidRPr="000719A1">
        <w:t xml:space="preserve">The potential for groundwater contamination and impacts on receptors </w:t>
      </w:r>
      <w:r>
        <w:t>including groundwater</w:t>
      </w:r>
      <w:r w:rsidRPr="000719A1">
        <w:t xml:space="preserve"> resources should be considered and assessed as appropriate in accordance with Schedule B6 and jurisdictional policies for the protec</w:t>
      </w:r>
      <w:r w:rsidR="00946DD4">
        <w:t>tion of groundwater resources.</w:t>
      </w:r>
    </w:p>
    <w:p w:rsidR="00A97702" w:rsidRDefault="00A97702" w:rsidP="00A97702">
      <w:pPr>
        <w:pStyle w:val="Heading2"/>
      </w:pPr>
      <w:bookmarkStart w:id="55" w:name="_Toc351712059"/>
      <w:r>
        <w:t>Considerations for e</w:t>
      </w:r>
      <w:r w:rsidRPr="005F29D5">
        <w:t>cological assessment</w:t>
      </w:r>
      <w:bookmarkEnd w:id="55"/>
    </w:p>
    <w:p w:rsidR="00A97702" w:rsidRDefault="00A97702" w:rsidP="00A97702">
      <w:pPr>
        <w:pStyle w:val="Heading3"/>
        <w:ind w:left="720" w:hanging="720"/>
      </w:pPr>
      <w:bookmarkStart w:id="56" w:name="_Toc351712060"/>
      <w:r>
        <w:t>General</w:t>
      </w:r>
      <w:bookmarkEnd w:id="56"/>
    </w:p>
    <w:p w:rsidR="00A97702" w:rsidRDefault="00A97702" w:rsidP="00A97702">
      <w:r w:rsidRPr="00F75334">
        <w:t>Schedule A provides an overview of the site assessment process and the application of investigation and screening levels for human health and ecological risk assessment. While protection of human health often drives the first stages of assessment, protection of the environment (terrestrial and aquatic) should be a consider</w:t>
      </w:r>
      <w:r w:rsidR="00946DD4">
        <w:t>ation for all site assessments.</w:t>
      </w:r>
    </w:p>
    <w:p w:rsidR="00FF4FD0" w:rsidRPr="00F75334" w:rsidRDefault="00FF4FD0" w:rsidP="00A97702"/>
    <w:p w:rsidR="00A97702" w:rsidRPr="00F75334" w:rsidRDefault="00A97702" w:rsidP="00A97702">
      <w:r w:rsidRPr="00F75334">
        <w:t>In assessing the overall risk to the environment from soil contamination the following site-specific aspects should be considered:</w:t>
      </w:r>
    </w:p>
    <w:p w:rsidR="00A97702" w:rsidRPr="00CB2ED9" w:rsidRDefault="00A97702" w:rsidP="00A97702">
      <w:pPr>
        <w:pStyle w:val="Dot-points"/>
        <w:tabs>
          <w:tab w:val="clear" w:pos="926"/>
          <w:tab w:val="num" w:pos="360"/>
        </w:tabs>
      </w:pPr>
      <w:r>
        <w:lastRenderedPageBreak/>
        <w:t>t</w:t>
      </w:r>
      <w:r w:rsidRPr="00CB2ED9">
        <w:t xml:space="preserve">he location of the </w:t>
      </w:r>
      <w:r>
        <w:t>contamination</w:t>
      </w:r>
      <w:r w:rsidRPr="00CB2ED9">
        <w:t xml:space="preserve"> in relation to any </w:t>
      </w:r>
      <w:r>
        <w:t xml:space="preserve">on-site and off-site </w:t>
      </w:r>
      <w:r w:rsidRPr="00CB2ED9">
        <w:t>sensitive receptors</w:t>
      </w:r>
      <w:r>
        <w:t>,</w:t>
      </w:r>
      <w:r w:rsidRPr="00CB2ED9">
        <w:t xml:space="preserve"> </w:t>
      </w:r>
      <w:r>
        <w:t xml:space="preserve">e.g. </w:t>
      </w:r>
      <w:r w:rsidRPr="00CB2ED9">
        <w:t>watercourses, estuaries, groundwater resources, sensitive ecological areas</w:t>
      </w:r>
    </w:p>
    <w:p w:rsidR="00A97702" w:rsidRPr="00CB2ED9" w:rsidRDefault="00A97702" w:rsidP="00A97702">
      <w:pPr>
        <w:pStyle w:val="Dot-points"/>
        <w:tabs>
          <w:tab w:val="clear" w:pos="926"/>
          <w:tab w:val="num" w:pos="360"/>
        </w:tabs>
      </w:pPr>
      <w:r>
        <w:t>t</w:t>
      </w:r>
      <w:r w:rsidRPr="00CB2ED9">
        <w:t>he existing or proposed land use</w:t>
      </w:r>
      <w:r>
        <w:t>(s)</w:t>
      </w:r>
    </w:p>
    <w:p w:rsidR="00A97702" w:rsidRPr="00CB2ED9" w:rsidRDefault="00A97702" w:rsidP="00A97702">
      <w:pPr>
        <w:pStyle w:val="Dot-points"/>
        <w:tabs>
          <w:tab w:val="clear" w:pos="926"/>
          <w:tab w:val="num" w:pos="360"/>
        </w:tabs>
      </w:pPr>
      <w:r>
        <w:t>t</w:t>
      </w:r>
      <w:r w:rsidRPr="00CB2ED9">
        <w:t>he presentation of contaminants including areal extent, depth below finished ground level, the presence of barriers or containment that prevents or minimises the migration of contamination</w:t>
      </w:r>
      <w:r>
        <w:t xml:space="preserve"> or exposure pathways</w:t>
      </w:r>
    </w:p>
    <w:p w:rsidR="00A97702" w:rsidRPr="00CB2ED9" w:rsidRDefault="00A97702" w:rsidP="00A97702">
      <w:pPr>
        <w:pStyle w:val="Dot-points"/>
        <w:tabs>
          <w:tab w:val="clear" w:pos="926"/>
          <w:tab w:val="num" w:pos="360"/>
        </w:tabs>
      </w:pPr>
      <w:r>
        <w:t>t</w:t>
      </w:r>
      <w:r w:rsidRPr="00CB2ED9">
        <w:t>he in</w:t>
      </w:r>
      <w:r>
        <w:t xml:space="preserve"> </w:t>
      </w:r>
      <w:r w:rsidRPr="00CB2ED9">
        <w:t>situ leaching characteristics of contaminants of concern and the potential for leachate to adversely affect any accessible sensitive</w:t>
      </w:r>
      <w:r>
        <w:t xml:space="preserve"> on-site and off-site</w:t>
      </w:r>
      <w:r w:rsidRPr="00CB2ED9">
        <w:t xml:space="preserve"> receptor</w:t>
      </w:r>
      <w:r>
        <w:t>s</w:t>
      </w:r>
    </w:p>
    <w:p w:rsidR="00A97702" w:rsidRDefault="00A97702" w:rsidP="00A97702">
      <w:pPr>
        <w:pStyle w:val="Dot-points"/>
        <w:tabs>
          <w:tab w:val="clear" w:pos="926"/>
          <w:tab w:val="num" w:pos="360"/>
        </w:tabs>
      </w:pPr>
      <w:r>
        <w:t>t</w:t>
      </w:r>
      <w:r w:rsidRPr="00CB2ED9">
        <w:t>he potential for contaminant</w:t>
      </w:r>
      <w:r>
        <w:t>s</w:t>
      </w:r>
      <w:r w:rsidRPr="00CB2ED9">
        <w:t xml:space="preserve"> to be transported from the site at levels of concern by erosive forces.</w:t>
      </w:r>
    </w:p>
    <w:p w:rsidR="00A97702" w:rsidRDefault="00A97702" w:rsidP="00A97702">
      <w:pPr>
        <w:pStyle w:val="Heading3"/>
        <w:ind w:left="720" w:hanging="720"/>
      </w:pPr>
      <w:bookmarkStart w:id="57" w:name="_Toc351712061"/>
      <w:r>
        <w:t>Scope of ecological assessment</w:t>
      </w:r>
      <w:bookmarkEnd w:id="57"/>
    </w:p>
    <w:p w:rsidR="00A97702" w:rsidRDefault="00A97702" w:rsidP="00A97702">
      <w:r w:rsidRPr="00F75334">
        <w:t>The relevance and scope of ecological assessment should be considered early in the development of the conceptual site model and data quality objectives. A pragmatic risk-based approach should be taken in applying EILs and ESLs in residential and commercia</w:t>
      </w:r>
      <w:r w:rsidR="00946DD4">
        <w:t>l/industrial land use settings.</w:t>
      </w:r>
    </w:p>
    <w:p w:rsidR="00FF4FD0" w:rsidRPr="00F75334" w:rsidRDefault="00FF4FD0" w:rsidP="00A97702"/>
    <w:p w:rsidR="00A97702" w:rsidRDefault="00A97702" w:rsidP="00A97702">
      <w:r w:rsidRPr="00F75334">
        <w:t>Site soils may have poor structure and drainage, low organic content, minimal topsoil depth and a limited ability to support plant growth and soil micro-organisms. In existing residential and urban development sites there are often practical considerations that enable soil properties to be improved by addition of ameliorants with a persistent modifying effect or by the common practice of backfilling or top dressing with clean soil. In other cases, all of the site soils will be removed during site development works or relocated for the formation of new land forms. Sites may also be backfilled with clean soil/fill and the fate of any excavated contaminated soil should be considered in the process.</w:t>
      </w:r>
    </w:p>
    <w:p w:rsidR="00FF4FD0" w:rsidRPr="00F75334" w:rsidRDefault="00FF4FD0" w:rsidP="00A97702"/>
    <w:p w:rsidR="00A97702" w:rsidRPr="00F75334" w:rsidRDefault="00A97702" w:rsidP="00A97702">
      <w:r w:rsidRPr="00F75334">
        <w:t>Commercial and industrial sites may have large building structures and extensive areas covered with concrete, other pavement or hardstand materials and may have limited environmental values requiring consideration whil</w:t>
      </w:r>
      <w:r>
        <w:t>e</w:t>
      </w:r>
      <w:r w:rsidR="00946DD4">
        <w:t xml:space="preserve"> in operational use.</w:t>
      </w:r>
    </w:p>
    <w:p w:rsidR="00A97702" w:rsidRDefault="00A97702" w:rsidP="00A97702">
      <w:pPr>
        <w:pStyle w:val="Heading3"/>
        <w:ind w:left="720" w:hanging="720"/>
      </w:pPr>
      <w:bookmarkStart w:id="58" w:name="_Toc351712062"/>
      <w:r>
        <w:t>Mobility of contaminants</w:t>
      </w:r>
      <w:bookmarkEnd w:id="58"/>
    </w:p>
    <w:p w:rsidR="00A97702" w:rsidRDefault="00A97702" w:rsidP="00A97702">
      <w:r w:rsidRPr="00F75334">
        <w:t>When contamination is in a highly leachable form or is incorporated in exposed readily erodible soil, potentially adverse ecological effects may occur some distance from the contaminant source area. The potential for off-site environmental impacts should be considered in the development of the conceptual site model. Methods for determining leachability are discussed in Schedule B3.</w:t>
      </w:r>
    </w:p>
    <w:p w:rsidR="00FF4FD0" w:rsidRPr="00F75334" w:rsidRDefault="00FF4FD0" w:rsidP="00A97702"/>
    <w:p w:rsidR="00A97702" w:rsidRDefault="00A97702" w:rsidP="00A97702">
      <w:r w:rsidRPr="00F75334">
        <w:t>It is common for established industrial areas to contain higher levels of soil contamination (such as metals) than surrounding areas.  Receptors and soils immediately adjoining older industrial zones may be affected by the accumulation of soil contaminants caused by migration through subsurface contaminant movement and erosion o</w:t>
      </w:r>
      <w:r w:rsidR="00946DD4">
        <w:t>f contaminated soils.</w:t>
      </w:r>
    </w:p>
    <w:p w:rsidR="00FF4FD0" w:rsidRPr="00F75334" w:rsidRDefault="00FF4FD0" w:rsidP="00A97702"/>
    <w:p w:rsidR="00A97702" w:rsidRDefault="00A97702" w:rsidP="00A97702">
      <w:r w:rsidRPr="00F75334">
        <w:t>For example, a site with lead (Pb), zinc (Zn) and petroleum hydrocarbon concentrations in soil below EILs and ESLs for commercial/industrial land use (where a 60% or 65% species protection level would apply) would be acceptable for the site use. However, if the site adjoined an area of ecological significance, such as a protected wetland, the site assessment should also consider the possibility that contamination may migrate off-site and impact the wetland where 99% species protecti</w:t>
      </w:r>
      <w:r w:rsidR="00946DD4">
        <w:t>on limits would apply.</w:t>
      </w:r>
    </w:p>
    <w:p w:rsidR="00FF4FD0" w:rsidRPr="00F75334" w:rsidRDefault="00FF4FD0" w:rsidP="00A97702"/>
    <w:p w:rsidR="00A97702" w:rsidRPr="004204E5" w:rsidRDefault="00A97702" w:rsidP="00A97702">
      <w:r w:rsidRPr="00F75334">
        <w:t>In other cases sites may have aged metals and metalloid contaminants with stable, cohesive soils and low in</w:t>
      </w:r>
      <w:r>
        <w:t xml:space="preserve"> </w:t>
      </w:r>
      <w:r w:rsidRPr="00F75334">
        <w:t>situ leachability and pose a low risk to the ecosystem.</w:t>
      </w:r>
    </w:p>
    <w:p w:rsidR="00A97702" w:rsidRDefault="00A97702" w:rsidP="00A97702">
      <w:pPr>
        <w:pStyle w:val="Heading2"/>
      </w:pPr>
      <w:bookmarkStart w:id="59" w:name="_Toc351712063"/>
      <w:r>
        <w:lastRenderedPageBreak/>
        <w:t>Considerations for groundwater assessment</w:t>
      </w:r>
      <w:bookmarkEnd w:id="59"/>
    </w:p>
    <w:p w:rsidR="00A97702" w:rsidRDefault="00A97702" w:rsidP="00A97702">
      <w:r w:rsidRPr="00F75334">
        <w:t>When groundwater from a monitoring well contains levels of contaminants above the appropriate investigation levels (Tier 1 assessment), then further investigation (Tier 2 assessment) is required. This may take the form of consideration of site-specific conditions and circumstances which may result in modification of the generic Tier 1 criteria. If no modification of the Tier 1 criteria is applicable, the assessment proceeds directly to Tier 3 where groundwater concentrations at the point of exposure (point of use) are compared with the generic GILs or site-specific response levels. If this indicates that the investigation levels are exceeded at the point of use, or in the discharge environment of the groundwater, then an appropriate response is required. The relevant guideline documents should be consulted for informed interpretation and application of GILs and modified GILs.</w:t>
      </w:r>
    </w:p>
    <w:p w:rsidR="00FF4FD0" w:rsidRPr="00F75334" w:rsidRDefault="00FF4FD0" w:rsidP="00A97702"/>
    <w:p w:rsidR="00A97702" w:rsidRDefault="00A97702" w:rsidP="00A97702">
      <w:r w:rsidRPr="00F75334">
        <w:t>Groundwater protection may be a particular concern where contamination occurs in sandy soils containing naturally low levels of organic matter, clay and trace elements. In most situations, soil contaminants at levels below appropriate EILs or HILs do not pose a threat to local groundwater sources. However, possible impacts on groundwater should always be considered particularly for sites impacted by petroleum hydrocarbons and halogenated solvents. In some cases the soil may not reveal contaminants of concern</w:t>
      </w:r>
      <w:r w:rsidR="00946DD4">
        <w:t xml:space="preserve"> while groundwater is affected.</w:t>
      </w:r>
    </w:p>
    <w:p w:rsidR="00FF4FD0" w:rsidRPr="00F75334" w:rsidRDefault="00FF4FD0" w:rsidP="00A97702"/>
    <w:p w:rsidR="00A97702" w:rsidRPr="00F75334" w:rsidRDefault="00A97702" w:rsidP="00A97702">
      <w:r w:rsidRPr="00F75334">
        <w:t>It should be noted that some jurisdictions may have groundwater protection policies that require action even where levels do not exceed the AWQG values at the point of use.</w:t>
      </w:r>
    </w:p>
    <w:p w:rsidR="00A97702" w:rsidRPr="005F29D5" w:rsidRDefault="00A97702" w:rsidP="00A97702">
      <w:pPr>
        <w:pStyle w:val="Heading2"/>
      </w:pPr>
      <w:bookmarkStart w:id="60" w:name="_Toc351712064"/>
      <w:r w:rsidRPr="005F29D5">
        <w:t>Aesthetic considerations</w:t>
      </w:r>
      <w:bookmarkEnd w:id="60"/>
    </w:p>
    <w:p w:rsidR="00A97702" w:rsidRDefault="00A97702" w:rsidP="00A97702">
      <w:pPr>
        <w:pStyle w:val="Heading3"/>
        <w:ind w:left="720" w:hanging="720"/>
      </w:pPr>
      <w:bookmarkStart w:id="61" w:name="_Toc351712065"/>
      <w:r w:rsidRPr="00F9204F">
        <w:t>Introduction</w:t>
      </w:r>
      <w:bookmarkEnd w:id="61"/>
    </w:p>
    <w:p w:rsidR="00A97702" w:rsidRDefault="00A97702" w:rsidP="00A97702">
      <w:r w:rsidRPr="000742FB">
        <w:t xml:space="preserve">Aesthetic issues </w:t>
      </w:r>
      <w:r>
        <w:t xml:space="preserve">generally </w:t>
      </w:r>
      <w:r w:rsidRPr="000742FB">
        <w:t>relate to the presence of low</w:t>
      </w:r>
      <w:r>
        <w:t>-</w:t>
      </w:r>
      <w:r w:rsidRPr="000742FB">
        <w:t>concern or non</w:t>
      </w:r>
      <w:r>
        <w:t>-</w:t>
      </w:r>
      <w:r w:rsidRPr="000742FB">
        <w:t xml:space="preserve">hazardous inert foreign material </w:t>
      </w:r>
      <w:r>
        <w:t xml:space="preserve">(refuse) </w:t>
      </w:r>
      <w:r w:rsidRPr="000742FB">
        <w:t xml:space="preserve">in soil or fill resulting from human activity. Sites that have been assessed </w:t>
      </w:r>
      <w:r>
        <w:t xml:space="preserve">as being acceptable </w:t>
      </w:r>
      <w:r w:rsidRPr="000742FB">
        <w:t>from a human health and environmental perspective may still contain such foreign material</w:t>
      </w:r>
      <w:r>
        <w:t xml:space="preserve">. </w:t>
      </w:r>
      <w:r w:rsidRPr="000742FB">
        <w:t>Geotechnical issues related to the presence of fill should be treated separately to as</w:t>
      </w:r>
      <w:r>
        <w:t>sessment of site contamination.</w:t>
      </w:r>
    </w:p>
    <w:p w:rsidR="00FF4FD0" w:rsidRDefault="00FF4FD0" w:rsidP="00A97702"/>
    <w:p w:rsidR="00A97702" w:rsidRDefault="00A97702" w:rsidP="00A97702">
      <w:r w:rsidRPr="000742FB">
        <w:t xml:space="preserve">Various </w:t>
      </w:r>
      <w:r>
        <w:t xml:space="preserve">forms of </w:t>
      </w:r>
      <w:r w:rsidRPr="000742FB">
        <w:t>refuse may be identified in bore or test pit logs</w:t>
      </w:r>
      <w:r>
        <w:t>, for example</w:t>
      </w:r>
      <w:r w:rsidRPr="000742FB">
        <w:t xml:space="preserve"> fragments of concrete, metal, bricks, pottery, glass, </w:t>
      </w:r>
      <w:r>
        <w:t>trivial</w:t>
      </w:r>
      <w:r w:rsidRPr="000742FB">
        <w:t xml:space="preserve"> amounts of</w:t>
      </w:r>
      <w:r>
        <w:t xml:space="preserve"> bonded asbestos-containing-materials</w:t>
      </w:r>
      <w:r w:rsidRPr="000742FB">
        <w:t xml:space="preserve">, bitumen, ash, green waste, rubber, plastics and a wide variety </w:t>
      </w:r>
      <w:r>
        <w:t xml:space="preserve">of </w:t>
      </w:r>
      <w:r w:rsidRPr="000742FB">
        <w:t>other waste materials</w:t>
      </w:r>
      <w:r>
        <w:t xml:space="preserve">. </w:t>
      </w:r>
      <w:r w:rsidRPr="000742FB">
        <w:t>These materials commonly occur in former industrial and filled sites</w:t>
      </w:r>
      <w:r>
        <w:t xml:space="preserve">. </w:t>
      </w:r>
      <w:r w:rsidRPr="000742FB">
        <w:t>Similarly</w:t>
      </w:r>
      <w:r>
        <w:t>,</w:t>
      </w:r>
      <w:r w:rsidRPr="000742FB">
        <w:t xml:space="preserve"> construction and demolition waste materials, some of which are inert and non</w:t>
      </w:r>
      <w:r>
        <w:t>-</w:t>
      </w:r>
      <w:r w:rsidRPr="000742FB">
        <w:t>hazardous</w:t>
      </w:r>
      <w:r>
        <w:t>,</w:t>
      </w:r>
      <w:r w:rsidRPr="000742FB">
        <w:t xml:space="preserve"> are widely distributed in urban areas.</w:t>
      </w:r>
    </w:p>
    <w:p w:rsidR="00FF4FD0" w:rsidRPr="000742FB" w:rsidRDefault="00FF4FD0" w:rsidP="00A97702"/>
    <w:p w:rsidR="00A97702" w:rsidRDefault="00A97702" w:rsidP="00A97702">
      <w:r w:rsidRPr="000742FB">
        <w:t>Other sites may have some soil discolouration from relatively inert chemical waste (</w:t>
      </w:r>
      <w:r>
        <w:t xml:space="preserve">for example, </w:t>
      </w:r>
      <w:r w:rsidRPr="000742FB">
        <w:t>ferric metals) or residual odour (</w:t>
      </w:r>
      <w:r>
        <w:t xml:space="preserve">for example, </w:t>
      </w:r>
      <w:r w:rsidRPr="000742FB">
        <w:t>natural sulphur odour).</w:t>
      </w:r>
    </w:p>
    <w:p w:rsidR="00A97702" w:rsidRDefault="00A97702" w:rsidP="00A97702"/>
    <w:p w:rsidR="00A97702" w:rsidRPr="000742FB" w:rsidRDefault="00A97702" w:rsidP="00A97702">
      <w:r w:rsidRPr="000742FB">
        <w:t xml:space="preserve">Care </w:t>
      </w:r>
      <w:r>
        <w:t>should</w:t>
      </w:r>
      <w:r w:rsidRPr="000742FB">
        <w:t xml:space="preserve"> be taken to ensure adequate site characterisation</w:t>
      </w:r>
      <w:r>
        <w:t>,</w:t>
      </w:r>
      <w:r w:rsidRPr="000742FB">
        <w:t xml:space="preserve"> particularly when there is </w:t>
      </w:r>
      <w:r>
        <w:t xml:space="preserve">a </w:t>
      </w:r>
      <w:r w:rsidRPr="000742FB">
        <w:t xml:space="preserve">diverse </w:t>
      </w:r>
      <w:r>
        <w:t xml:space="preserve">range of </w:t>
      </w:r>
      <w:r w:rsidRPr="000742FB">
        <w:t xml:space="preserve">foreign material and associated fill and an appreciable risk </w:t>
      </w:r>
      <w:r>
        <w:t xml:space="preserve">inferred </w:t>
      </w:r>
      <w:r w:rsidRPr="000742FB">
        <w:t xml:space="preserve">from site history (or lack thereof) </w:t>
      </w:r>
      <w:r>
        <w:t>for</w:t>
      </w:r>
      <w:r w:rsidRPr="000742FB">
        <w:t xml:space="preserve"> the presence of hazardous contaminants</w:t>
      </w:r>
      <w:r>
        <w:t xml:space="preserve">. </w:t>
      </w:r>
      <w:r w:rsidRPr="000742FB">
        <w:t xml:space="preserve">For example, some ash fill may contain </w:t>
      </w:r>
      <w:r>
        <w:t>PAHs and metals,</w:t>
      </w:r>
      <w:r w:rsidRPr="000742FB">
        <w:t xml:space="preserve"> while other ash deposits </w:t>
      </w:r>
      <w:r>
        <w:t>may contain</w:t>
      </w:r>
      <w:r w:rsidRPr="000742FB">
        <w:t xml:space="preserve"> no contaminants of concern</w:t>
      </w:r>
      <w:r w:rsidR="00946DD4">
        <w:t>.</w:t>
      </w:r>
    </w:p>
    <w:p w:rsidR="00A97702" w:rsidRDefault="00A97702" w:rsidP="00A97702">
      <w:pPr>
        <w:pStyle w:val="Heading3"/>
        <w:ind w:left="720" w:hanging="720"/>
      </w:pPr>
      <w:bookmarkStart w:id="62" w:name="_Toc351712066"/>
      <w:r w:rsidRPr="00F9204F">
        <w:t>Circumstances which would trigger an assessment of aesthetics</w:t>
      </w:r>
      <w:bookmarkEnd w:id="62"/>
    </w:p>
    <w:p w:rsidR="00A97702" w:rsidRPr="00E65CDA" w:rsidRDefault="00A97702" w:rsidP="00A97702">
      <w:r w:rsidRPr="000742FB">
        <w:t xml:space="preserve">The following characteristics or presentations are examples </w:t>
      </w:r>
      <w:r>
        <w:t>of where site assessment ma</w:t>
      </w:r>
      <w:r w:rsidRPr="00E65CDA">
        <w:t xml:space="preserve">y not have detected contamination above investigation or screening levels but </w:t>
      </w:r>
      <w:r>
        <w:t xml:space="preserve">where further </w:t>
      </w:r>
      <w:r w:rsidRPr="00E65CDA">
        <w:t>assessment</w:t>
      </w:r>
      <w:r>
        <w:t xml:space="preserve"> would be required</w:t>
      </w:r>
      <w:r w:rsidRPr="00E65CDA">
        <w:t>:</w:t>
      </w:r>
    </w:p>
    <w:p w:rsidR="00A97702" w:rsidRDefault="00A97702" w:rsidP="00A97702">
      <w:pPr>
        <w:pStyle w:val="Dot-points"/>
        <w:tabs>
          <w:tab w:val="clear" w:pos="926"/>
          <w:tab w:val="num" w:pos="360"/>
        </w:tabs>
      </w:pPr>
      <w:r w:rsidRPr="00CF4C5A">
        <w:t>highly malodorous soils</w:t>
      </w:r>
      <w:r>
        <w:t xml:space="preserve"> or extracted groundwater (e.g. strong residual petroleum hydrocarbon odours, hydrogen sulphide in soil or extracted groundwater, organosulfur compounds)</w:t>
      </w:r>
    </w:p>
    <w:p w:rsidR="00A97702" w:rsidRPr="00CF4C5A" w:rsidRDefault="00A97702" w:rsidP="00A97702">
      <w:pPr>
        <w:pStyle w:val="Dot-points"/>
        <w:tabs>
          <w:tab w:val="clear" w:pos="926"/>
          <w:tab w:val="num" w:pos="360"/>
        </w:tabs>
      </w:pPr>
      <w:r>
        <w:t>hydrocarbon sheen on surface water</w:t>
      </w:r>
    </w:p>
    <w:p w:rsidR="00A97702" w:rsidRPr="00CF4C5A" w:rsidRDefault="00A97702" w:rsidP="00A97702">
      <w:pPr>
        <w:pStyle w:val="Dot-points"/>
        <w:tabs>
          <w:tab w:val="clear" w:pos="926"/>
          <w:tab w:val="num" w:pos="360"/>
        </w:tabs>
      </w:pPr>
      <w:r w:rsidRPr="00CF4C5A">
        <w:lastRenderedPageBreak/>
        <w:t xml:space="preserve">discoloured chemical deposits or </w:t>
      </w:r>
      <w:r>
        <w:t xml:space="preserve">soil </w:t>
      </w:r>
      <w:r w:rsidRPr="00CF4C5A">
        <w:t xml:space="preserve">staining with chemical waste other than of a </w:t>
      </w:r>
      <w:r>
        <w:t xml:space="preserve">very </w:t>
      </w:r>
      <w:r w:rsidRPr="00CF4C5A">
        <w:t>minor nature</w:t>
      </w:r>
    </w:p>
    <w:p w:rsidR="00A97702" w:rsidRPr="00CF4C5A" w:rsidRDefault="00A97702" w:rsidP="00A97702">
      <w:pPr>
        <w:pStyle w:val="Dot-points"/>
        <w:tabs>
          <w:tab w:val="clear" w:pos="926"/>
          <w:tab w:val="num" w:pos="360"/>
        </w:tabs>
      </w:pPr>
      <w:r w:rsidRPr="00CF4C5A">
        <w:t xml:space="preserve">large monolithic deposits of otherwise low-risk material, </w:t>
      </w:r>
      <w:r>
        <w:t>e.g.</w:t>
      </w:r>
      <w:r w:rsidRPr="00CF4C5A">
        <w:t xml:space="preserve"> gypsum as powder or plasterboard, cement kiln dust</w:t>
      </w:r>
    </w:p>
    <w:p w:rsidR="00A97702" w:rsidRPr="00CF4C5A" w:rsidRDefault="00A97702" w:rsidP="00A97702">
      <w:pPr>
        <w:pStyle w:val="Dot-points"/>
        <w:tabs>
          <w:tab w:val="clear" w:pos="926"/>
          <w:tab w:val="num" w:pos="360"/>
        </w:tabs>
      </w:pPr>
      <w:r w:rsidRPr="00CF4C5A">
        <w:t>presence of putrescible refuse including material that may generate hazardous levels of methane such as a deep-fill profile of green waste or large quantities of timber waste</w:t>
      </w:r>
    </w:p>
    <w:p w:rsidR="00A97702" w:rsidRDefault="00A97702" w:rsidP="00A97702">
      <w:pPr>
        <w:pStyle w:val="Dot-points"/>
        <w:tabs>
          <w:tab w:val="clear" w:pos="926"/>
          <w:tab w:val="num" w:pos="360"/>
        </w:tabs>
      </w:pPr>
      <w:r w:rsidRPr="00CF4C5A">
        <w:t>soils containing residue from animal burial (e.g. former abattoir sites)</w:t>
      </w:r>
      <w:r>
        <w:t>.</w:t>
      </w:r>
    </w:p>
    <w:p w:rsidR="00A97702" w:rsidRDefault="00A97702" w:rsidP="00A97702">
      <w:pPr>
        <w:pStyle w:val="Heading3"/>
        <w:ind w:left="720" w:hanging="720"/>
      </w:pPr>
      <w:bookmarkStart w:id="63" w:name="_Toc351712067"/>
      <w:r w:rsidRPr="00F9204F">
        <w:t>Assessment process for aesthetic issues</w:t>
      </w:r>
      <w:bookmarkEnd w:id="63"/>
    </w:p>
    <w:p w:rsidR="00A97702" w:rsidRPr="000742FB" w:rsidRDefault="00A97702" w:rsidP="00A97702">
      <w:r w:rsidRPr="000742FB">
        <w:rPr>
          <w:iCs/>
        </w:rPr>
        <w:t xml:space="preserve">There are no specific numeric </w:t>
      </w:r>
      <w:r>
        <w:rPr>
          <w:iCs/>
        </w:rPr>
        <w:t>a</w:t>
      </w:r>
      <w:r w:rsidRPr="000742FB">
        <w:rPr>
          <w:iCs/>
        </w:rPr>
        <w:t xml:space="preserve">esthetic </w:t>
      </w:r>
      <w:r>
        <w:rPr>
          <w:iCs/>
        </w:rPr>
        <w:t>g</w:t>
      </w:r>
      <w:r w:rsidRPr="000742FB">
        <w:rPr>
          <w:iCs/>
        </w:rPr>
        <w:t>uidelines</w:t>
      </w:r>
      <w:r>
        <w:rPr>
          <w:iCs/>
        </w:rPr>
        <w:t>,</w:t>
      </w:r>
      <w:r w:rsidRPr="000742FB">
        <w:rPr>
          <w:iCs/>
        </w:rPr>
        <w:t xml:space="preserve"> </w:t>
      </w:r>
      <w:r>
        <w:rPr>
          <w:iCs/>
        </w:rPr>
        <w:t>however</w:t>
      </w:r>
      <w:r w:rsidRPr="000742FB">
        <w:rPr>
          <w:i/>
          <w:iCs/>
        </w:rPr>
        <w:t xml:space="preserve"> </w:t>
      </w:r>
      <w:r w:rsidRPr="000742FB">
        <w:t xml:space="preserve">site assessment requires balanced consideration of the quantity, type and distribution of foreign material </w:t>
      </w:r>
      <w:r>
        <w:t>or odours in relation to the specific l</w:t>
      </w:r>
      <w:r w:rsidRPr="000742FB">
        <w:t>and use</w:t>
      </w:r>
      <w:r>
        <w:t xml:space="preserve"> and its sensitivity. For example, higher expectations for soil quality would apply to residential properties with gardens compared with industrial settings.</w:t>
      </w:r>
    </w:p>
    <w:p w:rsidR="00A97702" w:rsidRPr="000742FB" w:rsidRDefault="00A97702" w:rsidP="00A97702">
      <w:pPr>
        <w:pStyle w:val="text"/>
      </w:pPr>
      <w:r w:rsidRPr="000742FB">
        <w:t>General assessment considerations</w:t>
      </w:r>
      <w:r>
        <w:t xml:space="preserve"> include</w:t>
      </w:r>
      <w:r w:rsidRPr="000742FB">
        <w:t>:</w:t>
      </w:r>
    </w:p>
    <w:p w:rsidR="00A97702" w:rsidRPr="00CF4C5A" w:rsidRDefault="00A97702" w:rsidP="00A97702">
      <w:pPr>
        <w:pStyle w:val="Dot-points"/>
        <w:tabs>
          <w:tab w:val="clear" w:pos="926"/>
          <w:tab w:val="num" w:pos="360"/>
        </w:tabs>
      </w:pPr>
      <w:r w:rsidRPr="00CF4C5A">
        <w:t>that chemically discoloured soils or large quantities of various types of inert refuse, particularly if unsightly, may cause ongoing concern to site users</w:t>
      </w:r>
    </w:p>
    <w:p w:rsidR="00A97702" w:rsidRPr="00CF4C5A" w:rsidRDefault="00A97702" w:rsidP="00A97702">
      <w:pPr>
        <w:pStyle w:val="Dot-points"/>
        <w:tabs>
          <w:tab w:val="clear" w:pos="926"/>
          <w:tab w:val="num" w:pos="360"/>
        </w:tabs>
      </w:pPr>
      <w:r w:rsidRPr="00CF4C5A">
        <w:t xml:space="preserve">the depth of </w:t>
      </w:r>
      <w:r>
        <w:t>the materials, including chemical residues,</w:t>
      </w:r>
      <w:r w:rsidRPr="00CF4C5A">
        <w:t xml:space="preserve"> in relation to the final surface of the site</w:t>
      </w:r>
    </w:p>
    <w:p w:rsidR="00A97702" w:rsidRPr="008E191B" w:rsidRDefault="00A97702" w:rsidP="00A97702">
      <w:pPr>
        <w:pStyle w:val="Dot-points"/>
        <w:tabs>
          <w:tab w:val="clear" w:pos="926"/>
          <w:tab w:val="num" w:pos="360"/>
        </w:tabs>
        <w:rPr>
          <w:szCs w:val="24"/>
        </w:rPr>
      </w:pPr>
      <w:r w:rsidRPr="00CF4C5A">
        <w:t>the need for</w:t>
      </w:r>
      <w:r>
        <w:t>,</w:t>
      </w:r>
      <w:r w:rsidRPr="00CF4C5A">
        <w:t xml:space="preserve"> and practicality of</w:t>
      </w:r>
      <w:r>
        <w:t>,</w:t>
      </w:r>
      <w:r w:rsidRPr="00CF4C5A">
        <w:t xml:space="preserve"> any long-term management of foreign material</w:t>
      </w:r>
      <w:r>
        <w:t>.</w:t>
      </w:r>
    </w:p>
    <w:p w:rsidR="00A97702" w:rsidRDefault="00A97702" w:rsidP="00A97702">
      <w:r>
        <w:t xml:space="preserve">In some cases, documentation of the nature and distribution </w:t>
      </w:r>
      <w:r w:rsidRPr="000742FB">
        <w:t xml:space="preserve">of </w:t>
      </w:r>
      <w:r>
        <w:t xml:space="preserve">the </w:t>
      </w:r>
      <w:r w:rsidRPr="000742FB">
        <w:t xml:space="preserve">foreign material may be sufficient to address concerns relating to potential </w:t>
      </w:r>
      <w:r>
        <w:t>land use</w:t>
      </w:r>
      <w:r w:rsidRPr="000742FB">
        <w:t xml:space="preserve"> restrictions</w:t>
      </w:r>
      <w:r w:rsidR="00946DD4">
        <w:t>.</w:t>
      </w:r>
    </w:p>
    <w:p w:rsidR="00FF4FD0" w:rsidRPr="00BA0985" w:rsidRDefault="00FF4FD0" w:rsidP="00A97702">
      <w:pPr>
        <w:rPr>
          <w:szCs w:val="24"/>
        </w:rPr>
      </w:pPr>
    </w:p>
    <w:p w:rsidR="00A97702" w:rsidRDefault="00A97702" w:rsidP="00A97702">
      <w:r w:rsidRPr="000742FB">
        <w:t>In arriving at a balanced assessment, the presence of small quantities of non</w:t>
      </w:r>
      <w:r>
        <w:t>-</w:t>
      </w:r>
      <w:r w:rsidRPr="000742FB">
        <w:t>hazardous inert material and low odour residue (</w:t>
      </w:r>
      <w:r>
        <w:t xml:space="preserve">for example, weak petroleum </w:t>
      </w:r>
      <w:r w:rsidRPr="000742FB">
        <w:t>hydrocarbon odours) that will decrease over time should not be a cause of concern or limit the use of a site in most circumstances</w:t>
      </w:r>
      <w:r>
        <w:t xml:space="preserve">. </w:t>
      </w:r>
      <w:r w:rsidRPr="000742FB">
        <w:t>Similarly, sites with large quantities of well</w:t>
      </w:r>
      <w:r>
        <w:t>-</w:t>
      </w:r>
      <w:r w:rsidRPr="000742FB">
        <w:t xml:space="preserve">covered known inert materials that present no </w:t>
      </w:r>
      <w:r>
        <w:t xml:space="preserve">health </w:t>
      </w:r>
      <w:r w:rsidRPr="000742FB">
        <w:t>hazard such as brick fragments and cement wastes (</w:t>
      </w:r>
      <w:r>
        <w:t>for example,</w:t>
      </w:r>
      <w:r w:rsidRPr="000742FB">
        <w:t xml:space="preserve"> broken cement blocks) are usually of low concern for </w:t>
      </w:r>
      <w:r>
        <w:t xml:space="preserve">both non-sensitive and </w:t>
      </w:r>
      <w:r w:rsidRPr="000742FB">
        <w:t xml:space="preserve">sensitive </w:t>
      </w:r>
      <w:r>
        <w:t xml:space="preserve">land </w:t>
      </w:r>
      <w:r w:rsidR="00946DD4">
        <w:t>uses.</w:t>
      </w:r>
    </w:p>
    <w:p w:rsidR="00FF4FD0" w:rsidRDefault="00FF4FD0" w:rsidP="00A97702"/>
    <w:p w:rsidR="00A97702" w:rsidRDefault="00A97702" w:rsidP="00A97702">
      <w:r>
        <w:t>Caution should be used for assessing sensitive land uses, such as residential, when large quantities of various fill types and demolition rubble are present.</w:t>
      </w:r>
    </w:p>
    <w:p w:rsidR="00A97702" w:rsidRPr="001362C7" w:rsidRDefault="00A97702" w:rsidP="00A97702">
      <w:pPr>
        <w:pStyle w:val="Heading1"/>
      </w:pPr>
      <w:bookmarkStart w:id="64" w:name="_Toc351712068"/>
      <w:r w:rsidRPr="00EC0047">
        <w:lastRenderedPageBreak/>
        <w:t>Asbestos materials in soil</w:t>
      </w:r>
      <w:bookmarkEnd w:id="64"/>
    </w:p>
    <w:p w:rsidR="00A97702" w:rsidRDefault="00A97702" w:rsidP="00A97702">
      <w:pPr>
        <w:pStyle w:val="Heading2"/>
      </w:pPr>
      <w:bookmarkStart w:id="65" w:name="_Toc351712069"/>
      <w:r w:rsidRPr="002E721B">
        <w:t>Scope of the guidance</w:t>
      </w:r>
      <w:bookmarkEnd w:id="65"/>
    </w:p>
    <w:p w:rsidR="00A97702" w:rsidRDefault="00A97702" w:rsidP="00A97702">
      <w:r w:rsidRPr="00B51359">
        <w:t>This guidance applies to the assessment of known and suspected asbestos contamination in soil and addresses both friable and non-friable forms of asbestos. Most assessments will involve non-friable bonded forms of asbestos</w:t>
      </w:r>
      <w:r>
        <w:t>-</w:t>
      </w:r>
      <w:r w:rsidRPr="00B51359">
        <w:t>containing</w:t>
      </w:r>
      <w:r>
        <w:t>-</w:t>
      </w:r>
      <w:r w:rsidRPr="00B51359">
        <w:t>material (bonded ACM) as this is the most common type of asbestos soil contamination in Australia.</w:t>
      </w:r>
    </w:p>
    <w:p w:rsidR="00FF4FD0" w:rsidRPr="00F73921" w:rsidRDefault="00FF4FD0" w:rsidP="00A97702"/>
    <w:p w:rsidR="00A97702" w:rsidRPr="00F73921" w:rsidRDefault="00A97702" w:rsidP="00A97702">
      <w:r w:rsidRPr="00B51359">
        <w:t>This guidance is not applicable t</w:t>
      </w:r>
      <w:r w:rsidR="00FD4A57">
        <w:t>o asbestos materials which are:</w:t>
      </w:r>
    </w:p>
    <w:p w:rsidR="00A97702" w:rsidRPr="00F73921" w:rsidRDefault="00A97702" w:rsidP="00A97702">
      <w:pPr>
        <w:pStyle w:val="Dot-points"/>
        <w:tabs>
          <w:tab w:val="clear" w:pos="926"/>
          <w:tab w:val="num" w:pos="360"/>
        </w:tabs>
      </w:pPr>
      <w:r w:rsidRPr="00B51359">
        <w:t>wastes such as demolition materials presen</w:t>
      </w:r>
      <w:r w:rsidR="00FD4A57">
        <w:t>t on the surface of the land or</w:t>
      </w:r>
    </w:p>
    <w:p w:rsidR="00A97702" w:rsidRPr="00F73921" w:rsidRDefault="00A97702" w:rsidP="00A97702">
      <w:pPr>
        <w:pStyle w:val="Dot-points"/>
        <w:tabs>
          <w:tab w:val="clear" w:pos="926"/>
          <w:tab w:val="num" w:pos="360"/>
        </w:tabs>
      </w:pPr>
      <w:r w:rsidRPr="00B51359">
        <w:t>asbestos materials in buildings or structures i</w:t>
      </w:r>
      <w:r w:rsidR="00FD4A57">
        <w:t>ncluding operational pipelines.</w:t>
      </w:r>
    </w:p>
    <w:p w:rsidR="00A97702" w:rsidRDefault="00A97702" w:rsidP="00A97702">
      <w:r w:rsidRPr="00B51359">
        <w:t>Transport and disposal of asbestos</w:t>
      </w:r>
      <w:r>
        <w:t>-</w:t>
      </w:r>
      <w:r w:rsidRPr="00B51359">
        <w:t xml:space="preserve">contaminated soil should be </w:t>
      </w:r>
      <w:r>
        <w:t>carried out in accordance with state and t</w:t>
      </w:r>
      <w:r w:rsidRPr="00B51359">
        <w:t xml:space="preserve">erritory legislation and guidelines. Soils </w:t>
      </w:r>
      <w:r>
        <w:t>that</w:t>
      </w:r>
      <w:r w:rsidRPr="00B51359">
        <w:t xml:space="preserve"> are known or suspected to be contaminated with asbestos should not be reu</w:t>
      </w:r>
      <w:r w:rsidR="00FD4A57">
        <w:t>sed or recycled at other sites.</w:t>
      </w:r>
    </w:p>
    <w:p w:rsidR="00FF4FD0" w:rsidRPr="00F73921" w:rsidRDefault="00FF4FD0" w:rsidP="00A97702"/>
    <w:p w:rsidR="00A97702" w:rsidRDefault="00A97702" w:rsidP="00A97702">
      <w:r w:rsidRPr="00EA54BE">
        <w:t xml:space="preserve">This guidance deals with assessment but is closely linked </w:t>
      </w:r>
      <w:r>
        <w:t>to remediation, management and protection of human health.</w:t>
      </w:r>
    </w:p>
    <w:p w:rsidR="00FF4FD0" w:rsidRDefault="00FF4FD0" w:rsidP="00A97702"/>
    <w:p w:rsidR="00A97702" w:rsidRDefault="00A97702" w:rsidP="00A97702">
      <w:r w:rsidRPr="00EA54BE">
        <w:t>An overview of the assessment of asbestos contamination is presented here</w:t>
      </w:r>
      <w:r>
        <w:t>.</w:t>
      </w:r>
      <w:r w:rsidRPr="00EA54BE">
        <w:t xml:space="preserve"> </w:t>
      </w:r>
      <w:r>
        <w:t>M</w:t>
      </w:r>
      <w:r w:rsidRPr="00EA54BE">
        <w:t xml:space="preserve">ore detailed information </w:t>
      </w:r>
      <w:r>
        <w:t xml:space="preserve">on site characterisation </w:t>
      </w:r>
      <w:r w:rsidRPr="00EA54BE">
        <w:t xml:space="preserve">can be found in </w:t>
      </w:r>
      <w:r w:rsidRPr="00660A5E">
        <w:t xml:space="preserve">Schedule B2 Section </w:t>
      </w:r>
      <w:r>
        <w:t>11</w:t>
      </w:r>
      <w:r w:rsidRPr="00A3774F">
        <w:t xml:space="preserve"> and </w:t>
      </w:r>
      <w:r>
        <w:t>WA DoH (2009, 2012)</w:t>
      </w:r>
      <w:r w:rsidRPr="00660A5E">
        <w:t>.</w:t>
      </w:r>
    </w:p>
    <w:p w:rsidR="00A97702" w:rsidRPr="00447ABF" w:rsidRDefault="00A97702" w:rsidP="00A97702">
      <w:pPr>
        <w:pStyle w:val="text"/>
        <w:rPr>
          <w:b/>
          <w:szCs w:val="22"/>
        </w:rPr>
      </w:pPr>
      <w:r w:rsidRPr="00447ABF">
        <w:rPr>
          <w:b/>
          <w:szCs w:val="22"/>
        </w:rPr>
        <w:t xml:space="preserve">Case studies illustrating the recommended approach </w:t>
      </w:r>
      <w:r>
        <w:rPr>
          <w:b/>
          <w:szCs w:val="22"/>
        </w:rPr>
        <w:t xml:space="preserve">for site assessment </w:t>
      </w:r>
      <w:r w:rsidRPr="00447ABF">
        <w:rPr>
          <w:b/>
          <w:szCs w:val="22"/>
        </w:rPr>
        <w:t>are included in Section 5.</w:t>
      </w:r>
    </w:p>
    <w:p w:rsidR="00A97702" w:rsidRDefault="00A97702" w:rsidP="00A97702">
      <w:pPr>
        <w:pStyle w:val="Heading2"/>
      </w:pPr>
      <w:bookmarkStart w:id="66" w:name="_Toc351712070"/>
      <w:r w:rsidRPr="00A41ECD">
        <w:t>Historical</w:t>
      </w:r>
      <w:r w:rsidRPr="002E721B">
        <w:t xml:space="preserve"> use of asbestos in Australia</w:t>
      </w:r>
      <w:bookmarkEnd w:id="66"/>
    </w:p>
    <w:p w:rsidR="00A97702" w:rsidRDefault="00A97702" w:rsidP="00A97702">
      <w:r w:rsidRPr="00EA54BE">
        <w:t xml:space="preserve">Bonded asbestos products were first manufactured in Australia in the 1920s and were a common component of residential and commercial building materials from the mid-1940s until the late 1980s.  Up to 90% of the asbestos mined or imported into Australia was used for the manufacture of these building products. Australia banned the use and import of </w:t>
      </w:r>
      <w:r>
        <w:t>building</w:t>
      </w:r>
      <w:r w:rsidRPr="00EA54BE">
        <w:t xml:space="preserve"> asbestos products in the mid-1980s and</w:t>
      </w:r>
      <w:r>
        <w:t>, in December 2003,</w:t>
      </w:r>
      <w:r w:rsidRPr="00EA54BE">
        <w:t xml:space="preserve"> banned </w:t>
      </w:r>
      <w:r>
        <w:t xml:space="preserve">import, </w:t>
      </w:r>
      <w:r w:rsidRPr="00EA54BE">
        <w:t xml:space="preserve">manufacture and use of </w:t>
      </w:r>
      <w:r>
        <w:t xml:space="preserve">all </w:t>
      </w:r>
      <w:r w:rsidRPr="00EA54BE">
        <w:t>asbestos products</w:t>
      </w:r>
      <w:r>
        <w:t xml:space="preserve"> (e.g. automobile products).</w:t>
      </w:r>
    </w:p>
    <w:p w:rsidR="00FF4FD0" w:rsidRPr="00EA54BE" w:rsidRDefault="00FF4FD0" w:rsidP="00A97702"/>
    <w:p w:rsidR="00A97702" w:rsidRDefault="00A97702" w:rsidP="00A97702">
      <w:r w:rsidRPr="00EA54BE">
        <w:t xml:space="preserve">Asbestos has been used in Australia as a reinforcing agent in cement sheeting for walls and roofs and in cement building products, such as pipes, gutters and flooring. </w:t>
      </w:r>
      <w:r>
        <w:t xml:space="preserve">Asbestos was also used in combination with other bonding compounds such as vinyl (e.g. for vinyl floor tiles and sheeting) and resin. </w:t>
      </w:r>
      <w:r w:rsidRPr="00EA54BE">
        <w:t xml:space="preserve"> Friable (non-bonded) asbestos products include low-density asbestos fibre board, insulating products such as lagging, sprays and asbestos</w:t>
      </w:r>
      <w:r>
        <w:t xml:space="preserve"> </w:t>
      </w:r>
      <w:r w:rsidR="00FD4A57">
        <w:t>rope gaskets.</w:t>
      </w:r>
    </w:p>
    <w:p w:rsidR="00FF4FD0" w:rsidRPr="00D5144D" w:rsidRDefault="00FF4FD0" w:rsidP="00A97702"/>
    <w:p w:rsidR="00A97702" w:rsidRPr="00660A5E" w:rsidRDefault="00A97702" w:rsidP="00A97702">
      <w:r w:rsidRPr="00EA54BE">
        <w:t xml:space="preserve">Many older homes in all Australian communities still contain asbestos cement products, commonly in eaves or cladding of internal and external walls and roofs. </w:t>
      </w:r>
      <w:r>
        <w:t xml:space="preserve">When in good condition, bonded asbestos products do not release asbestos fibres into the air and are considered safe for people who are in contact with them, including when carrying and handling these materials (enHealth 2012). </w:t>
      </w:r>
      <w:r w:rsidRPr="00EA54BE">
        <w:t xml:space="preserve">If asbestos materials can be maintained in good condition, enHealth </w:t>
      </w:r>
      <w:r>
        <w:t>(</w:t>
      </w:r>
      <w:r w:rsidRPr="00EA54BE">
        <w:t>2005</w:t>
      </w:r>
      <w:r>
        <w:t xml:space="preserve">, 2012) </w:t>
      </w:r>
      <w:r w:rsidRPr="00EA54BE">
        <w:t>recommends that these materials are best left alone and periodically checked to monitor their condition</w:t>
      </w:r>
      <w:r>
        <w:t>.</w:t>
      </w:r>
    </w:p>
    <w:p w:rsidR="00A97702" w:rsidRDefault="00A97702" w:rsidP="00A97702">
      <w:pPr>
        <w:pStyle w:val="Heading2"/>
      </w:pPr>
      <w:bookmarkStart w:id="67" w:name="_Toc351712071"/>
      <w:r>
        <w:t>Work Health and Safety</w:t>
      </w:r>
      <w:bookmarkEnd w:id="67"/>
    </w:p>
    <w:p w:rsidR="00A97702" w:rsidRDefault="00A97702" w:rsidP="00A97702">
      <w:r w:rsidRPr="00EA54BE">
        <w:t>Site assessors should be aware of</w:t>
      </w:r>
      <w:r>
        <w:t xml:space="preserve"> (</w:t>
      </w:r>
      <w:r w:rsidRPr="00BB254E">
        <w:t>and where relevant comply with</w:t>
      </w:r>
      <w:r>
        <w:t>)</w:t>
      </w:r>
      <w:r w:rsidRPr="00EA54BE">
        <w:t xml:space="preserve"> the requirements of </w:t>
      </w:r>
      <w:r>
        <w:t xml:space="preserve">both national and jurisdictional </w:t>
      </w:r>
      <w:r w:rsidRPr="00EA54BE">
        <w:t xml:space="preserve">work health and safety legislation </w:t>
      </w:r>
      <w:r>
        <w:t xml:space="preserve">and guidance </w:t>
      </w:r>
      <w:r w:rsidRPr="00EA54BE">
        <w:t>relating to asbestos and its removal</w:t>
      </w:r>
      <w:r>
        <w:t>, such as:</w:t>
      </w:r>
    </w:p>
    <w:p w:rsidR="00A97702" w:rsidRDefault="00A97702" w:rsidP="00A97702">
      <w:pPr>
        <w:pStyle w:val="Dot-points"/>
        <w:tabs>
          <w:tab w:val="clear" w:pos="926"/>
          <w:tab w:val="num" w:pos="360"/>
        </w:tabs>
      </w:pPr>
      <w:r>
        <w:t xml:space="preserve">the </w:t>
      </w:r>
      <w:r w:rsidRPr="00EA54BE">
        <w:t xml:space="preserve">national model Work Health and Safety </w:t>
      </w:r>
      <w:r>
        <w:t>Regulations and related jurisdictional legislation and guidelines</w:t>
      </w:r>
    </w:p>
    <w:p w:rsidR="00A97702" w:rsidRDefault="00A97702" w:rsidP="00A97702">
      <w:pPr>
        <w:pStyle w:val="Dot-points"/>
        <w:tabs>
          <w:tab w:val="clear" w:pos="926"/>
          <w:tab w:val="num" w:pos="360"/>
        </w:tabs>
      </w:pPr>
      <w:r w:rsidRPr="004D753C">
        <w:rPr>
          <w:i/>
        </w:rPr>
        <w:lastRenderedPageBreak/>
        <w:t xml:space="preserve">How to manage and control asbestos in the </w:t>
      </w:r>
      <w:r>
        <w:rPr>
          <w:i/>
        </w:rPr>
        <w:t xml:space="preserve">workplace </w:t>
      </w:r>
      <w:r w:rsidRPr="0070151C">
        <w:rPr>
          <w:i/>
        </w:rPr>
        <w:t>Code of Practice</w:t>
      </w:r>
      <w:r w:rsidRPr="004D753C">
        <w:rPr>
          <w:i/>
        </w:rPr>
        <w:t xml:space="preserve"> </w:t>
      </w:r>
      <w:r>
        <w:t>(Safe Work Australia 2011a)</w:t>
      </w:r>
    </w:p>
    <w:p w:rsidR="00A97702" w:rsidRDefault="00A97702" w:rsidP="00A97702">
      <w:pPr>
        <w:pStyle w:val="Dot-points"/>
        <w:tabs>
          <w:tab w:val="clear" w:pos="926"/>
          <w:tab w:val="num" w:pos="360"/>
        </w:tabs>
      </w:pPr>
      <w:r>
        <w:rPr>
          <w:i/>
        </w:rPr>
        <w:t xml:space="preserve">How to safely remove asbestos Code of Practice </w:t>
      </w:r>
      <w:r w:rsidRPr="00D93C8F">
        <w:t>(Safe Work Australia 2011b)</w:t>
      </w:r>
    </w:p>
    <w:p w:rsidR="00A97702" w:rsidRPr="0018457F" w:rsidRDefault="00A97702" w:rsidP="00A97702">
      <w:pPr>
        <w:pStyle w:val="Dot-points"/>
        <w:tabs>
          <w:tab w:val="clear" w:pos="926"/>
          <w:tab w:val="num" w:pos="360"/>
        </w:tabs>
      </w:pPr>
      <w:r>
        <w:rPr>
          <w:i/>
        </w:rPr>
        <w:t xml:space="preserve">Code of Practice for the Management and Control of Asbestos in Workplaces </w:t>
      </w:r>
      <w:r>
        <w:t>(</w:t>
      </w:r>
      <w:r w:rsidRPr="00D93C8F">
        <w:t>NOHSC:</w:t>
      </w:r>
      <w:r>
        <w:t xml:space="preserve"> </w:t>
      </w:r>
      <w:r w:rsidRPr="00D93C8F">
        <w:t>2018</w:t>
      </w:r>
      <w:r>
        <w:t xml:space="preserve"> (2005))</w:t>
      </w:r>
    </w:p>
    <w:p w:rsidR="00A97702" w:rsidRDefault="00A97702" w:rsidP="00A97702">
      <w:pPr>
        <w:pStyle w:val="Dot-points"/>
        <w:tabs>
          <w:tab w:val="clear" w:pos="926"/>
          <w:tab w:val="num" w:pos="360"/>
        </w:tabs>
      </w:pPr>
      <w:r>
        <w:rPr>
          <w:i/>
        </w:rPr>
        <w:t>Code of Practice for the Safe Removal of Asbestos 2</w:t>
      </w:r>
      <w:r w:rsidRPr="00D93C8F">
        <w:rPr>
          <w:i/>
          <w:vertAlign w:val="superscript"/>
        </w:rPr>
        <w:t>nd</w:t>
      </w:r>
      <w:r>
        <w:rPr>
          <w:i/>
        </w:rPr>
        <w:t xml:space="preserve"> edn </w:t>
      </w:r>
      <w:r>
        <w:t xml:space="preserve">(NOHSC: </w:t>
      </w:r>
      <w:r w:rsidRPr="0018457F">
        <w:t>200</w:t>
      </w:r>
      <w:r>
        <w:t>2 (2005)</w:t>
      </w:r>
      <w:r w:rsidRPr="00D93C8F">
        <w:t>)</w:t>
      </w:r>
      <w:r w:rsidRPr="0018457F">
        <w:t>.</w:t>
      </w:r>
      <w:r w:rsidRPr="00EA54BE">
        <w:t xml:space="preserve"> </w:t>
      </w:r>
    </w:p>
    <w:p w:rsidR="00A97702" w:rsidRDefault="00A97702" w:rsidP="00A97702">
      <w:r>
        <w:t xml:space="preserve">State/territory agencies with responsibility for work health and safety should be consulted for specific guidance on what is required in that state or territory. </w:t>
      </w:r>
    </w:p>
    <w:p w:rsidR="00FF4FD0" w:rsidRDefault="00FF4FD0" w:rsidP="00A97702"/>
    <w:p w:rsidR="00A97702" w:rsidRDefault="00A97702" w:rsidP="00A97702">
      <w:r>
        <w:t>The final prohibition of asbestos in the workplace came into effect on 31 December 2003 but there are a number of exceptions including:</w:t>
      </w:r>
    </w:p>
    <w:p w:rsidR="00A97702" w:rsidRDefault="00A97702" w:rsidP="00A97702">
      <w:pPr>
        <w:pStyle w:val="Dot-points"/>
        <w:tabs>
          <w:tab w:val="clear" w:pos="926"/>
          <w:tab w:val="num" w:pos="360"/>
        </w:tabs>
      </w:pPr>
      <w:r>
        <w:t>genuine research and analysis</w:t>
      </w:r>
    </w:p>
    <w:p w:rsidR="00A97702" w:rsidRDefault="00A97702" w:rsidP="00A97702">
      <w:pPr>
        <w:pStyle w:val="Dot-points"/>
        <w:tabs>
          <w:tab w:val="clear" w:pos="926"/>
          <w:tab w:val="num" w:pos="360"/>
        </w:tabs>
      </w:pPr>
      <w:r>
        <w:t xml:space="preserve">sampling and identification in </w:t>
      </w:r>
      <w:r w:rsidRPr="00AE6330">
        <w:t>accordance with WHS Regulations</w:t>
      </w:r>
    </w:p>
    <w:p w:rsidR="00A97702" w:rsidRDefault="00A97702" w:rsidP="00A97702">
      <w:pPr>
        <w:pStyle w:val="Dot-points"/>
        <w:tabs>
          <w:tab w:val="clear" w:pos="926"/>
          <w:tab w:val="num" w:pos="360"/>
        </w:tabs>
      </w:pPr>
      <w:r>
        <w:t>where the regulator approves the method adopted for managing risk associated with asbestos.</w:t>
      </w:r>
    </w:p>
    <w:p w:rsidR="00A97702" w:rsidRDefault="00A97702" w:rsidP="00A97702">
      <w:r>
        <w:t>Safe Work Australia (2011a)</w:t>
      </w:r>
      <w:r w:rsidDel="009E6DA8">
        <w:t xml:space="preserve"> </w:t>
      </w:r>
      <w:r>
        <w:t xml:space="preserve">provides practical advice on how to manage risks associated with asbestos and asbestos-containing-material (ACM) in the workplace. It provides information on how to identify the presence of asbestos at the workplace and how to implement measures to eliminate or minimise the risk of exposure to airborne asbestos fibres. </w:t>
      </w:r>
    </w:p>
    <w:p w:rsidR="00FF4FD0" w:rsidRDefault="00FF4FD0" w:rsidP="00A97702"/>
    <w:p w:rsidR="00A97702" w:rsidRPr="006C4453" w:rsidRDefault="00A97702" w:rsidP="00A97702">
      <w:pPr>
        <w:rPr>
          <w:i/>
        </w:rPr>
      </w:pPr>
      <w:r>
        <w:t xml:space="preserve">Work involving asbestos-contaminated soil is permitted providing that a competent person has determined that the soil does not contain any visible ACM or friable asbestos; or if friable asbestos is visible, it does not contain more than trace levels of asbestos determined in accordance with AS4964:2004 </w:t>
      </w:r>
      <w:r w:rsidRPr="003D595E">
        <w:rPr>
          <w:i/>
        </w:rPr>
        <w:t>Method</w:t>
      </w:r>
      <w:r w:rsidRPr="001E7A83">
        <w:rPr>
          <w:i/>
        </w:rPr>
        <w:t xml:space="preserve"> for the qualitative identificati</w:t>
      </w:r>
      <w:r w:rsidR="00134B66">
        <w:rPr>
          <w:i/>
        </w:rPr>
        <w:t>on of asbestos in bulk samples.</w:t>
      </w:r>
    </w:p>
    <w:p w:rsidR="00A97702" w:rsidRPr="00813725" w:rsidRDefault="00A97702" w:rsidP="00A97702">
      <w:pPr>
        <w:pStyle w:val="text"/>
        <w:pBdr>
          <w:top w:val="single" w:sz="4" w:space="4" w:color="auto"/>
          <w:left w:val="single" w:sz="4" w:space="4" w:color="auto"/>
          <w:bottom w:val="single" w:sz="4" w:space="4" w:color="auto"/>
          <w:right w:val="single" w:sz="4" w:space="4" w:color="auto"/>
        </w:pBdr>
        <w:spacing w:after="80"/>
        <w:jc w:val="center"/>
        <w:rPr>
          <w:b/>
          <w:szCs w:val="22"/>
        </w:rPr>
      </w:pPr>
      <w:r w:rsidRPr="00813725">
        <w:rPr>
          <w:b/>
          <w:szCs w:val="22"/>
        </w:rPr>
        <w:t>A competent person is defined in Safe Work Australia (2011a) as a person who has acquired through training, qualification or experience, the knowledge and skills to carry out the task.</w:t>
      </w:r>
    </w:p>
    <w:p w:rsidR="00A97702" w:rsidRPr="00813725" w:rsidRDefault="00A97702" w:rsidP="00A97702">
      <w:pPr>
        <w:pStyle w:val="text"/>
        <w:pBdr>
          <w:top w:val="single" w:sz="4" w:space="4" w:color="auto"/>
          <w:left w:val="single" w:sz="4" w:space="4" w:color="auto"/>
          <w:bottom w:val="single" w:sz="4" w:space="4" w:color="auto"/>
          <w:right w:val="single" w:sz="4" w:space="4" w:color="auto"/>
        </w:pBdr>
        <w:spacing w:after="80"/>
        <w:jc w:val="center"/>
        <w:rPr>
          <w:b/>
          <w:szCs w:val="22"/>
        </w:rPr>
      </w:pPr>
      <w:r w:rsidRPr="00813725">
        <w:rPr>
          <w:b/>
          <w:szCs w:val="22"/>
        </w:rPr>
        <w:t>A competent person in the context of asbestos and the NEPM is a person who has acquired through training, qualification or experience, the knowledge and skills to identify, investigate and assess asbestos in the context of an environmental site assessment. This includes identifying the potential for asbestos contamination from site history information.</w:t>
      </w:r>
    </w:p>
    <w:p w:rsidR="00A97702" w:rsidRPr="0067723F" w:rsidRDefault="00A97702" w:rsidP="00A97702">
      <w:r>
        <w:t xml:space="preserve">If visible asbestos is present and it may be disturbed during work activities, it must be removed. This includes </w:t>
      </w:r>
      <w:r w:rsidRPr="00EA54BE">
        <w:t xml:space="preserve">removing visible fragments of </w:t>
      </w:r>
      <w:r>
        <w:t>bonded ACM</w:t>
      </w:r>
      <w:r w:rsidRPr="00EA54BE">
        <w:t xml:space="preserve"> from exposed trench faces</w:t>
      </w:r>
      <w:r>
        <w:t xml:space="preserve"> and those areas of the site where intrusive works may be carried out (e.g. to install utilities).</w:t>
      </w:r>
      <w:r w:rsidRPr="00EA54BE">
        <w:t xml:space="preserve"> </w:t>
      </w:r>
      <w:r>
        <w:t>The removal of visible asbestos should be appropriately managed and full details recorded (this information is required for assessing asbestos concentration in soil – refer Section 4.10). Visible asbestos should be removed prior to excavation/construction works commencing. Consult the relevant Code of Practice for more detailed information.</w:t>
      </w:r>
    </w:p>
    <w:p w:rsidR="00A97702" w:rsidRDefault="00A97702" w:rsidP="00A97702">
      <w:pPr>
        <w:pStyle w:val="Heading2"/>
      </w:pPr>
      <w:bookmarkStart w:id="68" w:name="_Toc351712072"/>
      <w:r>
        <w:t>Terminology for</w:t>
      </w:r>
      <w:r w:rsidRPr="00CA1888">
        <w:t xml:space="preserve"> asbestos contamination</w:t>
      </w:r>
      <w:r>
        <w:t xml:space="preserve"> in soil</w:t>
      </w:r>
      <w:bookmarkEnd w:id="68"/>
    </w:p>
    <w:p w:rsidR="00A97702" w:rsidRPr="00A46F94" w:rsidRDefault="00A97702" w:rsidP="00A97702">
      <w:r w:rsidRPr="00EA54BE">
        <w:t xml:space="preserve">For the purpose of assessing the significance of asbestos in soil contamination, three terms are used in this Schedule which are based on guidance developed by the Western Australian Department of Health (WA DoH, 2009). The equivalent terms used in work health and safety legislation are listed in </w:t>
      </w:r>
      <w:r>
        <w:t>T</w:t>
      </w:r>
      <w:r w:rsidRPr="00C546F0">
        <w:t xml:space="preserve">able </w:t>
      </w:r>
      <w:r>
        <w:t>6</w:t>
      </w:r>
      <w:r w:rsidRPr="00C546F0">
        <w:t>:</w:t>
      </w:r>
    </w:p>
    <w:p w:rsidR="00A97702" w:rsidRPr="003D595E" w:rsidRDefault="00A97702" w:rsidP="001B6F44">
      <w:pPr>
        <w:pStyle w:val="Caption"/>
        <w:pageBreakBefore/>
      </w:pPr>
      <w:r w:rsidRPr="003D595E">
        <w:lastRenderedPageBreak/>
        <w:t>Table 6 Equivalency of terms used in the NEPM, WA DoH (2009) and Work Health and Safety legislation</w:t>
      </w:r>
      <w:r>
        <w:t xml:space="preserve"> and guidelines</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6"/>
        <w:gridCol w:w="4122"/>
      </w:tblGrid>
      <w:tr w:rsidR="00A97702" w:rsidRPr="00813725" w:rsidTr="00DA1C9D">
        <w:tc>
          <w:tcPr>
            <w:tcW w:w="5070" w:type="dxa"/>
            <w:shd w:val="clear" w:color="auto" w:fill="C6D9F1" w:themeFill="text2" w:themeFillTint="33"/>
          </w:tcPr>
          <w:p w:rsidR="00A97702" w:rsidRPr="00813725" w:rsidRDefault="00A97702" w:rsidP="00DA1C9D">
            <w:pPr>
              <w:pStyle w:val="text"/>
              <w:spacing w:before="60" w:after="60"/>
              <w:jc w:val="center"/>
              <w:rPr>
                <w:b/>
                <w:szCs w:val="22"/>
              </w:rPr>
            </w:pPr>
            <w:r w:rsidRPr="00813725">
              <w:rPr>
                <w:b/>
                <w:szCs w:val="22"/>
              </w:rPr>
              <w:t>NEPM  terminology (based on WA DoH 2009)</w:t>
            </w:r>
          </w:p>
        </w:tc>
        <w:tc>
          <w:tcPr>
            <w:tcW w:w="4172" w:type="dxa"/>
            <w:shd w:val="clear" w:color="auto" w:fill="C6D9F1" w:themeFill="text2" w:themeFillTint="33"/>
          </w:tcPr>
          <w:p w:rsidR="00A97702" w:rsidRPr="00813725" w:rsidRDefault="00A97702" w:rsidP="00DA1C9D">
            <w:pPr>
              <w:pStyle w:val="text"/>
              <w:spacing w:before="60" w:after="60"/>
              <w:jc w:val="center"/>
              <w:rPr>
                <w:b/>
                <w:szCs w:val="22"/>
              </w:rPr>
            </w:pPr>
            <w:r w:rsidRPr="00813725">
              <w:rPr>
                <w:b/>
                <w:szCs w:val="22"/>
              </w:rPr>
              <w:t>Work Health and Safety terminology</w:t>
            </w:r>
          </w:p>
        </w:tc>
      </w:tr>
      <w:tr w:rsidR="00A97702" w:rsidRPr="00813725" w:rsidTr="00DA1C9D">
        <w:tc>
          <w:tcPr>
            <w:tcW w:w="5070" w:type="dxa"/>
          </w:tcPr>
          <w:p w:rsidR="00A97702" w:rsidRPr="00813725" w:rsidRDefault="00A97702" w:rsidP="00DA1C9D">
            <w:pPr>
              <w:pStyle w:val="text"/>
              <w:spacing w:before="60" w:after="60"/>
              <w:rPr>
                <w:i/>
                <w:szCs w:val="22"/>
              </w:rPr>
            </w:pPr>
            <w:r>
              <w:rPr>
                <w:szCs w:val="22"/>
              </w:rPr>
              <w:t>B</w:t>
            </w:r>
            <w:r w:rsidRPr="00813725">
              <w:rPr>
                <w:szCs w:val="22"/>
              </w:rPr>
              <w:t>onded asbestos-containing-material or ‘bonded ACM’</w:t>
            </w:r>
            <w:r>
              <w:rPr>
                <w:szCs w:val="22"/>
              </w:rPr>
              <w:t xml:space="preserve"> </w:t>
            </w:r>
            <w:r w:rsidRPr="00813725">
              <w:rPr>
                <w:i/>
                <w:szCs w:val="22"/>
              </w:rPr>
              <w:t>(referred to as ACM in WA DoH 2009)</w:t>
            </w:r>
          </w:p>
        </w:tc>
        <w:tc>
          <w:tcPr>
            <w:tcW w:w="4172" w:type="dxa"/>
          </w:tcPr>
          <w:p w:rsidR="00A97702" w:rsidRPr="00813725" w:rsidRDefault="00A97702" w:rsidP="00DA1C9D">
            <w:pPr>
              <w:pStyle w:val="text"/>
              <w:spacing w:before="60" w:after="60"/>
              <w:rPr>
                <w:szCs w:val="22"/>
              </w:rPr>
            </w:pPr>
            <w:r w:rsidRPr="00813725">
              <w:rPr>
                <w:szCs w:val="22"/>
              </w:rPr>
              <w:t>Bonded asbestos/non-friable asbestos</w:t>
            </w:r>
          </w:p>
        </w:tc>
      </w:tr>
      <w:tr w:rsidR="00A97702" w:rsidRPr="00813725" w:rsidTr="00DA1C9D">
        <w:tc>
          <w:tcPr>
            <w:tcW w:w="5070" w:type="dxa"/>
          </w:tcPr>
          <w:p w:rsidR="00A97702" w:rsidRPr="00813725" w:rsidRDefault="00A97702" w:rsidP="00DA1C9D">
            <w:pPr>
              <w:pStyle w:val="text"/>
              <w:spacing w:before="60" w:after="60"/>
              <w:rPr>
                <w:szCs w:val="22"/>
              </w:rPr>
            </w:pPr>
            <w:r>
              <w:rPr>
                <w:szCs w:val="22"/>
              </w:rPr>
              <w:t>F</w:t>
            </w:r>
            <w:r w:rsidRPr="00813725">
              <w:rPr>
                <w:szCs w:val="22"/>
              </w:rPr>
              <w:t>ibrous asbestos, FA</w:t>
            </w:r>
          </w:p>
        </w:tc>
        <w:tc>
          <w:tcPr>
            <w:tcW w:w="4172" w:type="dxa"/>
            <w:vMerge w:val="restart"/>
          </w:tcPr>
          <w:p w:rsidR="00A97702" w:rsidRPr="00813725" w:rsidRDefault="00A97702" w:rsidP="00DA1C9D">
            <w:pPr>
              <w:pStyle w:val="text"/>
              <w:spacing w:before="60" w:after="60"/>
              <w:rPr>
                <w:szCs w:val="22"/>
              </w:rPr>
            </w:pPr>
            <w:r w:rsidRPr="00813725">
              <w:rPr>
                <w:szCs w:val="22"/>
              </w:rPr>
              <w:t>Non-bonded/friable asbestos</w:t>
            </w:r>
          </w:p>
        </w:tc>
      </w:tr>
      <w:tr w:rsidR="00A97702" w:rsidRPr="00813725" w:rsidTr="00DA1C9D">
        <w:tc>
          <w:tcPr>
            <w:tcW w:w="5070" w:type="dxa"/>
          </w:tcPr>
          <w:p w:rsidR="00A97702" w:rsidRPr="00813725" w:rsidRDefault="00A97702" w:rsidP="00DA1C9D">
            <w:pPr>
              <w:pStyle w:val="text"/>
              <w:spacing w:before="60" w:after="60"/>
              <w:rPr>
                <w:szCs w:val="22"/>
              </w:rPr>
            </w:pPr>
            <w:r>
              <w:rPr>
                <w:szCs w:val="22"/>
              </w:rPr>
              <w:t>A</w:t>
            </w:r>
            <w:r w:rsidRPr="00813725">
              <w:rPr>
                <w:szCs w:val="22"/>
              </w:rPr>
              <w:t>sbestos fines, AF</w:t>
            </w:r>
          </w:p>
        </w:tc>
        <w:tc>
          <w:tcPr>
            <w:tcW w:w="4172" w:type="dxa"/>
            <w:vMerge/>
          </w:tcPr>
          <w:p w:rsidR="00A97702" w:rsidRPr="00813725" w:rsidRDefault="00A97702" w:rsidP="00DA1C9D">
            <w:pPr>
              <w:pStyle w:val="text"/>
              <w:spacing w:before="60" w:after="60"/>
              <w:rPr>
                <w:szCs w:val="22"/>
              </w:rPr>
            </w:pPr>
          </w:p>
        </w:tc>
      </w:tr>
    </w:tbl>
    <w:p w:rsidR="00A97702" w:rsidRPr="00813725" w:rsidRDefault="00A97702" w:rsidP="00A97702">
      <w:pPr>
        <w:pStyle w:val="ChapterHeading5"/>
        <w:rPr>
          <w:i w:val="0"/>
        </w:rPr>
      </w:pPr>
      <w:r w:rsidRPr="00813725">
        <w:rPr>
          <w:i w:val="0"/>
        </w:rPr>
        <w:t>Bonded asbestos containing material (bonded ACM)</w:t>
      </w:r>
    </w:p>
    <w:p w:rsidR="00A97702" w:rsidRDefault="00A97702" w:rsidP="00A97702">
      <w:r w:rsidRPr="00EA54BE">
        <w:t>Bonded ACM comprises asbestos</w:t>
      </w:r>
      <w:r>
        <w:t>-</w:t>
      </w:r>
      <w:r w:rsidRPr="00EA54BE">
        <w:t>containing</w:t>
      </w:r>
      <w:r>
        <w:t>-</w:t>
      </w:r>
      <w:r w:rsidRPr="00EA54BE">
        <w:t>material which is in sound condition, although possibly broken or fragmented, and where the asbestos is bound in a matrix such as cement or resin (e.g. asbestos fencing and vinyl tiles). This term is restricted to material that cannot pass a 7 mm x 7 mm sieve. This sieve size is selected because it approximates the thickness of common asbestos cement sheeting and for fragments to be smaller than this would imply a high degree of damage and hen</w:t>
      </w:r>
      <w:r w:rsidR="00134B66">
        <w:t>ce potential for fibre release.</w:t>
      </w:r>
    </w:p>
    <w:p w:rsidR="00A97702" w:rsidRPr="00BF6883" w:rsidRDefault="00A97702" w:rsidP="00A97702">
      <w:pPr>
        <w:pStyle w:val="text"/>
        <w:rPr>
          <w:i/>
          <w:szCs w:val="22"/>
        </w:rPr>
      </w:pPr>
      <w:r w:rsidRPr="00BF6883">
        <w:rPr>
          <w:i/>
          <w:szCs w:val="22"/>
        </w:rPr>
        <w:t xml:space="preserve">Bonded ACM is equivalent to ‘non-friable’ asbestos </w:t>
      </w:r>
      <w:r>
        <w:rPr>
          <w:i/>
          <w:szCs w:val="22"/>
        </w:rPr>
        <w:t>in Safe W</w:t>
      </w:r>
      <w:r w:rsidRPr="00BF6883">
        <w:rPr>
          <w:i/>
          <w:szCs w:val="22"/>
        </w:rPr>
        <w:t xml:space="preserve">ork Australia </w:t>
      </w:r>
      <w:r>
        <w:rPr>
          <w:i/>
          <w:szCs w:val="22"/>
        </w:rPr>
        <w:t>(</w:t>
      </w:r>
      <w:r w:rsidRPr="00BF6883">
        <w:rPr>
          <w:i/>
          <w:szCs w:val="22"/>
        </w:rPr>
        <w:t>2011)</w:t>
      </w:r>
      <w:r>
        <w:rPr>
          <w:i/>
          <w:szCs w:val="22"/>
        </w:rPr>
        <w:t>,</w:t>
      </w:r>
      <w:r w:rsidRPr="00BF6883">
        <w:rPr>
          <w:i/>
          <w:szCs w:val="22"/>
        </w:rPr>
        <w:t xml:space="preserve"> which </w:t>
      </w:r>
      <w:r>
        <w:rPr>
          <w:i/>
          <w:szCs w:val="22"/>
        </w:rPr>
        <w:t>is defined therein as</w:t>
      </w:r>
      <w:r w:rsidRPr="00BF6883">
        <w:rPr>
          <w:i/>
          <w:szCs w:val="22"/>
        </w:rPr>
        <w:t xml:space="preserve"> </w:t>
      </w:r>
      <w:r>
        <w:rPr>
          <w:i/>
          <w:szCs w:val="22"/>
        </w:rPr>
        <w:t>‘</w:t>
      </w:r>
      <w:r w:rsidRPr="00BF6883">
        <w:rPr>
          <w:i/>
          <w:szCs w:val="22"/>
        </w:rPr>
        <w:t>material containing asbestos that is not friable asbestos, including material containing asbestos fibres reinforced with a bonding compound</w:t>
      </w:r>
      <w:r>
        <w:rPr>
          <w:i/>
          <w:szCs w:val="22"/>
        </w:rPr>
        <w:t>’</w:t>
      </w:r>
      <w:r w:rsidRPr="00BF6883">
        <w:rPr>
          <w:i/>
          <w:szCs w:val="22"/>
        </w:rPr>
        <w:t>.</w:t>
      </w:r>
    </w:p>
    <w:p w:rsidR="00A97702" w:rsidRPr="00813725" w:rsidRDefault="00A97702" w:rsidP="00A97702">
      <w:pPr>
        <w:pStyle w:val="ChapterHeading5"/>
        <w:rPr>
          <w:i w:val="0"/>
        </w:rPr>
      </w:pPr>
      <w:r w:rsidRPr="00813725">
        <w:rPr>
          <w:i w:val="0"/>
        </w:rPr>
        <w:t>Fibrous asbestos (FA)</w:t>
      </w:r>
    </w:p>
    <w:p w:rsidR="00A97702" w:rsidRPr="00EA54BE" w:rsidRDefault="00A97702" w:rsidP="00A97702">
      <w:r w:rsidRPr="00EA54BE">
        <w:t xml:space="preserve">FA comprises friable asbestos material </w:t>
      </w:r>
      <w:r>
        <w:t>and</w:t>
      </w:r>
      <w:r w:rsidRPr="00EA54BE">
        <w:t xml:space="preserve"> include</w:t>
      </w:r>
      <w:r>
        <w:t>s</w:t>
      </w:r>
      <w:r w:rsidRPr="00EA54BE">
        <w:t xml:space="preserve"> </w:t>
      </w:r>
      <w:r>
        <w:t xml:space="preserve">severely </w:t>
      </w:r>
      <w:r w:rsidRPr="00EA54BE">
        <w:t xml:space="preserve">weathered cement sheet, insulation products and woven asbestos material. </w:t>
      </w:r>
      <w:r>
        <w:t>This type of f</w:t>
      </w:r>
      <w:r w:rsidRPr="00EA54BE">
        <w:t xml:space="preserve">riable asbestos is defined here as asbestos material that is in a degraded condition such that it can be broken or crumbled by hand pressure. This material is typically unbonded or was previously bonded and </w:t>
      </w:r>
      <w:r>
        <w:t xml:space="preserve">is </w:t>
      </w:r>
      <w:r w:rsidRPr="00EA54BE">
        <w:t>now significantly degraded</w:t>
      </w:r>
      <w:r>
        <w:t xml:space="preserve"> (crumbling)</w:t>
      </w:r>
      <w:r w:rsidRPr="00EA54BE">
        <w:t>.</w:t>
      </w:r>
    </w:p>
    <w:p w:rsidR="00A97702" w:rsidRPr="00813725" w:rsidRDefault="00A97702" w:rsidP="00A97702">
      <w:pPr>
        <w:pStyle w:val="ChapterHeading5"/>
        <w:rPr>
          <w:i w:val="0"/>
        </w:rPr>
      </w:pPr>
      <w:r w:rsidRPr="00813725">
        <w:rPr>
          <w:i w:val="0"/>
        </w:rPr>
        <w:t>Asbestos fines (AF)</w:t>
      </w:r>
    </w:p>
    <w:p w:rsidR="00A97702" w:rsidRDefault="00A97702" w:rsidP="00A97702">
      <w:r w:rsidRPr="00EA54BE">
        <w:t xml:space="preserve">AF includes free fibres, small fibre bundles and also </w:t>
      </w:r>
      <w:r>
        <w:t xml:space="preserve">small </w:t>
      </w:r>
      <w:r w:rsidRPr="00EA54BE">
        <w:t xml:space="preserve">fragments of bonded ACM that pass through a 7 mm x 7 mm sieve. </w:t>
      </w:r>
      <w:r>
        <w:t>(Note that for bonded ACM fragments to pass through a 7 mm x 7 mm sieve implies a substantial degree of damage which increases the potential for fibre</w:t>
      </w:r>
      <w:r w:rsidRPr="00D10D7D">
        <w:t xml:space="preserve"> </w:t>
      </w:r>
      <w:r>
        <w:t>release.)</w:t>
      </w:r>
    </w:p>
    <w:p w:rsidR="00A97702" w:rsidRPr="00115A44" w:rsidRDefault="00A97702" w:rsidP="00A97702">
      <w:pPr>
        <w:pStyle w:val="text"/>
        <w:rPr>
          <w:szCs w:val="22"/>
        </w:rPr>
      </w:pPr>
      <w:r>
        <w:rPr>
          <w:i/>
          <w:szCs w:val="22"/>
        </w:rPr>
        <w:t xml:space="preserve">From a risk to human health perspective, </w:t>
      </w:r>
      <w:r w:rsidRPr="00BF6883">
        <w:rPr>
          <w:i/>
          <w:szCs w:val="22"/>
        </w:rPr>
        <w:t>FA and AF are</w:t>
      </w:r>
      <w:r>
        <w:rPr>
          <w:szCs w:val="22"/>
        </w:rPr>
        <w:t xml:space="preserve"> considered to be </w:t>
      </w:r>
      <w:r w:rsidRPr="00BF6883">
        <w:rPr>
          <w:i/>
          <w:szCs w:val="22"/>
        </w:rPr>
        <w:t>equ</w:t>
      </w:r>
      <w:r>
        <w:rPr>
          <w:i/>
          <w:szCs w:val="22"/>
        </w:rPr>
        <w:t>ivalent to ‘friable’ asbestos in Safe W</w:t>
      </w:r>
      <w:r w:rsidRPr="00BF6883">
        <w:rPr>
          <w:i/>
          <w:szCs w:val="22"/>
        </w:rPr>
        <w:t xml:space="preserve">ork Australia </w:t>
      </w:r>
      <w:r>
        <w:rPr>
          <w:i/>
          <w:szCs w:val="22"/>
        </w:rPr>
        <w:t>(</w:t>
      </w:r>
      <w:r w:rsidRPr="00BF6883">
        <w:rPr>
          <w:i/>
          <w:szCs w:val="22"/>
        </w:rPr>
        <w:t>2011)</w:t>
      </w:r>
      <w:r>
        <w:rPr>
          <w:i/>
          <w:szCs w:val="22"/>
        </w:rPr>
        <w:t>,</w:t>
      </w:r>
      <w:r w:rsidRPr="00BF6883">
        <w:rPr>
          <w:i/>
          <w:szCs w:val="22"/>
        </w:rPr>
        <w:t xml:space="preserve"> which </w:t>
      </w:r>
      <w:r>
        <w:rPr>
          <w:i/>
          <w:szCs w:val="22"/>
        </w:rPr>
        <w:t>is defined therein as ‘material that is in a powder form or that can be crumbled, pulverised or reduced to a powder by hand pressure when dry, and contains asbestos’.</w:t>
      </w:r>
    </w:p>
    <w:p w:rsidR="00A97702" w:rsidRDefault="00A97702" w:rsidP="00A97702">
      <w:pPr>
        <w:pStyle w:val="Heading2"/>
      </w:pPr>
      <w:bookmarkStart w:id="69" w:name="_Toc351712073"/>
      <w:r>
        <w:t>Occurrence</w:t>
      </w:r>
      <w:r w:rsidRPr="00CA1888">
        <w:t xml:space="preserve"> of asbestos contamination</w:t>
      </w:r>
      <w:r>
        <w:t xml:space="preserve"> in soil</w:t>
      </w:r>
      <w:bookmarkEnd w:id="69"/>
    </w:p>
    <w:p w:rsidR="00A97702" w:rsidRPr="00EA54BE" w:rsidRDefault="00A97702" w:rsidP="00A97702">
      <w:r w:rsidRPr="00EA54BE">
        <w:t>Bonded ACM is the most common form of asbestos site contamination across Australia</w:t>
      </w:r>
      <w:r>
        <w:t>,</w:t>
      </w:r>
      <w:r w:rsidRPr="00EA54BE">
        <w:t xml:space="preserve"> arising from:</w:t>
      </w:r>
    </w:p>
    <w:p w:rsidR="00A97702" w:rsidRPr="00EA54BE" w:rsidRDefault="00A97702" w:rsidP="00A97702">
      <w:pPr>
        <w:pStyle w:val="Dot-points"/>
        <w:tabs>
          <w:tab w:val="clear" w:pos="926"/>
          <w:tab w:val="num" w:pos="360"/>
        </w:tabs>
      </w:pPr>
      <w:r w:rsidRPr="00EA54BE">
        <w:t>inadequate removal and disposal practices during demolition of buildin</w:t>
      </w:r>
      <w:r w:rsidR="00134B66">
        <w:t>gs containing asbestos products</w:t>
      </w:r>
    </w:p>
    <w:p w:rsidR="00A97702" w:rsidRPr="00EA54BE" w:rsidRDefault="00A97702" w:rsidP="00A97702">
      <w:pPr>
        <w:pStyle w:val="Dot-points"/>
        <w:tabs>
          <w:tab w:val="clear" w:pos="926"/>
          <w:tab w:val="num" w:pos="360"/>
        </w:tabs>
      </w:pPr>
      <w:r w:rsidRPr="00EA54BE">
        <w:t>widespread dumping of asbestos products and asbestos</w:t>
      </w:r>
      <w:r>
        <w:t>-</w:t>
      </w:r>
      <w:r w:rsidRPr="00EA54BE">
        <w:t>containing fill on va</w:t>
      </w:r>
      <w:r w:rsidR="00134B66">
        <w:t>cant land and development sites</w:t>
      </w:r>
    </w:p>
    <w:p w:rsidR="00A97702" w:rsidRPr="00EA54BE" w:rsidRDefault="00A97702" w:rsidP="00A97702">
      <w:pPr>
        <w:pStyle w:val="Dot-points"/>
        <w:tabs>
          <w:tab w:val="clear" w:pos="926"/>
          <w:tab w:val="num" w:pos="360"/>
        </w:tabs>
      </w:pPr>
      <w:r w:rsidRPr="00EA54BE">
        <w:t>common</w:t>
      </w:r>
      <w:r>
        <w:t>ly</w:t>
      </w:r>
      <w:r w:rsidRPr="00EA54BE">
        <w:t xml:space="preserve"> occurr</w:t>
      </w:r>
      <w:r>
        <w:t>ing</w:t>
      </w:r>
      <w:r w:rsidRPr="00EA54BE">
        <w:t xml:space="preserve"> in historical fill </w:t>
      </w:r>
      <w:r>
        <w:t>containing</w:t>
      </w:r>
      <w:r w:rsidRPr="00EA54BE">
        <w:t xml:space="preserve"> unsorted demolition materials</w:t>
      </w:r>
      <w:r>
        <w:t>.</w:t>
      </w:r>
    </w:p>
    <w:p w:rsidR="00A97702" w:rsidRDefault="00A97702" w:rsidP="00A97702">
      <w:r w:rsidRPr="00EA54BE">
        <w:t xml:space="preserve">If identified early, i.e. prior to significant soil disturbance or earth movements, dumping and inadequate demolition practices usually only results in surface (or near surface) </w:t>
      </w:r>
      <w:r>
        <w:t>distribution of bonded ACM fragments</w:t>
      </w:r>
      <w:r w:rsidRPr="00EA54BE">
        <w:t>.</w:t>
      </w:r>
    </w:p>
    <w:p w:rsidR="00FF4FD0" w:rsidRPr="007B6F41" w:rsidRDefault="00FF4FD0" w:rsidP="00A97702"/>
    <w:p w:rsidR="00A97702" w:rsidRPr="00EA54BE" w:rsidRDefault="00A97702" w:rsidP="00A97702">
      <w:r w:rsidRPr="00EA54BE">
        <w:t xml:space="preserve">Mining, manufacture or distribution of asbestos products may result in sites being contaminated by </w:t>
      </w:r>
      <w:r>
        <w:t>friable asbestos</w:t>
      </w:r>
      <w:r w:rsidRPr="00EA54BE">
        <w:t xml:space="preserve"> </w:t>
      </w:r>
      <w:r>
        <w:t>including</w:t>
      </w:r>
      <w:r w:rsidRPr="00EA54BE">
        <w:t xml:space="preserve"> free fibres. Severe weathering or damage (including by vehicle movements) </w:t>
      </w:r>
      <w:r w:rsidRPr="00EA54BE">
        <w:lastRenderedPageBreak/>
        <w:t xml:space="preserve">to bonded ACM may </w:t>
      </w:r>
      <w:r>
        <w:t xml:space="preserve">also </w:t>
      </w:r>
      <w:r w:rsidRPr="00EA54BE">
        <w:t>result in the formation of friable asbestos (</w:t>
      </w:r>
      <w:r>
        <w:t xml:space="preserve">comprising </w:t>
      </w:r>
      <w:r w:rsidRPr="00EA54BE">
        <w:t>fibrous asbestos (FA) and asbestos fines (AF)).</w:t>
      </w:r>
    </w:p>
    <w:p w:rsidR="00A97702" w:rsidRDefault="00A97702" w:rsidP="00A97702">
      <w:pPr>
        <w:pStyle w:val="Heading2"/>
      </w:pPr>
      <w:bookmarkStart w:id="70" w:name="_Toc351712074"/>
      <w:r w:rsidRPr="00EC24FD">
        <w:t>A</w:t>
      </w:r>
      <w:r>
        <w:t>sbestos soil contamination and health risk</w:t>
      </w:r>
      <w:bookmarkEnd w:id="70"/>
    </w:p>
    <w:p w:rsidR="00A97702" w:rsidRPr="00EA54BE" w:rsidRDefault="00A97702" w:rsidP="00A97702">
      <w:r w:rsidRPr="00EA54BE">
        <w:t xml:space="preserve">Asbestos only poses a risk to human health when asbestos fibres are </w:t>
      </w:r>
      <w:r>
        <w:t xml:space="preserve">made airborne and </w:t>
      </w:r>
      <w:r w:rsidRPr="00EA54BE">
        <w:t>inhaled. If asbestos is bound in a matrix such as cement or resin, it is not readily made airborne except through substantial physical damage.</w:t>
      </w:r>
    </w:p>
    <w:p w:rsidR="00A97702" w:rsidRPr="00813725" w:rsidRDefault="00A97702" w:rsidP="00A97702">
      <w:pPr>
        <w:pStyle w:val="text"/>
        <w:rPr>
          <w:i/>
          <w:szCs w:val="22"/>
        </w:rPr>
      </w:pPr>
      <w:r w:rsidRPr="00813725">
        <w:rPr>
          <w:i/>
          <w:szCs w:val="22"/>
        </w:rPr>
        <w:t>This guidance emphasises that the assessment and management of asbestos contamination should take into account the condition of the asbestos materials and the potential for damage and result</w:t>
      </w:r>
      <w:r w:rsidR="00134B66">
        <w:rPr>
          <w:i/>
          <w:szCs w:val="22"/>
        </w:rPr>
        <w:t>ing release of asbestos fibres.</w:t>
      </w:r>
    </w:p>
    <w:p w:rsidR="00A97702" w:rsidRDefault="00A97702" w:rsidP="00A97702">
      <w:r w:rsidRPr="00EA54BE">
        <w:t xml:space="preserve">Bonded ACM in sound condition represents a low human health risk. </w:t>
      </w:r>
      <w:r>
        <w:t>However, b</w:t>
      </w:r>
      <w:r w:rsidRPr="00EA54BE">
        <w:t>oth FA and AF materials have the potential to generate, or be associated with, free asbestos fibres. As a result, FA and AF must be carefully managed to prevent the release of asbestos fibres into the air.</w:t>
      </w:r>
    </w:p>
    <w:p w:rsidR="00FF4FD0" w:rsidRPr="00EA54BE" w:rsidRDefault="00FF4FD0" w:rsidP="00A97702"/>
    <w:p w:rsidR="00A97702" w:rsidRDefault="00A97702" w:rsidP="00A97702">
      <w:r w:rsidRPr="00EA54BE">
        <w:t>It is an inappropriate response to declare a site a human health risk on the basis of the presence of bonded ACM alone. However, if the bonded material is damaged or crumbling (that is, it has become friable), it may represent a significant human health risk if disturbed and fibres are made airborne.</w:t>
      </w:r>
    </w:p>
    <w:p w:rsidR="00FF4FD0" w:rsidRPr="00EA54BE" w:rsidRDefault="00FF4FD0" w:rsidP="00A97702"/>
    <w:p w:rsidR="00A97702" w:rsidRPr="00EA54BE" w:rsidRDefault="00A97702" w:rsidP="00A97702">
      <w:r w:rsidRPr="00EA54BE">
        <w:t>The site-specific assessment of sites contaminated with asbestos in soil should be aimed at describing the nature and quantity of asbestos present in sufficient detail to enable a risk management plan to be developed for the current or proposed land use</w:t>
      </w:r>
      <w:r>
        <w:t>. The management plan should address potential</w:t>
      </w:r>
      <w:r w:rsidRPr="00EA54BE">
        <w:t xml:space="preserve"> scenarios </w:t>
      </w:r>
      <w:r>
        <w:t xml:space="preserve">for the relevant land use(s) </w:t>
      </w:r>
      <w:r w:rsidRPr="00EA54BE">
        <w:t>where</w:t>
      </w:r>
      <w:r>
        <w:t xml:space="preserve">by </w:t>
      </w:r>
      <w:r w:rsidRPr="00EA54BE">
        <w:t>asbestos fibres may become airborn</w:t>
      </w:r>
      <w:r w:rsidR="00134B66">
        <w:t>e and pose a human health risk.</w:t>
      </w:r>
    </w:p>
    <w:p w:rsidR="00A97702" w:rsidRDefault="00A97702" w:rsidP="00A97702">
      <w:pPr>
        <w:pStyle w:val="Heading2"/>
      </w:pPr>
      <w:bookmarkStart w:id="71" w:name="_Toc351712075"/>
      <w:r>
        <w:t>Basis for health screening levels for asbestos in soil</w:t>
      </w:r>
      <w:bookmarkEnd w:id="71"/>
    </w:p>
    <w:p w:rsidR="00A97702" w:rsidRDefault="00A97702" w:rsidP="00A97702">
      <w:r w:rsidRPr="00EA54BE">
        <w:t xml:space="preserve">In 2009, the Western Australian Department of Health (WA DoH) released </w:t>
      </w:r>
      <w:r w:rsidRPr="00EA54BE">
        <w:rPr>
          <w:i/>
        </w:rPr>
        <w:t>Guidelines for the Assessment, Remediation and Management of Asbestos-Contaminated Sites in Western Australia</w:t>
      </w:r>
      <w:r w:rsidRPr="00EA54BE" w:rsidDel="000F0EAB">
        <w:rPr>
          <w:i/>
        </w:rPr>
        <w:t xml:space="preserve"> </w:t>
      </w:r>
      <w:r w:rsidRPr="00EA54BE">
        <w:t>(WA DoH 2009). The WA DoH guidelines are based on research published by Swartjes &amp; Tromp (2008)</w:t>
      </w:r>
      <w:r>
        <w:t>,</w:t>
      </w:r>
      <w:r w:rsidRPr="00EA54BE">
        <w:t xml:space="preserve"> which is based on an extensive database of field and simulation trials using both bound and friable asbestos.  The trial results indicated that a soil level of 0.01% for friable asbestos should keep asbestos </w:t>
      </w:r>
      <w:r>
        <w:t xml:space="preserve">fibre </w:t>
      </w:r>
      <w:r w:rsidRPr="00EA54BE">
        <w:t xml:space="preserve">levels </w:t>
      </w:r>
      <w:r>
        <w:t xml:space="preserve">in </w:t>
      </w:r>
      <w:r w:rsidRPr="00EA54BE">
        <w:t xml:space="preserve">air below </w:t>
      </w:r>
      <w:r w:rsidRPr="0045373C">
        <w:t>0.001</w:t>
      </w:r>
      <w:r w:rsidRPr="00EA54BE">
        <w:t xml:space="preserve"> fibres per millilitre </w:t>
      </w:r>
      <w:r>
        <w:t>(</w:t>
      </w:r>
      <w:r w:rsidRPr="00EA54BE">
        <w:t>f/ml</w:t>
      </w:r>
      <w:r>
        <w:t>)</w:t>
      </w:r>
      <w:r w:rsidRPr="00EA54BE">
        <w:t xml:space="preserve"> and probably </w:t>
      </w:r>
      <w:r>
        <w:t xml:space="preserve">to </w:t>
      </w:r>
      <w:r w:rsidRPr="00EA54BE">
        <w:t>around 0.0001 f/ml. This corresponds to a lifetime risk of 10</w:t>
      </w:r>
      <w:r w:rsidRPr="00EA54BE">
        <w:rPr>
          <w:vertAlign w:val="superscript"/>
        </w:rPr>
        <w:t>-</w:t>
      </w:r>
      <w:r>
        <w:rPr>
          <w:vertAlign w:val="superscript"/>
        </w:rPr>
        <w:t>6</w:t>
      </w:r>
      <w:r w:rsidRPr="00EA54BE">
        <w:t xml:space="preserve"> to 10</w:t>
      </w:r>
      <w:r w:rsidRPr="00EA54BE">
        <w:rPr>
          <w:vertAlign w:val="superscript"/>
        </w:rPr>
        <w:t>-</w:t>
      </w:r>
      <w:r>
        <w:rPr>
          <w:vertAlign w:val="superscript"/>
        </w:rPr>
        <w:t>5</w:t>
      </w:r>
      <w:r w:rsidRPr="00EA54BE">
        <w:t xml:space="preserve"> in the exposed population from airborne asbestos fibres using WHO (2005) risk figures for mesothelioma (WA DoH 2009). The Netherlands (Swartjes &amp; Tromp 2008) apply an investigation level of 0.01% weight for weight (w/w) for fibrous asbestos and 0.1% w/w asbestos for non-friable asbestos (i.e</w:t>
      </w:r>
      <w:r>
        <w:t>.</w:t>
      </w:r>
      <w:r w:rsidRPr="00EA54BE">
        <w:t xml:space="preserve"> bound asbest</w:t>
      </w:r>
      <w:r w:rsidR="00134B66">
        <w:t>os in sound condition) in soil.</w:t>
      </w:r>
    </w:p>
    <w:p w:rsidR="00FF4FD0" w:rsidRPr="00EA54BE" w:rsidRDefault="00FF4FD0" w:rsidP="00A97702"/>
    <w:p w:rsidR="00A97702" w:rsidRPr="00EA54BE" w:rsidRDefault="00A97702" w:rsidP="00A97702">
      <w:r w:rsidRPr="00EA54BE">
        <w:t xml:space="preserve">WA DoH has taken a more conservative approach (by a factor of 10) than the Netherlands to take account of the greater dryness and dust-generating potential of </w:t>
      </w:r>
      <w:r>
        <w:t>many</w:t>
      </w:r>
      <w:r w:rsidRPr="00EA54BE">
        <w:t xml:space="preserve"> local soils and the practice of treating all forms of asbestos (e.g. crocidolite, amosite, chrysotile and actinolite) as equivalent</w:t>
      </w:r>
      <w:r>
        <w:t xml:space="preserve"> in terms of human health risk</w:t>
      </w:r>
      <w:r w:rsidRPr="00EA54BE">
        <w:t>. The WA guidel</w:t>
      </w:r>
      <w:r w:rsidR="00134B66">
        <w:t>ines apply screening levels of:</w:t>
      </w:r>
    </w:p>
    <w:p w:rsidR="00A97702" w:rsidRPr="00EA54BE" w:rsidRDefault="00A97702" w:rsidP="00A97702">
      <w:pPr>
        <w:pStyle w:val="Dot-points"/>
        <w:tabs>
          <w:tab w:val="clear" w:pos="926"/>
          <w:tab w:val="num" w:pos="360"/>
        </w:tabs>
      </w:pPr>
      <w:r w:rsidRPr="00EA54BE">
        <w:t>0.01% w/w asbestos in soil for ACM (being asbestos in bonded ACM) to residential sites equivalent to land use setting HIL A</w:t>
      </w:r>
      <w:r>
        <w:t>.</w:t>
      </w:r>
      <w:r w:rsidRPr="00EA54BE">
        <w:t xml:space="preserve"> </w:t>
      </w:r>
      <w:r>
        <w:t>A</w:t>
      </w:r>
      <w:r w:rsidRPr="00EA54BE">
        <w:t xml:space="preserve">dditional criteria are provided for other land uses </w:t>
      </w:r>
      <w:r>
        <w:t>based on</w:t>
      </w:r>
      <w:r w:rsidRPr="00EA54BE">
        <w:t xml:space="preserve"> the default exposure ratios </w:t>
      </w:r>
      <w:r w:rsidRPr="008374B8">
        <w:t>of the NEPM (1999)</w:t>
      </w:r>
    </w:p>
    <w:p w:rsidR="00A97702" w:rsidRPr="00EA54BE" w:rsidRDefault="00A97702" w:rsidP="00A97702">
      <w:pPr>
        <w:pStyle w:val="Dot-points"/>
        <w:tabs>
          <w:tab w:val="clear" w:pos="926"/>
          <w:tab w:val="num" w:pos="360"/>
        </w:tabs>
      </w:pPr>
      <w:r w:rsidRPr="00EA54BE">
        <w:t>0.001% w/w asbestos in soil fo</w:t>
      </w:r>
      <w:r w:rsidR="00134B66">
        <w:t>r FA and AF for all site uses.</w:t>
      </w:r>
    </w:p>
    <w:p w:rsidR="00A97702" w:rsidRDefault="00A97702" w:rsidP="00A97702">
      <w:pPr>
        <w:pStyle w:val="Heading2"/>
      </w:pPr>
      <w:bookmarkStart w:id="72" w:name="_Toc351712076"/>
      <w:r>
        <w:t>Health s</w:t>
      </w:r>
      <w:r w:rsidRPr="00CA1888">
        <w:t xml:space="preserve">creening </w:t>
      </w:r>
      <w:r>
        <w:t>l</w:t>
      </w:r>
      <w:r w:rsidRPr="00CA1888">
        <w:t>evels</w:t>
      </w:r>
      <w:r>
        <w:t xml:space="preserve"> for asbestos in soil</w:t>
      </w:r>
      <w:bookmarkEnd w:id="72"/>
    </w:p>
    <w:p w:rsidR="00A97702" w:rsidRDefault="00A97702" w:rsidP="00A97702">
      <w:r w:rsidRPr="00EA54BE">
        <w:t>Health screening levels for asbestos in soil</w:t>
      </w:r>
      <w:r>
        <w:t>,</w:t>
      </w:r>
      <w:r w:rsidRPr="005B2632">
        <w:t xml:space="preserve"> </w:t>
      </w:r>
      <w:r>
        <w:t>which are based on scenario-specific likely exposure levels, are</w:t>
      </w:r>
      <w:r w:rsidRPr="00EA54BE">
        <w:t xml:space="preserve"> ad</w:t>
      </w:r>
      <w:r>
        <w:t>o</w:t>
      </w:r>
      <w:r w:rsidRPr="00EA54BE">
        <w:t xml:space="preserve">pted from the WA DoH </w:t>
      </w:r>
      <w:r>
        <w:t>guidelines and are listed in Table 7.</w:t>
      </w:r>
    </w:p>
    <w:p w:rsidR="00FF4FD0" w:rsidRDefault="00FF4FD0" w:rsidP="00A97702"/>
    <w:p w:rsidR="00A97702" w:rsidRDefault="00A97702" w:rsidP="00A97702">
      <w:r>
        <w:t>There are various acceptable means to provide confidence that the soil surface is free of visible asbestos including, but not limited to, multi-directional raking of soil to about 10 cm depth and hand-</w:t>
      </w:r>
      <w:r>
        <w:lastRenderedPageBreak/>
        <w:t>picking of asbestos fragments or covering with a durable hard cover.</w:t>
      </w:r>
      <w:r w:rsidRPr="00D36A64">
        <w:t xml:space="preserve"> </w:t>
      </w:r>
      <w:r>
        <w:t>The requirement for the soil surface to be free of visible asbestos applies to both assessment and remediation phases.</w:t>
      </w:r>
    </w:p>
    <w:p w:rsidR="00A97702" w:rsidRDefault="00A97702" w:rsidP="00A97702">
      <w:r>
        <w:t>Refer to sections 4.10 and 4.11 for guidance on determining asbestos concentration in soil and comparis</w:t>
      </w:r>
      <w:r w:rsidR="00134B66">
        <w:t>on with these screening levels.</w:t>
      </w:r>
    </w:p>
    <w:p w:rsidR="00A97702" w:rsidRPr="00A21B14" w:rsidRDefault="00A97702" w:rsidP="00A97702">
      <w:pPr>
        <w:pStyle w:val="Caption"/>
      </w:pPr>
      <w:r w:rsidRPr="00C635E1">
        <w:t xml:space="preserve">Table </w:t>
      </w:r>
      <w:r>
        <w:t>7.</w:t>
      </w:r>
      <w:r w:rsidRPr="00C635E1">
        <w:t xml:space="preserve"> Health </w:t>
      </w:r>
      <w:r>
        <w:t>s</w:t>
      </w:r>
      <w:r w:rsidRPr="00C635E1">
        <w:t xml:space="preserve">creening </w:t>
      </w:r>
      <w:r>
        <w:t>l</w:t>
      </w:r>
      <w:r w:rsidRPr="00C635E1">
        <w:t xml:space="preserve">evels for asbestos </w:t>
      </w:r>
      <w:r>
        <w:t xml:space="preserve">contamination </w:t>
      </w:r>
      <w:r w:rsidRPr="00C635E1">
        <w:t>in soil</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417"/>
        <w:gridCol w:w="1418"/>
        <w:gridCol w:w="1475"/>
        <w:gridCol w:w="1843"/>
      </w:tblGrid>
      <w:tr w:rsidR="00A97702" w:rsidRPr="00EB3F9E" w:rsidTr="00DA1C9D">
        <w:tc>
          <w:tcPr>
            <w:tcW w:w="1985" w:type="dxa"/>
            <w:shd w:val="clear" w:color="auto" w:fill="C6D9F1" w:themeFill="text2" w:themeFillTint="33"/>
          </w:tcPr>
          <w:p w:rsidR="00A97702" w:rsidRPr="00EB3F9E" w:rsidRDefault="00A97702" w:rsidP="00DA1C9D">
            <w:pPr>
              <w:pStyle w:val="ChapterHeading5"/>
              <w:spacing w:before="60" w:after="60"/>
              <w:jc w:val="center"/>
              <w:rPr>
                <w:i w:val="0"/>
              </w:rPr>
            </w:pPr>
          </w:p>
        </w:tc>
        <w:tc>
          <w:tcPr>
            <w:tcW w:w="6095" w:type="dxa"/>
            <w:gridSpan w:val="4"/>
            <w:shd w:val="clear" w:color="auto" w:fill="C6D9F1" w:themeFill="text2" w:themeFillTint="33"/>
          </w:tcPr>
          <w:p w:rsidR="00A97702" w:rsidRPr="00EB3F9E" w:rsidRDefault="00A97702" w:rsidP="00DA1C9D">
            <w:pPr>
              <w:pStyle w:val="ChapterHeading5"/>
              <w:spacing w:before="60" w:after="60"/>
              <w:jc w:val="center"/>
              <w:rPr>
                <w:i w:val="0"/>
              </w:rPr>
            </w:pPr>
            <w:r w:rsidRPr="00EB3F9E">
              <w:rPr>
                <w:i w:val="0"/>
              </w:rPr>
              <w:t>Health Screening Level (w/w)</w:t>
            </w:r>
          </w:p>
        </w:tc>
      </w:tr>
      <w:tr w:rsidR="00A97702" w:rsidRPr="00EB3F9E" w:rsidTr="00DA1C9D">
        <w:tc>
          <w:tcPr>
            <w:tcW w:w="1985" w:type="dxa"/>
            <w:shd w:val="clear" w:color="auto" w:fill="C6D9F1" w:themeFill="text2" w:themeFillTint="33"/>
          </w:tcPr>
          <w:p w:rsidR="00A97702" w:rsidRPr="00EB3F9E" w:rsidRDefault="00A97702" w:rsidP="00DA1C9D">
            <w:pPr>
              <w:pStyle w:val="ChapterHeading5"/>
              <w:spacing w:before="60" w:after="60"/>
              <w:jc w:val="center"/>
              <w:rPr>
                <w:i w:val="0"/>
              </w:rPr>
            </w:pPr>
            <w:r w:rsidRPr="00EB3F9E">
              <w:rPr>
                <w:i w:val="0"/>
              </w:rPr>
              <w:t>Form of asbestos</w:t>
            </w:r>
          </w:p>
        </w:tc>
        <w:tc>
          <w:tcPr>
            <w:tcW w:w="1417" w:type="dxa"/>
            <w:shd w:val="clear" w:color="auto" w:fill="C6D9F1" w:themeFill="text2" w:themeFillTint="33"/>
          </w:tcPr>
          <w:p w:rsidR="00A97702" w:rsidRPr="00EB3F9E" w:rsidRDefault="00A97702" w:rsidP="00DA1C9D">
            <w:pPr>
              <w:pStyle w:val="ChapterHeading5"/>
              <w:spacing w:before="60" w:after="60"/>
              <w:jc w:val="center"/>
              <w:rPr>
                <w:i w:val="0"/>
              </w:rPr>
            </w:pPr>
            <w:r w:rsidRPr="00EB3F9E">
              <w:rPr>
                <w:i w:val="0"/>
              </w:rPr>
              <w:t>Residential A</w:t>
            </w:r>
            <w:r w:rsidRPr="00EB3F9E">
              <w:rPr>
                <w:i w:val="0"/>
                <w:vertAlign w:val="superscript"/>
              </w:rPr>
              <w:t>1</w:t>
            </w:r>
          </w:p>
        </w:tc>
        <w:tc>
          <w:tcPr>
            <w:tcW w:w="1418" w:type="dxa"/>
            <w:shd w:val="clear" w:color="auto" w:fill="C6D9F1" w:themeFill="text2" w:themeFillTint="33"/>
          </w:tcPr>
          <w:p w:rsidR="00A97702" w:rsidRPr="00EB3F9E" w:rsidRDefault="00A97702" w:rsidP="00DA1C9D">
            <w:pPr>
              <w:pStyle w:val="ChapterHeading5"/>
              <w:spacing w:before="60" w:after="60"/>
              <w:jc w:val="center"/>
              <w:rPr>
                <w:i w:val="0"/>
              </w:rPr>
            </w:pPr>
            <w:r w:rsidRPr="00EB3F9E">
              <w:rPr>
                <w:i w:val="0"/>
              </w:rPr>
              <w:t>Residential  B</w:t>
            </w:r>
            <w:r w:rsidRPr="00EB3F9E">
              <w:rPr>
                <w:i w:val="0"/>
                <w:vertAlign w:val="superscript"/>
              </w:rPr>
              <w:t>2</w:t>
            </w:r>
          </w:p>
        </w:tc>
        <w:tc>
          <w:tcPr>
            <w:tcW w:w="1417" w:type="dxa"/>
            <w:shd w:val="clear" w:color="auto" w:fill="C6D9F1" w:themeFill="text2" w:themeFillTint="33"/>
          </w:tcPr>
          <w:p w:rsidR="00A97702" w:rsidRPr="00EB3F9E" w:rsidRDefault="00A97702" w:rsidP="00DA1C9D">
            <w:pPr>
              <w:pStyle w:val="ChapterHeading5"/>
              <w:spacing w:before="60" w:after="60"/>
              <w:jc w:val="center"/>
              <w:rPr>
                <w:i w:val="0"/>
              </w:rPr>
            </w:pPr>
            <w:r w:rsidRPr="00EB3F9E">
              <w:rPr>
                <w:i w:val="0"/>
              </w:rPr>
              <w:t>Recreational C</w:t>
            </w:r>
            <w:r w:rsidRPr="00EB3F9E">
              <w:rPr>
                <w:i w:val="0"/>
                <w:vertAlign w:val="superscript"/>
              </w:rPr>
              <w:t>3</w:t>
            </w:r>
          </w:p>
        </w:tc>
        <w:tc>
          <w:tcPr>
            <w:tcW w:w="1843" w:type="dxa"/>
            <w:shd w:val="clear" w:color="auto" w:fill="C6D9F1" w:themeFill="text2" w:themeFillTint="33"/>
          </w:tcPr>
          <w:p w:rsidR="00A97702" w:rsidRPr="00EB3F9E" w:rsidRDefault="00A97702" w:rsidP="00DA1C9D">
            <w:pPr>
              <w:pStyle w:val="ChapterHeading5"/>
              <w:spacing w:before="60" w:after="60"/>
              <w:jc w:val="center"/>
              <w:rPr>
                <w:i w:val="0"/>
              </w:rPr>
            </w:pPr>
            <w:r w:rsidRPr="00EB3F9E">
              <w:rPr>
                <w:i w:val="0"/>
              </w:rPr>
              <w:t>Commercial/</w:t>
            </w:r>
          </w:p>
          <w:p w:rsidR="00A97702" w:rsidRPr="00EB3F9E" w:rsidRDefault="00A97702" w:rsidP="00DA1C9D">
            <w:pPr>
              <w:pStyle w:val="ChapterHeading5"/>
              <w:spacing w:before="0" w:after="60"/>
              <w:jc w:val="center"/>
              <w:rPr>
                <w:i w:val="0"/>
              </w:rPr>
            </w:pPr>
            <w:r w:rsidRPr="00EB3F9E">
              <w:rPr>
                <w:i w:val="0"/>
              </w:rPr>
              <w:t>Industrial D</w:t>
            </w:r>
            <w:r w:rsidRPr="00EB3F9E">
              <w:rPr>
                <w:i w:val="0"/>
                <w:vertAlign w:val="superscript"/>
              </w:rPr>
              <w:t>4</w:t>
            </w:r>
          </w:p>
        </w:tc>
      </w:tr>
      <w:tr w:rsidR="00A97702" w:rsidRPr="00EB3F9E" w:rsidTr="00DA1C9D">
        <w:tc>
          <w:tcPr>
            <w:tcW w:w="1985" w:type="dxa"/>
          </w:tcPr>
          <w:p w:rsidR="00A97702" w:rsidRPr="00EB3F9E" w:rsidRDefault="00A97702" w:rsidP="00DA1C9D">
            <w:pPr>
              <w:pStyle w:val="ChapterHeading5"/>
              <w:spacing w:before="60" w:after="60"/>
              <w:jc w:val="left"/>
              <w:rPr>
                <w:b w:val="0"/>
                <w:i w:val="0"/>
              </w:rPr>
            </w:pPr>
            <w:r w:rsidRPr="00EB3F9E">
              <w:rPr>
                <w:b w:val="0"/>
                <w:i w:val="0"/>
              </w:rPr>
              <w:t>Bonded ACM</w:t>
            </w:r>
          </w:p>
        </w:tc>
        <w:tc>
          <w:tcPr>
            <w:tcW w:w="1417" w:type="dxa"/>
          </w:tcPr>
          <w:p w:rsidR="00A97702" w:rsidRPr="00EB3F9E" w:rsidRDefault="00A97702" w:rsidP="00DA1C9D">
            <w:pPr>
              <w:pStyle w:val="ChapterHeading5"/>
              <w:jc w:val="center"/>
              <w:rPr>
                <w:b w:val="0"/>
                <w:i w:val="0"/>
              </w:rPr>
            </w:pPr>
            <w:r w:rsidRPr="00EB3F9E">
              <w:rPr>
                <w:b w:val="0"/>
                <w:i w:val="0"/>
              </w:rPr>
              <w:t>0.01%</w:t>
            </w:r>
          </w:p>
        </w:tc>
        <w:tc>
          <w:tcPr>
            <w:tcW w:w="1418" w:type="dxa"/>
          </w:tcPr>
          <w:p w:rsidR="00A97702" w:rsidRPr="00EB3F9E" w:rsidRDefault="00A97702" w:rsidP="00DA1C9D">
            <w:pPr>
              <w:pStyle w:val="ChapterHeading5"/>
              <w:jc w:val="center"/>
              <w:rPr>
                <w:b w:val="0"/>
                <w:i w:val="0"/>
              </w:rPr>
            </w:pPr>
            <w:r w:rsidRPr="00EB3F9E">
              <w:rPr>
                <w:b w:val="0"/>
                <w:i w:val="0"/>
              </w:rPr>
              <w:t>0.04%</w:t>
            </w:r>
          </w:p>
        </w:tc>
        <w:tc>
          <w:tcPr>
            <w:tcW w:w="1417" w:type="dxa"/>
          </w:tcPr>
          <w:p w:rsidR="00A97702" w:rsidRPr="00EB3F9E" w:rsidRDefault="00A97702" w:rsidP="00DA1C9D">
            <w:pPr>
              <w:pStyle w:val="ChapterHeading5"/>
              <w:jc w:val="center"/>
              <w:rPr>
                <w:b w:val="0"/>
                <w:i w:val="0"/>
              </w:rPr>
            </w:pPr>
            <w:r w:rsidRPr="00EB3F9E">
              <w:rPr>
                <w:b w:val="0"/>
                <w:i w:val="0"/>
              </w:rPr>
              <w:t>0.02%</w:t>
            </w:r>
          </w:p>
        </w:tc>
        <w:tc>
          <w:tcPr>
            <w:tcW w:w="1843" w:type="dxa"/>
          </w:tcPr>
          <w:p w:rsidR="00A97702" w:rsidRPr="00EB3F9E" w:rsidRDefault="00A97702" w:rsidP="00DA1C9D">
            <w:pPr>
              <w:pStyle w:val="ChapterHeading5"/>
              <w:jc w:val="center"/>
              <w:rPr>
                <w:b w:val="0"/>
                <w:i w:val="0"/>
              </w:rPr>
            </w:pPr>
            <w:r w:rsidRPr="00EB3F9E">
              <w:rPr>
                <w:b w:val="0"/>
                <w:i w:val="0"/>
              </w:rPr>
              <w:t>0.05%</w:t>
            </w:r>
          </w:p>
        </w:tc>
      </w:tr>
      <w:tr w:rsidR="00A97702" w:rsidRPr="00EB3F9E" w:rsidTr="00DA1C9D">
        <w:tc>
          <w:tcPr>
            <w:tcW w:w="1985" w:type="dxa"/>
          </w:tcPr>
          <w:p w:rsidR="00A97702" w:rsidRPr="00EB3F9E" w:rsidRDefault="00A97702" w:rsidP="00DA1C9D">
            <w:pPr>
              <w:pStyle w:val="ChapterHeading5"/>
              <w:spacing w:before="60" w:after="60"/>
              <w:jc w:val="left"/>
              <w:rPr>
                <w:b w:val="0"/>
                <w:i w:val="0"/>
              </w:rPr>
            </w:pPr>
            <w:r w:rsidRPr="00EB3F9E">
              <w:rPr>
                <w:b w:val="0"/>
                <w:i w:val="0"/>
              </w:rPr>
              <w:t>FA and AF</w:t>
            </w:r>
            <w:r w:rsidRPr="00EB3F9E">
              <w:rPr>
                <w:b w:val="0"/>
                <w:i w:val="0"/>
                <w:vertAlign w:val="superscript"/>
              </w:rPr>
              <w:t xml:space="preserve">5 </w:t>
            </w:r>
          </w:p>
          <w:p w:rsidR="00A97702" w:rsidRPr="00EB3F9E" w:rsidRDefault="00A97702" w:rsidP="00DA1C9D">
            <w:pPr>
              <w:pStyle w:val="ChapterHeading5"/>
              <w:spacing w:before="0" w:after="60"/>
              <w:jc w:val="left"/>
              <w:rPr>
                <w:b w:val="0"/>
                <w:i w:val="0"/>
              </w:rPr>
            </w:pPr>
            <w:r w:rsidRPr="00EB3F9E">
              <w:rPr>
                <w:b w:val="0"/>
                <w:i w:val="0"/>
              </w:rPr>
              <w:t>(friable asbestos)</w:t>
            </w:r>
          </w:p>
        </w:tc>
        <w:tc>
          <w:tcPr>
            <w:tcW w:w="6095" w:type="dxa"/>
            <w:gridSpan w:val="4"/>
          </w:tcPr>
          <w:p w:rsidR="00A97702" w:rsidRPr="00EB3F9E" w:rsidRDefault="00A97702" w:rsidP="00DA1C9D">
            <w:pPr>
              <w:pStyle w:val="ChapterHeading5"/>
              <w:jc w:val="center"/>
              <w:rPr>
                <w:b w:val="0"/>
                <w:i w:val="0"/>
              </w:rPr>
            </w:pPr>
            <w:r w:rsidRPr="00EB3F9E">
              <w:rPr>
                <w:b w:val="0"/>
                <w:i w:val="0"/>
              </w:rPr>
              <w:t>0.001%</w:t>
            </w:r>
          </w:p>
        </w:tc>
      </w:tr>
      <w:tr w:rsidR="00A97702" w:rsidRPr="00EB3F9E" w:rsidTr="00DA1C9D">
        <w:tc>
          <w:tcPr>
            <w:tcW w:w="1985" w:type="dxa"/>
          </w:tcPr>
          <w:p w:rsidR="00A97702" w:rsidRPr="00EB3F9E" w:rsidRDefault="00A97702" w:rsidP="00DA1C9D">
            <w:pPr>
              <w:pStyle w:val="ChapterHeading5"/>
              <w:spacing w:before="0" w:after="60"/>
              <w:jc w:val="left"/>
              <w:rPr>
                <w:b w:val="0"/>
                <w:i w:val="0"/>
              </w:rPr>
            </w:pPr>
            <w:r w:rsidRPr="00EB3F9E">
              <w:rPr>
                <w:b w:val="0"/>
                <w:i w:val="0"/>
              </w:rPr>
              <w:t>All forms of asbestos</w:t>
            </w:r>
          </w:p>
        </w:tc>
        <w:tc>
          <w:tcPr>
            <w:tcW w:w="6095" w:type="dxa"/>
            <w:gridSpan w:val="4"/>
          </w:tcPr>
          <w:p w:rsidR="00A97702" w:rsidRPr="00EB3F9E" w:rsidRDefault="00A97702" w:rsidP="00DA1C9D">
            <w:pPr>
              <w:pStyle w:val="ChapterHeading5"/>
              <w:jc w:val="center"/>
              <w:rPr>
                <w:b w:val="0"/>
                <w:i w:val="0"/>
              </w:rPr>
            </w:pPr>
            <w:r w:rsidRPr="00EB3F9E">
              <w:rPr>
                <w:b w:val="0"/>
                <w:i w:val="0"/>
              </w:rPr>
              <w:t>No visible asbestos for surface soil</w:t>
            </w:r>
          </w:p>
        </w:tc>
      </w:tr>
    </w:tbl>
    <w:p w:rsidR="00A97702" w:rsidRDefault="00A97702" w:rsidP="00A97702">
      <w:pPr>
        <w:pStyle w:val="ChapterHeading5"/>
        <w:spacing w:before="60" w:after="0"/>
        <w:rPr>
          <w:b w:val="0"/>
          <w:i w:val="0"/>
          <w:sz w:val="20"/>
          <w:szCs w:val="20"/>
        </w:rPr>
      </w:pPr>
      <w:r>
        <w:rPr>
          <w:b w:val="0"/>
          <w:i w:val="0"/>
          <w:sz w:val="20"/>
          <w:szCs w:val="20"/>
        </w:rPr>
        <w:t xml:space="preserve"> </w:t>
      </w:r>
    </w:p>
    <w:p w:rsidR="00A97702" w:rsidRPr="00EB3F9E" w:rsidRDefault="00A97702" w:rsidP="00A97702">
      <w:pPr>
        <w:numPr>
          <w:ilvl w:val="0"/>
          <w:numId w:val="28"/>
        </w:numPr>
        <w:spacing w:before="120" w:after="120" w:line="240" w:lineRule="auto"/>
        <w:jc w:val="both"/>
        <w:rPr>
          <w:rFonts w:cs="Arial"/>
          <w:color w:val="000000"/>
          <w:sz w:val="18"/>
          <w:szCs w:val="18"/>
        </w:rPr>
      </w:pPr>
      <w:r w:rsidRPr="00EB3F9E">
        <w:rPr>
          <w:rFonts w:cs="Arial"/>
          <w:color w:val="000000"/>
          <w:sz w:val="18"/>
          <w:szCs w:val="18"/>
        </w:rPr>
        <w:t>Residential A with garden/accessible soil also includes children’s day care centres, preschools and primary schools.</w:t>
      </w:r>
    </w:p>
    <w:p w:rsidR="00A97702" w:rsidRPr="00EB3F9E" w:rsidRDefault="00A97702" w:rsidP="00A97702">
      <w:pPr>
        <w:numPr>
          <w:ilvl w:val="0"/>
          <w:numId w:val="28"/>
        </w:numPr>
        <w:spacing w:before="80" w:after="120" w:line="240" w:lineRule="auto"/>
        <w:jc w:val="both"/>
        <w:rPr>
          <w:rFonts w:cs="Arial"/>
          <w:color w:val="000000"/>
          <w:sz w:val="18"/>
          <w:szCs w:val="18"/>
        </w:rPr>
      </w:pPr>
      <w:r w:rsidRPr="00EB3F9E">
        <w:rPr>
          <w:rFonts w:cs="Arial"/>
          <w:color w:val="000000"/>
          <w:sz w:val="18"/>
          <w:szCs w:val="18"/>
        </w:rPr>
        <w:t>Residential B with minimal opportunities for soil access; includes dwellings with fully and permanently paved yard space such as high-rise buildings and apartments.</w:t>
      </w:r>
    </w:p>
    <w:p w:rsidR="00A97702" w:rsidRPr="00EB3F9E" w:rsidRDefault="00A97702" w:rsidP="00A97702">
      <w:pPr>
        <w:numPr>
          <w:ilvl w:val="0"/>
          <w:numId w:val="28"/>
        </w:numPr>
        <w:spacing w:before="80" w:after="120" w:line="240" w:lineRule="auto"/>
        <w:jc w:val="both"/>
        <w:rPr>
          <w:rFonts w:cs="Arial"/>
          <w:color w:val="000000"/>
          <w:sz w:val="18"/>
          <w:szCs w:val="18"/>
        </w:rPr>
      </w:pPr>
      <w:r w:rsidRPr="00EB3F9E">
        <w:rPr>
          <w:rFonts w:cs="Arial"/>
          <w:color w:val="000000"/>
          <w:sz w:val="18"/>
          <w:szCs w:val="18"/>
        </w:rPr>
        <w:t>Recreational C includes public open space such as parks, playgrounds, playing fields (e.g. ovals), secondary</w:t>
      </w:r>
      <w:r w:rsidR="00134B66">
        <w:rPr>
          <w:rFonts w:cs="Arial"/>
          <w:color w:val="000000"/>
          <w:sz w:val="18"/>
          <w:szCs w:val="18"/>
        </w:rPr>
        <w:t xml:space="preserve"> schools and unpaved footpaths.</w:t>
      </w:r>
    </w:p>
    <w:p w:rsidR="00A97702" w:rsidRPr="00EB3F9E" w:rsidRDefault="00A97702" w:rsidP="00A97702">
      <w:pPr>
        <w:numPr>
          <w:ilvl w:val="0"/>
          <w:numId w:val="28"/>
        </w:numPr>
        <w:spacing w:before="80" w:after="120" w:line="240" w:lineRule="auto"/>
        <w:jc w:val="both"/>
        <w:rPr>
          <w:rFonts w:cs="Arial"/>
          <w:color w:val="000000"/>
          <w:sz w:val="18"/>
          <w:szCs w:val="18"/>
        </w:rPr>
      </w:pPr>
      <w:r w:rsidRPr="00EB3F9E">
        <w:rPr>
          <w:rFonts w:cs="Arial"/>
          <w:color w:val="000000"/>
          <w:sz w:val="18"/>
          <w:szCs w:val="18"/>
        </w:rPr>
        <w:t>Commercial/industrial D includes premises such as shops, offices, factories and industrial sites.</w:t>
      </w:r>
    </w:p>
    <w:p w:rsidR="00A97702" w:rsidRPr="00EB3F9E" w:rsidRDefault="00A97702" w:rsidP="00A97702">
      <w:pPr>
        <w:pStyle w:val="ChapterHeading5"/>
        <w:numPr>
          <w:ilvl w:val="0"/>
          <w:numId w:val="28"/>
        </w:numPr>
        <w:rPr>
          <w:b w:val="0"/>
          <w:i w:val="0"/>
          <w:sz w:val="18"/>
          <w:szCs w:val="18"/>
        </w:rPr>
      </w:pPr>
      <w:r w:rsidRPr="00EB3F9E">
        <w:rPr>
          <w:b w:val="0"/>
          <w:i w:val="0"/>
          <w:sz w:val="18"/>
          <w:szCs w:val="18"/>
        </w:rPr>
        <w:t>The screening level of 0.001% w/w asbestos in soil for FA and AF (i.e. non-bonded/friable asbestos) only applies where the FA and AF are able to be quantified by gravimetric procedures (refer Section 4.10). This screening level is not applicable to free fibres.</w:t>
      </w:r>
    </w:p>
    <w:p w:rsidR="00A97702" w:rsidRDefault="00A97702" w:rsidP="00A97702">
      <w:pPr>
        <w:pStyle w:val="Heading2"/>
      </w:pPr>
      <w:bookmarkStart w:id="73" w:name="_Toc351712077"/>
      <w:r>
        <w:t>Process for a</w:t>
      </w:r>
      <w:r w:rsidRPr="00EC24FD">
        <w:t xml:space="preserve">ssessment </w:t>
      </w:r>
      <w:r>
        <w:t>of asbestos contamination</w:t>
      </w:r>
      <w:bookmarkEnd w:id="73"/>
    </w:p>
    <w:p w:rsidR="00A97702" w:rsidRDefault="00A97702" w:rsidP="00A97702">
      <w:r>
        <w:t>The recommended general process for assessment of site contamination, including for assessment of asbestos, is shown in Schedule A to this NEPM. The process starts with a Preliminary Site Investigation (PSI), which may lead to a Detailed Site Investigation (DSI). Depending on the site-specific circumstances and the proposed remediation approach, conservative management of presumed asbestos contamination may avoid the need for a DSI. Where remediation is required, appropriate validation sampling should be carried out to verify the effectiveness of the measures undertaken.</w:t>
      </w:r>
    </w:p>
    <w:p w:rsidR="00FF4FD0" w:rsidRDefault="00FF4FD0" w:rsidP="00A97702"/>
    <w:p w:rsidR="00A97702" w:rsidRDefault="00A97702" w:rsidP="00A97702">
      <w:r w:rsidRPr="00842DB8">
        <w:t>It is important to note that inadequate sampling strategies and/or inadequate documentation, rather than lack of accuracy in the adopted analytical methods, characteristically limit the effective evaluation of si</w:t>
      </w:r>
      <w:r w:rsidR="00134B66">
        <w:t>tes contaminated with asbestos.</w:t>
      </w:r>
    </w:p>
    <w:p w:rsidR="00FF4FD0" w:rsidRPr="00C42293" w:rsidRDefault="00FF4FD0" w:rsidP="00A97702"/>
    <w:p w:rsidR="00A97702" w:rsidRDefault="00A97702" w:rsidP="00A97702">
      <w:r>
        <w:t>Further information on the recommended assessment proc</w:t>
      </w:r>
      <w:r w:rsidR="00134B66">
        <w:t>ess is provided in Schedule B2.</w:t>
      </w:r>
    </w:p>
    <w:p w:rsidR="00FF4FD0" w:rsidRDefault="00FF4FD0" w:rsidP="00A97702"/>
    <w:p w:rsidR="00A97702" w:rsidRPr="00717DCF" w:rsidRDefault="00A97702" w:rsidP="00A97702">
      <w:r>
        <w:t>A DSI is not necessary where there is a high degree of confidence that the asbestos contamination is confined to bonded ACM in superficial soil, i.e. the site history can be established with confidence and this clearly indicates that there is no reason to suspect buried asbestos materials and the site inspection confirms that any bonded ACM is in sound condition and only present on the surface/near surface of the site. In these circumstances the assessment can proceed directly to remediation (removal of bonded ACM fragments and ensuring that the soil surface is free of vi</w:t>
      </w:r>
      <w:r w:rsidR="00134B66">
        <w:t>sible asbestos) and validation.</w:t>
      </w:r>
    </w:p>
    <w:p w:rsidR="00A97702" w:rsidRDefault="00A97702" w:rsidP="00A97702">
      <w:pPr>
        <w:pStyle w:val="Heading2"/>
      </w:pPr>
      <w:bookmarkStart w:id="74" w:name="_Toc351712078"/>
      <w:r>
        <w:t>Determining asbestos in soil concentrations</w:t>
      </w:r>
      <w:bookmarkEnd w:id="74"/>
    </w:p>
    <w:p w:rsidR="00A97702" w:rsidRDefault="00A97702" w:rsidP="00A97702">
      <w:r w:rsidRPr="0045775E">
        <w:t xml:space="preserve">Bonded ACM is the most common and the most readily quantifiable form of asbestos soil contamination due to its ease of visual detection. </w:t>
      </w:r>
      <w:r w:rsidRPr="00457EC9">
        <w:t xml:space="preserve">Where site circumstances are favourable, bonded </w:t>
      </w:r>
      <w:r w:rsidRPr="00457EC9">
        <w:lastRenderedPageBreak/>
        <w:t>ACM in sound condition can be used as the primary means of estimating contamination by subjecting soil samples to on-site sieving and gravimetric procedures</w:t>
      </w:r>
      <w:r w:rsidR="00134B66">
        <w:t xml:space="preserve"> as described below.</w:t>
      </w:r>
    </w:p>
    <w:p w:rsidR="00FF4FD0" w:rsidRPr="00457EC9" w:rsidRDefault="00FF4FD0" w:rsidP="00A97702"/>
    <w:p w:rsidR="00A97702" w:rsidRDefault="00A97702" w:rsidP="00A97702">
      <w:r w:rsidRPr="0045775E">
        <w:t xml:space="preserve">Assessment of bonded ACM is </w:t>
      </w:r>
      <w:r>
        <w:t>the</w:t>
      </w:r>
      <w:r w:rsidRPr="0045775E">
        <w:t xml:space="preserve"> recommended measure for total asbestos contamination where FA and AF (derived from bonded ACM only) are not likely to be significant as established by the PSI including the site inspection (as a guide, this may be taken to be where FA and AF are likely to make up less than 10% of the tot</w:t>
      </w:r>
      <w:r w:rsidR="00134B66">
        <w:t>al amount of asbestos present).</w:t>
      </w:r>
    </w:p>
    <w:p w:rsidR="00FF4FD0" w:rsidRPr="00C42293" w:rsidRDefault="00FF4FD0" w:rsidP="00A97702"/>
    <w:p w:rsidR="00A97702" w:rsidRPr="00C42293" w:rsidRDefault="00A97702" w:rsidP="00A97702">
      <w:r>
        <w:t>I</w:t>
      </w:r>
      <w:r w:rsidRPr="0045775E">
        <w:t>mportant considerations in determining asbestos concentrations in soil include:</w:t>
      </w:r>
    </w:p>
    <w:p w:rsidR="00A97702" w:rsidRDefault="00A97702" w:rsidP="00A97702">
      <w:pPr>
        <w:pStyle w:val="Dot-points"/>
        <w:tabs>
          <w:tab w:val="clear" w:pos="926"/>
          <w:tab w:val="num" w:pos="360"/>
        </w:tabs>
      </w:pPr>
      <w:r>
        <w:t xml:space="preserve">observations and calculations of surface asbestos occurrence/distribution should be recorded on a grid system </w:t>
      </w:r>
      <w:r w:rsidRPr="00941C71">
        <w:t>(a grid of up to 10 m x 10 m is generally reasonable when large surface areas are impacted</w:t>
      </w:r>
      <w:r>
        <w:t xml:space="preserve">, however, </w:t>
      </w:r>
      <w:r w:rsidRPr="0045775E">
        <w:t>non-impacted soils should be excluded from calculation</w:t>
      </w:r>
      <w:r>
        <w:t>s</w:t>
      </w:r>
      <w:r w:rsidRPr="0045775E">
        <w:t xml:space="preserve"> to avoid dilution effects</w:t>
      </w:r>
      <w:r w:rsidRPr="008A4761">
        <w:t>)</w:t>
      </w:r>
    </w:p>
    <w:p w:rsidR="00A97702" w:rsidRPr="00B91F1D" w:rsidRDefault="00A97702" w:rsidP="00A97702">
      <w:pPr>
        <w:pStyle w:val="Dot-points"/>
        <w:tabs>
          <w:tab w:val="clear" w:pos="926"/>
          <w:tab w:val="num" w:pos="360"/>
        </w:tabs>
      </w:pPr>
      <w:r w:rsidRPr="0045775E">
        <w:t xml:space="preserve">where more than one distinct </w:t>
      </w:r>
      <w:r>
        <w:t xml:space="preserve">fill unit or </w:t>
      </w:r>
      <w:r w:rsidRPr="0045775E">
        <w:t xml:space="preserve">soil </w:t>
      </w:r>
      <w:r>
        <w:t>stratum/</w:t>
      </w:r>
      <w:r w:rsidRPr="0045775E">
        <w:t>unit is impacted by asbestos</w:t>
      </w:r>
      <w:r>
        <w:t xml:space="preserve"> materials</w:t>
      </w:r>
      <w:r w:rsidRPr="0045775E">
        <w:t xml:space="preserve">, separate asbestos determinations should be made for each </w:t>
      </w:r>
      <w:r>
        <w:t>stratum/</w:t>
      </w:r>
      <w:r w:rsidRPr="0045775E">
        <w:t>unit</w:t>
      </w:r>
    </w:p>
    <w:p w:rsidR="00A97702" w:rsidRDefault="00A97702" w:rsidP="00A97702">
      <w:pPr>
        <w:pStyle w:val="Dot-points"/>
        <w:tabs>
          <w:tab w:val="clear" w:pos="926"/>
          <w:tab w:val="num" w:pos="360"/>
        </w:tabs>
      </w:pPr>
      <w:r w:rsidRPr="0045775E">
        <w:t>averaging asbestos concentrations across all soils at a site is not appropriate</w:t>
      </w:r>
    </w:p>
    <w:p w:rsidR="00A97702" w:rsidRPr="00C42293" w:rsidRDefault="00A97702" w:rsidP="00A97702">
      <w:pPr>
        <w:pStyle w:val="Dot-points"/>
        <w:tabs>
          <w:tab w:val="clear" w:pos="926"/>
          <w:tab w:val="num" w:pos="360"/>
        </w:tabs>
      </w:pPr>
      <w:r>
        <w:t>for sub-surface samples, (e.g. boreholes and trenches) the calculation should be carried out per sample (i.e. not averaged over a grid square)</w:t>
      </w:r>
    </w:p>
    <w:p w:rsidR="00A97702" w:rsidRDefault="00A97702" w:rsidP="00A97702">
      <w:pPr>
        <w:pStyle w:val="Dot-points"/>
        <w:tabs>
          <w:tab w:val="clear" w:pos="926"/>
          <w:tab w:val="num" w:pos="360"/>
        </w:tabs>
      </w:pPr>
      <w:r>
        <w:t>the statistical procedures outlined in Section 3.2 (such as comparing mean concentrations with the screening level and no individual sample concentration exceeding 250% of the screening level) are not appropriate for asbestos</w:t>
      </w:r>
    </w:p>
    <w:p w:rsidR="00A97702" w:rsidRDefault="00A97702" w:rsidP="00A97702">
      <w:pPr>
        <w:pStyle w:val="Dot-points"/>
        <w:tabs>
          <w:tab w:val="clear" w:pos="926"/>
          <w:tab w:val="num" w:pos="360"/>
        </w:tabs>
      </w:pPr>
      <w:r>
        <w:t>a weight-of-evidence approach (refer 4.11), which takes into account field observations and methodology and relevant site history findings (e.g. location and nature of fill and demolished buildings etc.)’ is recommended for determining whether individual or adjacent samples exceeding the relevant s</w:t>
      </w:r>
      <w:r w:rsidR="00134B66">
        <w:t>creening levels are of concern.</w:t>
      </w:r>
    </w:p>
    <w:p w:rsidR="00A97702" w:rsidRPr="00EB3F9E" w:rsidRDefault="00A97702" w:rsidP="00A97702">
      <w:pPr>
        <w:pStyle w:val="text"/>
        <w:rPr>
          <w:b/>
          <w:szCs w:val="22"/>
        </w:rPr>
      </w:pPr>
      <w:r w:rsidRPr="00EB3F9E">
        <w:rPr>
          <w:b/>
          <w:szCs w:val="22"/>
        </w:rPr>
        <w:t>Asbestos in soil concentration by gravimetric approach</w:t>
      </w:r>
    </w:p>
    <w:p w:rsidR="00A97702" w:rsidRDefault="00A97702" w:rsidP="00A97702">
      <w:r>
        <w:t xml:space="preserve">Guidance on recommended </w:t>
      </w:r>
      <w:r w:rsidRPr="00565C8A">
        <w:t xml:space="preserve">sampling methods is </w:t>
      </w:r>
      <w:r>
        <w:t xml:space="preserve">given in Schedule B2 and is </w:t>
      </w:r>
      <w:r w:rsidRPr="00565C8A">
        <w:t>based on the WA DoH guid</w:t>
      </w:r>
      <w:r w:rsidR="00134B66">
        <w:t>elines (2009).</w:t>
      </w:r>
    </w:p>
    <w:p w:rsidR="00FF4FD0" w:rsidRDefault="00FF4FD0" w:rsidP="00A97702"/>
    <w:p w:rsidR="00A97702" w:rsidRDefault="00A97702" w:rsidP="00A97702">
      <w:r w:rsidRPr="0045775E">
        <w:t>The asbestos concentration calculations are based on the amount of asbestos equivalent (i.e. asbestos in asbestos</w:t>
      </w:r>
      <w:r>
        <w:t>-</w:t>
      </w:r>
      <w:r w:rsidRPr="0045775E">
        <w:t>containing</w:t>
      </w:r>
      <w:r>
        <w:t>-</w:t>
      </w:r>
      <w:r w:rsidRPr="0045775E">
        <w:t>materials) in a measured/estimated amount of soil, expressed as a % weight for weight</w:t>
      </w:r>
      <w:r w:rsidRPr="00CE737A">
        <w:t xml:space="preserve">. </w:t>
      </w:r>
      <w:r>
        <w:t>The soil volume may be one or more individual 10 L samples from specific soil units or the area of a grid square multiplied by the investigation depth for raking and tilli</w:t>
      </w:r>
      <w:r w:rsidR="00134B66">
        <w:t>ng methods (refer Schedule B2).</w:t>
      </w:r>
    </w:p>
    <w:p w:rsidR="00FF4FD0" w:rsidRDefault="00FF4FD0" w:rsidP="00A97702"/>
    <w:p w:rsidR="00A97702" w:rsidRDefault="00A97702" w:rsidP="00A97702">
      <w:r w:rsidRPr="00CE737A">
        <w:t>A</w:t>
      </w:r>
      <w:r w:rsidRPr="00EA54BE">
        <w:t xml:space="preserve">s outlined in enHealth </w:t>
      </w:r>
      <w:r w:rsidRPr="00EA54BE">
        <w:rPr>
          <w:i/>
        </w:rPr>
        <w:t>(</w:t>
      </w:r>
      <w:r w:rsidRPr="00EA54BE">
        <w:t>2005)</w:t>
      </w:r>
      <w:r w:rsidRPr="00EA54BE">
        <w:rPr>
          <w:i/>
        </w:rPr>
        <w:t xml:space="preserve">, </w:t>
      </w:r>
      <w:r>
        <w:t>t</w:t>
      </w:r>
      <w:r w:rsidRPr="00EA54BE">
        <w:t>he quantity of asbestos in soil may be estimated as follows:</w:t>
      </w:r>
    </w:p>
    <w:p w:rsidR="00A97702" w:rsidRPr="00EA54BE" w:rsidRDefault="00A97702" w:rsidP="00A97702">
      <w:pPr>
        <w:pStyle w:val="text"/>
        <w:rPr>
          <w:i/>
          <w:szCs w:val="22"/>
        </w:rPr>
      </w:pPr>
    </w:p>
    <w:p w:rsidR="00A97702" w:rsidRDefault="00A97702" w:rsidP="00A97702">
      <w:pPr>
        <w:pStyle w:val="text"/>
        <w:ind w:left="2552" w:hanging="2552"/>
        <w:rPr>
          <w:szCs w:val="22"/>
        </w:rPr>
      </w:pPr>
      <w:r>
        <w:rPr>
          <w:szCs w:val="22"/>
        </w:rPr>
        <w:t>%w/w asbestos in soil =</w:t>
      </w:r>
      <w:r>
        <w:rPr>
          <w:szCs w:val="22"/>
        </w:rPr>
        <w:tab/>
      </w:r>
      <w:r w:rsidRPr="00EA54BE">
        <w:rPr>
          <w:szCs w:val="22"/>
        </w:rPr>
        <w:t xml:space="preserve">% asbestos content x bonded ACM (kg) /soil volume (L) x </w:t>
      </w:r>
    </w:p>
    <w:p w:rsidR="00A97702" w:rsidRPr="00EA54BE" w:rsidRDefault="00A97702" w:rsidP="00A97702">
      <w:pPr>
        <w:pStyle w:val="text"/>
        <w:ind w:left="2552"/>
        <w:rPr>
          <w:szCs w:val="22"/>
        </w:rPr>
      </w:pPr>
      <w:r w:rsidRPr="00EA54BE">
        <w:rPr>
          <w:szCs w:val="22"/>
        </w:rPr>
        <w:t>soil density (kg/L)</w:t>
      </w:r>
    </w:p>
    <w:p w:rsidR="00A97702" w:rsidRDefault="00A97702" w:rsidP="00A97702">
      <w:pPr>
        <w:pStyle w:val="text"/>
        <w:rPr>
          <w:szCs w:val="22"/>
        </w:rPr>
      </w:pPr>
    </w:p>
    <w:p w:rsidR="00A97702" w:rsidRDefault="00A97702" w:rsidP="00A97702">
      <w:r>
        <w:t>In the example included in enHea</w:t>
      </w:r>
      <w:r w:rsidR="00134B66">
        <w:t>lth (2005) it was assumed that:</w:t>
      </w:r>
    </w:p>
    <w:p w:rsidR="00A97702" w:rsidRPr="00FD3291" w:rsidRDefault="00A97702" w:rsidP="00A97702">
      <w:pPr>
        <w:pStyle w:val="text"/>
        <w:ind w:left="720"/>
        <w:rPr>
          <w:szCs w:val="22"/>
        </w:rPr>
      </w:pPr>
      <w:r>
        <w:rPr>
          <w:szCs w:val="22"/>
        </w:rPr>
        <w:t xml:space="preserve">% asbestos content (within bonded ACM) = 15% and </w:t>
      </w:r>
      <w:r w:rsidRPr="00FD3291">
        <w:rPr>
          <w:szCs w:val="22"/>
        </w:rPr>
        <w:t>soil density (for sandy soils) = 1.65 kg/L</w:t>
      </w:r>
    </w:p>
    <w:p w:rsidR="00A97702" w:rsidRDefault="00A97702" w:rsidP="00A97702">
      <w:r>
        <w:t>More representative results for asbestos concentration in soil can be calculated if the parameter values ar</w:t>
      </w:r>
      <w:r w:rsidR="00134B66">
        <w:t>e analysed rather than assumed.</w:t>
      </w:r>
    </w:p>
    <w:p w:rsidR="00FF4FD0" w:rsidRDefault="00FF4FD0" w:rsidP="00A97702"/>
    <w:p w:rsidR="00A97702" w:rsidRDefault="00A97702" w:rsidP="00A97702">
      <w:r>
        <w:lastRenderedPageBreak/>
        <w:t>The assumption of 15% asbestos by weight in bonded ACM for sites contaminated with cement bonded ACM only is acceptable because</w:t>
      </w:r>
      <w:r w:rsidRPr="00FD3291">
        <w:t xml:space="preserve"> typical compositions </w:t>
      </w:r>
      <w:r>
        <w:t xml:space="preserve">for bonded ACM products used </w:t>
      </w:r>
      <w:r w:rsidRPr="00FD3291">
        <w:t>in Australia are 10</w:t>
      </w:r>
      <w:r>
        <w:sym w:font="Symbol" w:char="F02D"/>
      </w:r>
      <w:r w:rsidRPr="00FD3291">
        <w:t>15% asbestos by weight</w:t>
      </w:r>
      <w:r>
        <w:t>. However, o</w:t>
      </w:r>
      <w:r w:rsidRPr="00FD3291">
        <w:t xml:space="preserve">ther bonded products may contain much </w:t>
      </w:r>
      <w:r w:rsidRPr="00877BC7">
        <w:t>larger proportions of asbestos, e.g. asbestos vinyl floor tiles may contain 8</w:t>
      </w:r>
      <w:r w:rsidRPr="00877BC7">
        <w:sym w:font="Symbol" w:char="F02D"/>
      </w:r>
      <w:r w:rsidRPr="00877BC7">
        <w:t xml:space="preserve">30% asbestos </w:t>
      </w:r>
      <w:r w:rsidRPr="00945981">
        <w:t>(Workplace Health and Safety Queensland, 2011).</w:t>
      </w:r>
      <w:r w:rsidRPr="00877BC7">
        <w:t xml:space="preserve"> The likely presence of bonded materials other than cement products should be addressed in t</w:t>
      </w:r>
      <w:r>
        <w:t>he PSI and site inspection.  If found during sampling, the calculation will need to be adjusted either by making a conservative assumption or based on laboratory analysis of represe</w:t>
      </w:r>
      <w:r w:rsidR="00134B66">
        <w:t>ntative material from the site.</w:t>
      </w:r>
    </w:p>
    <w:p w:rsidR="00FF4FD0" w:rsidRDefault="00FF4FD0" w:rsidP="00A97702"/>
    <w:p w:rsidR="00A97702" w:rsidRDefault="00A97702" w:rsidP="00A97702">
      <w:r>
        <w:t>Soil densities are typically greater than about 1.5 kg/L (1500 kg/m</w:t>
      </w:r>
      <w:r w:rsidRPr="00965003">
        <w:rPr>
          <w:vertAlign w:val="superscript"/>
        </w:rPr>
        <w:t>3</w:t>
      </w:r>
      <w:r>
        <w:t>). The need to sample and analyse representative soil samples for soil density should be considered in the SAQP and will be required fo</w:t>
      </w:r>
      <w:r w:rsidR="00134B66">
        <w:t>r dense and/or compacted soils.</w:t>
      </w:r>
    </w:p>
    <w:p w:rsidR="00FF4FD0" w:rsidRPr="0094357A" w:rsidRDefault="00FF4FD0" w:rsidP="00A97702"/>
    <w:p w:rsidR="00A97702" w:rsidRDefault="00A97702" w:rsidP="00A97702">
      <w:r>
        <w:t>The rationale for the calculation carried out, including the basis for all assumptions, should be documented in the site assessment report.</w:t>
      </w:r>
    </w:p>
    <w:p w:rsidR="00FF4FD0" w:rsidRPr="004C3F32" w:rsidRDefault="00FF4FD0" w:rsidP="00A97702"/>
    <w:p w:rsidR="00A97702" w:rsidRDefault="00A97702" w:rsidP="00A97702">
      <w:r w:rsidRPr="0045775E">
        <w:t>Depending on what is known of the site history and also the nature of the investigative methods used, the confidence in the calcu</w:t>
      </w:r>
      <w:r>
        <w:t>lation results</w:t>
      </w:r>
      <w:r w:rsidRPr="0045775E">
        <w:t xml:space="preserve"> will vary. In particular, </w:t>
      </w:r>
      <w:r>
        <w:t>hand-picking</w:t>
      </w:r>
      <w:r w:rsidRPr="0045775E">
        <w:t xml:space="preserve"> (using multi-directional raking and hand removal of fragments) and tilling surveys (mechanical turning over of surface soils to assist identification and collection of fragments) may provide less confidence compared with large volume </w:t>
      </w:r>
      <w:r>
        <w:t xml:space="preserve">mechanical </w:t>
      </w:r>
      <w:r w:rsidRPr="0045775E">
        <w:t xml:space="preserve">screening (separation of fragments by </w:t>
      </w:r>
      <w:r>
        <w:t xml:space="preserve">automated </w:t>
      </w:r>
      <w:r w:rsidRPr="0045775E">
        <w:t>sieving). Likewise</w:t>
      </w:r>
      <w:r>
        <w:t>,</w:t>
      </w:r>
      <w:r w:rsidRPr="0045775E">
        <w:t xml:space="preserve"> if the bonded ACM weight is estimated rather than measured, such as by estimating bonded ACM sheet area, then confidence in the results will be reduced. </w:t>
      </w:r>
      <w:r>
        <w:t>(Note that when considering which technique(s) to use that the increased confidence in results from mechanical methods should be considered in the context of the possible increased risk of releasing fibres associated with bulk screening.)</w:t>
      </w:r>
    </w:p>
    <w:p w:rsidR="00FF4FD0" w:rsidRDefault="00FF4FD0" w:rsidP="00A97702"/>
    <w:p w:rsidR="00A97702" w:rsidRDefault="00A97702" w:rsidP="00A97702">
      <w:r w:rsidRPr="00AC444F">
        <w:t xml:space="preserve">A comparable gravimetric assessment approach may be </w:t>
      </w:r>
      <w:r>
        <w:t>applied</w:t>
      </w:r>
      <w:r w:rsidRPr="00AC444F">
        <w:t xml:space="preserve"> </w:t>
      </w:r>
      <w:r>
        <w:t>to</w:t>
      </w:r>
      <w:r w:rsidRPr="00AC444F">
        <w:t xml:space="preserve"> FA whe</w:t>
      </w:r>
      <w:r>
        <w:t>n</w:t>
      </w:r>
      <w:r w:rsidRPr="00AC444F">
        <w:t xml:space="preserve"> </w:t>
      </w:r>
      <w:r>
        <w:t xml:space="preserve">large </w:t>
      </w:r>
      <w:r w:rsidRPr="00AC444F">
        <w:t xml:space="preserve">discrete </w:t>
      </w:r>
      <w:r>
        <w:t xml:space="preserve">pieces </w:t>
      </w:r>
      <w:r w:rsidRPr="00AC444F">
        <w:t xml:space="preserve">(e.g. asbestos gaskets and </w:t>
      </w:r>
      <w:r>
        <w:t>pieces of asbestos ‘</w:t>
      </w:r>
      <w:r w:rsidRPr="00AC444F">
        <w:t>rope</w:t>
      </w:r>
      <w:r>
        <w:t>’</w:t>
      </w:r>
      <w:r w:rsidRPr="00AC444F">
        <w:t>)</w:t>
      </w:r>
      <w:r>
        <w:t xml:space="preserve"> are present in soil</w:t>
      </w:r>
      <w:r w:rsidRPr="00AC444F">
        <w:t xml:space="preserve">, however care should be taken </w:t>
      </w:r>
      <w:r>
        <w:t xml:space="preserve">during their removal </w:t>
      </w:r>
      <w:r w:rsidRPr="00AC444F">
        <w:t>to mi</w:t>
      </w:r>
      <w:r w:rsidR="00134B66">
        <w:t>nimise potential fibre release.</w:t>
      </w:r>
    </w:p>
    <w:p w:rsidR="00FF4FD0" w:rsidRDefault="00FF4FD0" w:rsidP="00A97702"/>
    <w:p w:rsidR="00A97702" w:rsidRDefault="00A97702" w:rsidP="00A97702">
      <w:r>
        <w:t>If</w:t>
      </w:r>
      <w:r w:rsidRPr="00AC444F">
        <w:t xml:space="preserve"> bonded ACM </w:t>
      </w:r>
      <w:r>
        <w:t xml:space="preserve">is in poor condition or </w:t>
      </w:r>
      <w:r w:rsidRPr="00AC444F">
        <w:t>site conditions are l</w:t>
      </w:r>
      <w:r>
        <w:t>ikely to result in degradation (e.g. due to acidic soil conditions) then the bonded ACM should be assumed to be FA for the purposes of comparing with the relevant screening level.</w:t>
      </w:r>
    </w:p>
    <w:p w:rsidR="00FF4FD0" w:rsidRPr="00EA69EE" w:rsidRDefault="00FF4FD0" w:rsidP="00A97702"/>
    <w:p w:rsidR="00A97702" w:rsidRPr="007B1CB9" w:rsidRDefault="00A97702" w:rsidP="00A97702">
      <w:r>
        <w:t>Schedule B2 and WA DoH 2009 (Section 4) provide</w:t>
      </w:r>
      <w:r w:rsidRPr="00EA54BE">
        <w:t xml:space="preserve"> </w:t>
      </w:r>
      <w:r>
        <w:t xml:space="preserve">more detailed </w:t>
      </w:r>
      <w:r w:rsidRPr="00EA54BE">
        <w:t>guidance for sampling soil and determination of the %w/w asbestos i</w:t>
      </w:r>
      <w:r>
        <w:t>n soil by gravimetric procedure</w:t>
      </w:r>
      <w:r w:rsidR="00134B66">
        <w:t>.</w:t>
      </w:r>
    </w:p>
    <w:p w:rsidR="00A97702" w:rsidRPr="00EB3F9E" w:rsidRDefault="00A97702" w:rsidP="00A97702">
      <w:pPr>
        <w:pStyle w:val="text"/>
        <w:rPr>
          <w:b/>
          <w:szCs w:val="22"/>
        </w:rPr>
      </w:pPr>
      <w:r w:rsidRPr="00EB3F9E">
        <w:rPr>
          <w:b/>
          <w:szCs w:val="22"/>
        </w:rPr>
        <w:t>Laboratory analysis</w:t>
      </w:r>
    </w:p>
    <w:p w:rsidR="00A97702" w:rsidRDefault="00A97702" w:rsidP="00A97702">
      <w:r>
        <w:t>As yet</w:t>
      </w:r>
      <w:r w:rsidRPr="0045775E">
        <w:t xml:space="preserve"> there is no validated method</w:t>
      </w:r>
      <w:r>
        <w:t>,</w:t>
      </w:r>
      <w:r w:rsidRPr="0045775E">
        <w:t xml:space="preserve"> </w:t>
      </w:r>
      <w:r>
        <w:t>readily available in Australia,</w:t>
      </w:r>
      <w:r w:rsidRPr="0045775E">
        <w:t xml:space="preserve"> of reliably estimating the concentration of free asbestos fibres in soil. Soil contamination by free asbestos fibres should therefore be simply determined according to the presence or absence of fibres, in accordance with </w:t>
      </w:r>
      <w:r w:rsidRPr="00457EC9">
        <w:rPr>
          <w:i/>
        </w:rPr>
        <w:t xml:space="preserve">AS4964 – 2004: Method for the Qualitative identification of asbestos in bulk samples </w:t>
      </w:r>
      <w:r>
        <w:t>(Standards Australia</w:t>
      </w:r>
      <w:r w:rsidRPr="0045775E">
        <w:t xml:space="preserve"> 2004</w:t>
      </w:r>
      <w:r>
        <w:t>)</w:t>
      </w:r>
      <w:r w:rsidRPr="0045775E">
        <w:t xml:space="preserve"> by a laboratory accredited by NATA </w:t>
      </w:r>
      <w:r>
        <w:t>(</w:t>
      </w:r>
      <w:r w:rsidRPr="0045775E">
        <w:t>or its mutual recognition agreement partners</w:t>
      </w:r>
      <w:r>
        <w:t>) for this method</w:t>
      </w:r>
      <w:r w:rsidR="00134B66">
        <w:t>.</w:t>
      </w:r>
    </w:p>
    <w:p w:rsidR="00FF4FD0" w:rsidRPr="00C42293" w:rsidRDefault="00FF4FD0" w:rsidP="00A97702"/>
    <w:p w:rsidR="00A97702" w:rsidRDefault="00A97702" w:rsidP="00A97702">
      <w:r w:rsidRPr="0045775E">
        <w:t>AS4964-2004 sets out a tiered approach to detecting the presence of asbestos (amosite, crocidolite and chrysotile forms) in soil samples using polarised light microscopy and dispersion staining techniques. If evidence of asbestos fibres is not found in the greater than 2</w:t>
      </w:r>
      <w:r>
        <w:t xml:space="preserve"> mm </w:t>
      </w:r>
      <w:r w:rsidRPr="0045775E">
        <w:t>sieved fraction, a trace analysis is required of the residue (sub</w:t>
      </w:r>
      <w:r>
        <w:t>-</w:t>
      </w:r>
      <w:r w:rsidRPr="0045775E">
        <w:t>2</w:t>
      </w:r>
      <w:r>
        <w:t xml:space="preserve"> </w:t>
      </w:r>
      <w:r w:rsidRPr="0045775E">
        <w:t>mm fraction). Depending on the nature and size of the soil sample, the sub</w:t>
      </w:r>
      <w:r>
        <w:t>-</w:t>
      </w:r>
      <w:r w:rsidRPr="0045775E">
        <w:t xml:space="preserve">2 mm residue material may need to be </w:t>
      </w:r>
      <w:r w:rsidR="00134B66">
        <w:t>sub-sampled for trace analysis.</w:t>
      </w:r>
    </w:p>
    <w:p w:rsidR="00FF4FD0" w:rsidRDefault="00FF4FD0" w:rsidP="00A97702"/>
    <w:p w:rsidR="00A97702" w:rsidRDefault="00A97702" w:rsidP="00A97702">
      <w:r w:rsidRPr="0045775E">
        <w:t xml:space="preserve">The nominal detection limit of the AS4964 method is around </w:t>
      </w:r>
      <w:r>
        <w:t>0.01%. The examination of large</w:t>
      </w:r>
      <w:r w:rsidRPr="0045775E">
        <w:t xml:space="preserve"> sample sizes </w:t>
      </w:r>
      <w:r>
        <w:t xml:space="preserve">(at least 500 ml is recommended) </w:t>
      </w:r>
      <w:r w:rsidRPr="0045775E">
        <w:t xml:space="preserve">may improve the likelihood of identifying asbestos material in </w:t>
      </w:r>
      <w:r w:rsidR="00134B66">
        <w:t>the greater than 2 mm fraction.</w:t>
      </w:r>
    </w:p>
    <w:p w:rsidR="00FF4FD0" w:rsidRPr="00036D04" w:rsidRDefault="00FF4FD0" w:rsidP="00A97702"/>
    <w:p w:rsidR="00A97702" w:rsidRDefault="00A97702" w:rsidP="00A97702">
      <w:r w:rsidRPr="0045775E">
        <w:lastRenderedPageBreak/>
        <w:t xml:space="preserve">Care should be taken in selecting samples for </w:t>
      </w:r>
      <w:r>
        <w:t>laboratory</w:t>
      </w:r>
      <w:r w:rsidRPr="0045775E">
        <w:t xml:space="preserve"> analysis to ensure that they comprise representative samples</w:t>
      </w:r>
      <w:r>
        <w:t>, as far as practicable,</w:t>
      </w:r>
      <w:r w:rsidRPr="0045775E">
        <w:t xml:space="preserve"> of the soil units to be tested</w:t>
      </w:r>
      <w:r>
        <w:t xml:space="preserve"> or material from</w:t>
      </w:r>
      <w:r w:rsidRPr="0045775E">
        <w:t xml:space="preserve"> suspect areas</w:t>
      </w:r>
      <w:r>
        <w:t>. This may be difficult to achieve because of the complexity of the soil unit o</w:t>
      </w:r>
      <w:r w:rsidR="00134B66">
        <w:t>r large size of soil particles.</w:t>
      </w:r>
    </w:p>
    <w:p w:rsidR="00FF4FD0" w:rsidRPr="00350532" w:rsidRDefault="00FF4FD0" w:rsidP="00A97702"/>
    <w:p w:rsidR="00A97702" w:rsidRDefault="00A97702" w:rsidP="00A97702">
      <w:r>
        <w:t>I</w:t>
      </w:r>
      <w:r w:rsidRPr="00457EC9">
        <w:t>n the case of co-located bonded ACM, FA and AF, where significant asbestos may be present as fibrous asbestos or asbestos fines (</w:t>
      </w:r>
      <w:r>
        <w:t>greater than</w:t>
      </w:r>
      <w:r w:rsidRPr="00457EC9">
        <w:t xml:space="preserve"> 10% </w:t>
      </w:r>
      <w:r>
        <w:t xml:space="preserve">(in total for FA and AF) of </w:t>
      </w:r>
      <w:r w:rsidRPr="00457EC9">
        <w:t>that present in the bonded ACM alone), then laboratory analysis may be necessary to assist with impact delineation</w:t>
      </w:r>
      <w:r>
        <w:t xml:space="preserve">. </w:t>
      </w:r>
      <w:r w:rsidRPr="0045775E">
        <w:t xml:space="preserve">It may be possible in the initial AS4964 procedure to obtain an estimate of the weight of asbestos (such as small ACM fragments and fibre bundles) which does not pass through </w:t>
      </w:r>
      <w:r>
        <w:t>the 2 mm sieve. Depending on site circumstances, t</w:t>
      </w:r>
      <w:r w:rsidRPr="0045775E">
        <w:t xml:space="preserve">his information may be </w:t>
      </w:r>
      <w:r>
        <w:t>useful</w:t>
      </w:r>
      <w:r w:rsidRPr="0045775E">
        <w:t xml:space="preserve"> as part of a weight</w:t>
      </w:r>
      <w:r>
        <w:t>-</w:t>
      </w:r>
      <w:r w:rsidRPr="0045775E">
        <w:t>of</w:t>
      </w:r>
      <w:r>
        <w:t>-</w:t>
      </w:r>
      <w:r w:rsidRPr="0045775E">
        <w:t>evidence approach to assessment of asbestos soil concentration</w:t>
      </w:r>
      <w:r>
        <w:t>s relative to the appropriate screening levels</w:t>
      </w:r>
      <w:r w:rsidR="00134B66">
        <w:t>.</w:t>
      </w:r>
    </w:p>
    <w:p w:rsidR="00FF4FD0" w:rsidRDefault="00FF4FD0" w:rsidP="00A97702"/>
    <w:p w:rsidR="00A97702" w:rsidRPr="00596B58" w:rsidRDefault="00A97702" w:rsidP="00A97702">
      <w:r>
        <w:t>As a general guide, where</w:t>
      </w:r>
      <w:r w:rsidRPr="00B45047">
        <w:t xml:space="preserve"> sites </w:t>
      </w:r>
      <w:r>
        <w:t xml:space="preserve">are </w:t>
      </w:r>
      <w:r w:rsidRPr="00B45047">
        <w:t xml:space="preserve">contaminated with bonded ACM </w:t>
      </w:r>
      <w:r>
        <w:t xml:space="preserve">only (i.e. no </w:t>
      </w:r>
      <w:r w:rsidRPr="00B45047">
        <w:t xml:space="preserve">insulation materials </w:t>
      </w:r>
      <w:r>
        <w:t>or</w:t>
      </w:r>
      <w:r w:rsidRPr="00B45047">
        <w:t xml:space="preserve"> other non-bonded asbestos products) a</w:t>
      </w:r>
      <w:r>
        <w:t xml:space="preserve">ssessment for the presence/absence of free fibres by laboratory analysis </w:t>
      </w:r>
      <w:r w:rsidRPr="00B45047">
        <w:t xml:space="preserve">is only warranted where </w:t>
      </w:r>
      <w:r>
        <w:t>greater than 10% of the total bonded ACM</w:t>
      </w:r>
      <w:r w:rsidRPr="00B45047">
        <w:t xml:space="preserve"> </w:t>
      </w:r>
      <w:r>
        <w:t>is</w:t>
      </w:r>
      <w:r w:rsidRPr="00B45047">
        <w:t xml:space="preserve"> </w:t>
      </w:r>
      <w:r>
        <w:t>significantly damaged i.e. present as small pieces less than 7 mm x 7 mm or can be crushed/crumbled with hand pressure (significant FA and/or AF is present).</w:t>
      </w:r>
    </w:p>
    <w:p w:rsidR="00A97702" w:rsidRDefault="00A97702" w:rsidP="00A97702">
      <w:pPr>
        <w:pStyle w:val="Heading2"/>
      </w:pPr>
      <w:bookmarkStart w:id="75" w:name="_Toc351712079"/>
      <w:r>
        <w:t>Assessment against asbestos screening levels</w:t>
      </w:r>
      <w:r w:rsidRPr="00CE306A">
        <w:t xml:space="preserve"> </w:t>
      </w:r>
      <w:r>
        <w:t>and procedure for exceedences</w:t>
      </w:r>
      <w:bookmarkEnd w:id="75"/>
    </w:p>
    <w:p w:rsidR="00A97702" w:rsidRDefault="00A97702" w:rsidP="00A97702">
      <w:r w:rsidRPr="005D6A48">
        <w:t>A tiered approach to risk assessment of asbestos contamination is recommended, including development of an appropriate CSM (ref</w:t>
      </w:r>
      <w:r w:rsidR="00134B66">
        <w:t>er Section 2.4 in Schedule B4).</w:t>
      </w:r>
    </w:p>
    <w:p w:rsidR="00A97702" w:rsidRDefault="00A97702" w:rsidP="00A97702">
      <w:r w:rsidRPr="00622650">
        <w:t>A weight</w:t>
      </w:r>
      <w:r>
        <w:t>-</w:t>
      </w:r>
      <w:r w:rsidRPr="00622650">
        <w:t>of</w:t>
      </w:r>
      <w:r>
        <w:t>-</w:t>
      </w:r>
      <w:r w:rsidRPr="00622650">
        <w:t>ev</w:t>
      </w:r>
      <w:r>
        <w:t>idence approach is recommended with consideration given to factors such as the distribution of different fill types, the heterogeneity of the contamination and the uncertainty associated with the sampling methodology. The evaluation and discussion of results should consider any trends across the investigated area including variability and change in asbestos type and condition. For buried asbestos contamination, the impacted units should be ident</w:t>
      </w:r>
      <w:r w:rsidR="00134B66">
        <w:t>ified and discussed separately.</w:t>
      </w:r>
    </w:p>
    <w:p w:rsidR="00FF4FD0" w:rsidRPr="00337DA2" w:rsidRDefault="00FF4FD0" w:rsidP="00A97702"/>
    <w:p w:rsidR="00A97702" w:rsidRDefault="00A97702" w:rsidP="00A97702">
      <w:r w:rsidRPr="005D6A48">
        <w:t>For Tier 1 analysis, the contamination concentrations are compared with the screening</w:t>
      </w:r>
      <w:r>
        <w:t xml:space="preserve"> levels presented in Section 4.8</w:t>
      </w:r>
      <w:r w:rsidRPr="005D6A48">
        <w:t xml:space="preserve">. If the </w:t>
      </w:r>
      <w:r>
        <w:t xml:space="preserve">Tier 1 </w:t>
      </w:r>
      <w:r w:rsidRPr="005D6A48">
        <w:t>screening levels are not exceeded, and an appropriate level of investigation has been carried out, then no contamination management actions are required except for ensuring the surface</w:t>
      </w:r>
      <w:r>
        <w:t xml:space="preserve"> soil </w:t>
      </w:r>
      <w:r w:rsidRPr="005D6A48">
        <w:t>is free of visual asbestos</w:t>
      </w:r>
      <w:r>
        <w:t xml:space="preserve">. This may be achieved by </w:t>
      </w:r>
      <w:r w:rsidRPr="00622650">
        <w:t xml:space="preserve">multidirectional raking or tilling and </w:t>
      </w:r>
      <w:r>
        <w:t>hand-picking of exposed fragments of bonded ACM</w:t>
      </w:r>
      <w:r w:rsidRPr="00622650">
        <w:t>.  Final visual inspection of the assessment and remediated areas should not detect any visible asbestos.</w:t>
      </w:r>
    </w:p>
    <w:p w:rsidR="00FF4FD0" w:rsidRDefault="00FF4FD0" w:rsidP="00A97702"/>
    <w:p w:rsidR="00A97702" w:rsidRDefault="00A97702" w:rsidP="00A97702">
      <w:r w:rsidRPr="00622650">
        <w:t>When cohesive soils (such as firm clay) or a large surface area is involved it may be more practical to skim the top 5–10 cm of soil for disposal in accordance with jurisdictional requirements. The exposed surface of the site can then be further visually assessed by an appropriately qualified and experienced professional/competent person on a systematic basis. If bonded</w:t>
      </w:r>
      <w:r w:rsidRPr="00622650">
        <w:rPr>
          <w:b/>
        </w:rPr>
        <w:t xml:space="preserve"> </w:t>
      </w:r>
      <w:r w:rsidRPr="00622650">
        <w:t xml:space="preserve">ACM fragments are found to be present after skimming, some localised </w:t>
      </w:r>
      <w:r>
        <w:t>hand-picking</w:t>
      </w:r>
      <w:r w:rsidRPr="00622650">
        <w:t xml:space="preserve"> or additional earthworks may be required until no</w:t>
      </w:r>
      <w:r w:rsidR="00134B66">
        <w:t xml:space="preserve"> visible bonded ACM is present.</w:t>
      </w:r>
    </w:p>
    <w:p w:rsidR="00FF4FD0" w:rsidRDefault="00FF4FD0" w:rsidP="00A97702"/>
    <w:p w:rsidR="00A97702" w:rsidRDefault="00A97702" w:rsidP="00A97702">
      <w:r w:rsidRPr="005D6A48">
        <w:t>If exceed</w:t>
      </w:r>
      <w:r>
        <w:t>e</w:t>
      </w:r>
      <w:r w:rsidRPr="005D6A48">
        <w:t xml:space="preserve">nces </w:t>
      </w:r>
      <w:r>
        <w:t>of the Tier 1 screening levels are present</w:t>
      </w:r>
      <w:r w:rsidRPr="005D6A48">
        <w:t xml:space="preserve">, </w:t>
      </w:r>
      <w:r>
        <w:t xml:space="preserve">either </w:t>
      </w:r>
      <w:r w:rsidRPr="005D6A48">
        <w:t xml:space="preserve">a Tier 2 analysis </w:t>
      </w:r>
      <w:r>
        <w:t>should be carried out or a conservative management response implemented. The Tier 2 assessment will comprise a</w:t>
      </w:r>
      <w:r w:rsidRPr="005D6A48">
        <w:t xml:space="preserve"> qualitative assess</w:t>
      </w:r>
      <w:r>
        <w:t xml:space="preserve">ment of risk </w:t>
      </w:r>
      <w:r w:rsidRPr="005D6A48">
        <w:t>in many cases and should take into account the nature and extent of contamination; the site-specific exposure scenario(s) including the intensity of relevant site activities; the impact of any mitigating factors such as soil type and soil moisture conditions</w:t>
      </w:r>
      <w:r>
        <w:t xml:space="preserve"> (and likely variation)</w:t>
      </w:r>
      <w:r w:rsidRPr="005D6A48">
        <w:t xml:space="preserve">; the proposed remediation and management </w:t>
      </w:r>
      <w:r w:rsidRPr="00622650">
        <w:t>measures;</w:t>
      </w:r>
      <w:r w:rsidR="00134B66">
        <w:t xml:space="preserve"> and the final use of the site.</w:t>
      </w:r>
    </w:p>
    <w:p w:rsidR="00FF4FD0" w:rsidRPr="00622650" w:rsidRDefault="00FF4FD0" w:rsidP="00A97702"/>
    <w:p w:rsidR="00A97702" w:rsidRPr="00622650" w:rsidRDefault="00A97702" w:rsidP="00A97702">
      <w:r w:rsidRPr="00622650">
        <w:t>Remediation options which minimise soil disturbance and there</w:t>
      </w:r>
      <w:r>
        <w:t xml:space="preserve">fore public risk are preferred. </w:t>
      </w:r>
      <w:r w:rsidRPr="00622650">
        <w:t xml:space="preserve">Management of </w:t>
      </w:r>
      <w:r>
        <w:t>asbestos in situ is</w:t>
      </w:r>
      <w:r w:rsidRPr="00622650">
        <w:t xml:space="preserve"> encouraged, which may include covering the contamination with uncontaminated fill or other protective or warning layers. It should be noted that the common alternative of complete removal of asbestos from a site often involves extensive and costly </w:t>
      </w:r>
      <w:r w:rsidRPr="00622650">
        <w:lastRenderedPageBreak/>
        <w:t xml:space="preserve">investigative and </w:t>
      </w:r>
      <w:r>
        <w:t>validation</w:t>
      </w:r>
      <w:r w:rsidRPr="00622650">
        <w:t xml:space="preserve"> sampling and may not be effective or necessary for </w:t>
      </w:r>
      <w:r w:rsidR="00134B66">
        <w:t>the protection of human health.</w:t>
      </w:r>
    </w:p>
    <w:p w:rsidR="00A97702" w:rsidRDefault="00A97702" w:rsidP="00A97702">
      <w:r w:rsidRPr="00622650">
        <w:t xml:space="preserve">Regulatory authorities may consider statutory management controls to land with substantial asbestos contamination to ensure that appropriate management conditions, including land use limitations, apply to the site. These controls may include notation on title, approved management and listing on public site contamination registers or ongoing controls under audit statements and planning controls, as </w:t>
      </w:r>
      <w:r w:rsidR="00134B66">
        <w:t>relevant for the jurisdiction.</w:t>
      </w:r>
    </w:p>
    <w:p w:rsidR="00FF4FD0" w:rsidRPr="00622650" w:rsidRDefault="00FF4FD0" w:rsidP="00A97702"/>
    <w:p w:rsidR="00A97702" w:rsidRDefault="00A97702" w:rsidP="00A97702">
      <w:r w:rsidRPr="00622650">
        <w:t>Additional information on the assessment approach is provided in Schedule</w:t>
      </w:r>
      <w:r w:rsidR="00134B66">
        <w:t xml:space="preserve"> B2 and WA DoH (2009 and 2011).</w:t>
      </w:r>
    </w:p>
    <w:p w:rsidR="00FF4FD0" w:rsidRDefault="00FF4FD0" w:rsidP="00A97702"/>
    <w:p w:rsidR="00A97702" w:rsidRDefault="00A97702" w:rsidP="00A97702">
      <w:r w:rsidRPr="00622650">
        <w:t>Further information on risk assessment, remediation and management procedures can be found in Section 5 of the WA DoH Guidelines (2009).</w:t>
      </w:r>
    </w:p>
    <w:p w:rsidR="00FF4FD0" w:rsidRPr="00622650" w:rsidRDefault="00FF4FD0" w:rsidP="00A97702"/>
    <w:p w:rsidR="00A97702" w:rsidRDefault="00A97702" w:rsidP="00A97702">
      <w:r w:rsidRPr="00EA54BE">
        <w:t xml:space="preserve">The recommended approach </w:t>
      </w:r>
      <w:r>
        <w:t xml:space="preserve">for circumstances involving bonded ACM (the commonest form of asbestos contamination) </w:t>
      </w:r>
      <w:r w:rsidRPr="00EA54BE">
        <w:t xml:space="preserve">is illustrated by the </w:t>
      </w:r>
      <w:r>
        <w:t xml:space="preserve">included </w:t>
      </w:r>
      <w:r w:rsidRPr="00EA54BE">
        <w:t>case studies</w:t>
      </w:r>
      <w:r>
        <w:t>.</w:t>
      </w:r>
    </w:p>
    <w:p w:rsidR="00A97702" w:rsidRPr="00C93AAB" w:rsidRDefault="00A97702" w:rsidP="00A97702">
      <w:pPr>
        <w:pStyle w:val="Heading1"/>
      </w:pPr>
      <w:bookmarkStart w:id="76" w:name="_Toc351712080"/>
      <w:r>
        <w:lastRenderedPageBreak/>
        <w:t>Case Studies</w:t>
      </w:r>
      <w:bookmarkEnd w:id="76"/>
    </w:p>
    <w:p w:rsidR="00A97702" w:rsidRDefault="00A97702" w:rsidP="00A97702">
      <w:pPr>
        <w:pStyle w:val="BlockTitle1"/>
        <w:shd w:val="clear" w:color="auto" w:fill="auto"/>
        <w:jc w:val="left"/>
        <w:rPr>
          <w:b w:val="0"/>
        </w:rPr>
      </w:pPr>
      <w:r>
        <w:rPr>
          <w:b w:val="0"/>
        </w:rPr>
        <w:t xml:space="preserve"> </w:t>
      </w:r>
    </w:p>
    <w:tbl>
      <w:tblPr>
        <w:tblStyle w:val="TableGrid"/>
        <w:tblW w:w="0" w:type="auto"/>
        <w:tblLook w:val="04A0" w:firstRow="1" w:lastRow="0" w:firstColumn="1" w:lastColumn="0" w:noHBand="0" w:noVBand="1"/>
      </w:tblPr>
      <w:tblGrid>
        <w:gridCol w:w="1809"/>
        <w:gridCol w:w="7479"/>
      </w:tblGrid>
      <w:tr w:rsidR="00A97702" w:rsidTr="00DA1C9D">
        <w:tc>
          <w:tcPr>
            <w:tcW w:w="1809" w:type="dxa"/>
          </w:tcPr>
          <w:p w:rsidR="00A97702" w:rsidRPr="00DC570A" w:rsidRDefault="00A97702" w:rsidP="00DA1C9D">
            <w:pPr>
              <w:pStyle w:val="BlockTitle1"/>
              <w:shd w:val="clear" w:color="auto" w:fill="auto"/>
              <w:jc w:val="left"/>
            </w:pPr>
            <w:r w:rsidRPr="0029479F">
              <w:t>Case study 1</w:t>
            </w:r>
          </w:p>
        </w:tc>
        <w:tc>
          <w:tcPr>
            <w:tcW w:w="7479" w:type="dxa"/>
          </w:tcPr>
          <w:p w:rsidR="00A97702" w:rsidRDefault="00A97702" w:rsidP="00DA1C9D">
            <w:pPr>
              <w:pStyle w:val="BlockTitle1"/>
              <w:shd w:val="clear" w:color="auto" w:fill="auto"/>
              <w:spacing w:after="60"/>
              <w:jc w:val="left"/>
              <w:rPr>
                <w:b w:val="0"/>
              </w:rPr>
            </w:pPr>
            <w:r w:rsidRPr="0029479F">
              <w:t>Assessment of asbestos contamination in soil –</w:t>
            </w:r>
            <w:r w:rsidRPr="00CD0E41">
              <w:rPr>
                <w:b w:val="0"/>
              </w:rPr>
              <w:t xml:space="preserve"> </w:t>
            </w:r>
          </w:p>
          <w:p w:rsidR="00A97702" w:rsidRDefault="00A97702" w:rsidP="00DA1C9D">
            <w:pPr>
              <w:pStyle w:val="BlockTitle1"/>
              <w:shd w:val="clear" w:color="auto" w:fill="auto"/>
              <w:spacing w:before="0"/>
              <w:jc w:val="left"/>
              <w:rPr>
                <w:b w:val="0"/>
              </w:rPr>
            </w:pPr>
            <w:r w:rsidRPr="00CD0E41">
              <w:rPr>
                <w:b w:val="0"/>
              </w:rPr>
              <w:t>poor demolition practice at a residential site</w:t>
            </w:r>
          </w:p>
        </w:tc>
      </w:tr>
      <w:tr w:rsidR="00A97702" w:rsidTr="00DA1C9D">
        <w:tc>
          <w:tcPr>
            <w:tcW w:w="1809" w:type="dxa"/>
          </w:tcPr>
          <w:p w:rsidR="00A97702" w:rsidRPr="00DC570A" w:rsidRDefault="00A97702" w:rsidP="00DA1C9D">
            <w:pPr>
              <w:pStyle w:val="BlockTitle1"/>
              <w:shd w:val="clear" w:color="auto" w:fill="auto"/>
              <w:jc w:val="left"/>
            </w:pPr>
            <w:r w:rsidRPr="0029479F">
              <w:t>Case study 2</w:t>
            </w:r>
          </w:p>
        </w:tc>
        <w:tc>
          <w:tcPr>
            <w:tcW w:w="7479" w:type="dxa"/>
          </w:tcPr>
          <w:p w:rsidR="00A97702" w:rsidRDefault="00A97702" w:rsidP="00DA1C9D">
            <w:pPr>
              <w:pStyle w:val="BlockTitle1"/>
              <w:shd w:val="clear" w:color="auto" w:fill="auto"/>
              <w:spacing w:after="60"/>
              <w:jc w:val="left"/>
              <w:rPr>
                <w:b w:val="0"/>
              </w:rPr>
            </w:pPr>
            <w:r w:rsidRPr="0029479F">
              <w:t>Assessment of asbestos contamination in soil –</w:t>
            </w:r>
            <w:r w:rsidRPr="00CD0E41">
              <w:rPr>
                <w:b w:val="0"/>
              </w:rPr>
              <w:t xml:space="preserve"> </w:t>
            </w:r>
          </w:p>
          <w:p w:rsidR="00A97702" w:rsidRDefault="00A97702" w:rsidP="00DA1C9D">
            <w:pPr>
              <w:pStyle w:val="BlockTitle1"/>
              <w:shd w:val="clear" w:color="auto" w:fill="auto"/>
              <w:spacing w:before="0"/>
              <w:jc w:val="left"/>
              <w:rPr>
                <w:b w:val="0"/>
              </w:rPr>
            </w:pPr>
            <w:r w:rsidRPr="00CD0E41">
              <w:rPr>
                <w:b w:val="0"/>
              </w:rPr>
              <w:t>redevelopment of an industrial site for residential use</w:t>
            </w:r>
          </w:p>
        </w:tc>
      </w:tr>
      <w:tr w:rsidR="00A97702" w:rsidTr="00DA1C9D">
        <w:tc>
          <w:tcPr>
            <w:tcW w:w="1809" w:type="dxa"/>
          </w:tcPr>
          <w:p w:rsidR="00A97702" w:rsidRPr="00DC570A" w:rsidRDefault="00A97702" w:rsidP="00DA1C9D">
            <w:pPr>
              <w:pStyle w:val="BlockTitle1"/>
              <w:shd w:val="clear" w:color="auto" w:fill="auto"/>
              <w:jc w:val="left"/>
            </w:pPr>
            <w:r w:rsidRPr="0029479F">
              <w:t>Case study 3</w:t>
            </w:r>
          </w:p>
        </w:tc>
        <w:tc>
          <w:tcPr>
            <w:tcW w:w="7479" w:type="dxa"/>
          </w:tcPr>
          <w:p w:rsidR="00A97702" w:rsidRDefault="00A97702" w:rsidP="00DA1C9D">
            <w:pPr>
              <w:pStyle w:val="BlockTitle1"/>
              <w:shd w:val="clear" w:color="auto" w:fill="auto"/>
              <w:spacing w:after="60"/>
              <w:jc w:val="left"/>
            </w:pPr>
            <w:r w:rsidRPr="0029479F">
              <w:t xml:space="preserve">Application of petroleum hydrocarbon screening levels – </w:t>
            </w:r>
          </w:p>
          <w:p w:rsidR="00A97702" w:rsidRDefault="00A97702" w:rsidP="00DA1C9D">
            <w:pPr>
              <w:pStyle w:val="BlockTitle1"/>
              <w:shd w:val="clear" w:color="auto" w:fill="auto"/>
              <w:spacing w:before="0"/>
              <w:jc w:val="left"/>
              <w:rPr>
                <w:b w:val="0"/>
              </w:rPr>
            </w:pPr>
            <w:r w:rsidRPr="00CD0E41">
              <w:rPr>
                <w:b w:val="0"/>
              </w:rPr>
              <w:t>redevelopment of an industrial site for residential use</w:t>
            </w:r>
          </w:p>
        </w:tc>
      </w:tr>
      <w:tr w:rsidR="00A97702" w:rsidTr="00DA1C9D">
        <w:tc>
          <w:tcPr>
            <w:tcW w:w="1809" w:type="dxa"/>
          </w:tcPr>
          <w:p w:rsidR="00A97702" w:rsidRPr="00DC570A" w:rsidRDefault="00A97702" w:rsidP="00DA1C9D">
            <w:pPr>
              <w:pStyle w:val="BlockTitle1"/>
              <w:shd w:val="clear" w:color="auto" w:fill="auto"/>
              <w:jc w:val="left"/>
            </w:pPr>
            <w:r w:rsidRPr="0029479F">
              <w:t>Case study 4</w:t>
            </w:r>
          </w:p>
        </w:tc>
        <w:tc>
          <w:tcPr>
            <w:tcW w:w="7479" w:type="dxa"/>
          </w:tcPr>
          <w:p w:rsidR="00A97702" w:rsidRDefault="00A97702" w:rsidP="00DA1C9D">
            <w:pPr>
              <w:pStyle w:val="BlockTitle1"/>
              <w:shd w:val="clear" w:color="auto" w:fill="auto"/>
              <w:spacing w:after="60"/>
              <w:jc w:val="left"/>
            </w:pPr>
            <w:r w:rsidRPr="0029479F">
              <w:t xml:space="preserve">Application of soil vapour interim VOCC HILs and HSLs – </w:t>
            </w:r>
          </w:p>
          <w:p w:rsidR="00A97702" w:rsidRDefault="00A97702" w:rsidP="00DA1C9D">
            <w:pPr>
              <w:pStyle w:val="BlockTitle1"/>
              <w:shd w:val="clear" w:color="auto" w:fill="auto"/>
              <w:spacing w:before="0"/>
              <w:jc w:val="left"/>
              <w:rPr>
                <w:b w:val="0"/>
              </w:rPr>
            </w:pPr>
            <w:r w:rsidRPr="00CD0E41">
              <w:rPr>
                <w:b w:val="0"/>
              </w:rPr>
              <w:t>vapour intrusion assessment for a commercial building adjacent to industrial premises</w:t>
            </w:r>
          </w:p>
        </w:tc>
      </w:tr>
      <w:tr w:rsidR="00A97702" w:rsidTr="00DA1C9D">
        <w:tc>
          <w:tcPr>
            <w:tcW w:w="1809" w:type="dxa"/>
          </w:tcPr>
          <w:p w:rsidR="00A97702" w:rsidRDefault="00A97702" w:rsidP="00DA1C9D">
            <w:pPr>
              <w:pStyle w:val="BlockTitle1"/>
              <w:shd w:val="clear" w:color="auto" w:fill="auto"/>
              <w:jc w:val="left"/>
              <w:rPr>
                <w:b w:val="0"/>
              </w:rPr>
            </w:pPr>
            <w:r w:rsidRPr="00DB67FC">
              <w:t>Case study</w:t>
            </w:r>
            <w:r>
              <w:t xml:space="preserve"> </w:t>
            </w:r>
            <w:r w:rsidRPr="00DB67FC">
              <w:t>5</w:t>
            </w:r>
          </w:p>
        </w:tc>
        <w:tc>
          <w:tcPr>
            <w:tcW w:w="7479" w:type="dxa"/>
          </w:tcPr>
          <w:p w:rsidR="00A97702" w:rsidRDefault="00A97702" w:rsidP="00DA1C9D">
            <w:pPr>
              <w:pStyle w:val="BlockTitle1"/>
              <w:shd w:val="clear" w:color="auto" w:fill="auto"/>
              <w:spacing w:after="60"/>
              <w:jc w:val="left"/>
            </w:pPr>
            <w:r w:rsidRPr="00DC570A">
              <w:t xml:space="preserve">Application of HILs and EILs – </w:t>
            </w:r>
          </w:p>
          <w:p w:rsidR="00A97702" w:rsidRDefault="00A97702" w:rsidP="00DA1C9D">
            <w:pPr>
              <w:pStyle w:val="BlockTitle1"/>
              <w:shd w:val="clear" w:color="auto" w:fill="auto"/>
              <w:spacing w:before="0"/>
              <w:jc w:val="left"/>
              <w:rPr>
                <w:b w:val="0"/>
              </w:rPr>
            </w:pPr>
            <w:r w:rsidRPr="0029479F">
              <w:rPr>
                <w:b w:val="0"/>
              </w:rPr>
              <w:t>redevelopment of an industrial site for residential use</w:t>
            </w:r>
          </w:p>
        </w:tc>
      </w:tr>
    </w:tbl>
    <w:p w:rsidR="00A97702" w:rsidRDefault="00A97702" w:rsidP="00A97702">
      <w:pPr>
        <w:pStyle w:val="BlockTitle1"/>
        <w:shd w:val="clear" w:color="auto" w:fill="auto"/>
        <w:jc w:val="left"/>
        <w:rPr>
          <w:b w:val="0"/>
        </w:rPr>
      </w:pPr>
    </w:p>
    <w:p w:rsidR="00A97702" w:rsidRPr="008B0658" w:rsidRDefault="00A97702" w:rsidP="00A97702">
      <w:r w:rsidRPr="0029479F">
        <w:t xml:space="preserve">For the </w:t>
      </w:r>
      <w:r w:rsidRPr="009B5D7C">
        <w:t>purposes of illustration, selected summary data only is presented and it can be assumed that the raw data has been evaluated in accordance with the guidance in Section 11 Schedule B2 and that the data has been assessed as being accurate and representative of the site.</w:t>
      </w:r>
    </w:p>
    <w:p w:rsidR="00A97702" w:rsidRDefault="00A97702" w:rsidP="00A97702"/>
    <w:p w:rsidR="00A97702" w:rsidRDefault="00A97702" w:rsidP="00A97702">
      <w:pPr>
        <w:pStyle w:val="StyleBlockTitle1TopSinglesolidlineAuto05ptLinewid"/>
      </w:pPr>
      <w:r>
        <w:t>C</w:t>
      </w:r>
      <w:r w:rsidRPr="00AD0CDE">
        <w:t>ase study 1</w:t>
      </w:r>
      <w:r>
        <w:t xml:space="preserve"> </w:t>
      </w:r>
      <w:r w:rsidRPr="00447ABF">
        <w:t>- Assessment of asbestos contamination in soi</w:t>
      </w:r>
      <w:r w:rsidRPr="003639E2">
        <w:t xml:space="preserve">l – </w:t>
      </w:r>
    </w:p>
    <w:p w:rsidR="00A97702" w:rsidRDefault="00A97702" w:rsidP="00A97702">
      <w:pPr>
        <w:pStyle w:val="BlockTitle1"/>
        <w:pBdr>
          <w:top w:val="single" w:sz="4" w:space="6" w:color="auto"/>
          <w:left w:val="single" w:sz="4" w:space="4" w:color="auto"/>
          <w:bottom w:val="single" w:sz="4" w:space="6" w:color="auto"/>
          <w:right w:val="single" w:sz="4" w:space="4" w:color="auto"/>
        </w:pBdr>
        <w:shd w:val="clear" w:color="auto" w:fill="C6D9F1" w:themeFill="text2" w:themeFillTint="33"/>
        <w:spacing w:before="0"/>
      </w:pPr>
      <w:r w:rsidRPr="003639E2">
        <w:t>poor demolition practice</w:t>
      </w:r>
      <w:r>
        <w:t>s</w:t>
      </w:r>
      <w:r w:rsidRPr="003639E2">
        <w:t xml:space="preserve"> at a residential site</w:t>
      </w:r>
    </w:p>
    <w:p w:rsidR="00A97702" w:rsidRDefault="00A97702" w:rsidP="00A97702">
      <w:pPr>
        <w:pStyle w:val="BlockTitle"/>
        <w:pBdr>
          <w:top w:val="single" w:sz="4" w:space="6" w:color="auto"/>
          <w:left w:val="single" w:sz="4" w:space="4" w:color="auto"/>
          <w:bottom w:val="single" w:sz="4" w:space="6" w:color="auto"/>
          <w:right w:val="single" w:sz="4" w:space="4" w:color="auto"/>
        </w:pBdr>
        <w:jc w:val="both"/>
      </w:pPr>
      <w:r w:rsidRPr="00CA1888">
        <w:t xml:space="preserve">Site scenario </w:t>
      </w:r>
    </w:p>
    <w:p w:rsidR="00A97702" w:rsidRDefault="00A97702" w:rsidP="00A97702">
      <w:pPr>
        <w:pStyle w:val="text"/>
        <w:pBdr>
          <w:top w:val="single" w:sz="4" w:space="6" w:color="auto"/>
          <w:left w:val="single" w:sz="4" w:space="4" w:color="auto"/>
          <w:bottom w:val="single" w:sz="4" w:space="6" w:color="auto"/>
          <w:right w:val="single" w:sz="4" w:space="4" w:color="auto"/>
        </w:pBdr>
        <w:rPr>
          <w:lang w:val="en-US" w:eastAsia="en-US"/>
        </w:rPr>
      </w:pPr>
      <w:r w:rsidRPr="00AD0CDE">
        <w:rPr>
          <w:lang w:val="en-US" w:eastAsia="en-US"/>
        </w:rPr>
        <w:t xml:space="preserve">Typical </w:t>
      </w:r>
      <w:r>
        <w:rPr>
          <w:lang w:val="en-US" w:eastAsia="en-US"/>
        </w:rPr>
        <w:t xml:space="preserve">low density </w:t>
      </w:r>
      <w:r w:rsidRPr="00AD0CDE">
        <w:rPr>
          <w:lang w:val="en-US" w:eastAsia="en-US"/>
        </w:rPr>
        <w:t xml:space="preserve">residential site </w:t>
      </w:r>
      <w:r>
        <w:rPr>
          <w:lang w:val="en-US" w:eastAsia="en-US"/>
        </w:rPr>
        <w:t xml:space="preserve">(individual house site) </w:t>
      </w:r>
      <w:r w:rsidRPr="00AD0CDE">
        <w:rPr>
          <w:lang w:val="en-US" w:eastAsia="en-US"/>
        </w:rPr>
        <w:t>where poor demolition practices have resulted in fragments of bonded ACM being scattered over discrete area(s) of the site surface.  In this scenario, there are no substantial fill materials or other sources of potential contamination present at the site. The demolition has occurred in the recent past and no further soil disturbing activities</w:t>
      </w:r>
      <w:r>
        <w:rPr>
          <w:lang w:val="en-US" w:eastAsia="en-US"/>
        </w:rPr>
        <w:t>, including removal of sub-surface utilities,</w:t>
      </w:r>
      <w:r w:rsidRPr="00AD0CDE">
        <w:rPr>
          <w:lang w:val="en-US" w:eastAsia="en-US"/>
        </w:rPr>
        <w:t xml:space="preserve"> have taken place since the buildings were demolished.</w:t>
      </w:r>
    </w:p>
    <w:p w:rsidR="00A97702" w:rsidRDefault="00A97702" w:rsidP="00A97702">
      <w:pPr>
        <w:pStyle w:val="BlockTitle"/>
        <w:pBdr>
          <w:top w:val="single" w:sz="4" w:space="6" w:color="auto"/>
          <w:left w:val="single" w:sz="4" w:space="4" w:color="auto"/>
          <w:bottom w:val="single" w:sz="4" w:space="6" w:color="auto"/>
          <w:right w:val="single" w:sz="4" w:space="4" w:color="auto"/>
        </w:pBdr>
        <w:jc w:val="both"/>
      </w:pPr>
      <w:r w:rsidRPr="00CA1888">
        <w:t>Response</w:t>
      </w:r>
    </w:p>
    <w:p w:rsidR="00A97702" w:rsidRDefault="00A97702" w:rsidP="00A97702">
      <w:pPr>
        <w:pStyle w:val="text"/>
        <w:pBdr>
          <w:top w:val="single" w:sz="4" w:space="6" w:color="auto"/>
          <w:left w:val="single" w:sz="4" w:space="4" w:color="auto"/>
          <w:bottom w:val="single" w:sz="4" w:space="6" w:color="auto"/>
          <w:right w:val="single" w:sz="4" w:space="4" w:color="auto"/>
        </w:pBdr>
      </w:pPr>
      <w:r w:rsidRPr="000834D2">
        <w:t xml:space="preserve">Conduct a PSI and </w:t>
      </w:r>
      <w:r>
        <w:t xml:space="preserve">a grid-based </w:t>
      </w:r>
      <w:r w:rsidRPr="000834D2">
        <w:t>site inspection survey (walkover) including detailed notes of bonded ACM distribution and conditi</w:t>
      </w:r>
      <w:r w:rsidR="00134B66">
        <w:t>on and nature of surface soils.</w:t>
      </w:r>
    </w:p>
    <w:p w:rsidR="00A97702" w:rsidRDefault="00A97702" w:rsidP="00A97702">
      <w:pPr>
        <w:pStyle w:val="text"/>
        <w:pBdr>
          <w:top w:val="single" w:sz="4" w:space="6" w:color="auto"/>
          <w:left w:val="single" w:sz="4" w:space="4" w:color="auto"/>
          <w:bottom w:val="single" w:sz="4" w:space="6" w:color="auto"/>
          <w:right w:val="single" w:sz="4" w:space="4" w:color="auto"/>
        </w:pBdr>
      </w:pPr>
      <w:r w:rsidRPr="000834D2">
        <w:t>A DSI is not necessary provided that the contamination is only at surface/near surface and the bonded ACM is i</w:t>
      </w:r>
      <w:r w:rsidR="00134B66">
        <w:t>n good condition (non-friable).</w:t>
      </w:r>
    </w:p>
    <w:p w:rsidR="00A97702" w:rsidRDefault="00A97702" w:rsidP="00A97702">
      <w:pPr>
        <w:pStyle w:val="text"/>
        <w:pBdr>
          <w:top w:val="single" w:sz="4" w:space="6" w:color="auto"/>
          <w:left w:val="single" w:sz="4" w:space="4" w:color="auto"/>
          <w:bottom w:val="single" w:sz="4" w:space="6" w:color="auto"/>
          <w:right w:val="single" w:sz="4" w:space="4" w:color="auto"/>
        </w:pBdr>
      </w:pPr>
      <w:r w:rsidRPr="000834D2">
        <w:t>The extent of the affected area</w:t>
      </w:r>
      <w:r>
        <w:t>(</w:t>
      </w:r>
      <w:r w:rsidRPr="000834D2">
        <w:t>s</w:t>
      </w:r>
      <w:r>
        <w:t>)</w:t>
      </w:r>
      <w:r w:rsidRPr="000834D2">
        <w:t xml:space="preserve"> should be carefully documented</w:t>
      </w:r>
      <w:r>
        <w:t xml:space="preserve"> and all visible asbestos removed.</w:t>
      </w:r>
      <w:r w:rsidRPr="000834D2">
        <w:t xml:space="preserve"> As the site walkover confirmed that the surface soils were sandy, fragments of bonded ACM can be removed </w:t>
      </w:r>
      <w:r>
        <w:t xml:space="preserve">effectively </w:t>
      </w:r>
      <w:r w:rsidRPr="000834D2">
        <w:t xml:space="preserve">by raking and hand-picking (refer WA DoH (2009) for details of recommended methodology). Sufficient </w:t>
      </w:r>
      <w:r>
        <w:t xml:space="preserve">raking </w:t>
      </w:r>
      <w:r w:rsidRPr="000834D2">
        <w:t xml:space="preserve">passes should be conducted to ensure that the raked depth </w:t>
      </w:r>
      <w:r>
        <w:t xml:space="preserve">(approximately 10 cm) </w:t>
      </w:r>
      <w:r w:rsidR="00134B66">
        <w:t>is free of visible asbestos.</w:t>
      </w:r>
    </w:p>
    <w:p w:rsidR="00A97702" w:rsidRDefault="00A97702" w:rsidP="00A97702">
      <w:pPr>
        <w:pStyle w:val="text"/>
        <w:pBdr>
          <w:top w:val="single" w:sz="4" w:space="6" w:color="auto"/>
          <w:left w:val="single" w:sz="4" w:space="4" w:color="auto"/>
          <w:bottom w:val="single" w:sz="4" w:space="6" w:color="auto"/>
          <w:right w:val="single" w:sz="4" w:space="4" w:color="auto"/>
        </w:pBdr>
      </w:pPr>
      <w:r>
        <w:lastRenderedPageBreak/>
        <w:t>In this scenario, it is not necessary to sample and analyse surface soils to confirm that no asbestos fibres are present given that the only type of asbestos present is bonded ACM and that it is not severely weathered.</w:t>
      </w:r>
    </w:p>
    <w:p w:rsidR="00A97702" w:rsidRDefault="00A97702" w:rsidP="00A97702">
      <w:pPr>
        <w:pStyle w:val="text"/>
      </w:pPr>
    </w:p>
    <w:p w:rsidR="00A97702" w:rsidRDefault="00A97702" w:rsidP="00A9770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97702" w:rsidTr="00DA1C9D">
        <w:tc>
          <w:tcPr>
            <w:tcW w:w="9288" w:type="dxa"/>
          </w:tcPr>
          <w:p w:rsidR="00A97702" w:rsidRDefault="00A97702" w:rsidP="00DA1C9D">
            <w:pPr>
              <w:pStyle w:val="StyleBlockTitle1TopSinglesolidlineAuto05ptLinewid"/>
            </w:pPr>
            <w:r>
              <w:lastRenderedPageBreak/>
              <w:t xml:space="preserve">Case study 2 </w:t>
            </w:r>
            <w:r w:rsidRPr="00447ABF">
              <w:t xml:space="preserve">- </w:t>
            </w:r>
            <w:r w:rsidRPr="00813F3C">
              <w:t>Assessment</w:t>
            </w:r>
            <w:r w:rsidRPr="00447ABF">
              <w:t xml:space="preserve"> of asbestos contamination in soil – </w:t>
            </w:r>
            <w:r>
              <w:t>redevelopment of an industrial site for residential use</w:t>
            </w:r>
          </w:p>
          <w:p w:rsidR="00A97702" w:rsidRPr="00B2770E" w:rsidRDefault="00A97702" w:rsidP="00DA1C9D">
            <w:pPr>
              <w:pStyle w:val="BlockTitle"/>
            </w:pPr>
            <w:r w:rsidRPr="00B2770E">
              <w:t>Site Scenario</w:t>
            </w:r>
          </w:p>
          <w:p w:rsidR="00A97702" w:rsidRDefault="00A97702" w:rsidP="00DA1C9D">
            <w:pPr>
              <w:pStyle w:val="text"/>
            </w:pPr>
            <w:r w:rsidRPr="000834D2">
              <w:t>A former industrial site is proposed for redevelopment for high density residential land use.  The site was historically filled in some areas with material containing bonded ACM to approximately 3 m depth (possibly as a result of poor demolition practices).  More recently, the contaminated fill was covered by approximately 0.5 m of clean soil a</w:t>
            </w:r>
            <w:r>
              <w:t>s an interim management measure</w:t>
            </w:r>
            <w:r w:rsidRPr="000834D2">
              <w:t>. The proposed development will require that there is major site excavation to &gt;3 m as well as alteration of the land form. Although broken, the bonded ACM fragments appear in reasonable condition and are not easily crumbled</w:t>
            </w:r>
            <w:r>
              <w:t xml:space="preserve"> i.e. not fibrous asbestos</w:t>
            </w:r>
            <w:r w:rsidRPr="000834D2">
              <w:t xml:space="preserve">. There is no evidence from the site history or direct observation during the initial site walkover that </w:t>
            </w:r>
            <w:r>
              <w:t xml:space="preserve">other </w:t>
            </w:r>
            <w:r w:rsidRPr="000834D2">
              <w:t xml:space="preserve">fibrous asbestos </w:t>
            </w:r>
            <w:r>
              <w:t>materials</w:t>
            </w:r>
            <w:r w:rsidRPr="000834D2">
              <w:t xml:space="preserve"> (such as insulation </w:t>
            </w:r>
            <w:r>
              <w:t xml:space="preserve">or woven </w:t>
            </w:r>
            <w:r w:rsidRPr="000834D2">
              <w:t>materials) are present on the site. Other non-asbestos so</w:t>
            </w:r>
            <w:r w:rsidR="00134B66">
              <w:t>il contaminants may be present.</w:t>
            </w:r>
          </w:p>
          <w:p w:rsidR="00A97702" w:rsidRPr="00B2770E" w:rsidRDefault="00A97702" w:rsidP="00DA1C9D">
            <w:pPr>
              <w:pStyle w:val="BlockTitle"/>
            </w:pPr>
            <w:r w:rsidRPr="00B2770E">
              <w:t>Response</w:t>
            </w:r>
          </w:p>
          <w:p w:rsidR="00A97702" w:rsidRPr="000834D2" w:rsidRDefault="00A97702" w:rsidP="00DA1C9D">
            <w:pPr>
              <w:pStyle w:val="text"/>
            </w:pPr>
            <w:r w:rsidRPr="000834D2">
              <w:t>In this redevelopment scenario, there are two potential options:</w:t>
            </w:r>
          </w:p>
          <w:p w:rsidR="00A97702" w:rsidRPr="000834D2" w:rsidRDefault="00A97702" w:rsidP="00A97702">
            <w:pPr>
              <w:pStyle w:val="text"/>
              <w:numPr>
                <w:ilvl w:val="0"/>
                <w:numId w:val="29"/>
              </w:numPr>
              <w:spacing w:before="0" w:after="0"/>
              <w:ind w:left="357" w:hanging="357"/>
            </w:pPr>
            <w:r w:rsidRPr="000834D2">
              <w:t xml:space="preserve">Option A - excavate </w:t>
            </w:r>
            <w:r w:rsidRPr="000834D2">
              <w:rPr>
                <w:u w:val="single"/>
              </w:rPr>
              <w:t>all</w:t>
            </w:r>
            <w:r w:rsidRPr="000834D2">
              <w:t xml:space="preserve"> the affected fill (and validate the work undertaken including that no visible asbestos is present on the site surface) and either </w:t>
            </w:r>
            <w:r>
              <w:t xml:space="preserve">manage by </w:t>
            </w:r>
            <w:r w:rsidRPr="000834D2">
              <w:t>contain</w:t>
            </w:r>
            <w:r>
              <w:t>ment</w:t>
            </w:r>
            <w:r w:rsidRPr="000834D2">
              <w:t xml:space="preserve"> on-site or off-site </w:t>
            </w:r>
            <w:r>
              <w:t>disposal</w:t>
            </w:r>
            <w:r w:rsidRPr="000834D2">
              <w:t xml:space="preserve"> </w:t>
            </w:r>
            <w:r>
              <w:t>at</w:t>
            </w:r>
            <w:r w:rsidRPr="000834D2">
              <w:t xml:space="preserve"> an appropriate waste facility</w:t>
            </w:r>
          </w:p>
          <w:p w:rsidR="00A97702" w:rsidRPr="000834D2" w:rsidRDefault="00A97702" w:rsidP="00A97702">
            <w:pPr>
              <w:pStyle w:val="text"/>
              <w:numPr>
                <w:ilvl w:val="0"/>
                <w:numId w:val="29"/>
              </w:numPr>
              <w:spacing w:before="60" w:after="0"/>
              <w:ind w:left="357" w:hanging="357"/>
            </w:pPr>
            <w:r w:rsidRPr="000834D2">
              <w:t xml:space="preserve">Option B - carry out a DSI </w:t>
            </w:r>
            <w:r>
              <w:t>to delineate the</w:t>
            </w:r>
            <w:r w:rsidRPr="000834D2">
              <w:t xml:space="preserve"> volume of contaminated soil requiring on-site c</w:t>
            </w:r>
            <w:r w:rsidR="00134B66">
              <w:t>ontainment or off-site disposal</w:t>
            </w:r>
          </w:p>
          <w:p w:rsidR="00A97702" w:rsidRPr="000834D2" w:rsidRDefault="00A97702" w:rsidP="00DA1C9D">
            <w:pPr>
              <w:pStyle w:val="text"/>
            </w:pPr>
            <w:r w:rsidRPr="000834D2">
              <w:t xml:space="preserve">The size of the site, the potential volume of affected fill and the practicality </w:t>
            </w:r>
            <w:r>
              <w:t>(</w:t>
            </w:r>
            <w:r w:rsidRPr="000834D2">
              <w:t>including regulatory requirements</w:t>
            </w:r>
            <w:r>
              <w:t>)</w:t>
            </w:r>
            <w:r w:rsidRPr="000834D2">
              <w:t xml:space="preserve"> of containing asbestos</w:t>
            </w:r>
            <w:r>
              <w:t>-</w:t>
            </w:r>
            <w:r w:rsidRPr="000834D2">
              <w:t>contaminated soil on-site, are likely t</w:t>
            </w:r>
            <w:r w:rsidR="00134B66">
              <w:t>o influence the decision taken.</w:t>
            </w:r>
          </w:p>
          <w:p w:rsidR="00A97702" w:rsidRDefault="00A97702" w:rsidP="00DA1C9D">
            <w:pPr>
              <w:pStyle w:val="text"/>
            </w:pPr>
          </w:p>
          <w:p w:rsidR="00A97702" w:rsidRDefault="00A97702" w:rsidP="00DA1C9D">
            <w:pPr>
              <w:pStyle w:val="text"/>
            </w:pPr>
            <w:r w:rsidRPr="000834D2">
              <w:t xml:space="preserve">The following steps outline </w:t>
            </w:r>
            <w:r>
              <w:t>O</w:t>
            </w:r>
            <w:r w:rsidRPr="000834D2">
              <w:t xml:space="preserve">ption B </w:t>
            </w:r>
            <w:r>
              <w:t xml:space="preserve">- </w:t>
            </w:r>
            <w:r w:rsidRPr="000834D2">
              <w:t xml:space="preserve">the </w:t>
            </w:r>
            <w:r>
              <w:t>DSI approach</w:t>
            </w:r>
            <w:r w:rsidR="00134B66">
              <w:t>:</w:t>
            </w:r>
          </w:p>
          <w:p w:rsidR="00A97702" w:rsidRDefault="00A97702" w:rsidP="00A97702">
            <w:pPr>
              <w:pStyle w:val="Numbered"/>
              <w:tabs>
                <w:tab w:val="clear" w:pos="1080"/>
                <w:tab w:val="num" w:pos="426"/>
              </w:tabs>
              <w:ind w:left="426" w:hanging="426"/>
            </w:pPr>
            <w:r>
              <w:rPr>
                <w:b/>
                <w:i/>
              </w:rPr>
              <w:t>Preliminary site investigation</w:t>
            </w:r>
            <w:r w:rsidRPr="000834D2">
              <w:t xml:space="preserve"> </w:t>
            </w:r>
            <w:r>
              <w:t>–</w:t>
            </w:r>
            <w:r w:rsidRPr="000834D2">
              <w:t xml:space="preserve"> </w:t>
            </w:r>
            <w:r>
              <w:t>desktop study and detailed site inspection</w:t>
            </w:r>
          </w:p>
          <w:p w:rsidR="00A97702" w:rsidRDefault="00A97702" w:rsidP="00A97702">
            <w:pPr>
              <w:pStyle w:val="Numbered"/>
              <w:numPr>
                <w:ilvl w:val="0"/>
                <w:numId w:val="31"/>
              </w:numPr>
              <w:tabs>
                <w:tab w:val="clear" w:pos="1146"/>
                <w:tab w:val="num" w:pos="709"/>
              </w:tabs>
              <w:spacing w:before="0"/>
              <w:ind w:left="709" w:hanging="284"/>
            </w:pPr>
            <w:r>
              <w:t>collect information on the location, condition and amount of bonded ACM present on the site surface to inform the SAQP for the DSI.</w:t>
            </w:r>
          </w:p>
          <w:p w:rsidR="00A97702" w:rsidRDefault="00A97702" w:rsidP="00A97702">
            <w:pPr>
              <w:pStyle w:val="Numbered"/>
              <w:tabs>
                <w:tab w:val="clear" w:pos="1080"/>
                <w:tab w:val="num" w:pos="426"/>
              </w:tabs>
              <w:ind w:left="426" w:hanging="426"/>
            </w:pPr>
            <w:r w:rsidRPr="000834D2">
              <w:rPr>
                <w:b/>
                <w:i/>
              </w:rPr>
              <w:t>Prepar</w:t>
            </w:r>
            <w:r>
              <w:rPr>
                <w:b/>
                <w:i/>
              </w:rPr>
              <w:t>ation of</w:t>
            </w:r>
            <w:r w:rsidRPr="000834D2">
              <w:rPr>
                <w:b/>
                <w:i/>
              </w:rPr>
              <w:t xml:space="preserve"> the </w:t>
            </w:r>
            <w:r>
              <w:rPr>
                <w:b/>
                <w:i/>
              </w:rPr>
              <w:t>Sampling and Analysis Quality Plan (</w:t>
            </w:r>
            <w:r w:rsidRPr="000834D2">
              <w:rPr>
                <w:b/>
                <w:i/>
              </w:rPr>
              <w:t>SAQP</w:t>
            </w:r>
            <w:r>
              <w:rPr>
                <w:b/>
                <w:i/>
              </w:rPr>
              <w:t>)</w:t>
            </w:r>
            <w:r w:rsidRPr="000834D2">
              <w:t xml:space="preserve"> - A </w:t>
            </w:r>
            <w:r>
              <w:t>conceptual site model (</w:t>
            </w:r>
            <w:r w:rsidRPr="000834D2">
              <w:t>CSM</w:t>
            </w:r>
            <w:r>
              <w:t>)</w:t>
            </w:r>
            <w:r w:rsidRPr="000834D2">
              <w:t xml:space="preserve"> and </w:t>
            </w:r>
            <w:r>
              <w:t>data quality objectives (</w:t>
            </w:r>
            <w:r w:rsidRPr="000834D2">
              <w:t>DQOs</w:t>
            </w:r>
            <w:r>
              <w:t>)</w:t>
            </w:r>
            <w:r w:rsidRPr="000834D2">
              <w:t xml:space="preserve"> should be developed which identif</w:t>
            </w:r>
            <w:r>
              <w:t>y</w:t>
            </w:r>
            <w:r w:rsidRPr="000834D2">
              <w:t xml:space="preserve"> all the site-specific contaminants of concern including relevant forms of asbestos and the potential human he</w:t>
            </w:r>
            <w:r w:rsidR="00134B66">
              <w:t>alth risks (refer Schedule B2).</w:t>
            </w:r>
          </w:p>
          <w:p w:rsidR="00A97702" w:rsidRDefault="00A97702" w:rsidP="00A97702">
            <w:pPr>
              <w:pStyle w:val="Numbered"/>
              <w:numPr>
                <w:ilvl w:val="0"/>
                <w:numId w:val="30"/>
              </w:numPr>
              <w:tabs>
                <w:tab w:val="clear" w:pos="1146"/>
                <w:tab w:val="num" w:pos="709"/>
              </w:tabs>
              <w:spacing w:before="0"/>
              <w:ind w:left="709" w:hanging="284"/>
            </w:pPr>
            <w:r>
              <w:t>t</w:t>
            </w:r>
            <w:r w:rsidRPr="000834D2">
              <w:t xml:space="preserve">he sampling program should account for the potentially non-homogenous distribution </w:t>
            </w:r>
            <w:r>
              <w:t xml:space="preserve">and condition </w:t>
            </w:r>
            <w:r w:rsidRPr="000834D2">
              <w:t xml:space="preserve">of bonded ACM in soil, for example using </w:t>
            </w:r>
            <w:r>
              <w:t xml:space="preserve">judgemental sampling involving a </w:t>
            </w:r>
            <w:r w:rsidRPr="000834D2">
              <w:t>detailed test pit and trenching program to identify the la</w:t>
            </w:r>
            <w:r w:rsidR="00134B66">
              <w:t>teral and vertical distribution</w:t>
            </w:r>
          </w:p>
          <w:p w:rsidR="00A97702" w:rsidRDefault="00A97702" w:rsidP="00A97702">
            <w:pPr>
              <w:pStyle w:val="Numbered"/>
              <w:numPr>
                <w:ilvl w:val="0"/>
                <w:numId w:val="30"/>
              </w:numPr>
              <w:tabs>
                <w:tab w:val="clear" w:pos="1146"/>
                <w:tab w:val="num" w:pos="709"/>
              </w:tabs>
              <w:spacing w:before="60"/>
              <w:ind w:left="709" w:hanging="284"/>
            </w:pPr>
            <w:r>
              <w:t>p</w:t>
            </w:r>
            <w:r w:rsidRPr="000834D2">
              <w:t xml:space="preserve">hotographic logging of test pits and trenches will assist documentation for site assessment  </w:t>
            </w:r>
          </w:p>
          <w:p w:rsidR="00A97702" w:rsidRDefault="00A97702" w:rsidP="00A97702">
            <w:pPr>
              <w:pStyle w:val="Numbered"/>
              <w:numPr>
                <w:ilvl w:val="0"/>
                <w:numId w:val="30"/>
              </w:numPr>
              <w:tabs>
                <w:tab w:val="clear" w:pos="1146"/>
                <w:tab w:val="num" w:pos="709"/>
              </w:tabs>
              <w:spacing w:before="60"/>
              <w:ind w:left="709" w:hanging="284"/>
            </w:pPr>
            <w:r>
              <w:t>q</w:t>
            </w:r>
            <w:r w:rsidRPr="000834D2">
              <w:t xml:space="preserve">ualitative laboratory analysis may be required to confirm that representative pieces of </w:t>
            </w:r>
            <w:r>
              <w:t xml:space="preserve">suspect </w:t>
            </w:r>
            <w:r w:rsidRPr="000834D2">
              <w:t xml:space="preserve">bonded ACM and </w:t>
            </w:r>
            <w:r>
              <w:t xml:space="preserve">other </w:t>
            </w:r>
            <w:r w:rsidRPr="000834D2">
              <w:t>suspect material</w:t>
            </w:r>
            <w:r>
              <w:t xml:space="preserve"> (if found during the site walkover or during test pitting and trenching)</w:t>
            </w:r>
            <w:r w:rsidRPr="000834D2">
              <w:t xml:space="preserve"> contain asbestos</w:t>
            </w:r>
            <w:r w:rsidR="00134B66">
              <w:t>.</w:t>
            </w:r>
          </w:p>
          <w:p w:rsidR="00A97702" w:rsidRDefault="00A97702" w:rsidP="00A97702">
            <w:pPr>
              <w:pStyle w:val="Numbered"/>
              <w:numPr>
                <w:ilvl w:val="0"/>
                <w:numId w:val="30"/>
              </w:numPr>
              <w:tabs>
                <w:tab w:val="clear" w:pos="1146"/>
                <w:tab w:val="num" w:pos="709"/>
              </w:tabs>
              <w:spacing w:before="60"/>
              <w:ind w:left="709" w:hanging="284"/>
            </w:pPr>
            <w:r>
              <w:t>s</w:t>
            </w:r>
            <w:r w:rsidRPr="000834D2">
              <w:t xml:space="preserve">oil sampling for the detection of asbestos fibres </w:t>
            </w:r>
            <w:r>
              <w:t xml:space="preserve">released from fragments of bonded ACM </w:t>
            </w:r>
            <w:r w:rsidRPr="000834D2">
              <w:t>is not required</w:t>
            </w:r>
            <w:r>
              <w:t xml:space="preserve"> where the bonded ACM is in good/reasonable condition</w:t>
            </w:r>
            <w:r w:rsidRPr="000834D2">
              <w:t>.</w:t>
            </w:r>
          </w:p>
          <w:p w:rsidR="00A97702" w:rsidRDefault="00A97702" w:rsidP="00A97702">
            <w:pPr>
              <w:pStyle w:val="Numbered"/>
              <w:numPr>
                <w:ilvl w:val="0"/>
                <w:numId w:val="30"/>
              </w:numPr>
              <w:tabs>
                <w:tab w:val="clear" w:pos="1146"/>
                <w:tab w:val="num" w:pos="709"/>
              </w:tabs>
              <w:spacing w:before="60"/>
              <w:ind w:left="709" w:hanging="284"/>
            </w:pPr>
            <w:r>
              <w:t>i</w:t>
            </w:r>
            <w:r w:rsidRPr="000834D2">
              <w:t xml:space="preserve">f fibrous asbestos </w:t>
            </w:r>
            <w:r>
              <w:t xml:space="preserve">(such as severely weathered bonded ACM or insulation materials) </w:t>
            </w:r>
            <w:r w:rsidRPr="000834D2">
              <w:lastRenderedPageBreak/>
              <w:t xml:space="preserve">is not </w:t>
            </w:r>
            <w:r>
              <w:t>observed during the field sampling program or indicated by the laboratory analysis of the selected suspect materials</w:t>
            </w:r>
            <w:r w:rsidRPr="000834D2">
              <w:t>, no further consideration or action for th</w:t>
            </w:r>
            <w:r w:rsidR="00134B66">
              <w:t>is form of asbestos is required</w:t>
            </w:r>
          </w:p>
          <w:p w:rsidR="00A97702" w:rsidRDefault="00A97702" w:rsidP="00A97702">
            <w:pPr>
              <w:pStyle w:val="Numbered"/>
              <w:numPr>
                <w:ilvl w:val="0"/>
                <w:numId w:val="30"/>
              </w:numPr>
              <w:tabs>
                <w:tab w:val="clear" w:pos="1146"/>
                <w:tab w:val="num" w:pos="709"/>
              </w:tabs>
              <w:spacing w:before="60"/>
              <w:ind w:left="709" w:hanging="284"/>
            </w:pPr>
            <w:r>
              <w:t>i</w:t>
            </w:r>
            <w:r w:rsidRPr="000834D2">
              <w:t xml:space="preserve">f </w:t>
            </w:r>
            <w:r w:rsidRPr="0083788B">
              <w:t>asbestos fibres</w:t>
            </w:r>
            <w:r w:rsidRPr="000834D2">
              <w:t xml:space="preserve"> are detected by qualitative laboratory analysis, appropriate remediation and management action will be required</w:t>
            </w:r>
            <w:r>
              <w:t xml:space="preserve"> (a conservative management approach which does not rely on extensive soil sampling for the presence/absence of asbestos fibres is recommended).</w:t>
            </w:r>
          </w:p>
          <w:p w:rsidR="00A97702" w:rsidRDefault="00A97702" w:rsidP="00A97702">
            <w:pPr>
              <w:pStyle w:val="Numbered"/>
              <w:tabs>
                <w:tab w:val="clear" w:pos="1080"/>
                <w:tab w:val="num" w:pos="426"/>
              </w:tabs>
              <w:ind w:left="426" w:hanging="426"/>
            </w:pPr>
            <w:r w:rsidRPr="000834D2">
              <w:rPr>
                <w:b/>
                <w:i/>
              </w:rPr>
              <w:t>Intrusive investigation</w:t>
            </w:r>
            <w:r w:rsidRPr="000834D2">
              <w:t xml:space="preserve"> </w:t>
            </w:r>
            <w:r w:rsidRPr="0029479F">
              <w:rPr>
                <w:b/>
                <w:i/>
              </w:rPr>
              <w:t>to delineate impacted area</w:t>
            </w:r>
          </w:p>
          <w:p w:rsidR="00A97702" w:rsidRDefault="00A97702" w:rsidP="00A97702">
            <w:pPr>
              <w:pStyle w:val="Numbered"/>
              <w:numPr>
                <w:ilvl w:val="0"/>
                <w:numId w:val="32"/>
              </w:numPr>
              <w:tabs>
                <w:tab w:val="clear" w:pos="1146"/>
                <w:tab w:val="num" w:pos="709"/>
              </w:tabs>
              <w:spacing w:before="0"/>
              <w:ind w:left="709" w:hanging="284"/>
            </w:pPr>
            <w:r>
              <w:t>g</w:t>
            </w:r>
            <w:r w:rsidRPr="000834D2">
              <w:t xml:space="preserve">ravimetric analysis of each fill area will be required and the bonded ACM results </w:t>
            </w:r>
            <w:r>
              <w:t xml:space="preserve">for each area </w:t>
            </w:r>
            <w:r w:rsidRPr="000834D2">
              <w:t>compared with the relevant screening level</w:t>
            </w:r>
          </w:p>
          <w:p w:rsidR="00A97702" w:rsidRDefault="00A97702" w:rsidP="00A97702">
            <w:pPr>
              <w:pStyle w:val="Numbered"/>
              <w:numPr>
                <w:ilvl w:val="0"/>
                <w:numId w:val="32"/>
              </w:numPr>
              <w:tabs>
                <w:tab w:val="clear" w:pos="1146"/>
                <w:tab w:val="num" w:pos="709"/>
              </w:tabs>
              <w:spacing w:before="60"/>
              <w:ind w:left="709" w:hanging="284"/>
            </w:pPr>
            <w:r>
              <w:t xml:space="preserve">a weight-of-evidence approach should be adopted for the assessment with consideration given to the distribution of different fill types, </w:t>
            </w:r>
            <w:r w:rsidRPr="000834D2">
              <w:t>the heterogeneity of the contamination (including condition of bonded ACM) and the uncertainty associate</w:t>
            </w:r>
            <w:r w:rsidR="00134B66">
              <w:t>d with the sampling methodology</w:t>
            </w:r>
          </w:p>
          <w:p w:rsidR="00A97702" w:rsidRDefault="00A97702" w:rsidP="00A97702">
            <w:pPr>
              <w:pStyle w:val="Numbered"/>
              <w:numPr>
                <w:ilvl w:val="0"/>
                <w:numId w:val="32"/>
              </w:numPr>
              <w:tabs>
                <w:tab w:val="clear" w:pos="1146"/>
                <w:tab w:val="num" w:pos="709"/>
              </w:tabs>
              <w:spacing w:before="60"/>
              <w:ind w:left="709" w:hanging="284"/>
            </w:pPr>
            <w:r>
              <w:t>i</w:t>
            </w:r>
            <w:r w:rsidRPr="000834D2">
              <w:t>f there is uncertainty that the screening level is exceeded, additional systematic sampling and gravimetric determination could be undertaken or a conservative approach to management adopted</w:t>
            </w:r>
          </w:p>
          <w:p w:rsidR="00A97702" w:rsidRDefault="00A97702" w:rsidP="00A97702">
            <w:pPr>
              <w:pStyle w:val="Numbered"/>
              <w:numPr>
                <w:ilvl w:val="0"/>
                <w:numId w:val="32"/>
              </w:numPr>
              <w:tabs>
                <w:tab w:val="clear" w:pos="1146"/>
                <w:tab w:val="num" w:pos="709"/>
              </w:tabs>
              <w:spacing w:before="60"/>
              <w:ind w:left="709" w:hanging="284"/>
            </w:pPr>
            <w:r>
              <w:t xml:space="preserve">areas where the </w:t>
            </w:r>
            <w:r w:rsidRPr="000834D2">
              <w:t>screening levels are not exceeded require no further action or assessment in relation to asbestos other than ensuring that no visible asbestos is present at surface</w:t>
            </w:r>
            <w:r>
              <w:t>.</w:t>
            </w:r>
          </w:p>
          <w:p w:rsidR="00A97702" w:rsidRPr="00CA4D0A" w:rsidRDefault="00A97702" w:rsidP="00A97702">
            <w:pPr>
              <w:pStyle w:val="Numbered"/>
              <w:tabs>
                <w:tab w:val="clear" w:pos="1080"/>
                <w:tab w:val="num" w:pos="426"/>
              </w:tabs>
              <w:ind w:left="426" w:hanging="426"/>
            </w:pPr>
            <w:r w:rsidRPr="00A3774F">
              <w:rPr>
                <w:b/>
                <w:i/>
              </w:rPr>
              <w:t>Management</w:t>
            </w:r>
            <w:r>
              <w:rPr>
                <w:b/>
                <w:i/>
              </w:rPr>
              <w:t>/remediation</w:t>
            </w:r>
            <w:r w:rsidRPr="00A3774F">
              <w:rPr>
                <w:b/>
                <w:i/>
              </w:rPr>
              <w:t xml:space="preserve"> </w:t>
            </w:r>
            <w:r>
              <w:t>of areas of elevated levels of bonded ACM and/or fibrous asbestos by</w:t>
            </w:r>
          </w:p>
          <w:p w:rsidR="00A97702" w:rsidRDefault="00A97702" w:rsidP="00A97702">
            <w:pPr>
              <w:pStyle w:val="Numbered"/>
              <w:numPr>
                <w:ilvl w:val="0"/>
                <w:numId w:val="32"/>
              </w:numPr>
              <w:tabs>
                <w:tab w:val="clear" w:pos="1146"/>
                <w:tab w:val="num" w:pos="709"/>
              </w:tabs>
              <w:spacing w:before="0"/>
              <w:ind w:left="709" w:hanging="284"/>
            </w:pPr>
            <w:r>
              <w:t>bulk screening of impacted site soils to remove bonded ACM</w:t>
            </w:r>
            <w:r w:rsidRPr="00CA4D0A">
              <w:t xml:space="preserve"> </w:t>
            </w:r>
            <w:r>
              <w:t>(only feasible for sandy soils)</w:t>
            </w:r>
          </w:p>
          <w:p w:rsidR="00A97702" w:rsidRDefault="00A97702" w:rsidP="00A97702">
            <w:pPr>
              <w:pStyle w:val="Numbered"/>
              <w:numPr>
                <w:ilvl w:val="0"/>
                <w:numId w:val="32"/>
              </w:numPr>
              <w:tabs>
                <w:tab w:val="clear" w:pos="1146"/>
                <w:tab w:val="num" w:pos="709"/>
              </w:tabs>
              <w:spacing w:before="60"/>
              <w:ind w:left="709" w:hanging="284"/>
            </w:pPr>
            <w:r w:rsidRPr="00CA4D0A">
              <w:t>on-site containment in accordance with jurisdictional requirements</w:t>
            </w:r>
            <w:r w:rsidRPr="00CA4D0A">
              <w:rPr>
                <w:vertAlign w:val="superscript"/>
              </w:rPr>
              <w:t>1</w:t>
            </w:r>
            <w:r w:rsidR="00134B66">
              <w:t xml:space="preserve"> or</w:t>
            </w:r>
          </w:p>
          <w:p w:rsidR="00A97702" w:rsidRDefault="00A97702" w:rsidP="00A97702">
            <w:pPr>
              <w:pStyle w:val="Numbered"/>
              <w:numPr>
                <w:ilvl w:val="0"/>
                <w:numId w:val="32"/>
              </w:numPr>
              <w:tabs>
                <w:tab w:val="clear" w:pos="1146"/>
                <w:tab w:val="num" w:pos="709"/>
              </w:tabs>
              <w:spacing w:before="60"/>
              <w:ind w:left="709" w:hanging="284"/>
            </w:pPr>
            <w:r w:rsidRPr="00CA4D0A">
              <w:t>disposal to an appropr</w:t>
            </w:r>
            <w:r w:rsidR="00134B66">
              <w:t>iate waste facility</w:t>
            </w:r>
          </w:p>
          <w:p w:rsidR="00A97702" w:rsidRPr="000F4744" w:rsidRDefault="00A97702" w:rsidP="00A97702">
            <w:pPr>
              <w:pStyle w:val="Numbered"/>
              <w:numPr>
                <w:ilvl w:val="0"/>
                <w:numId w:val="32"/>
              </w:numPr>
              <w:tabs>
                <w:tab w:val="clear" w:pos="1146"/>
                <w:tab w:val="num" w:pos="709"/>
              </w:tabs>
              <w:spacing w:before="60" w:after="60"/>
              <w:ind w:left="709" w:hanging="284"/>
            </w:pPr>
            <w:r>
              <w:t>n</w:t>
            </w:r>
            <w:r w:rsidRPr="00CA4D0A">
              <w:t>o visible asbestos should be present</w:t>
            </w:r>
            <w:r>
              <w:t xml:space="preserve"> at the completion of remediation works.</w:t>
            </w:r>
          </w:p>
        </w:tc>
      </w:tr>
      <w:tr w:rsidR="00A97702" w:rsidRPr="00DA71A2" w:rsidTr="00DA1C9D">
        <w:tc>
          <w:tcPr>
            <w:tcW w:w="9288" w:type="dxa"/>
          </w:tcPr>
          <w:p w:rsidR="00A97702" w:rsidRPr="00DA71A2" w:rsidRDefault="00A97702" w:rsidP="00DA1C9D">
            <w:pPr>
              <w:pStyle w:val="Footnote"/>
              <w:spacing w:line="180" w:lineRule="auto"/>
              <w:ind w:left="284" w:hanging="142"/>
              <w:rPr>
                <w:sz w:val="28"/>
                <w:szCs w:val="28"/>
              </w:rPr>
            </w:pPr>
            <w:r w:rsidRPr="00DA71A2">
              <w:rPr>
                <w:sz w:val="28"/>
                <w:szCs w:val="28"/>
              </w:rPr>
              <w:lastRenderedPageBreak/>
              <w:t>1 These requirements will consider human health risks arising from current and potential future land uses.  They may include mandating of barrier layers, containment cells, depth of burial, ongoing monitoring and other statutory conditions of site use (e.g. as listed in a site management plan).</w:t>
            </w:r>
          </w:p>
        </w:tc>
      </w:tr>
    </w:tbl>
    <w:p w:rsidR="00A97702" w:rsidRDefault="00A97702" w:rsidP="00A97702">
      <w:pPr>
        <w:pStyle w:val="text"/>
        <w:rPr>
          <w:sz w:val="24"/>
        </w:rPr>
      </w:pPr>
    </w:p>
    <w:p w:rsidR="00A97702" w:rsidRDefault="00A97702" w:rsidP="00A97702">
      <w:pPr>
        <w:rPr>
          <w:sz w:val="24"/>
        </w:rPr>
      </w:pPr>
      <w:r>
        <w:rPr>
          <w:sz w:val="24"/>
        </w:rPr>
        <w:br w:type="page"/>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8"/>
      </w:tblGrid>
      <w:tr w:rsidR="00A97702" w:rsidTr="00DA1C9D">
        <w:tc>
          <w:tcPr>
            <w:tcW w:w="9548" w:type="dxa"/>
          </w:tcPr>
          <w:p w:rsidR="00A97702" w:rsidRPr="000C1FEF" w:rsidRDefault="00A97702" w:rsidP="00DA1C9D">
            <w:pPr>
              <w:pStyle w:val="StyleBlockTitle1TopSinglesolidlineAuto05ptLinewid"/>
            </w:pPr>
            <w:r>
              <w:lastRenderedPageBreak/>
              <w:br w:type="page"/>
            </w:r>
            <w:r w:rsidRPr="00AE33DD">
              <w:t>Case</w:t>
            </w:r>
            <w:r w:rsidRPr="00C77B2E">
              <w:t xml:space="preserve"> </w:t>
            </w:r>
            <w:r>
              <w:t>s</w:t>
            </w:r>
            <w:r w:rsidRPr="00C77B2E">
              <w:t xml:space="preserve">tudy </w:t>
            </w:r>
            <w:r>
              <w:t>3 -</w:t>
            </w:r>
            <w:r w:rsidRPr="00C77B2E">
              <w:t xml:space="preserve"> </w:t>
            </w:r>
            <w:r>
              <w:t xml:space="preserve">Application of </w:t>
            </w:r>
            <w:r w:rsidRPr="000C1FEF">
              <w:t>petroleum</w:t>
            </w:r>
            <w:r>
              <w:t xml:space="preserve"> hydrocarbon screening levels  </w:t>
            </w:r>
            <w:r w:rsidRPr="00447ABF">
              <w:t xml:space="preserve">– </w:t>
            </w:r>
            <w:r w:rsidRPr="000C1FEF">
              <w:t>redevelopment of an industrial site for residential use</w:t>
            </w:r>
          </w:p>
          <w:p w:rsidR="00A97702" w:rsidRDefault="00A97702" w:rsidP="00DA1C9D">
            <w:pPr>
              <w:pStyle w:val="BlockTitle"/>
            </w:pPr>
            <w:r w:rsidRPr="00B2770E">
              <w:t>Site Scenario</w:t>
            </w:r>
            <w:r>
              <w:t xml:space="preserve"> - Former small-scale regional fuel depot proposed for low-density residential use </w:t>
            </w:r>
          </w:p>
          <w:p w:rsidR="00A97702" w:rsidRDefault="00A97702" w:rsidP="00DA1C9D">
            <w:pPr>
              <w:pStyle w:val="text"/>
            </w:pPr>
            <w:r w:rsidRPr="00BB3288">
              <w:t xml:space="preserve">After </w:t>
            </w:r>
            <w:r>
              <w:t>the site ceased to operate as a</w:t>
            </w:r>
            <w:r w:rsidRPr="00BB3288">
              <w:t xml:space="preserve"> fuel depot</w:t>
            </w:r>
            <w:r>
              <w:t xml:space="preserve"> in the mid-1980s,</w:t>
            </w:r>
            <w:r w:rsidRPr="00BB3288">
              <w:t xml:space="preserve"> </w:t>
            </w:r>
            <w:r>
              <w:t xml:space="preserve">all tanks were removed and the </w:t>
            </w:r>
            <w:r w:rsidRPr="00BB3288">
              <w:t xml:space="preserve">site </w:t>
            </w:r>
            <w:r>
              <w:t xml:space="preserve">is understood to have been </w:t>
            </w:r>
            <w:r w:rsidRPr="00BB3288">
              <w:t xml:space="preserve">filled with clean </w:t>
            </w:r>
            <w:r>
              <w:t>silt</w:t>
            </w:r>
            <w:r w:rsidRPr="00BB3288">
              <w:t xml:space="preserve"> to 2</w:t>
            </w:r>
            <w:r>
              <w:t xml:space="preserve"> </w:t>
            </w:r>
            <w:r w:rsidRPr="00BB3288">
              <w:t>m depth</w:t>
            </w:r>
            <w:r>
              <w:t xml:space="preserve"> shortly after the depot was decommissioned.</w:t>
            </w:r>
            <w:r w:rsidRPr="00BB3288">
              <w:t xml:space="preserve"> </w:t>
            </w:r>
            <w:r>
              <w:t>For the past 15 years the site has been</w:t>
            </w:r>
            <w:r w:rsidRPr="00BB3288">
              <w:t xml:space="preserve"> used for </w:t>
            </w:r>
            <w:r>
              <w:t xml:space="preserve">storage of motor </w:t>
            </w:r>
            <w:r w:rsidRPr="00BB3288">
              <w:t>vehicle</w:t>
            </w:r>
            <w:r>
              <w:t>s</w:t>
            </w:r>
            <w:r w:rsidRPr="00BB3288">
              <w:t xml:space="preserve"> </w:t>
            </w:r>
            <w:r w:rsidR="00134B66">
              <w:t>and agricultural equipment.</w:t>
            </w:r>
          </w:p>
          <w:p w:rsidR="00A97702" w:rsidRPr="00C87CB1" w:rsidRDefault="00A97702" w:rsidP="00DA1C9D">
            <w:pPr>
              <w:pStyle w:val="text"/>
              <w:rPr>
                <w:b/>
              </w:rPr>
            </w:pPr>
            <w:r w:rsidRPr="00B51359">
              <w:rPr>
                <w:b/>
              </w:rPr>
              <w:t>Response</w:t>
            </w:r>
          </w:p>
          <w:p w:rsidR="00A97702" w:rsidRDefault="00A97702" w:rsidP="00DA1C9D">
            <w:pPr>
              <w:pStyle w:val="text"/>
            </w:pPr>
            <w:r>
              <w:t xml:space="preserve">A PSI was carried out and an initial CSM developed. The site has been investigated (including the ‘clean’ fill) according to an appropriate SAQP informed by the CSM. A source of contamination has been identified in the unsaturated zone which has an associated contaminated groundwater plume. Depth to groundwater is approximately 6 m. Soil and groundwater samples have been analysed for TRH fractions, BTEX, PAHs and lead.  </w:t>
            </w:r>
          </w:p>
          <w:p w:rsidR="00A97702" w:rsidRDefault="00A97702" w:rsidP="00DA1C9D">
            <w:pPr>
              <w:pStyle w:val="text"/>
              <w:rPr>
                <w:b/>
                <w:bCs/>
              </w:rPr>
            </w:pPr>
            <w:r>
              <w:t>It can be assumed for the purpose of this case study that the maximum slab width for the proposed residential dwellings is less than 15 m.</w:t>
            </w:r>
          </w:p>
          <w:p w:rsidR="00A97702" w:rsidRPr="00F601BA" w:rsidRDefault="00A97702" w:rsidP="00DA1C9D">
            <w:pPr>
              <w:pStyle w:val="text"/>
              <w:rPr>
                <w:b/>
                <w:bCs/>
              </w:rPr>
            </w:pPr>
            <w:r w:rsidRPr="00F601BA">
              <w:rPr>
                <w:b/>
                <w:bCs/>
              </w:rPr>
              <w:t xml:space="preserve">Summary of </w:t>
            </w:r>
            <w:r>
              <w:rPr>
                <w:b/>
                <w:bCs/>
              </w:rPr>
              <w:t>s</w:t>
            </w:r>
            <w:r w:rsidRPr="00F601BA">
              <w:rPr>
                <w:b/>
                <w:bCs/>
              </w:rPr>
              <w:t>ite contamination</w:t>
            </w:r>
          </w:p>
          <w:p w:rsidR="00A97702" w:rsidRDefault="00A97702" w:rsidP="00A97702">
            <w:pPr>
              <w:pStyle w:val="Dot-points"/>
              <w:tabs>
                <w:tab w:val="clear" w:pos="926"/>
                <w:tab w:val="num" w:pos="360"/>
              </w:tabs>
            </w:pPr>
            <w:r>
              <w:t>A preliminary screening step (refer Section 9.2.1 of Schedule B2) has determined that an assessment of potential vapour intrusion risks is necessary as receptors (residents of houses) are to be located within 30 m of an identified volatile source.</w:t>
            </w:r>
          </w:p>
          <w:p w:rsidR="00A97702" w:rsidRDefault="00A97702" w:rsidP="00A97702">
            <w:pPr>
              <w:pStyle w:val="Dot-points"/>
              <w:tabs>
                <w:tab w:val="clear" w:pos="926"/>
                <w:tab w:val="num" w:pos="360"/>
              </w:tabs>
            </w:pPr>
            <w:r>
              <w:t>The HSL assumptions and limitations were checked with the aid of the HSL checklist (ASC NEPM Toolbox) and the HSLs confirmed to be applicable for the site-specific conditions.</w:t>
            </w:r>
          </w:p>
          <w:p w:rsidR="00A97702" w:rsidRDefault="00A97702" w:rsidP="00A97702">
            <w:pPr>
              <w:pStyle w:val="Dot-points"/>
              <w:tabs>
                <w:tab w:val="clear" w:pos="926"/>
                <w:tab w:val="num" w:pos="360"/>
              </w:tabs>
            </w:pPr>
            <w:r>
              <w:t>BTEX and naphthalene were subtracted from TRH fractions C</w:t>
            </w:r>
            <w:r w:rsidRPr="0080331B">
              <w:rPr>
                <w:vertAlign w:val="subscript"/>
              </w:rPr>
              <w:t>6</w:t>
            </w:r>
            <w:r>
              <w:t xml:space="preserve"> – C</w:t>
            </w:r>
            <w:r w:rsidRPr="0080331B">
              <w:rPr>
                <w:vertAlign w:val="subscript"/>
              </w:rPr>
              <w:t>10</w:t>
            </w:r>
            <w:r>
              <w:t xml:space="preserve"> and &gt;C</w:t>
            </w:r>
            <w:r w:rsidRPr="0080331B">
              <w:rPr>
                <w:vertAlign w:val="subscript"/>
              </w:rPr>
              <w:t>10</w:t>
            </w:r>
            <w:r>
              <w:t xml:space="preserve"> – C</w:t>
            </w:r>
            <w:r w:rsidRPr="0080331B">
              <w:rPr>
                <w:vertAlign w:val="subscript"/>
              </w:rPr>
              <w:t>16</w:t>
            </w:r>
            <w:r>
              <w:t xml:space="preserve"> to obtain F1 and F2 respectively.</w:t>
            </w:r>
          </w:p>
          <w:p w:rsidR="00A97702" w:rsidRPr="00BB3288" w:rsidRDefault="00A97702" w:rsidP="00A97702">
            <w:pPr>
              <w:pStyle w:val="Dot-points"/>
              <w:tabs>
                <w:tab w:val="clear" w:pos="926"/>
                <w:tab w:val="num" w:pos="360"/>
              </w:tabs>
            </w:pPr>
            <w:r>
              <w:t xml:space="preserve">Fill layer </w:t>
            </w:r>
            <w:r w:rsidRPr="00BB3288">
              <w:t>0</w:t>
            </w:r>
            <w:r>
              <w:t>–</w:t>
            </w:r>
            <w:r w:rsidRPr="00BB3288">
              <w:t>2 m</w:t>
            </w:r>
            <w:r>
              <w:t xml:space="preserve"> below ground level – 95% UCL for all the identified contaminants of concern was less than the appropriate i</w:t>
            </w:r>
            <w:r w:rsidRPr="00BB3288">
              <w:t xml:space="preserve">nvestigation and </w:t>
            </w:r>
            <w:r>
              <w:t>s</w:t>
            </w:r>
            <w:r w:rsidRPr="00BB3288">
              <w:t xml:space="preserve">creening </w:t>
            </w:r>
            <w:r>
              <w:t>l</w:t>
            </w:r>
            <w:r w:rsidRPr="00BB3288">
              <w:t>evels</w:t>
            </w:r>
            <w:r>
              <w:t>.</w:t>
            </w:r>
          </w:p>
          <w:p w:rsidR="00A97702" w:rsidRPr="00BB3288" w:rsidRDefault="00A97702" w:rsidP="00A97702">
            <w:pPr>
              <w:pStyle w:val="Dot-points"/>
              <w:tabs>
                <w:tab w:val="clear" w:pos="926"/>
                <w:tab w:val="num" w:pos="360"/>
              </w:tabs>
            </w:pPr>
            <w:r>
              <w:t xml:space="preserve">Soil Type: The borelogs indicate silt and silty clay,  predominant </w:t>
            </w:r>
            <w:r w:rsidRPr="00BB3288">
              <w:t xml:space="preserve">soil </w:t>
            </w:r>
            <w:r>
              <w:t>type determined to be silt (the HSLs for silt are more conservative than those for clay).</w:t>
            </w:r>
          </w:p>
          <w:p w:rsidR="00A97702" w:rsidRDefault="00A97702" w:rsidP="00A97702">
            <w:pPr>
              <w:pStyle w:val="Dot-points"/>
              <w:tabs>
                <w:tab w:val="clear" w:pos="926"/>
                <w:tab w:val="num" w:pos="360"/>
              </w:tabs>
            </w:pPr>
            <w:r>
              <w:t>The geometric mean (</w:t>
            </w:r>
            <w:r w:rsidRPr="00BB3288">
              <w:t>GM</w:t>
            </w:r>
            <w:r>
              <w:t>)</w:t>
            </w:r>
            <w:r w:rsidRPr="00BB3288">
              <w:t xml:space="preserve"> for T</w:t>
            </w:r>
            <w:r>
              <w:t>RH</w:t>
            </w:r>
            <w:r w:rsidRPr="00BB3288">
              <w:t xml:space="preserve"> and BTEX </w:t>
            </w:r>
            <w:r>
              <w:t xml:space="preserve">in soil </w:t>
            </w:r>
            <w:r w:rsidRPr="00BB3288">
              <w:t>for 2</w:t>
            </w:r>
            <w:r>
              <w:t>–</w:t>
            </w:r>
            <w:r w:rsidRPr="00BB3288">
              <w:t xml:space="preserve">4 m </w:t>
            </w:r>
            <w:r>
              <w:t xml:space="preserve">is </w:t>
            </w:r>
            <w:r w:rsidRPr="00BB3288">
              <w:t xml:space="preserve">tabulated </w:t>
            </w:r>
            <w:r w:rsidR="00134B66">
              <w:t>below.</w:t>
            </w:r>
          </w:p>
          <w:p w:rsidR="00A97702" w:rsidRDefault="00A97702" w:rsidP="00A97702">
            <w:pPr>
              <w:pStyle w:val="Dot-points"/>
              <w:tabs>
                <w:tab w:val="clear" w:pos="926"/>
                <w:tab w:val="num" w:pos="360"/>
              </w:tabs>
            </w:pPr>
            <w:r>
              <w:t>A</w:t>
            </w:r>
            <w:r w:rsidRPr="00BB3288">
              <w:t xml:space="preserve">ll </w:t>
            </w:r>
            <w:r>
              <w:t xml:space="preserve">individual soil </w:t>
            </w:r>
            <w:r w:rsidRPr="00BB3288">
              <w:t xml:space="preserve">results </w:t>
            </w:r>
            <w:r>
              <w:t xml:space="preserve">are </w:t>
            </w:r>
            <w:r w:rsidRPr="00BB3288">
              <w:t>less than 2</w:t>
            </w:r>
            <w:r>
              <w:t>.5x</w:t>
            </w:r>
            <w:r w:rsidRPr="00BB3288">
              <w:t xml:space="preserve"> the relevant investigation and screening levels; hotspots, if present</w:t>
            </w:r>
            <w:r>
              <w:t>,</w:t>
            </w:r>
            <w:r w:rsidRPr="00BB3288">
              <w:t xml:space="preserve"> would need to be considered separately</w:t>
            </w:r>
            <w:r w:rsidR="00134B66">
              <w:t>.</w:t>
            </w:r>
          </w:p>
          <w:p w:rsidR="00A97702" w:rsidRPr="00BB3288" w:rsidRDefault="00A97702" w:rsidP="00A97702">
            <w:pPr>
              <w:pStyle w:val="Dot-points"/>
              <w:tabs>
                <w:tab w:val="clear" w:pos="926"/>
                <w:tab w:val="num" w:pos="360"/>
              </w:tabs>
            </w:pPr>
            <w:r w:rsidRPr="00BB3288">
              <w:t>No contamination of concern was found below 4</w:t>
            </w:r>
            <w:r>
              <w:t xml:space="preserve"> </w:t>
            </w:r>
            <w:r w:rsidRPr="00BB3288">
              <w:t>m</w:t>
            </w:r>
            <w:r>
              <w:t xml:space="preserve"> in soil</w:t>
            </w:r>
            <w:r w:rsidRPr="00BB3288">
              <w:t>.</w:t>
            </w:r>
          </w:p>
          <w:p w:rsidR="00A97702" w:rsidRDefault="00A97702" w:rsidP="00A97702">
            <w:pPr>
              <w:pStyle w:val="Dot-points"/>
              <w:tabs>
                <w:tab w:val="clear" w:pos="926"/>
                <w:tab w:val="num" w:pos="360"/>
              </w:tabs>
            </w:pPr>
            <w:r>
              <w:t>Poor quality g</w:t>
            </w:r>
            <w:r w:rsidRPr="00BB3288">
              <w:t xml:space="preserve">roundwater </w:t>
            </w:r>
            <w:r>
              <w:t xml:space="preserve">was found </w:t>
            </w:r>
            <w:r w:rsidRPr="00BB3288">
              <w:t>at 6</w:t>
            </w:r>
            <w:r>
              <w:t xml:space="preserve"> </w:t>
            </w:r>
            <w:r w:rsidRPr="00BB3288">
              <w:t>m in three wells MW1, MW2, MW3 (saline, TDS &gt;5000</w:t>
            </w:r>
            <w:r>
              <w:t xml:space="preserve"> </w:t>
            </w:r>
            <w:r w:rsidRPr="00BB3288">
              <w:t>mg/L, low yield &lt;2</w:t>
            </w:r>
            <w:r>
              <w:t xml:space="preserve"> </w:t>
            </w:r>
            <w:r w:rsidRPr="00BB3288">
              <w:t>L</w:t>
            </w:r>
            <w:r>
              <w:t>/</w:t>
            </w:r>
            <w:r w:rsidRPr="00BB3288">
              <w:t>sec)</w:t>
            </w:r>
          </w:p>
          <w:p w:rsidR="00A97702" w:rsidRPr="00BB3288" w:rsidRDefault="00A97702" w:rsidP="00A97702">
            <w:pPr>
              <w:pStyle w:val="Dot-points"/>
              <w:tabs>
                <w:tab w:val="clear" w:pos="926"/>
                <w:tab w:val="num" w:pos="360"/>
              </w:tabs>
            </w:pPr>
            <w:r>
              <w:t xml:space="preserve">The maximum concentrations (based on quarterly monitoring results carried out over one year) </w:t>
            </w:r>
            <w:r w:rsidRPr="00BB3288">
              <w:t>for T</w:t>
            </w:r>
            <w:r>
              <w:t>RH</w:t>
            </w:r>
            <w:r w:rsidRPr="00BB3288">
              <w:t xml:space="preserve"> and BTEX</w:t>
            </w:r>
            <w:r>
              <w:t xml:space="preserve"> in groundwater are listed below.</w:t>
            </w:r>
          </w:p>
          <w:p w:rsidR="00A97702" w:rsidRPr="00BB3288" w:rsidRDefault="00A97702" w:rsidP="00A97702">
            <w:pPr>
              <w:pStyle w:val="Dot-points"/>
              <w:tabs>
                <w:tab w:val="clear" w:pos="926"/>
                <w:tab w:val="num" w:pos="360"/>
              </w:tabs>
            </w:pPr>
            <w:r>
              <w:t>Soil vapour</w:t>
            </w:r>
            <w:r w:rsidRPr="00BB3288">
              <w:t xml:space="preserve"> </w:t>
            </w:r>
            <w:r>
              <w:t xml:space="preserve">oxygen measurements of </w:t>
            </w:r>
            <w:r w:rsidRPr="00BB3288">
              <w:t>9</w:t>
            </w:r>
            <w:r>
              <w:sym w:font="Symbol" w:char="F02D"/>
            </w:r>
            <w:r>
              <w:t>10</w:t>
            </w:r>
            <w:r w:rsidRPr="00BB3288">
              <w:t xml:space="preserve">% </w:t>
            </w:r>
            <w:r>
              <w:t>were measured at</w:t>
            </w:r>
            <w:r w:rsidRPr="00BB3288">
              <w:t xml:space="preserve"> 1</w:t>
            </w:r>
            <w:r>
              <w:t xml:space="preserve"> </w:t>
            </w:r>
            <w:r w:rsidRPr="00BB3288">
              <w:t>m depth</w:t>
            </w:r>
            <w:r>
              <w:t xml:space="preserve"> at five l</w:t>
            </w:r>
            <w:r w:rsidR="00134B66">
              <w:t>ocations above the soil source.</w:t>
            </w:r>
          </w:p>
          <w:p w:rsidR="00A97702" w:rsidRDefault="00A97702" w:rsidP="00DA1C9D">
            <w:pPr>
              <w:pStyle w:val="text"/>
              <w:rPr>
                <w:b/>
                <w:bCs/>
                <w:szCs w:val="22"/>
                <w:u w:val="single"/>
              </w:rPr>
            </w:pPr>
          </w:p>
          <w:p w:rsidR="00A97702" w:rsidRPr="00F601BA" w:rsidRDefault="00A97702" w:rsidP="00DA1C9D">
            <w:pPr>
              <w:pStyle w:val="text"/>
              <w:rPr>
                <w:b/>
                <w:szCs w:val="22"/>
                <w:u w:val="single"/>
              </w:rPr>
            </w:pPr>
            <w:r>
              <w:rPr>
                <w:b/>
                <w:bCs/>
                <w:szCs w:val="22"/>
                <w:u w:val="single"/>
              </w:rPr>
              <w:t>S</w:t>
            </w:r>
            <w:r w:rsidRPr="00F601BA">
              <w:rPr>
                <w:b/>
                <w:bCs/>
                <w:szCs w:val="22"/>
                <w:u w:val="single"/>
              </w:rPr>
              <w:t>tep 1:</w:t>
            </w:r>
            <w:r w:rsidRPr="00F601BA">
              <w:rPr>
                <w:b/>
                <w:bCs/>
                <w:szCs w:val="22"/>
                <w:u w:val="single"/>
              </w:rPr>
              <w:tab/>
              <w:t>Document results</w:t>
            </w:r>
            <w:r>
              <w:rPr>
                <w:b/>
                <w:bCs/>
                <w:szCs w:val="22"/>
                <w:u w:val="single"/>
              </w:rPr>
              <w:t xml:space="preserve"> </w:t>
            </w:r>
            <w:r w:rsidRPr="00F601BA">
              <w:rPr>
                <w:b/>
                <w:bCs/>
                <w:szCs w:val="22"/>
                <w:u w:val="single"/>
              </w:rPr>
              <w:t xml:space="preserve">and select </w:t>
            </w:r>
            <w:r>
              <w:rPr>
                <w:b/>
                <w:bCs/>
                <w:szCs w:val="22"/>
                <w:u w:val="single"/>
              </w:rPr>
              <w:t xml:space="preserve">relevant </w:t>
            </w:r>
            <w:r w:rsidRPr="00F601BA">
              <w:rPr>
                <w:b/>
                <w:bCs/>
                <w:szCs w:val="22"/>
                <w:u w:val="single"/>
              </w:rPr>
              <w:t>soil and groundwater HSLs</w:t>
            </w:r>
            <w:r>
              <w:rPr>
                <w:b/>
                <w:bCs/>
                <w:szCs w:val="22"/>
                <w:u w:val="single"/>
              </w:rPr>
              <w:t xml:space="preserve"> </w:t>
            </w:r>
          </w:p>
          <w:p w:rsidR="00A97702" w:rsidRPr="00F601BA" w:rsidRDefault="00A97702" w:rsidP="00DA1C9D">
            <w:pPr>
              <w:pStyle w:val="text"/>
              <w:rPr>
                <w:b/>
                <w:bCs/>
                <w:sz w:val="20"/>
              </w:rPr>
            </w:pPr>
            <w:r w:rsidRPr="00F601BA">
              <w:rPr>
                <w:b/>
                <w:bCs/>
                <w:sz w:val="20"/>
              </w:rPr>
              <w:t xml:space="preserve">Soil </w:t>
            </w:r>
            <w:r>
              <w:rPr>
                <w:b/>
                <w:bCs/>
                <w:sz w:val="20"/>
              </w:rPr>
              <w:t xml:space="preserve">GM </w:t>
            </w:r>
            <w:r w:rsidRPr="00F601BA">
              <w:rPr>
                <w:b/>
                <w:bCs/>
                <w:sz w:val="20"/>
              </w:rPr>
              <w:t xml:space="preserve">values mg/kg, refer Table 1A(3) for soil HSLs </w:t>
            </w:r>
            <w:r>
              <w:rPr>
                <w:b/>
                <w:bCs/>
                <w:sz w:val="20"/>
              </w:rPr>
              <w:t>(silt, 2</w:t>
            </w:r>
            <w:r>
              <w:rPr>
                <w:b/>
                <w:bCs/>
                <w:sz w:val="20"/>
              </w:rPr>
              <w:sym w:font="Symbol" w:char="F02D"/>
            </w:r>
            <w:r>
              <w:rPr>
                <w:b/>
                <w:bCs/>
                <w:sz w:val="20"/>
              </w:rPr>
              <w:t>&lt;4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1038"/>
              <w:gridCol w:w="1038"/>
              <w:gridCol w:w="1038"/>
              <w:gridCol w:w="1038"/>
              <w:gridCol w:w="1038"/>
              <w:gridCol w:w="1038"/>
              <w:gridCol w:w="1038"/>
              <w:gridCol w:w="1038"/>
            </w:tblGrid>
            <w:tr w:rsidR="00A97702" w:rsidRPr="00183106" w:rsidTr="00DA1C9D">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rPr>
                      <w:rFonts w:ascii="Arial" w:hAnsi="Arial" w:cs="Arial"/>
                      <w:b/>
                      <w:bCs/>
                      <w:sz w:val="18"/>
                      <w:szCs w:val="18"/>
                    </w:rPr>
                  </w:pPr>
                  <w:r>
                    <w:rPr>
                      <w:rFonts w:ascii="Arial" w:hAnsi="Arial" w:cs="Arial"/>
                      <w:b/>
                      <w:bCs/>
                      <w:sz w:val="18"/>
                      <w:szCs w:val="18"/>
                    </w:rPr>
                    <w:lastRenderedPageBreak/>
                    <w:t xml:space="preserve"> </w:t>
                  </w:r>
                </w:p>
              </w:tc>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F1</w:t>
                  </w:r>
                </w:p>
              </w:tc>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F2</w:t>
                  </w:r>
                </w:p>
              </w:tc>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F3</w:t>
                  </w:r>
                </w:p>
              </w:tc>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F4</w:t>
                  </w:r>
                </w:p>
              </w:tc>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B</w:t>
                  </w:r>
                </w:p>
              </w:tc>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T</w:t>
                  </w:r>
                </w:p>
              </w:tc>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E</w:t>
                  </w:r>
                </w:p>
              </w:tc>
              <w:tc>
                <w:tcPr>
                  <w:tcW w:w="103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X</w:t>
                  </w:r>
                </w:p>
              </w:tc>
            </w:tr>
            <w:tr w:rsidR="00A97702" w:rsidRPr="00183106" w:rsidTr="00DA1C9D">
              <w:tc>
                <w:tcPr>
                  <w:tcW w:w="1038" w:type="dxa"/>
                  <w:tcBorders>
                    <w:top w:val="single" w:sz="4" w:space="0" w:color="auto"/>
                    <w:left w:val="single" w:sz="4" w:space="0" w:color="auto"/>
                    <w:bottom w:val="single" w:sz="8" w:space="0" w:color="auto"/>
                    <w:right w:val="single" w:sz="4" w:space="0" w:color="auto"/>
                  </w:tcBorders>
                  <w:shd w:val="clear" w:color="auto" w:fill="F2F2F2"/>
                </w:tcPr>
                <w:p w:rsidR="00A97702" w:rsidRPr="00183106" w:rsidRDefault="00A97702" w:rsidP="00DA1C9D">
                  <w:pPr>
                    <w:pStyle w:val="text"/>
                    <w:spacing w:before="60" w:after="60" w:line="240" w:lineRule="atLeast"/>
                    <w:rPr>
                      <w:rFonts w:ascii="Arial" w:hAnsi="Arial" w:cs="Arial"/>
                      <w:bCs/>
                      <w:sz w:val="18"/>
                      <w:szCs w:val="18"/>
                    </w:rPr>
                  </w:pPr>
                  <w:r w:rsidRPr="00183106">
                    <w:rPr>
                      <w:rFonts w:ascii="Arial" w:hAnsi="Arial" w:cs="Arial"/>
                      <w:bCs/>
                      <w:sz w:val="18"/>
                      <w:szCs w:val="18"/>
                    </w:rPr>
                    <w:t>Soil GM</w:t>
                  </w:r>
                </w:p>
              </w:tc>
              <w:tc>
                <w:tcPr>
                  <w:tcW w:w="1038" w:type="dxa"/>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A97702" w:rsidRPr="00183106" w:rsidRDefault="00A97702" w:rsidP="00DA1C9D">
                  <w:pPr>
                    <w:pStyle w:val="text"/>
                    <w:spacing w:before="60" w:after="60" w:line="240" w:lineRule="atLeast"/>
                    <w:jc w:val="center"/>
                    <w:rPr>
                      <w:rFonts w:ascii="Arial" w:hAnsi="Arial" w:cs="Arial"/>
                      <w:b/>
                      <w:sz w:val="18"/>
                      <w:szCs w:val="18"/>
                    </w:rPr>
                  </w:pPr>
                  <w:r w:rsidRPr="00183106">
                    <w:rPr>
                      <w:rFonts w:ascii="Arial" w:hAnsi="Arial" w:cs="Arial"/>
                      <w:b/>
                      <w:sz w:val="18"/>
                      <w:szCs w:val="18"/>
                    </w:rPr>
                    <w:t>130</w:t>
                  </w:r>
                </w:p>
              </w:tc>
              <w:tc>
                <w:tcPr>
                  <w:tcW w:w="1038"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160</w:t>
                  </w:r>
                </w:p>
              </w:tc>
              <w:tc>
                <w:tcPr>
                  <w:tcW w:w="1038"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1100</w:t>
                  </w:r>
                </w:p>
              </w:tc>
              <w:tc>
                <w:tcPr>
                  <w:tcW w:w="1038"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260</w:t>
                  </w:r>
                </w:p>
              </w:tc>
              <w:tc>
                <w:tcPr>
                  <w:tcW w:w="1038" w:type="dxa"/>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A97702" w:rsidRPr="00183106" w:rsidRDefault="00A97702" w:rsidP="00DA1C9D">
                  <w:pPr>
                    <w:pStyle w:val="text"/>
                    <w:spacing w:before="60" w:after="60" w:line="240" w:lineRule="atLeast"/>
                    <w:jc w:val="center"/>
                    <w:rPr>
                      <w:rFonts w:ascii="Arial" w:hAnsi="Arial" w:cs="Arial"/>
                      <w:b/>
                      <w:sz w:val="18"/>
                      <w:szCs w:val="18"/>
                    </w:rPr>
                  </w:pPr>
                  <w:r w:rsidRPr="00183106">
                    <w:rPr>
                      <w:rFonts w:ascii="Arial" w:hAnsi="Arial" w:cs="Arial"/>
                      <w:b/>
                      <w:sz w:val="18"/>
                      <w:szCs w:val="18"/>
                    </w:rPr>
                    <w:t>1.5</w:t>
                  </w:r>
                </w:p>
              </w:tc>
              <w:tc>
                <w:tcPr>
                  <w:tcW w:w="1038"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80</w:t>
                  </w:r>
                </w:p>
              </w:tc>
              <w:tc>
                <w:tcPr>
                  <w:tcW w:w="1038"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70</w:t>
                  </w:r>
                </w:p>
              </w:tc>
              <w:tc>
                <w:tcPr>
                  <w:tcW w:w="1038"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60</w:t>
                  </w:r>
                </w:p>
              </w:tc>
            </w:tr>
            <w:tr w:rsidR="00A97702" w:rsidRPr="00183106" w:rsidTr="00DA1C9D">
              <w:tc>
                <w:tcPr>
                  <w:tcW w:w="1038" w:type="dxa"/>
                  <w:tcBorders>
                    <w:top w:val="single" w:sz="8" w:space="0" w:color="auto"/>
                    <w:left w:val="single" w:sz="8" w:space="0" w:color="auto"/>
                    <w:bottom w:val="single" w:sz="8" w:space="0" w:color="auto"/>
                    <w:right w:val="single" w:sz="8" w:space="0" w:color="auto"/>
                  </w:tcBorders>
                  <w:shd w:val="clear" w:color="auto" w:fill="F2F2F2"/>
                </w:tcPr>
                <w:p w:rsidR="00A97702" w:rsidRPr="00C54305" w:rsidRDefault="00A97702" w:rsidP="00DA1C9D">
                  <w:pPr>
                    <w:pStyle w:val="text"/>
                    <w:spacing w:before="60" w:after="60" w:line="240" w:lineRule="atLeast"/>
                    <w:rPr>
                      <w:rFonts w:ascii="Arial" w:hAnsi="Arial" w:cs="Arial"/>
                      <w:b/>
                      <w:bCs/>
                      <w:sz w:val="18"/>
                      <w:szCs w:val="18"/>
                    </w:rPr>
                  </w:pPr>
                  <w:r w:rsidRPr="00C54305">
                    <w:rPr>
                      <w:rFonts w:ascii="Arial" w:hAnsi="Arial" w:cs="Arial"/>
                      <w:b/>
                      <w:bCs/>
                      <w:sz w:val="18"/>
                      <w:szCs w:val="18"/>
                    </w:rPr>
                    <w:t>HSL</w:t>
                  </w:r>
                  <w:r>
                    <w:rPr>
                      <w:rFonts w:ascii="Arial" w:hAnsi="Arial" w:cs="Arial"/>
                      <w:b/>
                      <w:bCs/>
                      <w:sz w:val="18"/>
                      <w:szCs w:val="18"/>
                    </w:rPr>
                    <w:t xml:space="preserve"> A</w:t>
                  </w:r>
                </w:p>
              </w:tc>
              <w:tc>
                <w:tcPr>
                  <w:tcW w:w="1038" w:type="dxa"/>
                  <w:tcBorders>
                    <w:top w:val="single" w:sz="8" w:space="0" w:color="auto"/>
                    <w:left w:val="single" w:sz="8" w:space="0" w:color="auto"/>
                    <w:bottom w:val="single" w:sz="8" w:space="0" w:color="auto"/>
                    <w:right w:val="single" w:sz="8" w:space="0" w:color="auto"/>
                  </w:tcBorders>
                </w:tcPr>
                <w:p w:rsidR="00A97702" w:rsidRPr="00031CFA" w:rsidRDefault="00A97702" w:rsidP="00DA1C9D">
                  <w:pPr>
                    <w:pStyle w:val="text"/>
                    <w:spacing w:before="60" w:after="60" w:line="240" w:lineRule="atLeast"/>
                    <w:jc w:val="center"/>
                    <w:rPr>
                      <w:rFonts w:ascii="Arial" w:hAnsi="Arial" w:cs="Arial"/>
                      <w:b/>
                      <w:i/>
                      <w:sz w:val="18"/>
                      <w:szCs w:val="18"/>
                    </w:rPr>
                  </w:pPr>
                  <w:r w:rsidRPr="00031CFA">
                    <w:rPr>
                      <w:rFonts w:ascii="Arial" w:hAnsi="Arial" w:cs="Arial"/>
                      <w:b/>
                      <w:i/>
                      <w:sz w:val="18"/>
                      <w:szCs w:val="18"/>
                    </w:rPr>
                    <w:t>100</w:t>
                  </w:r>
                </w:p>
              </w:tc>
              <w:tc>
                <w:tcPr>
                  <w:tcW w:w="1038" w:type="dxa"/>
                  <w:tcBorders>
                    <w:top w:val="single" w:sz="8" w:space="0" w:color="auto"/>
                    <w:left w:val="single" w:sz="8" w:space="0" w:color="auto"/>
                    <w:bottom w:val="single" w:sz="8" w:space="0" w:color="auto"/>
                    <w:right w:val="single" w:sz="8" w:space="0" w:color="auto"/>
                  </w:tcBorders>
                </w:tcPr>
                <w:p w:rsidR="00A97702" w:rsidRPr="00031CFA" w:rsidRDefault="00A97702" w:rsidP="00DA1C9D">
                  <w:pPr>
                    <w:pStyle w:val="text"/>
                    <w:spacing w:before="60" w:after="60" w:line="240" w:lineRule="atLeast"/>
                    <w:jc w:val="center"/>
                    <w:rPr>
                      <w:rFonts w:ascii="Arial" w:hAnsi="Arial" w:cs="Arial"/>
                      <w:b/>
                      <w:i/>
                      <w:sz w:val="18"/>
                      <w:szCs w:val="18"/>
                    </w:rPr>
                  </w:pPr>
                  <w:r w:rsidRPr="00031CFA">
                    <w:rPr>
                      <w:rFonts w:ascii="Arial" w:hAnsi="Arial" w:cs="Arial"/>
                      <w:b/>
                      <w:i/>
                      <w:sz w:val="18"/>
                      <w:szCs w:val="18"/>
                    </w:rPr>
                    <w:t>NL</w:t>
                  </w:r>
                </w:p>
              </w:tc>
              <w:tc>
                <w:tcPr>
                  <w:tcW w:w="1038" w:type="dxa"/>
                  <w:tcBorders>
                    <w:top w:val="single" w:sz="8" w:space="0" w:color="auto"/>
                    <w:left w:val="single" w:sz="8" w:space="0" w:color="auto"/>
                    <w:bottom w:val="single" w:sz="8" w:space="0" w:color="auto"/>
                    <w:right w:val="single" w:sz="8" w:space="0" w:color="auto"/>
                  </w:tcBorders>
                </w:tcPr>
                <w:p w:rsidR="00A97702" w:rsidRPr="00031CFA" w:rsidRDefault="00A97702" w:rsidP="00DA1C9D">
                  <w:pPr>
                    <w:pStyle w:val="text"/>
                    <w:spacing w:before="60" w:after="60" w:line="240" w:lineRule="atLeast"/>
                    <w:jc w:val="center"/>
                    <w:rPr>
                      <w:rFonts w:ascii="Arial" w:hAnsi="Arial" w:cs="Arial"/>
                      <w:b/>
                      <w:i/>
                      <w:sz w:val="18"/>
                      <w:szCs w:val="18"/>
                    </w:rPr>
                  </w:pPr>
                  <w:r w:rsidRPr="00031CFA">
                    <w:rPr>
                      <w:rFonts w:ascii="Arial" w:hAnsi="Arial" w:cs="Arial"/>
                      <w:b/>
                      <w:i/>
                      <w:sz w:val="18"/>
                      <w:szCs w:val="18"/>
                    </w:rPr>
                    <w:t>N/A</w:t>
                  </w:r>
                </w:p>
              </w:tc>
              <w:tc>
                <w:tcPr>
                  <w:tcW w:w="1038" w:type="dxa"/>
                  <w:tcBorders>
                    <w:top w:val="single" w:sz="8" w:space="0" w:color="auto"/>
                    <w:left w:val="single" w:sz="8" w:space="0" w:color="auto"/>
                    <w:bottom w:val="single" w:sz="8" w:space="0" w:color="auto"/>
                    <w:right w:val="single" w:sz="8" w:space="0" w:color="auto"/>
                  </w:tcBorders>
                </w:tcPr>
                <w:p w:rsidR="00A97702" w:rsidRPr="00031CFA" w:rsidRDefault="00A97702" w:rsidP="00DA1C9D">
                  <w:pPr>
                    <w:pStyle w:val="text"/>
                    <w:spacing w:before="60" w:after="60" w:line="240" w:lineRule="atLeast"/>
                    <w:jc w:val="center"/>
                    <w:rPr>
                      <w:rFonts w:ascii="Arial" w:hAnsi="Arial" w:cs="Arial"/>
                      <w:b/>
                      <w:i/>
                      <w:sz w:val="18"/>
                      <w:szCs w:val="18"/>
                    </w:rPr>
                  </w:pPr>
                  <w:r w:rsidRPr="00031CFA">
                    <w:rPr>
                      <w:rFonts w:ascii="Arial" w:hAnsi="Arial" w:cs="Arial"/>
                      <w:b/>
                      <w:i/>
                      <w:sz w:val="18"/>
                      <w:szCs w:val="18"/>
                    </w:rPr>
                    <w:t>N/A</w:t>
                  </w:r>
                </w:p>
              </w:tc>
              <w:tc>
                <w:tcPr>
                  <w:tcW w:w="1038" w:type="dxa"/>
                  <w:tcBorders>
                    <w:top w:val="single" w:sz="8" w:space="0" w:color="auto"/>
                    <w:left w:val="single" w:sz="8" w:space="0" w:color="auto"/>
                    <w:bottom w:val="single" w:sz="8" w:space="0" w:color="auto"/>
                    <w:right w:val="single" w:sz="8" w:space="0" w:color="auto"/>
                  </w:tcBorders>
                </w:tcPr>
                <w:p w:rsidR="00A97702" w:rsidRPr="00031CFA" w:rsidRDefault="00A97702" w:rsidP="00DA1C9D">
                  <w:pPr>
                    <w:pStyle w:val="text"/>
                    <w:spacing w:before="60" w:after="60" w:line="240" w:lineRule="atLeast"/>
                    <w:jc w:val="center"/>
                    <w:rPr>
                      <w:rFonts w:ascii="Arial" w:hAnsi="Arial" w:cs="Arial"/>
                      <w:b/>
                      <w:i/>
                      <w:sz w:val="18"/>
                      <w:szCs w:val="18"/>
                    </w:rPr>
                  </w:pPr>
                  <w:r w:rsidRPr="00031CFA">
                    <w:rPr>
                      <w:rFonts w:ascii="Arial" w:hAnsi="Arial" w:cs="Arial"/>
                      <w:b/>
                      <w:i/>
                      <w:sz w:val="18"/>
                      <w:szCs w:val="18"/>
                    </w:rPr>
                    <w:t>1.0</w:t>
                  </w:r>
                </w:p>
              </w:tc>
              <w:tc>
                <w:tcPr>
                  <w:tcW w:w="1038" w:type="dxa"/>
                  <w:tcBorders>
                    <w:top w:val="single" w:sz="8" w:space="0" w:color="auto"/>
                    <w:left w:val="single" w:sz="8" w:space="0" w:color="auto"/>
                    <w:bottom w:val="single" w:sz="8" w:space="0" w:color="auto"/>
                    <w:right w:val="single" w:sz="8" w:space="0" w:color="auto"/>
                  </w:tcBorders>
                </w:tcPr>
                <w:p w:rsidR="00A97702" w:rsidRPr="00031CFA" w:rsidRDefault="00A97702" w:rsidP="00DA1C9D">
                  <w:pPr>
                    <w:pStyle w:val="text"/>
                    <w:spacing w:before="60" w:after="60" w:line="240" w:lineRule="atLeast"/>
                    <w:jc w:val="center"/>
                    <w:rPr>
                      <w:rFonts w:ascii="Arial" w:hAnsi="Arial" w:cs="Arial"/>
                      <w:b/>
                      <w:i/>
                      <w:sz w:val="18"/>
                      <w:szCs w:val="18"/>
                    </w:rPr>
                  </w:pPr>
                  <w:r w:rsidRPr="00031CFA">
                    <w:rPr>
                      <w:rFonts w:ascii="Arial" w:hAnsi="Arial" w:cs="Arial"/>
                      <w:b/>
                      <w:i/>
                      <w:sz w:val="18"/>
                      <w:szCs w:val="18"/>
                    </w:rPr>
                    <w:t>NL</w:t>
                  </w:r>
                </w:p>
              </w:tc>
              <w:tc>
                <w:tcPr>
                  <w:tcW w:w="1038" w:type="dxa"/>
                  <w:tcBorders>
                    <w:top w:val="single" w:sz="8" w:space="0" w:color="auto"/>
                    <w:left w:val="single" w:sz="8" w:space="0" w:color="auto"/>
                    <w:bottom w:val="single" w:sz="8" w:space="0" w:color="auto"/>
                    <w:right w:val="single" w:sz="8" w:space="0" w:color="auto"/>
                  </w:tcBorders>
                </w:tcPr>
                <w:p w:rsidR="00A97702" w:rsidRPr="00031CFA" w:rsidRDefault="00A97702" w:rsidP="00DA1C9D">
                  <w:pPr>
                    <w:pStyle w:val="text"/>
                    <w:spacing w:before="60" w:after="60" w:line="240" w:lineRule="atLeast"/>
                    <w:jc w:val="center"/>
                    <w:rPr>
                      <w:rFonts w:ascii="Arial" w:hAnsi="Arial" w:cs="Arial"/>
                      <w:b/>
                      <w:i/>
                      <w:sz w:val="18"/>
                      <w:szCs w:val="18"/>
                    </w:rPr>
                  </w:pPr>
                  <w:r w:rsidRPr="00031CFA">
                    <w:rPr>
                      <w:rFonts w:ascii="Arial" w:hAnsi="Arial" w:cs="Arial"/>
                      <w:b/>
                      <w:i/>
                      <w:sz w:val="18"/>
                      <w:szCs w:val="18"/>
                    </w:rPr>
                    <w:t>NL</w:t>
                  </w:r>
                </w:p>
              </w:tc>
              <w:tc>
                <w:tcPr>
                  <w:tcW w:w="1038" w:type="dxa"/>
                  <w:tcBorders>
                    <w:top w:val="single" w:sz="8" w:space="0" w:color="auto"/>
                    <w:left w:val="single" w:sz="8" w:space="0" w:color="auto"/>
                    <w:bottom w:val="single" w:sz="8" w:space="0" w:color="auto"/>
                    <w:right w:val="single" w:sz="8" w:space="0" w:color="auto"/>
                  </w:tcBorders>
                </w:tcPr>
                <w:p w:rsidR="00A97702" w:rsidRPr="00031CFA" w:rsidRDefault="00A97702" w:rsidP="00DA1C9D">
                  <w:pPr>
                    <w:pStyle w:val="text"/>
                    <w:spacing w:before="60" w:after="60" w:line="240" w:lineRule="atLeast"/>
                    <w:jc w:val="center"/>
                    <w:rPr>
                      <w:rFonts w:ascii="Arial" w:hAnsi="Arial" w:cs="Arial"/>
                      <w:b/>
                      <w:i/>
                      <w:sz w:val="18"/>
                      <w:szCs w:val="18"/>
                    </w:rPr>
                  </w:pPr>
                  <w:r w:rsidRPr="00031CFA">
                    <w:rPr>
                      <w:rFonts w:ascii="Arial" w:hAnsi="Arial" w:cs="Arial"/>
                      <w:b/>
                      <w:i/>
                      <w:sz w:val="18"/>
                      <w:szCs w:val="18"/>
                    </w:rPr>
                    <w:t>NL</w:t>
                  </w:r>
                </w:p>
              </w:tc>
            </w:tr>
          </w:tbl>
          <w:p w:rsidR="00A97702" w:rsidRDefault="00A97702" w:rsidP="00DA1C9D">
            <w:pPr>
              <w:pStyle w:val="Note"/>
              <w:spacing w:before="0" w:after="0"/>
            </w:pPr>
            <w:r w:rsidRPr="006A3D51">
              <w:t>Note</w:t>
            </w:r>
            <w:r>
              <w:t>s</w:t>
            </w:r>
          </w:p>
          <w:p w:rsidR="00A97702" w:rsidRPr="006A3D51" w:rsidRDefault="00A97702" w:rsidP="00DA1C9D">
            <w:pPr>
              <w:pStyle w:val="NoteNumbered"/>
              <w:numPr>
                <w:ilvl w:val="0"/>
                <w:numId w:val="0"/>
              </w:numPr>
              <w:ind w:left="426"/>
            </w:pPr>
            <w:r w:rsidRPr="005E68E9">
              <w:t xml:space="preserve">NL indicates the HSL is not limiting (see Footnote </w:t>
            </w:r>
            <w:r>
              <w:t>5</w:t>
            </w:r>
            <w:r w:rsidRPr="005E68E9">
              <w:t>, Table 1A(3)).</w:t>
            </w:r>
          </w:p>
          <w:p w:rsidR="00A97702" w:rsidRPr="006A3D51" w:rsidRDefault="00A97702" w:rsidP="00DA1C9D">
            <w:pPr>
              <w:pStyle w:val="NoteNumbered"/>
              <w:numPr>
                <w:ilvl w:val="0"/>
                <w:numId w:val="0"/>
              </w:numPr>
              <w:ind w:left="426"/>
            </w:pPr>
            <w:r>
              <w:t xml:space="preserve">N/A not applicable as these fractions are not volatile and hence are not </w:t>
            </w:r>
            <w:r w:rsidR="00134B66">
              <w:t>of concern for vapour intrusion</w:t>
            </w:r>
          </w:p>
          <w:p w:rsidR="00A97702" w:rsidRPr="00F601BA" w:rsidRDefault="00A97702" w:rsidP="00DA1C9D">
            <w:pPr>
              <w:pStyle w:val="NoteNumbered"/>
              <w:numPr>
                <w:ilvl w:val="0"/>
                <w:numId w:val="0"/>
              </w:numPr>
              <w:ind w:left="426"/>
            </w:pPr>
            <w:r>
              <w:t>Shaded and b</w:t>
            </w:r>
            <w:r w:rsidRPr="006A3D51">
              <w:t xml:space="preserve">old font </w:t>
            </w:r>
            <w:r>
              <w:t xml:space="preserve">for sample value </w:t>
            </w:r>
            <w:r w:rsidRPr="006A3D51">
              <w:t xml:space="preserve">indicates </w:t>
            </w:r>
            <w:r>
              <w:t xml:space="preserve">relevant </w:t>
            </w:r>
            <w:r w:rsidRPr="006A3D51">
              <w:t>HSL exceeded</w:t>
            </w:r>
          </w:p>
          <w:p w:rsidR="00A97702" w:rsidRPr="00F601BA" w:rsidRDefault="00A97702" w:rsidP="00DA1C9D">
            <w:pPr>
              <w:pStyle w:val="text"/>
              <w:keepNext/>
              <w:rPr>
                <w:sz w:val="20"/>
              </w:rPr>
            </w:pPr>
            <w:r w:rsidRPr="00F601BA">
              <w:rPr>
                <w:b/>
                <w:bCs/>
                <w:sz w:val="20"/>
              </w:rPr>
              <w:t xml:space="preserve">Groundwater </w:t>
            </w:r>
            <w:r>
              <w:rPr>
                <w:b/>
                <w:bCs/>
                <w:sz w:val="20"/>
              </w:rPr>
              <w:t xml:space="preserve">(site maximum concentration) </w:t>
            </w:r>
            <w:r w:rsidRPr="00F601BA">
              <w:rPr>
                <w:b/>
                <w:bCs/>
                <w:sz w:val="20"/>
              </w:rPr>
              <w:t xml:space="preserve">values mg/L, refer </w:t>
            </w:r>
            <w:r w:rsidRPr="005E68E9">
              <w:rPr>
                <w:b/>
                <w:bCs/>
                <w:sz w:val="20"/>
              </w:rPr>
              <w:t>Table 1A(4)</w:t>
            </w:r>
            <w:r w:rsidRPr="00F601BA">
              <w:rPr>
                <w:b/>
                <w:bCs/>
                <w:sz w:val="20"/>
              </w:rPr>
              <w:t xml:space="preserve"> for groundwater HSLs </w:t>
            </w:r>
            <w:r>
              <w:rPr>
                <w:b/>
                <w:bCs/>
                <w:sz w:val="20"/>
              </w:rPr>
              <w:t>(silt, 4 m to &lt;8 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
              <w:gridCol w:w="1036"/>
              <w:gridCol w:w="1036"/>
              <w:gridCol w:w="1036"/>
              <w:gridCol w:w="1035"/>
              <w:gridCol w:w="1036"/>
              <w:gridCol w:w="1036"/>
              <w:gridCol w:w="1036"/>
              <w:gridCol w:w="1036"/>
            </w:tblGrid>
            <w:tr w:rsidR="00A97702" w:rsidRPr="0016384B" w:rsidTr="00DA1C9D">
              <w:tc>
                <w:tcPr>
                  <w:tcW w:w="1035"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keepNext/>
                    <w:keepLines/>
                    <w:spacing w:before="60" w:after="60" w:line="240" w:lineRule="atLeast"/>
                    <w:jc w:val="center"/>
                    <w:rPr>
                      <w:rFonts w:ascii="Arial" w:hAnsi="Arial" w:cs="Arial"/>
                      <w:b/>
                      <w:sz w:val="18"/>
                      <w:szCs w:val="18"/>
                    </w:rPr>
                  </w:pPr>
                  <w:r>
                    <w:rPr>
                      <w:rFonts w:ascii="Arial" w:hAnsi="Arial" w:cs="Arial"/>
                      <w:b/>
                      <w:sz w:val="18"/>
                      <w:szCs w:val="18"/>
                    </w:rPr>
                    <w:t xml:space="preserve"> </w:t>
                  </w:r>
                </w:p>
              </w:tc>
              <w:tc>
                <w:tcPr>
                  <w:tcW w:w="1036"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F1</w:t>
                  </w:r>
                </w:p>
              </w:tc>
              <w:tc>
                <w:tcPr>
                  <w:tcW w:w="1036"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F2</w:t>
                  </w:r>
                </w:p>
              </w:tc>
              <w:tc>
                <w:tcPr>
                  <w:tcW w:w="1036"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F3</w:t>
                  </w:r>
                </w:p>
              </w:tc>
              <w:tc>
                <w:tcPr>
                  <w:tcW w:w="1035"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F4</w:t>
                  </w:r>
                </w:p>
              </w:tc>
              <w:tc>
                <w:tcPr>
                  <w:tcW w:w="1036"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B</w:t>
                  </w:r>
                </w:p>
              </w:tc>
              <w:tc>
                <w:tcPr>
                  <w:tcW w:w="1036"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T</w:t>
                  </w:r>
                </w:p>
              </w:tc>
              <w:tc>
                <w:tcPr>
                  <w:tcW w:w="1036"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E</w:t>
                  </w:r>
                </w:p>
              </w:tc>
              <w:tc>
                <w:tcPr>
                  <w:tcW w:w="1036"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X</w:t>
                  </w:r>
                </w:p>
              </w:tc>
            </w:tr>
            <w:tr w:rsidR="00A97702" w:rsidRPr="0016384B" w:rsidTr="00DA1C9D">
              <w:tc>
                <w:tcPr>
                  <w:tcW w:w="1035"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MW1</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1.3</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0.9</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5"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7</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16</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12</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35</w:t>
                  </w:r>
                </w:p>
              </w:tc>
            </w:tr>
            <w:tr w:rsidR="00A97702" w:rsidRPr="0016384B" w:rsidTr="00DA1C9D">
              <w:tc>
                <w:tcPr>
                  <w:tcW w:w="1035"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MW2</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0.5</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5"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4</w:t>
                  </w:r>
                </w:p>
              </w:tc>
            </w:tr>
            <w:tr w:rsidR="00A97702" w:rsidRPr="0016384B" w:rsidTr="00DA1C9D">
              <w:tc>
                <w:tcPr>
                  <w:tcW w:w="1035"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MW3</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2.7</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1.1</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5"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&lt;LOR</w:t>
                  </w:r>
                </w:p>
              </w:tc>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8</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17</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23</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sz w:val="18"/>
                      <w:szCs w:val="18"/>
                      <w:lang w:val="es-CL"/>
                    </w:rPr>
                  </w:pPr>
                  <w:r w:rsidRPr="00A97702">
                    <w:rPr>
                      <w:rFonts w:ascii="Arial" w:hAnsi="Arial" w:cs="Arial"/>
                      <w:sz w:val="18"/>
                      <w:szCs w:val="18"/>
                      <w:lang w:val="es-CL"/>
                    </w:rPr>
                    <w:t>42</w:t>
                  </w:r>
                </w:p>
              </w:tc>
            </w:tr>
            <w:tr w:rsidR="00A97702" w:rsidRPr="0016384B" w:rsidTr="00DA1C9D">
              <w:tc>
                <w:tcPr>
                  <w:tcW w:w="1035" w:type="dxa"/>
                  <w:tcBorders>
                    <w:top w:val="single" w:sz="4" w:space="0" w:color="auto"/>
                    <w:left w:val="single" w:sz="4" w:space="0" w:color="auto"/>
                    <w:bottom w:val="single" w:sz="4" w:space="0" w:color="auto"/>
                    <w:right w:val="single" w:sz="4" w:space="0" w:color="auto"/>
                  </w:tcBorders>
                  <w:shd w:val="clear" w:color="auto" w:fill="F2F2F2"/>
                </w:tcPr>
                <w:p w:rsidR="00A97702" w:rsidRPr="00A97702" w:rsidRDefault="00A97702" w:rsidP="00DA1C9D">
                  <w:pPr>
                    <w:keepNext/>
                    <w:keepLines/>
                    <w:spacing w:before="60" w:after="60" w:line="240" w:lineRule="atLeast"/>
                    <w:jc w:val="center"/>
                    <w:rPr>
                      <w:rFonts w:ascii="Arial" w:hAnsi="Arial" w:cs="Arial"/>
                      <w:b/>
                      <w:sz w:val="18"/>
                      <w:szCs w:val="18"/>
                      <w:lang w:val="es-CL"/>
                    </w:rPr>
                  </w:pPr>
                  <w:r w:rsidRPr="00A97702">
                    <w:rPr>
                      <w:rFonts w:ascii="Arial" w:hAnsi="Arial" w:cs="Arial"/>
                      <w:b/>
                      <w:sz w:val="18"/>
                      <w:szCs w:val="18"/>
                      <w:lang w:val="es-CL"/>
                    </w:rPr>
                    <w:t>HSL A</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b/>
                      <w:i/>
                      <w:sz w:val="18"/>
                      <w:szCs w:val="18"/>
                      <w:lang w:val="es-CL"/>
                    </w:rPr>
                  </w:pPr>
                  <w:r w:rsidRPr="00A97702">
                    <w:rPr>
                      <w:rFonts w:ascii="Arial" w:hAnsi="Arial" w:cs="Arial"/>
                      <w:b/>
                      <w:i/>
                      <w:sz w:val="18"/>
                      <w:szCs w:val="18"/>
                      <w:lang w:val="es-CL"/>
                    </w:rPr>
                    <w:t>6</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b/>
                      <w:i/>
                      <w:sz w:val="18"/>
                      <w:szCs w:val="18"/>
                      <w:lang w:val="es-CL"/>
                    </w:rPr>
                  </w:pPr>
                  <w:r w:rsidRPr="00A97702">
                    <w:rPr>
                      <w:rFonts w:ascii="Arial" w:hAnsi="Arial" w:cs="Arial"/>
                      <w:b/>
                      <w:i/>
                      <w:sz w:val="18"/>
                      <w:szCs w:val="18"/>
                      <w:lang w:val="es-CL"/>
                    </w:rPr>
                    <w:t>NL</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b/>
                      <w:i/>
                      <w:sz w:val="18"/>
                      <w:szCs w:val="18"/>
                      <w:lang w:val="es-CL"/>
                    </w:rPr>
                  </w:pPr>
                  <w:r w:rsidRPr="00A97702">
                    <w:rPr>
                      <w:rFonts w:ascii="Arial" w:hAnsi="Arial" w:cs="Arial"/>
                      <w:b/>
                      <w:i/>
                      <w:sz w:val="18"/>
                      <w:szCs w:val="18"/>
                      <w:lang w:val="es-CL"/>
                    </w:rPr>
                    <w:t>N/A</w:t>
                  </w:r>
                </w:p>
              </w:tc>
              <w:tc>
                <w:tcPr>
                  <w:tcW w:w="1035"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b/>
                      <w:i/>
                      <w:sz w:val="18"/>
                      <w:szCs w:val="18"/>
                      <w:lang w:val="es-CL"/>
                    </w:rPr>
                  </w:pPr>
                  <w:r w:rsidRPr="00A97702">
                    <w:rPr>
                      <w:rFonts w:ascii="Arial" w:hAnsi="Arial" w:cs="Arial"/>
                      <w:b/>
                      <w:i/>
                      <w:sz w:val="18"/>
                      <w:szCs w:val="18"/>
                      <w:lang w:val="es-CL"/>
                    </w:rPr>
                    <w:t>N/A</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b/>
                      <w:i/>
                      <w:sz w:val="18"/>
                      <w:szCs w:val="18"/>
                      <w:lang w:val="es-CL"/>
                    </w:rPr>
                  </w:pPr>
                  <w:r w:rsidRPr="00A97702">
                    <w:rPr>
                      <w:rFonts w:ascii="Arial" w:hAnsi="Arial" w:cs="Arial"/>
                      <w:b/>
                      <w:i/>
                      <w:sz w:val="18"/>
                      <w:szCs w:val="18"/>
                      <w:lang w:val="es-CL"/>
                    </w:rPr>
                    <w:t>5</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b/>
                      <w:i/>
                      <w:sz w:val="18"/>
                      <w:szCs w:val="18"/>
                      <w:lang w:val="es-CL"/>
                    </w:rPr>
                  </w:pPr>
                  <w:r w:rsidRPr="00A97702">
                    <w:rPr>
                      <w:rFonts w:ascii="Arial" w:hAnsi="Arial" w:cs="Arial"/>
                      <w:b/>
                      <w:i/>
                      <w:sz w:val="18"/>
                      <w:szCs w:val="18"/>
                      <w:lang w:val="es-CL"/>
                    </w:rPr>
                    <w:t>NL</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b/>
                      <w:i/>
                      <w:sz w:val="18"/>
                      <w:szCs w:val="18"/>
                      <w:lang w:val="es-CL"/>
                    </w:rPr>
                  </w:pPr>
                  <w:r w:rsidRPr="00A97702">
                    <w:rPr>
                      <w:rFonts w:ascii="Arial" w:hAnsi="Arial" w:cs="Arial"/>
                      <w:b/>
                      <w:i/>
                      <w:sz w:val="18"/>
                      <w:szCs w:val="18"/>
                      <w:lang w:val="es-CL"/>
                    </w:rPr>
                    <w:t>NL</w:t>
                  </w:r>
                </w:p>
              </w:tc>
              <w:tc>
                <w:tcPr>
                  <w:tcW w:w="1036" w:type="dxa"/>
                  <w:tcBorders>
                    <w:top w:val="single" w:sz="4" w:space="0" w:color="auto"/>
                    <w:left w:val="single" w:sz="4" w:space="0" w:color="auto"/>
                    <w:bottom w:val="single" w:sz="4" w:space="0" w:color="auto"/>
                    <w:right w:val="single" w:sz="4" w:space="0" w:color="auto"/>
                  </w:tcBorders>
                </w:tcPr>
                <w:p w:rsidR="00A97702" w:rsidRPr="00A97702" w:rsidRDefault="00A97702" w:rsidP="00DA1C9D">
                  <w:pPr>
                    <w:keepNext/>
                    <w:keepLines/>
                    <w:spacing w:before="60" w:after="60" w:line="240" w:lineRule="atLeast"/>
                    <w:jc w:val="center"/>
                    <w:rPr>
                      <w:rFonts w:ascii="Arial" w:hAnsi="Arial" w:cs="Arial"/>
                      <w:b/>
                      <w:i/>
                      <w:sz w:val="18"/>
                      <w:szCs w:val="18"/>
                      <w:lang w:val="es-CL"/>
                    </w:rPr>
                  </w:pPr>
                  <w:r w:rsidRPr="00A97702">
                    <w:rPr>
                      <w:rFonts w:ascii="Arial" w:hAnsi="Arial" w:cs="Arial"/>
                      <w:b/>
                      <w:i/>
                      <w:sz w:val="18"/>
                      <w:szCs w:val="18"/>
                      <w:lang w:val="es-CL"/>
                    </w:rPr>
                    <w:t>NL</w:t>
                  </w:r>
                </w:p>
              </w:tc>
            </w:tr>
          </w:tbl>
          <w:p w:rsidR="00A97702" w:rsidRPr="00A97702" w:rsidRDefault="00A97702" w:rsidP="00DA1C9D">
            <w:pPr>
              <w:keepNext/>
              <w:keepLines/>
              <w:rPr>
                <w:sz w:val="8"/>
                <w:lang w:val="es-CL"/>
              </w:rPr>
            </w:pPr>
          </w:p>
          <w:p w:rsidR="00A97702" w:rsidRPr="00A97702" w:rsidRDefault="00A97702" w:rsidP="00DA1C9D">
            <w:pPr>
              <w:pStyle w:val="Note"/>
              <w:keepNext/>
              <w:spacing w:before="0" w:after="0"/>
              <w:rPr>
                <w:lang w:val="es-CL"/>
              </w:rPr>
            </w:pPr>
            <w:r w:rsidRPr="00A97702">
              <w:rPr>
                <w:lang w:val="es-CL"/>
              </w:rPr>
              <w:t>Notes</w:t>
            </w:r>
            <w:r w:rsidRPr="00A97702">
              <w:rPr>
                <w:lang w:val="es-CL"/>
              </w:rPr>
              <w:tab/>
            </w:r>
          </w:p>
          <w:p w:rsidR="00A97702" w:rsidRPr="006A3D51" w:rsidRDefault="00A97702" w:rsidP="00DA1C9D">
            <w:pPr>
              <w:pStyle w:val="NoteNumbered"/>
              <w:numPr>
                <w:ilvl w:val="0"/>
                <w:numId w:val="0"/>
              </w:numPr>
              <w:ind w:left="426"/>
            </w:pPr>
            <w:r w:rsidRPr="006A3D51">
              <w:t xml:space="preserve">LOR is the limit of reporting.  </w:t>
            </w:r>
          </w:p>
          <w:p w:rsidR="00A97702" w:rsidRDefault="00A97702" w:rsidP="00DA1C9D">
            <w:pPr>
              <w:pStyle w:val="NoteNumbered"/>
              <w:numPr>
                <w:ilvl w:val="0"/>
                <w:numId w:val="0"/>
              </w:numPr>
              <w:ind w:left="426"/>
            </w:pPr>
            <w:r w:rsidRPr="005E68E9">
              <w:t>NL indicates the HSL is not limiting (see Footnote 4, Table 1A(4)).</w:t>
            </w:r>
          </w:p>
          <w:p w:rsidR="00A97702" w:rsidRPr="006A3D51" w:rsidRDefault="00A97702" w:rsidP="00DA1C9D">
            <w:pPr>
              <w:pStyle w:val="NoteNumbered"/>
              <w:numPr>
                <w:ilvl w:val="0"/>
                <w:numId w:val="0"/>
              </w:numPr>
              <w:ind w:left="426"/>
            </w:pPr>
            <w:r>
              <w:t>N/A not applicable as these fractions are non-volatile and hence are not of concern for vapour intrusion</w:t>
            </w:r>
          </w:p>
          <w:p w:rsidR="00A97702" w:rsidRDefault="00A97702" w:rsidP="00DA1C9D">
            <w:pPr>
              <w:pStyle w:val="NoteNumbered"/>
              <w:numPr>
                <w:ilvl w:val="0"/>
                <w:numId w:val="0"/>
              </w:numPr>
              <w:ind w:left="426"/>
            </w:pPr>
            <w:r>
              <w:t>Shaded and b</w:t>
            </w:r>
            <w:r w:rsidRPr="006A3D51">
              <w:t xml:space="preserve">old font </w:t>
            </w:r>
            <w:r>
              <w:t xml:space="preserve">for sample value </w:t>
            </w:r>
            <w:r w:rsidRPr="006A3D51">
              <w:t xml:space="preserve">indicates </w:t>
            </w:r>
            <w:r>
              <w:t xml:space="preserve">relevant </w:t>
            </w:r>
            <w:r w:rsidRPr="006A3D51">
              <w:t>HSL exceeded</w:t>
            </w:r>
          </w:p>
          <w:p w:rsidR="00A97702" w:rsidRPr="00F601BA" w:rsidRDefault="00A97702" w:rsidP="00DA1C9D">
            <w:pPr>
              <w:pStyle w:val="text"/>
              <w:keepNext/>
              <w:rPr>
                <w:sz w:val="16"/>
                <w:u w:val="single"/>
              </w:rPr>
            </w:pPr>
            <w:r w:rsidRPr="00F601BA">
              <w:rPr>
                <w:b/>
                <w:szCs w:val="22"/>
                <w:u w:val="single"/>
              </w:rPr>
              <w:t>Step 2:</w:t>
            </w:r>
            <w:r w:rsidRPr="00F601BA">
              <w:rPr>
                <w:b/>
                <w:szCs w:val="22"/>
                <w:u w:val="single"/>
              </w:rPr>
              <w:tab/>
              <w:t>Tier 1 risk assessment</w:t>
            </w:r>
          </w:p>
          <w:p w:rsidR="00A97702" w:rsidRDefault="00A97702" w:rsidP="00A97702">
            <w:pPr>
              <w:pStyle w:val="text"/>
              <w:keepNext/>
              <w:numPr>
                <w:ilvl w:val="0"/>
                <w:numId w:val="21"/>
              </w:numPr>
              <w:rPr>
                <w:sz w:val="20"/>
              </w:rPr>
            </w:pPr>
            <w:r w:rsidRPr="00F601BA">
              <w:rPr>
                <w:b/>
                <w:sz w:val="20"/>
              </w:rPr>
              <w:t xml:space="preserve">Are site values greater than </w:t>
            </w:r>
            <w:r>
              <w:rPr>
                <w:b/>
                <w:sz w:val="20"/>
              </w:rPr>
              <w:t xml:space="preserve">soil and groundwater </w:t>
            </w:r>
            <w:r w:rsidRPr="00F601BA">
              <w:rPr>
                <w:b/>
                <w:sz w:val="20"/>
              </w:rPr>
              <w:t>HSLs</w:t>
            </w:r>
            <w:r>
              <w:rPr>
                <w:b/>
                <w:sz w:val="20"/>
              </w:rPr>
              <w:t xml:space="preserve"> for assessing vapour intrusion risks</w:t>
            </w:r>
            <w:r w:rsidRPr="00F601BA">
              <w:rPr>
                <w:sz w:val="20"/>
              </w:rPr>
              <w:t xml:space="preserve">?  </w:t>
            </w:r>
            <w:r w:rsidRPr="00F601BA">
              <w:rPr>
                <w:b/>
                <w:i/>
                <w:sz w:val="20"/>
                <w:u w:val="single"/>
              </w:rPr>
              <w:t>YES</w:t>
            </w:r>
            <w:r w:rsidRPr="00F601BA">
              <w:rPr>
                <w:b/>
                <w:i/>
                <w:sz w:val="20"/>
              </w:rPr>
              <w:t xml:space="preserve">, </w:t>
            </w:r>
            <w:r w:rsidRPr="00F601BA">
              <w:rPr>
                <w:i/>
                <w:sz w:val="20"/>
              </w:rPr>
              <w:t>elevated F1 and benzene in soil and elevated benzene in groundwater.</w:t>
            </w:r>
          </w:p>
          <w:p w:rsidR="00A97702" w:rsidRDefault="00A97702" w:rsidP="00A97702">
            <w:pPr>
              <w:pStyle w:val="text"/>
              <w:numPr>
                <w:ilvl w:val="0"/>
                <w:numId w:val="21"/>
              </w:numPr>
              <w:rPr>
                <w:sz w:val="20"/>
              </w:rPr>
            </w:pPr>
            <w:r w:rsidRPr="00F601BA">
              <w:rPr>
                <w:b/>
                <w:sz w:val="20"/>
              </w:rPr>
              <w:t>Is biodegradation applicable?</w:t>
            </w:r>
            <w:r w:rsidRPr="00F601BA">
              <w:rPr>
                <w:sz w:val="20"/>
              </w:rPr>
              <w:t xml:space="preserve">  </w:t>
            </w:r>
            <w:r w:rsidRPr="005E68E9">
              <w:rPr>
                <w:b/>
                <w:i/>
                <w:sz w:val="20"/>
                <w:u w:val="single"/>
              </w:rPr>
              <w:t xml:space="preserve">YES </w:t>
            </w:r>
            <w:r w:rsidRPr="00D93C8F">
              <w:rPr>
                <w:i/>
                <w:sz w:val="20"/>
                <w:u w:val="single"/>
              </w:rPr>
              <w:t>(from consideration of likely</w:t>
            </w:r>
            <w:r>
              <w:rPr>
                <w:b/>
                <w:i/>
                <w:sz w:val="20"/>
                <w:u w:val="single"/>
              </w:rPr>
              <w:t xml:space="preserve"> </w:t>
            </w:r>
            <w:r w:rsidRPr="005E68E9">
              <w:rPr>
                <w:i/>
                <w:sz w:val="20"/>
              </w:rPr>
              <w:t xml:space="preserve">slab size </w:t>
            </w:r>
            <w:r>
              <w:rPr>
                <w:i/>
                <w:sz w:val="20"/>
              </w:rPr>
              <w:t xml:space="preserve">for a typical residential house </w:t>
            </w:r>
            <w:r w:rsidRPr="005E68E9">
              <w:rPr>
                <w:i/>
                <w:sz w:val="20"/>
              </w:rPr>
              <w:t xml:space="preserve">and oxygen content of </w:t>
            </w:r>
            <w:r>
              <w:rPr>
                <w:i/>
                <w:sz w:val="20"/>
              </w:rPr>
              <w:t>soil vapour</w:t>
            </w:r>
            <w:r w:rsidRPr="005E68E9">
              <w:rPr>
                <w:i/>
                <w:sz w:val="20"/>
              </w:rPr>
              <w:t xml:space="preserve"> at 1m) Adjust soil HSL</w:t>
            </w:r>
            <w:r>
              <w:rPr>
                <w:i/>
                <w:sz w:val="20"/>
              </w:rPr>
              <w:t>s</w:t>
            </w:r>
            <w:r w:rsidRPr="005E68E9">
              <w:rPr>
                <w:i/>
                <w:sz w:val="20"/>
              </w:rPr>
              <w:t xml:space="preserve"> x1</w:t>
            </w:r>
            <w:r>
              <w:rPr>
                <w:i/>
                <w:sz w:val="20"/>
              </w:rPr>
              <w:t>0</w:t>
            </w:r>
            <w:r w:rsidRPr="005E68E9">
              <w:rPr>
                <w:i/>
                <w:sz w:val="20"/>
              </w:rPr>
              <w:t xml:space="preserve"> </w:t>
            </w:r>
            <w:r>
              <w:rPr>
                <w:i/>
                <w:sz w:val="20"/>
              </w:rPr>
              <w:t xml:space="preserve">(soil depth 2 – 4 m) </w:t>
            </w:r>
            <w:r w:rsidRPr="005E68E9">
              <w:rPr>
                <w:i/>
                <w:sz w:val="20"/>
              </w:rPr>
              <w:t>and groundwater HSL</w:t>
            </w:r>
            <w:r>
              <w:rPr>
                <w:i/>
                <w:sz w:val="20"/>
              </w:rPr>
              <w:t>s</w:t>
            </w:r>
            <w:r w:rsidRPr="005E68E9">
              <w:rPr>
                <w:i/>
                <w:sz w:val="20"/>
              </w:rPr>
              <w:t xml:space="preserve"> x100 </w:t>
            </w:r>
            <w:r>
              <w:rPr>
                <w:i/>
                <w:sz w:val="20"/>
              </w:rPr>
              <w:t xml:space="preserve">(depth to groundwater 6 m) </w:t>
            </w:r>
            <w:r w:rsidRPr="005E68E9">
              <w:rPr>
                <w:i/>
                <w:sz w:val="20"/>
              </w:rPr>
              <w:t xml:space="preserve">(see Notes Table 1A(3) </w:t>
            </w:r>
            <w:r>
              <w:rPr>
                <w:i/>
                <w:sz w:val="20"/>
              </w:rPr>
              <w:t>and T</w:t>
            </w:r>
            <w:r w:rsidRPr="005E68E9">
              <w:rPr>
                <w:i/>
                <w:sz w:val="20"/>
              </w:rPr>
              <w:t>able 1A(4)and Friebel &amp; Nadebaum 2011a).</w:t>
            </w:r>
            <w:r w:rsidRPr="005E68E9">
              <w:rPr>
                <w:sz w:val="20"/>
              </w:rPr>
              <w:t xml:space="preserve"> </w:t>
            </w:r>
          </w:p>
          <w:p w:rsidR="00A97702" w:rsidRPr="00F601BA" w:rsidRDefault="00A97702" w:rsidP="00DA1C9D">
            <w:pPr>
              <w:pStyle w:val="text"/>
              <w:rPr>
                <w:sz w:val="20"/>
              </w:rPr>
            </w:pPr>
            <w:r w:rsidRPr="00F601BA">
              <w:rPr>
                <w:b/>
                <w:bCs/>
                <w:sz w:val="20"/>
              </w:rPr>
              <w:t>Adjusted HSL values</w:t>
            </w:r>
            <w:r>
              <w:rPr>
                <w:b/>
                <w:bCs/>
                <w:sz w:val="20"/>
              </w:rPr>
              <w:t xml:space="preserve"> for soil and groundwater</w:t>
            </w:r>
            <w:r w:rsidRPr="00F601BA">
              <w:rPr>
                <w:b/>
                <w:bCs/>
                <w:sz w:val="20"/>
              </w:rPr>
              <w:t xml:space="preserve"> </w:t>
            </w:r>
            <w:r>
              <w:rPr>
                <w:b/>
                <w:bCs/>
                <w:sz w:val="20"/>
              </w:rPr>
              <w:t>–biodegradation factors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96"/>
              <w:gridCol w:w="999"/>
              <w:gridCol w:w="994"/>
              <w:gridCol w:w="994"/>
              <w:gridCol w:w="998"/>
              <w:gridCol w:w="998"/>
              <w:gridCol w:w="998"/>
              <w:gridCol w:w="998"/>
            </w:tblGrid>
            <w:tr w:rsidR="00A97702" w:rsidRPr="00D94798" w:rsidTr="00DA1C9D">
              <w:tc>
                <w:tcPr>
                  <w:tcW w:w="1413"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rPr>
                      <w:rFonts w:ascii="Arial" w:hAnsi="Arial" w:cs="Arial"/>
                      <w:b/>
                      <w:sz w:val="18"/>
                      <w:szCs w:val="18"/>
                    </w:rPr>
                  </w:pPr>
                  <w:r>
                    <w:rPr>
                      <w:rFonts w:ascii="Arial" w:hAnsi="Arial" w:cs="Arial"/>
                      <w:b/>
                      <w:sz w:val="18"/>
                      <w:szCs w:val="18"/>
                    </w:rPr>
                    <w:t xml:space="preserve"> HSL</w:t>
                  </w:r>
                </w:p>
              </w:tc>
              <w:tc>
                <w:tcPr>
                  <w:tcW w:w="896"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jc w:val="center"/>
                    <w:rPr>
                      <w:rFonts w:ascii="Arial" w:hAnsi="Arial" w:cs="Arial"/>
                      <w:b/>
                      <w:sz w:val="18"/>
                      <w:szCs w:val="18"/>
                    </w:rPr>
                  </w:pPr>
                  <w:r w:rsidRPr="002539E5">
                    <w:rPr>
                      <w:rFonts w:ascii="Arial" w:hAnsi="Arial" w:cs="Arial"/>
                      <w:b/>
                      <w:sz w:val="18"/>
                      <w:szCs w:val="18"/>
                    </w:rPr>
                    <w:t>F1</w:t>
                  </w:r>
                </w:p>
              </w:tc>
              <w:tc>
                <w:tcPr>
                  <w:tcW w:w="999"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jc w:val="center"/>
                    <w:rPr>
                      <w:rFonts w:ascii="Arial" w:hAnsi="Arial" w:cs="Arial"/>
                      <w:b/>
                      <w:sz w:val="18"/>
                      <w:szCs w:val="18"/>
                    </w:rPr>
                  </w:pPr>
                  <w:r w:rsidRPr="002539E5">
                    <w:rPr>
                      <w:rFonts w:ascii="Arial" w:hAnsi="Arial" w:cs="Arial"/>
                      <w:b/>
                      <w:sz w:val="18"/>
                      <w:szCs w:val="18"/>
                    </w:rPr>
                    <w:t>F2</w:t>
                  </w:r>
                </w:p>
              </w:tc>
              <w:tc>
                <w:tcPr>
                  <w:tcW w:w="994"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jc w:val="center"/>
                    <w:rPr>
                      <w:rFonts w:ascii="Arial" w:hAnsi="Arial" w:cs="Arial"/>
                      <w:b/>
                      <w:sz w:val="18"/>
                      <w:szCs w:val="18"/>
                    </w:rPr>
                  </w:pPr>
                  <w:r w:rsidRPr="002539E5">
                    <w:rPr>
                      <w:rFonts w:ascii="Arial" w:hAnsi="Arial" w:cs="Arial"/>
                      <w:b/>
                      <w:sz w:val="18"/>
                      <w:szCs w:val="18"/>
                    </w:rPr>
                    <w:t>F3</w:t>
                  </w:r>
                </w:p>
              </w:tc>
              <w:tc>
                <w:tcPr>
                  <w:tcW w:w="994"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jc w:val="center"/>
                    <w:rPr>
                      <w:rFonts w:ascii="Arial" w:hAnsi="Arial" w:cs="Arial"/>
                      <w:b/>
                      <w:sz w:val="18"/>
                      <w:szCs w:val="18"/>
                    </w:rPr>
                  </w:pPr>
                  <w:r w:rsidRPr="002539E5">
                    <w:rPr>
                      <w:rFonts w:ascii="Arial" w:hAnsi="Arial" w:cs="Arial"/>
                      <w:b/>
                      <w:sz w:val="18"/>
                      <w:szCs w:val="18"/>
                    </w:rPr>
                    <w:t>F4</w:t>
                  </w:r>
                </w:p>
              </w:tc>
              <w:tc>
                <w:tcPr>
                  <w:tcW w:w="998"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jc w:val="center"/>
                    <w:rPr>
                      <w:rFonts w:ascii="Arial" w:hAnsi="Arial" w:cs="Arial"/>
                      <w:b/>
                      <w:sz w:val="18"/>
                      <w:szCs w:val="18"/>
                    </w:rPr>
                  </w:pPr>
                  <w:r w:rsidRPr="002539E5">
                    <w:rPr>
                      <w:rFonts w:ascii="Arial" w:hAnsi="Arial" w:cs="Arial"/>
                      <w:b/>
                      <w:sz w:val="18"/>
                      <w:szCs w:val="18"/>
                    </w:rPr>
                    <w:t>B</w:t>
                  </w:r>
                </w:p>
              </w:tc>
              <w:tc>
                <w:tcPr>
                  <w:tcW w:w="998"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jc w:val="center"/>
                    <w:rPr>
                      <w:rFonts w:ascii="Arial" w:hAnsi="Arial" w:cs="Arial"/>
                      <w:b/>
                      <w:sz w:val="18"/>
                      <w:szCs w:val="18"/>
                    </w:rPr>
                  </w:pPr>
                  <w:r w:rsidRPr="002539E5">
                    <w:rPr>
                      <w:rFonts w:ascii="Arial" w:hAnsi="Arial" w:cs="Arial"/>
                      <w:b/>
                      <w:sz w:val="18"/>
                      <w:szCs w:val="18"/>
                    </w:rPr>
                    <w:t>T</w:t>
                  </w:r>
                </w:p>
              </w:tc>
              <w:tc>
                <w:tcPr>
                  <w:tcW w:w="998"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jc w:val="center"/>
                    <w:rPr>
                      <w:rFonts w:ascii="Arial" w:hAnsi="Arial" w:cs="Arial"/>
                      <w:b/>
                      <w:sz w:val="18"/>
                      <w:szCs w:val="18"/>
                    </w:rPr>
                  </w:pPr>
                  <w:r w:rsidRPr="002539E5">
                    <w:rPr>
                      <w:rFonts w:ascii="Arial" w:hAnsi="Arial" w:cs="Arial"/>
                      <w:b/>
                      <w:sz w:val="18"/>
                      <w:szCs w:val="18"/>
                    </w:rPr>
                    <w:t>E</w:t>
                  </w:r>
                </w:p>
              </w:tc>
              <w:tc>
                <w:tcPr>
                  <w:tcW w:w="998"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jc w:val="center"/>
                    <w:rPr>
                      <w:rFonts w:ascii="Arial" w:hAnsi="Arial" w:cs="Arial"/>
                      <w:b/>
                      <w:sz w:val="18"/>
                      <w:szCs w:val="18"/>
                    </w:rPr>
                  </w:pPr>
                  <w:r w:rsidRPr="002539E5">
                    <w:rPr>
                      <w:rFonts w:ascii="Arial" w:hAnsi="Arial" w:cs="Arial"/>
                      <w:b/>
                      <w:sz w:val="18"/>
                      <w:szCs w:val="18"/>
                    </w:rPr>
                    <w:t>X</w:t>
                  </w:r>
                </w:p>
              </w:tc>
            </w:tr>
            <w:tr w:rsidR="00A97702" w:rsidRPr="00D94798" w:rsidTr="00DA1C9D">
              <w:tc>
                <w:tcPr>
                  <w:tcW w:w="1413" w:type="dxa"/>
                  <w:tcBorders>
                    <w:top w:val="single" w:sz="4" w:space="0" w:color="auto"/>
                    <w:left w:val="single" w:sz="4" w:space="0" w:color="auto"/>
                    <w:bottom w:val="single" w:sz="4" w:space="0" w:color="auto"/>
                    <w:right w:val="single" w:sz="4" w:space="0" w:color="auto"/>
                  </w:tcBorders>
                  <w:shd w:val="clear" w:color="auto" w:fill="F2F2F2"/>
                </w:tcPr>
                <w:p w:rsidR="00A97702" w:rsidRPr="002539E5" w:rsidRDefault="00A97702" w:rsidP="00DA1C9D">
                  <w:pPr>
                    <w:pStyle w:val="text"/>
                    <w:spacing w:before="60" w:after="60" w:line="240" w:lineRule="atLeast"/>
                    <w:rPr>
                      <w:rFonts w:ascii="Arial" w:hAnsi="Arial" w:cs="Arial"/>
                      <w:b/>
                      <w:sz w:val="18"/>
                      <w:szCs w:val="18"/>
                    </w:rPr>
                  </w:pPr>
                  <w:r w:rsidRPr="002539E5">
                    <w:rPr>
                      <w:rFonts w:ascii="Arial" w:hAnsi="Arial" w:cs="Arial"/>
                      <w:b/>
                      <w:sz w:val="18"/>
                      <w:szCs w:val="18"/>
                    </w:rPr>
                    <w:t xml:space="preserve">Soil </w:t>
                  </w:r>
                  <w:r>
                    <w:rPr>
                      <w:rFonts w:ascii="Arial" w:hAnsi="Arial" w:cs="Arial"/>
                      <w:b/>
                      <w:sz w:val="18"/>
                      <w:szCs w:val="18"/>
                    </w:rPr>
                    <w:t>2-4 m</w:t>
                  </w:r>
                </w:p>
              </w:tc>
              <w:tc>
                <w:tcPr>
                  <w:tcW w:w="896" w:type="dxa"/>
                  <w:tcBorders>
                    <w:top w:val="single" w:sz="4" w:space="0" w:color="auto"/>
                    <w:left w:val="single" w:sz="4" w:space="0" w:color="auto"/>
                    <w:bottom w:val="single" w:sz="4" w:space="0" w:color="auto"/>
                    <w:right w:val="single" w:sz="4" w:space="0" w:color="auto"/>
                  </w:tcBorders>
                </w:tcPr>
                <w:p w:rsidR="00A97702" w:rsidRPr="005E68E9" w:rsidRDefault="00A97702" w:rsidP="00DA1C9D">
                  <w:pPr>
                    <w:pStyle w:val="text"/>
                    <w:spacing w:before="60" w:after="60" w:line="240" w:lineRule="atLeast"/>
                    <w:jc w:val="center"/>
                    <w:rPr>
                      <w:rFonts w:ascii="Arial" w:hAnsi="Arial" w:cs="Arial"/>
                      <w:i/>
                      <w:sz w:val="18"/>
                      <w:szCs w:val="18"/>
                    </w:rPr>
                  </w:pPr>
                  <w:r w:rsidRPr="005E68E9">
                    <w:rPr>
                      <w:rFonts w:ascii="Arial" w:hAnsi="Arial" w:cs="Arial"/>
                      <w:i/>
                      <w:sz w:val="18"/>
                      <w:szCs w:val="18"/>
                    </w:rPr>
                    <w:t>NL</w:t>
                  </w:r>
                </w:p>
              </w:tc>
              <w:tc>
                <w:tcPr>
                  <w:tcW w:w="999" w:type="dxa"/>
                  <w:tcBorders>
                    <w:top w:val="single" w:sz="4" w:space="0" w:color="auto"/>
                    <w:left w:val="single" w:sz="4" w:space="0" w:color="auto"/>
                    <w:bottom w:val="single" w:sz="4" w:space="0" w:color="auto"/>
                    <w:right w:val="single" w:sz="4" w:space="0" w:color="auto"/>
                  </w:tcBorders>
                </w:tcPr>
                <w:p w:rsidR="00A97702" w:rsidRPr="005E68E9" w:rsidRDefault="00A97702" w:rsidP="00DA1C9D">
                  <w:pPr>
                    <w:pStyle w:val="text"/>
                    <w:spacing w:before="60" w:after="60" w:line="240" w:lineRule="atLeast"/>
                    <w:jc w:val="center"/>
                    <w:rPr>
                      <w:rFonts w:ascii="Arial" w:hAnsi="Arial" w:cs="Arial"/>
                      <w:i/>
                      <w:sz w:val="18"/>
                      <w:szCs w:val="18"/>
                    </w:rPr>
                  </w:pPr>
                  <w:r w:rsidRPr="005E68E9">
                    <w:rPr>
                      <w:rFonts w:ascii="Arial" w:hAnsi="Arial" w:cs="Arial"/>
                      <w:i/>
                      <w:sz w:val="18"/>
                      <w:szCs w:val="18"/>
                    </w:rPr>
                    <w:t>NL</w:t>
                  </w:r>
                </w:p>
              </w:tc>
              <w:tc>
                <w:tcPr>
                  <w:tcW w:w="994" w:type="dxa"/>
                  <w:tcBorders>
                    <w:top w:val="single" w:sz="4" w:space="0" w:color="auto"/>
                    <w:left w:val="single" w:sz="4" w:space="0" w:color="auto"/>
                    <w:bottom w:val="single" w:sz="4" w:space="0" w:color="auto"/>
                    <w:right w:val="single" w:sz="4" w:space="0" w:color="auto"/>
                  </w:tcBorders>
                </w:tcPr>
                <w:p w:rsidR="00A97702" w:rsidRPr="005E68E9" w:rsidRDefault="00A97702" w:rsidP="00DA1C9D">
                  <w:pPr>
                    <w:pStyle w:val="text"/>
                    <w:spacing w:before="60" w:after="60" w:line="240" w:lineRule="atLeast"/>
                    <w:jc w:val="center"/>
                    <w:rPr>
                      <w:rFonts w:ascii="Arial" w:hAnsi="Arial" w:cs="Arial"/>
                      <w:i/>
                      <w:sz w:val="18"/>
                      <w:szCs w:val="18"/>
                    </w:rPr>
                  </w:pPr>
                  <w:r w:rsidRPr="005E68E9">
                    <w:rPr>
                      <w:rFonts w:ascii="Arial" w:hAnsi="Arial" w:cs="Arial"/>
                      <w:i/>
                      <w:sz w:val="18"/>
                      <w:szCs w:val="18"/>
                    </w:rPr>
                    <w:t>N/A</w:t>
                  </w:r>
                </w:p>
              </w:tc>
              <w:tc>
                <w:tcPr>
                  <w:tcW w:w="994" w:type="dxa"/>
                  <w:tcBorders>
                    <w:top w:val="single" w:sz="4" w:space="0" w:color="auto"/>
                    <w:left w:val="single" w:sz="4" w:space="0" w:color="auto"/>
                    <w:bottom w:val="single" w:sz="4" w:space="0" w:color="auto"/>
                    <w:right w:val="single" w:sz="4" w:space="0" w:color="auto"/>
                  </w:tcBorders>
                </w:tcPr>
                <w:p w:rsidR="00A97702" w:rsidRPr="005E68E9" w:rsidRDefault="00A97702" w:rsidP="00DA1C9D">
                  <w:pPr>
                    <w:pStyle w:val="text"/>
                    <w:spacing w:before="60" w:after="60" w:line="240" w:lineRule="atLeast"/>
                    <w:jc w:val="center"/>
                    <w:rPr>
                      <w:rFonts w:ascii="Arial" w:hAnsi="Arial" w:cs="Arial"/>
                      <w:i/>
                      <w:sz w:val="18"/>
                      <w:szCs w:val="18"/>
                    </w:rPr>
                  </w:pPr>
                  <w:r w:rsidRPr="005E68E9">
                    <w:rPr>
                      <w:rFonts w:ascii="Arial" w:hAnsi="Arial" w:cs="Arial"/>
                      <w:i/>
                      <w:sz w:val="18"/>
                      <w:szCs w:val="18"/>
                    </w:rPr>
                    <w:t>N/A</w:t>
                  </w:r>
                </w:p>
              </w:tc>
              <w:tc>
                <w:tcPr>
                  <w:tcW w:w="998" w:type="dxa"/>
                  <w:tcBorders>
                    <w:top w:val="single" w:sz="4" w:space="0" w:color="auto"/>
                    <w:left w:val="single" w:sz="4" w:space="0" w:color="auto"/>
                    <w:bottom w:val="single" w:sz="4" w:space="0" w:color="auto"/>
                    <w:right w:val="single" w:sz="4" w:space="0" w:color="auto"/>
                  </w:tcBorders>
                </w:tcPr>
                <w:p w:rsidR="00A97702" w:rsidRPr="005E68E9" w:rsidRDefault="00A97702" w:rsidP="00DA1C9D">
                  <w:pPr>
                    <w:pStyle w:val="text"/>
                    <w:spacing w:before="60" w:after="60" w:line="240" w:lineRule="atLeast"/>
                    <w:jc w:val="center"/>
                    <w:rPr>
                      <w:rFonts w:ascii="Arial" w:hAnsi="Arial" w:cs="Arial"/>
                      <w:i/>
                      <w:sz w:val="18"/>
                      <w:szCs w:val="18"/>
                    </w:rPr>
                  </w:pPr>
                  <w:r w:rsidRPr="005E68E9">
                    <w:rPr>
                      <w:rFonts w:ascii="Arial" w:hAnsi="Arial" w:cs="Arial"/>
                      <w:i/>
                      <w:sz w:val="18"/>
                      <w:szCs w:val="18"/>
                    </w:rPr>
                    <w:t>10</w:t>
                  </w:r>
                </w:p>
              </w:tc>
              <w:tc>
                <w:tcPr>
                  <w:tcW w:w="998" w:type="dxa"/>
                  <w:tcBorders>
                    <w:top w:val="single" w:sz="4" w:space="0" w:color="auto"/>
                    <w:left w:val="single" w:sz="4" w:space="0" w:color="auto"/>
                    <w:bottom w:val="single" w:sz="4" w:space="0" w:color="auto"/>
                    <w:right w:val="single" w:sz="4" w:space="0" w:color="auto"/>
                  </w:tcBorders>
                </w:tcPr>
                <w:p w:rsidR="00A97702" w:rsidRPr="005E68E9" w:rsidRDefault="00A97702" w:rsidP="00DA1C9D">
                  <w:pPr>
                    <w:pStyle w:val="text"/>
                    <w:spacing w:before="60" w:after="60" w:line="240" w:lineRule="atLeast"/>
                    <w:jc w:val="center"/>
                    <w:rPr>
                      <w:rFonts w:ascii="Arial" w:hAnsi="Arial" w:cs="Arial"/>
                      <w:i/>
                      <w:sz w:val="18"/>
                      <w:szCs w:val="18"/>
                    </w:rPr>
                  </w:pPr>
                  <w:r w:rsidRPr="005E68E9">
                    <w:rPr>
                      <w:rFonts w:ascii="Arial" w:hAnsi="Arial" w:cs="Arial"/>
                      <w:i/>
                      <w:sz w:val="18"/>
                      <w:szCs w:val="18"/>
                    </w:rPr>
                    <w:t>NL</w:t>
                  </w:r>
                </w:p>
              </w:tc>
              <w:tc>
                <w:tcPr>
                  <w:tcW w:w="998" w:type="dxa"/>
                  <w:tcBorders>
                    <w:top w:val="single" w:sz="4" w:space="0" w:color="auto"/>
                    <w:left w:val="single" w:sz="4" w:space="0" w:color="auto"/>
                    <w:bottom w:val="single" w:sz="4" w:space="0" w:color="auto"/>
                    <w:right w:val="single" w:sz="4" w:space="0" w:color="auto"/>
                  </w:tcBorders>
                </w:tcPr>
                <w:p w:rsidR="00A97702" w:rsidRPr="005E68E9" w:rsidRDefault="00A97702" w:rsidP="00DA1C9D">
                  <w:pPr>
                    <w:pStyle w:val="text"/>
                    <w:spacing w:before="60" w:after="60" w:line="240" w:lineRule="atLeast"/>
                    <w:jc w:val="center"/>
                    <w:rPr>
                      <w:rFonts w:ascii="Arial" w:hAnsi="Arial" w:cs="Arial"/>
                      <w:i/>
                      <w:sz w:val="18"/>
                      <w:szCs w:val="18"/>
                    </w:rPr>
                  </w:pPr>
                  <w:r w:rsidRPr="005E68E9">
                    <w:rPr>
                      <w:rFonts w:ascii="Arial" w:hAnsi="Arial" w:cs="Arial"/>
                      <w:i/>
                      <w:sz w:val="18"/>
                      <w:szCs w:val="18"/>
                    </w:rPr>
                    <w:t>NL</w:t>
                  </w:r>
                </w:p>
              </w:tc>
              <w:tc>
                <w:tcPr>
                  <w:tcW w:w="998" w:type="dxa"/>
                  <w:tcBorders>
                    <w:top w:val="single" w:sz="4" w:space="0" w:color="auto"/>
                    <w:left w:val="single" w:sz="4" w:space="0" w:color="auto"/>
                    <w:bottom w:val="single" w:sz="4" w:space="0" w:color="auto"/>
                    <w:right w:val="single" w:sz="4" w:space="0" w:color="auto"/>
                  </w:tcBorders>
                </w:tcPr>
                <w:p w:rsidR="00A97702" w:rsidRPr="005E68E9" w:rsidRDefault="00A97702" w:rsidP="00DA1C9D">
                  <w:pPr>
                    <w:pStyle w:val="text"/>
                    <w:spacing w:before="60" w:after="60" w:line="240" w:lineRule="atLeast"/>
                    <w:jc w:val="center"/>
                    <w:rPr>
                      <w:rFonts w:ascii="Arial" w:hAnsi="Arial" w:cs="Arial"/>
                      <w:i/>
                      <w:sz w:val="18"/>
                      <w:szCs w:val="18"/>
                    </w:rPr>
                  </w:pPr>
                  <w:r w:rsidRPr="005E68E9">
                    <w:rPr>
                      <w:rFonts w:ascii="Arial" w:hAnsi="Arial" w:cs="Arial"/>
                      <w:i/>
                      <w:sz w:val="18"/>
                      <w:szCs w:val="18"/>
                    </w:rPr>
                    <w:t>NL</w:t>
                  </w:r>
                </w:p>
              </w:tc>
            </w:tr>
            <w:tr w:rsidR="00A97702" w:rsidRPr="00D94798" w:rsidTr="00DA1C9D">
              <w:tc>
                <w:tcPr>
                  <w:tcW w:w="1413" w:type="dxa"/>
                  <w:tcBorders>
                    <w:top w:val="single" w:sz="4" w:space="0" w:color="auto"/>
                    <w:left w:val="single" w:sz="4" w:space="0" w:color="auto"/>
                    <w:bottom w:val="single" w:sz="4" w:space="0" w:color="auto"/>
                    <w:right w:val="single" w:sz="4" w:space="0" w:color="auto"/>
                  </w:tcBorders>
                  <w:shd w:val="clear" w:color="auto" w:fill="F2F2F2"/>
                </w:tcPr>
                <w:p w:rsidR="00A97702" w:rsidRDefault="00A97702" w:rsidP="00DA1C9D">
                  <w:pPr>
                    <w:pStyle w:val="text"/>
                    <w:spacing w:before="60" w:after="60" w:line="240" w:lineRule="atLeast"/>
                    <w:rPr>
                      <w:rFonts w:ascii="Arial" w:hAnsi="Arial" w:cs="Arial"/>
                      <w:b/>
                      <w:sz w:val="18"/>
                      <w:szCs w:val="18"/>
                    </w:rPr>
                  </w:pPr>
                  <w:r w:rsidRPr="002539E5">
                    <w:rPr>
                      <w:rFonts w:ascii="Arial" w:hAnsi="Arial" w:cs="Arial"/>
                      <w:b/>
                      <w:sz w:val="18"/>
                      <w:szCs w:val="18"/>
                    </w:rPr>
                    <w:t>Groundwater</w:t>
                  </w:r>
                </w:p>
                <w:p w:rsidR="00A97702" w:rsidRPr="002539E5" w:rsidRDefault="00A97702" w:rsidP="00DA1C9D">
                  <w:pPr>
                    <w:pStyle w:val="text"/>
                    <w:spacing w:before="0" w:after="60" w:line="240" w:lineRule="atLeast"/>
                    <w:rPr>
                      <w:rFonts w:ascii="Arial" w:hAnsi="Arial" w:cs="Arial"/>
                      <w:b/>
                      <w:sz w:val="18"/>
                      <w:szCs w:val="18"/>
                    </w:rPr>
                  </w:pPr>
                  <w:r>
                    <w:rPr>
                      <w:rFonts w:ascii="Arial" w:hAnsi="Arial" w:cs="Arial"/>
                      <w:b/>
                      <w:sz w:val="18"/>
                      <w:szCs w:val="18"/>
                    </w:rPr>
                    <w:t>4 m to &lt;8 m</w:t>
                  </w:r>
                </w:p>
              </w:tc>
              <w:tc>
                <w:tcPr>
                  <w:tcW w:w="896" w:type="dxa"/>
                  <w:tcBorders>
                    <w:top w:val="single" w:sz="4" w:space="0" w:color="auto"/>
                    <w:left w:val="single" w:sz="4" w:space="0" w:color="auto"/>
                    <w:bottom w:val="single" w:sz="4" w:space="0" w:color="auto"/>
                    <w:right w:val="single" w:sz="4" w:space="0" w:color="auto"/>
                  </w:tcBorders>
                </w:tcPr>
                <w:p w:rsidR="00A97702" w:rsidRPr="00E41EF3" w:rsidRDefault="00A97702" w:rsidP="00DA1C9D">
                  <w:pPr>
                    <w:pStyle w:val="text"/>
                    <w:spacing w:before="60" w:after="60" w:line="240" w:lineRule="atLeast"/>
                    <w:jc w:val="center"/>
                    <w:rPr>
                      <w:rFonts w:ascii="Arial" w:hAnsi="Arial" w:cs="Arial"/>
                      <w:b/>
                      <w:i/>
                      <w:sz w:val="18"/>
                      <w:szCs w:val="18"/>
                    </w:rPr>
                  </w:pPr>
                  <w:r w:rsidRPr="00D93C8F">
                    <w:rPr>
                      <w:rFonts w:ascii="Arial" w:hAnsi="Arial" w:cs="Arial"/>
                      <w:b/>
                      <w:i/>
                      <w:sz w:val="18"/>
                      <w:szCs w:val="18"/>
                    </w:rPr>
                    <w:t>NL</w:t>
                  </w:r>
                </w:p>
              </w:tc>
              <w:tc>
                <w:tcPr>
                  <w:tcW w:w="999" w:type="dxa"/>
                  <w:tcBorders>
                    <w:top w:val="single" w:sz="4" w:space="0" w:color="auto"/>
                    <w:left w:val="single" w:sz="4" w:space="0" w:color="auto"/>
                    <w:bottom w:val="single" w:sz="4" w:space="0" w:color="auto"/>
                    <w:right w:val="single" w:sz="4" w:space="0" w:color="auto"/>
                  </w:tcBorders>
                </w:tcPr>
                <w:p w:rsidR="00A97702" w:rsidRPr="00E41EF3" w:rsidRDefault="00A97702" w:rsidP="00DA1C9D">
                  <w:pPr>
                    <w:pStyle w:val="text"/>
                    <w:spacing w:before="60" w:after="60" w:line="240" w:lineRule="atLeast"/>
                    <w:jc w:val="center"/>
                    <w:rPr>
                      <w:rFonts w:ascii="Arial" w:hAnsi="Arial" w:cs="Arial"/>
                      <w:b/>
                      <w:i/>
                      <w:sz w:val="18"/>
                      <w:szCs w:val="18"/>
                    </w:rPr>
                  </w:pPr>
                  <w:r w:rsidRPr="00D93C8F">
                    <w:rPr>
                      <w:rFonts w:ascii="Arial" w:hAnsi="Arial" w:cs="Arial"/>
                      <w:b/>
                      <w:i/>
                      <w:sz w:val="18"/>
                      <w:szCs w:val="18"/>
                    </w:rPr>
                    <w:t>NL</w:t>
                  </w:r>
                </w:p>
              </w:tc>
              <w:tc>
                <w:tcPr>
                  <w:tcW w:w="994" w:type="dxa"/>
                  <w:tcBorders>
                    <w:top w:val="single" w:sz="4" w:space="0" w:color="auto"/>
                    <w:left w:val="single" w:sz="4" w:space="0" w:color="auto"/>
                    <w:bottom w:val="single" w:sz="4" w:space="0" w:color="auto"/>
                    <w:right w:val="single" w:sz="4" w:space="0" w:color="auto"/>
                  </w:tcBorders>
                </w:tcPr>
                <w:p w:rsidR="00A97702" w:rsidRPr="00E41EF3" w:rsidRDefault="00A97702" w:rsidP="00DA1C9D">
                  <w:pPr>
                    <w:pStyle w:val="text"/>
                    <w:spacing w:before="60" w:after="60" w:line="240" w:lineRule="atLeast"/>
                    <w:jc w:val="center"/>
                    <w:rPr>
                      <w:rFonts w:ascii="Arial" w:hAnsi="Arial" w:cs="Arial"/>
                      <w:b/>
                      <w:i/>
                      <w:sz w:val="18"/>
                      <w:szCs w:val="18"/>
                    </w:rPr>
                  </w:pPr>
                  <w:r w:rsidRPr="00D93C8F">
                    <w:rPr>
                      <w:rFonts w:ascii="Arial" w:hAnsi="Arial" w:cs="Arial"/>
                      <w:b/>
                      <w:i/>
                      <w:sz w:val="18"/>
                      <w:szCs w:val="18"/>
                    </w:rPr>
                    <w:t>N/A</w:t>
                  </w:r>
                </w:p>
              </w:tc>
              <w:tc>
                <w:tcPr>
                  <w:tcW w:w="994" w:type="dxa"/>
                  <w:tcBorders>
                    <w:top w:val="single" w:sz="4" w:space="0" w:color="auto"/>
                    <w:left w:val="single" w:sz="4" w:space="0" w:color="auto"/>
                    <w:bottom w:val="single" w:sz="4" w:space="0" w:color="auto"/>
                    <w:right w:val="single" w:sz="4" w:space="0" w:color="auto"/>
                  </w:tcBorders>
                </w:tcPr>
                <w:p w:rsidR="00A97702" w:rsidRPr="00E41EF3" w:rsidRDefault="00A97702" w:rsidP="00DA1C9D">
                  <w:pPr>
                    <w:pStyle w:val="text"/>
                    <w:spacing w:before="60" w:after="60" w:line="240" w:lineRule="atLeast"/>
                    <w:jc w:val="center"/>
                    <w:rPr>
                      <w:rFonts w:ascii="Arial" w:hAnsi="Arial" w:cs="Arial"/>
                      <w:b/>
                      <w:i/>
                      <w:sz w:val="18"/>
                      <w:szCs w:val="18"/>
                    </w:rPr>
                  </w:pPr>
                  <w:r w:rsidRPr="00D93C8F">
                    <w:rPr>
                      <w:rFonts w:ascii="Arial" w:hAnsi="Arial" w:cs="Arial"/>
                      <w:b/>
                      <w:i/>
                      <w:sz w:val="18"/>
                      <w:szCs w:val="18"/>
                    </w:rPr>
                    <w:t>N/A</w:t>
                  </w:r>
                </w:p>
              </w:tc>
              <w:tc>
                <w:tcPr>
                  <w:tcW w:w="998" w:type="dxa"/>
                  <w:tcBorders>
                    <w:top w:val="single" w:sz="4" w:space="0" w:color="auto"/>
                    <w:left w:val="single" w:sz="4" w:space="0" w:color="auto"/>
                    <w:bottom w:val="single" w:sz="4" w:space="0" w:color="auto"/>
                    <w:right w:val="single" w:sz="4" w:space="0" w:color="auto"/>
                  </w:tcBorders>
                </w:tcPr>
                <w:p w:rsidR="00A97702" w:rsidRPr="00E41EF3" w:rsidRDefault="00A97702" w:rsidP="00DA1C9D">
                  <w:pPr>
                    <w:pStyle w:val="text"/>
                    <w:spacing w:before="60" w:after="60" w:line="240" w:lineRule="atLeast"/>
                    <w:jc w:val="center"/>
                    <w:rPr>
                      <w:rFonts w:ascii="Arial" w:hAnsi="Arial" w:cs="Arial"/>
                      <w:b/>
                      <w:i/>
                      <w:sz w:val="18"/>
                      <w:szCs w:val="18"/>
                    </w:rPr>
                  </w:pPr>
                  <w:r w:rsidRPr="00D93C8F">
                    <w:rPr>
                      <w:rFonts w:ascii="Arial" w:hAnsi="Arial" w:cs="Arial"/>
                      <w:b/>
                      <w:i/>
                      <w:sz w:val="18"/>
                      <w:szCs w:val="18"/>
                    </w:rPr>
                    <w:t>50</w:t>
                  </w:r>
                </w:p>
              </w:tc>
              <w:tc>
                <w:tcPr>
                  <w:tcW w:w="998" w:type="dxa"/>
                  <w:tcBorders>
                    <w:top w:val="single" w:sz="4" w:space="0" w:color="auto"/>
                    <w:left w:val="single" w:sz="4" w:space="0" w:color="auto"/>
                    <w:bottom w:val="single" w:sz="4" w:space="0" w:color="auto"/>
                    <w:right w:val="single" w:sz="4" w:space="0" w:color="auto"/>
                  </w:tcBorders>
                </w:tcPr>
                <w:p w:rsidR="00A97702" w:rsidRPr="00E41EF3" w:rsidRDefault="00A97702" w:rsidP="00DA1C9D">
                  <w:pPr>
                    <w:pStyle w:val="text"/>
                    <w:spacing w:before="60" w:after="60" w:line="240" w:lineRule="atLeast"/>
                    <w:jc w:val="center"/>
                    <w:rPr>
                      <w:rFonts w:ascii="Arial" w:hAnsi="Arial" w:cs="Arial"/>
                      <w:b/>
                      <w:i/>
                      <w:sz w:val="18"/>
                      <w:szCs w:val="18"/>
                    </w:rPr>
                  </w:pPr>
                  <w:r w:rsidRPr="00D93C8F">
                    <w:rPr>
                      <w:rFonts w:ascii="Arial" w:hAnsi="Arial" w:cs="Arial"/>
                      <w:b/>
                      <w:i/>
                      <w:sz w:val="18"/>
                      <w:szCs w:val="18"/>
                    </w:rPr>
                    <w:t>NL</w:t>
                  </w:r>
                </w:p>
              </w:tc>
              <w:tc>
                <w:tcPr>
                  <w:tcW w:w="998" w:type="dxa"/>
                  <w:tcBorders>
                    <w:top w:val="single" w:sz="4" w:space="0" w:color="auto"/>
                    <w:left w:val="single" w:sz="4" w:space="0" w:color="auto"/>
                    <w:bottom w:val="single" w:sz="4" w:space="0" w:color="auto"/>
                    <w:right w:val="single" w:sz="4" w:space="0" w:color="auto"/>
                  </w:tcBorders>
                </w:tcPr>
                <w:p w:rsidR="00A97702" w:rsidRPr="00E41EF3" w:rsidRDefault="00A97702" w:rsidP="00DA1C9D">
                  <w:pPr>
                    <w:pStyle w:val="text"/>
                    <w:spacing w:before="60" w:after="60" w:line="240" w:lineRule="atLeast"/>
                    <w:jc w:val="center"/>
                    <w:rPr>
                      <w:rFonts w:ascii="Arial" w:hAnsi="Arial" w:cs="Arial"/>
                      <w:b/>
                      <w:i/>
                      <w:sz w:val="18"/>
                      <w:szCs w:val="18"/>
                    </w:rPr>
                  </w:pPr>
                  <w:r w:rsidRPr="00D93C8F">
                    <w:rPr>
                      <w:rFonts w:ascii="Arial" w:hAnsi="Arial" w:cs="Arial"/>
                      <w:b/>
                      <w:i/>
                      <w:sz w:val="18"/>
                      <w:szCs w:val="18"/>
                    </w:rPr>
                    <w:t>NL</w:t>
                  </w:r>
                </w:p>
              </w:tc>
              <w:tc>
                <w:tcPr>
                  <w:tcW w:w="998" w:type="dxa"/>
                  <w:tcBorders>
                    <w:top w:val="single" w:sz="4" w:space="0" w:color="auto"/>
                    <w:left w:val="single" w:sz="4" w:space="0" w:color="auto"/>
                    <w:bottom w:val="single" w:sz="4" w:space="0" w:color="auto"/>
                    <w:right w:val="single" w:sz="4" w:space="0" w:color="auto"/>
                  </w:tcBorders>
                </w:tcPr>
                <w:p w:rsidR="00A97702" w:rsidRPr="00E41EF3" w:rsidRDefault="00A97702" w:rsidP="00DA1C9D">
                  <w:pPr>
                    <w:pStyle w:val="text"/>
                    <w:spacing w:before="60" w:after="60" w:line="240" w:lineRule="atLeast"/>
                    <w:jc w:val="center"/>
                    <w:rPr>
                      <w:rFonts w:ascii="Arial" w:hAnsi="Arial" w:cs="Arial"/>
                      <w:b/>
                      <w:i/>
                      <w:sz w:val="18"/>
                      <w:szCs w:val="18"/>
                    </w:rPr>
                  </w:pPr>
                  <w:r w:rsidRPr="00D93C8F">
                    <w:rPr>
                      <w:rFonts w:ascii="Arial" w:hAnsi="Arial" w:cs="Arial"/>
                      <w:b/>
                      <w:i/>
                      <w:sz w:val="18"/>
                      <w:szCs w:val="18"/>
                    </w:rPr>
                    <w:t>NL</w:t>
                  </w:r>
                </w:p>
              </w:tc>
            </w:tr>
          </w:tbl>
          <w:p w:rsidR="00A97702" w:rsidRDefault="00A97702" w:rsidP="00DA1C9D">
            <w:pPr>
              <w:pStyle w:val="Note"/>
              <w:spacing w:after="0"/>
            </w:pPr>
            <w:r w:rsidRPr="006A3D51">
              <w:t>Not</w:t>
            </w:r>
            <w:r>
              <w:t>es</w:t>
            </w:r>
          </w:p>
          <w:p w:rsidR="00A97702" w:rsidRPr="006A3D51" w:rsidRDefault="00A97702" w:rsidP="00DA1C9D">
            <w:pPr>
              <w:pStyle w:val="NoteNumbered"/>
              <w:numPr>
                <w:ilvl w:val="0"/>
                <w:numId w:val="0"/>
              </w:numPr>
              <w:ind w:left="426"/>
            </w:pPr>
            <w:r>
              <w:t>Confirmation of s</w:t>
            </w:r>
            <w:r w:rsidRPr="006A3D51">
              <w:t xml:space="preserve">oil oxygen </w:t>
            </w:r>
            <w:r>
              <w:t>&gt; 5% at 1 m depth</w:t>
            </w:r>
            <w:r w:rsidRPr="006A3D51">
              <w:t xml:space="preserve"> allow</w:t>
            </w:r>
            <w:r>
              <w:t>s</w:t>
            </w:r>
            <w:r w:rsidRPr="006A3D51">
              <w:t xml:space="preserve"> a biodegradation factor of </w:t>
            </w:r>
            <w:r>
              <w:t>x</w:t>
            </w:r>
            <w:r w:rsidRPr="006A3D51">
              <w:t xml:space="preserve">10 for </w:t>
            </w:r>
            <w:r>
              <w:t>vapour sources from 2 m</w:t>
            </w:r>
            <w:r>
              <w:sym w:font="Symbol" w:char="F02D"/>
            </w:r>
            <w:r>
              <w:t xml:space="preserve">&lt;4 </w:t>
            </w:r>
            <w:r w:rsidRPr="006A3D51">
              <w:t xml:space="preserve">m. Similarly, a biodegradation factor of </w:t>
            </w:r>
            <w:r>
              <w:t>x</w:t>
            </w:r>
            <w:r w:rsidRPr="006A3D51">
              <w:t xml:space="preserve">100 applies to groundwater </w:t>
            </w:r>
            <w:r>
              <w:t xml:space="preserve">vapour sources &gt;4 </w:t>
            </w:r>
            <w:r w:rsidRPr="006A3D51">
              <w:t xml:space="preserve">m </w:t>
            </w:r>
            <w:r>
              <w:t xml:space="preserve">which </w:t>
            </w:r>
            <w:r w:rsidRPr="006A3D51">
              <w:t xml:space="preserve">takes </w:t>
            </w:r>
            <w:r>
              <w:t xml:space="preserve">adjusted HSLs to </w:t>
            </w:r>
            <w:r w:rsidRPr="006A3D51">
              <w:t xml:space="preserve">above the </w:t>
            </w:r>
            <w:r>
              <w:t>non limiting</w:t>
            </w:r>
            <w:r w:rsidRPr="006A3D51">
              <w:t xml:space="preserve"> threshold value</w:t>
            </w:r>
            <w:r>
              <w:t xml:space="preserve"> except for benzene in the example above</w:t>
            </w:r>
            <w:r w:rsidRPr="006A3D51">
              <w:t xml:space="preserve">. </w:t>
            </w:r>
          </w:p>
          <w:p w:rsidR="00A97702" w:rsidRDefault="00A97702" w:rsidP="00DA1C9D">
            <w:pPr>
              <w:pStyle w:val="NoteNumbered"/>
              <w:numPr>
                <w:ilvl w:val="0"/>
                <w:numId w:val="0"/>
              </w:numPr>
              <w:ind w:left="426"/>
            </w:pPr>
            <w:r w:rsidRPr="00C54305">
              <w:t>NL indicates the HSL is not limiting (see Footnote (5) Table 1A(3) and Footnote (4) Table 1A(4) .</w:t>
            </w:r>
          </w:p>
          <w:p w:rsidR="00A97702" w:rsidRPr="006A3D51" w:rsidRDefault="00A97702" w:rsidP="00DA1C9D">
            <w:pPr>
              <w:pStyle w:val="NoteNumbered"/>
              <w:numPr>
                <w:ilvl w:val="0"/>
                <w:numId w:val="0"/>
              </w:numPr>
              <w:ind w:left="426"/>
            </w:pPr>
            <w:r>
              <w:t xml:space="preserve">N/A not applicable as these fractions are non-volatile and hence not of concern for vapour inhalation </w:t>
            </w:r>
          </w:p>
          <w:p w:rsidR="00A97702" w:rsidRPr="00EF6ACB" w:rsidRDefault="00A97702" w:rsidP="00A97702">
            <w:pPr>
              <w:pStyle w:val="text"/>
              <w:numPr>
                <w:ilvl w:val="0"/>
                <w:numId w:val="21"/>
              </w:numPr>
              <w:rPr>
                <w:sz w:val="20"/>
              </w:rPr>
            </w:pPr>
            <w:r w:rsidRPr="00EF6ACB">
              <w:rPr>
                <w:b/>
                <w:sz w:val="20"/>
              </w:rPr>
              <w:t>Are site values greater than adjusted HSLs for vapour intrusion</w:t>
            </w:r>
            <w:r w:rsidRPr="00EF6ACB">
              <w:rPr>
                <w:sz w:val="20"/>
              </w:rPr>
              <w:t>?</w:t>
            </w:r>
            <w:r w:rsidRPr="00EF6ACB">
              <w:rPr>
                <w:bCs/>
                <w:sz w:val="20"/>
              </w:rPr>
              <w:t xml:space="preserve"> </w:t>
            </w:r>
            <w:r w:rsidRPr="00EF6ACB">
              <w:rPr>
                <w:b/>
                <w:bCs/>
                <w:i/>
                <w:sz w:val="20"/>
                <w:u w:val="single"/>
              </w:rPr>
              <w:t>NO</w:t>
            </w:r>
            <w:r w:rsidRPr="00EF6ACB">
              <w:rPr>
                <w:i/>
                <w:sz w:val="20"/>
              </w:rPr>
              <w:t xml:space="preserve"> </w:t>
            </w:r>
          </w:p>
          <w:p w:rsidR="00A97702" w:rsidRPr="00EF6ACB" w:rsidRDefault="00A97702" w:rsidP="00A97702">
            <w:pPr>
              <w:pStyle w:val="text"/>
              <w:numPr>
                <w:ilvl w:val="0"/>
                <w:numId w:val="21"/>
              </w:numPr>
              <w:rPr>
                <w:sz w:val="20"/>
              </w:rPr>
            </w:pPr>
            <w:r w:rsidRPr="00EF6ACB">
              <w:rPr>
                <w:b/>
                <w:sz w:val="20"/>
              </w:rPr>
              <w:t xml:space="preserve">Are direct contact HSLs relevant? </w:t>
            </w:r>
            <w:r w:rsidRPr="0029479F">
              <w:rPr>
                <w:b/>
                <w:i/>
                <w:sz w:val="20"/>
                <w:u w:val="single"/>
              </w:rPr>
              <w:t>YES</w:t>
            </w:r>
            <w:r w:rsidRPr="00EF6ACB">
              <w:rPr>
                <w:b/>
                <w:sz w:val="20"/>
              </w:rPr>
              <w:t xml:space="preserve"> </w:t>
            </w:r>
            <w:r w:rsidRPr="0029479F">
              <w:rPr>
                <w:b/>
                <w:i/>
                <w:sz w:val="20"/>
              </w:rPr>
              <w:t>(</w:t>
            </w:r>
            <w:r>
              <w:rPr>
                <w:b/>
                <w:i/>
                <w:sz w:val="20"/>
              </w:rPr>
              <w:t xml:space="preserve">proposed low density </w:t>
            </w:r>
            <w:r w:rsidRPr="0029479F">
              <w:rPr>
                <w:b/>
                <w:i/>
                <w:sz w:val="20"/>
              </w:rPr>
              <w:t>residential land use)</w:t>
            </w:r>
            <w:r w:rsidRPr="00EF6ACB">
              <w:rPr>
                <w:b/>
                <w:sz w:val="20"/>
              </w:rPr>
              <w:t xml:space="preserve"> </w:t>
            </w:r>
            <w:r w:rsidRPr="00EF6ACB">
              <w:rPr>
                <w:sz w:val="20"/>
              </w:rPr>
              <w:t>however there is no soil contamination at surface (</w:t>
            </w:r>
            <w:r w:rsidRPr="00D93C8F">
              <w:rPr>
                <w:sz w:val="20"/>
              </w:rPr>
              <w:t>95%</w:t>
            </w:r>
            <w:r>
              <w:rPr>
                <w:sz w:val="20"/>
              </w:rPr>
              <w:t xml:space="preserve"> </w:t>
            </w:r>
            <w:r w:rsidRPr="00D93C8F">
              <w:rPr>
                <w:sz w:val="20"/>
              </w:rPr>
              <w:t>UCL for all the identified contaminants of concern was less than the appropriate investigation and screening levels</w:t>
            </w:r>
            <w:r w:rsidRPr="00EF6ACB">
              <w:rPr>
                <w:sz w:val="20"/>
              </w:rPr>
              <w:t xml:space="preserve">). </w:t>
            </w:r>
          </w:p>
          <w:p w:rsidR="00A97702" w:rsidRPr="00EF6ACB" w:rsidRDefault="00A97702" w:rsidP="00A97702">
            <w:pPr>
              <w:pStyle w:val="text"/>
              <w:numPr>
                <w:ilvl w:val="0"/>
                <w:numId w:val="21"/>
              </w:numPr>
              <w:rPr>
                <w:sz w:val="20"/>
              </w:rPr>
            </w:pPr>
            <w:r w:rsidRPr="00EF6ACB">
              <w:rPr>
                <w:b/>
                <w:sz w:val="20"/>
              </w:rPr>
              <w:lastRenderedPageBreak/>
              <w:t xml:space="preserve">Are ecological considerations relevant? </w:t>
            </w:r>
            <w:r w:rsidRPr="00EF6ACB">
              <w:rPr>
                <w:b/>
                <w:bCs/>
                <w:i/>
                <w:sz w:val="20"/>
                <w:u w:val="single"/>
              </w:rPr>
              <w:t>YES</w:t>
            </w:r>
            <w:r w:rsidRPr="00EF6ACB">
              <w:rPr>
                <w:bCs/>
                <w:i/>
                <w:sz w:val="20"/>
                <w:u w:val="single"/>
              </w:rPr>
              <w:t xml:space="preserve"> (proposed low density </w:t>
            </w:r>
            <w:r>
              <w:rPr>
                <w:bCs/>
                <w:i/>
                <w:sz w:val="20"/>
                <w:u w:val="single"/>
              </w:rPr>
              <w:t xml:space="preserve">residential </w:t>
            </w:r>
            <w:r w:rsidRPr="00EF6ACB">
              <w:rPr>
                <w:bCs/>
                <w:i/>
                <w:sz w:val="20"/>
                <w:u w:val="single"/>
              </w:rPr>
              <w:t>development with exposed areas of soil)</w:t>
            </w:r>
            <w:r w:rsidRPr="00EF6ACB">
              <w:rPr>
                <w:bCs/>
                <w:i/>
                <w:sz w:val="20"/>
              </w:rPr>
              <w:t xml:space="preserve">. </w:t>
            </w:r>
            <w:r w:rsidRPr="00EF6ACB">
              <w:rPr>
                <w:bCs/>
                <w:sz w:val="20"/>
              </w:rPr>
              <w:t xml:space="preserve">Site summary information indicates that </w:t>
            </w:r>
            <w:r w:rsidRPr="00EF6ACB">
              <w:rPr>
                <w:sz w:val="20"/>
              </w:rPr>
              <w:t xml:space="preserve">the soil </w:t>
            </w:r>
            <w:r>
              <w:rPr>
                <w:sz w:val="20"/>
              </w:rPr>
              <w:t>GM</w:t>
            </w:r>
            <w:r w:rsidRPr="00EF6ACB">
              <w:rPr>
                <w:sz w:val="20"/>
              </w:rPr>
              <w:t xml:space="preserve"> for 0–2 m was less than the applicable ESLs. A comparison with soil data for deeper horizons is not relevant as the ESLs are applicable to the top 2 m of soil.</w:t>
            </w:r>
            <w:r>
              <w:rPr>
                <w:sz w:val="20"/>
              </w:rPr>
              <w:t xml:space="preserve"> </w:t>
            </w:r>
          </w:p>
          <w:p w:rsidR="00A97702" w:rsidRPr="00EF6ACB" w:rsidRDefault="00A97702" w:rsidP="00A97702">
            <w:pPr>
              <w:pStyle w:val="text"/>
              <w:keepNext/>
              <w:numPr>
                <w:ilvl w:val="0"/>
                <w:numId w:val="21"/>
              </w:numPr>
              <w:rPr>
                <w:sz w:val="20"/>
              </w:rPr>
            </w:pPr>
            <w:r w:rsidRPr="00EF6ACB">
              <w:rPr>
                <w:b/>
                <w:sz w:val="20"/>
              </w:rPr>
              <w:t xml:space="preserve">Are management limits relevant? </w:t>
            </w:r>
            <w:r w:rsidRPr="00EF6ACB">
              <w:rPr>
                <w:b/>
                <w:bCs/>
                <w:i/>
                <w:sz w:val="20"/>
                <w:u w:val="single"/>
              </w:rPr>
              <w:t xml:space="preserve">YES (decommissioned industrial site proposed for sensitive land use). </w:t>
            </w:r>
            <w:r w:rsidRPr="00EF6ACB">
              <w:rPr>
                <w:sz w:val="20"/>
              </w:rPr>
              <w:t xml:space="preserve">Compare soil results with the relevant management limits for residential use. </w:t>
            </w:r>
            <w:r w:rsidRPr="00EF6ACB">
              <w:rPr>
                <w:b/>
                <w:bCs/>
                <w:i/>
                <w:sz w:val="20"/>
                <w:u w:val="single"/>
              </w:rPr>
              <w:t>NO exceed</w:t>
            </w:r>
            <w:r>
              <w:rPr>
                <w:b/>
                <w:bCs/>
                <w:i/>
                <w:sz w:val="20"/>
                <w:u w:val="single"/>
              </w:rPr>
              <w:t>e</w:t>
            </w:r>
            <w:r w:rsidRPr="00EF6ACB">
              <w:rPr>
                <w:b/>
                <w:bCs/>
                <w:i/>
                <w:sz w:val="20"/>
                <w:u w:val="single"/>
              </w:rPr>
              <w:t>nces indicated.</w:t>
            </w:r>
          </w:p>
          <w:p w:rsidR="00A97702" w:rsidRPr="00641B51" w:rsidRDefault="00A97702" w:rsidP="00DA1C9D">
            <w:pPr>
              <w:pStyle w:val="text"/>
              <w:keepNext/>
              <w:rPr>
                <w:sz w:val="20"/>
              </w:rPr>
            </w:pPr>
            <w:r w:rsidRPr="00641B51">
              <w:rPr>
                <w:b/>
                <w:bCs/>
                <w:sz w:val="20"/>
              </w:rPr>
              <w:t xml:space="preserve">‘Clean fill’ </w:t>
            </w:r>
            <w:r>
              <w:rPr>
                <w:b/>
                <w:bCs/>
                <w:sz w:val="20"/>
              </w:rPr>
              <w:t xml:space="preserve">and soil </w:t>
            </w:r>
            <w:r w:rsidRPr="00641B51">
              <w:rPr>
                <w:b/>
                <w:bCs/>
                <w:sz w:val="20"/>
              </w:rPr>
              <w:t>values mg/kg, refer Table 1B(7) for management limits (fine soil)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34"/>
              <w:gridCol w:w="1134"/>
              <w:gridCol w:w="1134"/>
              <w:gridCol w:w="1134"/>
            </w:tblGrid>
            <w:tr w:rsidR="00A97702" w:rsidRPr="00183106" w:rsidTr="00DA1C9D">
              <w:tc>
                <w:tcPr>
                  <w:tcW w:w="2268"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rPr>
                      <w:rFonts w:ascii="Arial"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F1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F2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F3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183106" w:rsidRDefault="00A97702" w:rsidP="00DA1C9D">
                  <w:pPr>
                    <w:pStyle w:val="text"/>
                    <w:spacing w:before="60" w:after="60" w:line="240" w:lineRule="atLeast"/>
                    <w:jc w:val="center"/>
                    <w:rPr>
                      <w:rFonts w:ascii="Arial" w:hAnsi="Arial" w:cs="Arial"/>
                      <w:b/>
                      <w:bCs/>
                      <w:sz w:val="18"/>
                      <w:szCs w:val="18"/>
                    </w:rPr>
                  </w:pPr>
                  <w:r w:rsidRPr="00183106">
                    <w:rPr>
                      <w:rFonts w:ascii="Arial" w:hAnsi="Arial" w:cs="Arial"/>
                      <w:b/>
                      <w:bCs/>
                      <w:sz w:val="18"/>
                      <w:szCs w:val="18"/>
                    </w:rPr>
                    <w:t>F4</w:t>
                  </w:r>
                </w:p>
              </w:tc>
            </w:tr>
            <w:tr w:rsidR="00A97702" w:rsidRPr="00183106" w:rsidTr="00DA1C9D">
              <w:tc>
                <w:tcPr>
                  <w:tcW w:w="2268"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rPr>
                      <w:rFonts w:ascii="Arial" w:hAnsi="Arial" w:cs="Arial"/>
                      <w:bCs/>
                      <w:sz w:val="18"/>
                      <w:szCs w:val="18"/>
                    </w:rPr>
                  </w:pPr>
                  <w:r>
                    <w:rPr>
                      <w:rFonts w:ascii="Arial" w:hAnsi="Arial" w:cs="Arial"/>
                      <w:bCs/>
                      <w:sz w:val="18"/>
                      <w:szCs w:val="18"/>
                    </w:rPr>
                    <w:t>Fill GM 0 – 2 m</w:t>
                  </w:r>
                </w:p>
              </w:tc>
              <w:tc>
                <w:tcPr>
                  <w:tcW w:w="1134" w:type="dxa"/>
                  <w:tcBorders>
                    <w:top w:val="single" w:sz="4" w:space="0" w:color="auto"/>
                    <w:left w:val="single" w:sz="4" w:space="0" w:color="auto"/>
                    <w:bottom w:val="single" w:sz="8" w:space="0" w:color="auto"/>
                    <w:right w:val="single" w:sz="4" w:space="0" w:color="auto"/>
                  </w:tcBorders>
                  <w:shd w:val="clear" w:color="auto" w:fill="FFFFFF" w:themeFill="background1"/>
                </w:tcPr>
                <w:p w:rsidR="00A97702" w:rsidRPr="006E642A" w:rsidRDefault="00A97702" w:rsidP="00DA1C9D">
                  <w:pPr>
                    <w:pStyle w:val="text"/>
                    <w:spacing w:before="60" w:after="60" w:line="240" w:lineRule="atLeast"/>
                    <w:jc w:val="center"/>
                    <w:rPr>
                      <w:rFonts w:ascii="Arial" w:hAnsi="Arial" w:cs="Arial"/>
                      <w:sz w:val="18"/>
                      <w:szCs w:val="18"/>
                    </w:rPr>
                  </w:pPr>
                  <w:r w:rsidRPr="006E642A">
                    <w:rPr>
                      <w:rFonts w:ascii="Arial" w:hAnsi="Arial" w:cs="Arial"/>
                      <w:sz w:val="18"/>
                      <w:szCs w:val="18"/>
                    </w:rPr>
                    <w:t>&lt;</w:t>
                  </w:r>
                  <w:r>
                    <w:rPr>
                      <w:rFonts w:ascii="Arial" w:hAnsi="Arial" w:cs="Arial"/>
                      <w:sz w:val="18"/>
                      <w:szCs w:val="18"/>
                    </w:rPr>
                    <w:t>10</w:t>
                  </w:r>
                </w:p>
              </w:tc>
              <w:tc>
                <w:tcPr>
                  <w:tcW w:w="1134"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Pr>
                      <w:rFonts w:ascii="Arial" w:hAnsi="Arial" w:cs="Arial"/>
                      <w:sz w:val="18"/>
                      <w:szCs w:val="18"/>
                    </w:rPr>
                    <w:t>&lt; 10</w:t>
                  </w:r>
                </w:p>
              </w:tc>
              <w:tc>
                <w:tcPr>
                  <w:tcW w:w="1134"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Pr>
                      <w:rFonts w:ascii="Arial" w:hAnsi="Arial" w:cs="Arial"/>
                      <w:sz w:val="18"/>
                      <w:szCs w:val="18"/>
                    </w:rPr>
                    <w:t>&lt;50</w:t>
                  </w:r>
                </w:p>
              </w:tc>
              <w:tc>
                <w:tcPr>
                  <w:tcW w:w="1134" w:type="dxa"/>
                  <w:tcBorders>
                    <w:top w:val="single" w:sz="4" w:space="0" w:color="auto"/>
                    <w:left w:val="single" w:sz="4" w:space="0" w:color="auto"/>
                    <w:bottom w:val="single" w:sz="8" w:space="0" w:color="auto"/>
                    <w:right w:val="single" w:sz="4" w:space="0" w:color="auto"/>
                  </w:tcBorders>
                  <w:shd w:val="clear" w:color="auto" w:fill="FFFFFF" w:themeFill="background1"/>
                </w:tcPr>
                <w:p w:rsidR="00A97702" w:rsidRPr="006E642A" w:rsidRDefault="00A97702" w:rsidP="00DA1C9D">
                  <w:pPr>
                    <w:pStyle w:val="text"/>
                    <w:spacing w:before="60" w:after="60" w:line="240" w:lineRule="atLeast"/>
                    <w:jc w:val="center"/>
                    <w:rPr>
                      <w:rFonts w:ascii="Arial" w:hAnsi="Arial" w:cs="Arial"/>
                      <w:sz w:val="18"/>
                      <w:szCs w:val="18"/>
                    </w:rPr>
                  </w:pPr>
                  <w:r w:rsidRPr="006E642A">
                    <w:rPr>
                      <w:rFonts w:ascii="Arial" w:hAnsi="Arial" w:cs="Arial"/>
                      <w:sz w:val="18"/>
                      <w:szCs w:val="18"/>
                    </w:rPr>
                    <w:t>&lt;100</w:t>
                  </w:r>
                </w:p>
              </w:tc>
            </w:tr>
            <w:tr w:rsidR="00A97702" w:rsidRPr="00183106" w:rsidTr="00DA1C9D">
              <w:tc>
                <w:tcPr>
                  <w:tcW w:w="2268"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rPr>
                      <w:rFonts w:ascii="Arial" w:hAnsi="Arial" w:cs="Arial"/>
                      <w:bCs/>
                      <w:sz w:val="18"/>
                      <w:szCs w:val="18"/>
                    </w:rPr>
                  </w:pPr>
                  <w:r w:rsidRPr="00183106">
                    <w:rPr>
                      <w:rFonts w:ascii="Arial" w:hAnsi="Arial" w:cs="Arial"/>
                      <w:bCs/>
                      <w:sz w:val="18"/>
                      <w:szCs w:val="18"/>
                    </w:rPr>
                    <w:t>Soil GM</w:t>
                  </w:r>
                  <w:r>
                    <w:rPr>
                      <w:rFonts w:ascii="Arial" w:hAnsi="Arial" w:cs="Arial"/>
                      <w:bCs/>
                      <w:sz w:val="18"/>
                      <w:szCs w:val="18"/>
                    </w:rPr>
                    <w:t xml:space="preserve"> 2 – 4 m</w:t>
                  </w:r>
                </w:p>
              </w:tc>
              <w:tc>
                <w:tcPr>
                  <w:tcW w:w="1134" w:type="dxa"/>
                  <w:tcBorders>
                    <w:top w:val="single" w:sz="4" w:space="0" w:color="auto"/>
                    <w:left w:val="single" w:sz="4" w:space="0" w:color="auto"/>
                    <w:bottom w:val="single" w:sz="8" w:space="0" w:color="auto"/>
                    <w:right w:val="single" w:sz="4" w:space="0" w:color="auto"/>
                  </w:tcBorders>
                  <w:shd w:val="clear" w:color="auto" w:fill="FFFFFF" w:themeFill="background1"/>
                </w:tcPr>
                <w:p w:rsidR="00A97702" w:rsidRPr="006E642A" w:rsidRDefault="00A97702" w:rsidP="00DA1C9D">
                  <w:pPr>
                    <w:pStyle w:val="text"/>
                    <w:spacing w:before="60" w:after="60" w:line="240" w:lineRule="atLeast"/>
                    <w:jc w:val="center"/>
                    <w:rPr>
                      <w:rFonts w:ascii="Arial" w:hAnsi="Arial" w:cs="Arial"/>
                      <w:sz w:val="18"/>
                      <w:szCs w:val="18"/>
                    </w:rPr>
                  </w:pPr>
                  <w:r w:rsidRPr="006E642A">
                    <w:rPr>
                      <w:rFonts w:ascii="Arial" w:hAnsi="Arial" w:cs="Arial"/>
                      <w:sz w:val="18"/>
                      <w:szCs w:val="18"/>
                    </w:rPr>
                    <w:t>130</w:t>
                  </w:r>
                </w:p>
              </w:tc>
              <w:tc>
                <w:tcPr>
                  <w:tcW w:w="1134"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160</w:t>
                  </w:r>
                </w:p>
              </w:tc>
              <w:tc>
                <w:tcPr>
                  <w:tcW w:w="1134"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1</w:t>
                  </w:r>
                  <w:r>
                    <w:rPr>
                      <w:rFonts w:ascii="Arial" w:hAnsi="Arial" w:cs="Arial"/>
                      <w:sz w:val="18"/>
                      <w:szCs w:val="18"/>
                    </w:rPr>
                    <w:t>,</w:t>
                  </w:r>
                  <w:r w:rsidRPr="00183106">
                    <w:rPr>
                      <w:rFonts w:ascii="Arial" w:hAnsi="Arial" w:cs="Arial"/>
                      <w:sz w:val="18"/>
                      <w:szCs w:val="18"/>
                    </w:rPr>
                    <w:t>100</w:t>
                  </w:r>
                </w:p>
              </w:tc>
              <w:tc>
                <w:tcPr>
                  <w:tcW w:w="1134" w:type="dxa"/>
                  <w:tcBorders>
                    <w:top w:val="single" w:sz="4" w:space="0" w:color="auto"/>
                    <w:left w:val="single" w:sz="4" w:space="0" w:color="auto"/>
                    <w:bottom w:val="single" w:sz="8" w:space="0" w:color="auto"/>
                    <w:right w:val="single" w:sz="4"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sidRPr="00183106">
                    <w:rPr>
                      <w:rFonts w:ascii="Arial" w:hAnsi="Arial" w:cs="Arial"/>
                      <w:sz w:val="18"/>
                      <w:szCs w:val="18"/>
                    </w:rPr>
                    <w:t>260</w:t>
                  </w:r>
                </w:p>
              </w:tc>
            </w:tr>
            <w:tr w:rsidR="00A97702" w:rsidRPr="00183106" w:rsidTr="00DA1C9D">
              <w:tc>
                <w:tcPr>
                  <w:tcW w:w="2268" w:type="dxa"/>
                  <w:tcBorders>
                    <w:top w:val="single" w:sz="8" w:space="0" w:color="auto"/>
                    <w:left w:val="single" w:sz="8" w:space="0" w:color="auto"/>
                    <w:bottom w:val="single" w:sz="8" w:space="0" w:color="auto"/>
                    <w:right w:val="single" w:sz="8" w:space="0" w:color="auto"/>
                  </w:tcBorders>
                  <w:shd w:val="clear" w:color="auto" w:fill="F2F2F2"/>
                </w:tcPr>
                <w:p w:rsidR="00A97702" w:rsidRPr="00183106" w:rsidRDefault="00A97702" w:rsidP="00DA1C9D">
                  <w:pPr>
                    <w:pStyle w:val="text"/>
                    <w:spacing w:before="60" w:after="60" w:line="240" w:lineRule="atLeast"/>
                    <w:rPr>
                      <w:rFonts w:ascii="Arial" w:hAnsi="Arial" w:cs="Arial"/>
                      <w:bCs/>
                      <w:sz w:val="18"/>
                      <w:szCs w:val="18"/>
                    </w:rPr>
                  </w:pPr>
                  <w:r>
                    <w:rPr>
                      <w:rFonts w:ascii="Arial" w:hAnsi="Arial" w:cs="Arial"/>
                      <w:b/>
                      <w:bCs/>
                      <w:sz w:val="18"/>
                      <w:szCs w:val="18"/>
                    </w:rPr>
                    <w:t>Management limit</w:t>
                  </w:r>
                </w:p>
              </w:tc>
              <w:tc>
                <w:tcPr>
                  <w:tcW w:w="1134" w:type="dxa"/>
                  <w:tcBorders>
                    <w:top w:val="single" w:sz="8" w:space="0" w:color="auto"/>
                    <w:left w:val="single" w:sz="8" w:space="0" w:color="auto"/>
                    <w:bottom w:val="single" w:sz="8" w:space="0" w:color="auto"/>
                    <w:right w:val="single" w:sz="8" w:space="0" w:color="auto"/>
                  </w:tcBorders>
                </w:tcPr>
                <w:p w:rsidR="00A97702" w:rsidRPr="00183106" w:rsidRDefault="00A97702" w:rsidP="00DA1C9D">
                  <w:pPr>
                    <w:pStyle w:val="text"/>
                    <w:spacing w:before="60" w:after="60" w:line="240" w:lineRule="atLeast"/>
                    <w:jc w:val="center"/>
                    <w:rPr>
                      <w:rFonts w:ascii="Arial" w:hAnsi="Arial" w:cs="Arial"/>
                      <w:b/>
                      <w:sz w:val="18"/>
                      <w:szCs w:val="18"/>
                    </w:rPr>
                  </w:pPr>
                  <w:r>
                    <w:rPr>
                      <w:rFonts w:ascii="Arial" w:hAnsi="Arial" w:cs="Arial"/>
                      <w:b/>
                      <w:i/>
                      <w:sz w:val="18"/>
                      <w:szCs w:val="18"/>
                    </w:rPr>
                    <w:t>800</w:t>
                  </w:r>
                </w:p>
              </w:tc>
              <w:tc>
                <w:tcPr>
                  <w:tcW w:w="1134" w:type="dxa"/>
                  <w:tcBorders>
                    <w:top w:val="single" w:sz="8" w:space="0" w:color="auto"/>
                    <w:left w:val="single" w:sz="8" w:space="0" w:color="auto"/>
                    <w:bottom w:val="single" w:sz="8" w:space="0" w:color="auto"/>
                    <w:right w:val="single" w:sz="8"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Pr>
                      <w:rFonts w:ascii="Arial" w:hAnsi="Arial" w:cs="Arial"/>
                      <w:b/>
                      <w:i/>
                      <w:sz w:val="18"/>
                      <w:szCs w:val="18"/>
                    </w:rPr>
                    <w:t>1,000</w:t>
                  </w:r>
                </w:p>
              </w:tc>
              <w:tc>
                <w:tcPr>
                  <w:tcW w:w="1134" w:type="dxa"/>
                  <w:tcBorders>
                    <w:top w:val="single" w:sz="8" w:space="0" w:color="auto"/>
                    <w:left w:val="single" w:sz="8" w:space="0" w:color="auto"/>
                    <w:bottom w:val="single" w:sz="8" w:space="0" w:color="auto"/>
                    <w:right w:val="single" w:sz="8"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Pr>
                      <w:rFonts w:ascii="Arial" w:hAnsi="Arial" w:cs="Arial"/>
                      <w:b/>
                      <w:i/>
                      <w:sz w:val="18"/>
                      <w:szCs w:val="18"/>
                    </w:rPr>
                    <w:t>3,500</w:t>
                  </w:r>
                </w:p>
              </w:tc>
              <w:tc>
                <w:tcPr>
                  <w:tcW w:w="1134" w:type="dxa"/>
                  <w:tcBorders>
                    <w:top w:val="single" w:sz="8" w:space="0" w:color="auto"/>
                    <w:left w:val="single" w:sz="8" w:space="0" w:color="auto"/>
                    <w:bottom w:val="single" w:sz="8" w:space="0" w:color="auto"/>
                    <w:right w:val="single" w:sz="8" w:space="0" w:color="auto"/>
                  </w:tcBorders>
                </w:tcPr>
                <w:p w:rsidR="00A97702" w:rsidRPr="00183106" w:rsidRDefault="00A97702" w:rsidP="00DA1C9D">
                  <w:pPr>
                    <w:pStyle w:val="text"/>
                    <w:spacing w:before="60" w:after="60" w:line="240" w:lineRule="atLeast"/>
                    <w:jc w:val="center"/>
                    <w:rPr>
                      <w:rFonts w:ascii="Arial" w:hAnsi="Arial" w:cs="Arial"/>
                      <w:sz w:val="18"/>
                      <w:szCs w:val="18"/>
                    </w:rPr>
                  </w:pPr>
                  <w:r>
                    <w:rPr>
                      <w:rFonts w:ascii="Arial" w:hAnsi="Arial" w:cs="Arial"/>
                      <w:b/>
                      <w:i/>
                      <w:sz w:val="18"/>
                      <w:szCs w:val="18"/>
                    </w:rPr>
                    <w:t>10,000</w:t>
                  </w:r>
                </w:p>
              </w:tc>
            </w:tr>
          </w:tbl>
          <w:p w:rsidR="00A97702" w:rsidRDefault="00A97702" w:rsidP="00A97702">
            <w:pPr>
              <w:pStyle w:val="text"/>
              <w:numPr>
                <w:ilvl w:val="0"/>
                <w:numId w:val="21"/>
              </w:numPr>
              <w:rPr>
                <w:sz w:val="20"/>
              </w:rPr>
            </w:pPr>
            <w:r>
              <w:rPr>
                <w:b/>
                <w:sz w:val="20"/>
              </w:rPr>
              <w:t xml:space="preserve">Are aesthetics relevant? </w:t>
            </w:r>
            <w:r w:rsidRPr="00B5592D">
              <w:rPr>
                <w:b/>
                <w:i/>
                <w:sz w:val="20"/>
              </w:rPr>
              <w:t>YES</w:t>
            </w:r>
            <w:r>
              <w:rPr>
                <w:b/>
                <w:i/>
                <w:sz w:val="20"/>
              </w:rPr>
              <w:t xml:space="preserve"> (sensitive land use proposed) </w:t>
            </w:r>
            <w:r w:rsidRPr="00B5592D">
              <w:rPr>
                <w:sz w:val="20"/>
              </w:rPr>
              <w:t xml:space="preserve">As 2 m of clean fill is present across </w:t>
            </w:r>
            <w:r>
              <w:rPr>
                <w:sz w:val="20"/>
              </w:rPr>
              <w:t xml:space="preserve">the </w:t>
            </w:r>
            <w:r w:rsidRPr="00B5592D">
              <w:rPr>
                <w:sz w:val="20"/>
              </w:rPr>
              <w:t xml:space="preserve">site </w:t>
            </w:r>
            <w:r>
              <w:rPr>
                <w:sz w:val="20"/>
              </w:rPr>
              <w:t xml:space="preserve">issues of </w:t>
            </w:r>
            <w:r w:rsidRPr="00B5592D">
              <w:rPr>
                <w:sz w:val="20"/>
              </w:rPr>
              <w:t>soil staining or odours are unlikely.</w:t>
            </w:r>
            <w:r>
              <w:rPr>
                <w:sz w:val="20"/>
              </w:rPr>
              <w:t xml:space="preserve"> The assessor will also need to consider the likelihood of uncontrolled excavations exposing contaminated material at depth. </w:t>
            </w:r>
          </w:p>
          <w:p w:rsidR="00A97702" w:rsidRDefault="00A97702" w:rsidP="00DA1C9D">
            <w:pPr>
              <w:pStyle w:val="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337"/>
            </w:tblGrid>
            <w:tr w:rsidR="00A97702" w:rsidRPr="00D94798" w:rsidTr="00DA1C9D">
              <w:tc>
                <w:tcPr>
                  <w:tcW w:w="1951"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line="240" w:lineRule="atLeast"/>
                    <w:jc w:val="center"/>
                    <w:rPr>
                      <w:b/>
                      <w:sz w:val="20"/>
                    </w:rPr>
                  </w:pPr>
                  <w:r w:rsidRPr="0029479F">
                    <w:rPr>
                      <w:b/>
                      <w:sz w:val="20"/>
                    </w:rPr>
                    <w:t>Outcome</w:t>
                  </w:r>
                </w:p>
              </w:tc>
              <w:tc>
                <w:tcPr>
                  <w:tcW w:w="7337" w:type="dxa"/>
                  <w:tcBorders>
                    <w:top w:val="single" w:sz="4" w:space="0" w:color="auto"/>
                    <w:left w:val="single" w:sz="4" w:space="0" w:color="auto"/>
                    <w:bottom w:val="single" w:sz="4" w:space="0" w:color="auto"/>
                    <w:right w:val="single" w:sz="4" w:space="0" w:color="auto"/>
                  </w:tcBorders>
                </w:tcPr>
                <w:p w:rsidR="00A97702" w:rsidRPr="00EF6ACB" w:rsidRDefault="00A97702" w:rsidP="00A97702">
                  <w:pPr>
                    <w:pStyle w:val="Dot-points"/>
                    <w:tabs>
                      <w:tab w:val="clear" w:pos="926"/>
                      <w:tab w:val="num" w:pos="360"/>
                    </w:tabs>
                  </w:pPr>
                  <w:r w:rsidRPr="00EF6ACB">
                    <w:t>No exceed</w:t>
                  </w:r>
                  <w:r>
                    <w:t>e</w:t>
                  </w:r>
                  <w:r w:rsidRPr="00EF6ACB">
                    <w:t xml:space="preserve">nces are indicated from the comparisons </w:t>
                  </w:r>
                  <w:r>
                    <w:t>with the relevant HSL</w:t>
                  </w:r>
                  <w:r w:rsidRPr="00EF6ACB">
                    <w:t xml:space="preserve">s, ESLs and management limits for the proposed residential </w:t>
                  </w:r>
                  <w:r>
                    <w:t>land use</w:t>
                  </w:r>
                  <w:r w:rsidRPr="00EF6ACB">
                    <w:t xml:space="preserve">. </w:t>
                  </w:r>
                </w:p>
                <w:p w:rsidR="00A97702" w:rsidRPr="00EF6ACB" w:rsidRDefault="00A97702" w:rsidP="00A97702">
                  <w:pPr>
                    <w:pStyle w:val="Dot-points"/>
                    <w:tabs>
                      <w:tab w:val="clear" w:pos="926"/>
                      <w:tab w:val="num" w:pos="360"/>
                    </w:tabs>
                    <w:rPr>
                      <w:b/>
                    </w:rPr>
                  </w:pPr>
                  <w:r w:rsidRPr="00EF6ACB">
                    <w:t xml:space="preserve">Evaluation of the data for naphthalene, BaP, total PAHs and lead would also be required. </w:t>
                  </w:r>
                </w:p>
              </w:tc>
            </w:tr>
          </w:tbl>
          <w:p w:rsidR="00A97702" w:rsidRPr="00F601BA" w:rsidRDefault="00A97702" w:rsidP="00DA1C9D">
            <w:pPr>
              <w:pStyle w:val="text"/>
              <w:rPr>
                <w:b/>
                <w:bCs/>
                <w:szCs w:val="22"/>
              </w:rPr>
            </w:pPr>
            <w:r w:rsidRPr="00F601BA">
              <w:rPr>
                <w:b/>
                <w:bCs/>
                <w:szCs w:val="22"/>
              </w:rPr>
              <w:t>Evaluation and conclusion</w:t>
            </w:r>
            <w:r>
              <w:rPr>
                <w:b/>
                <w:bCs/>
                <w:szCs w:val="22"/>
              </w:rPr>
              <w:t xml:space="preserve"> </w:t>
            </w:r>
          </w:p>
          <w:p w:rsidR="00A97702" w:rsidRDefault="00A97702" w:rsidP="00DA1C9D">
            <w:pPr>
              <w:pStyle w:val="text"/>
              <w:rPr>
                <w:szCs w:val="22"/>
              </w:rPr>
            </w:pPr>
            <w:r w:rsidRPr="00F601BA">
              <w:rPr>
                <w:szCs w:val="22"/>
              </w:rPr>
              <w:t xml:space="preserve">A </w:t>
            </w:r>
            <w:r>
              <w:rPr>
                <w:szCs w:val="22"/>
              </w:rPr>
              <w:t xml:space="preserve">multiple-lines-of-evidence approach is recommended for the evaluation of vapour intrusion risks. Although no unacceptable vapour intrusion risks were identified in the assessment above, the assessor would need to take into account the level of uncertainty associated with the data and whether a sufficient margin of safety was present, particularly in relation to the adjusted groundwater HSLs. </w:t>
            </w:r>
          </w:p>
          <w:p w:rsidR="00A97702" w:rsidRDefault="00A97702" w:rsidP="00DA1C9D">
            <w:pPr>
              <w:pStyle w:val="text"/>
              <w:rPr>
                <w:szCs w:val="22"/>
              </w:rPr>
            </w:pPr>
            <w:r>
              <w:rPr>
                <w:szCs w:val="22"/>
              </w:rPr>
              <w:t xml:space="preserve">Further consideration should be given to the confidence in the site CSM particularly with regards to seasonal trends in groundwater quality and possible variation in depth to the water table. If the watertable is likely to rise by more than 2 m, then the maximum concentrations of benzene recorded in MW 1 (7 mg/L) and MW3 (8 mg/L) would be close to/at the level of the adjusted HSL of 8 mg/L for 2 m </w:t>
            </w:r>
            <w:r>
              <w:rPr>
                <w:szCs w:val="22"/>
              </w:rPr>
              <w:sym w:font="Symbol" w:char="F02D"/>
            </w:r>
            <w:r>
              <w:rPr>
                <w:szCs w:val="22"/>
              </w:rPr>
              <w:t xml:space="preserve"> &lt;4 m depth (Table 1A(4) with x10 adjustment). </w:t>
            </w:r>
          </w:p>
          <w:p w:rsidR="00A97702" w:rsidRPr="009B07AB" w:rsidRDefault="00A97702" w:rsidP="00DA1C9D">
            <w:pPr>
              <w:pStyle w:val="text"/>
              <w:rPr>
                <w:szCs w:val="22"/>
              </w:rPr>
            </w:pPr>
            <w:r w:rsidRPr="009B07AB">
              <w:rPr>
                <w:szCs w:val="22"/>
              </w:rPr>
              <w:t>Given the sensitivity of the proposed land use (low density residential), consideration should be given to collecting further data such as conducting a soil vapour survey of the source area.</w:t>
            </w:r>
          </w:p>
          <w:p w:rsidR="00A97702" w:rsidRDefault="00A97702" w:rsidP="00DA1C9D">
            <w:pPr>
              <w:pStyle w:val="text"/>
              <w:rPr>
                <w:szCs w:val="22"/>
              </w:rPr>
            </w:pPr>
            <w:r>
              <w:rPr>
                <w:szCs w:val="22"/>
              </w:rPr>
              <w:t>The</w:t>
            </w:r>
            <w:r w:rsidRPr="00F601BA">
              <w:rPr>
                <w:szCs w:val="22"/>
              </w:rPr>
              <w:t xml:space="preserve"> level of groundwater contamination</w:t>
            </w:r>
            <w:r>
              <w:rPr>
                <w:szCs w:val="22"/>
              </w:rPr>
              <w:t xml:space="preserve"> present is of concern</w:t>
            </w:r>
            <w:r w:rsidRPr="00F601BA">
              <w:rPr>
                <w:szCs w:val="22"/>
              </w:rPr>
              <w:t xml:space="preserve">. The groundwater </w:t>
            </w:r>
            <w:r>
              <w:rPr>
                <w:szCs w:val="22"/>
              </w:rPr>
              <w:t>quality is</w:t>
            </w:r>
            <w:r w:rsidRPr="00F601BA">
              <w:rPr>
                <w:szCs w:val="22"/>
              </w:rPr>
              <w:t xml:space="preserve"> unacceptable for human consumption and should be restricted for use by site occupants. Potable use is unrealistic given the poor groundwater quality and yield</w:t>
            </w:r>
            <w:r>
              <w:rPr>
                <w:szCs w:val="22"/>
              </w:rPr>
              <w:t>, however, i</w:t>
            </w:r>
            <w:r w:rsidRPr="00F601BA">
              <w:rPr>
                <w:szCs w:val="22"/>
              </w:rPr>
              <w:t xml:space="preserve">t </w:t>
            </w:r>
            <w:r>
              <w:rPr>
                <w:szCs w:val="22"/>
              </w:rPr>
              <w:t>could</w:t>
            </w:r>
            <w:r w:rsidRPr="00F601BA">
              <w:rPr>
                <w:szCs w:val="22"/>
              </w:rPr>
              <w:t xml:space="preserve"> cause adverse effects on potential ecosystem receptors. Further consideration should be given to groundwater contamination regarding any potential receptors </w:t>
            </w:r>
            <w:r>
              <w:rPr>
                <w:szCs w:val="22"/>
              </w:rPr>
              <w:t xml:space="preserve">off-site </w:t>
            </w:r>
            <w:r w:rsidRPr="00F601BA">
              <w:rPr>
                <w:szCs w:val="22"/>
              </w:rPr>
              <w:t>and any realistic future use potential. State and local groundwater protection policies would take effect in applying controls over the presence, extraction and use of impacted groundwater.</w:t>
            </w:r>
          </w:p>
          <w:p w:rsidR="00A97702" w:rsidRPr="006865C6" w:rsidRDefault="00A97702" w:rsidP="00DA1C9D">
            <w:pPr>
              <w:pStyle w:val="text"/>
              <w:rPr>
                <w:b/>
                <w:i/>
              </w:rPr>
            </w:pPr>
            <w:r w:rsidRPr="00D93C8F">
              <w:rPr>
                <w:b/>
                <w:i/>
                <w:szCs w:val="22"/>
              </w:rPr>
              <w:t xml:space="preserve">Note, it would not be an appropriate approach to install a thickness of fill to cover hydrocarbon contamination to enable the use of less </w:t>
            </w:r>
            <w:r>
              <w:rPr>
                <w:b/>
                <w:i/>
                <w:szCs w:val="22"/>
              </w:rPr>
              <w:t>stringent</w:t>
            </w:r>
            <w:r w:rsidRPr="00D93C8F">
              <w:rPr>
                <w:b/>
                <w:i/>
                <w:szCs w:val="22"/>
              </w:rPr>
              <w:t xml:space="preserve"> HSLs or to enable the application of a ‘x10’ or </w:t>
            </w:r>
            <w:r w:rsidR="00134B66">
              <w:rPr>
                <w:b/>
                <w:i/>
                <w:szCs w:val="22"/>
              </w:rPr>
              <w:t>‘x100’ biodegradation factor.</w:t>
            </w:r>
          </w:p>
        </w:tc>
      </w:tr>
    </w:tbl>
    <w:p w:rsidR="00A97702" w:rsidRDefault="00A97702" w:rsidP="00A97702">
      <w:pPr>
        <w:pStyle w:val="text"/>
        <w:rPr>
          <w:sz w:val="24"/>
        </w:rPr>
      </w:pPr>
    </w:p>
    <w:p w:rsidR="00A97702" w:rsidRDefault="00A97702" w:rsidP="00A97702">
      <w:pPr>
        <w:pStyle w:val="tex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97702" w:rsidRPr="00F601BA" w:rsidTr="00DA1C9D">
        <w:tc>
          <w:tcPr>
            <w:tcW w:w="9288" w:type="dxa"/>
          </w:tcPr>
          <w:p w:rsidR="00A97702" w:rsidRDefault="00A97702" w:rsidP="00DA1C9D">
            <w:pPr>
              <w:pStyle w:val="StyleBlockTitle1TopSinglesolidlineAuto05ptLinewid"/>
            </w:pPr>
            <w:r w:rsidRPr="00AE33DD">
              <w:t xml:space="preserve">Case </w:t>
            </w:r>
            <w:r>
              <w:t>s</w:t>
            </w:r>
            <w:r w:rsidRPr="00AE33DD">
              <w:t xml:space="preserve">tudy </w:t>
            </w:r>
            <w:r>
              <w:t>4</w:t>
            </w:r>
            <w:r w:rsidRPr="00AE33DD">
              <w:t xml:space="preserve">: </w:t>
            </w:r>
            <w:r>
              <w:t>Application</w:t>
            </w:r>
            <w:r w:rsidRPr="00AE33DD">
              <w:t xml:space="preserve"> of </w:t>
            </w:r>
            <w:r>
              <w:t>soil vapour</w:t>
            </w:r>
            <w:r w:rsidRPr="00AE33DD">
              <w:t xml:space="preserve"> </w:t>
            </w:r>
            <w:r>
              <w:t xml:space="preserve">interim VOCC </w:t>
            </w:r>
            <w:r w:rsidRPr="00AE33DD">
              <w:t>HILs and HSL</w:t>
            </w:r>
            <w:r>
              <w:t xml:space="preserve">s – </w:t>
            </w:r>
          </w:p>
          <w:p w:rsidR="00A97702" w:rsidRPr="00AE33DD" w:rsidRDefault="00A97702" w:rsidP="00DA1C9D">
            <w:pPr>
              <w:pStyle w:val="StyleBlockTitle1TopSinglesolidlineAuto05ptLinewid"/>
            </w:pPr>
            <w:r>
              <w:t>vapour intrusion assessment for a commercial building adjacent to industrial premises</w:t>
            </w:r>
          </w:p>
          <w:p w:rsidR="00A97702" w:rsidRPr="00F53B7C" w:rsidRDefault="00A97702" w:rsidP="00DA1C9D">
            <w:pPr>
              <w:pStyle w:val="text"/>
              <w:rPr>
                <w:b/>
              </w:rPr>
            </w:pPr>
            <w:r w:rsidRPr="00B51359">
              <w:rPr>
                <w:b/>
              </w:rPr>
              <w:t>Site Scenario</w:t>
            </w:r>
          </w:p>
          <w:p w:rsidR="00A97702" w:rsidRDefault="00A97702" w:rsidP="00DA1C9D">
            <w:pPr>
              <w:pStyle w:val="text"/>
            </w:pPr>
            <w:r w:rsidRPr="004204E5">
              <w:t xml:space="preserve">A drum reconditioning works is located beside a </w:t>
            </w:r>
            <w:r>
              <w:t>four</w:t>
            </w:r>
            <w:r w:rsidRPr="004204E5">
              <w:t>-storey office building in an industrial estate</w:t>
            </w:r>
            <w:r>
              <w:t xml:space="preserve">. </w:t>
            </w:r>
            <w:r w:rsidRPr="004204E5">
              <w:t>A drum pre-clean area attached to the works has leaked chemical wastes to the subsurface</w:t>
            </w:r>
            <w:r>
              <w:t xml:space="preserve">. </w:t>
            </w:r>
            <w:r w:rsidRPr="004204E5">
              <w:t xml:space="preserve">Limited soil and groundwater sampling, constrained by existing </w:t>
            </w:r>
            <w:r>
              <w:t>infrastructure</w:t>
            </w:r>
            <w:r w:rsidRPr="004204E5">
              <w:t xml:space="preserve"> and land uses</w:t>
            </w:r>
            <w:r>
              <w:t>,</w:t>
            </w:r>
            <w:r w:rsidRPr="004204E5">
              <w:t xml:space="preserve"> ha</w:t>
            </w:r>
            <w:r>
              <w:t>ve</w:t>
            </w:r>
            <w:r w:rsidRPr="004204E5">
              <w:t xml:space="preserve"> detected TCE, PCE and derivatives, BTEX and T</w:t>
            </w:r>
            <w:r>
              <w:t>R</w:t>
            </w:r>
            <w:r w:rsidRPr="004204E5">
              <w:t>H</w:t>
            </w:r>
            <w:r>
              <w:t xml:space="preserve"> fractions</w:t>
            </w:r>
            <w:r w:rsidRPr="004204E5">
              <w:t xml:space="preserve"> in soil and groundwater bores</w:t>
            </w:r>
            <w:r>
              <w:t xml:space="preserve">. </w:t>
            </w:r>
            <w:r w:rsidRPr="004204E5">
              <w:t>Initial results suggest</w:t>
            </w:r>
            <w:r>
              <w:t>ed</w:t>
            </w:r>
            <w:r w:rsidRPr="004204E5">
              <w:t xml:space="preserve"> a potential human health risk to ground floor occupants of the office block</w:t>
            </w:r>
            <w:r>
              <w:t>. The surface of the site comprises sealed hardstand.</w:t>
            </w:r>
          </w:p>
          <w:p w:rsidR="00A97702" w:rsidRPr="00F53B7C" w:rsidRDefault="00A97702" w:rsidP="00DA1C9D">
            <w:pPr>
              <w:pStyle w:val="text"/>
              <w:rPr>
                <w:b/>
              </w:rPr>
            </w:pPr>
            <w:r w:rsidRPr="00B51359">
              <w:rPr>
                <w:b/>
              </w:rPr>
              <w:t>Response</w:t>
            </w:r>
          </w:p>
          <w:p w:rsidR="00A97702" w:rsidRDefault="00A97702" w:rsidP="00DA1C9D">
            <w:pPr>
              <w:pStyle w:val="text"/>
            </w:pPr>
            <w:r>
              <w:t>The soil and groundwater sampling has been followed up with soil vapour</w:t>
            </w:r>
            <w:r w:rsidRPr="004204E5">
              <w:t xml:space="preserve"> samples at </w:t>
            </w:r>
            <w:r w:rsidRPr="00F601BA">
              <w:rPr>
                <w:bCs/>
              </w:rPr>
              <w:t>0</w:t>
            </w:r>
            <w:r>
              <w:rPr>
                <w:bCs/>
              </w:rPr>
              <w:sym w:font="Symbol" w:char="F02D"/>
            </w:r>
            <w:r w:rsidRPr="00F601BA">
              <w:rPr>
                <w:bCs/>
              </w:rPr>
              <w:t>1 m</w:t>
            </w:r>
            <w:r w:rsidRPr="004204E5">
              <w:t xml:space="preserve"> depth </w:t>
            </w:r>
            <w:r>
              <w:t>located in the bituminised area immediately adjacent to</w:t>
            </w:r>
            <w:r w:rsidRPr="004204E5">
              <w:t xml:space="preserve"> the office block </w:t>
            </w:r>
            <w:r>
              <w:t>at</w:t>
            </w:r>
            <w:r w:rsidRPr="004204E5">
              <w:t xml:space="preserve"> four locations to further assess the human health risk.</w:t>
            </w:r>
            <w:r>
              <w:t xml:space="preserve"> </w:t>
            </w:r>
          </w:p>
          <w:p w:rsidR="00A97702" w:rsidRDefault="00A97702" w:rsidP="00A97702">
            <w:pPr>
              <w:pStyle w:val="Dot-points"/>
              <w:tabs>
                <w:tab w:val="clear" w:pos="926"/>
                <w:tab w:val="num" w:pos="360"/>
              </w:tabs>
            </w:pPr>
            <w:r>
              <w:t>A preliminary screening step (refer Section 9.2.1 of Schedule B2) has determined that an assessment of potential vapour intrusion risks is necessary as receptors (occupants of office block) are located within 30 m of an identified volatile source.</w:t>
            </w:r>
          </w:p>
          <w:p w:rsidR="00A97702" w:rsidRDefault="00A97702" w:rsidP="00A97702">
            <w:pPr>
              <w:pStyle w:val="Dot-points"/>
              <w:tabs>
                <w:tab w:val="clear" w:pos="926"/>
                <w:tab w:val="num" w:pos="360"/>
              </w:tabs>
            </w:pPr>
            <w:r>
              <w:t>The HSL assumptions and limitations were checked with the aid of the HSL checklist –(ASC NEPM Toolbox) and the HSLs confirmed to be applicable for the site-specific conditions.</w:t>
            </w:r>
          </w:p>
          <w:p w:rsidR="00A97702" w:rsidRDefault="00A97702" w:rsidP="00A97702">
            <w:pPr>
              <w:pStyle w:val="Dot-points"/>
              <w:tabs>
                <w:tab w:val="clear" w:pos="926"/>
                <w:tab w:val="num" w:pos="360"/>
              </w:tabs>
            </w:pPr>
            <w:r>
              <w:t>BTEX and naphthalene were subtracted from TRH fractions C</w:t>
            </w:r>
            <w:r w:rsidRPr="0080331B">
              <w:rPr>
                <w:vertAlign w:val="subscript"/>
              </w:rPr>
              <w:t>6</w:t>
            </w:r>
            <w:r>
              <w:t xml:space="preserve"> – C</w:t>
            </w:r>
            <w:r w:rsidRPr="0080331B">
              <w:rPr>
                <w:vertAlign w:val="subscript"/>
              </w:rPr>
              <w:t>10</w:t>
            </w:r>
            <w:r>
              <w:t xml:space="preserve"> and &gt;C</w:t>
            </w:r>
            <w:r w:rsidRPr="0080331B">
              <w:rPr>
                <w:vertAlign w:val="subscript"/>
              </w:rPr>
              <w:t>10</w:t>
            </w:r>
            <w:r>
              <w:t xml:space="preserve"> – C</w:t>
            </w:r>
            <w:r w:rsidRPr="0080331B">
              <w:rPr>
                <w:vertAlign w:val="subscript"/>
              </w:rPr>
              <w:t>16</w:t>
            </w:r>
            <w:r>
              <w:t xml:space="preserve"> to obtain F1 and F2 respectively (note F2 data not presented here).</w:t>
            </w:r>
          </w:p>
          <w:p w:rsidR="00A97702" w:rsidRDefault="00A97702" w:rsidP="00A97702">
            <w:pPr>
              <w:pStyle w:val="Dot-points"/>
              <w:tabs>
                <w:tab w:val="clear" w:pos="926"/>
                <w:tab w:val="num" w:pos="360"/>
              </w:tabs>
            </w:pPr>
            <w:r>
              <w:t xml:space="preserve">Soil Type - Predominant </w:t>
            </w:r>
            <w:r w:rsidRPr="00BB3288">
              <w:t xml:space="preserve">soil </w:t>
            </w:r>
            <w:r>
              <w:t>type determined to be sand.</w:t>
            </w:r>
          </w:p>
          <w:p w:rsidR="00A97702" w:rsidRPr="004204E5" w:rsidRDefault="00A97702" w:rsidP="00A97702">
            <w:pPr>
              <w:pStyle w:val="Dot-points"/>
              <w:tabs>
                <w:tab w:val="clear" w:pos="926"/>
                <w:tab w:val="num" w:pos="360"/>
              </w:tabs>
            </w:pPr>
            <w:r>
              <w:t>Biodegradation is not a consideration as the office block concrete slab and contiguous bituminised area is &gt;15 m wide.</w:t>
            </w:r>
          </w:p>
          <w:p w:rsidR="00A97702" w:rsidRDefault="00A97702" w:rsidP="00A97702">
            <w:pPr>
              <w:pStyle w:val="Dot-points"/>
              <w:tabs>
                <w:tab w:val="clear" w:pos="926"/>
                <w:tab w:val="num" w:pos="360"/>
              </w:tabs>
            </w:pPr>
          </w:p>
          <w:p w:rsidR="00A97702" w:rsidRDefault="00A97702" w:rsidP="00DA1C9D">
            <w:pPr>
              <w:pStyle w:val="text"/>
              <w:rPr>
                <w:b/>
                <w:bCs/>
                <w:sz w:val="20"/>
              </w:rPr>
            </w:pPr>
            <w:r w:rsidRPr="00F601BA">
              <w:rPr>
                <w:b/>
                <w:bCs/>
                <w:szCs w:val="22"/>
                <w:u w:val="single"/>
              </w:rPr>
              <w:t>Step 1:</w:t>
            </w:r>
            <w:r w:rsidRPr="00F601BA">
              <w:rPr>
                <w:b/>
                <w:bCs/>
                <w:szCs w:val="22"/>
                <w:u w:val="single"/>
              </w:rPr>
              <w:tab/>
            </w:r>
            <w:r>
              <w:rPr>
                <w:b/>
                <w:bCs/>
                <w:szCs w:val="22"/>
                <w:u w:val="single"/>
              </w:rPr>
              <w:t xml:space="preserve">Document </w:t>
            </w:r>
            <w:r w:rsidRPr="00F601BA">
              <w:rPr>
                <w:b/>
                <w:bCs/>
                <w:szCs w:val="22"/>
                <w:u w:val="single"/>
              </w:rPr>
              <w:t xml:space="preserve">results </w:t>
            </w:r>
            <w:r>
              <w:rPr>
                <w:b/>
                <w:bCs/>
                <w:szCs w:val="22"/>
                <w:u w:val="single"/>
              </w:rPr>
              <w:t xml:space="preserve">and select </w:t>
            </w:r>
            <w:r w:rsidRPr="00F601BA">
              <w:rPr>
                <w:b/>
                <w:bCs/>
                <w:szCs w:val="22"/>
                <w:u w:val="single"/>
              </w:rPr>
              <w:t xml:space="preserve">interim </w:t>
            </w:r>
            <w:r>
              <w:rPr>
                <w:b/>
                <w:bCs/>
                <w:szCs w:val="22"/>
                <w:u w:val="single"/>
              </w:rPr>
              <w:t xml:space="preserve">VOCC </w:t>
            </w:r>
            <w:r w:rsidRPr="00F601BA">
              <w:rPr>
                <w:b/>
                <w:bCs/>
                <w:szCs w:val="22"/>
                <w:u w:val="single"/>
              </w:rPr>
              <w:t xml:space="preserve">HILs and </w:t>
            </w:r>
            <w:r>
              <w:rPr>
                <w:b/>
                <w:bCs/>
                <w:szCs w:val="22"/>
                <w:u w:val="single"/>
              </w:rPr>
              <w:t xml:space="preserve">soil vapour </w:t>
            </w:r>
            <w:r w:rsidRPr="00F601BA">
              <w:rPr>
                <w:b/>
                <w:bCs/>
                <w:szCs w:val="22"/>
                <w:u w:val="single"/>
              </w:rPr>
              <w:t>HSLs</w:t>
            </w:r>
          </w:p>
          <w:p w:rsidR="00A97702" w:rsidRPr="00F601BA" w:rsidRDefault="00A97702" w:rsidP="00DA1C9D">
            <w:pPr>
              <w:pStyle w:val="text"/>
              <w:rPr>
                <w:b/>
                <w:bCs/>
                <w:sz w:val="20"/>
              </w:rPr>
            </w:pPr>
            <w:r>
              <w:rPr>
                <w:b/>
                <w:bCs/>
                <w:sz w:val="20"/>
              </w:rPr>
              <w:t>Soil vapour</w:t>
            </w:r>
            <w:r w:rsidRPr="00F601BA">
              <w:rPr>
                <w:b/>
                <w:bCs/>
                <w:sz w:val="20"/>
              </w:rPr>
              <w:t xml:space="preserve"> values mg/m</w:t>
            </w:r>
            <w:r w:rsidRPr="00F601BA">
              <w:rPr>
                <w:b/>
                <w:bCs/>
                <w:sz w:val="20"/>
                <w:vertAlign w:val="superscript"/>
              </w:rPr>
              <w:t>3</w:t>
            </w:r>
            <w:r w:rsidRPr="00F601BA">
              <w:rPr>
                <w:b/>
                <w:bCs/>
                <w:sz w:val="20"/>
              </w:rPr>
              <w:t xml:space="preserve">, refer Table 1A(2) for interim VOCC HILs and </w:t>
            </w:r>
            <w:r>
              <w:rPr>
                <w:b/>
                <w:bCs/>
                <w:sz w:val="20"/>
              </w:rPr>
              <w:t xml:space="preserve">Table </w:t>
            </w:r>
            <w:r w:rsidRPr="00F601BA">
              <w:rPr>
                <w:b/>
                <w:bCs/>
                <w:sz w:val="20"/>
              </w:rPr>
              <w:t xml:space="preserve">1A(5) for </w:t>
            </w:r>
            <w:r>
              <w:rPr>
                <w:b/>
                <w:bCs/>
                <w:sz w:val="20"/>
              </w:rPr>
              <w:t>soil vapour</w:t>
            </w:r>
            <w:r w:rsidRPr="00F601BA">
              <w:rPr>
                <w:b/>
                <w:bCs/>
                <w:sz w:val="20"/>
              </w:rPr>
              <w:t xml:space="preserve"> HSLs</w:t>
            </w:r>
            <w:r>
              <w:rPr>
                <w:b/>
                <w:bCs/>
                <w:sz w:val="20"/>
              </w:rPr>
              <w:t xml:space="preserve"> for 0-1 m (sand)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958"/>
              <w:gridCol w:w="911"/>
              <w:gridCol w:w="977"/>
              <w:gridCol w:w="889"/>
              <w:gridCol w:w="1124"/>
              <w:gridCol w:w="988"/>
              <w:gridCol w:w="968"/>
              <w:gridCol w:w="929"/>
            </w:tblGrid>
            <w:tr w:rsidR="00A97702" w:rsidRPr="00163A91" w:rsidTr="00DA1C9D">
              <w:tc>
                <w:tcPr>
                  <w:tcW w:w="1318"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sidRPr="00A2210B">
                    <w:rPr>
                      <w:rFonts w:ascii="Arial" w:hAnsi="Arial" w:cs="Arial"/>
                      <w:b/>
                      <w:bCs/>
                      <w:color w:val="000000"/>
                      <w:sz w:val="18"/>
                      <w:szCs w:val="18"/>
                    </w:rPr>
                    <w:t>Sample</w:t>
                  </w:r>
                </w:p>
              </w:tc>
              <w:tc>
                <w:tcPr>
                  <w:tcW w:w="958"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sidRPr="00A2210B">
                    <w:rPr>
                      <w:rFonts w:ascii="Arial" w:hAnsi="Arial" w:cs="Arial"/>
                      <w:b/>
                      <w:bCs/>
                      <w:color w:val="000000"/>
                      <w:sz w:val="18"/>
                      <w:szCs w:val="18"/>
                    </w:rPr>
                    <w:t>TCE</w:t>
                  </w:r>
                </w:p>
              </w:tc>
              <w:tc>
                <w:tcPr>
                  <w:tcW w:w="911"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sidRPr="00A2210B">
                    <w:rPr>
                      <w:rFonts w:ascii="Arial" w:hAnsi="Arial" w:cs="Arial"/>
                      <w:b/>
                      <w:bCs/>
                      <w:color w:val="000000"/>
                      <w:sz w:val="18"/>
                      <w:szCs w:val="18"/>
                    </w:rPr>
                    <w:t>PCE</w:t>
                  </w:r>
                </w:p>
              </w:tc>
              <w:tc>
                <w:tcPr>
                  <w:tcW w:w="977"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sidRPr="00A2210B">
                    <w:rPr>
                      <w:rFonts w:ascii="Arial" w:hAnsi="Arial" w:cs="Arial"/>
                      <w:b/>
                      <w:bCs/>
                      <w:color w:val="000000"/>
                      <w:sz w:val="18"/>
                      <w:szCs w:val="18"/>
                    </w:rPr>
                    <w:t>Vinyl chloride</w:t>
                  </w:r>
                </w:p>
              </w:tc>
              <w:tc>
                <w:tcPr>
                  <w:tcW w:w="889"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sidRPr="00A2210B">
                    <w:rPr>
                      <w:rFonts w:ascii="Arial" w:hAnsi="Arial" w:cs="Arial"/>
                      <w:b/>
                      <w:bCs/>
                      <w:color w:val="000000"/>
                      <w:sz w:val="18"/>
                      <w:szCs w:val="18"/>
                    </w:rPr>
                    <w:t>B</w:t>
                  </w:r>
                </w:p>
              </w:tc>
              <w:tc>
                <w:tcPr>
                  <w:tcW w:w="1124"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sidRPr="00A2210B">
                    <w:rPr>
                      <w:rFonts w:ascii="Arial" w:hAnsi="Arial" w:cs="Arial"/>
                      <w:b/>
                      <w:bCs/>
                      <w:color w:val="000000"/>
                      <w:sz w:val="18"/>
                      <w:szCs w:val="18"/>
                    </w:rPr>
                    <w:t>T</w:t>
                  </w:r>
                </w:p>
              </w:tc>
              <w:tc>
                <w:tcPr>
                  <w:tcW w:w="988"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sidRPr="00A2210B">
                    <w:rPr>
                      <w:rFonts w:ascii="Arial" w:hAnsi="Arial" w:cs="Arial"/>
                      <w:b/>
                      <w:bCs/>
                      <w:color w:val="000000"/>
                      <w:sz w:val="18"/>
                      <w:szCs w:val="18"/>
                    </w:rPr>
                    <w:t>E</w:t>
                  </w:r>
                </w:p>
              </w:tc>
              <w:tc>
                <w:tcPr>
                  <w:tcW w:w="968"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sidRPr="00A2210B">
                    <w:rPr>
                      <w:rFonts w:ascii="Arial" w:hAnsi="Arial" w:cs="Arial"/>
                      <w:b/>
                      <w:bCs/>
                      <w:color w:val="000000"/>
                      <w:sz w:val="18"/>
                      <w:szCs w:val="18"/>
                    </w:rPr>
                    <w:t>X</w:t>
                  </w:r>
                </w:p>
              </w:tc>
              <w:tc>
                <w:tcPr>
                  <w:tcW w:w="929"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jc w:val="center"/>
                    <w:rPr>
                      <w:rFonts w:ascii="Arial" w:hAnsi="Arial" w:cs="Arial"/>
                      <w:b/>
                      <w:bCs/>
                      <w:color w:val="000000"/>
                      <w:sz w:val="18"/>
                      <w:szCs w:val="18"/>
                    </w:rPr>
                  </w:pPr>
                  <w:r>
                    <w:rPr>
                      <w:rFonts w:ascii="Arial" w:hAnsi="Arial" w:cs="Arial"/>
                      <w:b/>
                      <w:bCs/>
                      <w:color w:val="000000"/>
                      <w:sz w:val="18"/>
                      <w:szCs w:val="18"/>
                    </w:rPr>
                    <w:t xml:space="preserve">F1 </w:t>
                  </w:r>
                </w:p>
              </w:tc>
            </w:tr>
            <w:tr w:rsidR="00A97702" w:rsidRPr="00163A91" w:rsidTr="00DA1C9D">
              <w:tc>
                <w:tcPr>
                  <w:tcW w:w="1318"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rPr>
                      <w:rFonts w:ascii="Arial" w:hAnsi="Arial" w:cs="Arial"/>
                      <w:color w:val="000000"/>
                      <w:sz w:val="18"/>
                      <w:szCs w:val="18"/>
                    </w:rPr>
                  </w:pPr>
                  <w:r w:rsidRPr="00A2210B">
                    <w:rPr>
                      <w:rFonts w:ascii="Arial" w:hAnsi="Arial" w:cs="Arial"/>
                      <w:color w:val="000000"/>
                      <w:sz w:val="18"/>
                      <w:szCs w:val="18"/>
                    </w:rPr>
                    <w:t>SG1</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22</w:t>
                  </w:r>
                </w:p>
              </w:tc>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110</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6</w:t>
                  </w:r>
                </w:p>
              </w:tc>
              <w:tc>
                <w:tcPr>
                  <w:tcW w:w="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7</w:t>
                  </w:r>
                </w:p>
              </w:tc>
              <w:tc>
                <w:tcPr>
                  <w:tcW w:w="1124"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25</w:t>
                  </w:r>
                </w:p>
              </w:tc>
              <w:tc>
                <w:tcPr>
                  <w:tcW w:w="98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44</w:t>
                  </w:r>
                </w:p>
              </w:tc>
              <w:tc>
                <w:tcPr>
                  <w:tcW w:w="96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60</w:t>
                  </w:r>
                </w:p>
              </w:tc>
              <w:tc>
                <w:tcPr>
                  <w:tcW w:w="929"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120</w:t>
                  </w:r>
                </w:p>
              </w:tc>
            </w:tr>
            <w:tr w:rsidR="00A97702" w:rsidRPr="00163A91" w:rsidTr="00DA1C9D">
              <w:tc>
                <w:tcPr>
                  <w:tcW w:w="1318" w:type="dxa"/>
                  <w:tcBorders>
                    <w:top w:val="single" w:sz="4" w:space="0" w:color="auto"/>
                    <w:left w:val="single" w:sz="4" w:space="0" w:color="auto"/>
                    <w:bottom w:val="single" w:sz="4" w:space="0" w:color="auto"/>
                    <w:right w:val="single" w:sz="4" w:space="0" w:color="auto"/>
                  </w:tcBorders>
                  <w:shd w:val="clear" w:color="auto" w:fill="F2F2F2"/>
                </w:tcPr>
                <w:p w:rsidR="00A97702" w:rsidRPr="00A2210B" w:rsidRDefault="00A97702" w:rsidP="00DA1C9D">
                  <w:pPr>
                    <w:spacing w:before="60" w:after="60"/>
                    <w:rPr>
                      <w:rFonts w:ascii="Arial" w:hAnsi="Arial" w:cs="Arial"/>
                      <w:color w:val="000000"/>
                      <w:sz w:val="18"/>
                      <w:szCs w:val="18"/>
                    </w:rPr>
                  </w:pPr>
                  <w:r w:rsidRPr="00A2210B">
                    <w:rPr>
                      <w:rFonts w:ascii="Arial" w:hAnsi="Arial" w:cs="Arial"/>
                      <w:color w:val="000000"/>
                      <w:sz w:val="18"/>
                      <w:szCs w:val="18"/>
                    </w:rPr>
                    <w:t>SG2</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30</w:t>
                  </w:r>
                </w:p>
              </w:tc>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130</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17</w:t>
                  </w:r>
                </w:p>
              </w:tc>
              <w:tc>
                <w:tcPr>
                  <w:tcW w:w="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9</w:t>
                  </w:r>
                </w:p>
              </w:tc>
              <w:tc>
                <w:tcPr>
                  <w:tcW w:w="1124"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60</w:t>
                  </w:r>
                </w:p>
              </w:tc>
              <w:tc>
                <w:tcPr>
                  <w:tcW w:w="98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52</w:t>
                  </w:r>
                </w:p>
              </w:tc>
              <w:tc>
                <w:tcPr>
                  <w:tcW w:w="96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40</w:t>
                  </w:r>
                </w:p>
              </w:tc>
              <w:tc>
                <w:tcPr>
                  <w:tcW w:w="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6F6136" w:rsidRDefault="00A97702" w:rsidP="00DA1C9D">
                  <w:pPr>
                    <w:spacing w:before="60" w:after="60"/>
                    <w:ind w:right="57"/>
                    <w:jc w:val="right"/>
                    <w:rPr>
                      <w:rFonts w:ascii="Arial" w:hAnsi="Arial" w:cs="Arial"/>
                      <w:b/>
                      <w:color w:val="000000"/>
                      <w:sz w:val="18"/>
                      <w:szCs w:val="18"/>
                    </w:rPr>
                  </w:pPr>
                  <w:r w:rsidRPr="006F6136">
                    <w:rPr>
                      <w:rFonts w:ascii="Arial" w:hAnsi="Arial" w:cs="Arial"/>
                      <w:b/>
                      <w:color w:val="000000"/>
                      <w:sz w:val="18"/>
                      <w:szCs w:val="18"/>
                    </w:rPr>
                    <w:t>200</w:t>
                  </w:r>
                </w:p>
              </w:tc>
            </w:tr>
            <w:tr w:rsidR="00A97702" w:rsidRPr="00163A91" w:rsidTr="00DA1C9D">
              <w:tc>
                <w:tcPr>
                  <w:tcW w:w="131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rPr>
                      <w:rFonts w:ascii="Arial" w:hAnsi="Arial" w:cs="Arial"/>
                      <w:color w:val="000000"/>
                      <w:sz w:val="18"/>
                      <w:szCs w:val="18"/>
                    </w:rPr>
                  </w:pPr>
                  <w:r w:rsidRPr="00A2210B">
                    <w:rPr>
                      <w:rFonts w:ascii="Arial" w:hAnsi="Arial" w:cs="Arial"/>
                      <w:color w:val="000000"/>
                      <w:sz w:val="18"/>
                      <w:szCs w:val="18"/>
                    </w:rPr>
                    <w:t>SG3</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12558B" w:rsidRDefault="00A97702" w:rsidP="00DA1C9D">
                  <w:pPr>
                    <w:spacing w:before="60" w:after="60"/>
                    <w:ind w:right="57"/>
                    <w:jc w:val="right"/>
                    <w:rPr>
                      <w:rFonts w:ascii="Arial" w:hAnsi="Arial" w:cs="Arial"/>
                      <w:b/>
                      <w:color w:val="000000"/>
                      <w:sz w:val="18"/>
                      <w:szCs w:val="18"/>
                    </w:rPr>
                  </w:pPr>
                  <w:r w:rsidRPr="0012558B">
                    <w:rPr>
                      <w:rFonts w:ascii="Arial" w:hAnsi="Arial" w:cs="Arial"/>
                      <w:b/>
                      <w:color w:val="000000"/>
                      <w:sz w:val="18"/>
                      <w:szCs w:val="18"/>
                    </w:rPr>
                    <w:t>7</w:t>
                  </w:r>
                </w:p>
              </w:tc>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12558B" w:rsidRDefault="00A97702" w:rsidP="00DA1C9D">
                  <w:pPr>
                    <w:spacing w:before="60" w:after="60"/>
                    <w:ind w:right="57"/>
                    <w:jc w:val="right"/>
                    <w:rPr>
                      <w:rFonts w:ascii="Arial" w:hAnsi="Arial" w:cs="Arial"/>
                      <w:b/>
                      <w:color w:val="000000"/>
                      <w:sz w:val="18"/>
                      <w:szCs w:val="18"/>
                    </w:rPr>
                  </w:pPr>
                  <w:r w:rsidRPr="0012558B">
                    <w:rPr>
                      <w:rFonts w:ascii="Arial" w:hAnsi="Arial" w:cs="Arial"/>
                      <w:b/>
                      <w:color w:val="000000"/>
                      <w:sz w:val="18"/>
                      <w:szCs w:val="18"/>
                    </w:rPr>
                    <w:t>75</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12558B" w:rsidRDefault="00A97702" w:rsidP="00DA1C9D">
                  <w:pPr>
                    <w:spacing w:before="60" w:after="60"/>
                    <w:ind w:right="57"/>
                    <w:jc w:val="right"/>
                    <w:rPr>
                      <w:rFonts w:ascii="Arial" w:hAnsi="Arial" w:cs="Arial"/>
                      <w:b/>
                      <w:color w:val="000000"/>
                      <w:sz w:val="18"/>
                      <w:szCs w:val="18"/>
                    </w:rPr>
                  </w:pPr>
                  <w:r w:rsidRPr="0012558B">
                    <w:rPr>
                      <w:rFonts w:ascii="Arial" w:hAnsi="Arial" w:cs="Arial"/>
                      <w:b/>
                      <w:color w:val="000000"/>
                      <w:sz w:val="18"/>
                      <w:szCs w:val="18"/>
                    </w:rPr>
                    <w:t>1.5</w:t>
                  </w:r>
                </w:p>
              </w:tc>
              <w:tc>
                <w:tcPr>
                  <w:tcW w:w="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A2210B" w:rsidRDefault="00A97702" w:rsidP="00DA1C9D">
                  <w:pPr>
                    <w:spacing w:before="60" w:after="60"/>
                    <w:ind w:right="57"/>
                    <w:jc w:val="right"/>
                    <w:rPr>
                      <w:rFonts w:ascii="Arial" w:hAnsi="Arial" w:cs="Arial"/>
                      <w:b/>
                      <w:color w:val="000000"/>
                      <w:sz w:val="18"/>
                      <w:szCs w:val="18"/>
                    </w:rPr>
                  </w:pPr>
                  <w:r w:rsidRPr="00A2210B">
                    <w:rPr>
                      <w:rFonts w:ascii="Arial" w:hAnsi="Arial" w:cs="Arial"/>
                      <w:b/>
                      <w:color w:val="000000"/>
                      <w:sz w:val="18"/>
                      <w:szCs w:val="18"/>
                    </w:rPr>
                    <w:t>5</w:t>
                  </w:r>
                </w:p>
              </w:tc>
              <w:tc>
                <w:tcPr>
                  <w:tcW w:w="1124"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8</w:t>
                  </w:r>
                </w:p>
              </w:tc>
              <w:tc>
                <w:tcPr>
                  <w:tcW w:w="98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18</w:t>
                  </w:r>
                </w:p>
              </w:tc>
              <w:tc>
                <w:tcPr>
                  <w:tcW w:w="96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20</w:t>
                  </w:r>
                </w:p>
              </w:tc>
              <w:tc>
                <w:tcPr>
                  <w:tcW w:w="929"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80</w:t>
                  </w:r>
                </w:p>
              </w:tc>
            </w:tr>
            <w:tr w:rsidR="00A97702" w:rsidRPr="00163A91" w:rsidTr="00DA1C9D">
              <w:tc>
                <w:tcPr>
                  <w:tcW w:w="131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rPr>
                      <w:rFonts w:ascii="Arial" w:hAnsi="Arial" w:cs="Arial"/>
                      <w:color w:val="000000"/>
                      <w:sz w:val="18"/>
                      <w:szCs w:val="18"/>
                    </w:rPr>
                  </w:pPr>
                  <w:r w:rsidRPr="00A2210B">
                    <w:rPr>
                      <w:rFonts w:ascii="Arial" w:hAnsi="Arial" w:cs="Arial"/>
                      <w:color w:val="000000"/>
                      <w:sz w:val="18"/>
                      <w:szCs w:val="18"/>
                    </w:rPr>
                    <w:t>SG4</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12558B" w:rsidRDefault="00A97702" w:rsidP="00DA1C9D">
                  <w:pPr>
                    <w:spacing w:before="60" w:after="60"/>
                    <w:ind w:right="57"/>
                    <w:jc w:val="right"/>
                    <w:rPr>
                      <w:rFonts w:ascii="Arial" w:hAnsi="Arial" w:cs="Arial"/>
                      <w:b/>
                      <w:color w:val="000000"/>
                      <w:sz w:val="18"/>
                      <w:szCs w:val="18"/>
                    </w:rPr>
                  </w:pPr>
                  <w:r w:rsidRPr="0012558B">
                    <w:rPr>
                      <w:rFonts w:ascii="Arial" w:hAnsi="Arial" w:cs="Arial"/>
                      <w:b/>
                      <w:color w:val="000000"/>
                      <w:sz w:val="18"/>
                      <w:szCs w:val="18"/>
                    </w:rPr>
                    <w:t>4</w:t>
                  </w:r>
                </w:p>
              </w:tc>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12558B" w:rsidRDefault="00A97702" w:rsidP="00DA1C9D">
                  <w:pPr>
                    <w:spacing w:before="60" w:after="60"/>
                    <w:ind w:right="57"/>
                    <w:jc w:val="right"/>
                    <w:rPr>
                      <w:rFonts w:ascii="Arial" w:hAnsi="Arial" w:cs="Arial"/>
                      <w:b/>
                      <w:color w:val="000000"/>
                      <w:sz w:val="18"/>
                      <w:szCs w:val="18"/>
                    </w:rPr>
                  </w:pPr>
                  <w:r w:rsidRPr="0012558B">
                    <w:rPr>
                      <w:rFonts w:ascii="Arial" w:hAnsi="Arial" w:cs="Arial"/>
                      <w:b/>
                      <w:color w:val="000000"/>
                      <w:sz w:val="18"/>
                      <w:szCs w:val="18"/>
                    </w:rPr>
                    <w:t>30</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12558B" w:rsidRDefault="00A97702" w:rsidP="00DA1C9D">
                  <w:pPr>
                    <w:spacing w:before="60" w:after="60"/>
                    <w:ind w:right="57"/>
                    <w:jc w:val="right"/>
                    <w:rPr>
                      <w:rFonts w:ascii="Arial" w:hAnsi="Arial" w:cs="Arial"/>
                      <w:b/>
                      <w:color w:val="000000"/>
                      <w:sz w:val="18"/>
                      <w:szCs w:val="18"/>
                    </w:rPr>
                  </w:pPr>
                  <w:r w:rsidRPr="0012558B">
                    <w:rPr>
                      <w:rFonts w:ascii="Arial" w:hAnsi="Arial" w:cs="Arial"/>
                      <w:b/>
                      <w:color w:val="000000"/>
                      <w:sz w:val="18"/>
                      <w:szCs w:val="18"/>
                    </w:rPr>
                    <w:t>1.3</w:t>
                  </w:r>
                </w:p>
              </w:tc>
              <w:tc>
                <w:tcPr>
                  <w:tcW w:w="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6F6136" w:rsidRDefault="00A97702" w:rsidP="00DA1C9D">
                  <w:pPr>
                    <w:spacing w:before="60" w:after="60"/>
                    <w:ind w:right="57"/>
                    <w:jc w:val="right"/>
                    <w:rPr>
                      <w:rFonts w:ascii="Arial" w:hAnsi="Arial" w:cs="Arial"/>
                      <w:b/>
                      <w:color w:val="000000"/>
                      <w:sz w:val="18"/>
                      <w:szCs w:val="18"/>
                    </w:rPr>
                  </w:pPr>
                  <w:r w:rsidRPr="006F6136">
                    <w:rPr>
                      <w:rFonts w:ascii="Arial" w:hAnsi="Arial" w:cs="Arial"/>
                      <w:b/>
                      <w:color w:val="000000"/>
                      <w:sz w:val="18"/>
                      <w:szCs w:val="18"/>
                    </w:rPr>
                    <w:t>3</w:t>
                  </w:r>
                </w:p>
              </w:tc>
              <w:tc>
                <w:tcPr>
                  <w:tcW w:w="1124"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10</w:t>
                  </w:r>
                </w:p>
              </w:tc>
              <w:tc>
                <w:tcPr>
                  <w:tcW w:w="98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21</w:t>
                  </w:r>
                </w:p>
              </w:tc>
              <w:tc>
                <w:tcPr>
                  <w:tcW w:w="968"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25</w:t>
                  </w:r>
                </w:p>
              </w:tc>
              <w:tc>
                <w:tcPr>
                  <w:tcW w:w="929" w:type="dxa"/>
                  <w:tcBorders>
                    <w:top w:val="single" w:sz="4" w:space="0" w:color="auto"/>
                    <w:left w:val="single" w:sz="4" w:space="0" w:color="auto"/>
                    <w:bottom w:val="single" w:sz="4" w:space="0" w:color="auto"/>
                    <w:right w:val="single" w:sz="4" w:space="0" w:color="auto"/>
                  </w:tcBorders>
                </w:tcPr>
                <w:p w:rsidR="00A97702" w:rsidRPr="00A2210B" w:rsidRDefault="00A97702" w:rsidP="00DA1C9D">
                  <w:pPr>
                    <w:spacing w:before="60" w:after="60"/>
                    <w:ind w:right="57"/>
                    <w:jc w:val="right"/>
                    <w:rPr>
                      <w:rFonts w:ascii="Arial" w:hAnsi="Arial" w:cs="Arial"/>
                      <w:color w:val="000000"/>
                      <w:sz w:val="18"/>
                      <w:szCs w:val="18"/>
                    </w:rPr>
                  </w:pPr>
                  <w:r w:rsidRPr="00A2210B">
                    <w:rPr>
                      <w:rFonts w:ascii="Arial" w:hAnsi="Arial" w:cs="Arial"/>
                      <w:color w:val="000000"/>
                      <w:sz w:val="18"/>
                      <w:szCs w:val="18"/>
                    </w:rPr>
                    <w:t>70</w:t>
                  </w:r>
                </w:p>
              </w:tc>
            </w:tr>
            <w:tr w:rsidR="00A97702" w:rsidRPr="00163A91" w:rsidTr="00DA1C9D">
              <w:tc>
                <w:tcPr>
                  <w:tcW w:w="1318" w:type="dxa"/>
                  <w:tcBorders>
                    <w:top w:val="single" w:sz="4" w:space="0" w:color="auto"/>
                    <w:left w:val="single" w:sz="4" w:space="0" w:color="auto"/>
                    <w:bottom w:val="single" w:sz="4" w:space="0" w:color="auto"/>
                    <w:right w:val="single" w:sz="4" w:space="0" w:color="auto"/>
                  </w:tcBorders>
                  <w:shd w:val="clear" w:color="auto" w:fill="F2F2F2"/>
                </w:tcPr>
                <w:p w:rsidR="00A97702" w:rsidRPr="00365C66" w:rsidRDefault="00A97702" w:rsidP="00DA1C9D">
                  <w:pPr>
                    <w:spacing w:before="60" w:after="60"/>
                    <w:rPr>
                      <w:rFonts w:ascii="Arial" w:hAnsi="Arial" w:cs="Arial"/>
                      <w:b/>
                      <w:i/>
                      <w:color w:val="000000"/>
                      <w:sz w:val="18"/>
                      <w:szCs w:val="18"/>
                    </w:rPr>
                  </w:pPr>
                  <w:r w:rsidRPr="00365C66">
                    <w:rPr>
                      <w:rFonts w:ascii="Arial" w:hAnsi="Arial" w:cs="Arial"/>
                      <w:b/>
                      <w:i/>
                      <w:color w:val="000000"/>
                      <w:sz w:val="18"/>
                      <w:szCs w:val="18"/>
                    </w:rPr>
                    <w:t>Interim HIL or HSL</w:t>
                  </w:r>
                </w:p>
              </w:tc>
              <w:tc>
                <w:tcPr>
                  <w:tcW w:w="958" w:type="dxa"/>
                  <w:tcBorders>
                    <w:top w:val="single" w:sz="4" w:space="0" w:color="auto"/>
                    <w:left w:val="single" w:sz="4" w:space="0" w:color="auto"/>
                    <w:bottom w:val="single" w:sz="4" w:space="0" w:color="auto"/>
                    <w:right w:val="single" w:sz="4" w:space="0" w:color="auto"/>
                  </w:tcBorders>
                </w:tcPr>
                <w:p w:rsidR="00A97702" w:rsidRPr="00F51E8B" w:rsidRDefault="00A97702" w:rsidP="00DA1C9D">
                  <w:pPr>
                    <w:spacing w:before="60" w:after="60"/>
                    <w:ind w:right="57"/>
                    <w:jc w:val="right"/>
                    <w:rPr>
                      <w:rFonts w:ascii="Arial" w:hAnsi="Arial" w:cs="Arial"/>
                      <w:b/>
                      <w:i/>
                      <w:color w:val="000000"/>
                      <w:sz w:val="18"/>
                      <w:szCs w:val="18"/>
                    </w:rPr>
                  </w:pPr>
                  <w:r>
                    <w:rPr>
                      <w:rFonts w:ascii="Arial" w:hAnsi="Arial" w:cs="Arial"/>
                      <w:b/>
                      <w:i/>
                      <w:color w:val="000000"/>
                      <w:sz w:val="18"/>
                      <w:szCs w:val="18"/>
                    </w:rPr>
                    <w:t>0.02</w:t>
                  </w:r>
                </w:p>
              </w:tc>
              <w:tc>
                <w:tcPr>
                  <w:tcW w:w="911" w:type="dxa"/>
                  <w:tcBorders>
                    <w:top w:val="single" w:sz="4" w:space="0" w:color="auto"/>
                    <w:left w:val="single" w:sz="4" w:space="0" w:color="auto"/>
                    <w:bottom w:val="single" w:sz="4" w:space="0" w:color="auto"/>
                    <w:right w:val="single" w:sz="4" w:space="0" w:color="auto"/>
                  </w:tcBorders>
                </w:tcPr>
                <w:p w:rsidR="00A97702" w:rsidRPr="00F51E8B" w:rsidRDefault="00A97702" w:rsidP="00DA1C9D">
                  <w:pPr>
                    <w:spacing w:before="60" w:after="60"/>
                    <w:ind w:right="57"/>
                    <w:jc w:val="right"/>
                    <w:rPr>
                      <w:rFonts w:ascii="Arial" w:hAnsi="Arial" w:cs="Arial"/>
                      <w:b/>
                      <w:i/>
                      <w:color w:val="000000"/>
                      <w:sz w:val="18"/>
                      <w:szCs w:val="18"/>
                    </w:rPr>
                  </w:pPr>
                  <w:r>
                    <w:rPr>
                      <w:rFonts w:ascii="Arial" w:hAnsi="Arial" w:cs="Arial"/>
                      <w:b/>
                      <w:i/>
                      <w:color w:val="000000"/>
                      <w:sz w:val="18"/>
                      <w:szCs w:val="18"/>
                    </w:rPr>
                    <w:t>2</w:t>
                  </w:r>
                </w:p>
              </w:tc>
              <w:tc>
                <w:tcPr>
                  <w:tcW w:w="977" w:type="dxa"/>
                  <w:tcBorders>
                    <w:top w:val="single" w:sz="4" w:space="0" w:color="auto"/>
                    <w:left w:val="single" w:sz="4" w:space="0" w:color="auto"/>
                    <w:bottom w:val="single" w:sz="4" w:space="0" w:color="auto"/>
                    <w:right w:val="single" w:sz="4" w:space="0" w:color="auto"/>
                  </w:tcBorders>
                </w:tcPr>
                <w:p w:rsidR="00A97702" w:rsidRPr="00F51E8B" w:rsidRDefault="00A97702" w:rsidP="00DA1C9D">
                  <w:pPr>
                    <w:spacing w:before="60" w:after="60"/>
                    <w:ind w:right="57"/>
                    <w:jc w:val="right"/>
                    <w:rPr>
                      <w:rFonts w:ascii="Arial" w:hAnsi="Arial" w:cs="Arial"/>
                      <w:b/>
                      <w:i/>
                      <w:color w:val="000000"/>
                      <w:sz w:val="18"/>
                      <w:szCs w:val="18"/>
                    </w:rPr>
                  </w:pPr>
                  <w:r>
                    <w:rPr>
                      <w:rFonts w:ascii="Arial" w:hAnsi="Arial" w:cs="Arial"/>
                      <w:b/>
                      <w:i/>
                      <w:color w:val="000000"/>
                      <w:sz w:val="18"/>
                      <w:szCs w:val="18"/>
                    </w:rPr>
                    <w:t>0.03</w:t>
                  </w:r>
                </w:p>
              </w:tc>
              <w:tc>
                <w:tcPr>
                  <w:tcW w:w="889" w:type="dxa"/>
                  <w:tcBorders>
                    <w:top w:val="single" w:sz="4" w:space="0" w:color="auto"/>
                    <w:left w:val="single" w:sz="4" w:space="0" w:color="auto"/>
                    <w:bottom w:val="single" w:sz="4" w:space="0" w:color="auto"/>
                    <w:right w:val="single" w:sz="4" w:space="0" w:color="auto"/>
                  </w:tcBorders>
                </w:tcPr>
                <w:p w:rsidR="00A97702" w:rsidRPr="00F51E8B" w:rsidRDefault="00A97702" w:rsidP="00DA1C9D">
                  <w:pPr>
                    <w:spacing w:before="60" w:after="60"/>
                    <w:ind w:right="57"/>
                    <w:jc w:val="right"/>
                    <w:rPr>
                      <w:rFonts w:ascii="Arial" w:hAnsi="Arial" w:cs="Arial"/>
                      <w:b/>
                      <w:i/>
                      <w:color w:val="000000"/>
                      <w:sz w:val="18"/>
                      <w:szCs w:val="18"/>
                    </w:rPr>
                  </w:pPr>
                  <w:r>
                    <w:rPr>
                      <w:rFonts w:ascii="Arial" w:hAnsi="Arial" w:cs="Arial"/>
                      <w:b/>
                      <w:i/>
                      <w:color w:val="000000"/>
                      <w:sz w:val="18"/>
                      <w:szCs w:val="18"/>
                    </w:rPr>
                    <w:t>1</w:t>
                  </w:r>
                </w:p>
              </w:tc>
              <w:tc>
                <w:tcPr>
                  <w:tcW w:w="1124" w:type="dxa"/>
                  <w:tcBorders>
                    <w:top w:val="single" w:sz="4" w:space="0" w:color="auto"/>
                    <w:left w:val="single" w:sz="4" w:space="0" w:color="auto"/>
                    <w:bottom w:val="single" w:sz="4" w:space="0" w:color="auto"/>
                    <w:right w:val="single" w:sz="4" w:space="0" w:color="auto"/>
                  </w:tcBorders>
                </w:tcPr>
                <w:p w:rsidR="00A97702" w:rsidRPr="00F51E8B" w:rsidRDefault="00A97702" w:rsidP="00DA1C9D">
                  <w:pPr>
                    <w:spacing w:before="60" w:after="60"/>
                    <w:ind w:right="57"/>
                    <w:jc w:val="right"/>
                    <w:rPr>
                      <w:rFonts w:ascii="Arial" w:hAnsi="Arial" w:cs="Arial"/>
                      <w:b/>
                      <w:i/>
                      <w:color w:val="000000"/>
                      <w:sz w:val="18"/>
                      <w:szCs w:val="18"/>
                    </w:rPr>
                  </w:pPr>
                  <w:r>
                    <w:rPr>
                      <w:rFonts w:ascii="Arial" w:hAnsi="Arial" w:cs="Arial"/>
                      <w:b/>
                      <w:i/>
                      <w:color w:val="000000"/>
                      <w:sz w:val="18"/>
                      <w:szCs w:val="18"/>
                    </w:rPr>
                    <w:t>1,300</w:t>
                  </w:r>
                </w:p>
              </w:tc>
              <w:tc>
                <w:tcPr>
                  <w:tcW w:w="988" w:type="dxa"/>
                  <w:tcBorders>
                    <w:top w:val="single" w:sz="4" w:space="0" w:color="auto"/>
                    <w:left w:val="single" w:sz="4" w:space="0" w:color="auto"/>
                    <w:bottom w:val="single" w:sz="4" w:space="0" w:color="auto"/>
                    <w:right w:val="single" w:sz="4" w:space="0" w:color="auto"/>
                  </w:tcBorders>
                </w:tcPr>
                <w:p w:rsidR="00A97702" w:rsidRPr="00F51E8B" w:rsidRDefault="00A97702" w:rsidP="00DA1C9D">
                  <w:pPr>
                    <w:spacing w:before="60" w:after="60"/>
                    <w:ind w:right="57"/>
                    <w:jc w:val="right"/>
                    <w:rPr>
                      <w:rFonts w:ascii="Arial" w:hAnsi="Arial" w:cs="Arial"/>
                      <w:b/>
                      <w:i/>
                      <w:color w:val="000000"/>
                      <w:sz w:val="18"/>
                      <w:szCs w:val="18"/>
                    </w:rPr>
                  </w:pPr>
                  <w:r>
                    <w:rPr>
                      <w:rFonts w:ascii="Arial" w:hAnsi="Arial" w:cs="Arial"/>
                      <w:b/>
                      <w:i/>
                      <w:color w:val="000000"/>
                      <w:sz w:val="18"/>
                      <w:szCs w:val="18"/>
                    </w:rPr>
                    <w:t>330</w:t>
                  </w:r>
                </w:p>
              </w:tc>
              <w:tc>
                <w:tcPr>
                  <w:tcW w:w="968" w:type="dxa"/>
                  <w:tcBorders>
                    <w:top w:val="single" w:sz="4" w:space="0" w:color="auto"/>
                    <w:left w:val="single" w:sz="4" w:space="0" w:color="auto"/>
                    <w:bottom w:val="single" w:sz="4" w:space="0" w:color="auto"/>
                    <w:right w:val="single" w:sz="4" w:space="0" w:color="auto"/>
                  </w:tcBorders>
                </w:tcPr>
                <w:p w:rsidR="00A97702" w:rsidRPr="00F51E8B" w:rsidRDefault="00A97702" w:rsidP="00DA1C9D">
                  <w:pPr>
                    <w:spacing w:before="60" w:after="60"/>
                    <w:ind w:right="57"/>
                    <w:jc w:val="right"/>
                    <w:rPr>
                      <w:rFonts w:ascii="Arial" w:hAnsi="Arial" w:cs="Arial"/>
                      <w:b/>
                      <w:i/>
                      <w:color w:val="000000"/>
                      <w:sz w:val="18"/>
                      <w:szCs w:val="18"/>
                    </w:rPr>
                  </w:pPr>
                  <w:r>
                    <w:rPr>
                      <w:rFonts w:ascii="Arial" w:hAnsi="Arial" w:cs="Arial"/>
                      <w:b/>
                      <w:i/>
                      <w:color w:val="000000"/>
                      <w:sz w:val="18"/>
                      <w:szCs w:val="18"/>
                    </w:rPr>
                    <w:t>220</w:t>
                  </w:r>
                </w:p>
              </w:tc>
              <w:tc>
                <w:tcPr>
                  <w:tcW w:w="929" w:type="dxa"/>
                  <w:tcBorders>
                    <w:top w:val="single" w:sz="4" w:space="0" w:color="auto"/>
                    <w:left w:val="single" w:sz="4" w:space="0" w:color="auto"/>
                    <w:bottom w:val="single" w:sz="4" w:space="0" w:color="auto"/>
                    <w:right w:val="single" w:sz="4" w:space="0" w:color="auto"/>
                  </w:tcBorders>
                </w:tcPr>
                <w:p w:rsidR="00A97702" w:rsidRPr="00F51E8B" w:rsidRDefault="00A97702" w:rsidP="00DA1C9D">
                  <w:pPr>
                    <w:spacing w:before="60" w:after="60"/>
                    <w:ind w:right="57"/>
                    <w:jc w:val="right"/>
                    <w:rPr>
                      <w:rFonts w:ascii="Arial" w:hAnsi="Arial" w:cs="Arial"/>
                      <w:b/>
                      <w:i/>
                      <w:color w:val="000000"/>
                      <w:sz w:val="18"/>
                      <w:szCs w:val="18"/>
                    </w:rPr>
                  </w:pPr>
                  <w:r>
                    <w:rPr>
                      <w:rFonts w:ascii="Arial" w:hAnsi="Arial" w:cs="Arial"/>
                      <w:b/>
                      <w:i/>
                      <w:color w:val="000000"/>
                      <w:sz w:val="18"/>
                      <w:szCs w:val="18"/>
                    </w:rPr>
                    <w:t>1</w:t>
                  </w:r>
                  <w:r w:rsidRPr="00F51E8B">
                    <w:rPr>
                      <w:rFonts w:ascii="Arial" w:hAnsi="Arial" w:cs="Arial"/>
                      <w:b/>
                      <w:i/>
                      <w:color w:val="000000"/>
                      <w:sz w:val="18"/>
                      <w:szCs w:val="18"/>
                    </w:rPr>
                    <w:t>80</w:t>
                  </w:r>
                </w:p>
              </w:tc>
            </w:tr>
          </w:tbl>
          <w:p w:rsidR="00A97702" w:rsidRDefault="00A97702" w:rsidP="00DA1C9D">
            <w:pPr>
              <w:pStyle w:val="NoteNumbered"/>
              <w:numPr>
                <w:ilvl w:val="0"/>
                <w:numId w:val="0"/>
              </w:numPr>
              <w:ind w:left="360" w:hanging="360"/>
            </w:pPr>
            <w:r w:rsidRPr="00F601BA">
              <w:rPr>
                <w:sz w:val="20"/>
              </w:rPr>
              <w:t xml:space="preserve">Note: </w:t>
            </w:r>
            <w:r>
              <w:t>Shaded and b</w:t>
            </w:r>
            <w:r w:rsidRPr="006A3D51">
              <w:t xml:space="preserve">old font </w:t>
            </w:r>
            <w:r>
              <w:t xml:space="preserve">for sample value </w:t>
            </w:r>
            <w:r w:rsidRPr="00F601BA">
              <w:rPr>
                <w:sz w:val="20"/>
              </w:rPr>
              <w:t xml:space="preserve">indicates relevant interim </w:t>
            </w:r>
            <w:r>
              <w:rPr>
                <w:sz w:val="20"/>
              </w:rPr>
              <w:t xml:space="preserve">VOCC </w:t>
            </w:r>
            <w:r w:rsidRPr="00F601BA">
              <w:rPr>
                <w:sz w:val="20"/>
              </w:rPr>
              <w:t>HIL or HSL is exceeded</w:t>
            </w:r>
            <w:r>
              <w:rPr>
                <w:sz w:val="20"/>
              </w:rPr>
              <w:t xml:space="preserve">. </w:t>
            </w:r>
          </w:p>
          <w:p w:rsidR="00A97702" w:rsidRPr="00F601BA" w:rsidRDefault="00A97702" w:rsidP="00DA1C9D">
            <w:pPr>
              <w:pStyle w:val="text"/>
              <w:spacing w:after="0"/>
              <w:rPr>
                <w:szCs w:val="22"/>
              </w:rPr>
            </w:pPr>
          </w:p>
          <w:p w:rsidR="00A97702" w:rsidRDefault="00A97702" w:rsidP="00DA1C9D">
            <w:pPr>
              <w:pStyle w:val="text"/>
              <w:spacing w:before="0" w:after="0"/>
              <w:rPr>
                <w:b/>
                <w:szCs w:val="22"/>
                <w:u w:val="single"/>
              </w:rPr>
            </w:pPr>
          </w:p>
          <w:p w:rsidR="00A97702" w:rsidRDefault="00A97702" w:rsidP="00DA1C9D">
            <w:pPr>
              <w:pStyle w:val="text"/>
              <w:spacing w:before="0" w:after="0"/>
              <w:rPr>
                <w:b/>
                <w:szCs w:val="22"/>
                <w:u w:val="single"/>
              </w:rPr>
            </w:pPr>
          </w:p>
          <w:p w:rsidR="00A97702" w:rsidRPr="00F601BA" w:rsidRDefault="00A97702" w:rsidP="00DA1C9D">
            <w:pPr>
              <w:pStyle w:val="text"/>
              <w:spacing w:before="0" w:after="0"/>
              <w:rPr>
                <w:b/>
                <w:szCs w:val="22"/>
                <w:u w:val="single"/>
              </w:rPr>
            </w:pPr>
            <w:r w:rsidRPr="00F601BA">
              <w:rPr>
                <w:b/>
                <w:szCs w:val="22"/>
                <w:u w:val="single"/>
              </w:rPr>
              <w:t>Step 2:</w:t>
            </w:r>
            <w:r w:rsidRPr="00F601BA">
              <w:rPr>
                <w:b/>
                <w:szCs w:val="22"/>
                <w:u w:val="single"/>
              </w:rPr>
              <w:tab/>
              <w:t xml:space="preserve">Tier 1 risk assessment </w:t>
            </w:r>
          </w:p>
          <w:p w:rsidR="00A97702" w:rsidRPr="00F601BA" w:rsidRDefault="00A97702" w:rsidP="00A97702">
            <w:pPr>
              <w:pStyle w:val="text"/>
              <w:numPr>
                <w:ilvl w:val="0"/>
                <w:numId w:val="22"/>
              </w:numPr>
              <w:ind w:left="357" w:hanging="357"/>
              <w:rPr>
                <w:i/>
                <w:sz w:val="20"/>
              </w:rPr>
            </w:pPr>
            <w:r w:rsidRPr="00F601BA">
              <w:rPr>
                <w:rFonts w:cs="Arial"/>
                <w:b/>
                <w:sz w:val="20"/>
              </w:rPr>
              <w:t xml:space="preserve">Are </w:t>
            </w:r>
            <w:r w:rsidRPr="00F601BA">
              <w:rPr>
                <w:b/>
                <w:sz w:val="20"/>
              </w:rPr>
              <w:t xml:space="preserve">results greater than </w:t>
            </w:r>
            <w:r>
              <w:rPr>
                <w:b/>
                <w:sz w:val="20"/>
              </w:rPr>
              <w:t xml:space="preserve">the soil vapour </w:t>
            </w:r>
            <w:r w:rsidRPr="00F601BA">
              <w:rPr>
                <w:b/>
                <w:sz w:val="20"/>
              </w:rPr>
              <w:t>HSLs?</w:t>
            </w:r>
            <w:r w:rsidRPr="00F601BA">
              <w:rPr>
                <w:sz w:val="20"/>
              </w:rPr>
              <w:t xml:space="preserve">  </w:t>
            </w:r>
            <w:r w:rsidRPr="00F601BA">
              <w:rPr>
                <w:b/>
                <w:i/>
                <w:sz w:val="20"/>
                <w:u w:val="single"/>
              </w:rPr>
              <w:t>YES</w:t>
            </w:r>
            <w:r w:rsidRPr="00F601BA">
              <w:rPr>
                <w:i/>
                <w:sz w:val="20"/>
              </w:rPr>
              <w:t xml:space="preserve">, benzene exceeds the HSL in </w:t>
            </w:r>
            <w:r>
              <w:rPr>
                <w:i/>
                <w:sz w:val="20"/>
              </w:rPr>
              <w:t>all</w:t>
            </w:r>
            <w:r w:rsidRPr="00F601BA">
              <w:rPr>
                <w:i/>
                <w:sz w:val="20"/>
              </w:rPr>
              <w:t xml:space="preserve"> locations</w:t>
            </w:r>
            <w:r>
              <w:rPr>
                <w:i/>
                <w:sz w:val="20"/>
              </w:rPr>
              <w:t xml:space="preserve"> and F1 in one location</w:t>
            </w:r>
            <w:r w:rsidRPr="00F601BA">
              <w:rPr>
                <w:i/>
                <w:sz w:val="20"/>
              </w:rPr>
              <w:t>.</w:t>
            </w:r>
          </w:p>
          <w:p w:rsidR="00A97702" w:rsidRPr="005162AD" w:rsidRDefault="00A97702" w:rsidP="00A97702">
            <w:pPr>
              <w:pStyle w:val="text"/>
              <w:numPr>
                <w:ilvl w:val="0"/>
                <w:numId w:val="22"/>
              </w:numPr>
              <w:rPr>
                <w:sz w:val="20"/>
              </w:rPr>
            </w:pPr>
            <w:r w:rsidRPr="00F601BA">
              <w:rPr>
                <w:b/>
                <w:sz w:val="20"/>
              </w:rPr>
              <w:t xml:space="preserve">Are results greater than </w:t>
            </w:r>
            <w:r>
              <w:rPr>
                <w:b/>
                <w:sz w:val="20"/>
              </w:rPr>
              <w:t xml:space="preserve">the soil vapour </w:t>
            </w:r>
            <w:r w:rsidRPr="00F601BA">
              <w:rPr>
                <w:b/>
                <w:sz w:val="20"/>
              </w:rPr>
              <w:t xml:space="preserve">interim </w:t>
            </w:r>
            <w:r>
              <w:rPr>
                <w:b/>
                <w:sz w:val="20"/>
              </w:rPr>
              <w:t xml:space="preserve">VOCC </w:t>
            </w:r>
            <w:r w:rsidRPr="00F601BA">
              <w:rPr>
                <w:b/>
                <w:sz w:val="20"/>
              </w:rPr>
              <w:t>HILs?</w:t>
            </w:r>
            <w:r w:rsidRPr="00F601BA">
              <w:rPr>
                <w:sz w:val="20"/>
              </w:rPr>
              <w:t xml:space="preserve">  </w:t>
            </w:r>
            <w:r w:rsidRPr="00F601BA">
              <w:rPr>
                <w:b/>
                <w:i/>
                <w:sz w:val="20"/>
                <w:u w:val="single"/>
              </w:rPr>
              <w:t>YES</w:t>
            </w:r>
            <w:r w:rsidRPr="00F601BA">
              <w:rPr>
                <w:i/>
                <w:sz w:val="20"/>
              </w:rPr>
              <w:t>, TCE, PCE and vinyl chloride exceed</w:t>
            </w:r>
            <w:r>
              <w:rPr>
                <w:i/>
                <w:sz w:val="20"/>
              </w:rPr>
              <w:t xml:space="preserve"> the</w:t>
            </w:r>
            <w:r w:rsidRPr="00F601BA">
              <w:rPr>
                <w:i/>
                <w:sz w:val="20"/>
              </w:rPr>
              <w:t xml:space="preserve"> interim HILs for VOCCs in </w:t>
            </w:r>
            <w:r>
              <w:rPr>
                <w:i/>
                <w:sz w:val="20"/>
              </w:rPr>
              <w:t>all</w:t>
            </w:r>
            <w:r w:rsidRPr="00F601BA">
              <w:rPr>
                <w:i/>
                <w:sz w:val="20"/>
              </w:rPr>
              <w:t xml:space="preserve"> sampling locations.</w:t>
            </w:r>
            <w:r>
              <w:rPr>
                <w:i/>
                <w:sz w:val="20"/>
              </w:rPr>
              <w:t xml:space="preserve"> </w:t>
            </w:r>
          </w:p>
          <w:p w:rsidR="00A97702" w:rsidRPr="003C0E48" w:rsidRDefault="00A97702" w:rsidP="00A97702">
            <w:pPr>
              <w:pStyle w:val="text"/>
              <w:numPr>
                <w:ilvl w:val="0"/>
                <w:numId w:val="22"/>
              </w:numPr>
              <w:rPr>
                <w:sz w:val="20"/>
              </w:rPr>
            </w:pPr>
            <w:r w:rsidRPr="00F601BA">
              <w:rPr>
                <w:b/>
                <w:sz w:val="20"/>
              </w:rPr>
              <w:t xml:space="preserve">Are ecological considerations relevant? </w:t>
            </w:r>
            <w:r>
              <w:rPr>
                <w:b/>
                <w:bCs/>
                <w:i/>
                <w:sz w:val="20"/>
                <w:u w:val="single"/>
              </w:rPr>
              <w:t xml:space="preserve">NO </w:t>
            </w:r>
            <w:r w:rsidRPr="00801CA9">
              <w:rPr>
                <w:b/>
                <w:bCs/>
                <w:i/>
                <w:sz w:val="20"/>
                <w:u w:val="single"/>
              </w:rPr>
              <w:t>for on-site only</w:t>
            </w:r>
            <w:r>
              <w:rPr>
                <w:b/>
                <w:bCs/>
                <w:i/>
                <w:sz w:val="20"/>
                <w:u w:val="single"/>
              </w:rPr>
              <w:t xml:space="preserve"> </w:t>
            </w:r>
            <w:r w:rsidRPr="00F601BA">
              <w:rPr>
                <w:bCs/>
                <w:i/>
                <w:sz w:val="20"/>
                <w:u w:val="single"/>
              </w:rPr>
              <w:t>(</w:t>
            </w:r>
            <w:r>
              <w:rPr>
                <w:bCs/>
                <w:i/>
                <w:sz w:val="20"/>
                <w:u w:val="single"/>
              </w:rPr>
              <w:t xml:space="preserve">commercial industrial development </w:t>
            </w:r>
            <w:r w:rsidRPr="00F601BA">
              <w:rPr>
                <w:bCs/>
                <w:i/>
                <w:sz w:val="20"/>
                <w:u w:val="single"/>
              </w:rPr>
              <w:t xml:space="preserve">with </w:t>
            </w:r>
            <w:r>
              <w:rPr>
                <w:bCs/>
                <w:i/>
                <w:sz w:val="20"/>
                <w:u w:val="single"/>
              </w:rPr>
              <w:t xml:space="preserve">no </w:t>
            </w:r>
            <w:r w:rsidRPr="00F601BA">
              <w:rPr>
                <w:bCs/>
                <w:i/>
                <w:sz w:val="20"/>
                <w:u w:val="single"/>
              </w:rPr>
              <w:t>exposed areas of soil</w:t>
            </w:r>
            <w:r>
              <w:rPr>
                <w:bCs/>
                <w:i/>
                <w:sz w:val="20"/>
                <w:u w:val="single"/>
              </w:rPr>
              <w:t xml:space="preserve"> and continuing industrial use</w:t>
            </w:r>
            <w:r w:rsidRPr="00F601BA">
              <w:rPr>
                <w:bCs/>
                <w:i/>
                <w:sz w:val="20"/>
                <w:u w:val="single"/>
              </w:rPr>
              <w:t>)</w:t>
            </w:r>
            <w:r w:rsidRPr="00F601BA">
              <w:rPr>
                <w:bCs/>
                <w:i/>
                <w:sz w:val="20"/>
              </w:rPr>
              <w:t xml:space="preserve">. </w:t>
            </w:r>
          </w:p>
          <w:p w:rsidR="00A97702" w:rsidRPr="00F601BA" w:rsidRDefault="00A97702" w:rsidP="00A97702">
            <w:pPr>
              <w:pStyle w:val="text"/>
              <w:numPr>
                <w:ilvl w:val="0"/>
                <w:numId w:val="22"/>
              </w:numPr>
              <w:rPr>
                <w:sz w:val="20"/>
              </w:rPr>
            </w:pPr>
            <w:r w:rsidRPr="00F601BA">
              <w:rPr>
                <w:b/>
                <w:sz w:val="20"/>
              </w:rPr>
              <w:t xml:space="preserve">Are </w:t>
            </w:r>
            <w:r>
              <w:rPr>
                <w:b/>
                <w:sz w:val="20"/>
              </w:rPr>
              <w:t>petroleum management limits exceeded</w:t>
            </w:r>
            <w:r w:rsidRPr="00F601BA">
              <w:rPr>
                <w:b/>
                <w:sz w:val="20"/>
              </w:rPr>
              <w:t xml:space="preserve">? </w:t>
            </w:r>
            <w:r w:rsidRPr="00416BF1">
              <w:rPr>
                <w:b/>
                <w:i/>
                <w:sz w:val="20"/>
              </w:rPr>
              <w:t>No</w:t>
            </w:r>
            <w:r>
              <w:rPr>
                <w:b/>
                <w:sz w:val="20"/>
              </w:rPr>
              <w:t xml:space="preserve"> (</w:t>
            </w:r>
            <w:r w:rsidRPr="0029479F">
              <w:rPr>
                <w:bCs/>
                <w:i/>
                <w:sz w:val="20"/>
              </w:rPr>
              <w:t xml:space="preserve">Compare results to </w:t>
            </w:r>
            <w:r>
              <w:rPr>
                <w:bCs/>
                <w:i/>
                <w:sz w:val="20"/>
              </w:rPr>
              <w:t>management limits in Table 1B(7)</w:t>
            </w:r>
            <w:r w:rsidRPr="00F601BA">
              <w:rPr>
                <w:sz w:val="20"/>
              </w:rPr>
              <w:t>.</w:t>
            </w:r>
            <w:r>
              <w:rPr>
                <w:sz w:val="20"/>
              </w:rPr>
              <w:t xml:space="preserve"> </w:t>
            </w:r>
            <w:r w:rsidRPr="000800F8">
              <w:rPr>
                <w:i/>
                <w:sz w:val="20"/>
              </w:rPr>
              <w:t>F1 results do not e</w:t>
            </w:r>
            <w:r w:rsidRPr="00F601BA">
              <w:rPr>
                <w:i/>
                <w:sz w:val="20"/>
              </w:rPr>
              <w:t>xceed</w:t>
            </w:r>
            <w:r>
              <w:rPr>
                <w:i/>
                <w:sz w:val="20"/>
              </w:rPr>
              <w:t xml:space="preserve"> the management limits</w:t>
            </w:r>
            <w:r w:rsidRPr="00F601BA">
              <w:rPr>
                <w:i/>
                <w:sz w:val="20"/>
              </w:rPr>
              <w:t>.</w:t>
            </w:r>
            <w:r>
              <w:rPr>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142"/>
            </w:tblGrid>
            <w:tr w:rsidR="00A97702" w:rsidRPr="00D94798" w:rsidTr="00DA1C9D">
              <w:tc>
                <w:tcPr>
                  <w:tcW w:w="1951"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line="240" w:lineRule="atLeast"/>
                    <w:jc w:val="center"/>
                    <w:rPr>
                      <w:b/>
                      <w:sz w:val="20"/>
                    </w:rPr>
                  </w:pPr>
                  <w:r w:rsidRPr="0029479F">
                    <w:rPr>
                      <w:b/>
                      <w:sz w:val="20"/>
                    </w:rPr>
                    <w:t>Outcome</w:t>
                  </w:r>
                </w:p>
              </w:tc>
              <w:tc>
                <w:tcPr>
                  <w:tcW w:w="7337" w:type="dxa"/>
                  <w:tcBorders>
                    <w:top w:val="single" w:sz="4" w:space="0" w:color="auto"/>
                    <w:left w:val="single" w:sz="4" w:space="0" w:color="auto"/>
                    <w:bottom w:val="single" w:sz="4" w:space="0" w:color="auto"/>
                    <w:right w:val="single" w:sz="4" w:space="0" w:color="auto"/>
                  </w:tcBorders>
                </w:tcPr>
                <w:p w:rsidR="00A97702" w:rsidRPr="00EF6ACB" w:rsidRDefault="00A97702" w:rsidP="00A97702">
                  <w:pPr>
                    <w:pStyle w:val="Dot-points"/>
                    <w:tabs>
                      <w:tab w:val="clear" w:pos="926"/>
                      <w:tab w:val="num" w:pos="360"/>
                    </w:tabs>
                    <w:rPr>
                      <w:b/>
                    </w:rPr>
                  </w:pPr>
                  <w:r w:rsidRPr="00EF6ACB">
                    <w:t>Results of Tier 1 assessment show exceed</w:t>
                  </w:r>
                  <w:r>
                    <w:t>e</w:t>
                  </w:r>
                  <w:r w:rsidRPr="00EF6ACB">
                    <w:t>nces of the HSL for benzene and interim VOCC HILs for TCE, PCE and vinyl chloride. Further assessment (Tier 2) or management action is required for these contaminants.</w:t>
                  </w:r>
                </w:p>
              </w:tc>
            </w:tr>
          </w:tbl>
          <w:p w:rsidR="00A97702" w:rsidRPr="00F601BA" w:rsidRDefault="00A97702" w:rsidP="00DA1C9D">
            <w:pPr>
              <w:pStyle w:val="text"/>
              <w:tabs>
                <w:tab w:val="right" w:pos="9072"/>
              </w:tabs>
              <w:rPr>
                <w:b/>
                <w:bCs/>
                <w:szCs w:val="22"/>
              </w:rPr>
            </w:pPr>
            <w:r w:rsidRPr="00F601BA">
              <w:rPr>
                <w:b/>
                <w:bCs/>
                <w:szCs w:val="22"/>
              </w:rPr>
              <w:t>Evaluation and conclusion</w:t>
            </w:r>
            <w:r w:rsidRPr="00F601BA">
              <w:rPr>
                <w:b/>
                <w:bCs/>
                <w:szCs w:val="22"/>
              </w:rPr>
              <w:tab/>
            </w:r>
          </w:p>
          <w:p w:rsidR="00A97702" w:rsidRPr="00F601BA" w:rsidRDefault="00A97702" w:rsidP="00DA1C9D">
            <w:pPr>
              <w:pStyle w:val="text"/>
              <w:rPr>
                <w:bCs/>
                <w:szCs w:val="22"/>
              </w:rPr>
            </w:pPr>
            <w:r w:rsidRPr="00F601BA">
              <w:rPr>
                <w:szCs w:val="22"/>
              </w:rPr>
              <w:t>The results indicate a potential</w:t>
            </w:r>
            <w:r>
              <w:rPr>
                <w:szCs w:val="22"/>
              </w:rPr>
              <w:t>ly serious</w:t>
            </w:r>
            <w:r w:rsidRPr="00F601BA">
              <w:rPr>
                <w:szCs w:val="22"/>
              </w:rPr>
              <w:t xml:space="preserve"> human health risk via the vapour inhalation pathway from benzene, TCE, PCE and </w:t>
            </w:r>
            <w:r>
              <w:rPr>
                <w:szCs w:val="22"/>
              </w:rPr>
              <w:t xml:space="preserve">VOCC </w:t>
            </w:r>
            <w:r w:rsidRPr="00F601BA">
              <w:rPr>
                <w:szCs w:val="22"/>
              </w:rPr>
              <w:t>derivatives to ground floor occupants of the office building</w:t>
            </w:r>
            <w:r>
              <w:rPr>
                <w:szCs w:val="22"/>
              </w:rPr>
              <w:t>. As the exceedences are 2</w:t>
            </w:r>
            <w:r>
              <w:rPr>
                <w:szCs w:val="22"/>
              </w:rPr>
              <w:sym w:font="Symbol" w:char="F02D"/>
            </w:r>
            <w:r>
              <w:rPr>
                <w:szCs w:val="22"/>
              </w:rPr>
              <w:t>4 orders of magnitude above the interim soil vapour HILs,</w:t>
            </w:r>
            <w:r w:rsidRPr="00F601BA">
              <w:rPr>
                <w:szCs w:val="22"/>
              </w:rPr>
              <w:t xml:space="preserve"> </w:t>
            </w:r>
            <w:r>
              <w:rPr>
                <w:szCs w:val="22"/>
              </w:rPr>
              <w:t>an immediate</w:t>
            </w:r>
            <w:r w:rsidRPr="00F601BA">
              <w:rPr>
                <w:szCs w:val="22"/>
              </w:rPr>
              <w:t xml:space="preserve"> response </w:t>
            </w:r>
            <w:r>
              <w:rPr>
                <w:bCs/>
                <w:szCs w:val="22"/>
              </w:rPr>
              <w:t>is</w:t>
            </w:r>
            <w:r w:rsidRPr="00F601BA">
              <w:rPr>
                <w:bCs/>
                <w:szCs w:val="22"/>
              </w:rPr>
              <w:t xml:space="preserve"> required</w:t>
            </w:r>
            <w:r w:rsidRPr="00F601BA">
              <w:rPr>
                <w:szCs w:val="22"/>
              </w:rPr>
              <w:t xml:space="preserve"> to protect human health </w:t>
            </w:r>
            <w:r>
              <w:rPr>
                <w:szCs w:val="22"/>
              </w:rPr>
              <w:t>such as</w:t>
            </w:r>
            <w:r w:rsidRPr="00F601BA">
              <w:rPr>
                <w:szCs w:val="22"/>
              </w:rPr>
              <w:t xml:space="preserve"> </w:t>
            </w:r>
            <w:r w:rsidRPr="00F601BA">
              <w:rPr>
                <w:bCs/>
                <w:szCs w:val="22"/>
              </w:rPr>
              <w:t>indoor air sampling to determine actual exposure and</w:t>
            </w:r>
            <w:r>
              <w:rPr>
                <w:bCs/>
                <w:szCs w:val="22"/>
              </w:rPr>
              <w:t>/or implementing</w:t>
            </w:r>
            <w:r w:rsidRPr="00F601BA">
              <w:rPr>
                <w:bCs/>
                <w:szCs w:val="22"/>
              </w:rPr>
              <w:t xml:space="preserve"> mitigation measures. </w:t>
            </w:r>
          </w:p>
          <w:p w:rsidR="00A97702" w:rsidRPr="00F601BA" w:rsidRDefault="00A97702" w:rsidP="00DA1C9D">
            <w:pPr>
              <w:pStyle w:val="text"/>
              <w:rPr>
                <w:szCs w:val="22"/>
              </w:rPr>
            </w:pPr>
            <w:r w:rsidRPr="00F601BA">
              <w:rPr>
                <w:bCs/>
                <w:i/>
                <w:szCs w:val="22"/>
              </w:rPr>
              <w:t xml:space="preserve">This </w:t>
            </w:r>
            <w:r>
              <w:rPr>
                <w:bCs/>
                <w:i/>
                <w:szCs w:val="22"/>
              </w:rPr>
              <w:t>example</w:t>
            </w:r>
            <w:r w:rsidRPr="00F601BA">
              <w:rPr>
                <w:bCs/>
                <w:i/>
                <w:szCs w:val="22"/>
              </w:rPr>
              <w:t xml:space="preserve"> is limited to </w:t>
            </w:r>
            <w:r>
              <w:rPr>
                <w:bCs/>
                <w:i/>
                <w:szCs w:val="22"/>
              </w:rPr>
              <w:t xml:space="preserve">consideration of </w:t>
            </w:r>
            <w:r w:rsidRPr="00F601BA">
              <w:rPr>
                <w:bCs/>
                <w:i/>
                <w:szCs w:val="22"/>
              </w:rPr>
              <w:t>health risk</w:t>
            </w:r>
            <w:r>
              <w:rPr>
                <w:bCs/>
                <w:i/>
                <w:szCs w:val="22"/>
              </w:rPr>
              <w:t>s</w:t>
            </w:r>
            <w:r w:rsidRPr="00F601BA">
              <w:rPr>
                <w:bCs/>
                <w:i/>
                <w:szCs w:val="22"/>
              </w:rPr>
              <w:t xml:space="preserve"> from </w:t>
            </w:r>
            <w:r>
              <w:rPr>
                <w:bCs/>
                <w:i/>
                <w:szCs w:val="22"/>
              </w:rPr>
              <w:t xml:space="preserve">selected petroleum hydrocarbons and </w:t>
            </w:r>
            <w:r w:rsidRPr="00F601BA">
              <w:rPr>
                <w:bCs/>
                <w:i/>
                <w:szCs w:val="22"/>
              </w:rPr>
              <w:t>VOCC inhalation exposure</w:t>
            </w:r>
            <w:r>
              <w:rPr>
                <w:bCs/>
                <w:i/>
                <w:szCs w:val="22"/>
              </w:rPr>
              <w:t>. Additional assessment would be required for other petroleum hydrocarbons and also to evaluate</w:t>
            </w:r>
            <w:r w:rsidRPr="00F601BA">
              <w:rPr>
                <w:bCs/>
                <w:i/>
                <w:szCs w:val="22"/>
              </w:rPr>
              <w:t xml:space="preserve"> any </w:t>
            </w:r>
            <w:r>
              <w:rPr>
                <w:bCs/>
                <w:i/>
                <w:szCs w:val="22"/>
              </w:rPr>
              <w:t xml:space="preserve">off-site </w:t>
            </w:r>
            <w:r w:rsidRPr="00F601BA">
              <w:rPr>
                <w:bCs/>
                <w:i/>
                <w:szCs w:val="22"/>
              </w:rPr>
              <w:t xml:space="preserve">ecological risks for example </w:t>
            </w:r>
            <w:r>
              <w:rPr>
                <w:bCs/>
                <w:i/>
                <w:szCs w:val="22"/>
              </w:rPr>
              <w:t xml:space="preserve">via </w:t>
            </w:r>
            <w:r w:rsidRPr="00F601BA">
              <w:rPr>
                <w:bCs/>
                <w:i/>
                <w:szCs w:val="22"/>
              </w:rPr>
              <w:t xml:space="preserve">infiltration </w:t>
            </w:r>
            <w:r>
              <w:rPr>
                <w:bCs/>
                <w:i/>
                <w:szCs w:val="22"/>
              </w:rPr>
              <w:t xml:space="preserve">of contaminated groundwater </w:t>
            </w:r>
            <w:r w:rsidRPr="00F601BA">
              <w:rPr>
                <w:bCs/>
                <w:i/>
                <w:szCs w:val="22"/>
              </w:rPr>
              <w:t>into sewer or stormwater drainage systems and/or discharge into a sensitive receptor.</w:t>
            </w:r>
          </w:p>
        </w:tc>
      </w:tr>
    </w:tbl>
    <w:p w:rsidR="00A97702" w:rsidRDefault="00A97702" w:rsidP="00A97702">
      <w:pPr>
        <w:pStyle w:val="text"/>
      </w:pPr>
    </w:p>
    <w:p w:rsidR="00A97702" w:rsidRDefault="00A97702" w:rsidP="00A97702">
      <w:pPr>
        <w:pStyle w:val="text"/>
      </w:pPr>
    </w:p>
    <w:p w:rsidR="00A97702" w:rsidRDefault="00A97702" w:rsidP="00A97702">
      <w:pPr>
        <w:pStyle w:val="text"/>
      </w:pPr>
    </w:p>
    <w:p w:rsidR="00A97702" w:rsidRDefault="00A97702" w:rsidP="00A9770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97702" w:rsidRPr="00F601BA" w:rsidTr="00DA1C9D">
        <w:tc>
          <w:tcPr>
            <w:tcW w:w="9288" w:type="dxa"/>
          </w:tcPr>
          <w:p w:rsidR="00A97702" w:rsidRDefault="00A97702" w:rsidP="00DA1C9D">
            <w:pPr>
              <w:pStyle w:val="StyleBlockTitle1TopSinglesolidlineAuto05ptLinewid"/>
            </w:pPr>
            <w:r w:rsidRPr="00AE33DD">
              <w:lastRenderedPageBreak/>
              <w:t xml:space="preserve">Case </w:t>
            </w:r>
            <w:r>
              <w:t>s</w:t>
            </w:r>
            <w:r w:rsidRPr="00AE33DD">
              <w:t xml:space="preserve">tudy </w:t>
            </w:r>
            <w:r>
              <w:t>5 -</w:t>
            </w:r>
            <w:r w:rsidRPr="00AE33DD">
              <w:t xml:space="preserve"> Use of HILs and EILs</w:t>
            </w:r>
            <w:r>
              <w:t xml:space="preserve"> – </w:t>
            </w:r>
          </w:p>
          <w:p w:rsidR="00A97702" w:rsidRDefault="00A97702" w:rsidP="00DA1C9D">
            <w:pPr>
              <w:pStyle w:val="StyleBlockTitle1TopSinglesolidlineAuto05ptLinewid"/>
            </w:pPr>
            <w:r>
              <w:t>redevelopment of an industrial site for residential use</w:t>
            </w:r>
          </w:p>
          <w:p w:rsidR="00A97702" w:rsidRPr="00985992" w:rsidRDefault="00A97702" w:rsidP="00DA1C9D">
            <w:pPr>
              <w:pStyle w:val="text"/>
              <w:rPr>
                <w:b/>
              </w:rPr>
            </w:pPr>
            <w:r>
              <w:rPr>
                <w:b/>
              </w:rPr>
              <w:t>Site Scenario</w:t>
            </w:r>
          </w:p>
          <w:p w:rsidR="00A97702" w:rsidRDefault="00A97702" w:rsidP="00DA1C9D">
            <w:pPr>
              <w:pStyle w:val="text"/>
            </w:pPr>
            <w:r w:rsidRPr="004204E5">
              <w:t xml:space="preserve">The site </w:t>
            </w:r>
            <w:r>
              <w:t>is</w:t>
            </w:r>
            <w:r w:rsidRPr="004204E5">
              <w:t xml:space="preserve"> a former electroplating works and is proposed for </w:t>
            </w:r>
            <w:r>
              <w:t xml:space="preserve">residential </w:t>
            </w:r>
            <w:r w:rsidRPr="004204E5">
              <w:t>townhouse development</w:t>
            </w:r>
            <w:r>
              <w:t xml:space="preserve"> with individual gardens. </w:t>
            </w:r>
            <w:r w:rsidRPr="004204E5">
              <w:t>Prior to industrial use</w:t>
            </w:r>
            <w:r>
              <w:t>,</w:t>
            </w:r>
            <w:r w:rsidRPr="004204E5">
              <w:t xml:space="preserve"> the whole site was filled </w:t>
            </w:r>
            <w:r>
              <w:t xml:space="preserve">from </w:t>
            </w:r>
            <w:r w:rsidRPr="004204E5">
              <w:t>0</w:t>
            </w:r>
            <w:r>
              <w:t xml:space="preserve"> to </w:t>
            </w:r>
            <w:r w:rsidRPr="004204E5">
              <w:t>1</w:t>
            </w:r>
            <w:r>
              <w:t xml:space="preserve"> </w:t>
            </w:r>
            <w:r w:rsidRPr="004204E5">
              <w:t>m with imported clay/soil fill of uniform characteristics</w:t>
            </w:r>
            <w:r>
              <w:t xml:space="preserve">. </w:t>
            </w:r>
          </w:p>
          <w:p w:rsidR="00A97702" w:rsidRPr="00985992" w:rsidRDefault="00A97702" w:rsidP="00DA1C9D">
            <w:pPr>
              <w:pStyle w:val="text"/>
              <w:rPr>
                <w:b/>
              </w:rPr>
            </w:pPr>
            <w:r>
              <w:rPr>
                <w:b/>
              </w:rPr>
              <w:t>Response</w:t>
            </w:r>
          </w:p>
          <w:p w:rsidR="00A97702" w:rsidRDefault="00A97702" w:rsidP="00DA1C9D">
            <w:pPr>
              <w:pStyle w:val="text"/>
            </w:pPr>
            <w:r w:rsidRPr="004204E5">
              <w:t>The site was assessed by a detailed sampling program based on a well</w:t>
            </w:r>
            <w:r>
              <w:t>-</w:t>
            </w:r>
            <w:r w:rsidRPr="004204E5">
              <w:t>documented site history and no contamination of concern was found below 2</w:t>
            </w:r>
            <w:r>
              <w:t xml:space="preserve"> </w:t>
            </w:r>
            <w:r w:rsidRPr="004204E5">
              <w:t>m</w:t>
            </w:r>
            <w:r>
              <w:t xml:space="preserve">. Based on site history, </w:t>
            </w:r>
            <w:r w:rsidRPr="004204E5">
              <w:t xml:space="preserve">CrVI was </w:t>
            </w:r>
            <w:r>
              <w:t xml:space="preserve">included in the sampling and analysis but </w:t>
            </w:r>
            <w:r w:rsidRPr="004204E5">
              <w:t xml:space="preserve">not </w:t>
            </w:r>
            <w:r>
              <w:t>detected. Representative samples of site soils were analysed for cation exchange capacity (CEC), clay content and pH to assist with ecological assessment.</w:t>
            </w:r>
          </w:p>
          <w:p w:rsidR="00A97702" w:rsidRDefault="00A97702" w:rsidP="00DA1C9D">
            <w:pPr>
              <w:pStyle w:val="text"/>
            </w:pPr>
            <w:r w:rsidRPr="004204E5">
              <w:t>For the purposes of illustration</w:t>
            </w:r>
            <w:r>
              <w:t>,</w:t>
            </w:r>
            <w:r w:rsidRPr="004204E5">
              <w:t xml:space="preserve"> the generalised geometric mean </w:t>
            </w:r>
            <w:r>
              <w:t>(</w:t>
            </w:r>
            <w:r w:rsidRPr="009B5D7C">
              <w:t>GM) data shown below is assumed to be sufficient from a statistical basis to describe and evaluate the condition of the site. All relevant contaminants of concern were identified and the</w:t>
            </w:r>
            <w:r>
              <w:t xml:space="preserve"> original surface stratum has uniform characteristics across the site. </w:t>
            </w:r>
            <w:r w:rsidRPr="004204E5">
              <w:t>Hot spots, if present</w:t>
            </w:r>
            <w:r>
              <w:t>,</w:t>
            </w:r>
            <w:r w:rsidRPr="004204E5">
              <w:t xml:space="preserve"> would need to be considered separately. </w:t>
            </w:r>
          </w:p>
          <w:p w:rsidR="00A97702" w:rsidRPr="00F601BA" w:rsidRDefault="00A97702" w:rsidP="00DA1C9D">
            <w:pPr>
              <w:pStyle w:val="text"/>
              <w:rPr>
                <w:b/>
                <w:u w:val="single"/>
              </w:rPr>
            </w:pPr>
            <w:r>
              <w:rPr>
                <w:b/>
                <w:u w:val="single"/>
              </w:rPr>
              <w:t>Step</w:t>
            </w:r>
            <w:r w:rsidRPr="00F601BA">
              <w:rPr>
                <w:b/>
                <w:u w:val="single"/>
              </w:rPr>
              <w:t xml:space="preserve"> 1:</w:t>
            </w:r>
            <w:r w:rsidRPr="00F601BA">
              <w:rPr>
                <w:b/>
                <w:u w:val="single"/>
              </w:rPr>
              <w:tab/>
              <w:t>Document soil results</w:t>
            </w:r>
            <w:r>
              <w:rPr>
                <w:b/>
                <w:u w:val="single"/>
              </w:rPr>
              <w:t xml:space="preserve"> and select HILs</w:t>
            </w:r>
            <w:r w:rsidRPr="00F601BA">
              <w:rPr>
                <w:b/>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240"/>
              <w:gridCol w:w="1295"/>
              <w:gridCol w:w="1160"/>
              <w:gridCol w:w="1160"/>
              <w:gridCol w:w="1017"/>
              <w:gridCol w:w="949"/>
              <w:gridCol w:w="948"/>
            </w:tblGrid>
            <w:tr w:rsidR="00A97702" w:rsidRPr="00450F36" w:rsidTr="00DA1C9D">
              <w:tc>
                <w:tcPr>
                  <w:tcW w:w="1305"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before="60" w:after="60" w:line="240" w:lineRule="atLeast"/>
                    <w:rPr>
                      <w:rFonts w:ascii="Arial" w:hAnsi="Arial" w:cs="Arial"/>
                      <w:b/>
                      <w:bCs/>
                      <w:sz w:val="18"/>
                      <w:szCs w:val="18"/>
                    </w:rPr>
                  </w:pPr>
                  <w:r w:rsidRPr="00EF6ACB">
                    <w:rPr>
                      <w:rFonts w:ascii="Arial" w:hAnsi="Arial" w:cs="Arial"/>
                      <w:b/>
                      <w:bCs/>
                      <w:sz w:val="18"/>
                      <w:szCs w:val="18"/>
                    </w:rPr>
                    <w:t>Depth (m)</w:t>
                  </w:r>
                </w:p>
              </w:tc>
              <w:tc>
                <w:tcPr>
                  <w:tcW w:w="1250"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before="60" w:after="60" w:line="240" w:lineRule="atLeast"/>
                    <w:jc w:val="center"/>
                    <w:rPr>
                      <w:rFonts w:ascii="Arial" w:hAnsi="Arial" w:cs="Arial"/>
                      <w:b/>
                      <w:bCs/>
                      <w:sz w:val="18"/>
                      <w:szCs w:val="18"/>
                    </w:rPr>
                  </w:pPr>
                  <w:r w:rsidRPr="00EF6ACB">
                    <w:rPr>
                      <w:rFonts w:ascii="Arial" w:hAnsi="Arial" w:cs="Arial"/>
                      <w:b/>
                      <w:bCs/>
                      <w:sz w:val="18"/>
                      <w:szCs w:val="18"/>
                    </w:rPr>
                    <w:t>Cu</w:t>
                  </w:r>
                </w:p>
                <w:p w:rsidR="00A97702" w:rsidRPr="00EF6ACB" w:rsidRDefault="00A97702" w:rsidP="00DA1C9D">
                  <w:pPr>
                    <w:pStyle w:val="text"/>
                    <w:spacing w:before="0" w:after="60" w:line="240" w:lineRule="atLeast"/>
                    <w:jc w:val="center"/>
                    <w:rPr>
                      <w:rFonts w:ascii="Arial" w:hAnsi="Arial" w:cs="Arial"/>
                      <w:b/>
                      <w:bCs/>
                      <w:sz w:val="18"/>
                      <w:szCs w:val="18"/>
                    </w:rPr>
                  </w:pPr>
                  <w:r w:rsidRPr="00EF6ACB">
                    <w:rPr>
                      <w:rFonts w:ascii="Arial" w:hAnsi="Arial" w:cs="Arial"/>
                      <w:b/>
                      <w:bCs/>
                      <w:sz w:val="18"/>
                      <w:szCs w:val="18"/>
                    </w:rPr>
                    <w:t>mg/kg</w:t>
                  </w:r>
                </w:p>
              </w:tc>
              <w:tc>
                <w:tcPr>
                  <w:tcW w:w="1306"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before="60" w:after="60" w:line="240" w:lineRule="atLeast"/>
                    <w:jc w:val="center"/>
                    <w:rPr>
                      <w:rFonts w:ascii="Arial" w:hAnsi="Arial" w:cs="Arial"/>
                      <w:b/>
                      <w:bCs/>
                      <w:sz w:val="18"/>
                      <w:szCs w:val="18"/>
                    </w:rPr>
                  </w:pPr>
                  <w:r w:rsidRPr="00EF6ACB">
                    <w:rPr>
                      <w:rFonts w:ascii="Arial" w:hAnsi="Arial" w:cs="Arial"/>
                      <w:b/>
                      <w:bCs/>
                      <w:sz w:val="18"/>
                      <w:szCs w:val="18"/>
                    </w:rPr>
                    <w:t>Zn</w:t>
                  </w:r>
                </w:p>
                <w:p w:rsidR="00A97702" w:rsidRPr="00EF6ACB" w:rsidRDefault="00A97702" w:rsidP="00DA1C9D">
                  <w:pPr>
                    <w:pStyle w:val="text"/>
                    <w:spacing w:before="0" w:after="60" w:line="240" w:lineRule="atLeast"/>
                    <w:jc w:val="center"/>
                    <w:rPr>
                      <w:rFonts w:ascii="Arial" w:hAnsi="Arial" w:cs="Arial"/>
                      <w:b/>
                      <w:bCs/>
                      <w:sz w:val="18"/>
                      <w:szCs w:val="18"/>
                    </w:rPr>
                  </w:pPr>
                  <w:r w:rsidRPr="00EF6ACB">
                    <w:rPr>
                      <w:rFonts w:ascii="Arial" w:hAnsi="Arial" w:cs="Arial"/>
                      <w:b/>
                      <w:bCs/>
                      <w:sz w:val="18"/>
                      <w:szCs w:val="18"/>
                    </w:rPr>
                    <w:t>mg/kg</w:t>
                  </w:r>
                </w:p>
              </w:tc>
              <w:tc>
                <w:tcPr>
                  <w:tcW w:w="1168"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before="60" w:after="60" w:line="240" w:lineRule="atLeast"/>
                    <w:jc w:val="center"/>
                    <w:rPr>
                      <w:rFonts w:ascii="Arial" w:hAnsi="Arial" w:cs="Arial"/>
                      <w:b/>
                      <w:bCs/>
                      <w:sz w:val="18"/>
                      <w:szCs w:val="18"/>
                    </w:rPr>
                  </w:pPr>
                  <w:r w:rsidRPr="00EF6ACB">
                    <w:rPr>
                      <w:rFonts w:ascii="Arial" w:hAnsi="Arial" w:cs="Arial"/>
                      <w:b/>
                      <w:bCs/>
                      <w:sz w:val="18"/>
                      <w:szCs w:val="18"/>
                    </w:rPr>
                    <w:t>Ni</w:t>
                  </w:r>
                </w:p>
                <w:p w:rsidR="00A97702" w:rsidRPr="00EF6ACB" w:rsidRDefault="00A97702" w:rsidP="00DA1C9D">
                  <w:pPr>
                    <w:pStyle w:val="text"/>
                    <w:spacing w:before="0" w:after="60" w:line="240" w:lineRule="atLeast"/>
                    <w:jc w:val="center"/>
                    <w:rPr>
                      <w:rFonts w:ascii="Arial" w:hAnsi="Arial" w:cs="Arial"/>
                      <w:b/>
                      <w:bCs/>
                      <w:sz w:val="18"/>
                      <w:szCs w:val="18"/>
                    </w:rPr>
                  </w:pPr>
                  <w:r w:rsidRPr="00EF6ACB">
                    <w:rPr>
                      <w:rFonts w:ascii="Arial" w:hAnsi="Arial" w:cs="Arial"/>
                      <w:b/>
                      <w:bCs/>
                      <w:sz w:val="18"/>
                      <w:szCs w:val="18"/>
                    </w:rPr>
                    <w:t>mg/kg</w:t>
                  </w:r>
                </w:p>
              </w:tc>
              <w:tc>
                <w:tcPr>
                  <w:tcW w:w="1168"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before="60" w:after="60" w:line="240" w:lineRule="atLeast"/>
                    <w:jc w:val="center"/>
                    <w:rPr>
                      <w:rFonts w:ascii="Arial" w:hAnsi="Arial" w:cs="Arial"/>
                      <w:b/>
                      <w:bCs/>
                      <w:sz w:val="18"/>
                      <w:szCs w:val="18"/>
                    </w:rPr>
                  </w:pPr>
                  <w:r w:rsidRPr="00EF6ACB">
                    <w:rPr>
                      <w:rFonts w:ascii="Arial" w:hAnsi="Arial" w:cs="Arial"/>
                      <w:b/>
                      <w:bCs/>
                      <w:sz w:val="18"/>
                      <w:szCs w:val="18"/>
                    </w:rPr>
                    <w:t>CrIII</w:t>
                  </w:r>
                </w:p>
                <w:p w:rsidR="00A97702" w:rsidRPr="00EF6ACB" w:rsidRDefault="00A97702" w:rsidP="00DA1C9D">
                  <w:pPr>
                    <w:pStyle w:val="text"/>
                    <w:spacing w:before="0" w:after="60" w:line="240" w:lineRule="atLeast"/>
                    <w:jc w:val="center"/>
                    <w:rPr>
                      <w:rFonts w:ascii="Arial" w:hAnsi="Arial" w:cs="Arial"/>
                      <w:b/>
                      <w:bCs/>
                      <w:sz w:val="18"/>
                      <w:szCs w:val="18"/>
                    </w:rPr>
                  </w:pPr>
                  <w:r w:rsidRPr="00EF6ACB">
                    <w:rPr>
                      <w:rFonts w:ascii="Arial" w:hAnsi="Arial" w:cs="Arial"/>
                      <w:b/>
                      <w:bCs/>
                      <w:sz w:val="18"/>
                      <w:szCs w:val="18"/>
                    </w:rPr>
                    <w:t>mg/kg</w:t>
                  </w:r>
                </w:p>
              </w:tc>
              <w:tc>
                <w:tcPr>
                  <w:tcW w:w="955"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spacing w:before="60" w:after="60" w:line="240" w:lineRule="atLeast"/>
                    <w:jc w:val="center"/>
                    <w:rPr>
                      <w:rFonts w:ascii="Arial" w:hAnsi="Arial" w:cs="Arial"/>
                      <w:b/>
                      <w:sz w:val="18"/>
                      <w:szCs w:val="18"/>
                    </w:rPr>
                  </w:pPr>
                  <w:r w:rsidRPr="00EF6ACB">
                    <w:rPr>
                      <w:rFonts w:ascii="Arial" w:hAnsi="Arial" w:cs="Arial"/>
                      <w:b/>
                      <w:sz w:val="18"/>
                      <w:szCs w:val="18"/>
                    </w:rPr>
                    <w:t>CEC</w:t>
                  </w:r>
                </w:p>
                <w:p w:rsidR="00A97702" w:rsidRPr="00EF6ACB" w:rsidRDefault="00A97702" w:rsidP="00DA1C9D">
                  <w:pPr>
                    <w:pStyle w:val="text"/>
                    <w:spacing w:before="0" w:after="60" w:line="240" w:lineRule="atLeast"/>
                    <w:jc w:val="center"/>
                    <w:rPr>
                      <w:rFonts w:ascii="Arial" w:hAnsi="Arial" w:cs="Arial"/>
                      <w:b/>
                      <w:bCs/>
                      <w:sz w:val="18"/>
                      <w:szCs w:val="18"/>
                    </w:rPr>
                  </w:pPr>
                  <w:r w:rsidRPr="00EF6ACB">
                    <w:rPr>
                      <w:rFonts w:ascii="Arial" w:hAnsi="Arial" w:cs="Arial"/>
                      <w:b/>
                      <w:sz w:val="18"/>
                      <w:szCs w:val="18"/>
                    </w:rPr>
                    <w:t>(cmol/kg)</w:t>
                  </w:r>
                </w:p>
              </w:tc>
              <w:tc>
                <w:tcPr>
                  <w:tcW w:w="955"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spacing w:before="60" w:after="60" w:line="240" w:lineRule="atLeast"/>
                    <w:jc w:val="center"/>
                    <w:rPr>
                      <w:rFonts w:ascii="Arial" w:hAnsi="Arial" w:cs="Arial"/>
                      <w:b/>
                      <w:sz w:val="18"/>
                      <w:szCs w:val="18"/>
                    </w:rPr>
                  </w:pPr>
                  <w:r w:rsidRPr="00EF6ACB">
                    <w:rPr>
                      <w:rFonts w:ascii="Arial" w:hAnsi="Arial" w:cs="Arial"/>
                      <w:b/>
                      <w:sz w:val="18"/>
                      <w:szCs w:val="18"/>
                    </w:rPr>
                    <w:t>pH</w:t>
                  </w:r>
                </w:p>
                <w:p w:rsidR="00A97702" w:rsidRPr="00EF6ACB" w:rsidRDefault="00A97702" w:rsidP="00DA1C9D">
                  <w:pPr>
                    <w:pStyle w:val="text"/>
                    <w:spacing w:before="0" w:after="60" w:line="240" w:lineRule="atLeast"/>
                    <w:jc w:val="center"/>
                    <w:rPr>
                      <w:rFonts w:ascii="Arial" w:hAnsi="Arial" w:cs="Arial"/>
                      <w:b/>
                      <w:bCs/>
                      <w:sz w:val="18"/>
                      <w:szCs w:val="18"/>
                    </w:rPr>
                  </w:pPr>
                  <w:r w:rsidRPr="00EF6ACB">
                    <w:rPr>
                      <w:rFonts w:ascii="Arial" w:hAnsi="Arial" w:cs="Arial"/>
                      <w:b/>
                      <w:sz w:val="18"/>
                      <w:szCs w:val="18"/>
                    </w:rPr>
                    <w:t>pH units</w:t>
                  </w:r>
                </w:p>
              </w:tc>
              <w:tc>
                <w:tcPr>
                  <w:tcW w:w="955"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spacing w:before="60" w:after="60" w:line="240" w:lineRule="atLeast"/>
                    <w:jc w:val="center"/>
                    <w:rPr>
                      <w:rFonts w:ascii="Arial" w:hAnsi="Arial" w:cs="Arial"/>
                      <w:b/>
                      <w:sz w:val="18"/>
                      <w:szCs w:val="18"/>
                    </w:rPr>
                  </w:pPr>
                  <w:r w:rsidRPr="00EF6ACB">
                    <w:rPr>
                      <w:rFonts w:ascii="Arial" w:hAnsi="Arial" w:cs="Arial"/>
                      <w:b/>
                      <w:sz w:val="18"/>
                      <w:szCs w:val="18"/>
                    </w:rPr>
                    <w:t xml:space="preserve">% Clay </w:t>
                  </w:r>
                </w:p>
                <w:p w:rsidR="00A97702" w:rsidRPr="00EF6ACB" w:rsidRDefault="00A97702" w:rsidP="00DA1C9D">
                  <w:pPr>
                    <w:pStyle w:val="text"/>
                    <w:spacing w:before="0" w:after="60" w:line="240" w:lineRule="atLeast"/>
                    <w:jc w:val="center"/>
                    <w:rPr>
                      <w:rFonts w:ascii="Arial" w:hAnsi="Arial" w:cs="Arial"/>
                      <w:b/>
                      <w:bCs/>
                      <w:sz w:val="18"/>
                      <w:szCs w:val="18"/>
                    </w:rPr>
                  </w:pPr>
                  <w:r w:rsidRPr="00EF6ACB">
                    <w:rPr>
                      <w:rFonts w:ascii="Arial" w:hAnsi="Arial" w:cs="Arial"/>
                      <w:b/>
                      <w:sz w:val="18"/>
                      <w:szCs w:val="18"/>
                    </w:rPr>
                    <w:t>%</w:t>
                  </w:r>
                </w:p>
              </w:tc>
            </w:tr>
            <w:tr w:rsidR="00A97702" w:rsidRPr="00450F36" w:rsidTr="00DA1C9D">
              <w:tc>
                <w:tcPr>
                  <w:tcW w:w="1305"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before="60" w:after="60" w:line="240" w:lineRule="atLeast"/>
                    <w:rPr>
                      <w:rFonts w:ascii="Arial" w:hAnsi="Arial" w:cs="Arial"/>
                      <w:b/>
                      <w:bCs/>
                      <w:sz w:val="18"/>
                      <w:szCs w:val="18"/>
                    </w:rPr>
                  </w:pPr>
                  <w:r w:rsidRPr="00EF6ACB">
                    <w:rPr>
                      <w:rFonts w:ascii="Arial" w:hAnsi="Arial" w:cs="Arial"/>
                      <w:b/>
                      <w:bCs/>
                      <w:sz w:val="18"/>
                      <w:szCs w:val="18"/>
                    </w:rPr>
                    <w:t>0</w:t>
                  </w:r>
                  <w:r>
                    <w:rPr>
                      <w:rFonts w:ascii="Arial" w:hAnsi="Arial" w:cs="Arial"/>
                      <w:b/>
                      <w:bCs/>
                      <w:sz w:val="18"/>
                      <w:szCs w:val="18"/>
                    </w:rPr>
                    <w:sym w:font="Symbol" w:char="F02D"/>
                  </w:r>
                  <w:r w:rsidRPr="00EF6ACB">
                    <w:rPr>
                      <w:rFonts w:ascii="Arial" w:hAnsi="Arial" w:cs="Arial"/>
                      <w:b/>
                      <w:bCs/>
                      <w:sz w:val="18"/>
                      <w:szCs w:val="18"/>
                    </w:rPr>
                    <w:t>1</w:t>
                  </w:r>
                </w:p>
              </w:tc>
              <w:tc>
                <w:tcPr>
                  <w:tcW w:w="1250"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bCs/>
                      <w:sz w:val="18"/>
                      <w:szCs w:val="18"/>
                    </w:rPr>
                    <w:t>540</w:t>
                  </w:r>
                </w:p>
              </w:tc>
              <w:tc>
                <w:tcPr>
                  <w:tcW w:w="1306"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bCs/>
                      <w:sz w:val="18"/>
                      <w:szCs w:val="18"/>
                    </w:rPr>
                    <w:t>890</w:t>
                  </w:r>
                </w:p>
              </w:tc>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EF6ACB" w:rsidRDefault="00A97702" w:rsidP="00DA1C9D">
                  <w:pPr>
                    <w:pStyle w:val="text"/>
                    <w:spacing w:before="60" w:after="60" w:line="240" w:lineRule="atLeast"/>
                    <w:jc w:val="center"/>
                    <w:rPr>
                      <w:rFonts w:ascii="Arial" w:hAnsi="Arial" w:cs="Arial"/>
                      <w:b/>
                      <w:bCs/>
                      <w:sz w:val="18"/>
                      <w:szCs w:val="18"/>
                    </w:rPr>
                  </w:pPr>
                  <w:r w:rsidRPr="00EF6ACB">
                    <w:rPr>
                      <w:rFonts w:ascii="Arial" w:hAnsi="Arial" w:cs="Arial"/>
                      <w:b/>
                      <w:bCs/>
                      <w:sz w:val="18"/>
                      <w:szCs w:val="18"/>
                    </w:rPr>
                    <w:t>660</w:t>
                  </w:r>
                </w:p>
              </w:tc>
              <w:tc>
                <w:tcPr>
                  <w:tcW w:w="1168"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bCs/>
                      <w:sz w:val="18"/>
                      <w:szCs w:val="18"/>
                    </w:rPr>
                    <w:t>1100</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sz w:val="18"/>
                      <w:szCs w:val="18"/>
                    </w:rPr>
                    <w:t>9</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sz w:val="18"/>
                      <w:szCs w:val="18"/>
                    </w:rPr>
                    <w:t>6.0</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sz w:val="18"/>
                      <w:szCs w:val="18"/>
                    </w:rPr>
                    <w:t>10</w:t>
                  </w:r>
                </w:p>
              </w:tc>
            </w:tr>
            <w:tr w:rsidR="00A97702" w:rsidRPr="00450F36" w:rsidTr="00DA1C9D">
              <w:tc>
                <w:tcPr>
                  <w:tcW w:w="1305"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before="60" w:after="60" w:line="240" w:lineRule="atLeast"/>
                    <w:rPr>
                      <w:rFonts w:ascii="Arial" w:hAnsi="Arial" w:cs="Arial"/>
                      <w:b/>
                      <w:bCs/>
                      <w:sz w:val="18"/>
                      <w:szCs w:val="18"/>
                    </w:rPr>
                  </w:pPr>
                  <w:r w:rsidRPr="00EF6ACB">
                    <w:rPr>
                      <w:rFonts w:ascii="Arial" w:hAnsi="Arial" w:cs="Arial"/>
                      <w:b/>
                      <w:bCs/>
                      <w:sz w:val="18"/>
                      <w:szCs w:val="18"/>
                    </w:rPr>
                    <w:t>1</w:t>
                  </w:r>
                  <w:r>
                    <w:rPr>
                      <w:rFonts w:ascii="Arial" w:hAnsi="Arial" w:cs="Arial"/>
                      <w:b/>
                      <w:bCs/>
                      <w:sz w:val="18"/>
                      <w:szCs w:val="18"/>
                    </w:rPr>
                    <w:sym w:font="Symbol" w:char="F02D"/>
                  </w:r>
                  <w:r w:rsidRPr="00EF6ACB">
                    <w:rPr>
                      <w:rFonts w:ascii="Arial" w:hAnsi="Arial" w:cs="Arial"/>
                      <w:b/>
                      <w:bCs/>
                      <w:sz w:val="18"/>
                      <w:szCs w:val="18"/>
                    </w:rPr>
                    <w:t>2</w:t>
                  </w:r>
                </w:p>
              </w:tc>
              <w:tc>
                <w:tcPr>
                  <w:tcW w:w="1250"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bCs/>
                      <w:sz w:val="18"/>
                      <w:szCs w:val="18"/>
                    </w:rPr>
                    <w:t>170</w:t>
                  </w:r>
                </w:p>
              </w:tc>
              <w:tc>
                <w:tcPr>
                  <w:tcW w:w="1306"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bCs/>
                      <w:sz w:val="18"/>
                      <w:szCs w:val="18"/>
                    </w:rPr>
                    <w:t>470</w:t>
                  </w:r>
                </w:p>
              </w:tc>
              <w:tc>
                <w:tcPr>
                  <w:tcW w:w="1168"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bCs/>
                      <w:sz w:val="18"/>
                      <w:szCs w:val="18"/>
                    </w:rPr>
                    <w:t>380</w:t>
                  </w:r>
                </w:p>
              </w:tc>
              <w:tc>
                <w:tcPr>
                  <w:tcW w:w="1168"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bCs/>
                      <w:sz w:val="18"/>
                      <w:szCs w:val="18"/>
                    </w:rPr>
                    <w:t>400</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sz w:val="18"/>
                      <w:szCs w:val="18"/>
                    </w:rPr>
                    <w:t>17</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sz w:val="18"/>
                      <w:szCs w:val="18"/>
                    </w:rPr>
                    <w:t>6.5</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sz w:val="18"/>
                      <w:szCs w:val="18"/>
                    </w:rPr>
                  </w:pPr>
                  <w:r w:rsidRPr="00EF6ACB">
                    <w:rPr>
                      <w:rFonts w:ascii="Arial" w:hAnsi="Arial" w:cs="Arial"/>
                      <w:sz w:val="18"/>
                      <w:szCs w:val="18"/>
                    </w:rPr>
                    <w:t>12</w:t>
                  </w:r>
                </w:p>
              </w:tc>
            </w:tr>
            <w:tr w:rsidR="00A97702" w:rsidRPr="00450F36" w:rsidTr="00DA1C9D">
              <w:tc>
                <w:tcPr>
                  <w:tcW w:w="1305" w:type="dxa"/>
                  <w:tcBorders>
                    <w:top w:val="single" w:sz="4" w:space="0" w:color="auto"/>
                    <w:left w:val="single" w:sz="4" w:space="0" w:color="auto"/>
                    <w:bottom w:val="single" w:sz="4" w:space="0" w:color="auto"/>
                    <w:right w:val="single" w:sz="4" w:space="0" w:color="auto"/>
                  </w:tcBorders>
                  <w:shd w:val="clear" w:color="auto" w:fill="F2F2F2"/>
                </w:tcPr>
                <w:p w:rsidR="00A97702" w:rsidRPr="00EF6ACB" w:rsidRDefault="00A97702" w:rsidP="00DA1C9D">
                  <w:pPr>
                    <w:pStyle w:val="text"/>
                    <w:spacing w:before="60" w:after="60" w:line="240" w:lineRule="atLeast"/>
                    <w:rPr>
                      <w:rFonts w:ascii="Arial" w:hAnsi="Arial" w:cs="Arial"/>
                      <w:b/>
                      <w:bCs/>
                      <w:sz w:val="18"/>
                      <w:szCs w:val="18"/>
                    </w:rPr>
                  </w:pPr>
                  <w:r w:rsidRPr="00EF6ACB">
                    <w:rPr>
                      <w:rFonts w:ascii="Arial" w:hAnsi="Arial" w:cs="Arial"/>
                      <w:b/>
                      <w:bCs/>
                      <w:sz w:val="18"/>
                      <w:szCs w:val="18"/>
                    </w:rPr>
                    <w:t>HIL A</w:t>
                  </w:r>
                </w:p>
              </w:tc>
              <w:tc>
                <w:tcPr>
                  <w:tcW w:w="1250"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
                      <w:bCs/>
                      <w:i/>
                      <w:sz w:val="18"/>
                      <w:szCs w:val="18"/>
                    </w:rPr>
                  </w:pPr>
                  <w:r w:rsidRPr="00EF6ACB">
                    <w:rPr>
                      <w:rFonts w:ascii="Arial" w:hAnsi="Arial" w:cs="Arial"/>
                      <w:b/>
                      <w:bCs/>
                      <w:i/>
                      <w:sz w:val="18"/>
                      <w:szCs w:val="18"/>
                    </w:rPr>
                    <w:t>6,000</w:t>
                  </w:r>
                </w:p>
              </w:tc>
              <w:tc>
                <w:tcPr>
                  <w:tcW w:w="1306"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
                      <w:bCs/>
                      <w:i/>
                      <w:sz w:val="18"/>
                      <w:szCs w:val="18"/>
                    </w:rPr>
                  </w:pPr>
                  <w:r w:rsidRPr="00EF6ACB">
                    <w:rPr>
                      <w:rFonts w:ascii="Arial" w:hAnsi="Arial" w:cs="Arial"/>
                      <w:b/>
                      <w:bCs/>
                      <w:i/>
                      <w:sz w:val="18"/>
                      <w:szCs w:val="18"/>
                    </w:rPr>
                    <w:t>7,400</w:t>
                  </w:r>
                </w:p>
              </w:tc>
              <w:tc>
                <w:tcPr>
                  <w:tcW w:w="1168"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
                      <w:bCs/>
                      <w:i/>
                      <w:sz w:val="18"/>
                      <w:szCs w:val="18"/>
                    </w:rPr>
                  </w:pPr>
                  <w:r w:rsidRPr="00EF6ACB">
                    <w:rPr>
                      <w:rFonts w:ascii="Arial" w:hAnsi="Arial" w:cs="Arial"/>
                      <w:b/>
                      <w:bCs/>
                      <w:i/>
                      <w:sz w:val="18"/>
                      <w:szCs w:val="18"/>
                    </w:rPr>
                    <w:t>400</w:t>
                  </w:r>
                </w:p>
              </w:tc>
              <w:tc>
                <w:tcPr>
                  <w:tcW w:w="1168"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
                      <w:bCs/>
                      <w:i/>
                      <w:sz w:val="18"/>
                      <w:szCs w:val="18"/>
                    </w:rPr>
                  </w:pPr>
                  <w:r w:rsidRPr="00EF6ACB">
                    <w:rPr>
                      <w:rFonts w:ascii="Arial" w:hAnsi="Arial" w:cs="Arial"/>
                      <w:b/>
                      <w:bCs/>
                      <w:i/>
                      <w:sz w:val="18"/>
                      <w:szCs w:val="18"/>
                    </w:rPr>
                    <w:t>N/A</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i/>
                      <w:sz w:val="18"/>
                      <w:szCs w:val="18"/>
                    </w:rPr>
                  </w:pPr>
                  <w:r w:rsidRPr="00EF6ACB">
                    <w:rPr>
                      <w:rFonts w:ascii="Arial" w:hAnsi="Arial" w:cs="Arial"/>
                      <w:sz w:val="18"/>
                      <w:szCs w:val="18"/>
                    </w:rPr>
                    <w:t>-</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i/>
                      <w:sz w:val="18"/>
                      <w:szCs w:val="18"/>
                    </w:rPr>
                  </w:pPr>
                  <w:r w:rsidRPr="00EF6ACB">
                    <w:rPr>
                      <w:rFonts w:ascii="Arial" w:hAnsi="Arial" w:cs="Arial"/>
                      <w:bCs/>
                      <w:i/>
                      <w:sz w:val="18"/>
                      <w:szCs w:val="18"/>
                    </w:rPr>
                    <w:t>-</w:t>
                  </w:r>
                </w:p>
              </w:tc>
              <w:tc>
                <w:tcPr>
                  <w:tcW w:w="955" w:type="dxa"/>
                  <w:tcBorders>
                    <w:top w:val="single" w:sz="4" w:space="0" w:color="auto"/>
                    <w:left w:val="single" w:sz="4" w:space="0" w:color="auto"/>
                    <w:bottom w:val="single" w:sz="4" w:space="0" w:color="auto"/>
                    <w:right w:val="single" w:sz="4" w:space="0" w:color="auto"/>
                  </w:tcBorders>
                </w:tcPr>
                <w:p w:rsidR="00A97702" w:rsidRPr="00EF6ACB" w:rsidRDefault="00A97702" w:rsidP="00DA1C9D">
                  <w:pPr>
                    <w:pStyle w:val="text"/>
                    <w:spacing w:before="60" w:after="60" w:line="240" w:lineRule="atLeast"/>
                    <w:jc w:val="center"/>
                    <w:rPr>
                      <w:rFonts w:ascii="Arial" w:hAnsi="Arial" w:cs="Arial"/>
                      <w:bCs/>
                      <w:i/>
                      <w:sz w:val="18"/>
                      <w:szCs w:val="18"/>
                    </w:rPr>
                  </w:pPr>
                  <w:r w:rsidRPr="00EF6ACB">
                    <w:rPr>
                      <w:rFonts w:ascii="Arial" w:hAnsi="Arial" w:cs="Arial"/>
                      <w:sz w:val="18"/>
                      <w:szCs w:val="18"/>
                    </w:rPr>
                    <w:t>-</w:t>
                  </w:r>
                </w:p>
              </w:tc>
            </w:tr>
          </w:tbl>
          <w:p w:rsidR="00A97702" w:rsidRDefault="00A97702" w:rsidP="00DA1C9D">
            <w:pPr>
              <w:pStyle w:val="Note"/>
              <w:spacing w:after="0"/>
            </w:pPr>
            <w:r w:rsidRPr="00D2274E">
              <w:t xml:space="preserve">Note: </w:t>
            </w:r>
            <w:r w:rsidRPr="00A70102">
              <w:rPr>
                <w:sz w:val="18"/>
                <w:szCs w:val="18"/>
              </w:rPr>
              <w:t>N/A</w:t>
            </w:r>
            <w:r w:rsidRPr="00D2274E">
              <w:t xml:space="preserve">= not </w:t>
            </w:r>
            <w:r>
              <w:t xml:space="preserve">applicable </w:t>
            </w:r>
            <w:r w:rsidRPr="00D2274E">
              <w:t>due to the low human toxicity of CrIII</w:t>
            </w:r>
            <w:r>
              <w:t>.</w:t>
            </w:r>
          </w:p>
          <w:p w:rsidR="00A97702" w:rsidRDefault="00A97702" w:rsidP="00DA1C9D">
            <w:pPr>
              <w:pStyle w:val="NoteNumbered"/>
              <w:numPr>
                <w:ilvl w:val="0"/>
                <w:numId w:val="0"/>
              </w:numPr>
              <w:ind w:left="426"/>
            </w:pPr>
            <w:r>
              <w:t xml:space="preserve">Shaded and bold font for sample value </w:t>
            </w:r>
            <w:r w:rsidRPr="00D2274E">
              <w:t>indicates HIL exceeded</w:t>
            </w:r>
            <w:r>
              <w:t>.</w:t>
            </w:r>
          </w:p>
          <w:p w:rsidR="00A97702" w:rsidRPr="00EF6ACB" w:rsidRDefault="00A97702" w:rsidP="00DA1C9D">
            <w:pPr>
              <w:pStyle w:val="text"/>
              <w:keepNext/>
              <w:rPr>
                <w:b/>
                <w:bCs/>
                <w:szCs w:val="22"/>
                <w:u w:val="single"/>
              </w:rPr>
            </w:pPr>
            <w:r w:rsidRPr="00EF6ACB">
              <w:rPr>
                <w:b/>
                <w:bCs/>
                <w:szCs w:val="22"/>
                <w:u w:val="single"/>
              </w:rPr>
              <w:t>Step 2:</w:t>
            </w:r>
            <w:r w:rsidRPr="00EF6ACB">
              <w:rPr>
                <w:b/>
                <w:bCs/>
                <w:szCs w:val="22"/>
                <w:u w:val="single"/>
              </w:rPr>
              <w:tab/>
              <w:t>Tier 1 health risk assessment</w:t>
            </w:r>
          </w:p>
          <w:p w:rsidR="00A97702" w:rsidRPr="00EF6ACB" w:rsidRDefault="00A97702" w:rsidP="00A97702">
            <w:pPr>
              <w:pStyle w:val="text"/>
              <w:keepNext/>
              <w:numPr>
                <w:ilvl w:val="0"/>
                <w:numId w:val="35"/>
              </w:numPr>
              <w:ind w:left="357" w:hanging="357"/>
              <w:rPr>
                <w:sz w:val="20"/>
              </w:rPr>
            </w:pPr>
            <w:r w:rsidRPr="00EF6ACB">
              <w:rPr>
                <w:b/>
                <w:sz w:val="20"/>
              </w:rPr>
              <w:t>Are site values greater than HILs?</w:t>
            </w:r>
            <w:r w:rsidRPr="00EF6ACB">
              <w:rPr>
                <w:sz w:val="20"/>
              </w:rPr>
              <w:t xml:space="preserve"> </w:t>
            </w:r>
            <w:r w:rsidRPr="00EF6ACB">
              <w:rPr>
                <w:b/>
                <w:i/>
                <w:sz w:val="20"/>
                <w:u w:val="single"/>
              </w:rPr>
              <w:t>YES</w:t>
            </w:r>
            <w:r w:rsidRPr="00EF6ACB">
              <w:rPr>
                <w:b/>
                <w:i/>
                <w:sz w:val="20"/>
              </w:rPr>
              <w:t xml:space="preserve">, </w:t>
            </w:r>
            <w:r w:rsidRPr="00EF6ACB">
              <w:rPr>
                <w:b/>
                <w:bCs/>
                <w:i/>
                <w:sz w:val="20"/>
                <w:lang w:val="en-US" w:eastAsia="en-US"/>
              </w:rPr>
              <w:t xml:space="preserve">elevated Ni level requires </w:t>
            </w:r>
            <w:r w:rsidRPr="00EF6ACB">
              <w:rPr>
                <w:b/>
                <w:i/>
                <w:sz w:val="20"/>
              </w:rPr>
              <w:t>further health risk assessment</w:t>
            </w:r>
            <w:r w:rsidRPr="00EF6ACB">
              <w:rPr>
                <w:i/>
                <w:sz w:val="20"/>
              </w:rPr>
              <w:t>.</w:t>
            </w:r>
          </w:p>
          <w:p w:rsidR="00A97702" w:rsidRPr="00EF6ACB" w:rsidRDefault="00A97702" w:rsidP="00DA1C9D">
            <w:pPr>
              <w:pStyle w:val="text"/>
              <w:keepNext/>
              <w:rPr>
                <w:b/>
                <w:bCs/>
                <w:szCs w:val="22"/>
                <w:u w:val="single"/>
              </w:rPr>
            </w:pPr>
            <w:r w:rsidRPr="00EF6ACB">
              <w:rPr>
                <w:b/>
                <w:bCs/>
                <w:szCs w:val="22"/>
                <w:u w:val="single"/>
              </w:rPr>
              <w:t>Step 3:</w:t>
            </w:r>
            <w:r w:rsidRPr="00EF6ACB">
              <w:rPr>
                <w:b/>
                <w:bCs/>
                <w:szCs w:val="22"/>
                <w:u w:val="single"/>
              </w:rPr>
              <w:tab/>
              <w:t xml:space="preserve">Tier 1 ecological risk assessment </w:t>
            </w:r>
          </w:p>
          <w:p w:rsidR="00A97702" w:rsidRPr="00EF6ACB" w:rsidRDefault="00A97702" w:rsidP="00A97702">
            <w:pPr>
              <w:pStyle w:val="text"/>
              <w:keepNext/>
              <w:numPr>
                <w:ilvl w:val="0"/>
                <w:numId w:val="35"/>
              </w:numPr>
              <w:rPr>
                <w:b/>
                <w:sz w:val="20"/>
              </w:rPr>
            </w:pPr>
            <w:r>
              <w:rPr>
                <w:b/>
                <w:sz w:val="20"/>
              </w:rPr>
              <w:t>Determine</w:t>
            </w:r>
            <w:r w:rsidRPr="00EF6ACB">
              <w:rPr>
                <w:b/>
                <w:sz w:val="20"/>
              </w:rPr>
              <w:t xml:space="preserve"> site EILs (EIL = </w:t>
            </w:r>
            <w:r>
              <w:rPr>
                <w:b/>
                <w:sz w:val="20"/>
              </w:rPr>
              <w:t>ABC</w:t>
            </w:r>
            <w:r w:rsidRPr="00EF6ACB">
              <w:rPr>
                <w:b/>
                <w:sz w:val="20"/>
              </w:rPr>
              <w:t xml:space="preserve"> + </w:t>
            </w:r>
            <w:r>
              <w:rPr>
                <w:b/>
                <w:sz w:val="20"/>
              </w:rPr>
              <w:t>ACL</w:t>
            </w:r>
            <w:r w:rsidRPr="00EF6ACB">
              <w:rPr>
                <w:b/>
                <w:sz w:val="20"/>
              </w:rPr>
              <w:t xml:space="preserve">) or use the EILs spreadsheet in the ASC NEPM </w:t>
            </w:r>
            <w:r>
              <w:rPr>
                <w:b/>
                <w:sz w:val="20"/>
              </w:rPr>
              <w:t>Toolbox.</w:t>
            </w:r>
          </w:p>
          <w:p w:rsidR="00A97702" w:rsidRPr="00EF6ACB" w:rsidRDefault="00A97702" w:rsidP="00A97702">
            <w:pPr>
              <w:pStyle w:val="text"/>
              <w:numPr>
                <w:ilvl w:val="0"/>
                <w:numId w:val="36"/>
              </w:numPr>
              <w:rPr>
                <w:sz w:val="20"/>
              </w:rPr>
            </w:pPr>
            <w:r w:rsidRPr="00EF6ACB">
              <w:rPr>
                <w:b/>
                <w:sz w:val="20"/>
              </w:rPr>
              <w:t>Determine the added contaminant limits (ACLs</w:t>
            </w:r>
            <w:r w:rsidRPr="00EF6ACB">
              <w:rPr>
                <w:bCs/>
                <w:i/>
                <w:sz w:val="20"/>
                <w:u w:val="single"/>
              </w:rPr>
              <w:t>)</w:t>
            </w:r>
            <w:r w:rsidRPr="00EF6ACB">
              <w:rPr>
                <w:bCs/>
                <w:i/>
                <w:sz w:val="20"/>
              </w:rPr>
              <w:t xml:space="preserve"> </w:t>
            </w:r>
          </w:p>
          <w:p w:rsidR="00A97702" w:rsidRPr="00EF6ACB" w:rsidRDefault="00A97702" w:rsidP="00DA1C9D">
            <w:pPr>
              <w:pStyle w:val="ListParagraph"/>
              <w:ind w:left="426"/>
              <w:rPr>
                <w:sz w:val="20"/>
              </w:rPr>
            </w:pPr>
            <w:r w:rsidRPr="00EF6ACB">
              <w:rPr>
                <w:sz w:val="20"/>
              </w:rPr>
              <w:t>Examination of the site history indicates that the contamination has been present for over 2 years and therefore ACLs for aged contamination are appropriate. To determine site ACLs, refer Table 1B(1) for Zn, Table 1B(2) for Cu and Table 1B(3) for CrIII and Ni. Establish the site ACL for the appropriate land use and with consideration of the soil-specific pH, clay content or CEC as required. Select the nearest ACL value in the CEC table. The ACL for Cu may be determined by pH or CEC and the lower of the determined values should be selected for EIL calculation.</w:t>
            </w:r>
          </w:p>
          <w:p w:rsidR="00A97702" w:rsidRDefault="00A97702" w:rsidP="00DA1C9D">
            <w:pPr>
              <w:pStyle w:val="Dot-points"/>
              <w:numPr>
                <w:ilvl w:val="0"/>
                <w:numId w:val="0"/>
              </w:numPr>
              <w:ind w:left="357"/>
            </w:pPr>
          </w:p>
          <w:tbl>
            <w:tblPr>
              <w:tblW w:w="7361" w:type="dxa"/>
              <w:jc w:val="center"/>
              <w:tblLook w:val="0000" w:firstRow="0" w:lastRow="0" w:firstColumn="0" w:lastColumn="0" w:noHBand="0" w:noVBand="0"/>
            </w:tblPr>
            <w:tblGrid>
              <w:gridCol w:w="1671"/>
              <w:gridCol w:w="1138"/>
              <w:gridCol w:w="1138"/>
              <w:gridCol w:w="1138"/>
              <w:gridCol w:w="1138"/>
              <w:gridCol w:w="1138"/>
            </w:tblGrid>
            <w:tr w:rsidR="00A97702" w:rsidRPr="00A212C6" w:rsidTr="00DA1C9D">
              <w:trPr>
                <w:trHeight w:val="315"/>
                <w:jc w:val="center"/>
              </w:trPr>
              <w:tc>
                <w:tcPr>
                  <w:tcW w:w="1667" w:type="dxa"/>
                  <w:vMerge w:val="restart"/>
                  <w:tcBorders>
                    <w:top w:val="single" w:sz="8" w:space="0" w:color="auto"/>
                    <w:left w:val="single" w:sz="8" w:space="0" w:color="auto"/>
                    <w:right w:val="single" w:sz="8" w:space="0" w:color="auto"/>
                  </w:tcBorders>
                  <w:vAlign w:val="center"/>
                </w:tcPr>
                <w:p w:rsidR="00A97702" w:rsidRDefault="00A97702" w:rsidP="00DA1C9D">
                  <w:pPr>
                    <w:spacing w:before="60" w:after="60" w:line="240" w:lineRule="atLeast"/>
                    <w:jc w:val="center"/>
                    <w:rPr>
                      <w:rFonts w:ascii="Arial" w:hAnsi="Arial" w:cs="Arial"/>
                      <w:b/>
                      <w:bCs/>
                      <w:sz w:val="18"/>
                      <w:szCs w:val="18"/>
                    </w:rPr>
                  </w:pPr>
                  <w:r w:rsidRPr="00361D59">
                    <w:rPr>
                      <w:rFonts w:ascii="Arial" w:hAnsi="Arial" w:cs="Arial"/>
                      <w:b/>
                      <w:bCs/>
                      <w:sz w:val="18"/>
                      <w:szCs w:val="18"/>
                    </w:rPr>
                    <w:t>Site ACLs (mg/kg)</w:t>
                  </w:r>
                </w:p>
              </w:tc>
              <w:tc>
                <w:tcPr>
                  <w:tcW w:w="1134" w:type="dxa"/>
                  <w:tcBorders>
                    <w:top w:val="single" w:sz="8" w:space="0" w:color="auto"/>
                    <w:left w:val="single" w:sz="8" w:space="0" w:color="auto"/>
                    <w:bottom w:val="single" w:sz="8" w:space="0" w:color="auto"/>
                    <w:right w:val="single" w:sz="8" w:space="0" w:color="auto"/>
                  </w:tcBorders>
                  <w:shd w:val="clear" w:color="auto" w:fill="F2F2F2"/>
                </w:tcPr>
                <w:p w:rsidR="00A97702" w:rsidRDefault="00A97702" w:rsidP="00DA1C9D">
                  <w:pPr>
                    <w:spacing w:before="60" w:after="60" w:line="240" w:lineRule="atLeast"/>
                    <w:jc w:val="center"/>
                    <w:rPr>
                      <w:rFonts w:ascii="Arial" w:hAnsi="Arial" w:cs="Arial"/>
                      <w:b/>
                      <w:bCs/>
                      <w:sz w:val="18"/>
                      <w:szCs w:val="18"/>
                    </w:rPr>
                  </w:pPr>
                  <w:r w:rsidRPr="00361D59">
                    <w:rPr>
                      <w:rFonts w:ascii="Arial" w:hAnsi="Arial" w:cs="Arial"/>
                      <w:b/>
                      <w:bCs/>
                      <w:sz w:val="18"/>
                      <w:szCs w:val="18"/>
                    </w:rPr>
                    <w:t>Depth (m)</w:t>
                  </w:r>
                </w:p>
              </w:tc>
              <w:tc>
                <w:tcPr>
                  <w:tcW w:w="1134" w:type="dxa"/>
                  <w:tcBorders>
                    <w:top w:val="single" w:sz="8" w:space="0" w:color="auto"/>
                    <w:left w:val="nil"/>
                    <w:bottom w:val="single" w:sz="8" w:space="0" w:color="auto"/>
                    <w:right w:val="single" w:sz="8" w:space="0" w:color="auto"/>
                  </w:tcBorders>
                  <w:shd w:val="clear" w:color="auto" w:fill="F2F2F2"/>
                </w:tcPr>
                <w:p w:rsidR="00A97702" w:rsidRDefault="00A97702" w:rsidP="00DA1C9D">
                  <w:pPr>
                    <w:spacing w:before="60" w:after="60" w:line="240" w:lineRule="atLeast"/>
                    <w:jc w:val="center"/>
                    <w:rPr>
                      <w:rFonts w:ascii="Arial" w:hAnsi="Arial" w:cs="Arial"/>
                      <w:b/>
                      <w:bCs/>
                      <w:sz w:val="18"/>
                      <w:szCs w:val="18"/>
                    </w:rPr>
                  </w:pPr>
                  <w:r w:rsidRPr="00361D59">
                    <w:rPr>
                      <w:rFonts w:ascii="Arial" w:hAnsi="Arial" w:cs="Arial"/>
                      <w:b/>
                      <w:bCs/>
                      <w:sz w:val="18"/>
                      <w:szCs w:val="18"/>
                    </w:rPr>
                    <w:t>Cu</w:t>
                  </w:r>
                </w:p>
              </w:tc>
              <w:tc>
                <w:tcPr>
                  <w:tcW w:w="1134" w:type="dxa"/>
                  <w:tcBorders>
                    <w:top w:val="single" w:sz="8" w:space="0" w:color="auto"/>
                    <w:left w:val="nil"/>
                    <w:bottom w:val="single" w:sz="8" w:space="0" w:color="auto"/>
                    <w:right w:val="single" w:sz="8" w:space="0" w:color="auto"/>
                  </w:tcBorders>
                  <w:shd w:val="clear" w:color="auto" w:fill="F2F2F2"/>
                </w:tcPr>
                <w:p w:rsidR="00A97702" w:rsidRDefault="00A97702" w:rsidP="00DA1C9D">
                  <w:pPr>
                    <w:spacing w:before="60" w:after="60" w:line="240" w:lineRule="atLeast"/>
                    <w:jc w:val="center"/>
                    <w:rPr>
                      <w:rFonts w:ascii="Arial" w:hAnsi="Arial" w:cs="Arial"/>
                      <w:b/>
                      <w:bCs/>
                      <w:sz w:val="18"/>
                      <w:szCs w:val="18"/>
                    </w:rPr>
                  </w:pPr>
                  <w:r w:rsidRPr="00361D59">
                    <w:rPr>
                      <w:rFonts w:ascii="Arial" w:hAnsi="Arial" w:cs="Arial"/>
                      <w:b/>
                      <w:bCs/>
                      <w:sz w:val="18"/>
                      <w:szCs w:val="18"/>
                    </w:rPr>
                    <w:t>Zn</w:t>
                  </w:r>
                </w:p>
              </w:tc>
              <w:tc>
                <w:tcPr>
                  <w:tcW w:w="1134" w:type="dxa"/>
                  <w:tcBorders>
                    <w:top w:val="single" w:sz="8" w:space="0" w:color="auto"/>
                    <w:left w:val="nil"/>
                    <w:bottom w:val="single" w:sz="8" w:space="0" w:color="auto"/>
                    <w:right w:val="single" w:sz="8" w:space="0" w:color="auto"/>
                  </w:tcBorders>
                  <w:shd w:val="clear" w:color="auto" w:fill="F2F2F2"/>
                </w:tcPr>
                <w:p w:rsidR="00A97702" w:rsidRDefault="00A97702" w:rsidP="00DA1C9D">
                  <w:pPr>
                    <w:spacing w:before="60" w:after="60" w:line="240" w:lineRule="atLeast"/>
                    <w:jc w:val="center"/>
                    <w:rPr>
                      <w:rFonts w:ascii="Arial" w:hAnsi="Arial" w:cs="Arial"/>
                      <w:b/>
                      <w:bCs/>
                      <w:sz w:val="18"/>
                      <w:szCs w:val="18"/>
                    </w:rPr>
                  </w:pPr>
                  <w:r w:rsidRPr="00361D59">
                    <w:rPr>
                      <w:rFonts w:ascii="Arial" w:hAnsi="Arial" w:cs="Arial"/>
                      <w:b/>
                      <w:bCs/>
                      <w:sz w:val="18"/>
                      <w:szCs w:val="18"/>
                    </w:rPr>
                    <w:t>Ni</w:t>
                  </w:r>
                </w:p>
              </w:tc>
              <w:tc>
                <w:tcPr>
                  <w:tcW w:w="1134" w:type="dxa"/>
                  <w:tcBorders>
                    <w:top w:val="single" w:sz="8" w:space="0" w:color="auto"/>
                    <w:left w:val="nil"/>
                    <w:bottom w:val="single" w:sz="8" w:space="0" w:color="auto"/>
                    <w:right w:val="single" w:sz="8" w:space="0" w:color="auto"/>
                  </w:tcBorders>
                  <w:shd w:val="clear" w:color="auto" w:fill="F2F2F2"/>
                </w:tcPr>
                <w:p w:rsidR="00A97702" w:rsidRDefault="00A97702" w:rsidP="00DA1C9D">
                  <w:pPr>
                    <w:spacing w:before="60" w:after="60" w:line="240" w:lineRule="atLeast"/>
                    <w:jc w:val="center"/>
                    <w:rPr>
                      <w:rFonts w:ascii="Arial" w:hAnsi="Arial" w:cs="Arial"/>
                      <w:b/>
                      <w:bCs/>
                      <w:sz w:val="18"/>
                      <w:szCs w:val="18"/>
                    </w:rPr>
                  </w:pPr>
                  <w:r w:rsidRPr="00361D59">
                    <w:rPr>
                      <w:rFonts w:ascii="Arial" w:hAnsi="Arial" w:cs="Arial"/>
                      <w:b/>
                      <w:bCs/>
                      <w:sz w:val="18"/>
                      <w:szCs w:val="18"/>
                    </w:rPr>
                    <w:t>CrIII</w:t>
                  </w:r>
                </w:p>
              </w:tc>
            </w:tr>
            <w:tr w:rsidR="00A97702" w:rsidRPr="00A212C6" w:rsidTr="00DA1C9D">
              <w:trPr>
                <w:trHeight w:val="315"/>
                <w:jc w:val="center"/>
              </w:trPr>
              <w:tc>
                <w:tcPr>
                  <w:tcW w:w="1667" w:type="dxa"/>
                  <w:vMerge/>
                  <w:tcBorders>
                    <w:left w:val="single" w:sz="8" w:space="0" w:color="auto"/>
                    <w:right w:val="single" w:sz="8" w:space="0" w:color="auto"/>
                  </w:tcBorders>
                </w:tcPr>
                <w:p w:rsidR="00A97702" w:rsidRDefault="00A97702" w:rsidP="00DA1C9D">
                  <w:pPr>
                    <w:spacing w:before="60" w:after="60" w:line="240" w:lineRule="atLeast"/>
                    <w:rPr>
                      <w:rFonts w:ascii="Arial" w:hAnsi="Arial" w:cs="Arial"/>
                      <w:b/>
                      <w:bCs/>
                      <w:sz w:val="18"/>
                      <w:szCs w:val="18"/>
                    </w:rPr>
                  </w:pPr>
                </w:p>
              </w:tc>
              <w:tc>
                <w:tcPr>
                  <w:tcW w:w="1134" w:type="dxa"/>
                  <w:tcBorders>
                    <w:top w:val="single" w:sz="8" w:space="0" w:color="auto"/>
                    <w:left w:val="nil"/>
                    <w:bottom w:val="single" w:sz="8" w:space="0" w:color="auto"/>
                    <w:right w:val="single" w:sz="8" w:space="0" w:color="auto"/>
                  </w:tcBorders>
                  <w:shd w:val="clear" w:color="auto" w:fill="F2F2F2"/>
                </w:tcPr>
                <w:p w:rsidR="00A97702" w:rsidRDefault="00A97702" w:rsidP="00DA1C9D">
                  <w:pPr>
                    <w:spacing w:before="60" w:after="60" w:line="240" w:lineRule="atLeast"/>
                    <w:jc w:val="center"/>
                    <w:rPr>
                      <w:rFonts w:ascii="Arial" w:hAnsi="Arial" w:cs="Arial"/>
                      <w:b/>
                      <w:bCs/>
                      <w:sz w:val="18"/>
                      <w:szCs w:val="18"/>
                    </w:rPr>
                  </w:pPr>
                  <w:r w:rsidRPr="00361D59">
                    <w:rPr>
                      <w:rFonts w:ascii="Arial" w:hAnsi="Arial" w:cs="Arial"/>
                      <w:b/>
                      <w:bCs/>
                      <w:sz w:val="18"/>
                      <w:szCs w:val="18"/>
                    </w:rPr>
                    <w:t>0</w:t>
                  </w:r>
                  <w:r>
                    <w:rPr>
                      <w:rFonts w:ascii="Arial" w:hAnsi="Arial" w:cs="Arial"/>
                      <w:b/>
                      <w:bCs/>
                      <w:sz w:val="18"/>
                      <w:szCs w:val="18"/>
                    </w:rPr>
                    <w:sym w:font="Symbol" w:char="F02D"/>
                  </w:r>
                  <w:r w:rsidRPr="00361D59">
                    <w:rPr>
                      <w:rFonts w:ascii="Arial" w:hAnsi="Arial" w:cs="Arial"/>
                      <w:b/>
                      <w:bCs/>
                      <w:sz w:val="18"/>
                      <w:szCs w:val="18"/>
                    </w:rPr>
                    <w:t>1</w:t>
                  </w:r>
                </w:p>
              </w:tc>
              <w:tc>
                <w:tcPr>
                  <w:tcW w:w="1134" w:type="dxa"/>
                  <w:tcBorders>
                    <w:top w:val="nil"/>
                    <w:left w:val="nil"/>
                    <w:bottom w:val="single" w:sz="8" w:space="0" w:color="auto"/>
                    <w:right w:val="single" w:sz="8"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bCs/>
                      <w:sz w:val="18"/>
                      <w:szCs w:val="18"/>
                    </w:rPr>
                    <w:t>190</w:t>
                  </w:r>
                </w:p>
              </w:tc>
              <w:tc>
                <w:tcPr>
                  <w:tcW w:w="1134" w:type="dxa"/>
                  <w:tcBorders>
                    <w:top w:val="nil"/>
                    <w:left w:val="nil"/>
                    <w:bottom w:val="single" w:sz="8" w:space="0" w:color="auto"/>
                    <w:right w:val="single" w:sz="8"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bCs/>
                      <w:sz w:val="18"/>
                      <w:szCs w:val="18"/>
                    </w:rPr>
                    <w:t>400</w:t>
                  </w:r>
                </w:p>
              </w:tc>
              <w:tc>
                <w:tcPr>
                  <w:tcW w:w="1134" w:type="dxa"/>
                  <w:tcBorders>
                    <w:top w:val="nil"/>
                    <w:left w:val="nil"/>
                    <w:bottom w:val="single" w:sz="8" w:space="0" w:color="auto"/>
                    <w:right w:val="single" w:sz="8"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bCs/>
                      <w:sz w:val="18"/>
                      <w:szCs w:val="18"/>
                    </w:rPr>
                    <w:t>170</w:t>
                  </w:r>
                </w:p>
              </w:tc>
              <w:tc>
                <w:tcPr>
                  <w:tcW w:w="1134" w:type="dxa"/>
                  <w:tcBorders>
                    <w:top w:val="nil"/>
                    <w:left w:val="nil"/>
                    <w:bottom w:val="single" w:sz="8" w:space="0" w:color="auto"/>
                    <w:right w:val="single" w:sz="8"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bCs/>
                      <w:sz w:val="18"/>
                      <w:szCs w:val="18"/>
                    </w:rPr>
                    <w:t>400</w:t>
                  </w:r>
                </w:p>
              </w:tc>
            </w:tr>
            <w:tr w:rsidR="00A97702" w:rsidRPr="00A212C6" w:rsidTr="00DA1C9D">
              <w:trPr>
                <w:trHeight w:val="315"/>
                <w:jc w:val="center"/>
              </w:trPr>
              <w:tc>
                <w:tcPr>
                  <w:tcW w:w="1667" w:type="dxa"/>
                  <w:vMerge/>
                  <w:tcBorders>
                    <w:left w:val="single" w:sz="8" w:space="0" w:color="auto"/>
                    <w:bottom w:val="single" w:sz="8" w:space="0" w:color="auto"/>
                    <w:right w:val="single" w:sz="8" w:space="0" w:color="auto"/>
                  </w:tcBorders>
                </w:tcPr>
                <w:p w:rsidR="00A97702" w:rsidRDefault="00A97702" w:rsidP="00DA1C9D">
                  <w:pPr>
                    <w:spacing w:before="60" w:after="60" w:line="240" w:lineRule="atLeast"/>
                    <w:rPr>
                      <w:rFonts w:ascii="Arial" w:hAnsi="Arial" w:cs="Arial"/>
                      <w:b/>
                      <w:bCs/>
                      <w:sz w:val="18"/>
                      <w:szCs w:val="18"/>
                    </w:rPr>
                  </w:pPr>
                </w:p>
              </w:tc>
              <w:tc>
                <w:tcPr>
                  <w:tcW w:w="1134" w:type="dxa"/>
                  <w:tcBorders>
                    <w:top w:val="single" w:sz="8" w:space="0" w:color="auto"/>
                    <w:left w:val="nil"/>
                    <w:bottom w:val="single" w:sz="8" w:space="0" w:color="auto"/>
                    <w:right w:val="single" w:sz="8" w:space="0" w:color="auto"/>
                  </w:tcBorders>
                  <w:shd w:val="clear" w:color="auto" w:fill="F2F2F2"/>
                </w:tcPr>
                <w:p w:rsidR="00A97702" w:rsidRDefault="00A97702" w:rsidP="00DA1C9D">
                  <w:pPr>
                    <w:spacing w:before="60" w:after="60" w:line="240" w:lineRule="atLeast"/>
                    <w:jc w:val="center"/>
                    <w:rPr>
                      <w:rFonts w:ascii="Arial" w:hAnsi="Arial" w:cs="Arial"/>
                      <w:b/>
                      <w:bCs/>
                      <w:sz w:val="18"/>
                      <w:szCs w:val="18"/>
                    </w:rPr>
                  </w:pPr>
                  <w:r w:rsidRPr="00361D59">
                    <w:rPr>
                      <w:rFonts w:ascii="Arial" w:hAnsi="Arial" w:cs="Arial"/>
                      <w:b/>
                      <w:bCs/>
                      <w:sz w:val="18"/>
                      <w:szCs w:val="18"/>
                    </w:rPr>
                    <w:t>1</w:t>
                  </w:r>
                  <w:r>
                    <w:rPr>
                      <w:rFonts w:ascii="Arial" w:hAnsi="Arial" w:cs="Arial"/>
                      <w:b/>
                      <w:bCs/>
                      <w:sz w:val="18"/>
                      <w:szCs w:val="18"/>
                    </w:rPr>
                    <w:sym w:font="Symbol" w:char="F02D"/>
                  </w:r>
                  <w:r w:rsidRPr="00361D59">
                    <w:rPr>
                      <w:rFonts w:ascii="Arial" w:hAnsi="Arial" w:cs="Arial"/>
                      <w:b/>
                      <w:bCs/>
                      <w:sz w:val="18"/>
                      <w:szCs w:val="18"/>
                    </w:rPr>
                    <w:t>2</w:t>
                  </w:r>
                </w:p>
              </w:tc>
              <w:tc>
                <w:tcPr>
                  <w:tcW w:w="1134" w:type="dxa"/>
                  <w:tcBorders>
                    <w:top w:val="nil"/>
                    <w:left w:val="nil"/>
                    <w:bottom w:val="single" w:sz="8" w:space="0" w:color="auto"/>
                    <w:right w:val="single" w:sz="8"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bCs/>
                      <w:sz w:val="18"/>
                      <w:szCs w:val="18"/>
                    </w:rPr>
                    <w:t>210</w:t>
                  </w:r>
                </w:p>
              </w:tc>
              <w:tc>
                <w:tcPr>
                  <w:tcW w:w="1134" w:type="dxa"/>
                  <w:tcBorders>
                    <w:top w:val="nil"/>
                    <w:left w:val="nil"/>
                    <w:bottom w:val="single" w:sz="8" w:space="0" w:color="auto"/>
                    <w:right w:val="single" w:sz="8"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bCs/>
                      <w:sz w:val="18"/>
                      <w:szCs w:val="18"/>
                    </w:rPr>
                    <w:t>590</w:t>
                  </w:r>
                </w:p>
              </w:tc>
              <w:tc>
                <w:tcPr>
                  <w:tcW w:w="1134" w:type="dxa"/>
                  <w:tcBorders>
                    <w:top w:val="nil"/>
                    <w:left w:val="nil"/>
                    <w:bottom w:val="single" w:sz="8" w:space="0" w:color="auto"/>
                    <w:right w:val="single" w:sz="8"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bCs/>
                      <w:sz w:val="18"/>
                      <w:szCs w:val="18"/>
                    </w:rPr>
                    <w:t>270</w:t>
                  </w:r>
                </w:p>
              </w:tc>
              <w:tc>
                <w:tcPr>
                  <w:tcW w:w="1134" w:type="dxa"/>
                  <w:tcBorders>
                    <w:top w:val="nil"/>
                    <w:left w:val="nil"/>
                    <w:bottom w:val="single" w:sz="8" w:space="0" w:color="auto"/>
                    <w:right w:val="single" w:sz="8" w:space="0" w:color="auto"/>
                  </w:tcBorders>
                </w:tcPr>
                <w:p w:rsidR="00A97702" w:rsidRDefault="00A97702" w:rsidP="00DA1C9D">
                  <w:pPr>
                    <w:spacing w:before="60" w:after="60" w:line="240" w:lineRule="atLeast"/>
                    <w:jc w:val="center"/>
                    <w:rPr>
                      <w:rFonts w:ascii="Arial" w:hAnsi="Arial" w:cs="Arial"/>
                      <w:sz w:val="18"/>
                      <w:szCs w:val="18"/>
                      <w:u w:val="single"/>
                    </w:rPr>
                  </w:pPr>
                  <w:r w:rsidRPr="00361D59">
                    <w:rPr>
                      <w:rFonts w:ascii="Arial" w:hAnsi="Arial" w:cs="Arial"/>
                      <w:bCs/>
                      <w:sz w:val="18"/>
                      <w:szCs w:val="18"/>
                    </w:rPr>
                    <w:t>400</w:t>
                  </w:r>
                </w:p>
              </w:tc>
            </w:tr>
          </w:tbl>
          <w:p w:rsidR="00A97702" w:rsidRPr="00F601BA" w:rsidRDefault="00A97702" w:rsidP="00DA1C9D">
            <w:pPr>
              <w:pStyle w:val="text"/>
              <w:spacing w:before="0" w:after="0"/>
              <w:rPr>
                <w:b/>
                <w:bCs/>
                <w:szCs w:val="22"/>
              </w:rPr>
            </w:pPr>
          </w:p>
          <w:p w:rsidR="00A97702" w:rsidRPr="00EF6ACB" w:rsidRDefault="00A97702" w:rsidP="00A97702">
            <w:pPr>
              <w:pStyle w:val="text"/>
              <w:numPr>
                <w:ilvl w:val="0"/>
                <w:numId w:val="36"/>
              </w:numPr>
              <w:rPr>
                <w:sz w:val="20"/>
              </w:rPr>
            </w:pPr>
            <w:r>
              <w:rPr>
                <w:b/>
                <w:sz w:val="20"/>
              </w:rPr>
              <w:t>Measure the ambient background (ABC) at an appropriate reference location.</w:t>
            </w:r>
          </w:p>
          <w:p w:rsidR="00A97702" w:rsidRPr="00F601BA" w:rsidRDefault="00A97702" w:rsidP="00DA1C9D">
            <w:pPr>
              <w:ind w:left="567"/>
              <w:rPr>
                <w:b/>
                <w:bCs/>
                <w:szCs w:val="22"/>
              </w:rPr>
            </w:pPr>
          </w:p>
          <w:p w:rsidR="00A97702" w:rsidRPr="00E77FB7" w:rsidRDefault="00A97702" w:rsidP="00A97702">
            <w:pPr>
              <w:pStyle w:val="Dot-points"/>
              <w:tabs>
                <w:tab w:val="clear" w:pos="926"/>
                <w:tab w:val="num" w:pos="360"/>
              </w:tabs>
            </w:pPr>
            <w:r w:rsidRPr="00E77FB7">
              <w:t>0</w:t>
            </w:r>
            <w:r>
              <w:sym w:font="Symbol" w:char="F02D"/>
            </w:r>
            <w:r w:rsidRPr="00E77FB7">
              <w:t>1 m clay/soil fill, sampled from filled area at rear of property known to be unaffected by subsequent industrial activity.</w:t>
            </w:r>
          </w:p>
          <w:p w:rsidR="00A97702" w:rsidRPr="00E77FB7" w:rsidRDefault="00A97702" w:rsidP="00A97702">
            <w:pPr>
              <w:pStyle w:val="Dot-points"/>
              <w:tabs>
                <w:tab w:val="clear" w:pos="926"/>
                <w:tab w:val="num" w:pos="360"/>
              </w:tabs>
              <w:rPr>
                <w:bCs/>
              </w:rPr>
            </w:pPr>
            <w:r w:rsidRPr="00E77FB7">
              <w:t>1</w:t>
            </w:r>
            <w:r>
              <w:sym w:font="Symbol" w:char="F02D"/>
            </w:r>
            <w:r w:rsidRPr="00E77FB7">
              <w:t xml:space="preserve">2 m, sample of uncontaminated strata from adjacent site. </w:t>
            </w:r>
          </w:p>
          <w:p w:rsidR="00A97702" w:rsidRPr="00F601BA" w:rsidRDefault="00A97702" w:rsidP="00DA1C9D">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134"/>
              <w:gridCol w:w="1134"/>
              <w:gridCol w:w="1134"/>
              <w:gridCol w:w="1134"/>
              <w:gridCol w:w="1134"/>
            </w:tblGrid>
            <w:tr w:rsidR="00A97702" w:rsidRPr="00A212C6" w:rsidTr="00DA1C9D">
              <w:trPr>
                <w:jc w:val="center"/>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A97702" w:rsidRPr="00361D59" w:rsidRDefault="00A97702" w:rsidP="00DA1C9D">
                  <w:pPr>
                    <w:pStyle w:val="text"/>
                    <w:spacing w:before="60" w:after="60" w:line="240" w:lineRule="atLeast"/>
                    <w:jc w:val="center"/>
                    <w:rPr>
                      <w:rFonts w:ascii="Arial" w:hAnsi="Arial" w:cs="Arial"/>
                      <w:b/>
                      <w:sz w:val="18"/>
                      <w:szCs w:val="18"/>
                    </w:rPr>
                  </w:pPr>
                  <w:r w:rsidRPr="00361D59">
                    <w:rPr>
                      <w:rFonts w:ascii="Arial" w:hAnsi="Arial" w:cs="Arial"/>
                      <w:b/>
                      <w:sz w:val="18"/>
                      <w:szCs w:val="18"/>
                    </w:rPr>
                    <w:t>ABC (mg/kg)</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bCs/>
                      <w:sz w:val="18"/>
                      <w:szCs w:val="18"/>
                    </w:rPr>
                    <w:t>Depth (m)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Cu</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Zn</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Ni</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CrIII</w:t>
                  </w:r>
                </w:p>
              </w:tc>
            </w:tr>
            <w:tr w:rsidR="00A97702" w:rsidRPr="00A212C6" w:rsidTr="00DA1C9D">
              <w:trPr>
                <w:jc w:val="center"/>
              </w:trPr>
              <w:tc>
                <w:tcPr>
                  <w:tcW w:w="1548" w:type="dxa"/>
                  <w:vMerge/>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0</w:t>
                  </w:r>
                  <w:r>
                    <w:rPr>
                      <w:rFonts w:ascii="Arial" w:hAnsi="Arial" w:cs="Arial"/>
                      <w:b/>
                      <w:sz w:val="18"/>
                      <w:szCs w:val="18"/>
                    </w:rPr>
                    <w:sym w:font="Symbol" w:char="F02D"/>
                  </w:r>
                  <w:r w:rsidRPr="00361D59">
                    <w:rPr>
                      <w:rFonts w:ascii="Arial" w:hAnsi="Arial" w:cs="Arial"/>
                      <w:b/>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65</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7</w:t>
                  </w:r>
                </w:p>
              </w:tc>
            </w:tr>
            <w:tr w:rsidR="00A97702" w:rsidRPr="00A212C6" w:rsidTr="00DA1C9D">
              <w:trPr>
                <w:jc w:val="center"/>
              </w:trPr>
              <w:tc>
                <w:tcPr>
                  <w:tcW w:w="1548" w:type="dxa"/>
                  <w:vMerge/>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1</w:t>
                  </w:r>
                  <w:r>
                    <w:rPr>
                      <w:rFonts w:ascii="Arial" w:hAnsi="Arial" w:cs="Arial"/>
                      <w:b/>
                      <w:sz w:val="18"/>
                      <w:szCs w:val="18"/>
                    </w:rPr>
                    <w:sym w:font="Symbol" w:char="F02D"/>
                  </w:r>
                  <w:r w:rsidRPr="00361D59">
                    <w:rPr>
                      <w:rFonts w:ascii="Arial" w:hAnsi="Arial" w:cs="Arial"/>
                      <w:b/>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1.5</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0.5</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10</w:t>
                  </w:r>
                </w:p>
              </w:tc>
            </w:tr>
          </w:tbl>
          <w:p w:rsidR="00A97702" w:rsidRPr="00EF6ACB" w:rsidRDefault="00A97702" w:rsidP="00A97702">
            <w:pPr>
              <w:pStyle w:val="ListParagraph"/>
              <w:numPr>
                <w:ilvl w:val="0"/>
                <w:numId w:val="36"/>
              </w:numPr>
            </w:pPr>
            <w:r>
              <w:t xml:space="preserve"> Calculate the site EILs (ABC + ACL)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134"/>
              <w:gridCol w:w="1134"/>
              <w:gridCol w:w="1134"/>
              <w:gridCol w:w="1134"/>
              <w:gridCol w:w="1134"/>
            </w:tblGrid>
            <w:tr w:rsidR="00A97702" w:rsidRPr="00A212C6" w:rsidTr="00DA1C9D">
              <w:trPr>
                <w:jc w:val="center"/>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A97702" w:rsidRPr="00361D59" w:rsidRDefault="00A97702" w:rsidP="00DA1C9D">
                  <w:pPr>
                    <w:pStyle w:val="text"/>
                    <w:spacing w:before="60" w:after="60" w:line="240" w:lineRule="atLeast"/>
                    <w:jc w:val="center"/>
                    <w:rPr>
                      <w:rFonts w:ascii="Arial" w:hAnsi="Arial" w:cs="Arial"/>
                      <w:b/>
                      <w:sz w:val="18"/>
                      <w:szCs w:val="18"/>
                    </w:rPr>
                  </w:pPr>
                  <w:r w:rsidRPr="00361D59">
                    <w:rPr>
                      <w:rFonts w:ascii="Arial" w:hAnsi="Arial" w:cs="Arial"/>
                      <w:b/>
                      <w:sz w:val="18"/>
                      <w:szCs w:val="18"/>
                    </w:rPr>
                    <w:t>Site EILs (mg/kg)</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bCs/>
                      <w:sz w:val="18"/>
                      <w:szCs w:val="18"/>
                    </w:rPr>
                    <w:t>Depth (m)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Cu</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Zn</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Ni</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CrIII</w:t>
                  </w:r>
                </w:p>
              </w:tc>
            </w:tr>
            <w:tr w:rsidR="00A97702" w:rsidRPr="00A212C6" w:rsidTr="00DA1C9D">
              <w:trPr>
                <w:jc w:val="center"/>
              </w:trPr>
              <w:tc>
                <w:tcPr>
                  <w:tcW w:w="1548" w:type="dxa"/>
                  <w:vMerge/>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0</w:t>
                  </w:r>
                  <w:r>
                    <w:rPr>
                      <w:rFonts w:ascii="Arial" w:hAnsi="Arial" w:cs="Arial"/>
                      <w:b/>
                      <w:sz w:val="18"/>
                      <w:szCs w:val="18"/>
                    </w:rPr>
                    <w:sym w:font="Symbol" w:char="F02D"/>
                  </w:r>
                  <w:r w:rsidRPr="00361D59">
                    <w:rPr>
                      <w:rFonts w:ascii="Arial" w:hAnsi="Arial" w:cs="Arial"/>
                      <w:b/>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19</w:t>
                  </w:r>
                  <w:r>
                    <w:rPr>
                      <w:rFonts w:ascii="Arial" w:hAnsi="Arial"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4</w:t>
                  </w:r>
                  <w:r>
                    <w:rPr>
                      <w:rFonts w:ascii="Arial" w:hAnsi="Arial" w:cs="Arial"/>
                      <w:sz w:val="18"/>
                      <w:szCs w:val="18"/>
                    </w:rPr>
                    <w:t>65</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17</w:t>
                  </w:r>
                  <w:r>
                    <w:rPr>
                      <w:rFonts w:ascii="Arial" w:hAnsi="Arial" w:cs="Arial"/>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4</w:t>
                  </w:r>
                  <w:r>
                    <w:rPr>
                      <w:rFonts w:ascii="Arial" w:hAnsi="Arial" w:cs="Arial"/>
                      <w:sz w:val="18"/>
                      <w:szCs w:val="18"/>
                    </w:rPr>
                    <w:t>07</w:t>
                  </w:r>
                </w:p>
              </w:tc>
            </w:tr>
            <w:tr w:rsidR="00A97702" w:rsidRPr="00A212C6" w:rsidTr="00DA1C9D">
              <w:trPr>
                <w:jc w:val="center"/>
              </w:trPr>
              <w:tc>
                <w:tcPr>
                  <w:tcW w:w="1548" w:type="dxa"/>
                  <w:vMerge/>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1</w:t>
                  </w:r>
                  <w:r>
                    <w:rPr>
                      <w:rFonts w:ascii="Arial" w:hAnsi="Arial" w:cs="Arial"/>
                      <w:b/>
                      <w:sz w:val="18"/>
                      <w:szCs w:val="18"/>
                    </w:rPr>
                    <w:sym w:font="Symbol" w:char="F02D"/>
                  </w:r>
                  <w:r w:rsidRPr="00361D59">
                    <w:rPr>
                      <w:rFonts w:ascii="Arial" w:hAnsi="Arial" w:cs="Arial"/>
                      <w:b/>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21</w:t>
                  </w:r>
                  <w:r>
                    <w:rPr>
                      <w:rFonts w:ascii="Arial" w:hAnsi="Arial" w:cs="Arial"/>
                      <w:sz w:val="18"/>
                      <w:szCs w:val="18"/>
                    </w:rPr>
                    <w:t>1.5</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Pr>
                      <w:rFonts w:ascii="Arial" w:hAnsi="Arial" w:cs="Arial"/>
                      <w:sz w:val="18"/>
                      <w:szCs w:val="18"/>
                    </w:rPr>
                    <w:t>598</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270</w:t>
                  </w:r>
                  <w:r>
                    <w:rPr>
                      <w:rFonts w:ascii="Arial" w:hAnsi="Arial" w:cs="Arial"/>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A97702"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410</w:t>
                  </w:r>
                </w:p>
              </w:tc>
            </w:tr>
          </w:tbl>
          <w:p w:rsidR="00A97702" w:rsidRPr="00E77FB7" w:rsidRDefault="00A97702" w:rsidP="00A97702">
            <w:pPr>
              <w:pStyle w:val="Dot-points"/>
              <w:tabs>
                <w:tab w:val="clear" w:pos="926"/>
                <w:tab w:val="num" w:pos="360"/>
              </w:tabs>
            </w:pPr>
            <w:r w:rsidRPr="00E77FB7">
              <w:t xml:space="preserve">Round results for reasons of consistency and avoidance of false </w:t>
            </w:r>
            <w:r>
              <w:t>accuracy</w:t>
            </w:r>
            <w:r w:rsidRPr="00E77FB7">
              <w:rPr>
                <w:rStyle w:val="FootnoteReference"/>
                <w:rFonts w:cs="Arial"/>
                <w:sz w:val="20"/>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134"/>
              <w:gridCol w:w="1134"/>
              <w:gridCol w:w="1134"/>
              <w:gridCol w:w="1134"/>
              <w:gridCol w:w="1134"/>
            </w:tblGrid>
            <w:tr w:rsidR="00A97702" w:rsidRPr="00A212C6" w:rsidTr="00DA1C9D">
              <w:trPr>
                <w:jc w:val="center"/>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A97702" w:rsidRPr="00361D59" w:rsidRDefault="00A97702" w:rsidP="00DA1C9D">
                  <w:pPr>
                    <w:pStyle w:val="text"/>
                    <w:spacing w:before="60" w:after="60" w:line="240" w:lineRule="atLeast"/>
                    <w:jc w:val="center"/>
                    <w:rPr>
                      <w:rFonts w:ascii="Arial" w:hAnsi="Arial" w:cs="Arial"/>
                      <w:b/>
                      <w:sz w:val="18"/>
                      <w:szCs w:val="18"/>
                    </w:rPr>
                  </w:pPr>
                  <w:r w:rsidRPr="00361D59">
                    <w:rPr>
                      <w:rFonts w:ascii="Arial" w:hAnsi="Arial" w:cs="Arial"/>
                      <w:b/>
                      <w:sz w:val="18"/>
                      <w:szCs w:val="18"/>
                    </w:rPr>
                    <w:t>Site EILs (mg/kg)</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bCs/>
                      <w:sz w:val="18"/>
                      <w:szCs w:val="18"/>
                    </w:rPr>
                    <w:t>Depth (m)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Cu</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Zn</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Ni</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CrIII</w:t>
                  </w:r>
                </w:p>
              </w:tc>
            </w:tr>
            <w:tr w:rsidR="00A97702" w:rsidRPr="00A212C6" w:rsidTr="00DA1C9D">
              <w:trPr>
                <w:jc w:val="center"/>
              </w:trPr>
              <w:tc>
                <w:tcPr>
                  <w:tcW w:w="1548" w:type="dxa"/>
                  <w:vMerge/>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0</w:t>
                  </w:r>
                  <w:r>
                    <w:rPr>
                      <w:rFonts w:ascii="Arial" w:hAnsi="Arial" w:cs="Arial"/>
                      <w:b/>
                      <w:sz w:val="18"/>
                      <w:szCs w:val="18"/>
                    </w:rPr>
                    <w:sym w:font="Symbol" w:char="F02D"/>
                  </w:r>
                  <w:r w:rsidRPr="00361D59">
                    <w:rPr>
                      <w:rFonts w:ascii="Arial" w:hAnsi="Arial" w:cs="Arial"/>
                      <w:b/>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19</w:t>
                  </w:r>
                  <w:r>
                    <w:rPr>
                      <w:rFonts w:ascii="Arial" w:hAnsi="Arial" w:cs="Arial"/>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4</w:t>
                  </w:r>
                  <w:r>
                    <w:rPr>
                      <w:rFonts w:ascii="Arial" w:hAnsi="Arial" w:cs="Arial"/>
                      <w:sz w:val="18"/>
                      <w:szCs w:val="18"/>
                    </w:rPr>
                    <w:t>65</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17</w:t>
                  </w:r>
                  <w:r>
                    <w:rPr>
                      <w:rFonts w:ascii="Arial" w:hAnsi="Arial" w:cs="Arial"/>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4</w:t>
                  </w:r>
                  <w:r>
                    <w:rPr>
                      <w:rFonts w:ascii="Arial" w:hAnsi="Arial" w:cs="Arial"/>
                      <w:sz w:val="18"/>
                      <w:szCs w:val="18"/>
                    </w:rPr>
                    <w:t>10</w:t>
                  </w:r>
                </w:p>
              </w:tc>
            </w:tr>
            <w:tr w:rsidR="00A97702" w:rsidRPr="00A212C6" w:rsidTr="00DA1C9D">
              <w:trPr>
                <w:jc w:val="center"/>
              </w:trPr>
              <w:tc>
                <w:tcPr>
                  <w:tcW w:w="1548" w:type="dxa"/>
                  <w:vMerge/>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1</w:t>
                  </w:r>
                  <w:r>
                    <w:rPr>
                      <w:rFonts w:ascii="Arial" w:hAnsi="Arial" w:cs="Arial"/>
                      <w:b/>
                      <w:sz w:val="18"/>
                      <w:szCs w:val="18"/>
                    </w:rPr>
                    <w:sym w:font="Symbol" w:char="F02D"/>
                  </w:r>
                  <w:r w:rsidRPr="00361D59">
                    <w:rPr>
                      <w:rFonts w:ascii="Arial" w:hAnsi="Arial" w:cs="Arial"/>
                      <w:b/>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21</w:t>
                  </w:r>
                  <w:r>
                    <w:rPr>
                      <w:rFonts w:ascii="Arial" w:hAnsi="Arial" w:cs="Arial"/>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Pr>
                      <w:rFonts w:ascii="Arial" w:hAnsi="Arial" w:cs="Arial"/>
                      <w:sz w:val="18"/>
                      <w:szCs w:val="18"/>
                    </w:rPr>
                    <w:t>600</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270</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sidRPr="00361D59">
                    <w:rPr>
                      <w:rFonts w:ascii="Arial" w:hAnsi="Arial" w:cs="Arial"/>
                      <w:sz w:val="18"/>
                      <w:szCs w:val="18"/>
                    </w:rPr>
                    <w:t>410</w:t>
                  </w:r>
                </w:p>
              </w:tc>
            </w:tr>
          </w:tbl>
          <w:p w:rsidR="00A97702" w:rsidRPr="0067508A" w:rsidRDefault="00A97702" w:rsidP="00A97702">
            <w:pPr>
              <w:pStyle w:val="text"/>
              <w:numPr>
                <w:ilvl w:val="0"/>
                <w:numId w:val="36"/>
              </w:numPr>
              <w:rPr>
                <w:sz w:val="20"/>
              </w:rPr>
            </w:pPr>
            <w:r>
              <w:rPr>
                <w:b/>
                <w:sz w:val="20"/>
              </w:rPr>
              <w:t xml:space="preserve">Compare site data with EILs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134"/>
              <w:gridCol w:w="1134"/>
              <w:gridCol w:w="1134"/>
              <w:gridCol w:w="1134"/>
              <w:gridCol w:w="1134"/>
            </w:tblGrid>
            <w:tr w:rsidR="00A97702" w:rsidRPr="00A212C6" w:rsidTr="00DA1C9D">
              <w:trPr>
                <w:jc w:val="center"/>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A97702" w:rsidRPr="00361D59" w:rsidRDefault="00A97702" w:rsidP="00DA1C9D">
                  <w:pPr>
                    <w:pStyle w:val="text"/>
                    <w:spacing w:before="60" w:after="60" w:line="240" w:lineRule="atLeast"/>
                    <w:jc w:val="center"/>
                    <w:rPr>
                      <w:rFonts w:ascii="Arial" w:hAnsi="Arial" w:cs="Arial"/>
                      <w:b/>
                      <w:sz w:val="18"/>
                      <w:szCs w:val="18"/>
                    </w:rPr>
                  </w:pPr>
                  <w:r w:rsidRPr="00361D59">
                    <w:rPr>
                      <w:rFonts w:ascii="Arial" w:hAnsi="Arial" w:cs="Arial"/>
                      <w:b/>
                      <w:sz w:val="18"/>
                      <w:szCs w:val="18"/>
                    </w:rPr>
                    <w:t xml:space="preserve">Site </w:t>
                  </w:r>
                  <w:r>
                    <w:rPr>
                      <w:rFonts w:ascii="Arial" w:hAnsi="Arial" w:cs="Arial"/>
                      <w:b/>
                      <w:sz w:val="18"/>
                      <w:szCs w:val="18"/>
                    </w:rPr>
                    <w:t>data</w:t>
                  </w:r>
                  <w:r w:rsidRPr="00361D59">
                    <w:rPr>
                      <w:rFonts w:ascii="Arial" w:hAnsi="Arial" w:cs="Arial"/>
                      <w:b/>
                      <w:sz w:val="18"/>
                      <w:szCs w:val="18"/>
                    </w:rPr>
                    <w:t xml:space="preserve"> (mg/kg)</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bCs/>
                      <w:sz w:val="18"/>
                      <w:szCs w:val="18"/>
                    </w:rPr>
                    <w:t>Depth (m)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Cu</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Zn</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Ni</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CrIII</w:t>
                  </w:r>
                </w:p>
              </w:tc>
            </w:tr>
            <w:tr w:rsidR="00A97702" w:rsidRPr="00A212C6" w:rsidTr="00DA1C9D">
              <w:trPr>
                <w:jc w:val="center"/>
              </w:trPr>
              <w:tc>
                <w:tcPr>
                  <w:tcW w:w="1548" w:type="dxa"/>
                  <w:vMerge/>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0</w:t>
                  </w:r>
                  <w:r>
                    <w:rPr>
                      <w:rFonts w:ascii="Arial" w:hAnsi="Arial" w:cs="Arial"/>
                      <w:b/>
                      <w:sz w:val="18"/>
                      <w:szCs w:val="18"/>
                    </w:rPr>
                    <w:sym w:font="Symbol" w:char="F02D"/>
                  </w:r>
                  <w:r w:rsidRPr="00361D59">
                    <w:rPr>
                      <w:rFonts w:ascii="Arial" w:hAnsi="Arial" w:cs="Arial"/>
                      <w:b/>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E77FB7" w:rsidRDefault="00A97702" w:rsidP="00DA1C9D">
                  <w:pPr>
                    <w:spacing w:before="60" w:after="60" w:line="240" w:lineRule="atLeast"/>
                    <w:jc w:val="center"/>
                    <w:rPr>
                      <w:rFonts w:ascii="Arial" w:hAnsi="Arial" w:cs="Arial"/>
                      <w:b/>
                      <w:sz w:val="18"/>
                      <w:szCs w:val="18"/>
                    </w:rPr>
                  </w:pPr>
                  <w:r w:rsidRPr="00E77FB7">
                    <w:rPr>
                      <w:rFonts w:ascii="Arial" w:hAnsi="Arial" w:cs="Arial"/>
                      <w:b/>
                      <w:sz w:val="18"/>
                      <w:szCs w:val="18"/>
                    </w:rPr>
                    <w:t>540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E77FB7" w:rsidRDefault="00A97702" w:rsidP="00DA1C9D">
                  <w:pPr>
                    <w:spacing w:before="60" w:after="60" w:line="240" w:lineRule="atLeast"/>
                    <w:jc w:val="center"/>
                    <w:rPr>
                      <w:rFonts w:ascii="Arial" w:hAnsi="Arial" w:cs="Arial"/>
                      <w:b/>
                      <w:sz w:val="18"/>
                      <w:szCs w:val="18"/>
                    </w:rPr>
                  </w:pPr>
                  <w:r w:rsidRPr="00E77FB7">
                    <w:rPr>
                      <w:rFonts w:ascii="Arial" w:hAnsi="Arial" w:cs="Arial"/>
                      <w:b/>
                      <w:sz w:val="18"/>
                      <w:szCs w:val="18"/>
                    </w:rPr>
                    <w:t>890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E77FB7" w:rsidRDefault="00A97702" w:rsidP="00DA1C9D">
                  <w:pPr>
                    <w:spacing w:before="60" w:after="60" w:line="240" w:lineRule="atLeast"/>
                    <w:jc w:val="center"/>
                    <w:rPr>
                      <w:rFonts w:ascii="Arial" w:hAnsi="Arial" w:cs="Arial"/>
                      <w:b/>
                      <w:sz w:val="18"/>
                      <w:szCs w:val="18"/>
                    </w:rPr>
                  </w:pPr>
                  <w:r w:rsidRPr="00E77FB7">
                    <w:rPr>
                      <w:rFonts w:ascii="Arial" w:hAnsi="Arial" w:cs="Arial"/>
                      <w:b/>
                      <w:sz w:val="18"/>
                      <w:szCs w:val="18"/>
                    </w:rPr>
                    <w:t>660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E77FB7" w:rsidRDefault="00A97702" w:rsidP="00DA1C9D">
                  <w:pPr>
                    <w:spacing w:before="60" w:after="60" w:line="240" w:lineRule="atLeast"/>
                    <w:jc w:val="center"/>
                    <w:rPr>
                      <w:rFonts w:ascii="Arial" w:hAnsi="Arial" w:cs="Arial"/>
                      <w:b/>
                      <w:sz w:val="18"/>
                      <w:szCs w:val="18"/>
                    </w:rPr>
                  </w:pPr>
                  <w:r w:rsidRPr="00E77FB7">
                    <w:rPr>
                      <w:rFonts w:ascii="Arial" w:hAnsi="Arial" w:cs="Arial"/>
                      <w:b/>
                      <w:sz w:val="18"/>
                      <w:szCs w:val="18"/>
                    </w:rPr>
                    <w:t>1100</w:t>
                  </w:r>
                </w:p>
              </w:tc>
            </w:tr>
            <w:tr w:rsidR="00A97702" w:rsidRPr="00A212C6" w:rsidTr="00DA1C9D">
              <w:trPr>
                <w:jc w:val="center"/>
              </w:trPr>
              <w:tc>
                <w:tcPr>
                  <w:tcW w:w="1548" w:type="dxa"/>
                  <w:vMerge/>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b/>
                      <w:sz w:val="18"/>
                      <w:szCs w:val="18"/>
                    </w:rPr>
                  </w:pPr>
                  <w:r w:rsidRPr="00361D59">
                    <w:rPr>
                      <w:rFonts w:ascii="Arial" w:hAnsi="Arial" w:cs="Arial"/>
                      <w:b/>
                      <w:sz w:val="18"/>
                      <w:szCs w:val="18"/>
                    </w:rPr>
                    <w:t>1</w:t>
                  </w:r>
                  <w:r>
                    <w:rPr>
                      <w:rFonts w:ascii="Arial" w:hAnsi="Arial" w:cs="Arial"/>
                      <w:b/>
                      <w:sz w:val="18"/>
                      <w:szCs w:val="18"/>
                    </w:rPr>
                    <w:sym w:font="Symbol" w:char="F02D"/>
                  </w:r>
                  <w:r w:rsidRPr="00361D59">
                    <w:rPr>
                      <w:rFonts w:ascii="Arial" w:hAnsi="Arial" w:cs="Arial"/>
                      <w:b/>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Pr>
                      <w:rFonts w:ascii="Arial" w:hAnsi="Arial" w:cs="Arial"/>
                      <w:sz w:val="18"/>
                      <w:szCs w:val="18"/>
                    </w:rPr>
                    <w:t>170</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Pr>
                      <w:rFonts w:ascii="Arial" w:hAnsi="Arial" w:cs="Arial"/>
                      <w:sz w:val="18"/>
                      <w:szCs w:val="18"/>
                    </w:rPr>
                    <w:t>470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02" w:rsidRPr="00E77FB7" w:rsidRDefault="00A97702" w:rsidP="00DA1C9D">
                  <w:pPr>
                    <w:spacing w:before="60" w:after="60" w:line="240" w:lineRule="atLeast"/>
                    <w:jc w:val="center"/>
                    <w:rPr>
                      <w:rFonts w:ascii="Arial" w:hAnsi="Arial" w:cs="Arial"/>
                      <w:b/>
                      <w:sz w:val="18"/>
                      <w:szCs w:val="18"/>
                    </w:rPr>
                  </w:pPr>
                  <w:r w:rsidRPr="00E77FB7">
                    <w:rPr>
                      <w:rFonts w:ascii="Arial" w:hAnsi="Arial" w:cs="Arial"/>
                      <w:b/>
                      <w:sz w:val="18"/>
                      <w:szCs w:val="18"/>
                    </w:rPr>
                    <w:t>380</w:t>
                  </w:r>
                </w:p>
              </w:tc>
              <w:tc>
                <w:tcPr>
                  <w:tcW w:w="1134" w:type="dxa"/>
                  <w:tcBorders>
                    <w:top w:val="single" w:sz="4" w:space="0" w:color="auto"/>
                    <w:left w:val="single" w:sz="4" w:space="0" w:color="auto"/>
                    <w:bottom w:val="single" w:sz="4" w:space="0" w:color="auto"/>
                    <w:right w:val="single" w:sz="4" w:space="0" w:color="auto"/>
                  </w:tcBorders>
                </w:tcPr>
                <w:p w:rsidR="00A97702" w:rsidRPr="00361D59" w:rsidRDefault="00A97702" w:rsidP="00DA1C9D">
                  <w:pPr>
                    <w:spacing w:before="60" w:after="60" w:line="240" w:lineRule="atLeast"/>
                    <w:jc w:val="center"/>
                    <w:rPr>
                      <w:rFonts w:ascii="Arial" w:hAnsi="Arial" w:cs="Arial"/>
                      <w:sz w:val="18"/>
                      <w:szCs w:val="18"/>
                    </w:rPr>
                  </w:pPr>
                  <w:r>
                    <w:rPr>
                      <w:rFonts w:ascii="Arial" w:hAnsi="Arial" w:cs="Arial"/>
                      <w:sz w:val="18"/>
                      <w:szCs w:val="18"/>
                    </w:rPr>
                    <w:t>400</w:t>
                  </w:r>
                </w:p>
              </w:tc>
            </w:tr>
          </w:tbl>
          <w:p w:rsidR="00A97702" w:rsidRDefault="00A97702" w:rsidP="00DA1C9D">
            <w:pPr>
              <w:pStyle w:val="Note"/>
              <w:ind w:left="993"/>
            </w:pPr>
            <w:r w:rsidRPr="00361D59">
              <w:t>Note</w:t>
            </w:r>
            <w:r>
              <w:t>: Shaded and b</w:t>
            </w:r>
            <w:r w:rsidRPr="00361D59">
              <w:t xml:space="preserve">old </w:t>
            </w:r>
            <w:r>
              <w:t xml:space="preserve">font for sample values </w:t>
            </w:r>
            <w:r w:rsidRPr="00361D59">
              <w:t>indicates EIL exceeded</w:t>
            </w:r>
          </w:p>
          <w:p w:rsidR="00A97702" w:rsidRDefault="00A97702" w:rsidP="00DA1C9D">
            <w:pPr>
              <w:pStyle w:val="text"/>
              <w:rPr>
                <w:i/>
                <w:szCs w:val="22"/>
              </w:rPr>
            </w:pPr>
            <w:r>
              <w:rPr>
                <w:b/>
                <w:sz w:val="20"/>
              </w:rPr>
              <w:t xml:space="preserve">Are results greater than EILs? </w:t>
            </w:r>
            <w:r w:rsidRPr="00F601BA">
              <w:rPr>
                <w:b/>
                <w:i/>
                <w:szCs w:val="22"/>
                <w:u w:val="single"/>
              </w:rPr>
              <w:t>YES</w:t>
            </w:r>
            <w:r w:rsidRPr="00F601BA">
              <w:rPr>
                <w:bCs/>
                <w:i/>
                <w:szCs w:val="22"/>
              </w:rPr>
              <w:t xml:space="preserve">, </w:t>
            </w:r>
            <w:r w:rsidRPr="00F601BA">
              <w:rPr>
                <w:i/>
                <w:szCs w:val="22"/>
              </w:rPr>
              <w:t xml:space="preserve">Cu, Zn, Ni and CrIII exceed EILs— further </w:t>
            </w:r>
            <w:r>
              <w:rPr>
                <w:i/>
                <w:szCs w:val="22"/>
              </w:rPr>
              <w:t>investigation</w:t>
            </w:r>
            <w:r w:rsidRPr="00F601BA">
              <w:rPr>
                <w:i/>
                <w:szCs w:val="22"/>
              </w:rPr>
              <w:t xml:space="preserve"> required.</w:t>
            </w:r>
          </w:p>
          <w:p w:rsidR="00A97702" w:rsidRDefault="00A97702" w:rsidP="00DA1C9D">
            <w:pPr>
              <w:pStyle w:val="text"/>
              <w:rPr>
                <w:i/>
                <w:szCs w:val="22"/>
              </w:rPr>
            </w:pPr>
          </w:p>
          <w:p w:rsidR="00A97702" w:rsidRDefault="00A97702" w:rsidP="00DA1C9D">
            <w:pPr>
              <w:pStyle w:val="text"/>
              <w:rPr>
                <w:i/>
                <w:szCs w:val="22"/>
              </w:rPr>
            </w:pPr>
          </w:p>
          <w:p w:rsidR="00A97702" w:rsidRPr="00F601BA" w:rsidRDefault="00A97702" w:rsidP="00DA1C9D">
            <w:pPr>
              <w:pStyle w:val="text"/>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142"/>
            </w:tblGrid>
            <w:tr w:rsidR="00A97702" w:rsidRPr="00A212C6" w:rsidTr="00DA1C9D">
              <w:tc>
                <w:tcPr>
                  <w:tcW w:w="1951" w:type="dxa"/>
                  <w:tcBorders>
                    <w:top w:val="single" w:sz="4" w:space="0" w:color="auto"/>
                    <w:left w:val="single" w:sz="4" w:space="0" w:color="auto"/>
                    <w:bottom w:val="single" w:sz="4" w:space="0" w:color="auto"/>
                    <w:right w:val="single" w:sz="4" w:space="0" w:color="auto"/>
                  </w:tcBorders>
                  <w:shd w:val="clear" w:color="auto" w:fill="F2F2F2"/>
                </w:tcPr>
                <w:p w:rsidR="00A97702" w:rsidRPr="00A212C6" w:rsidRDefault="00A97702" w:rsidP="00DA1C9D">
                  <w:pPr>
                    <w:pStyle w:val="text"/>
                    <w:spacing w:line="240" w:lineRule="atLeast"/>
                    <w:jc w:val="center"/>
                    <w:rPr>
                      <w:b/>
                      <w:szCs w:val="22"/>
                    </w:rPr>
                  </w:pPr>
                  <w:r>
                    <w:rPr>
                      <w:b/>
                      <w:szCs w:val="22"/>
                    </w:rPr>
                    <w:t>Tier 1 o</w:t>
                  </w:r>
                  <w:r w:rsidRPr="00A212C6">
                    <w:rPr>
                      <w:b/>
                      <w:szCs w:val="22"/>
                    </w:rPr>
                    <w:t>utcome</w:t>
                  </w:r>
                </w:p>
              </w:tc>
              <w:tc>
                <w:tcPr>
                  <w:tcW w:w="7337" w:type="dxa"/>
                  <w:tcBorders>
                    <w:top w:val="single" w:sz="4" w:space="0" w:color="auto"/>
                    <w:left w:val="single" w:sz="4" w:space="0" w:color="auto"/>
                    <w:bottom w:val="single" w:sz="4" w:space="0" w:color="auto"/>
                    <w:right w:val="single" w:sz="4" w:space="0" w:color="auto"/>
                  </w:tcBorders>
                </w:tcPr>
                <w:p w:rsidR="00A97702" w:rsidRPr="00A212C6" w:rsidRDefault="00A97702" w:rsidP="00DA1C9D">
                  <w:pPr>
                    <w:pStyle w:val="Dot-points"/>
                    <w:numPr>
                      <w:ilvl w:val="0"/>
                      <w:numId w:val="0"/>
                    </w:numPr>
                    <w:ind w:left="357"/>
                    <w:rPr>
                      <w:b/>
                    </w:rPr>
                  </w:pPr>
                  <w:r>
                    <w:t>E</w:t>
                  </w:r>
                  <w:r w:rsidRPr="00A212C6">
                    <w:t>xceed</w:t>
                  </w:r>
                  <w:r>
                    <w:t>e</w:t>
                  </w:r>
                  <w:r w:rsidRPr="00A212C6">
                    <w:t>nces of the HIL for Ni and EILs for Cu, Zn, Ni and Cr</w:t>
                  </w:r>
                  <w:r>
                    <w:t xml:space="preserve"> </w:t>
                  </w:r>
                  <w:r w:rsidRPr="00A212C6">
                    <w:t>III.</w:t>
                  </w:r>
                </w:p>
              </w:tc>
            </w:tr>
          </w:tbl>
          <w:p w:rsidR="00A97702" w:rsidRPr="00F601BA" w:rsidRDefault="00A97702" w:rsidP="00DA1C9D">
            <w:pPr>
              <w:pStyle w:val="text"/>
              <w:tabs>
                <w:tab w:val="right" w:pos="9072"/>
              </w:tabs>
              <w:rPr>
                <w:b/>
                <w:bCs/>
                <w:szCs w:val="22"/>
              </w:rPr>
            </w:pPr>
            <w:r w:rsidRPr="00F601BA">
              <w:rPr>
                <w:b/>
                <w:bCs/>
                <w:szCs w:val="22"/>
              </w:rPr>
              <w:t>Evaluation and conclusion</w:t>
            </w:r>
            <w:r w:rsidRPr="00F601BA">
              <w:rPr>
                <w:b/>
                <w:bCs/>
                <w:szCs w:val="22"/>
              </w:rPr>
              <w:tab/>
            </w:r>
          </w:p>
          <w:p w:rsidR="00A97702" w:rsidRPr="00F601BA" w:rsidRDefault="00A97702" w:rsidP="00DA1C9D">
            <w:pPr>
              <w:pStyle w:val="text"/>
              <w:rPr>
                <w:bCs/>
                <w:szCs w:val="22"/>
              </w:rPr>
            </w:pPr>
            <w:r w:rsidRPr="00F601BA">
              <w:rPr>
                <w:szCs w:val="22"/>
              </w:rPr>
              <w:lastRenderedPageBreak/>
              <w:t xml:space="preserve">The </w:t>
            </w:r>
            <w:r>
              <w:rPr>
                <w:szCs w:val="22"/>
              </w:rPr>
              <w:t>geometric mean exceedences are 2</w:t>
            </w:r>
            <w:r>
              <w:rPr>
                <w:szCs w:val="22"/>
              </w:rPr>
              <w:sym w:font="Symbol" w:char="F02D"/>
            </w:r>
            <w:r>
              <w:rPr>
                <w:szCs w:val="22"/>
              </w:rPr>
              <w:t xml:space="preserve">3 times the relevant screening level hence further investigation or management is required.   </w:t>
            </w:r>
          </w:p>
          <w:p w:rsidR="00A97702" w:rsidRPr="00F601BA" w:rsidRDefault="00A97702" w:rsidP="00DA1C9D">
            <w:pPr>
              <w:pStyle w:val="text"/>
              <w:rPr>
                <w:szCs w:val="24"/>
              </w:rPr>
            </w:pPr>
            <w:r w:rsidRPr="00F601BA">
              <w:rPr>
                <w:bCs/>
                <w:i/>
                <w:szCs w:val="22"/>
              </w:rPr>
              <w:t xml:space="preserve">This </w:t>
            </w:r>
            <w:r>
              <w:rPr>
                <w:bCs/>
                <w:i/>
                <w:szCs w:val="22"/>
              </w:rPr>
              <w:t>example</w:t>
            </w:r>
            <w:r w:rsidRPr="00F601BA">
              <w:rPr>
                <w:bCs/>
                <w:i/>
                <w:szCs w:val="22"/>
              </w:rPr>
              <w:t xml:space="preserve"> is limited to </w:t>
            </w:r>
            <w:r>
              <w:rPr>
                <w:bCs/>
                <w:i/>
                <w:szCs w:val="22"/>
              </w:rPr>
              <w:t xml:space="preserve">consideration of </w:t>
            </w:r>
            <w:r w:rsidRPr="00F601BA">
              <w:rPr>
                <w:bCs/>
                <w:i/>
                <w:szCs w:val="22"/>
              </w:rPr>
              <w:t>risk</w:t>
            </w:r>
            <w:r>
              <w:rPr>
                <w:bCs/>
                <w:i/>
                <w:szCs w:val="22"/>
              </w:rPr>
              <w:t>s</w:t>
            </w:r>
            <w:r w:rsidRPr="00F601BA">
              <w:rPr>
                <w:bCs/>
                <w:i/>
                <w:szCs w:val="22"/>
              </w:rPr>
              <w:t xml:space="preserve"> from exposure</w:t>
            </w:r>
            <w:r>
              <w:rPr>
                <w:bCs/>
                <w:i/>
                <w:szCs w:val="22"/>
              </w:rPr>
              <w:t xml:space="preserve"> to metals in soil. Additional assessment would be required to evaluate</w:t>
            </w:r>
            <w:r w:rsidRPr="00F601BA">
              <w:rPr>
                <w:bCs/>
                <w:i/>
                <w:szCs w:val="22"/>
              </w:rPr>
              <w:t xml:space="preserve"> </w:t>
            </w:r>
            <w:r>
              <w:rPr>
                <w:bCs/>
                <w:i/>
                <w:szCs w:val="22"/>
              </w:rPr>
              <w:t>groundwater issues at the site.</w:t>
            </w:r>
          </w:p>
        </w:tc>
      </w:tr>
    </w:tbl>
    <w:p w:rsidR="00A97702" w:rsidRDefault="00A97702" w:rsidP="00A97702">
      <w:pPr>
        <w:rPr>
          <w:bCs/>
        </w:rPr>
      </w:pPr>
    </w:p>
    <w:p w:rsidR="00A97702" w:rsidRPr="008F4993" w:rsidRDefault="00A97702" w:rsidP="00A97702">
      <w:pPr>
        <w:pStyle w:val="Heading1"/>
      </w:pPr>
      <w:bookmarkStart w:id="77" w:name="_Toc351712081"/>
      <w:r w:rsidRPr="008F4993">
        <w:lastRenderedPageBreak/>
        <w:t>Tabulated investigation and screening levels</w:t>
      </w:r>
      <w:bookmarkEnd w:id="77"/>
    </w:p>
    <w:p w:rsidR="00A97702" w:rsidRDefault="00A97702" w:rsidP="00A97702">
      <w:pPr>
        <w:jc w:val="center"/>
        <w:rPr>
          <w:b/>
          <w:szCs w:val="22"/>
        </w:rPr>
      </w:pPr>
    </w:p>
    <w:p w:rsidR="00A97702" w:rsidRDefault="00A97702" w:rsidP="00A97702">
      <w:pPr>
        <w:rPr>
          <w:b/>
          <w:szCs w:val="22"/>
        </w:rPr>
      </w:pPr>
    </w:p>
    <w:p w:rsidR="00A97702" w:rsidRDefault="00A97702" w:rsidP="00A97702">
      <w:pPr>
        <w:jc w:val="center"/>
        <w:rPr>
          <w:b/>
          <w:szCs w:val="22"/>
        </w:rPr>
      </w:pPr>
      <w:r w:rsidRPr="00F939F9">
        <w:rPr>
          <w:b/>
          <w:szCs w:val="22"/>
        </w:rPr>
        <w:t xml:space="preserve">ROUNDING </w:t>
      </w:r>
      <w:r>
        <w:rPr>
          <w:b/>
          <w:szCs w:val="22"/>
        </w:rPr>
        <w:t>APPLIED TO</w:t>
      </w:r>
      <w:r w:rsidRPr="00F939F9">
        <w:rPr>
          <w:b/>
          <w:szCs w:val="22"/>
        </w:rPr>
        <w:t xml:space="preserve"> </w:t>
      </w:r>
      <w:r>
        <w:rPr>
          <w:b/>
          <w:szCs w:val="22"/>
        </w:rPr>
        <w:t>INVESTIGATION AND SCREENING LEVELS</w:t>
      </w:r>
    </w:p>
    <w:p w:rsidR="00A97702" w:rsidRDefault="00A97702" w:rsidP="00A97702">
      <w:pPr>
        <w:pBdr>
          <w:top w:val="single" w:sz="4" w:space="1" w:color="auto"/>
          <w:left w:val="single" w:sz="4" w:space="4" w:color="auto"/>
          <w:bottom w:val="single" w:sz="4" w:space="1" w:color="auto"/>
          <w:right w:val="single" w:sz="4" w:space="4" w:color="auto"/>
        </w:pBdr>
        <w:spacing w:before="40"/>
        <w:rPr>
          <w:b/>
          <w:szCs w:val="22"/>
        </w:rPr>
      </w:pPr>
    </w:p>
    <w:p w:rsidR="00A97702" w:rsidRPr="00F939F9" w:rsidRDefault="00A97702" w:rsidP="00A97702">
      <w:pPr>
        <w:pBdr>
          <w:top w:val="single" w:sz="4" w:space="1" w:color="auto"/>
          <w:left w:val="single" w:sz="4" w:space="4" w:color="auto"/>
          <w:bottom w:val="single" w:sz="4" w:space="1" w:color="auto"/>
          <w:right w:val="single" w:sz="4" w:space="4" w:color="auto"/>
        </w:pBdr>
        <w:tabs>
          <w:tab w:val="left" w:pos="567"/>
        </w:tabs>
        <w:spacing w:before="40"/>
        <w:rPr>
          <w:b/>
          <w:szCs w:val="22"/>
        </w:rPr>
      </w:pPr>
      <w:r w:rsidRPr="00F939F9">
        <w:rPr>
          <w:b/>
          <w:szCs w:val="22"/>
        </w:rPr>
        <w:t>Tables 1A (HILs and interim HILs)</w:t>
      </w:r>
    </w:p>
    <w:p w:rsidR="00A97702" w:rsidRDefault="00A97702" w:rsidP="00A97702">
      <w:pPr>
        <w:pBdr>
          <w:top w:val="single" w:sz="4" w:space="1" w:color="auto"/>
          <w:left w:val="single" w:sz="4" w:space="4" w:color="auto"/>
          <w:bottom w:val="single" w:sz="4" w:space="1" w:color="auto"/>
          <w:right w:val="single" w:sz="4" w:space="4" w:color="auto"/>
        </w:pBdr>
        <w:tabs>
          <w:tab w:val="left" w:pos="426"/>
        </w:tabs>
        <w:spacing w:before="40"/>
        <w:rPr>
          <w:szCs w:val="22"/>
        </w:rPr>
      </w:pPr>
      <w:r w:rsidRPr="00F939F9">
        <w:rPr>
          <w:szCs w:val="22"/>
        </w:rPr>
        <w:tab/>
        <w:t>Rounded to 1 or 2 significant figures (see Schedule B7 Appendix C for details)</w:t>
      </w:r>
    </w:p>
    <w:p w:rsidR="00A97702" w:rsidRPr="00F939F9" w:rsidRDefault="00A97702" w:rsidP="00A97702">
      <w:pPr>
        <w:pBdr>
          <w:top w:val="single" w:sz="4" w:space="1" w:color="auto"/>
          <w:left w:val="single" w:sz="4" w:space="4" w:color="auto"/>
          <w:bottom w:val="single" w:sz="4" w:space="1" w:color="auto"/>
          <w:right w:val="single" w:sz="4" w:space="4" w:color="auto"/>
        </w:pBdr>
        <w:tabs>
          <w:tab w:val="left" w:pos="567"/>
        </w:tabs>
        <w:spacing w:before="40"/>
        <w:rPr>
          <w:szCs w:val="22"/>
        </w:rPr>
      </w:pPr>
    </w:p>
    <w:p w:rsidR="00A97702" w:rsidRPr="00F939F9" w:rsidRDefault="00A97702" w:rsidP="00A97702">
      <w:pPr>
        <w:pBdr>
          <w:top w:val="single" w:sz="4" w:space="1" w:color="auto"/>
          <w:left w:val="single" w:sz="4" w:space="4" w:color="auto"/>
          <w:bottom w:val="single" w:sz="4" w:space="1" w:color="auto"/>
          <w:right w:val="single" w:sz="4" w:space="4" w:color="auto"/>
        </w:pBdr>
        <w:tabs>
          <w:tab w:val="left" w:pos="567"/>
        </w:tabs>
        <w:spacing w:before="40" w:line="360" w:lineRule="auto"/>
        <w:rPr>
          <w:b/>
          <w:szCs w:val="22"/>
        </w:rPr>
      </w:pPr>
    </w:p>
    <w:p w:rsidR="00A97702" w:rsidRPr="00F939F9" w:rsidRDefault="00A97702" w:rsidP="00A97702">
      <w:pPr>
        <w:pBdr>
          <w:top w:val="single" w:sz="4" w:space="1" w:color="auto"/>
          <w:left w:val="single" w:sz="4" w:space="4" w:color="auto"/>
          <w:bottom w:val="single" w:sz="4" w:space="1" w:color="auto"/>
          <w:right w:val="single" w:sz="4" w:space="4" w:color="auto"/>
        </w:pBdr>
        <w:tabs>
          <w:tab w:val="left" w:pos="567"/>
        </w:tabs>
        <w:spacing w:before="40" w:line="360" w:lineRule="auto"/>
        <w:rPr>
          <w:b/>
          <w:szCs w:val="22"/>
        </w:rPr>
      </w:pPr>
      <w:r w:rsidRPr="00F939F9">
        <w:rPr>
          <w:b/>
          <w:szCs w:val="22"/>
        </w:rPr>
        <w:t>Tables 1A (HSLs) and 1B (EILs and ESLs) rounding rules</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&lt; 1</w:t>
      </w:r>
      <w:r w:rsidRPr="00F939F9">
        <w:rPr>
          <w:rFonts w:ascii="Book Antiqua" w:hAnsi="Book Antiqua"/>
          <w:b/>
          <w:sz w:val="22"/>
          <w:szCs w:val="22"/>
        </w:rPr>
        <w:tab/>
      </w:r>
      <w:r w:rsidRPr="00F939F9">
        <w:rPr>
          <w:rFonts w:ascii="Book Antiqua" w:hAnsi="Book Antiqua"/>
          <w:b/>
          <w:sz w:val="22"/>
          <w:szCs w:val="22"/>
        </w:rPr>
        <w:tab/>
      </w:r>
      <w:r w:rsidRPr="00F939F9">
        <w:rPr>
          <w:rFonts w:ascii="Book Antiqua" w:hAnsi="Book Antiqua"/>
          <w:b/>
          <w:sz w:val="22"/>
          <w:szCs w:val="22"/>
        </w:rPr>
        <w:tab/>
        <w:t>to nearest 0.1</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1</w:t>
      </w:r>
      <w:r>
        <w:rPr>
          <w:rFonts w:ascii="Book Antiqua" w:hAnsi="Book Antiqua"/>
          <w:b/>
          <w:sz w:val="22"/>
          <w:szCs w:val="22"/>
        </w:rPr>
        <w:sym w:font="Symbol" w:char="F02D"/>
      </w:r>
      <w:r w:rsidRPr="00F939F9">
        <w:rPr>
          <w:rFonts w:ascii="Book Antiqua" w:hAnsi="Book Antiqua"/>
          <w:b/>
          <w:sz w:val="22"/>
          <w:szCs w:val="22"/>
        </w:rPr>
        <w:t>&lt;10</w:t>
      </w:r>
      <w:r w:rsidRPr="00F939F9">
        <w:rPr>
          <w:rFonts w:ascii="Book Antiqua" w:hAnsi="Book Antiqua"/>
          <w:b/>
          <w:sz w:val="22"/>
          <w:szCs w:val="22"/>
        </w:rPr>
        <w:tab/>
      </w:r>
      <w:r w:rsidRPr="00F939F9">
        <w:rPr>
          <w:rFonts w:ascii="Book Antiqua" w:hAnsi="Book Antiqua"/>
          <w:b/>
          <w:sz w:val="22"/>
          <w:szCs w:val="22"/>
        </w:rPr>
        <w:tab/>
      </w:r>
      <w:r w:rsidRPr="00F939F9">
        <w:rPr>
          <w:rFonts w:ascii="Book Antiqua" w:hAnsi="Book Antiqua"/>
          <w:b/>
          <w:sz w:val="22"/>
          <w:szCs w:val="22"/>
        </w:rPr>
        <w:tab/>
        <w:t>to nearest whole number</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1</w:t>
      </w:r>
      <w:r>
        <w:rPr>
          <w:rFonts w:ascii="Book Antiqua" w:hAnsi="Book Antiqua"/>
          <w:b/>
          <w:sz w:val="22"/>
          <w:szCs w:val="22"/>
        </w:rPr>
        <w:sym w:font="Symbol" w:char="F02D"/>
      </w:r>
      <w:r w:rsidRPr="00F939F9">
        <w:rPr>
          <w:rFonts w:ascii="Book Antiqua" w:hAnsi="Book Antiqua"/>
          <w:b/>
          <w:sz w:val="22"/>
          <w:szCs w:val="22"/>
        </w:rPr>
        <w:t>&lt; 100</w:t>
      </w:r>
      <w:r w:rsidRPr="00F939F9">
        <w:rPr>
          <w:rFonts w:ascii="Book Antiqua" w:hAnsi="Book Antiqua"/>
          <w:b/>
          <w:sz w:val="22"/>
          <w:szCs w:val="22"/>
        </w:rPr>
        <w:tab/>
      </w:r>
      <w:r w:rsidRPr="00F939F9">
        <w:rPr>
          <w:rFonts w:ascii="Book Antiqua" w:hAnsi="Book Antiqua"/>
          <w:b/>
          <w:sz w:val="22"/>
          <w:szCs w:val="22"/>
        </w:rPr>
        <w:tab/>
      </w:r>
      <w:r w:rsidRPr="00F939F9">
        <w:rPr>
          <w:rFonts w:ascii="Book Antiqua" w:hAnsi="Book Antiqua"/>
          <w:b/>
          <w:sz w:val="22"/>
          <w:szCs w:val="22"/>
        </w:rPr>
        <w:tab/>
        <w:t>to nearest 5</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100</w:t>
      </w:r>
      <w:r>
        <w:rPr>
          <w:rFonts w:ascii="Book Antiqua" w:hAnsi="Book Antiqua"/>
          <w:b/>
          <w:sz w:val="22"/>
          <w:szCs w:val="22"/>
        </w:rPr>
        <w:sym w:font="Symbol" w:char="F02D"/>
      </w:r>
      <w:r w:rsidRPr="00F939F9">
        <w:rPr>
          <w:rFonts w:ascii="Book Antiqua" w:hAnsi="Book Antiqua"/>
          <w:b/>
          <w:sz w:val="22"/>
          <w:szCs w:val="22"/>
        </w:rPr>
        <w:t>&lt;1</w:t>
      </w:r>
      <w:r>
        <w:rPr>
          <w:rFonts w:ascii="Book Antiqua" w:hAnsi="Book Antiqua"/>
          <w:b/>
          <w:sz w:val="22"/>
          <w:szCs w:val="22"/>
        </w:rPr>
        <w:t>,</w:t>
      </w:r>
      <w:r w:rsidRPr="00F939F9">
        <w:rPr>
          <w:rFonts w:ascii="Book Antiqua" w:hAnsi="Book Antiqua"/>
          <w:b/>
          <w:sz w:val="22"/>
          <w:szCs w:val="22"/>
        </w:rPr>
        <w:t>000</w:t>
      </w:r>
      <w:r w:rsidRPr="00F939F9">
        <w:rPr>
          <w:rFonts w:ascii="Book Antiqua" w:hAnsi="Book Antiqua"/>
          <w:b/>
          <w:sz w:val="22"/>
          <w:szCs w:val="22"/>
        </w:rPr>
        <w:tab/>
        <w:t>to nearest 10</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1,000</w:t>
      </w:r>
      <w:r>
        <w:rPr>
          <w:rFonts w:ascii="Book Antiqua" w:hAnsi="Book Antiqua"/>
          <w:b/>
          <w:sz w:val="22"/>
          <w:szCs w:val="22"/>
        </w:rPr>
        <w:sym w:font="Symbol" w:char="F02D"/>
      </w:r>
      <w:r w:rsidRPr="00F939F9">
        <w:rPr>
          <w:rFonts w:ascii="Book Antiqua" w:hAnsi="Book Antiqua"/>
          <w:b/>
          <w:sz w:val="22"/>
          <w:szCs w:val="22"/>
        </w:rPr>
        <w:t>&lt;10</w:t>
      </w:r>
      <w:r>
        <w:rPr>
          <w:rFonts w:ascii="Book Antiqua" w:hAnsi="Book Antiqua"/>
          <w:b/>
          <w:sz w:val="22"/>
          <w:szCs w:val="22"/>
        </w:rPr>
        <w:t>,</w:t>
      </w:r>
      <w:r w:rsidRPr="00F939F9">
        <w:rPr>
          <w:rFonts w:ascii="Book Antiqua" w:hAnsi="Book Antiqua"/>
          <w:b/>
          <w:sz w:val="22"/>
          <w:szCs w:val="22"/>
        </w:rPr>
        <w:t>000</w:t>
      </w:r>
      <w:r w:rsidRPr="00F939F9">
        <w:rPr>
          <w:rFonts w:ascii="Book Antiqua" w:hAnsi="Book Antiqua"/>
          <w:b/>
          <w:sz w:val="22"/>
          <w:szCs w:val="22"/>
        </w:rPr>
        <w:tab/>
        <w:t>to nearest 100</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≥10,000</w:t>
      </w:r>
      <w:r w:rsidRPr="00F939F9">
        <w:rPr>
          <w:rFonts w:ascii="Book Antiqua" w:hAnsi="Book Antiqua"/>
          <w:b/>
          <w:sz w:val="22"/>
          <w:szCs w:val="22"/>
        </w:rPr>
        <w:tab/>
      </w:r>
      <w:r w:rsidRPr="00F939F9">
        <w:rPr>
          <w:rFonts w:ascii="Book Antiqua" w:hAnsi="Book Antiqua"/>
          <w:b/>
          <w:sz w:val="22"/>
          <w:szCs w:val="22"/>
        </w:rPr>
        <w:tab/>
      </w:r>
      <w:r w:rsidRPr="00F939F9">
        <w:rPr>
          <w:rFonts w:ascii="Book Antiqua" w:hAnsi="Book Antiqua"/>
          <w:b/>
          <w:sz w:val="22"/>
          <w:szCs w:val="22"/>
        </w:rPr>
        <w:tab/>
        <w:t>to nearest 1,000</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 xml:space="preserve">Numbers ending </w:t>
      </w:r>
      <w:r>
        <w:rPr>
          <w:rFonts w:ascii="Book Antiqua" w:hAnsi="Book Antiqua"/>
          <w:b/>
          <w:sz w:val="22"/>
          <w:szCs w:val="22"/>
        </w:rPr>
        <w:t xml:space="preserve">in </w:t>
      </w:r>
      <w:r w:rsidRPr="00F939F9">
        <w:rPr>
          <w:rFonts w:ascii="Book Antiqua" w:hAnsi="Book Antiqua"/>
          <w:b/>
          <w:sz w:val="22"/>
          <w:szCs w:val="22"/>
        </w:rPr>
        <w:t>‘5’ are rounded up, for example:</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0.05 rounded to 0.1</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1.5 rounded to 2</w:t>
      </w:r>
    </w:p>
    <w:p w:rsidR="00A97702" w:rsidRPr="00F939F9" w:rsidRDefault="00A97702" w:rsidP="00A97702">
      <w:pPr>
        <w:pStyle w:val="PlainText"/>
        <w:pBdr>
          <w:top w:val="single" w:sz="4" w:space="1" w:color="auto"/>
          <w:left w:val="single" w:sz="4" w:space="4" w:color="auto"/>
          <w:bottom w:val="single" w:sz="4" w:space="1" w:color="auto"/>
          <w:right w:val="single" w:sz="4" w:space="4" w:color="auto"/>
        </w:pBdr>
        <w:tabs>
          <w:tab w:val="left" w:pos="426"/>
          <w:tab w:val="left" w:pos="567"/>
          <w:tab w:val="left" w:pos="1418"/>
        </w:tabs>
        <w:spacing w:line="360" w:lineRule="auto"/>
        <w:rPr>
          <w:rFonts w:ascii="Book Antiqua" w:hAnsi="Book Antiqua"/>
          <w:b/>
          <w:sz w:val="22"/>
          <w:szCs w:val="22"/>
        </w:rPr>
      </w:pPr>
      <w:r w:rsidRPr="00F939F9">
        <w:rPr>
          <w:rFonts w:ascii="Book Antiqua" w:hAnsi="Book Antiqua"/>
          <w:b/>
          <w:sz w:val="22"/>
          <w:szCs w:val="22"/>
        </w:rPr>
        <w:tab/>
        <w:t>115 rounded to 120</w:t>
      </w:r>
    </w:p>
    <w:p w:rsidR="00A97702" w:rsidRDefault="00A97702" w:rsidP="00A97702">
      <w:pPr>
        <w:pStyle w:val="text"/>
      </w:pPr>
    </w:p>
    <w:p w:rsidR="00A97702" w:rsidRPr="00312056" w:rsidRDefault="00A97702" w:rsidP="00A97702">
      <w:pPr>
        <w:pStyle w:val="Caption"/>
      </w:pPr>
      <w:r>
        <w:br w:type="page"/>
      </w:r>
      <w:r>
        <w:lastRenderedPageBreak/>
        <w:t>Table 1A(1)</w:t>
      </w:r>
      <w:r>
        <w:tab/>
      </w:r>
      <w:r w:rsidRPr="00312056">
        <w:t>Health investigation levels for soil contaminants</w:t>
      </w:r>
    </w:p>
    <w:tbl>
      <w:tblPr>
        <w:tblW w:w="9337" w:type="dxa"/>
        <w:jc w:val="right"/>
        <w:tblLayout w:type="fixed"/>
        <w:tblCellMar>
          <w:right w:w="567" w:type="dxa"/>
        </w:tblCellMar>
        <w:tblLook w:val="04A0" w:firstRow="1" w:lastRow="0" w:firstColumn="1" w:lastColumn="0" w:noHBand="0" w:noVBand="1"/>
      </w:tblPr>
      <w:tblGrid>
        <w:gridCol w:w="2425"/>
        <w:gridCol w:w="1728"/>
        <w:gridCol w:w="1728"/>
        <w:gridCol w:w="1728"/>
        <w:gridCol w:w="1728"/>
      </w:tblGrid>
      <w:tr w:rsidR="00A97702" w:rsidRPr="007C0C2D" w:rsidTr="00DA1C9D">
        <w:trPr>
          <w:tblHeader/>
          <w:jc w:val="right"/>
        </w:trPr>
        <w:tc>
          <w:tcPr>
            <w:tcW w:w="2425"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noWrap/>
            <w:vAlign w:val="bottom"/>
          </w:tcPr>
          <w:p w:rsidR="00A97702" w:rsidRPr="007C0C2D" w:rsidRDefault="00A97702" w:rsidP="00DA1C9D">
            <w:pPr>
              <w:keepNext/>
              <w:keepLines/>
              <w:spacing w:before="20" w:after="20"/>
              <w:jc w:val="center"/>
              <w:rPr>
                <w:rFonts w:cs="Arial"/>
                <w:b/>
                <w:bCs/>
                <w:color w:val="000000"/>
                <w:szCs w:val="22"/>
              </w:rPr>
            </w:pPr>
            <w:r w:rsidRPr="007C0C2D">
              <w:rPr>
                <w:rFonts w:cs="Arial"/>
                <w:b/>
                <w:bCs/>
                <w:color w:val="000000"/>
                <w:szCs w:val="22"/>
              </w:rPr>
              <w:t>Chemical</w:t>
            </w:r>
          </w:p>
        </w:tc>
        <w:tc>
          <w:tcPr>
            <w:tcW w:w="6912" w:type="dxa"/>
            <w:gridSpan w:val="4"/>
            <w:tcBorders>
              <w:top w:val="single" w:sz="8" w:space="0" w:color="auto"/>
              <w:left w:val="nil"/>
              <w:bottom w:val="single" w:sz="4" w:space="0" w:color="auto"/>
              <w:right w:val="single" w:sz="8" w:space="0" w:color="auto"/>
            </w:tcBorders>
            <w:shd w:val="clear" w:color="000000" w:fill="C6D9F1" w:themeFill="text2" w:themeFillTint="33"/>
            <w:noWrap/>
            <w:vAlign w:val="bottom"/>
          </w:tcPr>
          <w:p w:rsidR="00A97702" w:rsidRPr="007C0C2D" w:rsidRDefault="00A97702" w:rsidP="00DA1C9D">
            <w:pPr>
              <w:keepNext/>
              <w:keepLines/>
              <w:spacing w:before="60" w:after="60"/>
              <w:jc w:val="center"/>
              <w:rPr>
                <w:rFonts w:cs="Arial"/>
                <w:b/>
                <w:bCs/>
                <w:color w:val="000000"/>
                <w:szCs w:val="22"/>
              </w:rPr>
            </w:pPr>
            <w:r w:rsidRPr="007C0C2D">
              <w:rPr>
                <w:rFonts w:cs="Arial"/>
                <w:b/>
                <w:bCs/>
                <w:color w:val="000000"/>
                <w:szCs w:val="22"/>
              </w:rPr>
              <w:t>Health-based investigation levels (mg/kg)</w:t>
            </w:r>
          </w:p>
        </w:tc>
      </w:tr>
      <w:tr w:rsidR="00A97702" w:rsidRPr="007C0C2D" w:rsidTr="00DA1C9D">
        <w:trPr>
          <w:tblHeader/>
          <w:jc w:val="right"/>
        </w:trPr>
        <w:tc>
          <w:tcPr>
            <w:tcW w:w="2425"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tcPr>
          <w:p w:rsidR="00A97702" w:rsidRPr="007C0C2D" w:rsidRDefault="00A97702" w:rsidP="00DA1C9D">
            <w:pPr>
              <w:keepNext/>
              <w:keepLines/>
              <w:spacing w:before="20" w:after="20"/>
              <w:rPr>
                <w:rFonts w:cs="Arial"/>
                <w:b/>
                <w:bCs/>
                <w:color w:val="000000"/>
                <w:szCs w:val="22"/>
              </w:rPr>
            </w:pPr>
          </w:p>
        </w:tc>
        <w:tc>
          <w:tcPr>
            <w:tcW w:w="1728" w:type="dxa"/>
            <w:tcBorders>
              <w:top w:val="nil"/>
              <w:left w:val="single" w:sz="8" w:space="0" w:color="auto"/>
              <w:bottom w:val="single" w:sz="8" w:space="0" w:color="auto"/>
              <w:right w:val="single" w:sz="8" w:space="0" w:color="auto"/>
            </w:tcBorders>
            <w:shd w:val="clear" w:color="000000" w:fill="EAF1DD"/>
            <w:tcMar>
              <w:right w:w="113" w:type="dxa"/>
            </w:tcMar>
            <w:vAlign w:val="bottom"/>
          </w:tcPr>
          <w:p w:rsidR="00A97702" w:rsidRPr="007C0C2D" w:rsidRDefault="00A97702" w:rsidP="00DA1C9D">
            <w:pPr>
              <w:keepNext/>
              <w:keepLines/>
              <w:spacing w:before="60" w:after="60"/>
              <w:jc w:val="center"/>
              <w:rPr>
                <w:rFonts w:cs="Arial"/>
                <w:b/>
                <w:bCs/>
                <w:color w:val="000000"/>
                <w:szCs w:val="22"/>
              </w:rPr>
            </w:pPr>
            <w:r w:rsidRPr="007C0C2D">
              <w:rPr>
                <w:rFonts w:cs="Arial"/>
                <w:b/>
                <w:bCs/>
                <w:color w:val="000000"/>
                <w:szCs w:val="22"/>
              </w:rPr>
              <w:t>Residential</w:t>
            </w:r>
            <w:r w:rsidRPr="007C0C2D">
              <w:rPr>
                <w:rFonts w:cs="Arial"/>
                <w:b/>
                <w:bCs/>
                <w:color w:val="000000"/>
                <w:szCs w:val="22"/>
                <w:vertAlign w:val="superscript"/>
              </w:rPr>
              <w:t>1</w:t>
            </w:r>
            <w:r w:rsidRPr="007C0C2D">
              <w:rPr>
                <w:rFonts w:cs="Arial"/>
                <w:b/>
                <w:bCs/>
                <w:color w:val="000000"/>
                <w:szCs w:val="22"/>
              </w:rPr>
              <w:t xml:space="preserve"> A</w:t>
            </w:r>
          </w:p>
        </w:tc>
        <w:tc>
          <w:tcPr>
            <w:tcW w:w="1728" w:type="dxa"/>
            <w:tcBorders>
              <w:top w:val="nil"/>
              <w:left w:val="nil"/>
              <w:bottom w:val="single" w:sz="8" w:space="0" w:color="auto"/>
              <w:right w:val="single" w:sz="8" w:space="0" w:color="auto"/>
            </w:tcBorders>
            <w:shd w:val="clear" w:color="000000" w:fill="FFFFCC"/>
            <w:tcMar>
              <w:right w:w="113" w:type="dxa"/>
            </w:tcMar>
            <w:vAlign w:val="bottom"/>
          </w:tcPr>
          <w:p w:rsidR="00A97702" w:rsidRPr="007C0C2D" w:rsidRDefault="00A97702" w:rsidP="00DA1C9D">
            <w:pPr>
              <w:keepNext/>
              <w:keepLines/>
              <w:spacing w:before="60" w:after="60"/>
              <w:jc w:val="center"/>
              <w:rPr>
                <w:rFonts w:cs="Arial"/>
                <w:b/>
                <w:bCs/>
                <w:color w:val="000000"/>
                <w:szCs w:val="22"/>
              </w:rPr>
            </w:pPr>
            <w:r w:rsidRPr="007C0C2D">
              <w:rPr>
                <w:rFonts w:cs="Arial"/>
                <w:b/>
                <w:bCs/>
                <w:color w:val="000000"/>
                <w:szCs w:val="22"/>
              </w:rPr>
              <w:t>Residential</w:t>
            </w:r>
            <w:r w:rsidRPr="007C0C2D">
              <w:rPr>
                <w:rFonts w:cs="Arial"/>
                <w:b/>
                <w:bCs/>
                <w:color w:val="000000"/>
                <w:szCs w:val="22"/>
                <w:vertAlign w:val="superscript"/>
              </w:rPr>
              <w:t>1</w:t>
            </w:r>
            <w:r w:rsidRPr="007C0C2D">
              <w:rPr>
                <w:rFonts w:cs="Arial"/>
                <w:b/>
                <w:bCs/>
                <w:color w:val="000000"/>
                <w:szCs w:val="22"/>
              </w:rPr>
              <w:t xml:space="preserve"> B</w:t>
            </w:r>
          </w:p>
        </w:tc>
        <w:tc>
          <w:tcPr>
            <w:tcW w:w="1728" w:type="dxa"/>
            <w:tcBorders>
              <w:top w:val="nil"/>
              <w:left w:val="nil"/>
              <w:bottom w:val="single" w:sz="8" w:space="0" w:color="auto"/>
              <w:right w:val="single" w:sz="8" w:space="0" w:color="auto"/>
            </w:tcBorders>
            <w:shd w:val="clear" w:color="000000" w:fill="F2DDDC"/>
            <w:tcMar>
              <w:right w:w="113" w:type="dxa"/>
            </w:tcMar>
            <w:vAlign w:val="bottom"/>
          </w:tcPr>
          <w:p w:rsidR="00A97702" w:rsidRPr="007C0C2D" w:rsidRDefault="00A97702" w:rsidP="00DA1C9D">
            <w:pPr>
              <w:keepNext/>
              <w:keepLines/>
              <w:spacing w:before="60" w:after="60"/>
              <w:jc w:val="center"/>
              <w:rPr>
                <w:rFonts w:cs="Arial"/>
                <w:b/>
                <w:bCs/>
                <w:color w:val="000000"/>
                <w:szCs w:val="22"/>
              </w:rPr>
            </w:pPr>
            <w:r w:rsidRPr="007C0C2D">
              <w:rPr>
                <w:rFonts w:cs="Arial"/>
                <w:b/>
                <w:bCs/>
                <w:color w:val="000000"/>
                <w:szCs w:val="22"/>
              </w:rPr>
              <w:t>Recreational</w:t>
            </w:r>
            <w:r w:rsidRPr="007C0C2D">
              <w:rPr>
                <w:rFonts w:cs="Arial"/>
                <w:b/>
                <w:bCs/>
                <w:color w:val="000000"/>
                <w:szCs w:val="22"/>
                <w:vertAlign w:val="superscript"/>
              </w:rPr>
              <w:t>1</w:t>
            </w:r>
            <w:r w:rsidRPr="007C0C2D">
              <w:rPr>
                <w:rFonts w:cs="Arial"/>
                <w:b/>
                <w:bCs/>
                <w:color w:val="000000"/>
                <w:szCs w:val="22"/>
              </w:rPr>
              <w:t xml:space="preserve"> C</w:t>
            </w:r>
          </w:p>
        </w:tc>
        <w:tc>
          <w:tcPr>
            <w:tcW w:w="1728" w:type="dxa"/>
            <w:tcBorders>
              <w:top w:val="nil"/>
              <w:left w:val="nil"/>
              <w:bottom w:val="single" w:sz="8" w:space="0" w:color="auto"/>
              <w:right w:val="single" w:sz="8" w:space="0" w:color="auto"/>
            </w:tcBorders>
            <w:shd w:val="clear" w:color="auto" w:fill="DBE5F1"/>
            <w:tcMar>
              <w:right w:w="113" w:type="dxa"/>
            </w:tcMar>
            <w:vAlign w:val="bottom"/>
          </w:tcPr>
          <w:p w:rsidR="00A97702" w:rsidRPr="007C0C2D" w:rsidRDefault="00A97702" w:rsidP="00DA1C9D">
            <w:pPr>
              <w:keepNext/>
              <w:keepLines/>
              <w:spacing w:before="60" w:after="60"/>
              <w:jc w:val="center"/>
              <w:rPr>
                <w:rFonts w:cs="Arial"/>
                <w:b/>
                <w:bCs/>
                <w:color w:val="000000"/>
                <w:szCs w:val="22"/>
              </w:rPr>
            </w:pPr>
            <w:r w:rsidRPr="007C0C2D">
              <w:rPr>
                <w:rFonts w:cs="Arial"/>
                <w:b/>
                <w:bCs/>
                <w:color w:val="000000"/>
                <w:szCs w:val="22"/>
              </w:rPr>
              <w:t>Commercial/</w:t>
            </w:r>
            <w:r w:rsidRPr="007C0C2D">
              <w:rPr>
                <w:rFonts w:cs="Arial"/>
                <w:b/>
                <w:bCs/>
                <w:color w:val="000000"/>
                <w:szCs w:val="22"/>
              </w:rPr>
              <w:br/>
              <w:t>industrial</w:t>
            </w:r>
            <w:r w:rsidRPr="007C0C2D">
              <w:rPr>
                <w:rFonts w:cs="Arial"/>
                <w:b/>
                <w:bCs/>
                <w:color w:val="000000"/>
                <w:szCs w:val="22"/>
                <w:vertAlign w:val="superscript"/>
              </w:rPr>
              <w:t>1</w:t>
            </w:r>
            <w:r w:rsidRPr="007C0C2D">
              <w:rPr>
                <w:rFonts w:cs="Arial"/>
                <w:b/>
                <w:bCs/>
                <w:color w:val="000000"/>
                <w:szCs w:val="22"/>
              </w:rPr>
              <w:t xml:space="preserve"> D</w:t>
            </w:r>
          </w:p>
        </w:tc>
      </w:tr>
      <w:tr w:rsidR="00A97702" w:rsidRPr="007C0C2D" w:rsidTr="00DA1C9D">
        <w:trPr>
          <w:jc w:val="right"/>
        </w:trPr>
        <w:tc>
          <w:tcPr>
            <w:tcW w:w="9337" w:type="dxa"/>
            <w:gridSpan w:val="5"/>
            <w:tcBorders>
              <w:top w:val="single" w:sz="8" w:space="0" w:color="auto"/>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jc w:val="center"/>
              <w:rPr>
                <w:rFonts w:cs="Arial"/>
                <w:b/>
                <w:bCs/>
                <w:color w:val="000000"/>
                <w:szCs w:val="22"/>
              </w:rPr>
            </w:pPr>
            <w:r w:rsidRPr="007C0C2D">
              <w:rPr>
                <w:rFonts w:cs="Arial"/>
                <w:b/>
                <w:bCs/>
                <w:color w:val="000000"/>
                <w:szCs w:val="22"/>
              </w:rPr>
              <w:t>Metals and Inorganics</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Arsenic</w:t>
            </w:r>
            <w:r w:rsidRPr="007C0C2D">
              <w:rPr>
                <w:rFonts w:cs="Arial"/>
                <w:color w:val="000000"/>
                <w:szCs w:val="22"/>
                <w:vertAlign w:val="superscript"/>
              </w:rPr>
              <w:t>2</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500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3 </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Beryllium</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500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Boron</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4500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40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20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300 </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Cadmium</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150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Chromium (VI)</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500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3600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Cobalt</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4</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Copper</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30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17</w:t>
            </w:r>
            <w:r>
              <w:rPr>
                <w:rFonts w:cs="Arial"/>
                <w:color w:val="000000"/>
                <w:szCs w:val="22"/>
              </w:rPr>
              <w:t xml:space="preserve">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24</w:t>
            </w:r>
            <w:r>
              <w:rPr>
                <w:rFonts w:cs="Arial"/>
                <w:color w:val="000000"/>
                <w:szCs w:val="22"/>
              </w:rPr>
              <w:t xml:space="preserve">0 </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Lead</w:t>
            </w:r>
            <w:r w:rsidRPr="007C0C2D">
              <w:rPr>
                <w:rFonts w:cs="Arial"/>
                <w:color w:val="000000"/>
                <w:szCs w:val="22"/>
                <w:vertAlign w:val="superscript"/>
              </w:rPr>
              <w:t>3</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1</w:t>
            </w:r>
            <w:r w:rsidRPr="007C0C2D">
              <w:rPr>
                <w:rFonts w:cs="Arial"/>
                <w:color w:val="000000"/>
                <w:szCs w:val="22"/>
              </w:rPr>
              <w:t>200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1 </w:t>
            </w:r>
            <w:r w:rsidRPr="007C0C2D">
              <w:rPr>
                <w:rFonts w:cs="Arial"/>
                <w:color w:val="000000"/>
                <w:szCs w:val="22"/>
              </w:rPr>
              <w:t>500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Manganese</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3</w:t>
            </w:r>
            <w:r w:rsidRPr="007C0C2D">
              <w:rPr>
                <w:rFonts w:cs="Arial"/>
                <w:color w:val="000000"/>
                <w:szCs w:val="22"/>
              </w:rPr>
              <w:t>800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14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19</w:t>
            </w:r>
            <w:r>
              <w:rPr>
                <w:rFonts w:cs="Arial"/>
                <w:color w:val="000000"/>
                <w:szCs w:val="22"/>
              </w:rPr>
              <w:t xml:space="preserve">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w:t>
            </w:r>
            <w:r>
              <w:rPr>
                <w:rFonts w:cs="Arial"/>
                <w:color w:val="000000"/>
                <w:szCs w:val="22"/>
              </w:rPr>
              <w:t xml:space="preserve"> </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Mercury (inorganic)</w:t>
            </w:r>
            <w:r w:rsidRPr="007C0C2D">
              <w:rPr>
                <w:rFonts w:cs="Arial"/>
                <w:color w:val="000000"/>
                <w:szCs w:val="22"/>
                <w:vertAlign w:val="superscript"/>
              </w:rPr>
              <w:t>5</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120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80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730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Methyl mercury</w:t>
            </w:r>
            <w:r w:rsidRPr="007C0C2D">
              <w:rPr>
                <w:rFonts w:cs="Arial"/>
                <w:color w:val="000000"/>
                <w:szCs w:val="22"/>
                <w:vertAlign w:val="superscript"/>
              </w:rPr>
              <w:t>4</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13</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180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Nickel</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1</w:t>
            </w:r>
            <w:r w:rsidRPr="007C0C2D">
              <w:rPr>
                <w:rFonts w:cs="Arial"/>
                <w:color w:val="000000"/>
                <w:szCs w:val="22"/>
              </w:rPr>
              <w:t>200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1</w:t>
            </w:r>
            <w:r w:rsidRPr="007C0C2D">
              <w:rPr>
                <w:rFonts w:cs="Arial"/>
                <w:color w:val="000000"/>
                <w:szCs w:val="22"/>
              </w:rPr>
              <w:t>200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w:t>
            </w:r>
            <w:r>
              <w:rPr>
                <w:rFonts w:cs="Arial"/>
                <w:color w:val="000000"/>
                <w:szCs w:val="22"/>
              </w:rPr>
              <w:t xml:space="preserve"> </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Selenium</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1</w:t>
            </w:r>
            <w:r w:rsidRPr="007C0C2D">
              <w:rPr>
                <w:rFonts w:cs="Arial"/>
                <w:color w:val="000000"/>
                <w:szCs w:val="22"/>
              </w:rPr>
              <w:t>400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700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10 </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Zinc</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7400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60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30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400 </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Cyanide (free)</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250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240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w:t>
            </w:r>
            <w:r>
              <w:rPr>
                <w:rFonts w:cs="Arial"/>
                <w:color w:val="000000"/>
                <w:szCs w:val="22"/>
              </w:rPr>
              <w:t xml:space="preserve"> </w:t>
            </w:r>
            <w:r w:rsidRPr="007C0C2D">
              <w:rPr>
                <w:rFonts w:cs="Arial"/>
                <w:color w:val="000000"/>
                <w:szCs w:val="22"/>
              </w:rPr>
              <w:t>500</w:t>
            </w:r>
          </w:p>
        </w:tc>
      </w:tr>
      <w:tr w:rsidR="00A97702" w:rsidRPr="007C0C2D" w:rsidTr="00DA1C9D">
        <w:trPr>
          <w:jc w:val="right"/>
        </w:trPr>
        <w:tc>
          <w:tcPr>
            <w:tcW w:w="9337" w:type="dxa"/>
            <w:gridSpan w:val="5"/>
            <w:tcBorders>
              <w:top w:val="single" w:sz="4" w:space="0" w:color="auto"/>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jc w:val="center"/>
              <w:rPr>
                <w:rFonts w:cs="Arial"/>
                <w:b/>
                <w:bCs/>
                <w:color w:val="000000"/>
                <w:szCs w:val="22"/>
              </w:rPr>
            </w:pPr>
            <w:r w:rsidRPr="007C0C2D">
              <w:rPr>
                <w:rFonts w:cs="Arial"/>
                <w:b/>
                <w:bCs/>
                <w:color w:val="000000"/>
                <w:szCs w:val="22"/>
              </w:rPr>
              <w:t>Polycyclic Aromatic Hydrocarbons (PAHs)</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 xml:space="preserve">Carcinogenic PAHs </w:t>
            </w:r>
          </w:p>
          <w:p w:rsidR="00A97702" w:rsidRPr="007C0C2D" w:rsidRDefault="00A97702" w:rsidP="00DA1C9D">
            <w:pPr>
              <w:keepNext/>
              <w:keepLines/>
              <w:spacing w:before="20" w:after="20"/>
              <w:rPr>
                <w:rFonts w:cs="Arial"/>
                <w:color w:val="000000"/>
                <w:szCs w:val="22"/>
              </w:rPr>
            </w:pPr>
            <w:r w:rsidRPr="007C0C2D">
              <w:rPr>
                <w:rFonts w:cs="Arial"/>
                <w:color w:val="000000"/>
                <w:szCs w:val="22"/>
              </w:rPr>
              <w:t>(as BaP TEQ)</w:t>
            </w:r>
            <w:r w:rsidRPr="007C0C2D">
              <w:rPr>
                <w:rFonts w:cs="Arial"/>
                <w:color w:val="000000"/>
                <w:szCs w:val="22"/>
                <w:vertAlign w:val="superscript"/>
              </w:rPr>
              <w:t>6</w:t>
            </w:r>
            <w:r w:rsidRPr="007C0C2D">
              <w:rPr>
                <w:rFonts w:cs="Arial"/>
                <w:color w:val="000000"/>
                <w:szCs w:val="22"/>
              </w:rPr>
              <w:t xml:space="preserve">  </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vertAlign w:val="superscript"/>
              </w:rPr>
            </w:pPr>
            <w:r w:rsidRPr="007C0C2D">
              <w:rPr>
                <w:rFonts w:cs="Arial"/>
                <w:color w:val="000000"/>
                <w:szCs w:val="22"/>
              </w:rPr>
              <w:t>Total PAHs</w:t>
            </w:r>
            <w:r w:rsidRPr="007C0C2D">
              <w:rPr>
                <w:rFonts w:cs="Arial"/>
                <w:color w:val="000000"/>
                <w:szCs w:val="22"/>
                <w:vertAlign w:val="superscript"/>
              </w:rPr>
              <w:t>7</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4</w:t>
            </w:r>
            <w:r w:rsidRPr="007C0C2D">
              <w:rPr>
                <w:rFonts w:cs="Arial"/>
                <w:color w:val="000000"/>
                <w:szCs w:val="22"/>
              </w:rPr>
              <w:t>000</w:t>
            </w:r>
          </w:p>
        </w:tc>
      </w:tr>
      <w:tr w:rsidR="00A97702" w:rsidRPr="007C0C2D" w:rsidTr="00DA1C9D">
        <w:trPr>
          <w:jc w:val="right"/>
        </w:trPr>
        <w:tc>
          <w:tcPr>
            <w:tcW w:w="9337" w:type="dxa"/>
            <w:gridSpan w:val="5"/>
            <w:tcBorders>
              <w:top w:val="single" w:sz="4" w:space="0" w:color="auto"/>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jc w:val="center"/>
              <w:rPr>
                <w:rFonts w:cs="Arial"/>
                <w:b/>
                <w:bCs/>
                <w:color w:val="000000"/>
                <w:szCs w:val="22"/>
              </w:rPr>
            </w:pPr>
            <w:r w:rsidRPr="007C0C2D">
              <w:rPr>
                <w:rFonts w:cs="Arial"/>
                <w:b/>
                <w:bCs/>
                <w:color w:val="000000"/>
                <w:szCs w:val="22"/>
              </w:rPr>
              <w:t>Phenols</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Phenol</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3</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45</w:t>
            </w:r>
            <w:r>
              <w:rPr>
                <w:rFonts w:cs="Arial"/>
                <w:color w:val="000000"/>
                <w:szCs w:val="22"/>
              </w:rPr>
              <w:t xml:space="preserve">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w:t>
            </w:r>
            <w:r>
              <w:rPr>
                <w:rFonts w:cs="Arial"/>
                <w:color w:val="000000"/>
                <w:szCs w:val="22"/>
              </w:rPr>
              <w:t xml:space="preserve">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24</w:t>
            </w:r>
            <w:r>
              <w:rPr>
                <w:rFonts w:cs="Arial"/>
                <w:color w:val="000000"/>
                <w:szCs w:val="22"/>
              </w:rPr>
              <w:t xml:space="preserve">0 </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Pentachlorophenol</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130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120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660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Cresols</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w:t>
            </w:r>
            <w:r>
              <w:rPr>
                <w:rFonts w:cs="Arial"/>
                <w:color w:val="000000"/>
                <w:szCs w:val="22"/>
              </w:rPr>
              <w:t xml:space="preserve"> </w:t>
            </w:r>
            <w:r w:rsidRPr="007C0C2D">
              <w:rPr>
                <w:rFonts w:cs="Arial"/>
                <w:color w:val="000000"/>
                <w:szCs w:val="22"/>
              </w:rPr>
              <w:t>700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 xml:space="preserve">4 </w:t>
            </w:r>
            <w:r w:rsidRPr="007C0C2D">
              <w:rPr>
                <w:rFonts w:cs="Arial"/>
                <w:color w:val="000000"/>
                <w:szCs w:val="22"/>
              </w:rPr>
              <w:t>000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25</w:t>
            </w:r>
            <w:r>
              <w:rPr>
                <w:rFonts w:cs="Arial"/>
                <w:color w:val="000000"/>
                <w:szCs w:val="22"/>
              </w:rPr>
              <w:t xml:space="preserve"> </w:t>
            </w:r>
            <w:r w:rsidRPr="007C0C2D">
              <w:rPr>
                <w:rFonts w:cs="Arial"/>
                <w:color w:val="000000"/>
                <w:szCs w:val="22"/>
              </w:rPr>
              <w:t>000</w:t>
            </w:r>
          </w:p>
        </w:tc>
      </w:tr>
      <w:tr w:rsidR="00A97702" w:rsidRPr="007C0C2D" w:rsidTr="00DA1C9D">
        <w:trPr>
          <w:jc w:val="right"/>
        </w:trPr>
        <w:tc>
          <w:tcPr>
            <w:tcW w:w="9337" w:type="dxa"/>
            <w:gridSpan w:val="5"/>
            <w:tcBorders>
              <w:top w:val="single" w:sz="4" w:space="0" w:color="auto"/>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jc w:val="center"/>
              <w:rPr>
                <w:rFonts w:cs="Arial"/>
                <w:b/>
                <w:bCs/>
                <w:color w:val="000000"/>
                <w:szCs w:val="22"/>
              </w:rPr>
            </w:pPr>
            <w:r w:rsidRPr="007C0C2D">
              <w:rPr>
                <w:rFonts w:cs="Arial"/>
                <w:b/>
                <w:bCs/>
                <w:color w:val="000000"/>
                <w:szCs w:val="22"/>
              </w:rPr>
              <w:t>Organochlorine Pesticides</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DDT+DDE+DDD</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240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3600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Aldrin and dieldrin</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45</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Chlordane</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50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70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530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Endosulfan</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270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340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2</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Endrin</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Heptachlor</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50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HCB</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15</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80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Methoxychlor</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500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2</w:t>
            </w:r>
            <w:r w:rsidRPr="007C0C2D">
              <w:rPr>
                <w:rFonts w:cs="Arial"/>
                <w:color w:val="000000"/>
                <w:szCs w:val="22"/>
              </w:rPr>
              <w:t>500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Mirex</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Toxaphene</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160</w:t>
            </w:r>
          </w:p>
        </w:tc>
      </w:tr>
      <w:tr w:rsidR="00A97702" w:rsidRPr="007C0C2D" w:rsidTr="00DA1C9D">
        <w:trPr>
          <w:jc w:val="right"/>
        </w:trPr>
        <w:tc>
          <w:tcPr>
            <w:tcW w:w="9337" w:type="dxa"/>
            <w:gridSpan w:val="5"/>
            <w:tcBorders>
              <w:top w:val="single" w:sz="4" w:space="0" w:color="auto"/>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jc w:val="center"/>
              <w:rPr>
                <w:rFonts w:cs="Arial"/>
                <w:b/>
                <w:bCs/>
                <w:color w:val="000000"/>
                <w:szCs w:val="22"/>
              </w:rPr>
            </w:pPr>
            <w:r w:rsidRPr="007C0C2D">
              <w:rPr>
                <w:rFonts w:cs="Arial"/>
                <w:b/>
                <w:bCs/>
                <w:color w:val="000000"/>
                <w:szCs w:val="22"/>
              </w:rPr>
              <w:t>Herbicides</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2,4,5-T</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800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5</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2,4-D</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1600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1</w:t>
            </w:r>
            <w:r w:rsidRPr="007C0C2D">
              <w:rPr>
                <w:rFonts w:cs="Arial"/>
                <w:color w:val="000000"/>
                <w:szCs w:val="22"/>
              </w:rPr>
              <w:t>300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9</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MCPA</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800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5</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lastRenderedPageBreak/>
              <w:t>MCPB</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800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5</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Mecoprop</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900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800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5</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Picloram</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4500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6</w:t>
            </w: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5</w:t>
            </w:r>
            <w:r w:rsidRPr="007C0C2D">
              <w:rPr>
                <w:rFonts w:cs="Arial"/>
                <w:color w:val="000000"/>
                <w:szCs w:val="22"/>
              </w:rPr>
              <w:t>700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35000</w:t>
            </w:r>
          </w:p>
        </w:tc>
      </w:tr>
      <w:tr w:rsidR="00A97702" w:rsidRPr="007C0C2D" w:rsidTr="00DA1C9D">
        <w:trPr>
          <w:jc w:val="right"/>
        </w:trPr>
        <w:tc>
          <w:tcPr>
            <w:tcW w:w="9337" w:type="dxa"/>
            <w:gridSpan w:val="5"/>
            <w:tcBorders>
              <w:top w:val="single" w:sz="4" w:space="0" w:color="auto"/>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jc w:val="center"/>
              <w:rPr>
                <w:rFonts w:cs="Arial"/>
                <w:b/>
                <w:bCs/>
                <w:color w:val="000000"/>
                <w:szCs w:val="22"/>
              </w:rPr>
            </w:pPr>
            <w:r w:rsidRPr="007C0C2D">
              <w:rPr>
                <w:rFonts w:cs="Arial"/>
                <w:b/>
                <w:bCs/>
                <w:color w:val="000000"/>
                <w:szCs w:val="22"/>
              </w:rPr>
              <w:t>Other Pesticides</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Atrazine</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320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470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400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2</w:t>
            </w:r>
            <w:r w:rsidRPr="007C0C2D">
              <w:rPr>
                <w:rFonts w:cs="Arial"/>
                <w:color w:val="000000"/>
                <w:szCs w:val="22"/>
              </w:rPr>
              <w:t>500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Chlorpyrifos</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160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340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250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2</w:t>
            </w:r>
            <w:r w:rsidRPr="007C0C2D">
              <w:rPr>
                <w:rFonts w:cs="Arial"/>
                <w:color w:val="000000"/>
                <w:szCs w:val="22"/>
              </w:rPr>
              <w:t>000</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Bifenthrin</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600</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840</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730</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Pr>
                <w:rFonts w:cs="Arial"/>
                <w:color w:val="000000"/>
                <w:szCs w:val="22"/>
              </w:rPr>
              <w:t>4</w:t>
            </w:r>
            <w:r w:rsidRPr="007C0C2D">
              <w:rPr>
                <w:rFonts w:cs="Arial"/>
                <w:color w:val="000000"/>
                <w:szCs w:val="22"/>
              </w:rPr>
              <w:t>500</w:t>
            </w:r>
          </w:p>
        </w:tc>
      </w:tr>
      <w:tr w:rsidR="00A97702" w:rsidRPr="007C0C2D" w:rsidTr="00DA1C9D">
        <w:trPr>
          <w:jc w:val="right"/>
        </w:trPr>
        <w:tc>
          <w:tcPr>
            <w:tcW w:w="9337" w:type="dxa"/>
            <w:gridSpan w:val="5"/>
            <w:tcBorders>
              <w:top w:val="single" w:sz="4" w:space="0" w:color="auto"/>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jc w:val="center"/>
              <w:rPr>
                <w:rFonts w:cs="Arial"/>
                <w:b/>
                <w:bCs/>
                <w:color w:val="000000"/>
                <w:szCs w:val="22"/>
              </w:rPr>
            </w:pPr>
            <w:r w:rsidRPr="007C0C2D">
              <w:rPr>
                <w:rFonts w:cs="Arial"/>
                <w:b/>
                <w:bCs/>
                <w:color w:val="000000"/>
                <w:szCs w:val="22"/>
              </w:rPr>
              <w:t>Other Organics</w:t>
            </w:r>
          </w:p>
        </w:tc>
      </w:tr>
      <w:tr w:rsidR="00A97702" w:rsidRPr="007C0C2D" w:rsidTr="00DA1C9D">
        <w:trPr>
          <w:jc w:val="right"/>
        </w:trPr>
        <w:tc>
          <w:tcPr>
            <w:tcW w:w="2425" w:type="dxa"/>
            <w:tcBorders>
              <w:top w:val="nil"/>
              <w:left w:val="single" w:sz="8" w:space="0" w:color="auto"/>
              <w:bottom w:val="single" w:sz="4" w:space="0" w:color="auto"/>
              <w:right w:val="single" w:sz="8" w:space="0" w:color="auto"/>
            </w:tcBorders>
            <w:shd w:val="clear" w:color="auto" w:fill="auto"/>
            <w:noWrap/>
            <w:vAlign w:val="bottom"/>
          </w:tcPr>
          <w:p w:rsidR="00A97702" w:rsidRPr="007C0C2D" w:rsidRDefault="00A97702" w:rsidP="00DA1C9D">
            <w:pPr>
              <w:keepNext/>
              <w:keepLines/>
              <w:spacing w:before="20" w:after="20"/>
              <w:rPr>
                <w:rFonts w:cs="Arial"/>
                <w:color w:val="000000"/>
                <w:szCs w:val="22"/>
              </w:rPr>
            </w:pPr>
            <w:r w:rsidRPr="007C0C2D">
              <w:rPr>
                <w:rFonts w:cs="Arial"/>
                <w:color w:val="000000"/>
                <w:szCs w:val="22"/>
              </w:rPr>
              <w:t>PCBs</w:t>
            </w:r>
            <w:r w:rsidRPr="007C0C2D">
              <w:rPr>
                <w:rFonts w:cs="Arial"/>
                <w:color w:val="000000"/>
                <w:szCs w:val="22"/>
                <w:vertAlign w:val="superscript"/>
              </w:rPr>
              <w:t>8</w:t>
            </w:r>
          </w:p>
        </w:tc>
        <w:tc>
          <w:tcPr>
            <w:tcW w:w="1728" w:type="dxa"/>
            <w:tcBorders>
              <w:top w:val="nil"/>
              <w:left w:val="nil"/>
              <w:bottom w:val="single" w:sz="4"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w:t>
            </w:r>
          </w:p>
        </w:tc>
        <w:tc>
          <w:tcPr>
            <w:tcW w:w="1728" w:type="dxa"/>
            <w:tcBorders>
              <w:top w:val="nil"/>
              <w:left w:val="nil"/>
              <w:bottom w:val="single" w:sz="4"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w:t>
            </w:r>
          </w:p>
        </w:tc>
        <w:tc>
          <w:tcPr>
            <w:tcW w:w="1728" w:type="dxa"/>
            <w:tcBorders>
              <w:top w:val="nil"/>
              <w:left w:val="nil"/>
              <w:bottom w:val="single" w:sz="4"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w:t>
            </w:r>
          </w:p>
        </w:tc>
        <w:tc>
          <w:tcPr>
            <w:tcW w:w="1728" w:type="dxa"/>
            <w:tcBorders>
              <w:top w:val="nil"/>
              <w:left w:val="nil"/>
              <w:bottom w:val="single" w:sz="4"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7</w:t>
            </w:r>
          </w:p>
        </w:tc>
      </w:tr>
      <w:tr w:rsidR="00A97702" w:rsidRPr="007C0C2D" w:rsidTr="00DA1C9D">
        <w:trPr>
          <w:jc w:val="right"/>
        </w:trPr>
        <w:tc>
          <w:tcPr>
            <w:tcW w:w="2425" w:type="dxa"/>
            <w:tcBorders>
              <w:top w:val="nil"/>
              <w:left w:val="single" w:sz="8" w:space="0" w:color="auto"/>
              <w:bottom w:val="single" w:sz="8" w:space="0" w:color="auto"/>
              <w:right w:val="single" w:sz="8" w:space="0" w:color="auto"/>
            </w:tcBorders>
            <w:shd w:val="clear" w:color="auto" w:fill="auto"/>
            <w:noWrap/>
            <w:vAlign w:val="bottom"/>
          </w:tcPr>
          <w:p w:rsidR="00A97702" w:rsidRPr="007C0C2D" w:rsidRDefault="00A97702" w:rsidP="00DA1C9D">
            <w:pPr>
              <w:keepLines/>
              <w:spacing w:before="20" w:after="20"/>
              <w:rPr>
                <w:rFonts w:cs="Arial"/>
                <w:color w:val="000000"/>
                <w:szCs w:val="22"/>
                <w:lang w:val="fr-FR"/>
              </w:rPr>
            </w:pPr>
            <w:r w:rsidRPr="007C0C2D">
              <w:rPr>
                <w:rFonts w:cs="Arial"/>
                <w:color w:val="000000"/>
                <w:szCs w:val="22"/>
                <w:lang w:val="fr-FR"/>
              </w:rPr>
              <w:t xml:space="preserve">PBDE Flame Retardants </w:t>
            </w:r>
            <w:r>
              <w:rPr>
                <w:rFonts w:cs="Arial"/>
                <w:color w:val="000000"/>
                <w:szCs w:val="22"/>
                <w:lang w:val="fr-FR"/>
              </w:rPr>
              <w:t>(</w:t>
            </w:r>
            <w:r w:rsidRPr="007C0C2D">
              <w:rPr>
                <w:rFonts w:cs="Arial"/>
                <w:color w:val="000000"/>
                <w:szCs w:val="22"/>
                <w:lang w:val="fr-FR"/>
              </w:rPr>
              <w:t>Br1</w:t>
            </w:r>
            <w:r w:rsidRPr="007C0C2D">
              <w:rPr>
                <w:rFonts w:cs="Arial"/>
                <w:color w:val="000000"/>
                <w:szCs w:val="22"/>
                <w:lang w:val="fr-FR"/>
              </w:rPr>
              <w:sym w:font="Symbol" w:char="F02D"/>
            </w:r>
            <w:r w:rsidRPr="007C0C2D">
              <w:rPr>
                <w:rFonts w:cs="Arial"/>
                <w:color w:val="000000"/>
                <w:szCs w:val="22"/>
                <w:lang w:val="fr-FR"/>
              </w:rPr>
              <w:t>Br9)</w:t>
            </w:r>
          </w:p>
        </w:tc>
        <w:tc>
          <w:tcPr>
            <w:tcW w:w="1728" w:type="dxa"/>
            <w:tcBorders>
              <w:top w:val="nil"/>
              <w:left w:val="nil"/>
              <w:bottom w:val="single" w:sz="8" w:space="0" w:color="auto"/>
              <w:right w:val="single" w:sz="8" w:space="0" w:color="auto"/>
            </w:tcBorders>
            <w:shd w:val="clear" w:color="000000" w:fill="EAF1DD"/>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w:t>
            </w:r>
          </w:p>
        </w:tc>
        <w:tc>
          <w:tcPr>
            <w:tcW w:w="1728" w:type="dxa"/>
            <w:tcBorders>
              <w:top w:val="nil"/>
              <w:left w:val="nil"/>
              <w:bottom w:val="single" w:sz="8" w:space="0" w:color="auto"/>
              <w:right w:val="single" w:sz="8" w:space="0" w:color="auto"/>
            </w:tcBorders>
            <w:shd w:val="clear" w:color="000000" w:fill="FFFFC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w:t>
            </w:r>
          </w:p>
        </w:tc>
        <w:tc>
          <w:tcPr>
            <w:tcW w:w="1728" w:type="dxa"/>
            <w:tcBorders>
              <w:top w:val="nil"/>
              <w:left w:val="nil"/>
              <w:bottom w:val="single" w:sz="8" w:space="0" w:color="auto"/>
              <w:right w:val="single" w:sz="8" w:space="0" w:color="auto"/>
            </w:tcBorders>
            <w:shd w:val="clear" w:color="000000" w:fill="F2DDDC"/>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2</w:t>
            </w:r>
          </w:p>
        </w:tc>
        <w:tc>
          <w:tcPr>
            <w:tcW w:w="1728" w:type="dxa"/>
            <w:tcBorders>
              <w:top w:val="nil"/>
              <w:left w:val="nil"/>
              <w:bottom w:val="single" w:sz="8" w:space="0" w:color="auto"/>
              <w:right w:val="single" w:sz="8" w:space="0" w:color="auto"/>
            </w:tcBorders>
            <w:shd w:val="clear" w:color="000000" w:fill="DBE5F1"/>
            <w:noWrap/>
            <w:vAlign w:val="bottom"/>
          </w:tcPr>
          <w:p w:rsidR="00A97702" w:rsidRPr="007C0C2D" w:rsidRDefault="00A97702" w:rsidP="00DA1C9D">
            <w:pPr>
              <w:keepNext/>
              <w:keepLines/>
              <w:spacing w:before="20"/>
              <w:jc w:val="right"/>
              <w:rPr>
                <w:rFonts w:cs="Arial"/>
                <w:color w:val="000000"/>
                <w:szCs w:val="22"/>
              </w:rPr>
            </w:pPr>
            <w:r w:rsidRPr="007C0C2D">
              <w:rPr>
                <w:rFonts w:cs="Arial"/>
                <w:color w:val="000000"/>
                <w:szCs w:val="22"/>
              </w:rPr>
              <w:t>10</w:t>
            </w:r>
          </w:p>
        </w:tc>
      </w:tr>
    </w:tbl>
    <w:p w:rsidR="00A97702" w:rsidRDefault="00A97702" w:rsidP="00A97702">
      <w:pPr>
        <w:pStyle w:val="Note"/>
        <w:rPr>
          <w:rFonts w:ascii="Arial" w:hAnsi="Arial" w:cs="Arial"/>
          <w:b/>
          <w:sz w:val="18"/>
          <w:szCs w:val="18"/>
        </w:rPr>
      </w:pPr>
    </w:p>
    <w:p w:rsidR="00A97702" w:rsidRPr="00C41C09" w:rsidRDefault="00A97702" w:rsidP="00A97702">
      <w:pPr>
        <w:pStyle w:val="Note"/>
        <w:rPr>
          <w:rFonts w:cs="Arial"/>
          <w:b/>
          <w:sz w:val="18"/>
          <w:szCs w:val="18"/>
        </w:rPr>
      </w:pPr>
      <w:r w:rsidRPr="00C41C09">
        <w:rPr>
          <w:rFonts w:cs="Arial"/>
          <w:b/>
          <w:sz w:val="18"/>
          <w:szCs w:val="18"/>
        </w:rPr>
        <w:t>Notes:</w:t>
      </w:r>
    </w:p>
    <w:p w:rsidR="00A97702" w:rsidRPr="00C41C09" w:rsidRDefault="00A97702" w:rsidP="00A97702">
      <w:pPr>
        <w:numPr>
          <w:ilvl w:val="0"/>
          <w:numId w:val="17"/>
        </w:numPr>
        <w:spacing w:before="80" w:after="120" w:line="240" w:lineRule="auto"/>
        <w:ind w:left="357"/>
        <w:jc w:val="both"/>
        <w:rPr>
          <w:rFonts w:cs="Arial"/>
          <w:color w:val="000000"/>
          <w:sz w:val="18"/>
          <w:szCs w:val="18"/>
        </w:rPr>
      </w:pPr>
      <w:r w:rsidRPr="00C41C09">
        <w:rPr>
          <w:rFonts w:cs="Arial"/>
          <w:color w:val="000000"/>
          <w:sz w:val="18"/>
          <w:szCs w:val="18"/>
        </w:rPr>
        <w:t>Generic land uses are described in detail in Schedule B7 Section 3</w:t>
      </w:r>
    </w:p>
    <w:p w:rsidR="00A97702" w:rsidRPr="00C41C09" w:rsidRDefault="00A97702" w:rsidP="00A97702">
      <w:pPr>
        <w:spacing w:before="80"/>
        <w:ind w:left="357"/>
        <w:rPr>
          <w:rFonts w:cs="Arial"/>
          <w:color w:val="000000"/>
          <w:sz w:val="18"/>
          <w:szCs w:val="18"/>
        </w:rPr>
      </w:pPr>
      <w:r w:rsidRPr="00C41C09">
        <w:rPr>
          <w:rFonts w:cs="Arial"/>
          <w:color w:val="000000"/>
          <w:sz w:val="18"/>
          <w:szCs w:val="18"/>
        </w:rPr>
        <w:t xml:space="preserve">HIL A </w:t>
      </w:r>
      <w:r w:rsidRPr="00C41C09">
        <w:rPr>
          <w:rFonts w:cs="Arial"/>
          <w:color w:val="000000"/>
          <w:sz w:val="18"/>
          <w:szCs w:val="18"/>
        </w:rPr>
        <w:sym w:font="Symbol" w:char="F02D"/>
      </w:r>
      <w:r w:rsidRPr="00C41C09">
        <w:rPr>
          <w:rFonts w:cs="Arial"/>
          <w:color w:val="000000"/>
          <w:sz w:val="18"/>
          <w:szCs w:val="18"/>
        </w:rPr>
        <w:t xml:space="preserve"> Residential with garden/accessible soil (home grown produce &lt;10% fruit and vegetable intake (no poultry), also includes childcare centres, preschools and primary schools.</w:t>
      </w:r>
    </w:p>
    <w:p w:rsidR="00A97702" w:rsidRPr="00C41C09" w:rsidRDefault="00A97702" w:rsidP="00A97702">
      <w:pPr>
        <w:spacing w:before="80"/>
        <w:ind w:left="357"/>
        <w:rPr>
          <w:rFonts w:cs="Arial"/>
          <w:color w:val="000000"/>
          <w:sz w:val="18"/>
          <w:szCs w:val="18"/>
        </w:rPr>
      </w:pPr>
      <w:r w:rsidRPr="00C41C09">
        <w:rPr>
          <w:rFonts w:cs="Arial"/>
          <w:color w:val="000000"/>
          <w:sz w:val="18"/>
          <w:szCs w:val="18"/>
        </w:rPr>
        <w:t xml:space="preserve">HIL B  </w:t>
      </w:r>
      <w:r w:rsidRPr="00C41C09">
        <w:rPr>
          <w:rFonts w:cs="Arial"/>
          <w:color w:val="000000"/>
          <w:sz w:val="18"/>
          <w:szCs w:val="18"/>
        </w:rPr>
        <w:sym w:font="Symbol" w:char="F02D"/>
      </w:r>
      <w:r w:rsidRPr="00C41C09">
        <w:rPr>
          <w:rFonts w:cs="Arial"/>
          <w:color w:val="000000"/>
          <w:sz w:val="18"/>
          <w:szCs w:val="18"/>
        </w:rPr>
        <w:t xml:space="preserve"> Residential with minimal opportunities for soil access; includes dwellings with fully and permanently paved yard space such as high-rise buildings and apartments.</w:t>
      </w:r>
    </w:p>
    <w:p w:rsidR="00A97702" w:rsidRPr="00C41C09" w:rsidRDefault="00A97702" w:rsidP="00A97702">
      <w:pPr>
        <w:spacing w:before="80"/>
        <w:ind w:left="357"/>
        <w:rPr>
          <w:rFonts w:cs="Arial"/>
          <w:color w:val="000000"/>
          <w:sz w:val="18"/>
          <w:szCs w:val="18"/>
        </w:rPr>
      </w:pPr>
      <w:r w:rsidRPr="00C41C09">
        <w:rPr>
          <w:rFonts w:cs="Arial"/>
          <w:color w:val="000000"/>
          <w:sz w:val="18"/>
          <w:szCs w:val="18"/>
        </w:rPr>
        <w:t xml:space="preserve">HIL C </w:t>
      </w:r>
      <w:r w:rsidRPr="00C41C09">
        <w:rPr>
          <w:rFonts w:cs="Arial"/>
          <w:color w:val="000000"/>
          <w:sz w:val="18"/>
          <w:szCs w:val="18"/>
        </w:rPr>
        <w:sym w:font="Symbol" w:char="F02D"/>
      </w:r>
      <w:r w:rsidRPr="00C41C09">
        <w:rPr>
          <w:rFonts w:cs="Arial"/>
          <w:color w:val="000000"/>
          <w:sz w:val="18"/>
          <w:szCs w:val="18"/>
        </w:rPr>
        <w:t xml:space="preserve"> Public open space such as parks, playgrounds, playing fields (e.g. ovals), secondary schools and footpaths. This does not include undeveloped public open space where the potential for exposure is lower and where a site-specific assessment may be more appropriate.</w:t>
      </w:r>
    </w:p>
    <w:p w:rsidR="00A97702" w:rsidRPr="00C41C09" w:rsidRDefault="00A97702" w:rsidP="00A97702">
      <w:pPr>
        <w:spacing w:before="80"/>
        <w:ind w:left="357"/>
        <w:rPr>
          <w:rFonts w:cs="Arial"/>
          <w:color w:val="000000"/>
          <w:sz w:val="18"/>
          <w:szCs w:val="18"/>
        </w:rPr>
      </w:pPr>
      <w:r w:rsidRPr="00C41C09">
        <w:rPr>
          <w:rFonts w:cs="Arial"/>
          <w:color w:val="000000"/>
          <w:sz w:val="18"/>
          <w:szCs w:val="18"/>
        </w:rPr>
        <w:t xml:space="preserve">HIL D </w:t>
      </w:r>
      <w:r w:rsidRPr="00C41C09">
        <w:rPr>
          <w:rFonts w:cs="Arial"/>
          <w:color w:val="000000"/>
          <w:sz w:val="18"/>
          <w:szCs w:val="18"/>
        </w:rPr>
        <w:sym w:font="Symbol" w:char="F02D"/>
      </w:r>
      <w:r w:rsidRPr="00C41C09">
        <w:rPr>
          <w:rFonts w:cs="Arial"/>
          <w:color w:val="000000"/>
          <w:sz w:val="18"/>
          <w:szCs w:val="18"/>
        </w:rPr>
        <w:t xml:space="preserve"> Commercial/industrial, includes premises such as shops, offices, factories and industrial sites.</w:t>
      </w:r>
    </w:p>
    <w:p w:rsidR="00A97702" w:rsidRPr="00C41C09" w:rsidRDefault="00A97702" w:rsidP="00A97702">
      <w:pPr>
        <w:numPr>
          <w:ilvl w:val="0"/>
          <w:numId w:val="17"/>
        </w:numPr>
        <w:spacing w:before="80" w:after="120" w:line="240" w:lineRule="auto"/>
        <w:ind w:left="357"/>
        <w:jc w:val="both"/>
        <w:rPr>
          <w:rFonts w:cs="Arial"/>
          <w:color w:val="000000"/>
          <w:sz w:val="18"/>
          <w:szCs w:val="18"/>
        </w:rPr>
      </w:pPr>
      <w:r w:rsidRPr="00C41C09">
        <w:rPr>
          <w:rFonts w:cs="Arial"/>
          <w:color w:val="000000"/>
          <w:sz w:val="18"/>
          <w:szCs w:val="18"/>
        </w:rPr>
        <w:t>Arsenic: HIL assumes 70% oral bioavailability. Site-specific bioavailability may be important and should be considered where appropriate (refer Schedule B7).</w:t>
      </w:r>
    </w:p>
    <w:p w:rsidR="00A97702" w:rsidRPr="00C41C09" w:rsidRDefault="00A97702" w:rsidP="00A97702">
      <w:pPr>
        <w:numPr>
          <w:ilvl w:val="0"/>
          <w:numId w:val="17"/>
        </w:numPr>
        <w:spacing w:before="80" w:after="120" w:line="240" w:lineRule="auto"/>
        <w:ind w:left="357"/>
        <w:jc w:val="both"/>
        <w:rPr>
          <w:rFonts w:cs="Arial"/>
          <w:color w:val="000000"/>
          <w:sz w:val="18"/>
          <w:szCs w:val="18"/>
        </w:rPr>
      </w:pPr>
      <w:r w:rsidRPr="00C41C09">
        <w:rPr>
          <w:rFonts w:cs="Arial"/>
          <w:color w:val="000000"/>
          <w:sz w:val="18"/>
          <w:szCs w:val="18"/>
        </w:rPr>
        <w:t>Lead: HIL is based on blood lead models (IEUBK for HILs A, B and C and adult lead model for HIL D where 50% oral bioavailability has been considered. Site-specific bioavailability may be important and should be considered where appropriate.</w:t>
      </w:r>
    </w:p>
    <w:p w:rsidR="00A97702" w:rsidRPr="00C41C09" w:rsidRDefault="00A97702" w:rsidP="00A97702">
      <w:pPr>
        <w:numPr>
          <w:ilvl w:val="0"/>
          <w:numId w:val="17"/>
        </w:numPr>
        <w:spacing w:before="80" w:after="120" w:line="240" w:lineRule="auto"/>
        <w:ind w:left="357"/>
        <w:jc w:val="both"/>
        <w:rPr>
          <w:rFonts w:cs="Arial"/>
          <w:color w:val="000000"/>
          <w:sz w:val="18"/>
          <w:szCs w:val="18"/>
        </w:rPr>
      </w:pPr>
      <w:r w:rsidRPr="00C41C09">
        <w:rPr>
          <w:rFonts w:cs="Arial"/>
          <w:color w:val="000000"/>
          <w:sz w:val="18"/>
          <w:szCs w:val="18"/>
        </w:rPr>
        <w:t>Methyl mercury: assessment of methyl mercury should only occur where there is evidence of its potential source. It may be associated with inorganic mercury and anaerobic microorganism activity in aquatic environments. In addition the reliability and quality of sampling/analysis should be considered.</w:t>
      </w:r>
    </w:p>
    <w:p w:rsidR="00A97702" w:rsidRPr="00C41C09" w:rsidRDefault="00A97702" w:rsidP="00A97702">
      <w:pPr>
        <w:numPr>
          <w:ilvl w:val="0"/>
          <w:numId w:val="17"/>
        </w:numPr>
        <w:spacing w:before="80" w:after="120" w:line="240" w:lineRule="auto"/>
        <w:ind w:left="357"/>
        <w:jc w:val="both"/>
        <w:rPr>
          <w:rFonts w:cs="Arial"/>
          <w:color w:val="000000"/>
          <w:sz w:val="18"/>
          <w:szCs w:val="18"/>
        </w:rPr>
      </w:pPr>
      <w:r w:rsidRPr="00C41C09">
        <w:rPr>
          <w:rFonts w:cs="Arial"/>
          <w:color w:val="000000"/>
          <w:sz w:val="18"/>
          <w:szCs w:val="18"/>
        </w:rPr>
        <w:t>Elemental mercury: HIL does not address elemental mercury. A site-specific assessment should be considered if elemental mercury is present, or suspected to be present,</w:t>
      </w:r>
    </w:p>
    <w:p w:rsidR="00A97702" w:rsidRPr="00C41C09" w:rsidRDefault="00A97702" w:rsidP="00A97702">
      <w:pPr>
        <w:numPr>
          <w:ilvl w:val="0"/>
          <w:numId w:val="17"/>
        </w:numPr>
        <w:spacing w:before="80" w:after="120" w:line="240" w:lineRule="auto"/>
        <w:ind w:left="357"/>
        <w:jc w:val="both"/>
        <w:rPr>
          <w:rFonts w:cs="Arial"/>
          <w:color w:val="000000"/>
          <w:sz w:val="18"/>
          <w:szCs w:val="18"/>
        </w:rPr>
      </w:pPr>
      <w:r w:rsidRPr="00C41C09">
        <w:rPr>
          <w:rFonts w:cs="Arial"/>
          <w:color w:val="000000"/>
          <w:sz w:val="18"/>
          <w:szCs w:val="18"/>
        </w:rPr>
        <w:t xml:space="preserve">Carcinogenic PAHs: HIL is based on the 8 carcinogenic PAHs and their TEFs (potency relative to B(a)P) adopted by CCME 2008 (refer Schedule B7). The B(a)P TEQ is calculated by multiplying the concentration of each carcinogenic PAH in the sample by its B(a)P TEF, given below, and summing these products. </w:t>
      </w:r>
    </w:p>
    <w:p w:rsidR="00A97702" w:rsidRPr="00E8129C" w:rsidRDefault="00A97702" w:rsidP="00A97702">
      <w:pPr>
        <w:spacing w:before="40"/>
        <w:rPr>
          <w:rFonts w:ascii="Arial" w:hAnsi="Arial" w:cs="Arial"/>
          <w:color w:val="000000"/>
          <w:sz w:val="16"/>
          <w:szCs w:val="16"/>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9"/>
        <w:gridCol w:w="709"/>
        <w:gridCol w:w="3413"/>
        <w:gridCol w:w="620"/>
      </w:tblGrid>
      <w:tr w:rsidR="00A97702" w:rsidRPr="00C41C09" w:rsidTr="00DA1C9D">
        <w:tc>
          <w:tcPr>
            <w:tcW w:w="3609" w:type="dxa"/>
            <w:shd w:val="clear" w:color="auto" w:fill="C6D9F1" w:themeFill="text2" w:themeFillTint="33"/>
          </w:tcPr>
          <w:p w:rsidR="00A97702" w:rsidRPr="00C41C09" w:rsidRDefault="00A97702" w:rsidP="00DA1C9D">
            <w:pPr>
              <w:pStyle w:val="text"/>
              <w:spacing w:before="60" w:after="60"/>
              <w:jc w:val="center"/>
              <w:rPr>
                <w:rFonts w:cs="Arial"/>
                <w:b/>
                <w:color w:val="000000"/>
                <w:szCs w:val="22"/>
              </w:rPr>
            </w:pPr>
            <w:r w:rsidRPr="00C41C09">
              <w:rPr>
                <w:rFonts w:cs="Arial"/>
                <w:b/>
                <w:color w:val="000000"/>
                <w:szCs w:val="22"/>
              </w:rPr>
              <w:t>PAH species</w:t>
            </w:r>
          </w:p>
        </w:tc>
        <w:tc>
          <w:tcPr>
            <w:tcW w:w="709" w:type="dxa"/>
            <w:shd w:val="clear" w:color="auto" w:fill="C6D9F1" w:themeFill="text2" w:themeFillTint="33"/>
          </w:tcPr>
          <w:p w:rsidR="00A97702" w:rsidRPr="00C41C09" w:rsidRDefault="00A97702" w:rsidP="00DA1C9D">
            <w:pPr>
              <w:pStyle w:val="text"/>
              <w:spacing w:before="60" w:after="60"/>
              <w:jc w:val="center"/>
              <w:rPr>
                <w:rFonts w:cs="Arial"/>
                <w:b/>
                <w:szCs w:val="22"/>
              </w:rPr>
            </w:pPr>
            <w:r w:rsidRPr="00C41C09">
              <w:rPr>
                <w:rFonts w:cs="Arial"/>
                <w:b/>
                <w:szCs w:val="22"/>
              </w:rPr>
              <w:t>TEF</w:t>
            </w:r>
          </w:p>
        </w:tc>
        <w:tc>
          <w:tcPr>
            <w:tcW w:w="3413" w:type="dxa"/>
            <w:shd w:val="clear" w:color="auto" w:fill="C6D9F1" w:themeFill="text2" w:themeFillTint="33"/>
          </w:tcPr>
          <w:p w:rsidR="00A97702" w:rsidRPr="00C41C09" w:rsidRDefault="00A97702" w:rsidP="00DA1C9D">
            <w:pPr>
              <w:pStyle w:val="text"/>
              <w:spacing w:before="60" w:after="60"/>
              <w:jc w:val="center"/>
              <w:rPr>
                <w:rFonts w:cs="Arial"/>
                <w:b/>
                <w:color w:val="000000"/>
                <w:szCs w:val="22"/>
              </w:rPr>
            </w:pPr>
            <w:r w:rsidRPr="00C41C09">
              <w:rPr>
                <w:rFonts w:cs="Arial"/>
                <w:b/>
                <w:color w:val="000000"/>
                <w:szCs w:val="22"/>
              </w:rPr>
              <w:t>PAH species</w:t>
            </w:r>
          </w:p>
        </w:tc>
        <w:tc>
          <w:tcPr>
            <w:tcW w:w="620" w:type="dxa"/>
            <w:shd w:val="clear" w:color="auto" w:fill="C6D9F1" w:themeFill="text2" w:themeFillTint="33"/>
          </w:tcPr>
          <w:p w:rsidR="00A97702" w:rsidRPr="00C41C09" w:rsidRDefault="00A97702" w:rsidP="00DA1C9D">
            <w:pPr>
              <w:pStyle w:val="text"/>
              <w:spacing w:before="60" w:after="60"/>
              <w:jc w:val="center"/>
              <w:rPr>
                <w:rFonts w:cs="Arial"/>
                <w:b/>
                <w:szCs w:val="22"/>
              </w:rPr>
            </w:pPr>
            <w:r w:rsidRPr="00C41C09">
              <w:rPr>
                <w:rFonts w:cs="Arial"/>
                <w:b/>
                <w:szCs w:val="22"/>
              </w:rPr>
              <w:t>TEF</w:t>
            </w:r>
          </w:p>
        </w:tc>
      </w:tr>
      <w:tr w:rsidR="00A97702" w:rsidRPr="00C41C09" w:rsidTr="00DA1C9D">
        <w:tc>
          <w:tcPr>
            <w:tcW w:w="3609" w:type="dxa"/>
          </w:tcPr>
          <w:p w:rsidR="00A97702" w:rsidRPr="00C41C09" w:rsidRDefault="00A97702" w:rsidP="00DA1C9D">
            <w:pPr>
              <w:pStyle w:val="text"/>
              <w:spacing w:before="60" w:after="60"/>
              <w:jc w:val="left"/>
              <w:rPr>
                <w:rFonts w:cs="Arial"/>
                <w:szCs w:val="22"/>
              </w:rPr>
            </w:pPr>
            <w:r w:rsidRPr="00C41C09">
              <w:rPr>
                <w:rFonts w:cs="Arial"/>
                <w:color w:val="000000"/>
                <w:szCs w:val="22"/>
              </w:rPr>
              <w:t>Benzo(a)anthracene</w:t>
            </w:r>
          </w:p>
        </w:tc>
        <w:tc>
          <w:tcPr>
            <w:tcW w:w="709" w:type="dxa"/>
          </w:tcPr>
          <w:p w:rsidR="00A97702" w:rsidRPr="00C41C09" w:rsidRDefault="00A97702" w:rsidP="00DA1C9D">
            <w:pPr>
              <w:pStyle w:val="text"/>
              <w:spacing w:before="60" w:after="60"/>
              <w:jc w:val="left"/>
              <w:rPr>
                <w:rFonts w:cs="Arial"/>
                <w:szCs w:val="22"/>
              </w:rPr>
            </w:pPr>
            <w:r w:rsidRPr="00C41C09">
              <w:rPr>
                <w:rFonts w:cs="Arial"/>
                <w:szCs w:val="22"/>
              </w:rPr>
              <w:t>0.1</w:t>
            </w:r>
          </w:p>
        </w:tc>
        <w:tc>
          <w:tcPr>
            <w:tcW w:w="3413" w:type="dxa"/>
          </w:tcPr>
          <w:p w:rsidR="00A97702" w:rsidRPr="00C41C09" w:rsidRDefault="00A97702" w:rsidP="00DA1C9D">
            <w:pPr>
              <w:pStyle w:val="text"/>
              <w:spacing w:before="60" w:after="60"/>
              <w:jc w:val="left"/>
              <w:rPr>
                <w:rFonts w:cs="Arial"/>
                <w:szCs w:val="22"/>
              </w:rPr>
            </w:pPr>
            <w:r w:rsidRPr="00C41C09">
              <w:rPr>
                <w:rFonts w:cs="Arial"/>
                <w:color w:val="000000"/>
                <w:szCs w:val="22"/>
              </w:rPr>
              <w:t>Benzo(g,h,i)perylene</w:t>
            </w:r>
          </w:p>
        </w:tc>
        <w:tc>
          <w:tcPr>
            <w:tcW w:w="620" w:type="dxa"/>
          </w:tcPr>
          <w:p w:rsidR="00A97702" w:rsidRPr="00C41C09" w:rsidRDefault="00A97702" w:rsidP="00DA1C9D">
            <w:pPr>
              <w:pStyle w:val="text"/>
              <w:spacing w:before="60" w:after="60"/>
              <w:jc w:val="left"/>
              <w:rPr>
                <w:rFonts w:cs="Arial"/>
                <w:szCs w:val="22"/>
              </w:rPr>
            </w:pPr>
            <w:r w:rsidRPr="00C41C09">
              <w:rPr>
                <w:rFonts w:cs="Arial"/>
                <w:szCs w:val="22"/>
              </w:rPr>
              <w:t>0.01</w:t>
            </w:r>
          </w:p>
        </w:tc>
      </w:tr>
      <w:tr w:rsidR="00A97702" w:rsidRPr="00C41C09" w:rsidTr="00DA1C9D">
        <w:tc>
          <w:tcPr>
            <w:tcW w:w="3609" w:type="dxa"/>
          </w:tcPr>
          <w:p w:rsidR="00A97702" w:rsidRPr="00C41C09" w:rsidRDefault="00A97702" w:rsidP="00DA1C9D">
            <w:pPr>
              <w:pStyle w:val="text"/>
              <w:spacing w:before="60" w:after="60"/>
              <w:jc w:val="left"/>
              <w:rPr>
                <w:rFonts w:cs="Arial"/>
                <w:szCs w:val="22"/>
              </w:rPr>
            </w:pPr>
            <w:r w:rsidRPr="00C41C09">
              <w:rPr>
                <w:rFonts w:cs="Arial"/>
                <w:color w:val="000000"/>
                <w:szCs w:val="22"/>
              </w:rPr>
              <w:t>Benzo(a)pyrene</w:t>
            </w:r>
          </w:p>
        </w:tc>
        <w:tc>
          <w:tcPr>
            <w:tcW w:w="709" w:type="dxa"/>
          </w:tcPr>
          <w:p w:rsidR="00A97702" w:rsidRPr="00C41C09" w:rsidRDefault="00A97702" w:rsidP="00DA1C9D">
            <w:pPr>
              <w:pStyle w:val="text"/>
              <w:spacing w:before="60" w:after="60"/>
              <w:jc w:val="left"/>
              <w:rPr>
                <w:rFonts w:cs="Arial"/>
                <w:szCs w:val="22"/>
              </w:rPr>
            </w:pPr>
            <w:r w:rsidRPr="00C41C09">
              <w:rPr>
                <w:rFonts w:cs="Arial"/>
                <w:szCs w:val="22"/>
              </w:rPr>
              <w:t>1</w:t>
            </w:r>
          </w:p>
        </w:tc>
        <w:tc>
          <w:tcPr>
            <w:tcW w:w="3413" w:type="dxa"/>
          </w:tcPr>
          <w:p w:rsidR="00A97702" w:rsidRPr="00C41C09" w:rsidRDefault="00A97702" w:rsidP="00DA1C9D">
            <w:pPr>
              <w:pStyle w:val="text"/>
              <w:spacing w:before="60" w:after="60"/>
              <w:jc w:val="left"/>
              <w:rPr>
                <w:rFonts w:cs="Arial"/>
                <w:szCs w:val="22"/>
              </w:rPr>
            </w:pPr>
            <w:r w:rsidRPr="00C41C09">
              <w:rPr>
                <w:rFonts w:cs="Arial"/>
                <w:color w:val="000000"/>
                <w:szCs w:val="22"/>
              </w:rPr>
              <w:t>Chrysene</w:t>
            </w:r>
          </w:p>
        </w:tc>
        <w:tc>
          <w:tcPr>
            <w:tcW w:w="620" w:type="dxa"/>
          </w:tcPr>
          <w:p w:rsidR="00A97702" w:rsidRPr="00C41C09" w:rsidRDefault="00A97702" w:rsidP="00DA1C9D">
            <w:pPr>
              <w:pStyle w:val="text"/>
              <w:spacing w:before="60" w:after="60"/>
              <w:jc w:val="left"/>
              <w:rPr>
                <w:rFonts w:cs="Arial"/>
                <w:szCs w:val="22"/>
              </w:rPr>
            </w:pPr>
            <w:r w:rsidRPr="00C41C09">
              <w:rPr>
                <w:rFonts w:cs="Arial"/>
                <w:szCs w:val="22"/>
              </w:rPr>
              <w:t>0.01</w:t>
            </w:r>
          </w:p>
        </w:tc>
      </w:tr>
      <w:tr w:rsidR="00A97702" w:rsidRPr="00C41C09" w:rsidTr="00DA1C9D">
        <w:tc>
          <w:tcPr>
            <w:tcW w:w="3609" w:type="dxa"/>
          </w:tcPr>
          <w:p w:rsidR="00A97702" w:rsidRPr="00C41C09" w:rsidRDefault="00A97702" w:rsidP="00DA1C9D">
            <w:pPr>
              <w:pStyle w:val="text"/>
              <w:spacing w:before="60" w:after="60"/>
              <w:jc w:val="left"/>
              <w:rPr>
                <w:rFonts w:cs="Arial"/>
                <w:szCs w:val="22"/>
              </w:rPr>
            </w:pPr>
            <w:r w:rsidRPr="00C41C09">
              <w:rPr>
                <w:rFonts w:cs="Arial"/>
                <w:color w:val="000000"/>
                <w:szCs w:val="22"/>
              </w:rPr>
              <w:t>Benzo(b+j)fluoranthene</w:t>
            </w:r>
          </w:p>
        </w:tc>
        <w:tc>
          <w:tcPr>
            <w:tcW w:w="709" w:type="dxa"/>
          </w:tcPr>
          <w:p w:rsidR="00A97702" w:rsidRPr="00C41C09" w:rsidRDefault="00A97702" w:rsidP="00DA1C9D">
            <w:pPr>
              <w:pStyle w:val="text"/>
              <w:spacing w:before="60" w:after="60"/>
              <w:jc w:val="left"/>
              <w:rPr>
                <w:rFonts w:cs="Arial"/>
                <w:szCs w:val="22"/>
              </w:rPr>
            </w:pPr>
            <w:r w:rsidRPr="00C41C09">
              <w:rPr>
                <w:rFonts w:cs="Arial"/>
                <w:szCs w:val="22"/>
              </w:rPr>
              <w:t>0.1</w:t>
            </w:r>
          </w:p>
        </w:tc>
        <w:tc>
          <w:tcPr>
            <w:tcW w:w="3413" w:type="dxa"/>
          </w:tcPr>
          <w:p w:rsidR="00A97702" w:rsidRPr="00C41C09" w:rsidRDefault="00A97702" w:rsidP="00DA1C9D">
            <w:pPr>
              <w:pStyle w:val="text"/>
              <w:spacing w:before="60" w:after="60"/>
              <w:jc w:val="left"/>
              <w:rPr>
                <w:rFonts w:cs="Arial"/>
                <w:szCs w:val="22"/>
              </w:rPr>
            </w:pPr>
            <w:r w:rsidRPr="00C41C09">
              <w:rPr>
                <w:rFonts w:cs="Arial"/>
                <w:color w:val="000000"/>
                <w:szCs w:val="22"/>
              </w:rPr>
              <w:t>Dibenz(a,h)anthracene</w:t>
            </w:r>
          </w:p>
        </w:tc>
        <w:tc>
          <w:tcPr>
            <w:tcW w:w="620" w:type="dxa"/>
          </w:tcPr>
          <w:p w:rsidR="00A97702" w:rsidRPr="00C41C09" w:rsidRDefault="00A97702" w:rsidP="00DA1C9D">
            <w:pPr>
              <w:pStyle w:val="text"/>
              <w:spacing w:before="60" w:after="60"/>
              <w:jc w:val="left"/>
              <w:rPr>
                <w:rFonts w:cs="Arial"/>
                <w:szCs w:val="22"/>
              </w:rPr>
            </w:pPr>
            <w:r w:rsidRPr="00C41C09">
              <w:rPr>
                <w:rFonts w:cs="Arial"/>
                <w:szCs w:val="22"/>
              </w:rPr>
              <w:t>1</w:t>
            </w:r>
          </w:p>
        </w:tc>
      </w:tr>
      <w:tr w:rsidR="00A97702" w:rsidRPr="00C41C09" w:rsidTr="00DA1C9D">
        <w:tc>
          <w:tcPr>
            <w:tcW w:w="3609" w:type="dxa"/>
          </w:tcPr>
          <w:p w:rsidR="00A97702" w:rsidRPr="00C41C09" w:rsidRDefault="00A97702" w:rsidP="00DA1C9D">
            <w:pPr>
              <w:pStyle w:val="text"/>
              <w:spacing w:before="60" w:after="60"/>
              <w:jc w:val="left"/>
              <w:rPr>
                <w:rFonts w:cs="Arial"/>
                <w:szCs w:val="22"/>
              </w:rPr>
            </w:pPr>
            <w:r w:rsidRPr="00C41C09">
              <w:rPr>
                <w:rFonts w:cs="Arial"/>
                <w:color w:val="000000"/>
                <w:szCs w:val="22"/>
              </w:rPr>
              <w:t>Benzo(k)fluoranthene</w:t>
            </w:r>
          </w:p>
        </w:tc>
        <w:tc>
          <w:tcPr>
            <w:tcW w:w="709" w:type="dxa"/>
          </w:tcPr>
          <w:p w:rsidR="00A97702" w:rsidRPr="00C41C09" w:rsidRDefault="00A97702" w:rsidP="00DA1C9D">
            <w:pPr>
              <w:pStyle w:val="text"/>
              <w:spacing w:before="60" w:after="60"/>
              <w:jc w:val="left"/>
              <w:rPr>
                <w:rFonts w:cs="Arial"/>
                <w:szCs w:val="22"/>
              </w:rPr>
            </w:pPr>
            <w:r w:rsidRPr="00C41C09">
              <w:rPr>
                <w:rFonts w:cs="Arial"/>
                <w:szCs w:val="22"/>
              </w:rPr>
              <w:t>0.1</w:t>
            </w:r>
          </w:p>
        </w:tc>
        <w:tc>
          <w:tcPr>
            <w:tcW w:w="3413" w:type="dxa"/>
          </w:tcPr>
          <w:p w:rsidR="00A97702" w:rsidRPr="00C41C09" w:rsidRDefault="00A97702" w:rsidP="00DA1C9D">
            <w:pPr>
              <w:pStyle w:val="text"/>
              <w:spacing w:before="60" w:after="60"/>
              <w:jc w:val="left"/>
              <w:rPr>
                <w:rFonts w:cs="Arial"/>
                <w:szCs w:val="22"/>
              </w:rPr>
            </w:pPr>
            <w:r w:rsidRPr="00C41C09">
              <w:rPr>
                <w:rFonts w:cs="Arial"/>
                <w:color w:val="000000"/>
                <w:szCs w:val="22"/>
              </w:rPr>
              <w:t>Indeno(1,2,3-c,d)pyrene</w:t>
            </w:r>
          </w:p>
        </w:tc>
        <w:tc>
          <w:tcPr>
            <w:tcW w:w="620" w:type="dxa"/>
          </w:tcPr>
          <w:p w:rsidR="00A97702" w:rsidRPr="00C41C09" w:rsidRDefault="00A97702" w:rsidP="00DA1C9D">
            <w:pPr>
              <w:pStyle w:val="text"/>
              <w:spacing w:before="60" w:after="60"/>
              <w:jc w:val="left"/>
              <w:rPr>
                <w:rFonts w:cs="Arial"/>
                <w:szCs w:val="22"/>
              </w:rPr>
            </w:pPr>
            <w:r w:rsidRPr="00C41C09">
              <w:rPr>
                <w:rFonts w:cs="Arial"/>
                <w:szCs w:val="22"/>
              </w:rPr>
              <w:t>0.1</w:t>
            </w:r>
          </w:p>
        </w:tc>
      </w:tr>
    </w:tbl>
    <w:p w:rsidR="00A97702" w:rsidRPr="00C41C09" w:rsidRDefault="00A97702" w:rsidP="00A97702">
      <w:pPr>
        <w:spacing w:before="80"/>
        <w:ind w:left="357"/>
        <w:rPr>
          <w:rFonts w:cs="Arial"/>
          <w:color w:val="000000"/>
          <w:sz w:val="18"/>
          <w:szCs w:val="16"/>
        </w:rPr>
      </w:pPr>
      <w:r w:rsidRPr="00C41C09">
        <w:rPr>
          <w:rFonts w:cs="Arial"/>
          <w:color w:val="000000"/>
          <w:sz w:val="18"/>
          <w:szCs w:val="16"/>
        </w:rPr>
        <w:t>Where the B(a)P occurs in bitumen fragments it is relatively immobile and does not represent a significant health risk.</w:t>
      </w:r>
    </w:p>
    <w:p w:rsidR="00A97702" w:rsidRPr="00C41C09" w:rsidRDefault="00A97702" w:rsidP="00A97702">
      <w:pPr>
        <w:numPr>
          <w:ilvl w:val="0"/>
          <w:numId w:val="17"/>
        </w:numPr>
        <w:spacing w:before="80" w:after="120" w:line="240" w:lineRule="auto"/>
        <w:ind w:left="357"/>
        <w:jc w:val="both"/>
        <w:rPr>
          <w:rFonts w:cs="Arial"/>
          <w:color w:val="000000"/>
          <w:sz w:val="18"/>
          <w:szCs w:val="16"/>
        </w:rPr>
      </w:pPr>
      <w:r w:rsidRPr="00C41C09">
        <w:rPr>
          <w:rFonts w:cs="Arial"/>
          <w:color w:val="000000"/>
          <w:sz w:val="18"/>
          <w:szCs w:val="16"/>
        </w:rPr>
        <w:lastRenderedPageBreak/>
        <w:t>Total PAHs: HIL is based on the sum of the 16 PAHs most commonly reported for contaminated sites (WHO 1998). The application of the total PAH HIL should consider the presence of carcinogenic PAHs and naphthalene (the most volatile PAH). Carcinogenic PAHs reported in the total PAHs should meet the B(a)P TEQ HIL. Naphthalene reported in the total PAHs should meet the relevant HSL.</w:t>
      </w:r>
    </w:p>
    <w:p w:rsidR="00A97702" w:rsidRPr="00C41C09" w:rsidRDefault="00A97702" w:rsidP="00A97702">
      <w:pPr>
        <w:numPr>
          <w:ilvl w:val="0"/>
          <w:numId w:val="17"/>
        </w:numPr>
        <w:spacing w:before="80" w:after="120" w:line="240" w:lineRule="auto"/>
        <w:ind w:left="357"/>
        <w:jc w:val="both"/>
        <w:rPr>
          <w:rFonts w:cs="Arial"/>
          <w:color w:val="000000"/>
          <w:sz w:val="18"/>
          <w:szCs w:val="16"/>
        </w:rPr>
      </w:pPr>
      <w:r w:rsidRPr="00C41C09">
        <w:rPr>
          <w:rFonts w:cs="Arial"/>
          <w:color w:val="000000"/>
          <w:sz w:val="18"/>
          <w:szCs w:val="16"/>
        </w:rPr>
        <w:t>PCBs: HIL relates to non-dioxin-like PCBs only. Where a PCB source is known, or suspected, to be present at a site, a site-specific assessment of exposure to all PCBs (including dioxin-like PCBs) should be undertaken.</w:t>
      </w:r>
    </w:p>
    <w:p w:rsidR="00A97702" w:rsidRDefault="00A97702" w:rsidP="00A97702">
      <w:pPr>
        <w:spacing w:before="40"/>
        <w:ind w:left="360"/>
        <w:rPr>
          <w:rFonts w:ascii="Arial" w:hAnsi="Arial" w:cs="Arial"/>
          <w:color w:val="000000"/>
          <w:sz w:val="18"/>
          <w:szCs w:val="16"/>
        </w:rPr>
      </w:pPr>
    </w:p>
    <w:p w:rsidR="00A97702" w:rsidRPr="007E37CD" w:rsidRDefault="00A97702" w:rsidP="00A97702">
      <w:pPr>
        <w:pStyle w:val="Caption"/>
      </w:pPr>
      <w:r w:rsidRPr="00E8129C">
        <w:rPr>
          <w:rFonts w:ascii="Arial" w:hAnsi="Arial" w:cs="Arial"/>
        </w:rPr>
        <w:br w:type="page"/>
      </w:r>
      <w:r>
        <w:lastRenderedPageBreak/>
        <w:t>Table 1A(2)</w:t>
      </w:r>
      <w:r w:rsidRPr="007E37CD">
        <w:tab/>
        <w:t xml:space="preserve">Interim </w:t>
      </w:r>
      <w:r>
        <w:t xml:space="preserve">soil vapour </w:t>
      </w:r>
      <w:r w:rsidRPr="007E37CD">
        <w:t>health investigation levels for volatile organic chlorinated compounds</w:t>
      </w:r>
    </w:p>
    <w:tbl>
      <w:tblPr>
        <w:tblW w:w="4947" w:type="pct"/>
        <w:jc w:val="center"/>
        <w:tblInd w:w="-828" w:type="dxa"/>
        <w:tblLayout w:type="fixed"/>
        <w:tblLook w:val="04A0" w:firstRow="1" w:lastRow="0" w:firstColumn="1" w:lastColumn="0" w:noHBand="0" w:noVBand="1"/>
      </w:tblPr>
      <w:tblGrid>
        <w:gridCol w:w="1621"/>
        <w:gridCol w:w="1614"/>
        <w:gridCol w:w="1985"/>
        <w:gridCol w:w="1987"/>
        <w:gridCol w:w="1983"/>
      </w:tblGrid>
      <w:tr w:rsidR="00A97702" w:rsidRPr="00CC660D" w:rsidTr="00DA1C9D">
        <w:trPr>
          <w:trHeight w:val="300"/>
          <w:jc w:val="center"/>
        </w:trPr>
        <w:tc>
          <w:tcPr>
            <w:tcW w:w="882" w:type="pct"/>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noWrap/>
            <w:vAlign w:val="bottom"/>
          </w:tcPr>
          <w:p w:rsidR="00A97702" w:rsidRPr="00136F1B" w:rsidRDefault="00A97702" w:rsidP="00DA1C9D">
            <w:pPr>
              <w:spacing w:before="60" w:after="60"/>
              <w:jc w:val="center"/>
              <w:rPr>
                <w:rFonts w:ascii="Arial" w:hAnsi="Arial" w:cs="Arial"/>
                <w:b/>
                <w:bCs/>
                <w:color w:val="000000"/>
                <w:sz w:val="18"/>
                <w:szCs w:val="18"/>
              </w:rPr>
            </w:pPr>
            <w:r w:rsidRPr="00136F1B">
              <w:rPr>
                <w:rFonts w:ascii="Arial" w:hAnsi="Arial" w:cs="Arial"/>
                <w:b/>
                <w:bCs/>
                <w:color w:val="000000"/>
                <w:sz w:val="18"/>
                <w:szCs w:val="18"/>
              </w:rPr>
              <w:t>Chemical</w:t>
            </w:r>
          </w:p>
        </w:tc>
        <w:tc>
          <w:tcPr>
            <w:tcW w:w="4118" w:type="pct"/>
            <w:gridSpan w:val="4"/>
            <w:tcBorders>
              <w:top w:val="single" w:sz="8" w:space="0" w:color="auto"/>
              <w:left w:val="nil"/>
              <w:bottom w:val="single" w:sz="4" w:space="0" w:color="auto"/>
              <w:right w:val="single" w:sz="8" w:space="0" w:color="000000"/>
            </w:tcBorders>
            <w:shd w:val="clear" w:color="auto" w:fill="C6D9F1" w:themeFill="text2" w:themeFillTint="33"/>
            <w:noWrap/>
            <w:vAlign w:val="bottom"/>
          </w:tcPr>
          <w:p w:rsidR="00A97702" w:rsidRPr="00136F1B" w:rsidRDefault="00A97702" w:rsidP="00DA1C9D">
            <w:pPr>
              <w:spacing w:before="60" w:after="60"/>
              <w:jc w:val="center"/>
              <w:rPr>
                <w:rFonts w:ascii="Arial" w:hAnsi="Arial" w:cs="Arial"/>
                <w:b/>
                <w:bCs/>
                <w:color w:val="000000"/>
                <w:sz w:val="18"/>
                <w:szCs w:val="18"/>
              </w:rPr>
            </w:pPr>
            <w:r w:rsidRPr="00136F1B">
              <w:rPr>
                <w:rFonts w:ascii="Arial" w:hAnsi="Arial" w:cs="Arial"/>
                <w:b/>
                <w:bCs/>
                <w:color w:val="000000"/>
                <w:sz w:val="18"/>
                <w:szCs w:val="18"/>
              </w:rPr>
              <w:t xml:space="preserve">Interim </w:t>
            </w:r>
            <w:r>
              <w:rPr>
                <w:rFonts w:ascii="Arial" w:hAnsi="Arial" w:cs="Arial"/>
                <w:b/>
                <w:bCs/>
                <w:color w:val="000000"/>
                <w:sz w:val="18"/>
                <w:szCs w:val="18"/>
              </w:rPr>
              <w:t>soil vapour</w:t>
            </w:r>
            <w:r w:rsidRPr="00136F1B">
              <w:rPr>
                <w:rFonts w:ascii="Arial" w:hAnsi="Arial" w:cs="Arial"/>
                <w:b/>
                <w:bCs/>
                <w:color w:val="000000"/>
                <w:sz w:val="18"/>
                <w:szCs w:val="18"/>
              </w:rPr>
              <w:t xml:space="preserve"> HIL  (mg/m</w:t>
            </w:r>
            <w:r w:rsidRPr="00136F1B">
              <w:rPr>
                <w:rFonts w:ascii="Arial" w:hAnsi="Arial" w:cs="Arial"/>
                <w:b/>
                <w:bCs/>
                <w:color w:val="000000"/>
                <w:sz w:val="18"/>
                <w:szCs w:val="18"/>
                <w:vertAlign w:val="superscript"/>
              </w:rPr>
              <w:t>3</w:t>
            </w:r>
            <w:r w:rsidRPr="00136F1B">
              <w:rPr>
                <w:rFonts w:ascii="Arial" w:hAnsi="Arial" w:cs="Arial"/>
                <w:b/>
                <w:bCs/>
                <w:color w:val="000000"/>
                <w:sz w:val="18"/>
                <w:szCs w:val="18"/>
              </w:rPr>
              <w:t>)</w:t>
            </w:r>
          </w:p>
        </w:tc>
      </w:tr>
      <w:tr w:rsidR="00A97702" w:rsidRPr="00CC660D" w:rsidTr="00DA1C9D">
        <w:trPr>
          <w:trHeight w:val="576"/>
          <w:jc w:val="center"/>
        </w:trPr>
        <w:tc>
          <w:tcPr>
            <w:tcW w:w="882" w:type="pct"/>
            <w:vMerge/>
            <w:tcBorders>
              <w:top w:val="single" w:sz="8" w:space="0" w:color="000000"/>
              <w:left w:val="single" w:sz="8" w:space="0" w:color="auto"/>
              <w:bottom w:val="single" w:sz="8" w:space="0" w:color="000000"/>
              <w:right w:val="single" w:sz="8" w:space="0" w:color="auto"/>
            </w:tcBorders>
            <w:shd w:val="clear" w:color="auto" w:fill="C6D9F1" w:themeFill="text2" w:themeFillTint="33"/>
            <w:vAlign w:val="center"/>
          </w:tcPr>
          <w:p w:rsidR="00A97702" w:rsidRPr="00136F1B" w:rsidRDefault="00A97702" w:rsidP="00DA1C9D">
            <w:pPr>
              <w:spacing w:before="60" w:after="60"/>
              <w:rPr>
                <w:rFonts w:ascii="Arial" w:hAnsi="Arial" w:cs="Arial"/>
                <w:b/>
                <w:bCs/>
                <w:color w:val="000000"/>
                <w:sz w:val="18"/>
                <w:szCs w:val="18"/>
              </w:rPr>
            </w:pPr>
          </w:p>
        </w:tc>
        <w:tc>
          <w:tcPr>
            <w:tcW w:w="878" w:type="pct"/>
            <w:tcBorders>
              <w:top w:val="nil"/>
              <w:left w:val="nil"/>
              <w:bottom w:val="single" w:sz="8" w:space="0" w:color="auto"/>
              <w:right w:val="single" w:sz="8" w:space="0" w:color="auto"/>
            </w:tcBorders>
            <w:shd w:val="clear" w:color="000000" w:fill="EAF1DD"/>
            <w:vAlign w:val="center"/>
          </w:tcPr>
          <w:p w:rsidR="00A97702" w:rsidRPr="00136F1B" w:rsidRDefault="00A97702" w:rsidP="00DA1C9D">
            <w:pPr>
              <w:spacing w:before="60" w:after="60"/>
              <w:jc w:val="center"/>
              <w:rPr>
                <w:rFonts w:ascii="Arial" w:hAnsi="Arial" w:cs="Arial"/>
                <w:b/>
                <w:bCs/>
                <w:color w:val="000000"/>
                <w:sz w:val="18"/>
                <w:szCs w:val="18"/>
              </w:rPr>
            </w:pPr>
            <w:r w:rsidRPr="00136F1B">
              <w:rPr>
                <w:rFonts w:ascii="Arial" w:hAnsi="Arial" w:cs="Arial"/>
                <w:b/>
                <w:bCs/>
                <w:color w:val="000000"/>
                <w:sz w:val="18"/>
                <w:szCs w:val="18"/>
              </w:rPr>
              <w:t>Residential</w:t>
            </w:r>
            <w:r w:rsidRPr="00502122">
              <w:rPr>
                <w:rFonts w:ascii="Arial" w:hAnsi="Arial" w:cs="Arial"/>
                <w:b/>
                <w:bCs/>
                <w:color w:val="000000"/>
                <w:sz w:val="18"/>
                <w:szCs w:val="18"/>
                <w:vertAlign w:val="superscript"/>
              </w:rPr>
              <w:t>1</w:t>
            </w:r>
            <w:r w:rsidRPr="00136F1B">
              <w:rPr>
                <w:rFonts w:ascii="Arial" w:hAnsi="Arial" w:cs="Arial"/>
                <w:b/>
                <w:bCs/>
                <w:color w:val="000000"/>
                <w:sz w:val="18"/>
                <w:szCs w:val="18"/>
              </w:rPr>
              <w:t xml:space="preserve"> A</w:t>
            </w:r>
          </w:p>
        </w:tc>
        <w:tc>
          <w:tcPr>
            <w:tcW w:w="1080" w:type="pct"/>
            <w:tcBorders>
              <w:top w:val="nil"/>
              <w:left w:val="nil"/>
              <w:bottom w:val="single" w:sz="8" w:space="0" w:color="auto"/>
              <w:right w:val="single" w:sz="8" w:space="0" w:color="auto"/>
            </w:tcBorders>
            <w:shd w:val="clear" w:color="000000" w:fill="FFFFCC"/>
            <w:vAlign w:val="center"/>
          </w:tcPr>
          <w:p w:rsidR="00A97702" w:rsidRPr="00136F1B" w:rsidRDefault="00A97702" w:rsidP="00DA1C9D">
            <w:pPr>
              <w:spacing w:before="60" w:after="60"/>
              <w:jc w:val="center"/>
              <w:rPr>
                <w:rFonts w:ascii="Arial" w:hAnsi="Arial" w:cs="Arial"/>
                <w:bCs/>
                <w:color w:val="000000"/>
                <w:sz w:val="18"/>
                <w:szCs w:val="18"/>
              </w:rPr>
            </w:pPr>
            <w:r w:rsidRPr="00136F1B">
              <w:rPr>
                <w:rFonts w:ascii="Arial" w:hAnsi="Arial" w:cs="Arial"/>
                <w:b/>
                <w:bCs/>
                <w:color w:val="000000"/>
                <w:sz w:val="18"/>
                <w:szCs w:val="18"/>
              </w:rPr>
              <w:t>Residential</w:t>
            </w:r>
            <w:r w:rsidRPr="00502122">
              <w:rPr>
                <w:rFonts w:ascii="Arial" w:hAnsi="Arial" w:cs="Arial"/>
                <w:b/>
                <w:bCs/>
                <w:color w:val="000000"/>
                <w:sz w:val="18"/>
                <w:szCs w:val="18"/>
                <w:vertAlign w:val="superscript"/>
              </w:rPr>
              <w:t>1</w:t>
            </w:r>
            <w:r w:rsidRPr="00136F1B">
              <w:rPr>
                <w:rFonts w:ascii="Arial" w:hAnsi="Arial" w:cs="Arial"/>
                <w:b/>
                <w:bCs/>
                <w:color w:val="000000"/>
                <w:sz w:val="18"/>
                <w:szCs w:val="18"/>
              </w:rPr>
              <w:t xml:space="preserve"> B</w:t>
            </w:r>
          </w:p>
        </w:tc>
        <w:tc>
          <w:tcPr>
            <w:tcW w:w="1081" w:type="pct"/>
            <w:tcBorders>
              <w:top w:val="nil"/>
              <w:left w:val="nil"/>
              <w:bottom w:val="single" w:sz="8" w:space="0" w:color="auto"/>
              <w:right w:val="single" w:sz="8" w:space="0" w:color="auto"/>
            </w:tcBorders>
            <w:shd w:val="clear" w:color="000000" w:fill="F2DDDC"/>
            <w:vAlign w:val="center"/>
          </w:tcPr>
          <w:p w:rsidR="00A97702" w:rsidRPr="00136F1B" w:rsidRDefault="00A97702" w:rsidP="00DA1C9D">
            <w:pPr>
              <w:spacing w:before="60" w:after="60"/>
              <w:jc w:val="center"/>
              <w:rPr>
                <w:rFonts w:ascii="Arial" w:hAnsi="Arial" w:cs="Arial"/>
                <w:b/>
                <w:bCs/>
                <w:color w:val="000000"/>
                <w:sz w:val="18"/>
                <w:szCs w:val="18"/>
              </w:rPr>
            </w:pPr>
            <w:r w:rsidRPr="00136F1B">
              <w:rPr>
                <w:rFonts w:ascii="Arial" w:hAnsi="Arial" w:cs="Arial"/>
                <w:b/>
                <w:bCs/>
                <w:color w:val="000000"/>
                <w:sz w:val="18"/>
                <w:szCs w:val="18"/>
              </w:rPr>
              <w:t>Recreational</w:t>
            </w:r>
            <w:r w:rsidRPr="00502122">
              <w:rPr>
                <w:rFonts w:ascii="Arial" w:hAnsi="Arial" w:cs="Arial"/>
                <w:b/>
                <w:bCs/>
                <w:color w:val="000000"/>
                <w:sz w:val="18"/>
                <w:szCs w:val="18"/>
                <w:vertAlign w:val="superscript"/>
              </w:rPr>
              <w:t>1</w:t>
            </w:r>
            <w:r w:rsidRPr="00136F1B">
              <w:rPr>
                <w:rFonts w:ascii="Arial" w:hAnsi="Arial" w:cs="Arial"/>
                <w:b/>
                <w:bCs/>
                <w:color w:val="000000"/>
                <w:sz w:val="18"/>
                <w:szCs w:val="18"/>
              </w:rPr>
              <w:t xml:space="preserve"> C</w:t>
            </w:r>
          </w:p>
        </w:tc>
        <w:tc>
          <w:tcPr>
            <w:tcW w:w="1079" w:type="pct"/>
            <w:tcBorders>
              <w:top w:val="nil"/>
              <w:left w:val="nil"/>
              <w:bottom w:val="single" w:sz="8" w:space="0" w:color="auto"/>
              <w:right w:val="single" w:sz="8" w:space="0" w:color="auto"/>
            </w:tcBorders>
            <w:shd w:val="clear" w:color="000000" w:fill="DBE5F1"/>
            <w:vAlign w:val="center"/>
          </w:tcPr>
          <w:p w:rsidR="00A97702" w:rsidRPr="00136F1B" w:rsidRDefault="00A97702" w:rsidP="00DA1C9D">
            <w:pPr>
              <w:spacing w:before="60" w:after="60"/>
              <w:jc w:val="center"/>
              <w:rPr>
                <w:rFonts w:ascii="Arial" w:hAnsi="Arial" w:cs="Arial"/>
                <w:b/>
                <w:bCs/>
                <w:color w:val="000000"/>
                <w:sz w:val="18"/>
                <w:szCs w:val="18"/>
              </w:rPr>
            </w:pPr>
            <w:r w:rsidRPr="00136F1B">
              <w:rPr>
                <w:rFonts w:ascii="Arial" w:hAnsi="Arial" w:cs="Arial"/>
                <w:b/>
                <w:bCs/>
                <w:color w:val="000000"/>
                <w:sz w:val="18"/>
                <w:szCs w:val="18"/>
              </w:rPr>
              <w:t>Commercial / Industrial</w:t>
            </w:r>
            <w:r w:rsidRPr="00502122">
              <w:rPr>
                <w:rFonts w:ascii="Arial" w:hAnsi="Arial" w:cs="Arial"/>
                <w:b/>
                <w:bCs/>
                <w:color w:val="000000"/>
                <w:sz w:val="18"/>
                <w:szCs w:val="18"/>
                <w:vertAlign w:val="superscript"/>
              </w:rPr>
              <w:t>1</w:t>
            </w:r>
            <w:r w:rsidRPr="00136F1B">
              <w:rPr>
                <w:rFonts w:ascii="Arial" w:hAnsi="Arial" w:cs="Arial"/>
                <w:b/>
                <w:bCs/>
                <w:color w:val="000000"/>
                <w:sz w:val="18"/>
                <w:szCs w:val="18"/>
              </w:rPr>
              <w:t xml:space="preserve"> D</w:t>
            </w:r>
          </w:p>
        </w:tc>
      </w:tr>
      <w:tr w:rsidR="00A97702" w:rsidRPr="00CC660D" w:rsidTr="00DA1C9D">
        <w:trPr>
          <w:trHeight w:val="240"/>
          <w:jc w:val="center"/>
        </w:trPr>
        <w:tc>
          <w:tcPr>
            <w:tcW w:w="882" w:type="pct"/>
            <w:tcBorders>
              <w:top w:val="nil"/>
              <w:left w:val="single" w:sz="8" w:space="0" w:color="auto"/>
              <w:bottom w:val="single" w:sz="4" w:space="0" w:color="auto"/>
              <w:right w:val="single" w:sz="8" w:space="0" w:color="auto"/>
            </w:tcBorders>
            <w:shd w:val="clear" w:color="auto" w:fill="auto"/>
            <w:noWrap/>
            <w:vAlign w:val="bottom"/>
          </w:tcPr>
          <w:p w:rsidR="00A97702" w:rsidRPr="00136F1B" w:rsidRDefault="00A97702" w:rsidP="00DA1C9D">
            <w:pPr>
              <w:spacing w:before="20" w:after="20"/>
              <w:rPr>
                <w:rFonts w:ascii="Arial" w:hAnsi="Arial" w:cs="Arial"/>
                <w:color w:val="000000"/>
                <w:sz w:val="18"/>
                <w:szCs w:val="18"/>
              </w:rPr>
            </w:pPr>
            <w:r w:rsidRPr="00136F1B">
              <w:rPr>
                <w:rFonts w:ascii="Arial" w:hAnsi="Arial" w:cs="Arial"/>
                <w:color w:val="000000"/>
                <w:sz w:val="18"/>
                <w:szCs w:val="18"/>
              </w:rPr>
              <w:t>TCE</w:t>
            </w:r>
          </w:p>
        </w:tc>
        <w:tc>
          <w:tcPr>
            <w:tcW w:w="878" w:type="pct"/>
            <w:tcBorders>
              <w:top w:val="nil"/>
              <w:left w:val="nil"/>
              <w:bottom w:val="single" w:sz="4" w:space="0" w:color="auto"/>
              <w:right w:val="single" w:sz="8" w:space="0" w:color="auto"/>
            </w:tcBorders>
            <w:shd w:val="clear" w:color="000000" w:fill="EAF1DD"/>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0.02</w:t>
            </w:r>
          </w:p>
        </w:tc>
        <w:tc>
          <w:tcPr>
            <w:tcW w:w="1080" w:type="pct"/>
            <w:tcBorders>
              <w:top w:val="nil"/>
              <w:left w:val="nil"/>
              <w:bottom w:val="single" w:sz="4" w:space="0" w:color="auto"/>
              <w:right w:val="single" w:sz="8" w:space="0" w:color="auto"/>
            </w:tcBorders>
            <w:shd w:val="clear" w:color="000000" w:fill="FFFFCC"/>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0.02</w:t>
            </w:r>
          </w:p>
        </w:tc>
        <w:tc>
          <w:tcPr>
            <w:tcW w:w="1081" w:type="pct"/>
            <w:tcBorders>
              <w:top w:val="nil"/>
              <w:left w:val="nil"/>
              <w:bottom w:val="single" w:sz="4" w:space="0" w:color="auto"/>
              <w:right w:val="single" w:sz="8" w:space="0" w:color="auto"/>
            </w:tcBorders>
            <w:shd w:val="clear" w:color="000000" w:fill="F2DDDC"/>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0.4</w:t>
            </w:r>
          </w:p>
        </w:tc>
        <w:tc>
          <w:tcPr>
            <w:tcW w:w="1079" w:type="pct"/>
            <w:tcBorders>
              <w:top w:val="nil"/>
              <w:left w:val="nil"/>
              <w:bottom w:val="single" w:sz="4" w:space="0" w:color="auto"/>
              <w:right w:val="single" w:sz="8" w:space="0" w:color="auto"/>
            </w:tcBorders>
            <w:shd w:val="clear" w:color="000000" w:fill="DBE5F1"/>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0.08</w:t>
            </w:r>
          </w:p>
        </w:tc>
      </w:tr>
      <w:tr w:rsidR="00A97702" w:rsidRPr="00CC660D" w:rsidTr="00DA1C9D">
        <w:trPr>
          <w:trHeight w:val="240"/>
          <w:jc w:val="center"/>
        </w:trPr>
        <w:tc>
          <w:tcPr>
            <w:tcW w:w="882" w:type="pct"/>
            <w:tcBorders>
              <w:top w:val="nil"/>
              <w:left w:val="single" w:sz="8" w:space="0" w:color="auto"/>
              <w:bottom w:val="single" w:sz="4" w:space="0" w:color="auto"/>
              <w:right w:val="single" w:sz="8" w:space="0" w:color="auto"/>
            </w:tcBorders>
            <w:shd w:val="clear" w:color="auto" w:fill="auto"/>
            <w:noWrap/>
            <w:vAlign w:val="bottom"/>
          </w:tcPr>
          <w:p w:rsidR="00A97702" w:rsidRPr="00136F1B" w:rsidRDefault="00A97702" w:rsidP="00DA1C9D">
            <w:pPr>
              <w:spacing w:before="20" w:after="20"/>
              <w:rPr>
                <w:rFonts w:ascii="Arial" w:hAnsi="Arial" w:cs="Arial"/>
                <w:color w:val="000000"/>
                <w:sz w:val="18"/>
                <w:szCs w:val="18"/>
              </w:rPr>
            </w:pPr>
            <w:r w:rsidRPr="00136F1B">
              <w:rPr>
                <w:rFonts w:ascii="Arial" w:hAnsi="Arial" w:cs="Arial"/>
                <w:color w:val="000000"/>
                <w:sz w:val="18"/>
                <w:szCs w:val="18"/>
              </w:rPr>
              <w:t>1,1,1-TCA</w:t>
            </w:r>
          </w:p>
        </w:tc>
        <w:tc>
          <w:tcPr>
            <w:tcW w:w="878" w:type="pct"/>
            <w:tcBorders>
              <w:top w:val="nil"/>
              <w:left w:val="nil"/>
              <w:bottom w:val="single" w:sz="4" w:space="0" w:color="auto"/>
              <w:right w:val="single" w:sz="8" w:space="0" w:color="auto"/>
            </w:tcBorders>
            <w:shd w:val="clear" w:color="000000" w:fill="EAF1DD"/>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60</w:t>
            </w:r>
          </w:p>
        </w:tc>
        <w:tc>
          <w:tcPr>
            <w:tcW w:w="1080" w:type="pct"/>
            <w:tcBorders>
              <w:top w:val="nil"/>
              <w:left w:val="nil"/>
              <w:bottom w:val="single" w:sz="4" w:space="0" w:color="auto"/>
              <w:right w:val="single" w:sz="8" w:space="0" w:color="auto"/>
            </w:tcBorders>
            <w:shd w:val="clear" w:color="000000" w:fill="FFFFCC"/>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60</w:t>
            </w:r>
          </w:p>
        </w:tc>
        <w:tc>
          <w:tcPr>
            <w:tcW w:w="1081" w:type="pct"/>
            <w:tcBorders>
              <w:top w:val="nil"/>
              <w:left w:val="nil"/>
              <w:bottom w:val="single" w:sz="4" w:space="0" w:color="auto"/>
              <w:right w:val="single" w:sz="8" w:space="0" w:color="auto"/>
            </w:tcBorders>
            <w:shd w:val="clear" w:color="000000" w:fill="F2DDDC"/>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120</w:t>
            </w:r>
            <w:r>
              <w:rPr>
                <w:rFonts w:ascii="Arial" w:hAnsi="Arial" w:cs="Arial"/>
                <w:color w:val="000000"/>
                <w:sz w:val="18"/>
                <w:szCs w:val="18"/>
              </w:rPr>
              <w:t>0</w:t>
            </w:r>
          </w:p>
        </w:tc>
        <w:tc>
          <w:tcPr>
            <w:tcW w:w="1079" w:type="pct"/>
            <w:tcBorders>
              <w:top w:val="nil"/>
              <w:left w:val="nil"/>
              <w:bottom w:val="single" w:sz="4" w:space="0" w:color="auto"/>
              <w:right w:val="single" w:sz="8" w:space="0" w:color="auto"/>
            </w:tcBorders>
            <w:shd w:val="clear" w:color="000000" w:fill="DBE5F1"/>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2</w:t>
            </w:r>
            <w:r>
              <w:rPr>
                <w:rFonts w:ascii="Arial" w:hAnsi="Arial" w:cs="Arial"/>
                <w:color w:val="000000"/>
                <w:sz w:val="18"/>
                <w:szCs w:val="18"/>
              </w:rPr>
              <w:t>3</w:t>
            </w:r>
            <w:r w:rsidRPr="00136F1B">
              <w:rPr>
                <w:rFonts w:ascii="Arial" w:hAnsi="Arial" w:cs="Arial"/>
                <w:color w:val="000000"/>
                <w:sz w:val="18"/>
                <w:szCs w:val="18"/>
              </w:rPr>
              <w:t>0</w:t>
            </w:r>
          </w:p>
        </w:tc>
      </w:tr>
      <w:tr w:rsidR="00A97702" w:rsidRPr="00CC660D" w:rsidTr="00DA1C9D">
        <w:trPr>
          <w:trHeight w:val="240"/>
          <w:jc w:val="center"/>
        </w:trPr>
        <w:tc>
          <w:tcPr>
            <w:tcW w:w="882" w:type="pct"/>
            <w:tcBorders>
              <w:top w:val="nil"/>
              <w:left w:val="single" w:sz="8" w:space="0" w:color="auto"/>
              <w:bottom w:val="single" w:sz="4" w:space="0" w:color="auto"/>
              <w:right w:val="single" w:sz="8" w:space="0" w:color="auto"/>
            </w:tcBorders>
            <w:shd w:val="clear" w:color="auto" w:fill="auto"/>
            <w:noWrap/>
            <w:vAlign w:val="bottom"/>
          </w:tcPr>
          <w:p w:rsidR="00A97702" w:rsidRPr="00136F1B" w:rsidRDefault="00A97702" w:rsidP="00DA1C9D">
            <w:pPr>
              <w:spacing w:before="20" w:after="20"/>
              <w:rPr>
                <w:rFonts w:ascii="Arial" w:hAnsi="Arial" w:cs="Arial"/>
                <w:color w:val="000000"/>
                <w:sz w:val="18"/>
                <w:szCs w:val="18"/>
              </w:rPr>
            </w:pPr>
            <w:r w:rsidRPr="00136F1B">
              <w:rPr>
                <w:rFonts w:ascii="Arial" w:hAnsi="Arial" w:cs="Arial"/>
                <w:color w:val="000000"/>
                <w:sz w:val="18"/>
                <w:szCs w:val="18"/>
              </w:rPr>
              <w:t>PCE</w:t>
            </w:r>
          </w:p>
        </w:tc>
        <w:tc>
          <w:tcPr>
            <w:tcW w:w="878" w:type="pct"/>
            <w:tcBorders>
              <w:top w:val="nil"/>
              <w:left w:val="nil"/>
              <w:bottom w:val="single" w:sz="4" w:space="0" w:color="auto"/>
              <w:right w:val="single" w:sz="8" w:space="0" w:color="auto"/>
            </w:tcBorders>
            <w:shd w:val="clear" w:color="000000" w:fill="EAF1DD"/>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2</w:t>
            </w:r>
          </w:p>
        </w:tc>
        <w:tc>
          <w:tcPr>
            <w:tcW w:w="1080" w:type="pct"/>
            <w:tcBorders>
              <w:top w:val="nil"/>
              <w:left w:val="nil"/>
              <w:bottom w:val="single" w:sz="4" w:space="0" w:color="auto"/>
              <w:right w:val="single" w:sz="8" w:space="0" w:color="auto"/>
            </w:tcBorders>
            <w:shd w:val="clear" w:color="000000" w:fill="FFFFCC"/>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2</w:t>
            </w:r>
          </w:p>
        </w:tc>
        <w:tc>
          <w:tcPr>
            <w:tcW w:w="1081" w:type="pct"/>
            <w:tcBorders>
              <w:top w:val="nil"/>
              <w:left w:val="nil"/>
              <w:bottom w:val="single" w:sz="4" w:space="0" w:color="auto"/>
              <w:right w:val="single" w:sz="8" w:space="0" w:color="auto"/>
            </w:tcBorders>
            <w:shd w:val="clear" w:color="000000" w:fill="F2DDDC"/>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4</w:t>
            </w:r>
            <w:r>
              <w:rPr>
                <w:rFonts w:ascii="Arial" w:hAnsi="Arial" w:cs="Arial"/>
                <w:color w:val="000000"/>
                <w:sz w:val="18"/>
                <w:szCs w:val="18"/>
              </w:rPr>
              <w:t>0</w:t>
            </w:r>
          </w:p>
        </w:tc>
        <w:tc>
          <w:tcPr>
            <w:tcW w:w="1079" w:type="pct"/>
            <w:tcBorders>
              <w:top w:val="nil"/>
              <w:left w:val="nil"/>
              <w:bottom w:val="single" w:sz="4" w:space="0" w:color="auto"/>
              <w:right w:val="single" w:sz="8" w:space="0" w:color="auto"/>
            </w:tcBorders>
            <w:shd w:val="clear" w:color="000000" w:fill="DBE5F1"/>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8</w:t>
            </w:r>
          </w:p>
        </w:tc>
      </w:tr>
      <w:tr w:rsidR="00A97702" w:rsidRPr="00CC660D" w:rsidTr="00DA1C9D">
        <w:trPr>
          <w:trHeight w:val="240"/>
          <w:jc w:val="center"/>
        </w:trPr>
        <w:tc>
          <w:tcPr>
            <w:tcW w:w="882" w:type="pct"/>
            <w:tcBorders>
              <w:top w:val="nil"/>
              <w:left w:val="single" w:sz="8" w:space="0" w:color="auto"/>
              <w:bottom w:val="single" w:sz="4" w:space="0" w:color="auto"/>
              <w:right w:val="single" w:sz="8" w:space="0" w:color="auto"/>
            </w:tcBorders>
            <w:shd w:val="clear" w:color="auto" w:fill="auto"/>
            <w:noWrap/>
            <w:vAlign w:val="bottom"/>
          </w:tcPr>
          <w:p w:rsidR="00A97702" w:rsidRPr="00136F1B" w:rsidRDefault="00A97702" w:rsidP="00DA1C9D">
            <w:pPr>
              <w:spacing w:before="20" w:after="20"/>
              <w:rPr>
                <w:rFonts w:ascii="Arial" w:hAnsi="Arial" w:cs="Arial"/>
                <w:color w:val="000000"/>
                <w:sz w:val="18"/>
                <w:szCs w:val="18"/>
              </w:rPr>
            </w:pPr>
            <w:r w:rsidRPr="00136F1B">
              <w:rPr>
                <w:rFonts w:ascii="Arial" w:hAnsi="Arial" w:cs="Arial"/>
                <w:color w:val="000000"/>
                <w:sz w:val="18"/>
                <w:szCs w:val="18"/>
              </w:rPr>
              <w:t>cis-1,2-dichloroethene</w:t>
            </w:r>
          </w:p>
        </w:tc>
        <w:tc>
          <w:tcPr>
            <w:tcW w:w="878" w:type="pct"/>
            <w:tcBorders>
              <w:top w:val="nil"/>
              <w:left w:val="nil"/>
              <w:bottom w:val="single" w:sz="4" w:space="0" w:color="auto"/>
              <w:right w:val="single" w:sz="8" w:space="0" w:color="auto"/>
            </w:tcBorders>
            <w:shd w:val="clear" w:color="000000" w:fill="EAF1DD"/>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0.08</w:t>
            </w:r>
          </w:p>
        </w:tc>
        <w:tc>
          <w:tcPr>
            <w:tcW w:w="1080" w:type="pct"/>
            <w:tcBorders>
              <w:top w:val="nil"/>
              <w:left w:val="nil"/>
              <w:bottom w:val="single" w:sz="4" w:space="0" w:color="auto"/>
              <w:right w:val="single" w:sz="8" w:space="0" w:color="auto"/>
            </w:tcBorders>
            <w:shd w:val="clear" w:color="000000" w:fill="FFFFCC"/>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0.08</w:t>
            </w:r>
          </w:p>
        </w:tc>
        <w:tc>
          <w:tcPr>
            <w:tcW w:w="1081" w:type="pct"/>
            <w:tcBorders>
              <w:top w:val="nil"/>
              <w:left w:val="nil"/>
              <w:bottom w:val="single" w:sz="4" w:space="0" w:color="auto"/>
              <w:right w:val="single" w:sz="8" w:space="0" w:color="auto"/>
            </w:tcBorders>
            <w:shd w:val="clear" w:color="000000" w:fill="F2DDDC"/>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2</w:t>
            </w:r>
          </w:p>
        </w:tc>
        <w:tc>
          <w:tcPr>
            <w:tcW w:w="1079" w:type="pct"/>
            <w:tcBorders>
              <w:top w:val="nil"/>
              <w:left w:val="nil"/>
              <w:bottom w:val="single" w:sz="4" w:space="0" w:color="auto"/>
              <w:right w:val="single" w:sz="8" w:space="0" w:color="auto"/>
            </w:tcBorders>
            <w:shd w:val="clear" w:color="000000" w:fill="DBE5F1"/>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0.3</w:t>
            </w:r>
          </w:p>
        </w:tc>
      </w:tr>
      <w:tr w:rsidR="00A97702" w:rsidRPr="00CC660D" w:rsidTr="00DA1C9D">
        <w:trPr>
          <w:trHeight w:val="255"/>
          <w:jc w:val="center"/>
        </w:trPr>
        <w:tc>
          <w:tcPr>
            <w:tcW w:w="882" w:type="pct"/>
            <w:tcBorders>
              <w:top w:val="nil"/>
              <w:left w:val="single" w:sz="8" w:space="0" w:color="auto"/>
              <w:bottom w:val="single" w:sz="8" w:space="0" w:color="auto"/>
              <w:right w:val="single" w:sz="8" w:space="0" w:color="auto"/>
            </w:tcBorders>
            <w:shd w:val="clear" w:color="auto" w:fill="auto"/>
            <w:noWrap/>
            <w:vAlign w:val="bottom"/>
          </w:tcPr>
          <w:p w:rsidR="00A97702" w:rsidRPr="00136F1B" w:rsidRDefault="00A97702" w:rsidP="00DA1C9D">
            <w:pPr>
              <w:spacing w:before="20" w:after="20"/>
              <w:rPr>
                <w:rFonts w:ascii="Arial" w:hAnsi="Arial" w:cs="Arial"/>
                <w:color w:val="000000"/>
                <w:sz w:val="18"/>
                <w:szCs w:val="18"/>
              </w:rPr>
            </w:pPr>
            <w:r>
              <w:rPr>
                <w:rFonts w:ascii="Arial" w:hAnsi="Arial" w:cs="Arial"/>
                <w:color w:val="000000"/>
                <w:sz w:val="18"/>
                <w:szCs w:val="18"/>
              </w:rPr>
              <w:t>V</w:t>
            </w:r>
            <w:r w:rsidRPr="00136F1B">
              <w:rPr>
                <w:rFonts w:ascii="Arial" w:hAnsi="Arial" w:cs="Arial"/>
                <w:color w:val="000000"/>
                <w:sz w:val="18"/>
                <w:szCs w:val="18"/>
              </w:rPr>
              <w:t>inyl chloride</w:t>
            </w:r>
          </w:p>
        </w:tc>
        <w:tc>
          <w:tcPr>
            <w:tcW w:w="878" w:type="pct"/>
            <w:tcBorders>
              <w:top w:val="nil"/>
              <w:left w:val="nil"/>
              <w:bottom w:val="single" w:sz="8" w:space="0" w:color="auto"/>
              <w:right w:val="single" w:sz="8" w:space="0" w:color="auto"/>
            </w:tcBorders>
            <w:shd w:val="clear" w:color="000000" w:fill="EAF1DD"/>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0.</w:t>
            </w:r>
            <w:r>
              <w:rPr>
                <w:rFonts w:ascii="Arial" w:hAnsi="Arial" w:cs="Arial"/>
                <w:color w:val="000000"/>
                <w:sz w:val="18"/>
                <w:szCs w:val="18"/>
              </w:rPr>
              <w:t>0</w:t>
            </w:r>
            <w:r w:rsidRPr="00136F1B">
              <w:rPr>
                <w:rFonts w:ascii="Arial" w:hAnsi="Arial" w:cs="Arial"/>
                <w:color w:val="000000"/>
                <w:sz w:val="18"/>
                <w:szCs w:val="18"/>
              </w:rPr>
              <w:t>3</w:t>
            </w:r>
          </w:p>
        </w:tc>
        <w:tc>
          <w:tcPr>
            <w:tcW w:w="1080" w:type="pct"/>
            <w:tcBorders>
              <w:top w:val="nil"/>
              <w:left w:val="nil"/>
              <w:bottom w:val="single" w:sz="8" w:space="0" w:color="auto"/>
              <w:right w:val="single" w:sz="8" w:space="0" w:color="auto"/>
            </w:tcBorders>
            <w:shd w:val="clear" w:color="000000" w:fill="FFFFCC"/>
            <w:noWrap/>
            <w:vAlign w:val="bottom"/>
          </w:tcPr>
          <w:p w:rsidR="00A97702" w:rsidRPr="00136F1B" w:rsidRDefault="00A97702" w:rsidP="00DA1C9D">
            <w:pPr>
              <w:spacing w:before="20" w:after="20"/>
              <w:jc w:val="center"/>
              <w:rPr>
                <w:rFonts w:ascii="Arial" w:hAnsi="Arial" w:cs="Arial"/>
                <w:color w:val="000000"/>
                <w:sz w:val="18"/>
                <w:szCs w:val="18"/>
              </w:rPr>
            </w:pPr>
            <w:r w:rsidRPr="00136F1B">
              <w:rPr>
                <w:rFonts w:ascii="Arial" w:hAnsi="Arial" w:cs="Arial"/>
                <w:color w:val="000000"/>
                <w:sz w:val="18"/>
                <w:szCs w:val="18"/>
              </w:rPr>
              <w:t>0.</w:t>
            </w:r>
            <w:r>
              <w:rPr>
                <w:rFonts w:ascii="Arial" w:hAnsi="Arial" w:cs="Arial"/>
                <w:color w:val="000000"/>
                <w:sz w:val="18"/>
                <w:szCs w:val="18"/>
              </w:rPr>
              <w:t>0</w:t>
            </w:r>
            <w:r w:rsidRPr="00136F1B">
              <w:rPr>
                <w:rFonts w:ascii="Arial" w:hAnsi="Arial" w:cs="Arial"/>
                <w:color w:val="000000"/>
                <w:sz w:val="18"/>
                <w:szCs w:val="18"/>
              </w:rPr>
              <w:t>3</w:t>
            </w:r>
          </w:p>
        </w:tc>
        <w:tc>
          <w:tcPr>
            <w:tcW w:w="1081" w:type="pct"/>
            <w:tcBorders>
              <w:top w:val="nil"/>
              <w:left w:val="nil"/>
              <w:bottom w:val="single" w:sz="8" w:space="0" w:color="auto"/>
              <w:right w:val="single" w:sz="8" w:space="0" w:color="auto"/>
            </w:tcBorders>
            <w:shd w:val="clear" w:color="000000" w:fill="F2DDDC"/>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0.5</w:t>
            </w:r>
          </w:p>
        </w:tc>
        <w:tc>
          <w:tcPr>
            <w:tcW w:w="1079" w:type="pct"/>
            <w:tcBorders>
              <w:top w:val="nil"/>
              <w:left w:val="nil"/>
              <w:bottom w:val="single" w:sz="8" w:space="0" w:color="auto"/>
              <w:right w:val="single" w:sz="8" w:space="0" w:color="auto"/>
            </w:tcBorders>
            <w:shd w:val="clear" w:color="000000" w:fill="DBE5F1"/>
            <w:noWrap/>
            <w:vAlign w:val="bottom"/>
          </w:tcPr>
          <w:p w:rsidR="00A97702" w:rsidRPr="00136F1B" w:rsidRDefault="00A97702" w:rsidP="00DA1C9D">
            <w:pPr>
              <w:spacing w:before="20" w:after="20"/>
              <w:jc w:val="center"/>
              <w:rPr>
                <w:rFonts w:ascii="Arial" w:hAnsi="Arial" w:cs="Arial"/>
                <w:color w:val="000000"/>
                <w:sz w:val="18"/>
                <w:szCs w:val="18"/>
              </w:rPr>
            </w:pPr>
            <w:r>
              <w:rPr>
                <w:rFonts w:ascii="Arial" w:hAnsi="Arial" w:cs="Arial"/>
                <w:color w:val="000000"/>
                <w:sz w:val="18"/>
                <w:szCs w:val="18"/>
              </w:rPr>
              <w:t>0.1</w:t>
            </w:r>
          </w:p>
        </w:tc>
      </w:tr>
    </w:tbl>
    <w:p w:rsidR="00A97702" w:rsidRPr="00C41C09" w:rsidRDefault="00A97702" w:rsidP="00A97702">
      <w:pPr>
        <w:pStyle w:val="Note"/>
        <w:rPr>
          <w:rFonts w:cs="Arial"/>
          <w:b/>
          <w:sz w:val="18"/>
          <w:szCs w:val="18"/>
        </w:rPr>
      </w:pPr>
      <w:r w:rsidRPr="00C41C09">
        <w:rPr>
          <w:rFonts w:cs="Arial"/>
          <w:b/>
          <w:sz w:val="18"/>
          <w:szCs w:val="18"/>
        </w:rPr>
        <w:t>Notes:</w:t>
      </w:r>
    </w:p>
    <w:p w:rsidR="00A97702" w:rsidRPr="00737CB3" w:rsidRDefault="00A97702" w:rsidP="00A97702">
      <w:pPr>
        <w:pStyle w:val="Dot-points"/>
        <w:numPr>
          <w:ilvl w:val="0"/>
          <w:numId w:val="38"/>
        </w:numPr>
        <w:rPr>
          <w:sz w:val="18"/>
          <w:szCs w:val="18"/>
        </w:rPr>
      </w:pPr>
      <w:r w:rsidRPr="00737CB3">
        <w:rPr>
          <w:sz w:val="18"/>
          <w:szCs w:val="18"/>
        </w:rPr>
        <w:t>Land use settings are equivalent to those described in Table 1A(1) Footnote 1 and Schedule B7, though secondary school buildings should be assessed using residential ‘A/B’ for vapour intrusion purposes.</w:t>
      </w:r>
    </w:p>
    <w:p w:rsidR="00A97702" w:rsidRPr="00737CB3" w:rsidRDefault="00A97702" w:rsidP="00A97702">
      <w:pPr>
        <w:pStyle w:val="Dot-points"/>
        <w:numPr>
          <w:ilvl w:val="0"/>
          <w:numId w:val="38"/>
        </w:numPr>
        <w:rPr>
          <w:sz w:val="18"/>
          <w:szCs w:val="18"/>
        </w:rPr>
      </w:pPr>
      <w:r w:rsidRPr="00737CB3">
        <w:rPr>
          <w:sz w:val="18"/>
          <w:szCs w:val="18"/>
        </w:rPr>
        <w:t>Interim HILs for VOCCs are conservative soil vapour concentrations that can be adopted for the purpose of screening sites where further investigation is required on a site-specific basis. They are based on the potential for vapour intrusion using an indoor air-to-soil vapour attenuation factor of 0.1 and an outdoor air-to-soil vapour attenuation factor of 0.05.</w:t>
      </w:r>
    </w:p>
    <w:p w:rsidR="00A97702" w:rsidRPr="00737CB3" w:rsidRDefault="00A97702" w:rsidP="00A97702">
      <w:pPr>
        <w:pStyle w:val="Dot-points"/>
        <w:numPr>
          <w:ilvl w:val="0"/>
          <w:numId w:val="38"/>
        </w:numPr>
        <w:rPr>
          <w:sz w:val="18"/>
          <w:szCs w:val="18"/>
        </w:rPr>
      </w:pPr>
      <w:r w:rsidRPr="00737CB3">
        <w:rPr>
          <w:sz w:val="18"/>
          <w:szCs w:val="18"/>
        </w:rPr>
        <w:t xml:space="preserve">Application of the interim HILs is based on a measurement of shallow (to 1 m depth) soil vapour (or deeper where the values are to be applied to a future building with a basement) or sub-slab soil vapour. </w:t>
      </w:r>
    </w:p>
    <w:p w:rsidR="00A97702" w:rsidRPr="00737CB3" w:rsidRDefault="00A97702" w:rsidP="00A97702">
      <w:pPr>
        <w:pStyle w:val="Dot-points"/>
        <w:numPr>
          <w:ilvl w:val="0"/>
          <w:numId w:val="38"/>
        </w:numPr>
        <w:rPr>
          <w:sz w:val="18"/>
          <w:szCs w:val="18"/>
        </w:rPr>
      </w:pPr>
      <w:r w:rsidRPr="00737CB3">
        <w:rPr>
          <w:sz w:val="18"/>
          <w:szCs w:val="18"/>
        </w:rPr>
        <w:t xml:space="preserve">The applicability of the interim HILs needs to be further considered when used for other building types such as homes with a crawl-space and no slab, which may require site-specific assessment. </w:t>
      </w:r>
    </w:p>
    <w:p w:rsidR="00A97702" w:rsidRPr="00737CB3" w:rsidRDefault="00A97702" w:rsidP="00A97702">
      <w:pPr>
        <w:pStyle w:val="Dot-points"/>
        <w:numPr>
          <w:ilvl w:val="0"/>
          <w:numId w:val="38"/>
        </w:numPr>
        <w:rPr>
          <w:sz w:val="18"/>
          <w:szCs w:val="18"/>
        </w:rPr>
      </w:pPr>
      <w:r w:rsidRPr="00737CB3">
        <w:rPr>
          <w:sz w:val="18"/>
          <w:szCs w:val="18"/>
        </w:rPr>
        <w:t xml:space="preserve">Use of the interim HILs requires comparison with data that has been collected using appropriate methods and meets appropriate data quality requirements. </w:t>
      </w:r>
    </w:p>
    <w:p w:rsidR="00A97702" w:rsidRPr="00737CB3" w:rsidRDefault="00A97702" w:rsidP="00A97702">
      <w:pPr>
        <w:pStyle w:val="Dot-points"/>
        <w:numPr>
          <w:ilvl w:val="0"/>
          <w:numId w:val="38"/>
        </w:numPr>
        <w:rPr>
          <w:sz w:val="18"/>
          <w:szCs w:val="18"/>
        </w:rPr>
      </w:pPr>
      <w:r w:rsidRPr="00737CB3">
        <w:rPr>
          <w:sz w:val="18"/>
          <w:szCs w:val="18"/>
        </w:rPr>
        <w:t>Oral and dermal exposure should be considered on a site-specific basis where direct contact exposure is likely to occur.</w:t>
      </w:r>
    </w:p>
    <w:p w:rsidR="00A97702" w:rsidRPr="00641FE0" w:rsidRDefault="00A97702" w:rsidP="00A97702">
      <w:pPr>
        <w:pStyle w:val="Note"/>
        <w:spacing w:before="40" w:after="40"/>
        <w:ind w:left="568" w:hanging="284"/>
        <w:rPr>
          <w:sz w:val="18"/>
          <w:szCs w:val="16"/>
        </w:rPr>
      </w:pPr>
    </w:p>
    <w:p w:rsidR="00A97702" w:rsidRDefault="00A97702" w:rsidP="00A97702">
      <w:pPr>
        <w:pStyle w:val="Note"/>
        <w:spacing w:after="40"/>
        <w:rPr>
          <w:b/>
        </w:rPr>
        <w:sectPr w:rsidR="00A97702" w:rsidSect="00DA1C9D">
          <w:headerReference w:type="even" r:id="rId20"/>
          <w:headerReference w:type="default" r:id="rId21"/>
          <w:footerReference w:type="default" r:id="rId22"/>
          <w:headerReference w:type="first" r:id="rId23"/>
          <w:pgSz w:w="11907" w:h="16840" w:code="9"/>
          <w:pgMar w:top="1418" w:right="1134" w:bottom="1134" w:left="1701" w:header="567" w:footer="567" w:gutter="0"/>
          <w:pgNumType w:start="1" w:chapSep="period"/>
          <w:cols w:space="720"/>
        </w:sectPr>
      </w:pPr>
    </w:p>
    <w:p w:rsidR="00A97702" w:rsidRDefault="00A97702" w:rsidP="00A97702">
      <w:pPr>
        <w:pStyle w:val="Caption"/>
      </w:pPr>
      <w:r w:rsidRPr="0029479F">
        <w:lastRenderedPageBreak/>
        <w:t xml:space="preserve">Table </w:t>
      </w:r>
      <w:r w:rsidRPr="0029479F">
        <w:tab/>
        <w:t>1A(3)</w:t>
      </w:r>
      <w:r w:rsidRPr="0029479F">
        <w:tab/>
        <w:t>Soil HSLs for vapour intrusion (mg/kg)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794"/>
        <w:gridCol w:w="794"/>
        <w:gridCol w:w="794"/>
        <w:gridCol w:w="794"/>
        <w:gridCol w:w="794"/>
        <w:gridCol w:w="794"/>
        <w:gridCol w:w="794"/>
        <w:gridCol w:w="794"/>
        <w:gridCol w:w="794"/>
        <w:gridCol w:w="794"/>
        <w:gridCol w:w="794"/>
        <w:gridCol w:w="794"/>
        <w:gridCol w:w="1418"/>
      </w:tblGrid>
      <w:tr w:rsidR="00A97702" w:rsidRPr="00737CB3" w:rsidTr="00DA1C9D">
        <w:trPr>
          <w:tblHeader/>
        </w:trPr>
        <w:tc>
          <w:tcPr>
            <w:tcW w:w="1701" w:type="dxa"/>
          </w:tcPr>
          <w:p w:rsidR="00A97702" w:rsidRPr="00737CB3" w:rsidRDefault="00A97702" w:rsidP="00DA1C9D">
            <w:pPr>
              <w:pStyle w:val="Note"/>
              <w:spacing w:after="40"/>
              <w:rPr>
                <w:rFonts w:cs="Arial"/>
                <w:b/>
                <w:bCs/>
                <w:sz w:val="22"/>
                <w:szCs w:val="22"/>
              </w:rPr>
            </w:pPr>
          </w:p>
        </w:tc>
        <w:tc>
          <w:tcPr>
            <w:tcW w:w="3176" w:type="dxa"/>
            <w:gridSpan w:val="4"/>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b/>
                <w:sz w:val="22"/>
                <w:szCs w:val="22"/>
              </w:rPr>
              <w:t>HSL A &amp; HSL B</w:t>
            </w:r>
          </w:p>
          <w:p w:rsidR="00A97702" w:rsidRPr="00737CB3" w:rsidRDefault="00A97702" w:rsidP="00DA1C9D">
            <w:pPr>
              <w:pStyle w:val="Note"/>
              <w:spacing w:after="40"/>
              <w:jc w:val="center"/>
              <w:rPr>
                <w:rFonts w:cs="Arial"/>
                <w:b/>
                <w:sz w:val="22"/>
                <w:szCs w:val="22"/>
              </w:rPr>
            </w:pPr>
            <w:r w:rsidRPr="00737CB3">
              <w:rPr>
                <w:rFonts w:cs="Arial"/>
                <w:b/>
                <w:sz w:val="22"/>
                <w:szCs w:val="22"/>
              </w:rPr>
              <w:t>Low – high density residential</w:t>
            </w:r>
          </w:p>
        </w:tc>
        <w:tc>
          <w:tcPr>
            <w:tcW w:w="3176" w:type="dxa"/>
            <w:gridSpan w:val="4"/>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b/>
                <w:sz w:val="22"/>
                <w:szCs w:val="22"/>
              </w:rPr>
              <w:t>HSL C</w:t>
            </w:r>
          </w:p>
          <w:p w:rsidR="00A97702" w:rsidRPr="00737CB3" w:rsidRDefault="00A97702" w:rsidP="00DA1C9D">
            <w:pPr>
              <w:pStyle w:val="Note"/>
              <w:spacing w:after="40"/>
              <w:jc w:val="center"/>
              <w:rPr>
                <w:rFonts w:cs="Arial"/>
                <w:b/>
                <w:sz w:val="22"/>
                <w:szCs w:val="22"/>
              </w:rPr>
            </w:pPr>
            <w:r w:rsidRPr="00737CB3">
              <w:rPr>
                <w:rFonts w:cs="Arial"/>
                <w:b/>
                <w:sz w:val="22"/>
                <w:szCs w:val="22"/>
              </w:rPr>
              <w:t>recreational / open space</w:t>
            </w:r>
          </w:p>
        </w:tc>
        <w:tc>
          <w:tcPr>
            <w:tcW w:w="3176" w:type="dxa"/>
            <w:gridSpan w:val="4"/>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b/>
                <w:sz w:val="22"/>
                <w:szCs w:val="22"/>
              </w:rPr>
              <w:t>HSL D</w:t>
            </w:r>
          </w:p>
          <w:p w:rsidR="00A97702" w:rsidRPr="00737CB3" w:rsidRDefault="00A97702" w:rsidP="00DA1C9D">
            <w:pPr>
              <w:pStyle w:val="Note"/>
              <w:spacing w:after="40"/>
              <w:jc w:val="center"/>
              <w:rPr>
                <w:rFonts w:cs="Arial"/>
                <w:b/>
                <w:sz w:val="22"/>
                <w:szCs w:val="22"/>
              </w:rPr>
            </w:pPr>
            <w:r w:rsidRPr="00737CB3">
              <w:rPr>
                <w:rFonts w:cs="Arial"/>
                <w:b/>
                <w:sz w:val="22"/>
                <w:szCs w:val="22"/>
              </w:rPr>
              <w:t>Commercial / Industrial</w:t>
            </w:r>
          </w:p>
        </w:tc>
        <w:tc>
          <w:tcPr>
            <w:tcW w:w="1418" w:type="dxa"/>
            <w:shd w:val="clear" w:color="auto" w:fill="CCC0D9"/>
          </w:tcPr>
          <w:p w:rsidR="00A97702" w:rsidRPr="00737CB3" w:rsidRDefault="00A97702" w:rsidP="00DA1C9D">
            <w:pPr>
              <w:pStyle w:val="Note"/>
              <w:spacing w:after="40"/>
              <w:jc w:val="center"/>
              <w:rPr>
                <w:rFonts w:cs="Arial"/>
                <w:b/>
                <w:sz w:val="22"/>
                <w:szCs w:val="22"/>
              </w:rPr>
            </w:pPr>
          </w:p>
        </w:tc>
      </w:tr>
      <w:tr w:rsidR="00A97702" w:rsidRPr="00737CB3" w:rsidTr="00DA1C9D">
        <w:tc>
          <w:tcPr>
            <w:tcW w:w="1701" w:type="dxa"/>
          </w:tcPr>
          <w:p w:rsidR="00A97702" w:rsidRPr="00737CB3" w:rsidRDefault="00A97702" w:rsidP="00DA1C9D">
            <w:pPr>
              <w:pStyle w:val="Note"/>
              <w:spacing w:after="40"/>
              <w:jc w:val="center"/>
              <w:rPr>
                <w:rFonts w:cs="Arial"/>
                <w:b/>
                <w:sz w:val="22"/>
                <w:szCs w:val="22"/>
              </w:rPr>
            </w:pPr>
            <w:r w:rsidRPr="00737CB3">
              <w:rPr>
                <w:rFonts w:cs="Arial"/>
                <w:b/>
                <w:bCs/>
                <w:sz w:val="22"/>
                <w:szCs w:val="22"/>
              </w:rPr>
              <w:t>CHEMICAL</w:t>
            </w:r>
          </w:p>
        </w:tc>
        <w:tc>
          <w:tcPr>
            <w:tcW w:w="794"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0 m to &lt;1 m</w:t>
            </w:r>
          </w:p>
        </w:tc>
        <w:tc>
          <w:tcPr>
            <w:tcW w:w="794"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1 m to &lt;2 m</w:t>
            </w:r>
          </w:p>
        </w:tc>
        <w:tc>
          <w:tcPr>
            <w:tcW w:w="794"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2 m to &lt;4m</w:t>
            </w:r>
          </w:p>
        </w:tc>
        <w:tc>
          <w:tcPr>
            <w:tcW w:w="794"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4 m+</w:t>
            </w:r>
          </w:p>
        </w:tc>
        <w:tc>
          <w:tcPr>
            <w:tcW w:w="794"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0 m to &lt;1 m</w:t>
            </w:r>
          </w:p>
        </w:tc>
        <w:tc>
          <w:tcPr>
            <w:tcW w:w="794"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1 m to &lt;2 m</w:t>
            </w:r>
          </w:p>
        </w:tc>
        <w:tc>
          <w:tcPr>
            <w:tcW w:w="794"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2 m to &lt;4 m</w:t>
            </w:r>
          </w:p>
        </w:tc>
        <w:tc>
          <w:tcPr>
            <w:tcW w:w="794"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4 m+</w:t>
            </w:r>
          </w:p>
        </w:tc>
        <w:tc>
          <w:tcPr>
            <w:tcW w:w="794"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0 m to &lt;1 m</w:t>
            </w:r>
          </w:p>
        </w:tc>
        <w:tc>
          <w:tcPr>
            <w:tcW w:w="794"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1 m to &lt;2 m</w:t>
            </w:r>
          </w:p>
        </w:tc>
        <w:tc>
          <w:tcPr>
            <w:tcW w:w="794"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2 m to &lt;4 m</w:t>
            </w:r>
          </w:p>
        </w:tc>
        <w:tc>
          <w:tcPr>
            <w:tcW w:w="794"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4 m+</w:t>
            </w:r>
          </w:p>
        </w:tc>
        <w:tc>
          <w:tcPr>
            <w:tcW w:w="1418" w:type="dxa"/>
            <w:shd w:val="clear" w:color="auto" w:fill="CCC0D9"/>
          </w:tcPr>
          <w:p w:rsidR="00A97702" w:rsidRPr="00737CB3" w:rsidRDefault="00A97702" w:rsidP="00DA1C9D">
            <w:pPr>
              <w:pStyle w:val="Note"/>
              <w:spacing w:after="40"/>
              <w:jc w:val="center"/>
              <w:rPr>
                <w:rFonts w:cs="Arial"/>
                <w:b/>
                <w:sz w:val="22"/>
                <w:szCs w:val="22"/>
              </w:rPr>
            </w:pPr>
            <w:r w:rsidRPr="00737CB3">
              <w:rPr>
                <w:rFonts w:cs="Arial"/>
                <w:b/>
                <w:sz w:val="22"/>
                <w:szCs w:val="22"/>
              </w:rPr>
              <w:t>Soil saturation concentration</w:t>
            </w:r>
          </w:p>
          <w:p w:rsidR="00A97702" w:rsidRPr="00737CB3" w:rsidRDefault="00A97702" w:rsidP="00DA1C9D">
            <w:pPr>
              <w:pStyle w:val="Note"/>
              <w:spacing w:after="40"/>
              <w:jc w:val="center"/>
              <w:rPr>
                <w:rFonts w:cs="Arial"/>
                <w:b/>
                <w:sz w:val="22"/>
                <w:szCs w:val="22"/>
              </w:rPr>
            </w:pPr>
            <w:r w:rsidRPr="00737CB3">
              <w:rPr>
                <w:rFonts w:cs="Arial"/>
                <w:b/>
                <w:sz w:val="22"/>
                <w:szCs w:val="22"/>
              </w:rPr>
              <w:t>(Csat)</w:t>
            </w:r>
          </w:p>
          <w:p w:rsidR="00A97702" w:rsidRPr="00737CB3" w:rsidRDefault="00A97702" w:rsidP="00DA1C9D">
            <w:pPr>
              <w:pStyle w:val="Note"/>
              <w:spacing w:after="40"/>
              <w:rPr>
                <w:rFonts w:cs="Arial"/>
                <w:b/>
                <w:sz w:val="22"/>
                <w:szCs w:val="22"/>
              </w:rPr>
            </w:pPr>
          </w:p>
        </w:tc>
      </w:tr>
      <w:tr w:rsidR="00A97702" w:rsidRPr="00737CB3" w:rsidTr="00DA1C9D">
        <w:tc>
          <w:tcPr>
            <w:tcW w:w="12647" w:type="dxa"/>
            <w:gridSpan w:val="14"/>
            <w:shd w:val="clear" w:color="auto" w:fill="F2F2F2"/>
            <w:vAlign w:val="bottom"/>
          </w:tcPr>
          <w:p w:rsidR="00A97702" w:rsidRPr="00737CB3" w:rsidRDefault="00A97702" w:rsidP="00DA1C9D">
            <w:pPr>
              <w:pStyle w:val="Note"/>
              <w:spacing w:after="40"/>
              <w:jc w:val="center"/>
              <w:rPr>
                <w:rFonts w:cs="Arial"/>
                <w:sz w:val="22"/>
                <w:szCs w:val="22"/>
              </w:rPr>
            </w:pPr>
            <w:r w:rsidRPr="00737CB3">
              <w:rPr>
                <w:rFonts w:cs="Arial"/>
                <w:b/>
                <w:sz w:val="22"/>
                <w:szCs w:val="22"/>
              </w:rPr>
              <w:t>SAND</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160</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220</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310</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540</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560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55</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64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40</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60</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95</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170</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230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300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Naphthalene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3</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9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Benzene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0.5</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0.5</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0.5</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0.5</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3</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360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F1</w:t>
            </w:r>
            <w:r w:rsidRPr="00737CB3">
              <w:rPr>
                <w:rFonts w:cs="Arial"/>
                <w:b/>
                <w:sz w:val="22"/>
                <w:szCs w:val="22"/>
                <w:vertAlign w:val="superscript"/>
              </w:rPr>
              <w:t>(9)</w:t>
            </w:r>
            <w:r w:rsidRPr="00737CB3">
              <w:rPr>
                <w:rFonts w:cs="Arial"/>
                <w:b/>
                <w:sz w:val="22"/>
                <w:szCs w:val="22"/>
              </w:rPr>
              <w:t xml:space="preserve"> </w:t>
            </w:r>
          </w:p>
        </w:tc>
        <w:tc>
          <w:tcPr>
            <w:tcW w:w="794"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45 </w:t>
            </w:r>
          </w:p>
        </w:tc>
        <w:tc>
          <w:tcPr>
            <w:tcW w:w="794" w:type="dxa"/>
            <w:shd w:val="clear" w:color="auto" w:fill="E1F995"/>
            <w:vAlign w:val="bottom"/>
          </w:tcPr>
          <w:p w:rsidR="00A97702" w:rsidRPr="00737CB3" w:rsidRDefault="00A97702" w:rsidP="00DA1C9D">
            <w:pPr>
              <w:jc w:val="center"/>
              <w:rPr>
                <w:rFonts w:cs="Arial"/>
                <w:szCs w:val="22"/>
              </w:rPr>
            </w:pPr>
          </w:p>
          <w:p w:rsidR="00A97702" w:rsidRPr="00737CB3" w:rsidRDefault="00A97702" w:rsidP="00DA1C9D">
            <w:pPr>
              <w:pStyle w:val="Note"/>
              <w:spacing w:before="0" w:after="0"/>
              <w:jc w:val="center"/>
              <w:rPr>
                <w:rFonts w:cs="Arial"/>
                <w:b/>
                <w:sz w:val="22"/>
                <w:szCs w:val="22"/>
              </w:rPr>
            </w:pPr>
            <w:r w:rsidRPr="00737CB3">
              <w:rPr>
                <w:rFonts w:cs="Arial"/>
                <w:sz w:val="22"/>
                <w:szCs w:val="22"/>
              </w:rPr>
              <w:t>70</w:t>
            </w:r>
          </w:p>
        </w:tc>
        <w:tc>
          <w:tcPr>
            <w:tcW w:w="794"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110</w:t>
            </w:r>
          </w:p>
        </w:tc>
        <w:tc>
          <w:tcPr>
            <w:tcW w:w="794"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200 </w:t>
            </w:r>
          </w:p>
        </w:tc>
        <w:tc>
          <w:tcPr>
            <w:tcW w:w="794"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794"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794"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794"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794" w:type="dxa"/>
            <w:shd w:val="clear" w:color="auto" w:fill="DBE5F1"/>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             260</w:t>
            </w:r>
          </w:p>
        </w:tc>
        <w:tc>
          <w:tcPr>
            <w:tcW w:w="794" w:type="dxa"/>
            <w:shd w:val="clear" w:color="auto" w:fill="DBE5F1"/>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             370 </w:t>
            </w:r>
          </w:p>
        </w:tc>
        <w:tc>
          <w:tcPr>
            <w:tcW w:w="794" w:type="dxa"/>
            <w:shd w:val="clear" w:color="auto" w:fill="DBE5F1"/>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             630 </w:t>
            </w:r>
          </w:p>
        </w:tc>
        <w:tc>
          <w:tcPr>
            <w:tcW w:w="794" w:type="dxa"/>
            <w:shd w:val="clear" w:color="auto" w:fill="DBE5F1"/>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             NL </w:t>
            </w:r>
          </w:p>
        </w:tc>
        <w:tc>
          <w:tcPr>
            <w:tcW w:w="1418" w:type="dxa"/>
            <w:shd w:val="clear" w:color="auto" w:fill="CCC0D9"/>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950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F2</w:t>
            </w:r>
            <w:r w:rsidRPr="00737CB3">
              <w:rPr>
                <w:rFonts w:cs="Arial"/>
                <w:b/>
                <w:sz w:val="22"/>
                <w:szCs w:val="22"/>
                <w:vertAlign w:val="superscript"/>
              </w:rPr>
              <w:t>(10)</w:t>
            </w:r>
            <w:r w:rsidRPr="00737CB3">
              <w:rPr>
                <w:rFonts w:cs="Arial"/>
                <w:b/>
                <w:sz w:val="22"/>
                <w:szCs w:val="22"/>
              </w:rPr>
              <w:t xml:space="preserve">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110</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240</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440</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560    </w:t>
            </w:r>
          </w:p>
        </w:tc>
      </w:tr>
      <w:tr w:rsidR="00A97702" w:rsidRPr="00737CB3" w:rsidTr="00DA1C9D">
        <w:tc>
          <w:tcPr>
            <w:tcW w:w="12647" w:type="dxa"/>
            <w:gridSpan w:val="14"/>
            <w:shd w:val="clear" w:color="auto" w:fill="F2F2F2"/>
            <w:vAlign w:val="bottom"/>
          </w:tcPr>
          <w:p w:rsidR="00A97702" w:rsidRPr="00737CB3" w:rsidRDefault="00A97702" w:rsidP="00DA1C9D">
            <w:pPr>
              <w:pStyle w:val="Note"/>
              <w:spacing w:after="40"/>
              <w:jc w:val="center"/>
              <w:rPr>
                <w:rFonts w:cs="Arial"/>
                <w:b/>
                <w:sz w:val="22"/>
                <w:szCs w:val="22"/>
              </w:rPr>
            </w:pPr>
            <w:r w:rsidRPr="00737CB3">
              <w:rPr>
                <w:rFonts w:cs="Arial"/>
                <w:b/>
                <w:sz w:val="22"/>
                <w:szCs w:val="22"/>
              </w:rPr>
              <w:t>SILT</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390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640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69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95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210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330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lastRenderedPageBreak/>
              <w:t>Naphthalene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Benzene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0.6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0.7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10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440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F1</w:t>
            </w:r>
            <w:r w:rsidRPr="00737CB3">
              <w:rPr>
                <w:rFonts w:cs="Arial"/>
                <w:b/>
                <w:sz w:val="22"/>
                <w:szCs w:val="22"/>
                <w:vertAlign w:val="superscript"/>
              </w:rPr>
              <w:t>(9)</w:t>
            </w:r>
            <w:r w:rsidRPr="00737CB3">
              <w:rPr>
                <w:rFonts w:cs="Arial"/>
                <w:b/>
                <w:sz w:val="22"/>
                <w:szCs w:val="22"/>
              </w:rPr>
              <w:t xml:space="preserve">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65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100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190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250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360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590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910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F2</w:t>
            </w:r>
            <w:r w:rsidRPr="00737CB3">
              <w:rPr>
                <w:rFonts w:cs="Arial"/>
                <w:b/>
                <w:sz w:val="22"/>
                <w:szCs w:val="22"/>
                <w:vertAlign w:val="superscript"/>
              </w:rPr>
              <w:t>(10)</w:t>
            </w:r>
            <w:r w:rsidRPr="00737CB3">
              <w:rPr>
                <w:rFonts w:cs="Arial"/>
                <w:b/>
                <w:sz w:val="22"/>
                <w:szCs w:val="22"/>
              </w:rPr>
              <w:t xml:space="preserve">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230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570    </w:t>
            </w:r>
          </w:p>
        </w:tc>
      </w:tr>
      <w:tr w:rsidR="00A97702" w:rsidRPr="00737CB3" w:rsidTr="00DA1C9D">
        <w:tc>
          <w:tcPr>
            <w:tcW w:w="12647" w:type="dxa"/>
            <w:gridSpan w:val="14"/>
            <w:shd w:val="clear" w:color="auto" w:fill="F2F2F2"/>
            <w:vAlign w:val="bottom"/>
          </w:tcPr>
          <w:p w:rsidR="00A97702" w:rsidRPr="00737CB3" w:rsidRDefault="00A97702" w:rsidP="00DA1C9D">
            <w:pPr>
              <w:pStyle w:val="Note"/>
              <w:spacing w:after="40"/>
              <w:jc w:val="center"/>
              <w:rPr>
                <w:rFonts w:cs="Arial"/>
                <w:b/>
                <w:sz w:val="22"/>
                <w:szCs w:val="22"/>
              </w:rPr>
            </w:pPr>
            <w:r w:rsidRPr="00737CB3">
              <w:rPr>
                <w:rFonts w:cs="Arial"/>
                <w:b/>
                <w:sz w:val="22"/>
                <w:szCs w:val="22"/>
              </w:rPr>
              <w:t>CLAY</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480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630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68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110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310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330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Naphthalene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Benzene</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0.7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9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20</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430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F1</w:t>
            </w:r>
            <w:r w:rsidRPr="00737CB3">
              <w:rPr>
                <w:rFonts w:cs="Arial"/>
                <w:b/>
                <w:sz w:val="22"/>
                <w:szCs w:val="22"/>
                <w:vertAlign w:val="superscript"/>
              </w:rPr>
              <w:t>(9)</w:t>
            </w:r>
            <w:r w:rsidRPr="00737CB3">
              <w:rPr>
                <w:rFonts w:cs="Arial"/>
                <w:b/>
                <w:sz w:val="22"/>
                <w:szCs w:val="22"/>
              </w:rPr>
              <w:t xml:space="preserve">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90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150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290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310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480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850    </w:t>
            </w:r>
          </w:p>
        </w:tc>
      </w:tr>
      <w:tr w:rsidR="00A97702" w:rsidRPr="00737CB3" w:rsidTr="00DA1C9D">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F2</w:t>
            </w:r>
            <w:r w:rsidRPr="00737CB3">
              <w:rPr>
                <w:rFonts w:cs="Arial"/>
                <w:b/>
                <w:sz w:val="22"/>
                <w:szCs w:val="22"/>
                <w:vertAlign w:val="superscript"/>
              </w:rPr>
              <w:t>(10)</w:t>
            </w:r>
            <w:r w:rsidRPr="00737CB3">
              <w:rPr>
                <w:rFonts w:cs="Arial"/>
                <w:b/>
                <w:sz w:val="22"/>
                <w:szCs w:val="22"/>
              </w:rPr>
              <w:t xml:space="preserve">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280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9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560    </w:t>
            </w:r>
          </w:p>
        </w:tc>
      </w:tr>
    </w:tbl>
    <w:p w:rsidR="00A97702" w:rsidRPr="00737CB3" w:rsidRDefault="00A97702" w:rsidP="00A97702">
      <w:pPr>
        <w:pStyle w:val="Note"/>
        <w:spacing w:after="40"/>
        <w:rPr>
          <w:rFonts w:cs="Arial"/>
          <w:b/>
          <w:sz w:val="18"/>
          <w:szCs w:val="18"/>
        </w:rPr>
      </w:pPr>
      <w:r w:rsidRPr="00737CB3">
        <w:rPr>
          <w:rFonts w:cs="Arial"/>
          <w:b/>
          <w:sz w:val="18"/>
          <w:szCs w:val="18"/>
        </w:rPr>
        <w:t>Notes:</w:t>
      </w:r>
    </w:p>
    <w:p w:rsidR="00A97702" w:rsidRPr="00737CB3" w:rsidRDefault="00A97702" w:rsidP="00A97702">
      <w:pPr>
        <w:numPr>
          <w:ilvl w:val="0"/>
          <w:numId w:val="18"/>
        </w:numPr>
        <w:spacing w:before="20" w:after="20" w:line="240" w:lineRule="auto"/>
        <w:jc w:val="both"/>
        <w:rPr>
          <w:rFonts w:cs="Arial"/>
          <w:sz w:val="18"/>
          <w:szCs w:val="18"/>
        </w:rPr>
      </w:pPr>
      <w:r w:rsidRPr="00737CB3">
        <w:rPr>
          <w:rFonts w:cs="Arial"/>
          <w:sz w:val="18"/>
          <w:szCs w:val="18"/>
        </w:rPr>
        <w:t xml:space="preserve">Land use settings are equivalent to those described in Table 1A(1) Footnote 1 and Schedule B7. HSLs for vapour intrusion for high density residential assume residential occupation of the ground floor. If communal car parks or commercial properties occupy the ground floor, HSL D should be used, </w:t>
      </w:r>
    </w:p>
    <w:p w:rsidR="00A97702" w:rsidRPr="00737CB3" w:rsidRDefault="00A97702" w:rsidP="00A97702">
      <w:pPr>
        <w:numPr>
          <w:ilvl w:val="0"/>
          <w:numId w:val="18"/>
        </w:numPr>
        <w:spacing w:before="20" w:after="20" w:line="240" w:lineRule="auto"/>
        <w:jc w:val="both"/>
        <w:rPr>
          <w:rFonts w:cs="Arial"/>
          <w:sz w:val="18"/>
          <w:szCs w:val="18"/>
        </w:rPr>
      </w:pPr>
      <w:r w:rsidRPr="00737CB3">
        <w:rPr>
          <w:rFonts w:cs="Arial"/>
          <w:sz w:val="18"/>
          <w:szCs w:val="18"/>
        </w:rPr>
        <w:t xml:space="preserve">The key limitations of the HSLs should be referred to prior to application and are presented in Friebel and Nadebaum (2011b and 2011d). </w:t>
      </w:r>
    </w:p>
    <w:p w:rsidR="00A97702" w:rsidRPr="00737CB3" w:rsidRDefault="00A97702" w:rsidP="00A97702">
      <w:pPr>
        <w:numPr>
          <w:ilvl w:val="0"/>
          <w:numId w:val="18"/>
        </w:numPr>
        <w:spacing w:before="20" w:after="20" w:line="240" w:lineRule="auto"/>
        <w:jc w:val="both"/>
        <w:rPr>
          <w:rFonts w:cs="Arial"/>
          <w:sz w:val="18"/>
          <w:szCs w:val="18"/>
        </w:rPr>
      </w:pPr>
      <w:r w:rsidRPr="00737CB3">
        <w:rPr>
          <w:rFonts w:cs="Arial"/>
          <w:sz w:val="18"/>
          <w:szCs w:val="18"/>
        </w:rPr>
        <w:t>Detailed assumptions in the derivation of the HSLs and information on how to apply the HSLs are presented in Friebel and Nadebaum (2011a and 2011b).</w:t>
      </w:r>
    </w:p>
    <w:p w:rsidR="00A97702" w:rsidRPr="00737CB3" w:rsidRDefault="00A97702" w:rsidP="00A97702">
      <w:pPr>
        <w:numPr>
          <w:ilvl w:val="0"/>
          <w:numId w:val="18"/>
        </w:numPr>
        <w:spacing w:before="20" w:after="20" w:line="240" w:lineRule="auto"/>
        <w:jc w:val="both"/>
        <w:rPr>
          <w:rFonts w:cs="Arial"/>
          <w:sz w:val="18"/>
          <w:szCs w:val="18"/>
        </w:rPr>
      </w:pPr>
      <w:r w:rsidRPr="00737CB3">
        <w:rPr>
          <w:rFonts w:cs="Arial"/>
          <w:sz w:val="18"/>
          <w:szCs w:val="18"/>
        </w:rPr>
        <w:t>Soil HSLs for vapour inhalation incorporate an adjustment factor of 10 applied to the vapour phase partitioning to reflect the differences observed between theoretical estimates of soil vapour partitioning and field measurements. Refer Friebel &amp; Nadebaum (2011a) for further information.</w:t>
      </w:r>
    </w:p>
    <w:p w:rsidR="00A97702" w:rsidRPr="00737CB3" w:rsidRDefault="00A97702" w:rsidP="00A97702">
      <w:pPr>
        <w:numPr>
          <w:ilvl w:val="0"/>
          <w:numId w:val="18"/>
        </w:numPr>
        <w:spacing w:before="20" w:after="20" w:line="240" w:lineRule="auto"/>
        <w:jc w:val="both"/>
        <w:rPr>
          <w:rFonts w:cs="Arial"/>
          <w:sz w:val="18"/>
          <w:szCs w:val="18"/>
        </w:rPr>
      </w:pPr>
      <w:r w:rsidRPr="00737CB3">
        <w:rPr>
          <w:rFonts w:cs="Arial"/>
          <w:sz w:val="18"/>
          <w:szCs w:val="18"/>
        </w:rPr>
        <w:t>The soil saturation concentration (Csat) is defined as the soil concentration at which the porewater phase cannot dissolve any more of an individual chemical. The soil vapour that is in equilibrium with the porewater will be at its maximum. If the derived soil HSL exceeds Csat, a soil vapour source concentration for a petroleum mixture could not exceed a level that would result in the maximum allowable vapour risk for the given scenario. For these scenarios, no HSL is presented for these chemicals and the HSL is shown as ‘not limiting’ or ‘NL’.</w:t>
      </w:r>
    </w:p>
    <w:p w:rsidR="00A97702" w:rsidRPr="00737CB3" w:rsidRDefault="00A97702" w:rsidP="00A97702">
      <w:pPr>
        <w:numPr>
          <w:ilvl w:val="0"/>
          <w:numId w:val="18"/>
        </w:numPr>
        <w:spacing w:before="20" w:after="20" w:line="240" w:lineRule="auto"/>
        <w:ind w:left="357" w:hanging="357"/>
        <w:jc w:val="both"/>
        <w:rPr>
          <w:rFonts w:cs="Arial"/>
          <w:sz w:val="18"/>
          <w:szCs w:val="18"/>
        </w:rPr>
      </w:pPr>
      <w:r w:rsidRPr="00737CB3">
        <w:rPr>
          <w:rFonts w:cs="Arial"/>
          <w:sz w:val="18"/>
          <w:szCs w:val="18"/>
        </w:rPr>
        <w:lastRenderedPageBreak/>
        <w:t>The HSLs for TPH C</w:t>
      </w:r>
      <w:r w:rsidRPr="00737CB3">
        <w:rPr>
          <w:rFonts w:cs="Arial"/>
          <w:sz w:val="18"/>
          <w:szCs w:val="18"/>
          <w:vertAlign w:val="subscript"/>
        </w:rPr>
        <w:t>6</w:t>
      </w:r>
      <w:r w:rsidRPr="00737CB3">
        <w:rPr>
          <w:rFonts w:cs="Arial"/>
          <w:sz w:val="18"/>
          <w:szCs w:val="18"/>
        </w:rPr>
        <w:t>-C</w:t>
      </w:r>
      <w:r w:rsidRPr="00737CB3">
        <w:rPr>
          <w:rFonts w:cs="Arial"/>
          <w:sz w:val="18"/>
          <w:szCs w:val="18"/>
          <w:vertAlign w:val="subscript"/>
        </w:rPr>
        <w:t>10</w:t>
      </w:r>
      <w:r w:rsidRPr="00737CB3">
        <w:rPr>
          <w:rFonts w:cs="Arial"/>
          <w:sz w:val="18"/>
          <w:szCs w:val="18"/>
        </w:rPr>
        <w:t xml:space="preserve"> in sandy soil are based on a finite source that depletes in less than seven years, and therefore consideration has been given to use of sub-chronic toxicity values. The &gt;C</w:t>
      </w:r>
      <w:r w:rsidRPr="00737CB3">
        <w:rPr>
          <w:rFonts w:cs="Arial"/>
          <w:sz w:val="18"/>
          <w:szCs w:val="18"/>
          <w:vertAlign w:val="subscript"/>
        </w:rPr>
        <w:t>8</w:t>
      </w:r>
      <w:r w:rsidRPr="00737CB3">
        <w:rPr>
          <w:rFonts w:cs="Arial"/>
          <w:sz w:val="18"/>
          <w:szCs w:val="18"/>
        </w:rPr>
        <w:t>-C</w:t>
      </w:r>
      <w:r w:rsidRPr="00737CB3">
        <w:rPr>
          <w:rFonts w:cs="Arial"/>
          <w:sz w:val="18"/>
          <w:szCs w:val="18"/>
          <w:vertAlign w:val="subscript"/>
        </w:rPr>
        <w:t>10</w:t>
      </w:r>
      <w:r w:rsidRPr="00737CB3">
        <w:rPr>
          <w:rFonts w:cs="Arial"/>
          <w:sz w:val="18"/>
          <w:szCs w:val="18"/>
        </w:rPr>
        <w:t xml:space="preserve"> aliphatic toxicity has been adjusted to represent sub-chronic exposure, resulting in higher HSLs than if based on chronic toxicity. For further information refer to Section 8.2 and Appendix J in Friebel and Nadebaum (2011a). </w:t>
      </w:r>
    </w:p>
    <w:p w:rsidR="00A97702" w:rsidRPr="00737CB3" w:rsidRDefault="00A97702" w:rsidP="00A97702">
      <w:pPr>
        <w:numPr>
          <w:ilvl w:val="0"/>
          <w:numId w:val="18"/>
        </w:numPr>
        <w:spacing w:before="80" w:after="120" w:line="240" w:lineRule="auto"/>
        <w:jc w:val="both"/>
        <w:rPr>
          <w:rFonts w:cs="Arial"/>
          <w:sz w:val="18"/>
          <w:szCs w:val="18"/>
        </w:rPr>
      </w:pPr>
      <w:r w:rsidRPr="00737CB3">
        <w:rPr>
          <w:rFonts w:cs="Arial"/>
          <w:sz w:val="18"/>
          <w:szCs w:val="18"/>
        </w:rPr>
        <w:t>The figures in the above table may be multiplied by a factor to account for biodegradation of vapour. A factor of 10 may apply for source depths from 2 m to &lt;4 m or a factor of 100 for source depths of 4 m and deeper. To apply the attenuation factor for vapour degradation, a number of conditions must be satisfied. Firstly the maximum length of the shorter side of the concrete slab and surrounding pavement cannot exceed 15 m, as this would prevent oxygen penetrating to the centre of the slab. Secondly, measurement of oxygen in the subsurface is required to determine the potential for biodegradation. Oxygen must be confirmed to be present at &gt;5% to use these factors.</w:t>
      </w:r>
    </w:p>
    <w:p w:rsidR="00A97702" w:rsidRPr="00737CB3" w:rsidRDefault="00A97702" w:rsidP="00A97702">
      <w:pPr>
        <w:numPr>
          <w:ilvl w:val="0"/>
          <w:numId w:val="18"/>
        </w:numPr>
        <w:spacing w:before="80" w:after="120" w:line="240" w:lineRule="auto"/>
        <w:jc w:val="both"/>
        <w:rPr>
          <w:rFonts w:cs="Arial"/>
          <w:sz w:val="18"/>
          <w:szCs w:val="18"/>
        </w:rPr>
      </w:pPr>
      <w:r w:rsidRPr="00737CB3">
        <w:rPr>
          <w:rFonts w:cs="Arial"/>
          <w:sz w:val="18"/>
          <w:szCs w:val="18"/>
        </w:rPr>
        <w:t xml:space="preserve">For soil texture classification undertaken in accord with AS 1726, the classifications of sand, silt and clay may be applied as coarse, fine with liquid limit &lt;50% and fine with liquid limit&gt;50% respectively, as the underlying properties to develop the HSLs may reasonably be selected to be similar. Where there is uncertainty, either a conservative approach may be adopted or laboratory analysis should be carried out. </w:t>
      </w:r>
    </w:p>
    <w:p w:rsidR="00A97702" w:rsidRPr="00737CB3" w:rsidRDefault="00A97702" w:rsidP="00A97702">
      <w:pPr>
        <w:numPr>
          <w:ilvl w:val="0"/>
          <w:numId w:val="18"/>
        </w:numPr>
        <w:spacing w:before="80" w:after="120" w:line="240" w:lineRule="auto"/>
        <w:jc w:val="both"/>
        <w:rPr>
          <w:rFonts w:cs="Arial"/>
          <w:sz w:val="18"/>
          <w:szCs w:val="18"/>
        </w:rPr>
      </w:pPr>
      <w:r w:rsidRPr="00737CB3">
        <w:rPr>
          <w:rFonts w:cs="Arial"/>
          <w:sz w:val="18"/>
          <w:szCs w:val="18"/>
        </w:rPr>
        <w:t>To obtain F1 subtract the sum of BTEX concentrations from the C</w:t>
      </w:r>
      <w:r w:rsidRPr="00737CB3">
        <w:rPr>
          <w:rFonts w:cs="Arial"/>
          <w:sz w:val="18"/>
          <w:szCs w:val="18"/>
          <w:vertAlign w:val="subscript"/>
        </w:rPr>
        <w:t>6</w:t>
      </w:r>
      <w:r w:rsidRPr="00737CB3">
        <w:rPr>
          <w:rFonts w:cs="Arial"/>
          <w:sz w:val="18"/>
          <w:szCs w:val="18"/>
        </w:rPr>
        <w:t>-C</w:t>
      </w:r>
      <w:r w:rsidRPr="00737CB3">
        <w:rPr>
          <w:rFonts w:cs="Arial"/>
          <w:sz w:val="18"/>
          <w:szCs w:val="18"/>
          <w:vertAlign w:val="subscript"/>
        </w:rPr>
        <w:t>10</w:t>
      </w:r>
      <w:r w:rsidRPr="00737CB3">
        <w:rPr>
          <w:rFonts w:cs="Arial"/>
          <w:sz w:val="18"/>
          <w:szCs w:val="18"/>
        </w:rPr>
        <w:t xml:space="preserve"> fraction.</w:t>
      </w:r>
    </w:p>
    <w:p w:rsidR="00A97702" w:rsidRPr="00737CB3" w:rsidRDefault="00A97702" w:rsidP="00A97702">
      <w:pPr>
        <w:numPr>
          <w:ilvl w:val="0"/>
          <w:numId w:val="18"/>
        </w:numPr>
        <w:spacing w:before="80" w:after="120" w:line="240" w:lineRule="auto"/>
        <w:jc w:val="both"/>
        <w:rPr>
          <w:rFonts w:cs="Arial"/>
          <w:sz w:val="18"/>
          <w:szCs w:val="18"/>
        </w:rPr>
      </w:pPr>
      <w:r w:rsidRPr="00737CB3">
        <w:rPr>
          <w:rFonts w:cs="Arial"/>
          <w:sz w:val="18"/>
          <w:szCs w:val="18"/>
        </w:rPr>
        <w:t>To obtain F2 subtract naphthalene from the &gt;C</w:t>
      </w:r>
      <w:r w:rsidRPr="00737CB3">
        <w:rPr>
          <w:rFonts w:cs="Arial"/>
          <w:sz w:val="18"/>
          <w:szCs w:val="18"/>
          <w:vertAlign w:val="subscript"/>
        </w:rPr>
        <w:t>10</w:t>
      </w:r>
      <w:r w:rsidRPr="00737CB3">
        <w:rPr>
          <w:rFonts w:cs="Arial"/>
          <w:sz w:val="18"/>
          <w:szCs w:val="18"/>
        </w:rPr>
        <w:t>-C</w:t>
      </w:r>
      <w:r w:rsidRPr="00737CB3">
        <w:rPr>
          <w:rFonts w:cs="Arial"/>
          <w:sz w:val="18"/>
          <w:szCs w:val="18"/>
          <w:vertAlign w:val="subscript"/>
        </w:rPr>
        <w:t>16</w:t>
      </w:r>
      <w:r w:rsidRPr="00737CB3">
        <w:rPr>
          <w:rFonts w:cs="Arial"/>
          <w:sz w:val="18"/>
          <w:szCs w:val="18"/>
        </w:rPr>
        <w:t xml:space="preserve"> fraction.</w:t>
      </w:r>
    </w:p>
    <w:p w:rsidR="00A97702" w:rsidRDefault="00A97702" w:rsidP="00A97702">
      <w:pPr>
        <w:rPr>
          <w:b/>
          <w:szCs w:val="22"/>
        </w:rPr>
      </w:pPr>
    </w:p>
    <w:p w:rsidR="00A97702" w:rsidRDefault="00A97702" w:rsidP="00A97702">
      <w:pPr>
        <w:rPr>
          <w:b/>
          <w:szCs w:val="22"/>
        </w:rPr>
      </w:pPr>
    </w:p>
    <w:p w:rsidR="00A97702" w:rsidRDefault="00A97702" w:rsidP="00A97702">
      <w:pPr>
        <w:rPr>
          <w:b/>
          <w:szCs w:val="22"/>
        </w:rPr>
      </w:pPr>
      <w:r>
        <w:rPr>
          <w:b/>
          <w:szCs w:val="22"/>
        </w:rPr>
        <w:br w:type="page"/>
      </w:r>
    </w:p>
    <w:p w:rsidR="00A97702" w:rsidRDefault="00A97702" w:rsidP="00A97702">
      <w:pPr>
        <w:pStyle w:val="Caption"/>
      </w:pPr>
      <w:r w:rsidRPr="0029479F">
        <w:lastRenderedPageBreak/>
        <w:t xml:space="preserve">Table </w:t>
      </w:r>
      <w:r w:rsidRPr="0029479F">
        <w:tab/>
        <w:t>1A(4)</w:t>
      </w:r>
      <w:r w:rsidRPr="0029479F">
        <w:tab/>
        <w:t>Groundwater HSLs for vapour intrusion (mg/</w:t>
      </w:r>
      <w:r>
        <w:t>L</w:t>
      </w:r>
      <w:r w:rsidRPr="00294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961"/>
        <w:gridCol w:w="961"/>
        <w:gridCol w:w="961"/>
        <w:gridCol w:w="961"/>
        <w:gridCol w:w="962"/>
        <w:gridCol w:w="961"/>
        <w:gridCol w:w="961"/>
        <w:gridCol w:w="961"/>
        <w:gridCol w:w="962"/>
        <w:gridCol w:w="1418"/>
      </w:tblGrid>
      <w:tr w:rsidR="00A97702" w:rsidRPr="00737CB3" w:rsidTr="00DA1C9D">
        <w:trPr>
          <w:tblHeader/>
        </w:trPr>
        <w:tc>
          <w:tcPr>
            <w:tcW w:w="1701" w:type="dxa"/>
          </w:tcPr>
          <w:p w:rsidR="00A97702" w:rsidRPr="00737CB3" w:rsidRDefault="00A97702" w:rsidP="00DA1C9D">
            <w:pPr>
              <w:pStyle w:val="Note"/>
              <w:spacing w:after="40"/>
              <w:rPr>
                <w:rFonts w:cs="Arial"/>
                <w:b/>
                <w:bCs/>
                <w:sz w:val="22"/>
                <w:szCs w:val="22"/>
              </w:rPr>
            </w:pPr>
          </w:p>
        </w:tc>
        <w:tc>
          <w:tcPr>
            <w:tcW w:w="2883" w:type="dxa"/>
            <w:gridSpan w:val="3"/>
            <w:shd w:val="clear" w:color="auto" w:fill="E1F995"/>
            <w:vAlign w:val="bottom"/>
          </w:tcPr>
          <w:p w:rsidR="00A97702" w:rsidRPr="00737CB3" w:rsidRDefault="00A97702" w:rsidP="00DA1C9D">
            <w:pPr>
              <w:pStyle w:val="Note"/>
              <w:spacing w:before="60" w:after="40"/>
              <w:jc w:val="center"/>
              <w:rPr>
                <w:rFonts w:cs="Arial"/>
                <w:b/>
                <w:sz w:val="22"/>
                <w:szCs w:val="22"/>
              </w:rPr>
            </w:pPr>
            <w:r w:rsidRPr="00737CB3">
              <w:rPr>
                <w:rFonts w:cs="Arial"/>
                <w:b/>
                <w:sz w:val="22"/>
                <w:szCs w:val="22"/>
              </w:rPr>
              <w:t>HSL A &amp; HSL B</w:t>
            </w:r>
          </w:p>
          <w:p w:rsidR="00A97702" w:rsidRPr="00737CB3" w:rsidRDefault="00A97702" w:rsidP="00DA1C9D">
            <w:pPr>
              <w:pStyle w:val="Note"/>
              <w:spacing w:before="60" w:after="40"/>
              <w:jc w:val="center"/>
              <w:rPr>
                <w:rFonts w:cs="Arial"/>
                <w:b/>
                <w:sz w:val="22"/>
                <w:szCs w:val="22"/>
              </w:rPr>
            </w:pPr>
            <w:r w:rsidRPr="00737CB3">
              <w:rPr>
                <w:rFonts w:cs="Arial"/>
                <w:b/>
                <w:sz w:val="22"/>
                <w:szCs w:val="22"/>
              </w:rPr>
              <w:t>Low – high density residential</w:t>
            </w:r>
          </w:p>
        </w:tc>
        <w:tc>
          <w:tcPr>
            <w:tcW w:w="2884" w:type="dxa"/>
            <w:gridSpan w:val="3"/>
            <w:shd w:val="clear" w:color="auto" w:fill="F2DBDB"/>
            <w:vAlign w:val="bottom"/>
          </w:tcPr>
          <w:p w:rsidR="00A97702" w:rsidRPr="00737CB3" w:rsidRDefault="00A97702" w:rsidP="00DA1C9D">
            <w:pPr>
              <w:pStyle w:val="Note"/>
              <w:spacing w:before="60" w:after="40"/>
              <w:jc w:val="center"/>
              <w:rPr>
                <w:rFonts w:cs="Arial"/>
                <w:b/>
                <w:sz w:val="22"/>
                <w:szCs w:val="22"/>
              </w:rPr>
            </w:pPr>
            <w:r w:rsidRPr="00737CB3">
              <w:rPr>
                <w:rFonts w:cs="Arial"/>
                <w:b/>
                <w:sz w:val="22"/>
                <w:szCs w:val="22"/>
              </w:rPr>
              <w:t>HSL C</w:t>
            </w:r>
          </w:p>
          <w:p w:rsidR="00A97702" w:rsidRPr="00737CB3" w:rsidRDefault="00A97702" w:rsidP="00DA1C9D">
            <w:pPr>
              <w:pStyle w:val="Note"/>
              <w:spacing w:before="60" w:after="40"/>
              <w:jc w:val="center"/>
              <w:rPr>
                <w:rFonts w:cs="Arial"/>
                <w:b/>
                <w:sz w:val="22"/>
                <w:szCs w:val="22"/>
              </w:rPr>
            </w:pPr>
            <w:r w:rsidRPr="00737CB3">
              <w:rPr>
                <w:rFonts w:cs="Arial"/>
                <w:b/>
                <w:sz w:val="22"/>
                <w:szCs w:val="22"/>
              </w:rPr>
              <w:t>recreational / open space</w:t>
            </w:r>
          </w:p>
        </w:tc>
        <w:tc>
          <w:tcPr>
            <w:tcW w:w="2884" w:type="dxa"/>
            <w:gridSpan w:val="3"/>
            <w:shd w:val="clear" w:color="auto" w:fill="DBE5F1"/>
            <w:vAlign w:val="bottom"/>
          </w:tcPr>
          <w:p w:rsidR="00A97702" w:rsidRPr="00737CB3" w:rsidRDefault="00A97702" w:rsidP="00DA1C9D">
            <w:pPr>
              <w:pStyle w:val="Note"/>
              <w:spacing w:before="60" w:after="40"/>
              <w:jc w:val="center"/>
              <w:rPr>
                <w:rFonts w:cs="Arial"/>
                <w:b/>
                <w:sz w:val="22"/>
                <w:szCs w:val="22"/>
              </w:rPr>
            </w:pPr>
            <w:r w:rsidRPr="00737CB3">
              <w:rPr>
                <w:rFonts w:cs="Arial"/>
                <w:b/>
                <w:sz w:val="22"/>
                <w:szCs w:val="22"/>
              </w:rPr>
              <w:t>HSL D</w:t>
            </w:r>
          </w:p>
          <w:p w:rsidR="00A97702" w:rsidRPr="00737CB3" w:rsidRDefault="00A97702" w:rsidP="00DA1C9D">
            <w:pPr>
              <w:pStyle w:val="Note"/>
              <w:spacing w:before="60" w:after="40"/>
              <w:jc w:val="center"/>
              <w:rPr>
                <w:rFonts w:cs="Arial"/>
                <w:b/>
                <w:sz w:val="22"/>
                <w:szCs w:val="22"/>
              </w:rPr>
            </w:pPr>
            <w:r w:rsidRPr="00737CB3">
              <w:rPr>
                <w:rFonts w:cs="Arial"/>
                <w:b/>
                <w:sz w:val="22"/>
                <w:szCs w:val="22"/>
              </w:rPr>
              <w:t>Commercial / industrial</w:t>
            </w:r>
          </w:p>
        </w:tc>
        <w:tc>
          <w:tcPr>
            <w:tcW w:w="1418" w:type="dxa"/>
            <w:shd w:val="clear" w:color="auto" w:fill="CCC0D9"/>
          </w:tcPr>
          <w:p w:rsidR="00A97702" w:rsidRPr="00737CB3" w:rsidRDefault="00A97702" w:rsidP="00DA1C9D">
            <w:pPr>
              <w:pStyle w:val="Note"/>
              <w:spacing w:after="40"/>
              <w:jc w:val="center"/>
              <w:rPr>
                <w:rFonts w:cs="Arial"/>
                <w:b/>
                <w:sz w:val="22"/>
                <w:szCs w:val="22"/>
              </w:rPr>
            </w:pPr>
          </w:p>
        </w:tc>
      </w:tr>
      <w:tr w:rsidR="00A97702" w:rsidRPr="00737CB3" w:rsidTr="00DA1C9D">
        <w:tc>
          <w:tcPr>
            <w:tcW w:w="1701" w:type="dxa"/>
          </w:tcPr>
          <w:p w:rsidR="00A97702" w:rsidRPr="00737CB3" w:rsidRDefault="00A97702" w:rsidP="00DA1C9D">
            <w:pPr>
              <w:pStyle w:val="Note"/>
              <w:spacing w:after="40"/>
              <w:jc w:val="center"/>
              <w:rPr>
                <w:rFonts w:cs="Arial"/>
                <w:b/>
                <w:sz w:val="22"/>
                <w:szCs w:val="22"/>
              </w:rPr>
            </w:pPr>
            <w:r w:rsidRPr="00737CB3">
              <w:rPr>
                <w:rFonts w:cs="Arial"/>
                <w:b/>
                <w:bCs/>
                <w:sz w:val="22"/>
                <w:szCs w:val="22"/>
              </w:rPr>
              <w:t>CHEMICAL</w:t>
            </w:r>
          </w:p>
        </w:tc>
        <w:tc>
          <w:tcPr>
            <w:tcW w:w="961"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2 m to &lt;4 m</w:t>
            </w:r>
          </w:p>
        </w:tc>
        <w:tc>
          <w:tcPr>
            <w:tcW w:w="961"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4 m to &lt;8 m</w:t>
            </w:r>
          </w:p>
        </w:tc>
        <w:tc>
          <w:tcPr>
            <w:tcW w:w="961"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8 m+</w:t>
            </w:r>
          </w:p>
        </w:tc>
        <w:tc>
          <w:tcPr>
            <w:tcW w:w="961"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2 m to &lt;4 m</w:t>
            </w:r>
          </w:p>
        </w:tc>
        <w:tc>
          <w:tcPr>
            <w:tcW w:w="962"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4 m to &lt;8 m</w:t>
            </w:r>
          </w:p>
        </w:tc>
        <w:tc>
          <w:tcPr>
            <w:tcW w:w="961"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8 m+</w:t>
            </w:r>
          </w:p>
        </w:tc>
        <w:tc>
          <w:tcPr>
            <w:tcW w:w="961"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2 m to &lt;4 m</w:t>
            </w:r>
          </w:p>
        </w:tc>
        <w:tc>
          <w:tcPr>
            <w:tcW w:w="961"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4 m to &lt;8 m</w:t>
            </w:r>
          </w:p>
        </w:tc>
        <w:tc>
          <w:tcPr>
            <w:tcW w:w="962"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8 m+</w:t>
            </w:r>
          </w:p>
        </w:tc>
        <w:tc>
          <w:tcPr>
            <w:tcW w:w="1418" w:type="dxa"/>
            <w:shd w:val="clear" w:color="auto" w:fill="CCC0D9"/>
          </w:tcPr>
          <w:p w:rsidR="00A97702" w:rsidRPr="00737CB3" w:rsidRDefault="00A97702" w:rsidP="00DA1C9D">
            <w:pPr>
              <w:pStyle w:val="Note"/>
              <w:spacing w:after="40"/>
              <w:jc w:val="center"/>
              <w:rPr>
                <w:rFonts w:cs="Arial"/>
                <w:b/>
                <w:sz w:val="22"/>
                <w:szCs w:val="22"/>
              </w:rPr>
            </w:pPr>
            <w:r w:rsidRPr="00737CB3">
              <w:rPr>
                <w:rFonts w:cs="Arial"/>
                <w:b/>
                <w:sz w:val="22"/>
                <w:szCs w:val="22"/>
              </w:rPr>
              <w:t>Solubility limit</w:t>
            </w:r>
          </w:p>
          <w:p w:rsidR="00A97702" w:rsidRPr="00737CB3" w:rsidRDefault="00A97702" w:rsidP="00DA1C9D">
            <w:pPr>
              <w:pStyle w:val="Note"/>
              <w:spacing w:after="40"/>
              <w:rPr>
                <w:rFonts w:cs="Arial"/>
                <w:b/>
                <w:sz w:val="22"/>
                <w:szCs w:val="22"/>
              </w:rPr>
            </w:pPr>
          </w:p>
        </w:tc>
      </w:tr>
      <w:tr w:rsidR="00A97702" w:rsidRPr="00737CB3" w:rsidTr="00DA1C9D">
        <w:trPr>
          <w:trHeight w:val="283"/>
        </w:trPr>
        <w:tc>
          <w:tcPr>
            <w:tcW w:w="11770" w:type="dxa"/>
            <w:gridSpan w:val="11"/>
            <w:shd w:val="clear" w:color="auto" w:fill="F2F2F2"/>
            <w:vAlign w:val="bottom"/>
          </w:tcPr>
          <w:p w:rsidR="00A97702" w:rsidRDefault="00A97702" w:rsidP="00DA1C9D">
            <w:pPr>
              <w:pStyle w:val="Note"/>
              <w:spacing w:after="40"/>
              <w:jc w:val="center"/>
              <w:rPr>
                <w:rFonts w:cs="Arial"/>
                <w:sz w:val="22"/>
                <w:szCs w:val="22"/>
              </w:rPr>
            </w:pPr>
            <w:r w:rsidRPr="00737CB3">
              <w:rPr>
                <w:rFonts w:cs="Arial"/>
                <w:sz w:val="22"/>
                <w:szCs w:val="22"/>
              </w:rPr>
              <w:t>SAND</w:t>
            </w:r>
          </w:p>
          <w:p w:rsidR="00A97702" w:rsidRPr="00737CB3" w:rsidRDefault="00A97702" w:rsidP="00DA1C9D">
            <w:pPr>
              <w:pStyle w:val="Note"/>
              <w:spacing w:after="40"/>
              <w:jc w:val="center"/>
              <w:rPr>
                <w:rFonts w:cs="Arial"/>
                <w:sz w:val="22"/>
                <w:szCs w:val="22"/>
              </w:rPr>
            </w:pP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61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3.9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21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Naphthalene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0.17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Benzene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0.8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0.8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0.9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59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F1</w:t>
            </w:r>
            <w:r w:rsidRPr="00737CB3">
              <w:rPr>
                <w:rFonts w:cs="Arial"/>
                <w:b/>
                <w:sz w:val="22"/>
                <w:szCs w:val="22"/>
                <w:vertAlign w:val="superscript"/>
              </w:rPr>
              <w:t>(7)</w:t>
            </w:r>
            <w:r w:rsidRPr="00737CB3">
              <w:rPr>
                <w:rFonts w:cs="Arial"/>
                <w:b/>
                <w:sz w:val="22"/>
                <w:szCs w:val="22"/>
              </w:rPr>
              <w:t xml:space="preserve"> </w:t>
            </w:r>
          </w:p>
        </w:tc>
        <w:tc>
          <w:tcPr>
            <w:tcW w:w="961"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1       </w:t>
            </w:r>
          </w:p>
        </w:tc>
        <w:tc>
          <w:tcPr>
            <w:tcW w:w="961"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1</w:t>
            </w:r>
          </w:p>
        </w:tc>
        <w:tc>
          <w:tcPr>
            <w:tcW w:w="961"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1</w:t>
            </w:r>
          </w:p>
        </w:tc>
        <w:tc>
          <w:tcPr>
            <w:tcW w:w="961"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962"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961"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961" w:type="dxa"/>
            <w:shd w:val="clear" w:color="auto" w:fill="DBE5F1"/>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6</w:t>
            </w:r>
          </w:p>
        </w:tc>
        <w:tc>
          <w:tcPr>
            <w:tcW w:w="961" w:type="dxa"/>
            <w:shd w:val="clear" w:color="auto" w:fill="DBE5F1"/>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6</w:t>
            </w:r>
          </w:p>
        </w:tc>
        <w:tc>
          <w:tcPr>
            <w:tcW w:w="962" w:type="dxa"/>
            <w:shd w:val="clear" w:color="auto" w:fill="DBE5F1"/>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7</w:t>
            </w:r>
          </w:p>
        </w:tc>
        <w:tc>
          <w:tcPr>
            <w:tcW w:w="1418" w:type="dxa"/>
            <w:shd w:val="clear" w:color="auto" w:fill="CCC0D9"/>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9.0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F2</w:t>
            </w:r>
            <w:r w:rsidRPr="00737CB3">
              <w:rPr>
                <w:rFonts w:cs="Arial"/>
                <w:b/>
                <w:sz w:val="22"/>
                <w:szCs w:val="22"/>
                <w:vertAlign w:val="superscript"/>
              </w:rPr>
              <w:t>(8)</w:t>
            </w:r>
            <w:r w:rsidRPr="00737CB3">
              <w:rPr>
                <w:rFonts w:cs="Arial"/>
                <w:b/>
                <w:sz w:val="22"/>
                <w:szCs w:val="22"/>
              </w:rPr>
              <w:t xml:space="preserve">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3.0       </w:t>
            </w:r>
          </w:p>
        </w:tc>
      </w:tr>
      <w:tr w:rsidR="00A97702" w:rsidRPr="00737CB3" w:rsidTr="00DA1C9D">
        <w:trPr>
          <w:trHeight w:val="283"/>
        </w:trPr>
        <w:tc>
          <w:tcPr>
            <w:tcW w:w="11770" w:type="dxa"/>
            <w:gridSpan w:val="11"/>
            <w:shd w:val="clear" w:color="auto" w:fill="F2F2F2"/>
            <w:vAlign w:val="bottom"/>
          </w:tcPr>
          <w:p w:rsidR="00A97702" w:rsidRPr="00737CB3" w:rsidRDefault="00A97702" w:rsidP="00DA1C9D">
            <w:pPr>
              <w:pStyle w:val="Note"/>
              <w:spacing w:after="40"/>
              <w:jc w:val="center"/>
              <w:rPr>
                <w:rFonts w:cs="Arial"/>
                <w:sz w:val="22"/>
                <w:szCs w:val="22"/>
              </w:rPr>
            </w:pPr>
            <w:r w:rsidRPr="00737CB3">
              <w:rPr>
                <w:rFonts w:cs="Arial"/>
                <w:b/>
                <w:sz w:val="22"/>
                <w:szCs w:val="22"/>
              </w:rPr>
              <w:t>SILT</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61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3.9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21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Naphthalene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0.17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lastRenderedPageBreak/>
              <w:t>Benzene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30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30</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30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59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F1</w:t>
            </w:r>
            <w:r w:rsidRPr="00737CB3">
              <w:rPr>
                <w:rFonts w:cs="Arial"/>
                <w:b/>
                <w:sz w:val="22"/>
                <w:szCs w:val="22"/>
                <w:vertAlign w:val="superscript"/>
              </w:rPr>
              <w:t>(7)</w:t>
            </w:r>
            <w:r w:rsidRPr="00737CB3">
              <w:rPr>
                <w:rFonts w:cs="Arial"/>
                <w:b/>
                <w:sz w:val="22"/>
                <w:szCs w:val="22"/>
              </w:rPr>
              <w:t xml:space="preserve">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6</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6</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6</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9.0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F2</w:t>
            </w:r>
            <w:r w:rsidRPr="00737CB3">
              <w:rPr>
                <w:rFonts w:cs="Arial"/>
                <w:b/>
                <w:sz w:val="22"/>
                <w:szCs w:val="22"/>
                <w:vertAlign w:val="superscript"/>
              </w:rPr>
              <w:t>(8)</w:t>
            </w:r>
            <w:r w:rsidRPr="00737CB3">
              <w:rPr>
                <w:rFonts w:cs="Arial"/>
                <w:b/>
                <w:sz w:val="22"/>
                <w:szCs w:val="22"/>
              </w:rPr>
              <w:t xml:space="preserve">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3.0       </w:t>
            </w:r>
          </w:p>
        </w:tc>
      </w:tr>
      <w:tr w:rsidR="00A97702" w:rsidRPr="00737CB3" w:rsidTr="00DA1C9D">
        <w:trPr>
          <w:trHeight w:val="283"/>
        </w:trPr>
        <w:tc>
          <w:tcPr>
            <w:tcW w:w="11770" w:type="dxa"/>
            <w:gridSpan w:val="11"/>
            <w:shd w:val="clear" w:color="auto" w:fill="F2F2F2"/>
            <w:vAlign w:val="bottom"/>
          </w:tcPr>
          <w:p w:rsidR="00A97702" w:rsidRPr="00737CB3" w:rsidRDefault="00A97702" w:rsidP="00DA1C9D">
            <w:pPr>
              <w:pStyle w:val="Note"/>
              <w:spacing w:after="40"/>
              <w:jc w:val="center"/>
              <w:rPr>
                <w:rFonts w:cs="Arial"/>
                <w:sz w:val="22"/>
                <w:szCs w:val="22"/>
              </w:rPr>
            </w:pPr>
            <w:r w:rsidRPr="00737CB3">
              <w:rPr>
                <w:rFonts w:cs="Arial"/>
                <w:b/>
                <w:sz w:val="22"/>
                <w:szCs w:val="22"/>
              </w:rPr>
              <w:t>CLAY</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61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3.9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21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Naphthalene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0.17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Benzene</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30</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30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35</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59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vertAlign w:val="superscript"/>
              </w:rPr>
            </w:pPr>
            <w:r w:rsidRPr="00737CB3">
              <w:rPr>
                <w:rFonts w:cs="Arial"/>
                <w:b/>
                <w:sz w:val="22"/>
                <w:szCs w:val="22"/>
              </w:rPr>
              <w:t>F1</w:t>
            </w:r>
            <w:r w:rsidRPr="00737CB3">
              <w:rPr>
                <w:rFonts w:cs="Arial"/>
                <w:b/>
                <w:sz w:val="22"/>
                <w:szCs w:val="22"/>
                <w:vertAlign w:val="superscript"/>
              </w:rPr>
              <w:t>(7)</w:t>
            </w:r>
            <w:r w:rsidRPr="00737CB3">
              <w:rPr>
                <w:rFonts w:cs="Arial"/>
                <w:b/>
                <w:sz w:val="22"/>
                <w:szCs w:val="22"/>
              </w:rPr>
              <w:t xml:space="preserve">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9.0       </w:t>
            </w:r>
          </w:p>
        </w:tc>
      </w:tr>
      <w:tr w:rsidR="00A97702" w:rsidRPr="00737CB3" w:rsidTr="00DA1C9D">
        <w:trPr>
          <w:trHeight w:val="283"/>
        </w:trPr>
        <w:tc>
          <w:tcPr>
            <w:tcW w:w="1701"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F2</w:t>
            </w:r>
            <w:r w:rsidRPr="00737CB3">
              <w:rPr>
                <w:rFonts w:cs="Arial"/>
                <w:b/>
                <w:sz w:val="22"/>
                <w:szCs w:val="22"/>
                <w:vertAlign w:val="superscript"/>
              </w:rPr>
              <w:t>(8)</w:t>
            </w:r>
            <w:r w:rsidRPr="00737CB3">
              <w:rPr>
                <w:rFonts w:cs="Arial"/>
                <w:b/>
                <w:sz w:val="22"/>
                <w:szCs w:val="22"/>
              </w:rPr>
              <w:t xml:space="preserve">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1"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62"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1418" w:type="dxa"/>
            <w:shd w:val="clear" w:color="auto" w:fill="CCC0D9"/>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3.0       </w:t>
            </w:r>
          </w:p>
        </w:tc>
      </w:tr>
    </w:tbl>
    <w:p w:rsidR="00A97702" w:rsidRPr="00737CB3" w:rsidRDefault="00A97702" w:rsidP="00A97702">
      <w:pPr>
        <w:pStyle w:val="Note"/>
        <w:spacing w:after="40"/>
        <w:rPr>
          <w:rFonts w:cs="Arial"/>
          <w:b/>
          <w:sz w:val="18"/>
          <w:szCs w:val="18"/>
        </w:rPr>
      </w:pPr>
      <w:r w:rsidRPr="00737CB3">
        <w:rPr>
          <w:rFonts w:cs="Arial"/>
          <w:b/>
          <w:sz w:val="18"/>
          <w:szCs w:val="18"/>
        </w:rPr>
        <w:t>Notes:</w:t>
      </w:r>
    </w:p>
    <w:p w:rsidR="00A97702" w:rsidRPr="00737CB3" w:rsidRDefault="00A97702" w:rsidP="00A97702">
      <w:pPr>
        <w:numPr>
          <w:ilvl w:val="0"/>
          <w:numId w:val="27"/>
        </w:numPr>
        <w:spacing w:before="20" w:after="20" w:line="240" w:lineRule="auto"/>
        <w:jc w:val="both"/>
        <w:rPr>
          <w:rFonts w:cs="Arial"/>
          <w:sz w:val="18"/>
          <w:szCs w:val="18"/>
        </w:rPr>
      </w:pPr>
      <w:r w:rsidRPr="00737CB3">
        <w:rPr>
          <w:rFonts w:cs="Arial"/>
          <w:sz w:val="18"/>
          <w:szCs w:val="18"/>
        </w:rPr>
        <w:t>Land use settings are equivalent to those described in Table 1A(1) Footnote 1 and Schedule B7. HSLs for vapour intrusion for high density residential assume residential occupation of the ground floor. If communal car parks or commercial properties occupy the ground floor, HSL D should be used,</w:t>
      </w:r>
    </w:p>
    <w:p w:rsidR="00A97702" w:rsidRPr="00737CB3" w:rsidRDefault="00A97702" w:rsidP="00A97702">
      <w:pPr>
        <w:numPr>
          <w:ilvl w:val="0"/>
          <w:numId w:val="27"/>
        </w:numPr>
        <w:spacing w:before="20" w:after="20" w:line="240" w:lineRule="auto"/>
        <w:jc w:val="both"/>
        <w:rPr>
          <w:rFonts w:cs="Arial"/>
          <w:sz w:val="18"/>
          <w:szCs w:val="18"/>
        </w:rPr>
      </w:pPr>
      <w:r w:rsidRPr="00737CB3">
        <w:rPr>
          <w:rFonts w:cs="Arial"/>
          <w:sz w:val="18"/>
          <w:szCs w:val="18"/>
        </w:rPr>
        <w:t xml:space="preserve">The key limitations of the HSLs are presented in Friebel and Nadebaum (2011d) and should be referred to prior to application. </w:t>
      </w:r>
    </w:p>
    <w:p w:rsidR="00A97702" w:rsidRPr="00737CB3" w:rsidRDefault="00A97702" w:rsidP="00A97702">
      <w:pPr>
        <w:numPr>
          <w:ilvl w:val="0"/>
          <w:numId w:val="27"/>
        </w:numPr>
        <w:spacing w:before="20" w:after="20" w:line="240" w:lineRule="auto"/>
        <w:jc w:val="both"/>
        <w:rPr>
          <w:rFonts w:cs="Arial"/>
          <w:sz w:val="18"/>
          <w:szCs w:val="18"/>
        </w:rPr>
      </w:pPr>
      <w:r w:rsidRPr="00737CB3">
        <w:rPr>
          <w:rFonts w:cs="Arial"/>
          <w:sz w:val="18"/>
          <w:szCs w:val="18"/>
        </w:rPr>
        <w:t>Detailed assumptions in the derivation of the HSLs and information on the application of the HSLs are presented in Friebel and Nadebaum (2011a and 2011b).</w:t>
      </w:r>
    </w:p>
    <w:p w:rsidR="00A97702" w:rsidRPr="00737CB3" w:rsidRDefault="00A97702" w:rsidP="00A97702">
      <w:pPr>
        <w:numPr>
          <w:ilvl w:val="0"/>
          <w:numId w:val="27"/>
        </w:numPr>
        <w:spacing w:before="20" w:after="20" w:line="240" w:lineRule="auto"/>
        <w:jc w:val="both"/>
        <w:rPr>
          <w:rFonts w:cs="Arial"/>
          <w:sz w:val="18"/>
          <w:szCs w:val="18"/>
        </w:rPr>
      </w:pPr>
      <w:r w:rsidRPr="00737CB3">
        <w:rPr>
          <w:rFonts w:cs="Arial"/>
          <w:sz w:val="18"/>
          <w:szCs w:val="18"/>
        </w:rPr>
        <w:t>The solubility limit is defined as the groundwater concentration at which the water cannot dissolve any more of an individual chemical based on a petroleum mixture. The soil vapour that is in equilibrium with the groundwater will be at its maximum. If the derived groundwater HSL exceeds the water solubility limit, a soil vapour source concentration for a petroleum mixture could not exceed a level that would result in the maximum allowable vapour risk for the given scenario. For these scenarios, no HSL is presented for these chemicals and the HSL is shown as ‘not limiting’ or ‘NL’.</w:t>
      </w:r>
    </w:p>
    <w:p w:rsidR="00A97702" w:rsidRPr="00737CB3" w:rsidRDefault="00A97702" w:rsidP="00A97702">
      <w:pPr>
        <w:numPr>
          <w:ilvl w:val="0"/>
          <w:numId w:val="27"/>
        </w:numPr>
        <w:spacing w:before="80" w:after="120" w:line="240" w:lineRule="auto"/>
        <w:jc w:val="both"/>
        <w:rPr>
          <w:rFonts w:cs="Arial"/>
          <w:sz w:val="18"/>
          <w:szCs w:val="18"/>
        </w:rPr>
      </w:pPr>
      <w:r w:rsidRPr="00737CB3">
        <w:rPr>
          <w:rFonts w:cs="Arial"/>
          <w:sz w:val="18"/>
          <w:szCs w:val="18"/>
        </w:rPr>
        <w:t>The figures in the above table may be multiplied by a factor to account for biodegradation of vapour. A factor of 10 may apply for source depths from 2 m to &lt;4 m or a factor of 100 for source depths of 4 m and deeper. To apply the attenuation factor for vapour degradation, a number of conditions must be satisfied. Firstly, the maximum length of the shorter side of the concrete slab and surrounding pavement cannot exceed 15 m, as this would prevent oxygen penetrating to the centre of the slab. Secondly, measurement of oxygen in the subsurface is required to determine the potential for biodegradation. Oxygen must be confirmed to be present at &gt;5% to use these factors.</w:t>
      </w:r>
    </w:p>
    <w:p w:rsidR="00A97702" w:rsidRPr="00737CB3" w:rsidRDefault="00A97702" w:rsidP="00A97702">
      <w:pPr>
        <w:numPr>
          <w:ilvl w:val="0"/>
          <w:numId w:val="27"/>
        </w:numPr>
        <w:spacing w:before="80" w:after="120" w:line="240" w:lineRule="auto"/>
        <w:jc w:val="both"/>
        <w:rPr>
          <w:rFonts w:cs="Arial"/>
          <w:sz w:val="18"/>
          <w:szCs w:val="18"/>
        </w:rPr>
      </w:pPr>
      <w:r w:rsidRPr="00737CB3">
        <w:rPr>
          <w:rFonts w:cs="Arial"/>
          <w:sz w:val="18"/>
          <w:szCs w:val="18"/>
        </w:rPr>
        <w:lastRenderedPageBreak/>
        <w:t xml:space="preserve">For soil texture classification undertaken in accord with AS 1726, the classifications of sand, silt and clay may be applied as coarse, fine with liquid limit &lt;50% and fine with liquid limit &gt;50% respectively, as the underlying properties to develop the HSLs may reasonably be selected to be similar. Where there is uncertainty, either a conservative approach may be adopted or laboratory analysis should be carried out. </w:t>
      </w:r>
    </w:p>
    <w:p w:rsidR="00A97702" w:rsidRPr="00737CB3" w:rsidRDefault="00A97702" w:rsidP="00A97702">
      <w:pPr>
        <w:numPr>
          <w:ilvl w:val="0"/>
          <w:numId w:val="27"/>
        </w:numPr>
        <w:spacing w:before="80" w:after="120" w:line="240" w:lineRule="auto"/>
        <w:jc w:val="both"/>
        <w:rPr>
          <w:rFonts w:cs="Arial"/>
          <w:sz w:val="18"/>
          <w:szCs w:val="18"/>
        </w:rPr>
      </w:pPr>
      <w:r w:rsidRPr="00737CB3">
        <w:rPr>
          <w:rFonts w:cs="Arial"/>
          <w:sz w:val="18"/>
          <w:szCs w:val="18"/>
        </w:rPr>
        <w:t>To obtain F1 subtract the sum of BTEX concentrations from the C</w:t>
      </w:r>
      <w:r w:rsidRPr="00737CB3">
        <w:rPr>
          <w:rFonts w:cs="Arial"/>
          <w:sz w:val="18"/>
          <w:szCs w:val="18"/>
          <w:vertAlign w:val="subscript"/>
        </w:rPr>
        <w:t>6</w:t>
      </w:r>
      <w:r w:rsidRPr="00737CB3">
        <w:rPr>
          <w:rFonts w:cs="Arial"/>
          <w:sz w:val="18"/>
          <w:szCs w:val="18"/>
        </w:rPr>
        <w:t>-C</w:t>
      </w:r>
      <w:r w:rsidRPr="00737CB3">
        <w:rPr>
          <w:rFonts w:cs="Arial"/>
          <w:sz w:val="18"/>
          <w:szCs w:val="18"/>
          <w:vertAlign w:val="subscript"/>
        </w:rPr>
        <w:t>10</w:t>
      </w:r>
      <w:r w:rsidRPr="00737CB3">
        <w:rPr>
          <w:rFonts w:cs="Arial"/>
          <w:sz w:val="18"/>
          <w:szCs w:val="18"/>
        </w:rPr>
        <w:t xml:space="preserve"> fraction.</w:t>
      </w:r>
    </w:p>
    <w:p w:rsidR="00A97702" w:rsidRPr="00737CB3" w:rsidRDefault="00A97702" w:rsidP="00A97702">
      <w:pPr>
        <w:numPr>
          <w:ilvl w:val="0"/>
          <w:numId w:val="27"/>
        </w:numPr>
        <w:spacing w:before="80" w:after="120" w:line="240" w:lineRule="auto"/>
        <w:jc w:val="both"/>
        <w:rPr>
          <w:rFonts w:cs="Arial"/>
          <w:sz w:val="18"/>
          <w:szCs w:val="18"/>
        </w:rPr>
      </w:pPr>
      <w:r w:rsidRPr="00737CB3">
        <w:rPr>
          <w:rFonts w:cs="Arial"/>
          <w:sz w:val="18"/>
          <w:szCs w:val="18"/>
        </w:rPr>
        <w:t>To obtain F2 subtract naphthalene from the &gt;C</w:t>
      </w:r>
      <w:r w:rsidRPr="00737CB3">
        <w:rPr>
          <w:rFonts w:cs="Arial"/>
          <w:sz w:val="18"/>
          <w:szCs w:val="18"/>
          <w:vertAlign w:val="subscript"/>
        </w:rPr>
        <w:t>10</w:t>
      </w:r>
      <w:r w:rsidRPr="00737CB3">
        <w:rPr>
          <w:rFonts w:cs="Arial"/>
          <w:sz w:val="18"/>
          <w:szCs w:val="18"/>
        </w:rPr>
        <w:t>-C</w:t>
      </w:r>
      <w:r w:rsidRPr="00737CB3">
        <w:rPr>
          <w:rFonts w:cs="Arial"/>
          <w:sz w:val="18"/>
          <w:szCs w:val="18"/>
          <w:vertAlign w:val="subscript"/>
        </w:rPr>
        <w:t>16</w:t>
      </w:r>
      <w:r w:rsidRPr="00737CB3">
        <w:rPr>
          <w:rFonts w:cs="Arial"/>
          <w:sz w:val="18"/>
          <w:szCs w:val="18"/>
        </w:rPr>
        <w:t xml:space="preserve"> fraction.</w:t>
      </w:r>
    </w:p>
    <w:p w:rsidR="00A97702" w:rsidRDefault="00A97702" w:rsidP="00A97702">
      <w:pPr>
        <w:spacing w:before="80"/>
        <w:rPr>
          <w:rFonts w:ascii="Arial" w:hAnsi="Arial" w:cs="Arial"/>
          <w:sz w:val="20"/>
        </w:rPr>
      </w:pPr>
    </w:p>
    <w:p w:rsidR="00A97702" w:rsidRDefault="00A97702" w:rsidP="00A97702">
      <w:pPr>
        <w:spacing w:before="80"/>
        <w:rPr>
          <w:rFonts w:ascii="Arial" w:hAnsi="Arial" w:cs="Arial"/>
          <w:sz w:val="20"/>
        </w:rPr>
      </w:pPr>
    </w:p>
    <w:p w:rsidR="00A97702" w:rsidRPr="006A757C" w:rsidRDefault="00A97702" w:rsidP="00A97702">
      <w:pPr>
        <w:spacing w:before="80"/>
        <w:rPr>
          <w:rFonts w:ascii="Arial" w:hAnsi="Arial" w:cs="Arial"/>
          <w:sz w:val="20"/>
        </w:rPr>
      </w:pPr>
      <w:r>
        <w:rPr>
          <w:rFonts w:ascii="Arial" w:hAnsi="Arial" w:cs="Arial"/>
          <w:sz w:val="20"/>
        </w:rPr>
        <w:br w:type="page"/>
      </w:r>
    </w:p>
    <w:p w:rsidR="00A97702" w:rsidRDefault="00A97702" w:rsidP="00A97702">
      <w:pPr>
        <w:pStyle w:val="Caption"/>
      </w:pPr>
      <w:r w:rsidRPr="0029479F">
        <w:lastRenderedPageBreak/>
        <w:t xml:space="preserve">Table </w:t>
      </w:r>
      <w:r w:rsidRPr="0029479F">
        <w:tab/>
        <w:t>1A(5)</w:t>
      </w:r>
      <w:r w:rsidRPr="0029479F">
        <w:tab/>
        <w:t>Soil vapour HSLs for vapour intrusion (mg/m</w:t>
      </w:r>
      <w:r w:rsidRPr="0029479F">
        <w:rPr>
          <w:vertAlign w:val="superscript"/>
        </w:rPr>
        <w:t>3</w:t>
      </w:r>
      <w:r w:rsidRPr="00294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8"/>
        <w:gridCol w:w="734"/>
        <w:gridCol w:w="838"/>
        <w:gridCol w:w="838"/>
        <w:gridCol w:w="944"/>
        <w:gridCol w:w="931"/>
        <w:gridCol w:w="786"/>
        <w:gridCol w:w="102"/>
        <w:gridCol w:w="736"/>
        <w:gridCol w:w="838"/>
        <w:gridCol w:w="838"/>
        <w:gridCol w:w="931"/>
        <w:gridCol w:w="733"/>
        <w:gridCol w:w="944"/>
        <w:gridCol w:w="838"/>
        <w:gridCol w:w="944"/>
        <w:gridCol w:w="931"/>
      </w:tblGrid>
      <w:tr w:rsidR="00A97702" w:rsidRPr="00737CB3" w:rsidTr="00DA1C9D">
        <w:trPr>
          <w:tblHeader/>
        </w:trPr>
        <w:tc>
          <w:tcPr>
            <w:tcW w:w="1598" w:type="dxa"/>
          </w:tcPr>
          <w:p w:rsidR="00A97702" w:rsidRPr="00737CB3" w:rsidRDefault="00A97702" w:rsidP="00DA1C9D">
            <w:pPr>
              <w:pStyle w:val="Note"/>
              <w:spacing w:after="40"/>
              <w:rPr>
                <w:rFonts w:cs="Arial"/>
                <w:b/>
                <w:bCs/>
                <w:sz w:val="22"/>
                <w:szCs w:val="22"/>
              </w:rPr>
            </w:pPr>
          </w:p>
        </w:tc>
        <w:tc>
          <w:tcPr>
            <w:tcW w:w="4285" w:type="dxa"/>
            <w:gridSpan w:val="5"/>
            <w:shd w:val="clear" w:color="auto" w:fill="E1F995"/>
            <w:vAlign w:val="bottom"/>
          </w:tcPr>
          <w:p w:rsidR="00A97702" w:rsidRPr="00737CB3" w:rsidRDefault="00A97702" w:rsidP="00DA1C9D">
            <w:pPr>
              <w:pStyle w:val="Note"/>
              <w:spacing w:before="60" w:after="40"/>
              <w:jc w:val="center"/>
              <w:rPr>
                <w:rFonts w:cs="Arial"/>
                <w:b/>
                <w:sz w:val="22"/>
                <w:szCs w:val="22"/>
              </w:rPr>
            </w:pPr>
            <w:r w:rsidRPr="00737CB3">
              <w:rPr>
                <w:rFonts w:cs="Arial"/>
                <w:b/>
                <w:sz w:val="22"/>
                <w:szCs w:val="22"/>
              </w:rPr>
              <w:t>HSL A &amp; HSL B</w:t>
            </w:r>
          </w:p>
          <w:p w:rsidR="00A97702" w:rsidRPr="00737CB3" w:rsidRDefault="00A97702" w:rsidP="00DA1C9D">
            <w:pPr>
              <w:pStyle w:val="Note"/>
              <w:spacing w:before="60" w:after="40"/>
              <w:jc w:val="center"/>
              <w:rPr>
                <w:rFonts w:cs="Arial"/>
                <w:b/>
                <w:sz w:val="22"/>
                <w:szCs w:val="22"/>
              </w:rPr>
            </w:pPr>
            <w:r w:rsidRPr="00737CB3">
              <w:rPr>
                <w:rFonts w:cs="Arial"/>
                <w:b/>
                <w:sz w:val="22"/>
                <w:szCs w:val="22"/>
              </w:rPr>
              <w:t>Low – high density residential</w:t>
            </w:r>
          </w:p>
        </w:tc>
        <w:tc>
          <w:tcPr>
            <w:tcW w:w="4231" w:type="dxa"/>
            <w:gridSpan w:val="6"/>
            <w:shd w:val="clear" w:color="auto" w:fill="F2DBDB"/>
            <w:vAlign w:val="bottom"/>
          </w:tcPr>
          <w:p w:rsidR="00A97702" w:rsidRPr="00737CB3" w:rsidRDefault="00A97702" w:rsidP="00DA1C9D">
            <w:pPr>
              <w:pStyle w:val="Note"/>
              <w:spacing w:before="60" w:after="40"/>
              <w:jc w:val="center"/>
              <w:rPr>
                <w:rFonts w:cs="Arial"/>
                <w:b/>
                <w:sz w:val="22"/>
                <w:szCs w:val="22"/>
              </w:rPr>
            </w:pPr>
            <w:r w:rsidRPr="00737CB3">
              <w:rPr>
                <w:rFonts w:cs="Arial"/>
                <w:b/>
                <w:sz w:val="22"/>
                <w:szCs w:val="22"/>
              </w:rPr>
              <w:t>HSL C</w:t>
            </w:r>
          </w:p>
          <w:p w:rsidR="00A97702" w:rsidRPr="00737CB3" w:rsidRDefault="00A97702" w:rsidP="00DA1C9D">
            <w:pPr>
              <w:pStyle w:val="Note"/>
              <w:spacing w:before="60" w:after="40"/>
              <w:jc w:val="center"/>
              <w:rPr>
                <w:rFonts w:cs="Arial"/>
                <w:b/>
                <w:sz w:val="22"/>
                <w:szCs w:val="22"/>
              </w:rPr>
            </w:pPr>
            <w:r w:rsidRPr="00737CB3">
              <w:rPr>
                <w:rFonts w:cs="Arial"/>
                <w:b/>
                <w:sz w:val="22"/>
                <w:szCs w:val="22"/>
              </w:rPr>
              <w:t>recreational / open space</w:t>
            </w:r>
          </w:p>
        </w:tc>
        <w:tc>
          <w:tcPr>
            <w:tcW w:w="4390" w:type="dxa"/>
            <w:gridSpan w:val="5"/>
            <w:shd w:val="clear" w:color="auto" w:fill="DBE5F1"/>
            <w:vAlign w:val="bottom"/>
          </w:tcPr>
          <w:p w:rsidR="00A97702" w:rsidRPr="00737CB3" w:rsidRDefault="00A97702" w:rsidP="00DA1C9D">
            <w:pPr>
              <w:pStyle w:val="Note"/>
              <w:spacing w:before="60" w:after="40"/>
              <w:jc w:val="center"/>
              <w:rPr>
                <w:rFonts w:cs="Arial"/>
                <w:b/>
                <w:sz w:val="22"/>
                <w:szCs w:val="22"/>
              </w:rPr>
            </w:pPr>
            <w:r w:rsidRPr="00737CB3">
              <w:rPr>
                <w:rFonts w:cs="Arial"/>
                <w:b/>
                <w:sz w:val="22"/>
                <w:szCs w:val="22"/>
              </w:rPr>
              <w:t>HSL D</w:t>
            </w:r>
          </w:p>
          <w:p w:rsidR="00A97702" w:rsidRPr="00737CB3" w:rsidRDefault="00A97702" w:rsidP="00DA1C9D">
            <w:pPr>
              <w:pStyle w:val="Note"/>
              <w:spacing w:before="60" w:after="40"/>
              <w:jc w:val="center"/>
              <w:rPr>
                <w:rFonts w:cs="Arial"/>
                <w:b/>
                <w:sz w:val="22"/>
                <w:szCs w:val="22"/>
              </w:rPr>
            </w:pPr>
            <w:r w:rsidRPr="00737CB3">
              <w:rPr>
                <w:rFonts w:cs="Arial"/>
                <w:b/>
                <w:sz w:val="22"/>
                <w:szCs w:val="22"/>
              </w:rPr>
              <w:t>Commercial / Industrial</w:t>
            </w:r>
          </w:p>
        </w:tc>
      </w:tr>
      <w:tr w:rsidR="00A97702" w:rsidRPr="00737CB3" w:rsidTr="00DA1C9D">
        <w:tc>
          <w:tcPr>
            <w:tcW w:w="1598" w:type="dxa"/>
          </w:tcPr>
          <w:p w:rsidR="00A97702" w:rsidRPr="00737CB3" w:rsidRDefault="00A97702" w:rsidP="00DA1C9D">
            <w:pPr>
              <w:pStyle w:val="Note"/>
              <w:spacing w:after="40"/>
              <w:jc w:val="center"/>
              <w:rPr>
                <w:rFonts w:cs="Arial"/>
                <w:b/>
                <w:sz w:val="22"/>
                <w:szCs w:val="22"/>
              </w:rPr>
            </w:pPr>
            <w:r w:rsidRPr="00737CB3">
              <w:rPr>
                <w:rFonts w:cs="Arial"/>
                <w:b/>
                <w:bCs/>
                <w:sz w:val="22"/>
                <w:szCs w:val="22"/>
              </w:rPr>
              <w:t>CHEMICAL</w:t>
            </w:r>
          </w:p>
        </w:tc>
        <w:tc>
          <w:tcPr>
            <w:tcW w:w="734"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0 m to &lt;1 m</w:t>
            </w:r>
          </w:p>
        </w:tc>
        <w:tc>
          <w:tcPr>
            <w:tcW w:w="838"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1 m to &lt;2 m</w:t>
            </w:r>
          </w:p>
        </w:tc>
        <w:tc>
          <w:tcPr>
            <w:tcW w:w="838"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2 m to &lt;4 m</w:t>
            </w:r>
          </w:p>
        </w:tc>
        <w:tc>
          <w:tcPr>
            <w:tcW w:w="944"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4 m to &lt;8 m</w:t>
            </w:r>
          </w:p>
        </w:tc>
        <w:tc>
          <w:tcPr>
            <w:tcW w:w="931" w:type="dxa"/>
            <w:shd w:val="clear" w:color="auto" w:fill="E1F995"/>
            <w:vAlign w:val="bottom"/>
          </w:tcPr>
          <w:p w:rsidR="00A97702" w:rsidRPr="00737CB3" w:rsidRDefault="00A97702" w:rsidP="00DA1C9D">
            <w:pPr>
              <w:pStyle w:val="Note"/>
              <w:spacing w:after="40"/>
              <w:jc w:val="center"/>
              <w:rPr>
                <w:rFonts w:cs="Arial"/>
                <w:b/>
              </w:rPr>
            </w:pPr>
            <w:r w:rsidRPr="00737CB3">
              <w:rPr>
                <w:rFonts w:cs="Arial"/>
                <w:b/>
              </w:rPr>
              <w:t>8 m+</w:t>
            </w:r>
          </w:p>
        </w:tc>
        <w:tc>
          <w:tcPr>
            <w:tcW w:w="786"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0 m to &lt;1 m</w:t>
            </w:r>
          </w:p>
        </w:tc>
        <w:tc>
          <w:tcPr>
            <w:tcW w:w="838" w:type="dxa"/>
            <w:gridSpan w:val="2"/>
            <w:shd w:val="clear" w:color="auto" w:fill="F2DBDB"/>
            <w:vAlign w:val="bottom"/>
          </w:tcPr>
          <w:p w:rsidR="00A97702" w:rsidRPr="00737CB3" w:rsidRDefault="00A97702" w:rsidP="00DA1C9D">
            <w:pPr>
              <w:pStyle w:val="Note"/>
              <w:spacing w:after="40"/>
              <w:jc w:val="center"/>
              <w:rPr>
                <w:rFonts w:cs="Arial"/>
                <w:b/>
              </w:rPr>
            </w:pPr>
            <w:r w:rsidRPr="00737CB3">
              <w:rPr>
                <w:rFonts w:cs="Arial"/>
                <w:b/>
              </w:rPr>
              <w:t>1 m to &lt;2 m</w:t>
            </w:r>
          </w:p>
        </w:tc>
        <w:tc>
          <w:tcPr>
            <w:tcW w:w="838"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2 m to &lt;4 m</w:t>
            </w:r>
          </w:p>
        </w:tc>
        <w:tc>
          <w:tcPr>
            <w:tcW w:w="838"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4 m to &lt;8 m</w:t>
            </w:r>
          </w:p>
        </w:tc>
        <w:tc>
          <w:tcPr>
            <w:tcW w:w="931" w:type="dxa"/>
            <w:shd w:val="clear" w:color="auto" w:fill="F2DBDB"/>
            <w:vAlign w:val="bottom"/>
          </w:tcPr>
          <w:p w:rsidR="00A97702" w:rsidRPr="00737CB3" w:rsidRDefault="00A97702" w:rsidP="00DA1C9D">
            <w:pPr>
              <w:pStyle w:val="Note"/>
              <w:spacing w:after="40"/>
              <w:jc w:val="center"/>
              <w:rPr>
                <w:rFonts w:cs="Arial"/>
                <w:b/>
              </w:rPr>
            </w:pPr>
            <w:r w:rsidRPr="00737CB3">
              <w:rPr>
                <w:rFonts w:cs="Arial"/>
                <w:b/>
              </w:rPr>
              <w:t>8 m+</w:t>
            </w:r>
          </w:p>
        </w:tc>
        <w:tc>
          <w:tcPr>
            <w:tcW w:w="733"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0 m to &lt;1 m</w:t>
            </w:r>
          </w:p>
        </w:tc>
        <w:tc>
          <w:tcPr>
            <w:tcW w:w="944"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1 m to &lt;2 m</w:t>
            </w:r>
          </w:p>
        </w:tc>
        <w:tc>
          <w:tcPr>
            <w:tcW w:w="838"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2 m to &lt;4 m</w:t>
            </w:r>
          </w:p>
        </w:tc>
        <w:tc>
          <w:tcPr>
            <w:tcW w:w="944"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4 m to &lt;8 m</w:t>
            </w:r>
          </w:p>
        </w:tc>
        <w:tc>
          <w:tcPr>
            <w:tcW w:w="931" w:type="dxa"/>
            <w:shd w:val="clear" w:color="auto" w:fill="DBE5F1"/>
            <w:vAlign w:val="bottom"/>
          </w:tcPr>
          <w:p w:rsidR="00A97702" w:rsidRPr="00737CB3" w:rsidRDefault="00A97702" w:rsidP="00DA1C9D">
            <w:pPr>
              <w:pStyle w:val="Note"/>
              <w:spacing w:after="40"/>
              <w:jc w:val="center"/>
              <w:rPr>
                <w:rFonts w:cs="Arial"/>
                <w:b/>
              </w:rPr>
            </w:pPr>
            <w:r w:rsidRPr="00737CB3">
              <w:rPr>
                <w:rFonts w:cs="Arial"/>
                <w:b/>
              </w:rPr>
              <w:t>8 m+</w:t>
            </w:r>
          </w:p>
        </w:tc>
      </w:tr>
      <w:tr w:rsidR="00A97702" w:rsidRPr="00737CB3" w:rsidTr="00DA1C9D">
        <w:tc>
          <w:tcPr>
            <w:tcW w:w="14504" w:type="dxa"/>
            <w:gridSpan w:val="17"/>
            <w:shd w:val="clear" w:color="auto" w:fill="F2F2F2"/>
            <w:vAlign w:val="bottom"/>
          </w:tcPr>
          <w:p w:rsidR="00A97702" w:rsidRPr="00737CB3" w:rsidRDefault="00A97702" w:rsidP="00DA1C9D">
            <w:pPr>
              <w:pStyle w:val="Note"/>
              <w:spacing w:after="40"/>
              <w:jc w:val="center"/>
              <w:rPr>
                <w:rFonts w:cs="Arial"/>
                <w:b/>
                <w:sz w:val="22"/>
                <w:szCs w:val="22"/>
              </w:rPr>
            </w:pPr>
            <w:r w:rsidRPr="00737CB3">
              <w:rPr>
                <w:rFonts w:cs="Arial"/>
                <w:b/>
                <w:sz w:val="22"/>
                <w:szCs w:val="22"/>
              </w:rPr>
              <w:t>SAND</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300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3</w:t>
            </w:r>
            <w:r w:rsidRPr="00737CB3">
              <w:rPr>
                <w:rFonts w:cs="Arial"/>
                <w:sz w:val="22"/>
                <w:szCs w:val="22"/>
              </w:rPr>
              <w:t xml:space="preserve">800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7</w:t>
            </w:r>
            <w:r>
              <w:rPr>
                <w:rFonts w:cs="Arial"/>
                <w:sz w:val="22"/>
                <w:szCs w:val="22"/>
              </w:rPr>
              <w:t>300</w:t>
            </w:r>
            <w:r w:rsidRPr="00737CB3">
              <w:rPr>
                <w:rFonts w:cs="Arial"/>
                <w:sz w:val="22"/>
                <w:szCs w:val="22"/>
              </w:rPr>
              <w:t xml:space="preserve">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15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29 </w:t>
            </w:r>
            <w:r w:rsidRPr="00737CB3">
              <w:rPr>
                <w:rFonts w:cs="Arial"/>
                <w:sz w:val="22"/>
                <w:szCs w:val="22"/>
              </w:rPr>
              <w:t xml:space="preserve">000    </w:t>
            </w:r>
          </w:p>
        </w:tc>
        <w:tc>
          <w:tcPr>
            <w:tcW w:w="88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3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4</w:t>
            </w:r>
            <w:r w:rsidRPr="00737CB3">
              <w:rPr>
                <w:rFonts w:cs="Arial"/>
                <w:sz w:val="22"/>
                <w:szCs w:val="22"/>
              </w:rPr>
              <w:t xml:space="preserve">800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16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39 </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84 </w:t>
            </w:r>
            <w:r w:rsidRPr="00737CB3">
              <w:rPr>
                <w:rFonts w:cs="Arial"/>
                <w:sz w:val="22"/>
                <w:szCs w:val="22"/>
              </w:rPr>
              <w:t xml:space="preserve">000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330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100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2</w:t>
            </w:r>
            <w:r w:rsidRPr="00737CB3">
              <w:rPr>
                <w:rFonts w:cs="Arial"/>
                <w:sz w:val="22"/>
                <w:szCs w:val="22"/>
              </w:rPr>
              <w:t xml:space="preserve">200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4</w:t>
            </w:r>
            <w:r w:rsidRPr="00737CB3">
              <w:rPr>
                <w:rFonts w:cs="Arial"/>
                <w:sz w:val="22"/>
                <w:szCs w:val="22"/>
              </w:rPr>
              <w:t xml:space="preserve">300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8</w:t>
            </w:r>
            <w:r w:rsidRPr="00737CB3">
              <w:rPr>
                <w:rFonts w:cs="Arial"/>
                <w:sz w:val="22"/>
                <w:szCs w:val="22"/>
              </w:rPr>
              <w:t xml:space="preserve">700    </w:t>
            </w:r>
          </w:p>
        </w:tc>
        <w:tc>
          <w:tcPr>
            <w:tcW w:w="88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3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300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4</w:t>
            </w:r>
            <w:r w:rsidRPr="00737CB3">
              <w:rPr>
                <w:rFonts w:cs="Arial"/>
                <w:sz w:val="22"/>
                <w:szCs w:val="22"/>
              </w:rPr>
              <w:t xml:space="preserve">600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11 </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25 </w:t>
            </w:r>
            <w:r w:rsidRPr="00737CB3">
              <w:rPr>
                <w:rFonts w:cs="Arial"/>
                <w:sz w:val="22"/>
                <w:szCs w:val="22"/>
              </w:rPr>
              <w:t xml:space="preserve">000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Pr>
                <w:rFonts w:cs="Arial"/>
                <w:sz w:val="22"/>
                <w:szCs w:val="22"/>
              </w:rPr>
              <w:t xml:space="preserve">53 </w:t>
            </w:r>
            <w:r w:rsidRPr="00737CB3">
              <w:rPr>
                <w:rFonts w:cs="Arial"/>
                <w:sz w:val="22"/>
                <w:szCs w:val="22"/>
              </w:rPr>
              <w:t xml:space="preserve">000  </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220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750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500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3</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6</w:t>
            </w:r>
            <w:r w:rsidRPr="00737CB3">
              <w:rPr>
                <w:rFonts w:cs="Arial"/>
                <w:sz w:val="22"/>
                <w:szCs w:val="22"/>
              </w:rPr>
              <w:t xml:space="preserve">100 </w:t>
            </w:r>
          </w:p>
        </w:tc>
        <w:tc>
          <w:tcPr>
            <w:tcW w:w="88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3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840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3,200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8</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18 </w:t>
            </w:r>
            <w:r w:rsidRPr="00737CB3">
              <w:rPr>
                <w:rFonts w:cs="Arial"/>
                <w:sz w:val="22"/>
                <w:szCs w:val="22"/>
              </w:rPr>
              <w:t xml:space="preserve">000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Pr>
                <w:rFonts w:cs="Arial"/>
                <w:sz w:val="22"/>
                <w:szCs w:val="22"/>
              </w:rPr>
              <w:t xml:space="preserve">37 </w:t>
            </w:r>
            <w:r w:rsidRPr="00737CB3">
              <w:rPr>
                <w:rFonts w:cs="Arial"/>
                <w:sz w:val="22"/>
                <w:szCs w:val="22"/>
              </w:rPr>
              <w:t xml:space="preserve">000  </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Naphthalene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0.8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3</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6</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10</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25    </w:t>
            </w:r>
          </w:p>
        </w:tc>
        <w:tc>
          <w:tcPr>
            <w:tcW w:w="88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410  </w:t>
            </w:r>
          </w:p>
        </w:tc>
        <w:tc>
          <w:tcPr>
            <w:tcW w:w="73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15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35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75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150</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Benzene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3</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6</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10</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20</w:t>
            </w:r>
          </w:p>
        </w:tc>
        <w:tc>
          <w:tcPr>
            <w:tcW w:w="88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360  </w:t>
            </w:r>
          </w:p>
        </w:tc>
        <w:tc>
          <w:tcPr>
            <w:tcW w:w="736"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2</w:t>
            </w:r>
            <w:r w:rsidRPr="00737CB3">
              <w:rPr>
                <w:rFonts w:cs="Arial"/>
                <w:sz w:val="22"/>
                <w:szCs w:val="22"/>
              </w:rPr>
              <w:t xml:space="preserve">400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4</w:t>
            </w:r>
            <w:r w:rsidRPr="00737CB3">
              <w:rPr>
                <w:rFonts w:cs="Arial"/>
                <w:sz w:val="22"/>
                <w:szCs w:val="22"/>
              </w:rPr>
              <w:t xml:space="preserve">700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9</w:t>
            </w:r>
            <w:r w:rsidRPr="00737CB3">
              <w:rPr>
                <w:rFonts w:cs="Arial"/>
                <w:sz w:val="22"/>
                <w:szCs w:val="22"/>
              </w:rPr>
              <w:t xml:space="preserve">500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Pr>
                <w:rFonts w:cs="Arial"/>
                <w:sz w:val="22"/>
                <w:szCs w:val="22"/>
              </w:rPr>
              <w:t xml:space="preserve">19 </w:t>
            </w:r>
            <w:r w:rsidRPr="00737CB3">
              <w:rPr>
                <w:rFonts w:cs="Arial"/>
                <w:sz w:val="22"/>
                <w:szCs w:val="22"/>
              </w:rPr>
              <w:t xml:space="preserve">000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10</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65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130  </w:t>
            </w:r>
          </w:p>
        </w:tc>
      </w:tr>
      <w:tr w:rsidR="00A97702" w:rsidRPr="00737CB3" w:rsidTr="00DA1C9D">
        <w:tc>
          <w:tcPr>
            <w:tcW w:w="1598" w:type="dxa"/>
            <w:vAlign w:val="bottom"/>
          </w:tcPr>
          <w:p w:rsidR="00A97702" w:rsidRPr="00737CB3" w:rsidRDefault="00A97702" w:rsidP="003236CC">
            <w:pPr>
              <w:pStyle w:val="Note"/>
              <w:spacing w:after="40"/>
              <w:rPr>
                <w:rFonts w:cs="Arial"/>
                <w:b/>
                <w:sz w:val="22"/>
                <w:szCs w:val="22"/>
              </w:rPr>
            </w:pPr>
            <w:r w:rsidRPr="00737CB3">
              <w:rPr>
                <w:rFonts w:cs="Arial"/>
                <w:b/>
                <w:sz w:val="22"/>
                <w:szCs w:val="22"/>
              </w:rPr>
              <w:t>F1</w:t>
            </w:r>
            <w:r w:rsidRPr="00737CB3">
              <w:rPr>
                <w:rFonts w:cs="Arial"/>
                <w:b/>
                <w:sz w:val="22"/>
                <w:szCs w:val="22"/>
                <w:vertAlign w:val="superscript"/>
              </w:rPr>
              <w:t>(</w:t>
            </w:r>
            <w:r w:rsidR="003236CC">
              <w:rPr>
                <w:rFonts w:cs="Arial"/>
                <w:b/>
                <w:sz w:val="22"/>
                <w:szCs w:val="22"/>
                <w:vertAlign w:val="superscript"/>
              </w:rPr>
              <w:t>8</w:t>
            </w:r>
            <w:r w:rsidRPr="00737CB3">
              <w:rPr>
                <w:rFonts w:cs="Arial"/>
                <w:b/>
                <w:sz w:val="22"/>
                <w:szCs w:val="22"/>
                <w:vertAlign w:val="superscript"/>
              </w:rPr>
              <w:t>)</w:t>
            </w:r>
            <w:r w:rsidRPr="00737CB3">
              <w:rPr>
                <w:rFonts w:cs="Arial"/>
                <w:b/>
                <w:sz w:val="22"/>
                <w:szCs w:val="22"/>
              </w:rPr>
              <w:t xml:space="preserve"> </w:t>
            </w:r>
          </w:p>
        </w:tc>
        <w:tc>
          <w:tcPr>
            <w:tcW w:w="734"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180    </w:t>
            </w:r>
          </w:p>
        </w:tc>
        <w:tc>
          <w:tcPr>
            <w:tcW w:w="838"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640    </w:t>
            </w:r>
          </w:p>
        </w:tc>
        <w:tc>
          <w:tcPr>
            <w:tcW w:w="838" w:type="dxa"/>
            <w:shd w:val="clear" w:color="auto" w:fill="E1F995"/>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1,300    </w:t>
            </w:r>
          </w:p>
        </w:tc>
        <w:tc>
          <w:tcPr>
            <w:tcW w:w="944" w:type="dxa"/>
            <w:shd w:val="clear" w:color="auto" w:fill="E1F995"/>
            <w:vAlign w:val="bottom"/>
          </w:tcPr>
          <w:p w:rsidR="00A97702" w:rsidRPr="00737CB3" w:rsidRDefault="00A97702" w:rsidP="00DA1C9D">
            <w:pPr>
              <w:pStyle w:val="Note"/>
              <w:spacing w:before="0" w:after="0"/>
              <w:jc w:val="center"/>
              <w:rPr>
                <w:rFonts w:cs="Arial"/>
                <w:b/>
                <w:sz w:val="22"/>
                <w:szCs w:val="22"/>
              </w:rPr>
            </w:pPr>
            <w:r>
              <w:rPr>
                <w:rFonts w:cs="Arial"/>
                <w:sz w:val="22"/>
                <w:szCs w:val="22"/>
              </w:rPr>
              <w:t>2</w:t>
            </w:r>
            <w:r w:rsidRPr="00737CB3">
              <w:rPr>
                <w:rFonts w:cs="Arial"/>
                <w:sz w:val="22"/>
                <w:szCs w:val="22"/>
              </w:rPr>
              <w:t xml:space="preserve">600    </w:t>
            </w:r>
          </w:p>
        </w:tc>
        <w:tc>
          <w:tcPr>
            <w:tcW w:w="931" w:type="dxa"/>
            <w:shd w:val="clear" w:color="auto" w:fill="E1F995"/>
            <w:vAlign w:val="bottom"/>
          </w:tcPr>
          <w:p w:rsidR="00A97702" w:rsidRPr="00737CB3" w:rsidRDefault="00A97702" w:rsidP="00DA1C9D">
            <w:pPr>
              <w:pStyle w:val="Note"/>
              <w:spacing w:before="0" w:after="0"/>
              <w:jc w:val="center"/>
              <w:rPr>
                <w:rFonts w:cs="Arial"/>
                <w:b/>
                <w:sz w:val="22"/>
                <w:szCs w:val="22"/>
              </w:rPr>
            </w:pPr>
            <w:r>
              <w:rPr>
                <w:rFonts w:cs="Arial"/>
                <w:sz w:val="22"/>
                <w:szCs w:val="22"/>
              </w:rPr>
              <w:t>5</w:t>
            </w:r>
            <w:r w:rsidRPr="00737CB3">
              <w:rPr>
                <w:rFonts w:cs="Arial"/>
                <w:sz w:val="22"/>
                <w:szCs w:val="22"/>
              </w:rPr>
              <w:t xml:space="preserve">300  </w:t>
            </w:r>
          </w:p>
        </w:tc>
        <w:tc>
          <w:tcPr>
            <w:tcW w:w="888" w:type="dxa"/>
            <w:gridSpan w:val="2"/>
            <w:shd w:val="clear" w:color="auto" w:fill="F2DBDB"/>
            <w:vAlign w:val="bottom"/>
          </w:tcPr>
          <w:p w:rsidR="00A97702" w:rsidRPr="00737CB3" w:rsidRDefault="00A97702" w:rsidP="00DA1C9D">
            <w:pPr>
              <w:pStyle w:val="Note"/>
              <w:spacing w:before="0" w:after="0"/>
              <w:jc w:val="center"/>
              <w:rPr>
                <w:rFonts w:cs="Arial"/>
                <w:b/>
                <w:sz w:val="22"/>
                <w:szCs w:val="22"/>
              </w:rPr>
            </w:pPr>
            <w:r>
              <w:rPr>
                <w:rFonts w:cs="Arial"/>
                <w:sz w:val="22"/>
                <w:szCs w:val="22"/>
              </w:rPr>
              <w:t xml:space="preserve">86 </w:t>
            </w:r>
            <w:r w:rsidRPr="00737CB3">
              <w:rPr>
                <w:rFonts w:cs="Arial"/>
                <w:sz w:val="22"/>
                <w:szCs w:val="22"/>
              </w:rPr>
              <w:t xml:space="preserve">000  </w:t>
            </w:r>
          </w:p>
        </w:tc>
        <w:tc>
          <w:tcPr>
            <w:tcW w:w="736"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NL</w:t>
            </w:r>
          </w:p>
        </w:tc>
        <w:tc>
          <w:tcPr>
            <w:tcW w:w="931" w:type="dxa"/>
            <w:shd w:val="clear" w:color="auto" w:fill="F2DBDB"/>
            <w:vAlign w:val="bottom"/>
          </w:tcPr>
          <w:p w:rsidR="00A97702" w:rsidRPr="00737CB3" w:rsidRDefault="00A97702" w:rsidP="00DA1C9D">
            <w:pPr>
              <w:pStyle w:val="Note"/>
              <w:spacing w:before="0" w:after="0"/>
              <w:jc w:val="center"/>
              <w:rPr>
                <w:rFonts w:cs="Arial"/>
                <w:sz w:val="22"/>
                <w:szCs w:val="22"/>
              </w:rPr>
            </w:pPr>
            <w:r w:rsidRPr="00737CB3">
              <w:rPr>
                <w:rFonts w:cs="Arial"/>
                <w:sz w:val="22"/>
                <w:szCs w:val="22"/>
              </w:rPr>
              <w:t>NL</w:t>
            </w:r>
          </w:p>
        </w:tc>
        <w:tc>
          <w:tcPr>
            <w:tcW w:w="733" w:type="dxa"/>
            <w:shd w:val="clear" w:color="auto" w:fill="DBE5F1"/>
            <w:vAlign w:val="bottom"/>
          </w:tcPr>
          <w:p w:rsidR="00A97702" w:rsidRPr="00737CB3" w:rsidRDefault="00A97702" w:rsidP="00DA1C9D">
            <w:pPr>
              <w:pStyle w:val="Note"/>
              <w:spacing w:before="0" w:after="0"/>
              <w:jc w:val="center"/>
              <w:rPr>
                <w:rFonts w:cs="Arial"/>
                <w:b/>
                <w:sz w:val="22"/>
                <w:szCs w:val="22"/>
              </w:rPr>
            </w:pPr>
            <w:r w:rsidRPr="00737CB3">
              <w:rPr>
                <w:rFonts w:cs="Arial"/>
                <w:sz w:val="22"/>
                <w:szCs w:val="22"/>
              </w:rPr>
              <w:t xml:space="preserve">680  </w:t>
            </w:r>
          </w:p>
        </w:tc>
        <w:tc>
          <w:tcPr>
            <w:tcW w:w="944" w:type="dxa"/>
            <w:shd w:val="clear" w:color="auto" w:fill="DBE5F1"/>
            <w:vAlign w:val="bottom"/>
          </w:tcPr>
          <w:p w:rsidR="00A97702" w:rsidRPr="00737CB3" w:rsidRDefault="00A97702" w:rsidP="00DA1C9D">
            <w:pPr>
              <w:pStyle w:val="Note"/>
              <w:spacing w:before="0" w:after="0"/>
              <w:jc w:val="center"/>
              <w:rPr>
                <w:rFonts w:cs="Arial"/>
                <w:b/>
                <w:sz w:val="22"/>
                <w:szCs w:val="22"/>
              </w:rPr>
            </w:pPr>
            <w:r>
              <w:rPr>
                <w:rFonts w:cs="Arial"/>
                <w:sz w:val="22"/>
                <w:szCs w:val="22"/>
              </w:rPr>
              <w:t>2</w:t>
            </w:r>
            <w:r w:rsidRPr="00737CB3">
              <w:rPr>
                <w:rFonts w:cs="Arial"/>
                <w:sz w:val="22"/>
                <w:szCs w:val="22"/>
              </w:rPr>
              <w:t xml:space="preserve">800  </w:t>
            </w:r>
          </w:p>
        </w:tc>
        <w:tc>
          <w:tcPr>
            <w:tcW w:w="838" w:type="dxa"/>
            <w:shd w:val="clear" w:color="auto" w:fill="DBE5F1"/>
            <w:vAlign w:val="bottom"/>
          </w:tcPr>
          <w:p w:rsidR="00A97702" w:rsidRPr="00737CB3" w:rsidRDefault="00A97702" w:rsidP="00DA1C9D">
            <w:pPr>
              <w:pStyle w:val="Note"/>
              <w:spacing w:before="0" w:after="0"/>
              <w:jc w:val="center"/>
              <w:rPr>
                <w:rFonts w:cs="Arial"/>
                <w:b/>
                <w:sz w:val="22"/>
                <w:szCs w:val="22"/>
              </w:rPr>
            </w:pPr>
            <w:r>
              <w:rPr>
                <w:rFonts w:cs="Arial"/>
                <w:sz w:val="22"/>
                <w:szCs w:val="22"/>
              </w:rPr>
              <w:t>7</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before="0" w:after="0"/>
              <w:jc w:val="center"/>
              <w:rPr>
                <w:rFonts w:cs="Arial"/>
                <w:b/>
                <w:sz w:val="22"/>
                <w:szCs w:val="22"/>
              </w:rPr>
            </w:pPr>
            <w:r>
              <w:rPr>
                <w:rFonts w:cs="Arial"/>
                <w:sz w:val="22"/>
                <w:szCs w:val="22"/>
              </w:rPr>
              <w:t xml:space="preserve">15 </w:t>
            </w:r>
            <w:r w:rsidRPr="00737CB3">
              <w:rPr>
                <w:rFonts w:cs="Arial"/>
                <w:sz w:val="22"/>
                <w:szCs w:val="22"/>
              </w:rPr>
              <w:t xml:space="preserve">000  </w:t>
            </w:r>
          </w:p>
        </w:tc>
        <w:tc>
          <w:tcPr>
            <w:tcW w:w="931" w:type="dxa"/>
            <w:shd w:val="clear" w:color="auto" w:fill="DBE5F1"/>
            <w:vAlign w:val="bottom"/>
          </w:tcPr>
          <w:p w:rsidR="00A97702" w:rsidRPr="00737CB3" w:rsidRDefault="00A97702" w:rsidP="00DA1C9D">
            <w:pPr>
              <w:pStyle w:val="Note"/>
              <w:spacing w:before="0" w:after="0"/>
              <w:jc w:val="center"/>
              <w:rPr>
                <w:rFonts w:cs="Arial"/>
                <w:sz w:val="22"/>
                <w:szCs w:val="22"/>
              </w:rPr>
            </w:pPr>
            <w:r>
              <w:rPr>
                <w:rFonts w:cs="Arial"/>
                <w:sz w:val="22"/>
                <w:szCs w:val="22"/>
              </w:rPr>
              <w:t xml:space="preserve">32 </w:t>
            </w:r>
            <w:r w:rsidRPr="00737CB3">
              <w:rPr>
                <w:rFonts w:cs="Arial"/>
                <w:sz w:val="22"/>
                <w:szCs w:val="22"/>
              </w:rPr>
              <w:t xml:space="preserve">000  </w:t>
            </w:r>
          </w:p>
        </w:tc>
      </w:tr>
      <w:tr w:rsidR="00A97702" w:rsidRPr="00737CB3" w:rsidTr="00DA1C9D">
        <w:tc>
          <w:tcPr>
            <w:tcW w:w="1598" w:type="dxa"/>
            <w:vAlign w:val="bottom"/>
          </w:tcPr>
          <w:p w:rsidR="00A97702" w:rsidRPr="00737CB3" w:rsidRDefault="00A97702" w:rsidP="003236CC">
            <w:pPr>
              <w:pStyle w:val="Note"/>
              <w:spacing w:after="40"/>
              <w:rPr>
                <w:rFonts w:cs="Arial"/>
                <w:b/>
                <w:sz w:val="22"/>
                <w:szCs w:val="22"/>
              </w:rPr>
            </w:pPr>
            <w:r w:rsidRPr="00737CB3">
              <w:rPr>
                <w:rFonts w:cs="Arial"/>
                <w:b/>
                <w:sz w:val="22"/>
                <w:szCs w:val="22"/>
              </w:rPr>
              <w:t>F2</w:t>
            </w:r>
            <w:r w:rsidRPr="00737CB3">
              <w:rPr>
                <w:rFonts w:cs="Arial"/>
                <w:b/>
                <w:sz w:val="22"/>
                <w:szCs w:val="22"/>
                <w:vertAlign w:val="superscript"/>
              </w:rPr>
              <w:t>(</w:t>
            </w:r>
            <w:r w:rsidR="003236CC">
              <w:rPr>
                <w:rFonts w:cs="Arial"/>
                <w:b/>
                <w:sz w:val="22"/>
                <w:szCs w:val="22"/>
                <w:vertAlign w:val="superscript"/>
              </w:rPr>
              <w:t>9</w:t>
            </w:r>
            <w:r w:rsidRPr="00737CB3">
              <w:rPr>
                <w:rFonts w:cs="Arial"/>
                <w:b/>
                <w:sz w:val="22"/>
                <w:szCs w:val="22"/>
                <w:vertAlign w:val="superscript"/>
              </w:rPr>
              <w:t>)</w:t>
            </w:r>
            <w:r w:rsidRPr="00737CB3">
              <w:rPr>
                <w:rFonts w:cs="Arial"/>
                <w:b/>
                <w:sz w:val="22"/>
                <w:szCs w:val="22"/>
              </w:rPr>
              <w:t xml:space="preserve"> </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130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560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200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2</w:t>
            </w:r>
            <w:r w:rsidRPr="00737CB3">
              <w:rPr>
                <w:rFonts w:cs="Arial"/>
                <w:sz w:val="22"/>
                <w:szCs w:val="22"/>
              </w:rPr>
              <w:t xml:space="preserve">400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4</w:t>
            </w:r>
            <w:r w:rsidRPr="00737CB3">
              <w:rPr>
                <w:rFonts w:cs="Arial"/>
                <w:sz w:val="22"/>
                <w:szCs w:val="22"/>
              </w:rPr>
              <w:t xml:space="preserve">800 </w:t>
            </w:r>
          </w:p>
        </w:tc>
        <w:tc>
          <w:tcPr>
            <w:tcW w:w="88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73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2</w:t>
            </w:r>
            <w:r w:rsidRPr="00737CB3">
              <w:rPr>
                <w:rFonts w:cs="Arial"/>
                <w:sz w:val="22"/>
                <w:szCs w:val="22"/>
              </w:rPr>
              <w:t xml:space="preserve">400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r w:rsidR="00A97702" w:rsidRPr="00737CB3" w:rsidTr="00DA1C9D">
        <w:tc>
          <w:tcPr>
            <w:tcW w:w="14504" w:type="dxa"/>
            <w:gridSpan w:val="17"/>
            <w:shd w:val="clear" w:color="auto" w:fill="F2F2F2"/>
            <w:vAlign w:val="bottom"/>
          </w:tcPr>
          <w:p w:rsidR="00A97702" w:rsidRPr="00737CB3" w:rsidRDefault="00A97702" w:rsidP="00DA1C9D">
            <w:pPr>
              <w:pStyle w:val="Note"/>
              <w:spacing w:after="40"/>
              <w:jc w:val="center"/>
              <w:rPr>
                <w:rFonts w:cs="Arial"/>
                <w:sz w:val="22"/>
                <w:szCs w:val="22"/>
              </w:rPr>
            </w:pPr>
            <w:r w:rsidRPr="00737CB3">
              <w:rPr>
                <w:rFonts w:cs="Arial"/>
                <w:b/>
                <w:sz w:val="22"/>
                <w:szCs w:val="22"/>
              </w:rPr>
              <w:t>SILT</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400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14 </w:t>
            </w:r>
            <w:r w:rsidRPr="00737CB3">
              <w:rPr>
                <w:rFonts w:cs="Arial"/>
                <w:sz w:val="22"/>
                <w:szCs w:val="22"/>
              </w:rPr>
              <w:t xml:space="preserve">000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32 </w:t>
            </w:r>
            <w:r w:rsidRPr="00737CB3">
              <w:rPr>
                <w:rFonts w:cs="Arial"/>
                <w:sz w:val="22"/>
                <w:szCs w:val="22"/>
              </w:rPr>
              <w:t xml:space="preserve">000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69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140 </w:t>
            </w:r>
            <w:r w:rsidRPr="00737CB3">
              <w:rPr>
                <w:rFonts w:cs="Arial"/>
                <w:sz w:val="22"/>
                <w:szCs w:val="22"/>
              </w:rPr>
              <w:t xml:space="preserve">000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5</w:t>
            </w:r>
            <w:r w:rsidRPr="00737CB3">
              <w:rPr>
                <w:rFonts w:cs="Arial"/>
                <w:sz w:val="22"/>
                <w:szCs w:val="22"/>
              </w:rPr>
              <w:t>700</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63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380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4</w:t>
            </w:r>
            <w:r w:rsidRPr="00737CB3">
              <w:rPr>
                <w:rFonts w:cs="Arial"/>
                <w:sz w:val="22"/>
                <w:szCs w:val="22"/>
              </w:rPr>
              <w:t xml:space="preserve">200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9</w:t>
            </w:r>
            <w:r w:rsidRPr="00737CB3">
              <w:rPr>
                <w:rFonts w:cs="Arial"/>
                <w:sz w:val="22"/>
                <w:szCs w:val="22"/>
              </w:rPr>
              <w:t xml:space="preserve">700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21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43 </w:t>
            </w:r>
            <w:r w:rsidRPr="00737CB3">
              <w:rPr>
                <w:rFonts w:cs="Arial"/>
                <w:sz w:val="22"/>
                <w:szCs w:val="22"/>
              </w:rPr>
              <w:t xml:space="preserve">000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500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19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54 </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260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2</w:t>
            </w:r>
            <w:r w:rsidRPr="00737CB3">
              <w:rPr>
                <w:rFonts w:cs="Arial"/>
                <w:sz w:val="22"/>
                <w:szCs w:val="22"/>
              </w:rPr>
              <w:t xml:space="preserve">900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6</w:t>
            </w:r>
            <w:r w:rsidRPr="00737CB3">
              <w:rPr>
                <w:rFonts w:cs="Arial"/>
                <w:sz w:val="22"/>
                <w:szCs w:val="22"/>
              </w:rPr>
              <w:t xml:space="preserve">800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15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30 </w:t>
            </w:r>
            <w:r w:rsidRPr="00737CB3">
              <w:rPr>
                <w:rFonts w:cs="Arial"/>
                <w:sz w:val="22"/>
                <w:szCs w:val="22"/>
              </w:rPr>
              <w:t xml:space="preserve">000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13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38 </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Naphthalene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0.9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10</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25</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60</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120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4</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150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350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750  </w:t>
            </w:r>
          </w:p>
        </w:tc>
      </w:tr>
      <w:tr w:rsidR="00A97702" w:rsidRPr="00737CB3" w:rsidTr="00DA1C9D">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Benzene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10</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25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55</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110</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800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12 </w:t>
            </w:r>
            <w:r w:rsidRPr="00737CB3">
              <w:rPr>
                <w:rFonts w:cs="Arial"/>
                <w:sz w:val="22"/>
                <w:szCs w:val="22"/>
              </w:rPr>
              <w:t xml:space="preserve">000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24 </w:t>
            </w:r>
            <w:r w:rsidRPr="00737CB3">
              <w:rPr>
                <w:rFonts w:cs="Arial"/>
                <w:sz w:val="22"/>
                <w:szCs w:val="22"/>
              </w:rPr>
              <w:t xml:space="preserve">000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48 </w:t>
            </w:r>
            <w:r w:rsidRPr="00737CB3">
              <w:rPr>
                <w:rFonts w:cs="Arial"/>
                <w:sz w:val="22"/>
                <w:szCs w:val="22"/>
              </w:rPr>
              <w:t xml:space="preserve">000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Pr>
                <w:rFonts w:cs="Arial"/>
                <w:sz w:val="22"/>
                <w:szCs w:val="22"/>
              </w:rPr>
              <w:t xml:space="preserve">97 </w:t>
            </w:r>
            <w:r w:rsidRPr="00737CB3">
              <w:rPr>
                <w:rFonts w:cs="Arial"/>
                <w:sz w:val="22"/>
                <w:szCs w:val="22"/>
              </w:rPr>
              <w:t xml:space="preserve">000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4</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140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320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670  </w:t>
            </w:r>
          </w:p>
        </w:tc>
      </w:tr>
      <w:tr w:rsidR="00A97702" w:rsidRPr="00737CB3" w:rsidTr="00DA1C9D">
        <w:tc>
          <w:tcPr>
            <w:tcW w:w="1598" w:type="dxa"/>
            <w:vAlign w:val="bottom"/>
          </w:tcPr>
          <w:p w:rsidR="00A97702" w:rsidRPr="00737CB3" w:rsidRDefault="00A97702" w:rsidP="003236CC">
            <w:pPr>
              <w:pStyle w:val="Note"/>
              <w:spacing w:after="40"/>
              <w:rPr>
                <w:rFonts w:cs="Arial"/>
                <w:b/>
                <w:sz w:val="22"/>
                <w:szCs w:val="22"/>
              </w:rPr>
            </w:pPr>
            <w:r w:rsidRPr="00737CB3">
              <w:rPr>
                <w:rFonts w:cs="Arial"/>
                <w:b/>
                <w:sz w:val="22"/>
                <w:szCs w:val="22"/>
              </w:rPr>
              <w:t>F1</w:t>
            </w:r>
            <w:r w:rsidRPr="00737CB3">
              <w:rPr>
                <w:rFonts w:cs="Arial"/>
                <w:b/>
                <w:sz w:val="22"/>
                <w:szCs w:val="22"/>
                <w:vertAlign w:val="superscript"/>
              </w:rPr>
              <w:t>(</w:t>
            </w:r>
            <w:r w:rsidR="003236CC">
              <w:rPr>
                <w:rFonts w:cs="Arial"/>
                <w:b/>
                <w:sz w:val="22"/>
                <w:szCs w:val="22"/>
                <w:vertAlign w:val="superscript"/>
              </w:rPr>
              <w:t>8</w:t>
            </w:r>
            <w:r w:rsidRPr="00737CB3">
              <w:rPr>
                <w:rFonts w:cs="Arial"/>
                <w:b/>
                <w:sz w:val="22"/>
                <w:szCs w:val="22"/>
                <w:vertAlign w:val="superscript"/>
              </w:rPr>
              <w:t>)</w:t>
            </w:r>
            <w:r w:rsidRPr="00737CB3">
              <w:rPr>
                <w:rFonts w:cs="Arial"/>
                <w:b/>
                <w:sz w:val="22"/>
                <w:szCs w:val="22"/>
              </w:rPr>
              <w:t xml:space="preserve"> </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210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2</w:t>
            </w:r>
            <w:r w:rsidRPr="00737CB3">
              <w:rPr>
                <w:rFonts w:cs="Arial"/>
                <w:sz w:val="22"/>
                <w:szCs w:val="22"/>
              </w:rPr>
              <w:t xml:space="preserve">600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6</w:t>
            </w:r>
            <w:r w:rsidRPr="00737CB3">
              <w:rPr>
                <w:rFonts w:cs="Arial"/>
                <w:sz w:val="22"/>
                <w:szCs w:val="22"/>
              </w:rPr>
              <w:t xml:space="preserve">000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13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26 </w:t>
            </w:r>
            <w:r w:rsidRPr="00737CB3">
              <w:rPr>
                <w:rFonts w:cs="Arial"/>
                <w:sz w:val="22"/>
                <w:szCs w:val="22"/>
              </w:rPr>
              <w:t xml:space="preserve">000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850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11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33 </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77 </w:t>
            </w:r>
            <w:r w:rsidRPr="00737CB3">
              <w:rPr>
                <w:rFonts w:cs="Arial"/>
                <w:sz w:val="22"/>
                <w:szCs w:val="22"/>
              </w:rPr>
              <w:t xml:space="preserve">000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Pr>
                <w:rFonts w:cs="Arial"/>
                <w:sz w:val="22"/>
                <w:szCs w:val="22"/>
              </w:rPr>
              <w:t xml:space="preserve">160 </w:t>
            </w:r>
            <w:r w:rsidRPr="00737CB3">
              <w:rPr>
                <w:rFonts w:cs="Arial"/>
                <w:sz w:val="22"/>
                <w:szCs w:val="22"/>
              </w:rPr>
              <w:t xml:space="preserve">000  </w:t>
            </w:r>
          </w:p>
        </w:tc>
      </w:tr>
      <w:tr w:rsidR="00A97702" w:rsidRPr="00737CB3" w:rsidTr="00DA1C9D">
        <w:tc>
          <w:tcPr>
            <w:tcW w:w="1598" w:type="dxa"/>
            <w:vAlign w:val="bottom"/>
          </w:tcPr>
          <w:p w:rsidR="00A97702" w:rsidRPr="00737CB3" w:rsidRDefault="00A97702" w:rsidP="003236CC">
            <w:pPr>
              <w:pStyle w:val="Note"/>
              <w:spacing w:after="40"/>
              <w:rPr>
                <w:rFonts w:cs="Arial"/>
                <w:b/>
                <w:sz w:val="22"/>
                <w:szCs w:val="22"/>
              </w:rPr>
            </w:pPr>
            <w:r w:rsidRPr="00737CB3">
              <w:rPr>
                <w:rFonts w:cs="Arial"/>
                <w:b/>
                <w:sz w:val="22"/>
                <w:szCs w:val="22"/>
              </w:rPr>
              <w:lastRenderedPageBreak/>
              <w:t>F2</w:t>
            </w:r>
            <w:r w:rsidRPr="00737CB3">
              <w:rPr>
                <w:rFonts w:cs="Arial"/>
                <w:b/>
                <w:sz w:val="22"/>
                <w:szCs w:val="22"/>
                <w:vertAlign w:val="superscript"/>
              </w:rPr>
              <w:t>(</w:t>
            </w:r>
            <w:r w:rsidR="003236CC">
              <w:rPr>
                <w:rFonts w:cs="Arial"/>
                <w:b/>
                <w:sz w:val="22"/>
                <w:szCs w:val="22"/>
                <w:vertAlign w:val="superscript"/>
              </w:rPr>
              <w:t>9</w:t>
            </w:r>
            <w:r w:rsidRPr="00737CB3">
              <w:rPr>
                <w:rFonts w:cs="Arial"/>
                <w:b/>
                <w:sz w:val="22"/>
                <w:szCs w:val="22"/>
                <w:vertAlign w:val="superscript"/>
              </w:rPr>
              <w:t>)</w:t>
            </w:r>
            <w:r w:rsidRPr="00737CB3">
              <w:rPr>
                <w:rFonts w:cs="Arial"/>
                <w:b/>
                <w:sz w:val="22"/>
                <w:szCs w:val="22"/>
              </w:rPr>
              <w:t xml:space="preserve"> </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160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2</w:t>
            </w:r>
            <w:r w:rsidRPr="00737CB3">
              <w:rPr>
                <w:rFonts w:cs="Arial"/>
                <w:sz w:val="22"/>
                <w:szCs w:val="22"/>
              </w:rPr>
              <w:t xml:space="preserve">300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5</w:t>
            </w:r>
            <w:r w:rsidRPr="00737CB3">
              <w:rPr>
                <w:rFonts w:cs="Arial"/>
                <w:sz w:val="22"/>
                <w:szCs w:val="22"/>
              </w:rPr>
              <w:t xml:space="preserve">400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670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r w:rsidR="00A97702" w:rsidRPr="00737CB3" w:rsidTr="00DA1C9D">
        <w:trPr>
          <w:trHeight w:val="283"/>
        </w:trPr>
        <w:tc>
          <w:tcPr>
            <w:tcW w:w="14504" w:type="dxa"/>
            <w:gridSpan w:val="17"/>
            <w:shd w:val="clear" w:color="auto" w:fill="F2F2F2"/>
            <w:vAlign w:val="bottom"/>
          </w:tcPr>
          <w:p w:rsidR="00A97702" w:rsidRPr="00737CB3" w:rsidRDefault="00A97702" w:rsidP="00DA1C9D">
            <w:pPr>
              <w:pStyle w:val="Note"/>
              <w:spacing w:after="40"/>
              <w:jc w:val="center"/>
              <w:rPr>
                <w:rFonts w:cs="Arial"/>
                <w:b/>
                <w:sz w:val="22"/>
                <w:szCs w:val="22"/>
              </w:rPr>
            </w:pPr>
            <w:r w:rsidRPr="00737CB3">
              <w:rPr>
                <w:rFonts w:cs="Arial"/>
                <w:b/>
                <w:sz w:val="22"/>
                <w:szCs w:val="22"/>
              </w:rPr>
              <w:t>CLAY</w:t>
            </w:r>
          </w:p>
        </w:tc>
      </w:tr>
      <w:tr w:rsidR="00A97702" w:rsidRPr="00737CB3" w:rsidTr="00DA1C9D">
        <w:trPr>
          <w:trHeight w:val="283"/>
        </w:trPr>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Toluene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600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23 </w:t>
            </w:r>
            <w:r w:rsidRPr="00737CB3">
              <w:rPr>
                <w:rFonts w:cs="Arial"/>
                <w:sz w:val="22"/>
                <w:szCs w:val="22"/>
              </w:rPr>
              <w:t xml:space="preserve">000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53 </w:t>
            </w:r>
            <w:r w:rsidRPr="00737CB3">
              <w:rPr>
                <w:rFonts w:cs="Arial"/>
                <w:sz w:val="22"/>
                <w:szCs w:val="22"/>
              </w:rPr>
              <w:t xml:space="preserve">000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110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6500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100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r w:rsidR="00A97702" w:rsidRPr="00737CB3" w:rsidTr="00DA1C9D">
        <w:trPr>
          <w:trHeight w:val="283"/>
        </w:trPr>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Ethylbenzene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420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6</w:t>
            </w:r>
            <w:r w:rsidRPr="00737CB3">
              <w:rPr>
                <w:rFonts w:cs="Arial"/>
                <w:sz w:val="22"/>
                <w:szCs w:val="22"/>
              </w:rPr>
              <w:t xml:space="preserve">800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16 </w:t>
            </w:r>
            <w:r w:rsidRPr="00737CB3">
              <w:rPr>
                <w:rFonts w:cs="Arial"/>
                <w:sz w:val="22"/>
                <w:szCs w:val="22"/>
              </w:rPr>
              <w:t xml:space="preserve">000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35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800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31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r w:rsidR="00A97702" w:rsidRPr="00737CB3" w:rsidTr="00DA1C9D">
        <w:trPr>
          <w:trHeight w:val="283"/>
        </w:trPr>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Xylenes</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280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4</w:t>
            </w:r>
            <w:r w:rsidRPr="00737CB3">
              <w:rPr>
                <w:rFonts w:cs="Arial"/>
                <w:sz w:val="22"/>
                <w:szCs w:val="22"/>
              </w:rPr>
              <w:t xml:space="preserve">800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11 </w:t>
            </w:r>
            <w:r w:rsidRPr="00737CB3">
              <w:rPr>
                <w:rFonts w:cs="Arial"/>
                <w:sz w:val="22"/>
                <w:szCs w:val="22"/>
              </w:rPr>
              <w:t xml:space="preserve">000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24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50 </w:t>
            </w:r>
            <w:r w:rsidRPr="00737CB3">
              <w:rPr>
                <w:rFonts w:cs="Arial"/>
                <w:sz w:val="22"/>
                <w:szCs w:val="22"/>
              </w:rPr>
              <w:t xml:space="preserve">000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200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21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r w:rsidR="00A97702" w:rsidRPr="00737CB3" w:rsidTr="00DA1C9D">
        <w:trPr>
          <w:trHeight w:val="283"/>
        </w:trPr>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Naphthalene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20</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45</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95</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200</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4</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85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240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560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Pr>
                <w:rFonts w:cs="Arial"/>
                <w:sz w:val="22"/>
                <w:szCs w:val="22"/>
              </w:rPr>
              <w:t>1</w:t>
            </w:r>
            <w:r w:rsidRPr="00737CB3">
              <w:rPr>
                <w:rFonts w:cs="Arial"/>
                <w:sz w:val="22"/>
                <w:szCs w:val="22"/>
              </w:rPr>
              <w:t xml:space="preserve">200  </w:t>
            </w:r>
          </w:p>
        </w:tc>
      </w:tr>
      <w:tr w:rsidR="00A97702" w:rsidRPr="00737CB3" w:rsidTr="00DA1C9D">
        <w:trPr>
          <w:trHeight w:val="283"/>
        </w:trPr>
        <w:tc>
          <w:tcPr>
            <w:tcW w:w="1598" w:type="dxa"/>
            <w:vAlign w:val="bottom"/>
          </w:tcPr>
          <w:p w:rsidR="00A97702" w:rsidRPr="00737CB3" w:rsidRDefault="00A97702" w:rsidP="00DA1C9D">
            <w:pPr>
              <w:pStyle w:val="Note"/>
              <w:spacing w:after="40"/>
              <w:rPr>
                <w:rFonts w:cs="Arial"/>
                <w:b/>
                <w:sz w:val="22"/>
                <w:szCs w:val="22"/>
              </w:rPr>
            </w:pPr>
            <w:r w:rsidRPr="00737CB3">
              <w:rPr>
                <w:rFonts w:cs="Arial"/>
                <w:b/>
                <w:sz w:val="22"/>
                <w:szCs w:val="22"/>
              </w:rPr>
              <w:t>Benzene</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15</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40</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90</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180</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3</w:t>
            </w:r>
            <w:r w:rsidRPr="00737CB3">
              <w:rPr>
                <w:rFonts w:cs="Arial"/>
                <w:sz w:val="22"/>
                <w:szCs w:val="22"/>
              </w:rPr>
              <w:t xml:space="preserve">000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20 </w:t>
            </w:r>
            <w:r w:rsidRPr="00737CB3">
              <w:rPr>
                <w:rFonts w:cs="Arial"/>
                <w:sz w:val="22"/>
                <w:szCs w:val="22"/>
              </w:rPr>
              <w:t xml:space="preserve">000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40 </w:t>
            </w:r>
            <w:r w:rsidRPr="00737CB3">
              <w:rPr>
                <w:rFonts w:cs="Arial"/>
                <w:sz w:val="22"/>
                <w:szCs w:val="22"/>
              </w:rPr>
              <w:t xml:space="preserve">000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81 </w:t>
            </w:r>
            <w:r w:rsidRPr="00737CB3">
              <w:rPr>
                <w:rFonts w:cs="Arial"/>
                <w:sz w:val="22"/>
                <w:szCs w:val="22"/>
              </w:rPr>
              <w:t xml:space="preserve">000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Pr>
                <w:rFonts w:cs="Arial"/>
                <w:sz w:val="22"/>
                <w:szCs w:val="22"/>
              </w:rPr>
              <w:t xml:space="preserve">160 </w:t>
            </w:r>
            <w:r w:rsidRPr="00737CB3">
              <w:rPr>
                <w:rFonts w:cs="Arial"/>
                <w:sz w:val="22"/>
                <w:szCs w:val="22"/>
              </w:rPr>
              <w:t xml:space="preserve">000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5</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80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230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530  </w:t>
            </w:r>
          </w:p>
        </w:tc>
        <w:tc>
          <w:tcPr>
            <w:tcW w:w="931" w:type="dxa"/>
            <w:shd w:val="clear" w:color="auto" w:fill="DBE5F1"/>
            <w:vAlign w:val="bottom"/>
          </w:tcPr>
          <w:p w:rsidR="00A97702" w:rsidRPr="00737CB3" w:rsidRDefault="00A97702" w:rsidP="00DA1C9D">
            <w:pPr>
              <w:pStyle w:val="Note"/>
              <w:spacing w:after="40"/>
              <w:jc w:val="center"/>
              <w:rPr>
                <w:rFonts w:cs="Arial"/>
                <w:sz w:val="22"/>
                <w:szCs w:val="22"/>
              </w:rPr>
            </w:pPr>
            <w:r>
              <w:rPr>
                <w:rFonts w:cs="Arial"/>
                <w:sz w:val="22"/>
                <w:szCs w:val="22"/>
              </w:rPr>
              <w:t>1</w:t>
            </w:r>
            <w:r w:rsidRPr="00737CB3">
              <w:rPr>
                <w:rFonts w:cs="Arial"/>
                <w:sz w:val="22"/>
                <w:szCs w:val="22"/>
              </w:rPr>
              <w:t xml:space="preserve">100  </w:t>
            </w:r>
          </w:p>
        </w:tc>
      </w:tr>
      <w:tr w:rsidR="00A97702" w:rsidRPr="00737CB3" w:rsidTr="00DA1C9D">
        <w:trPr>
          <w:trHeight w:val="283"/>
        </w:trPr>
        <w:tc>
          <w:tcPr>
            <w:tcW w:w="1598" w:type="dxa"/>
            <w:vAlign w:val="bottom"/>
          </w:tcPr>
          <w:p w:rsidR="00A97702" w:rsidRPr="00737CB3" w:rsidRDefault="00A97702" w:rsidP="003236CC">
            <w:pPr>
              <w:pStyle w:val="Note"/>
              <w:spacing w:after="40"/>
              <w:rPr>
                <w:rFonts w:cs="Arial"/>
                <w:b/>
                <w:sz w:val="22"/>
                <w:szCs w:val="22"/>
              </w:rPr>
            </w:pPr>
            <w:r w:rsidRPr="00737CB3">
              <w:rPr>
                <w:rFonts w:cs="Arial"/>
                <w:b/>
                <w:sz w:val="22"/>
                <w:szCs w:val="22"/>
              </w:rPr>
              <w:t>F1</w:t>
            </w:r>
            <w:r w:rsidRPr="00737CB3">
              <w:rPr>
                <w:rFonts w:cs="Arial"/>
                <w:b/>
                <w:sz w:val="22"/>
                <w:szCs w:val="22"/>
                <w:vertAlign w:val="superscript"/>
              </w:rPr>
              <w:t>(</w:t>
            </w:r>
            <w:r w:rsidR="003236CC">
              <w:rPr>
                <w:rFonts w:cs="Arial"/>
                <w:b/>
                <w:sz w:val="22"/>
                <w:szCs w:val="22"/>
                <w:vertAlign w:val="superscript"/>
              </w:rPr>
              <w:t>8</w:t>
            </w:r>
            <w:r w:rsidRPr="00737CB3">
              <w:rPr>
                <w:rFonts w:cs="Arial"/>
                <w:b/>
                <w:sz w:val="22"/>
                <w:szCs w:val="22"/>
                <w:vertAlign w:val="superscript"/>
              </w:rPr>
              <w:t>)</w:t>
            </w:r>
            <w:r w:rsidRPr="00737CB3">
              <w:rPr>
                <w:rFonts w:cs="Arial"/>
                <w:b/>
                <w:sz w:val="22"/>
                <w:szCs w:val="22"/>
              </w:rPr>
              <w:t xml:space="preserve"> </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230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4</w:t>
            </w:r>
            <w:r w:rsidRPr="00737CB3">
              <w:rPr>
                <w:rFonts w:cs="Arial"/>
                <w:sz w:val="22"/>
                <w:szCs w:val="22"/>
              </w:rPr>
              <w:t xml:space="preserve">200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9</w:t>
            </w:r>
            <w:r w:rsidRPr="00737CB3">
              <w:rPr>
                <w:rFonts w:cs="Arial"/>
                <w:sz w:val="22"/>
                <w:szCs w:val="22"/>
              </w:rPr>
              <w:t xml:space="preserve">900    </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21 </w:t>
            </w:r>
            <w:r w:rsidRPr="00737CB3">
              <w:rPr>
                <w:rFonts w:cs="Arial"/>
                <w:sz w:val="22"/>
                <w:szCs w:val="22"/>
              </w:rPr>
              <w:t xml:space="preserve">000    </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44 </w:t>
            </w:r>
            <w:r w:rsidRPr="00737CB3">
              <w:rPr>
                <w:rFonts w:cs="Arial"/>
                <w:sz w:val="22"/>
                <w:szCs w:val="22"/>
              </w:rPr>
              <w:t xml:space="preserve">000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1</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19 </w:t>
            </w:r>
            <w:r w:rsidRPr="00737CB3">
              <w:rPr>
                <w:rFonts w:cs="Arial"/>
                <w:sz w:val="22"/>
                <w:szCs w:val="22"/>
              </w:rPr>
              <w:t xml:space="preserve">000  </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55 </w:t>
            </w:r>
            <w:r w:rsidRPr="00737CB3">
              <w:rPr>
                <w:rFonts w:cs="Arial"/>
                <w:sz w:val="22"/>
                <w:szCs w:val="22"/>
              </w:rPr>
              <w:t xml:space="preserve">000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Pr>
                <w:rFonts w:cs="Arial"/>
                <w:sz w:val="22"/>
                <w:szCs w:val="22"/>
              </w:rPr>
              <w:t xml:space="preserve">130 </w:t>
            </w:r>
            <w:r w:rsidRPr="00737CB3">
              <w:rPr>
                <w:rFonts w:cs="Arial"/>
                <w:sz w:val="22"/>
                <w:szCs w:val="22"/>
              </w:rPr>
              <w:t xml:space="preserve">000  </w:t>
            </w:r>
          </w:p>
        </w:tc>
        <w:tc>
          <w:tcPr>
            <w:tcW w:w="931" w:type="dxa"/>
            <w:shd w:val="clear" w:color="auto" w:fill="DBE5F1"/>
          </w:tcPr>
          <w:p w:rsidR="00A97702" w:rsidRPr="00737CB3" w:rsidRDefault="00A97702" w:rsidP="00DA1C9D">
            <w:pPr>
              <w:pStyle w:val="Note"/>
              <w:spacing w:after="40"/>
              <w:jc w:val="center"/>
              <w:rPr>
                <w:rFonts w:cs="Arial"/>
                <w:sz w:val="22"/>
                <w:szCs w:val="22"/>
              </w:rPr>
            </w:pPr>
            <w:r>
              <w:rPr>
                <w:rFonts w:cs="Arial"/>
                <w:sz w:val="22"/>
                <w:szCs w:val="22"/>
              </w:rPr>
              <w:t xml:space="preserve">270 </w:t>
            </w:r>
            <w:r w:rsidRPr="00737CB3">
              <w:rPr>
                <w:rFonts w:cs="Arial"/>
                <w:sz w:val="22"/>
                <w:szCs w:val="22"/>
              </w:rPr>
              <w:t>000</w:t>
            </w:r>
          </w:p>
        </w:tc>
      </w:tr>
      <w:tr w:rsidR="00A97702" w:rsidRPr="00737CB3" w:rsidTr="00DA1C9D">
        <w:trPr>
          <w:trHeight w:val="283"/>
        </w:trPr>
        <w:tc>
          <w:tcPr>
            <w:tcW w:w="1598" w:type="dxa"/>
            <w:vAlign w:val="bottom"/>
          </w:tcPr>
          <w:p w:rsidR="00A97702" w:rsidRPr="00737CB3" w:rsidRDefault="00A97702" w:rsidP="003236CC">
            <w:pPr>
              <w:pStyle w:val="Note"/>
              <w:spacing w:after="40"/>
              <w:rPr>
                <w:rFonts w:cs="Arial"/>
                <w:b/>
                <w:sz w:val="22"/>
                <w:szCs w:val="22"/>
              </w:rPr>
            </w:pPr>
            <w:r w:rsidRPr="00737CB3">
              <w:rPr>
                <w:rFonts w:cs="Arial"/>
                <w:b/>
                <w:sz w:val="22"/>
                <w:szCs w:val="22"/>
              </w:rPr>
              <w:t>F2</w:t>
            </w:r>
            <w:r w:rsidRPr="00737CB3">
              <w:rPr>
                <w:rFonts w:cs="Arial"/>
                <w:b/>
                <w:sz w:val="22"/>
                <w:szCs w:val="22"/>
                <w:vertAlign w:val="superscript"/>
              </w:rPr>
              <w:t>(</w:t>
            </w:r>
            <w:r w:rsidR="003236CC">
              <w:rPr>
                <w:rFonts w:cs="Arial"/>
                <w:b/>
                <w:sz w:val="22"/>
                <w:szCs w:val="22"/>
                <w:vertAlign w:val="superscript"/>
              </w:rPr>
              <w:t>9</w:t>
            </w:r>
            <w:r w:rsidRPr="00737CB3">
              <w:rPr>
                <w:rFonts w:cs="Arial"/>
                <w:b/>
                <w:sz w:val="22"/>
                <w:szCs w:val="22"/>
                <w:vertAlign w:val="superscript"/>
              </w:rPr>
              <w:t>)</w:t>
            </w:r>
            <w:r w:rsidRPr="00737CB3">
              <w:rPr>
                <w:rFonts w:cs="Arial"/>
                <w:b/>
                <w:sz w:val="22"/>
                <w:szCs w:val="22"/>
              </w:rPr>
              <w:t xml:space="preserve"> </w:t>
            </w:r>
          </w:p>
        </w:tc>
        <w:tc>
          <w:tcPr>
            <w:tcW w:w="73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180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3,800    </w:t>
            </w:r>
          </w:p>
        </w:tc>
        <w:tc>
          <w:tcPr>
            <w:tcW w:w="838"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44"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E1F995"/>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786"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gridSpan w:val="2"/>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838" w:type="dxa"/>
            <w:shd w:val="clear" w:color="auto" w:fill="F2DBDB"/>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NL       </w:t>
            </w:r>
          </w:p>
        </w:tc>
        <w:tc>
          <w:tcPr>
            <w:tcW w:w="931" w:type="dxa"/>
            <w:shd w:val="clear" w:color="auto" w:fill="F2DBDB"/>
            <w:vAlign w:val="bottom"/>
          </w:tcPr>
          <w:p w:rsidR="00A97702" w:rsidRPr="00737CB3" w:rsidRDefault="00A97702" w:rsidP="00DA1C9D">
            <w:pPr>
              <w:pStyle w:val="Note"/>
              <w:spacing w:after="40"/>
              <w:jc w:val="center"/>
              <w:rPr>
                <w:rFonts w:cs="Arial"/>
                <w:sz w:val="22"/>
                <w:szCs w:val="22"/>
              </w:rPr>
            </w:pPr>
            <w:r w:rsidRPr="00737CB3">
              <w:rPr>
                <w:rFonts w:cs="Arial"/>
                <w:sz w:val="22"/>
                <w:szCs w:val="22"/>
              </w:rPr>
              <w:t xml:space="preserve">NL       </w:t>
            </w:r>
          </w:p>
        </w:tc>
        <w:tc>
          <w:tcPr>
            <w:tcW w:w="733"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 xml:space="preserve">800  </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838"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44" w:type="dxa"/>
            <w:shd w:val="clear" w:color="auto" w:fill="DBE5F1"/>
            <w:vAlign w:val="bottom"/>
          </w:tcPr>
          <w:p w:rsidR="00A97702" w:rsidRPr="00737CB3" w:rsidRDefault="00A97702" w:rsidP="00DA1C9D">
            <w:pPr>
              <w:pStyle w:val="Note"/>
              <w:spacing w:after="40"/>
              <w:jc w:val="center"/>
              <w:rPr>
                <w:rFonts w:cs="Arial"/>
                <w:b/>
                <w:sz w:val="22"/>
                <w:szCs w:val="22"/>
              </w:rPr>
            </w:pPr>
            <w:r w:rsidRPr="00737CB3">
              <w:rPr>
                <w:rFonts w:cs="Arial"/>
                <w:sz w:val="22"/>
                <w:szCs w:val="22"/>
              </w:rPr>
              <w:t>NL</w:t>
            </w:r>
          </w:p>
        </w:tc>
        <w:tc>
          <w:tcPr>
            <w:tcW w:w="931" w:type="dxa"/>
            <w:shd w:val="clear" w:color="auto" w:fill="DBE5F1"/>
          </w:tcPr>
          <w:p w:rsidR="00A97702" w:rsidRPr="00737CB3" w:rsidRDefault="00A97702" w:rsidP="00DA1C9D">
            <w:pPr>
              <w:pStyle w:val="Note"/>
              <w:spacing w:after="40"/>
              <w:jc w:val="center"/>
              <w:rPr>
                <w:rFonts w:cs="Arial"/>
                <w:sz w:val="22"/>
                <w:szCs w:val="22"/>
              </w:rPr>
            </w:pPr>
            <w:r w:rsidRPr="00737CB3">
              <w:rPr>
                <w:rFonts w:cs="Arial"/>
                <w:sz w:val="22"/>
                <w:szCs w:val="22"/>
              </w:rPr>
              <w:t>NL</w:t>
            </w:r>
          </w:p>
        </w:tc>
      </w:tr>
    </w:tbl>
    <w:p w:rsidR="00A97702" w:rsidRPr="00527BFA" w:rsidRDefault="00A97702" w:rsidP="00A97702">
      <w:pPr>
        <w:numPr>
          <w:ilvl w:val="0"/>
          <w:numId w:val="39"/>
        </w:numPr>
        <w:spacing w:before="20" w:after="20" w:line="240" w:lineRule="auto"/>
        <w:ind w:left="357" w:hanging="357"/>
        <w:jc w:val="both"/>
        <w:rPr>
          <w:rFonts w:cs="Arial"/>
          <w:sz w:val="18"/>
          <w:szCs w:val="18"/>
        </w:rPr>
      </w:pPr>
      <w:r w:rsidRPr="00527BFA">
        <w:rPr>
          <w:rFonts w:cs="Arial"/>
          <w:sz w:val="18"/>
          <w:szCs w:val="18"/>
        </w:rPr>
        <w:t>Land use settings are equivalent to those described in Table 1A(1) Footnote 1 and Schedule B7. HSLs for vapour intrusion for high density residential assume residential occupation of the ground floor. If communal car parks or commercial properties occupy the ground floor, HSL D should be used,</w:t>
      </w:r>
    </w:p>
    <w:p w:rsidR="00A97702" w:rsidRPr="00527BFA" w:rsidRDefault="00A97702" w:rsidP="00A97702">
      <w:pPr>
        <w:numPr>
          <w:ilvl w:val="0"/>
          <w:numId w:val="39"/>
        </w:numPr>
        <w:spacing w:before="20" w:after="20" w:line="240" w:lineRule="auto"/>
        <w:ind w:left="357" w:hanging="357"/>
        <w:jc w:val="both"/>
        <w:rPr>
          <w:rFonts w:cs="Arial"/>
          <w:sz w:val="18"/>
          <w:szCs w:val="18"/>
        </w:rPr>
      </w:pPr>
      <w:r w:rsidRPr="00527BFA">
        <w:rPr>
          <w:rFonts w:cs="Arial"/>
          <w:sz w:val="18"/>
          <w:szCs w:val="18"/>
        </w:rPr>
        <w:t>The key limitations of the HSLs should be referred to prior to application and are presented in Friebel and Nadebaum (2011b and 2011d).</w:t>
      </w:r>
    </w:p>
    <w:p w:rsidR="00A97702" w:rsidRPr="00527BFA" w:rsidRDefault="00A97702" w:rsidP="00A97702">
      <w:pPr>
        <w:numPr>
          <w:ilvl w:val="0"/>
          <w:numId w:val="39"/>
        </w:numPr>
        <w:spacing w:before="20" w:after="20" w:line="240" w:lineRule="auto"/>
        <w:ind w:left="357" w:hanging="357"/>
        <w:jc w:val="both"/>
        <w:rPr>
          <w:rFonts w:cs="Arial"/>
          <w:sz w:val="18"/>
          <w:szCs w:val="18"/>
        </w:rPr>
      </w:pPr>
      <w:r w:rsidRPr="00527BFA">
        <w:rPr>
          <w:rFonts w:cs="Arial"/>
          <w:sz w:val="18"/>
          <w:szCs w:val="18"/>
        </w:rPr>
        <w:t>Detailed assumptions in the derivation of the HSLs and information on how to apply the HSLs are presented in Friebel and Nadebaum (2011a and 2011b).</w:t>
      </w:r>
    </w:p>
    <w:p w:rsidR="00A97702" w:rsidRPr="00527BFA" w:rsidRDefault="00A97702" w:rsidP="00A97702">
      <w:pPr>
        <w:numPr>
          <w:ilvl w:val="0"/>
          <w:numId w:val="39"/>
        </w:numPr>
        <w:spacing w:before="20" w:after="20" w:line="240" w:lineRule="auto"/>
        <w:ind w:left="357" w:hanging="357"/>
        <w:jc w:val="both"/>
        <w:rPr>
          <w:rFonts w:cs="Arial"/>
          <w:sz w:val="18"/>
          <w:szCs w:val="18"/>
        </w:rPr>
      </w:pPr>
      <w:r w:rsidRPr="00527BFA">
        <w:rPr>
          <w:rFonts w:cs="Arial"/>
          <w:sz w:val="18"/>
          <w:szCs w:val="18"/>
        </w:rPr>
        <w:t>The maximum possible soil vapour concentrations have been calculated based on vapour pressures of the pure chemicals. Where soil vapour HSLs exceed these values a soil-specific source concentration for a petroleum mixture could not exceed a level that would result in the maximum allowable vapour risk for the given scenario. For these scenarios, no HSL is presented for these chemicals and the HSL is shown as ‘not limiting’ or ‘NL’.</w:t>
      </w:r>
    </w:p>
    <w:p w:rsidR="00A97702" w:rsidRPr="00527BFA" w:rsidRDefault="00A97702" w:rsidP="00A97702">
      <w:pPr>
        <w:numPr>
          <w:ilvl w:val="0"/>
          <w:numId w:val="39"/>
        </w:numPr>
        <w:spacing w:before="20" w:after="20" w:line="240" w:lineRule="auto"/>
        <w:ind w:left="357" w:hanging="357"/>
        <w:jc w:val="both"/>
        <w:rPr>
          <w:rFonts w:cs="Arial"/>
          <w:sz w:val="18"/>
          <w:szCs w:val="18"/>
        </w:rPr>
      </w:pPr>
      <w:r w:rsidRPr="00527BFA">
        <w:rPr>
          <w:rFonts w:cs="Arial"/>
          <w:sz w:val="18"/>
          <w:szCs w:val="18"/>
        </w:rPr>
        <w:t>Soil vapour HSLs should be compared with measurements taken as laterally close as possible to the soil or groundwater sources of vapour (i.e. within or above vapour sources). Consideration is required of where the sample is taken, the current condition of the site and the likely future condition of the site. Shallow gas measurements in open space (less than 1 m below ground surface) may be subject to influences of weather conditions and moisture.</w:t>
      </w:r>
    </w:p>
    <w:p w:rsidR="00A97702" w:rsidRPr="00527BFA" w:rsidRDefault="00A97702" w:rsidP="00A97702">
      <w:pPr>
        <w:numPr>
          <w:ilvl w:val="0"/>
          <w:numId w:val="39"/>
        </w:numPr>
        <w:spacing w:before="80" w:after="120" w:line="240" w:lineRule="auto"/>
        <w:ind w:left="357" w:hanging="357"/>
        <w:jc w:val="both"/>
        <w:rPr>
          <w:rFonts w:cs="Arial"/>
          <w:sz w:val="18"/>
          <w:szCs w:val="18"/>
        </w:rPr>
      </w:pPr>
      <w:r w:rsidRPr="00527BFA">
        <w:rPr>
          <w:rFonts w:cs="Arial"/>
          <w:sz w:val="18"/>
          <w:szCs w:val="18"/>
        </w:rPr>
        <w:t>The figures in the above table may be multiplied by a factor to account for biodegradation of vapour. A factor of 10 may apply for source depths from 2 m to &lt;4 m or a factor of 100 for source depths of 4 m and deeper. To apply the attenuation factor for vapour degradation, a number of conditions must be satisfied. Firstly, the maximum length of the shorter side of the concrete slab and surrounding pavement cannot exceed 15 m, as this would prevent oxygen penetrating to the centre of the slab. Secondly, measurement of oxygen in the subsurface is required to determine the potential for biodegradation. Oxygen must be confirmed to be present at &gt;5% to use these factors.</w:t>
      </w:r>
    </w:p>
    <w:p w:rsidR="00A97702" w:rsidRPr="00527BFA" w:rsidRDefault="00A97702" w:rsidP="00A97702">
      <w:pPr>
        <w:numPr>
          <w:ilvl w:val="0"/>
          <w:numId w:val="39"/>
        </w:numPr>
        <w:spacing w:before="80" w:after="120" w:line="240" w:lineRule="auto"/>
        <w:ind w:left="357" w:hanging="357"/>
        <w:jc w:val="both"/>
        <w:rPr>
          <w:rFonts w:cs="Arial"/>
          <w:sz w:val="18"/>
          <w:szCs w:val="18"/>
        </w:rPr>
      </w:pPr>
      <w:r w:rsidRPr="00527BFA">
        <w:rPr>
          <w:rFonts w:cs="Arial"/>
          <w:sz w:val="18"/>
          <w:szCs w:val="18"/>
        </w:rPr>
        <w:t xml:space="preserve">For soil texture classification undertaken in accord with AS 1726, the classifications of sand, silt and clay may be applied as coarse, fine with liquid limit &lt;50% and fine with liquid limit &gt;50% respectively as the underlying properties to develop the HSLs may reasonably be selected to be similar. Where there is uncertainty, either a conservative approach may be adopted or laboratory analysis should be carried out. </w:t>
      </w:r>
    </w:p>
    <w:p w:rsidR="00A97702" w:rsidRPr="00527BFA" w:rsidRDefault="00A97702" w:rsidP="00A97702">
      <w:pPr>
        <w:numPr>
          <w:ilvl w:val="0"/>
          <w:numId w:val="39"/>
        </w:numPr>
        <w:spacing w:before="80" w:after="120" w:line="240" w:lineRule="auto"/>
        <w:ind w:left="357" w:hanging="357"/>
        <w:jc w:val="both"/>
        <w:rPr>
          <w:rFonts w:cs="Arial"/>
          <w:sz w:val="18"/>
          <w:szCs w:val="18"/>
        </w:rPr>
      </w:pPr>
      <w:r w:rsidRPr="00527BFA">
        <w:rPr>
          <w:rFonts w:cs="Arial"/>
          <w:sz w:val="18"/>
          <w:szCs w:val="18"/>
        </w:rPr>
        <w:t>To obtain F1 subtract the sum of BTEX concentrations from the C</w:t>
      </w:r>
      <w:r w:rsidRPr="00527BFA">
        <w:rPr>
          <w:rFonts w:cs="Arial"/>
          <w:sz w:val="18"/>
          <w:szCs w:val="18"/>
          <w:vertAlign w:val="subscript"/>
        </w:rPr>
        <w:t>6</w:t>
      </w:r>
      <w:r w:rsidRPr="00527BFA">
        <w:rPr>
          <w:rFonts w:cs="Arial"/>
          <w:sz w:val="18"/>
          <w:szCs w:val="18"/>
        </w:rPr>
        <w:t>-C</w:t>
      </w:r>
      <w:r w:rsidRPr="00527BFA">
        <w:rPr>
          <w:rFonts w:cs="Arial"/>
          <w:sz w:val="18"/>
          <w:szCs w:val="18"/>
          <w:vertAlign w:val="subscript"/>
        </w:rPr>
        <w:t>10</w:t>
      </w:r>
      <w:r w:rsidRPr="00527BFA">
        <w:rPr>
          <w:rFonts w:cs="Arial"/>
          <w:sz w:val="18"/>
          <w:szCs w:val="18"/>
        </w:rPr>
        <w:t xml:space="preserve"> fraction.</w:t>
      </w:r>
    </w:p>
    <w:p w:rsidR="00A97702" w:rsidRPr="00527BFA" w:rsidRDefault="00A97702" w:rsidP="00A97702">
      <w:pPr>
        <w:numPr>
          <w:ilvl w:val="0"/>
          <w:numId w:val="39"/>
        </w:numPr>
        <w:spacing w:before="80" w:after="120" w:line="240" w:lineRule="auto"/>
        <w:jc w:val="both"/>
        <w:rPr>
          <w:rFonts w:cs="Arial"/>
          <w:sz w:val="18"/>
          <w:szCs w:val="18"/>
        </w:rPr>
      </w:pPr>
      <w:r w:rsidRPr="00527BFA">
        <w:rPr>
          <w:rFonts w:cs="Arial"/>
          <w:sz w:val="18"/>
          <w:szCs w:val="18"/>
        </w:rPr>
        <w:lastRenderedPageBreak/>
        <w:t>To obtain F2 subtract naphthalene from the &gt;C</w:t>
      </w:r>
      <w:r w:rsidRPr="00527BFA">
        <w:rPr>
          <w:rFonts w:cs="Arial"/>
          <w:sz w:val="18"/>
          <w:szCs w:val="18"/>
          <w:vertAlign w:val="subscript"/>
        </w:rPr>
        <w:t>10</w:t>
      </w:r>
      <w:r w:rsidRPr="00527BFA">
        <w:rPr>
          <w:rFonts w:cs="Arial"/>
          <w:sz w:val="18"/>
          <w:szCs w:val="18"/>
        </w:rPr>
        <w:t>-C</w:t>
      </w:r>
      <w:r w:rsidRPr="00527BFA">
        <w:rPr>
          <w:rFonts w:cs="Arial"/>
          <w:sz w:val="18"/>
          <w:szCs w:val="18"/>
          <w:vertAlign w:val="subscript"/>
        </w:rPr>
        <w:t>16</w:t>
      </w:r>
      <w:r w:rsidRPr="00527BFA">
        <w:rPr>
          <w:rFonts w:cs="Arial"/>
          <w:sz w:val="18"/>
          <w:szCs w:val="18"/>
        </w:rPr>
        <w:t xml:space="preserve"> fraction.</w:t>
      </w:r>
    </w:p>
    <w:p w:rsidR="00A97702" w:rsidRDefault="00A97702" w:rsidP="00A97702">
      <w:pPr>
        <w:pStyle w:val="Caption"/>
        <w:sectPr w:rsidR="00A97702" w:rsidSect="00DA1C9D">
          <w:pgSz w:w="16840" w:h="11907" w:orient="landscape" w:code="9"/>
          <w:pgMar w:top="1701" w:right="1418" w:bottom="1134" w:left="1134" w:header="567" w:footer="567" w:gutter="0"/>
          <w:pgNumType w:chapSep="period"/>
          <w:cols w:space="720"/>
          <w:docGrid w:linePitch="326"/>
        </w:sectPr>
      </w:pPr>
    </w:p>
    <w:p w:rsidR="00A97702" w:rsidRPr="00456F3A" w:rsidRDefault="00A97702" w:rsidP="00A97702">
      <w:pPr>
        <w:pStyle w:val="Caption"/>
        <w:rPr>
          <w:sz w:val="16"/>
          <w:szCs w:val="16"/>
        </w:rPr>
      </w:pPr>
      <w:r>
        <w:lastRenderedPageBreak/>
        <w:t xml:space="preserve"> </w:t>
      </w:r>
    </w:p>
    <w:p w:rsidR="00A97702" w:rsidRPr="00CF4C5A" w:rsidRDefault="00A97702" w:rsidP="00A97702">
      <w:pPr>
        <w:pStyle w:val="Caption"/>
      </w:pPr>
      <w:r>
        <w:t>Table 1B(1)</w:t>
      </w:r>
      <w:r>
        <w:tab/>
        <w:t>Soil-specific added contaminant limits</w:t>
      </w:r>
      <w:r w:rsidRPr="0021705B">
        <w:t xml:space="preserve"> for aged </w:t>
      </w:r>
      <w:r>
        <w:t>zinc</w:t>
      </w:r>
      <w:r w:rsidRPr="0021705B">
        <w:t xml:space="preserve"> </w:t>
      </w:r>
      <w:r>
        <w:t>in soil</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252"/>
        <w:gridCol w:w="1253"/>
        <w:gridCol w:w="1253"/>
        <w:gridCol w:w="1252"/>
        <w:gridCol w:w="1253"/>
        <w:gridCol w:w="1253"/>
      </w:tblGrid>
      <w:tr w:rsidR="00A97702" w:rsidRPr="009D61B4" w:rsidTr="00DA1C9D">
        <w:trPr>
          <w:trHeight w:hRule="exact" w:val="340"/>
        </w:trPr>
        <w:tc>
          <w:tcPr>
            <w:tcW w:w="8931" w:type="dxa"/>
            <w:gridSpan w:val="7"/>
            <w:shd w:val="clear" w:color="auto" w:fill="C6D9F1" w:themeFill="text2" w:themeFillTint="33"/>
            <w:noWrap/>
            <w:vAlign w:val="bottom"/>
          </w:tcPr>
          <w:p w:rsidR="00A97702" w:rsidRPr="009D61B4" w:rsidRDefault="00A97702" w:rsidP="00DA1C9D">
            <w:pPr>
              <w:spacing w:before="60" w:after="60"/>
              <w:jc w:val="center"/>
              <w:rPr>
                <w:rFonts w:cs="Arial"/>
                <w:b/>
                <w:szCs w:val="22"/>
                <w:lang w:val="en-GB"/>
              </w:rPr>
            </w:pPr>
            <w:r w:rsidRPr="009D61B4">
              <w:rPr>
                <w:rFonts w:cs="Arial"/>
                <w:b/>
                <w:szCs w:val="22"/>
                <w:lang w:val="en-GB"/>
              </w:rPr>
              <w:t>Zn added contaminant limits (ACL, mg added contaminant/kg)</w:t>
            </w:r>
          </w:p>
        </w:tc>
      </w:tr>
      <w:tr w:rsidR="00A97702" w:rsidRPr="009D61B4" w:rsidTr="00DA1C9D">
        <w:trPr>
          <w:trHeight w:hRule="exact" w:val="340"/>
        </w:trPr>
        <w:tc>
          <w:tcPr>
            <w:tcW w:w="8931" w:type="dxa"/>
            <w:gridSpan w:val="7"/>
            <w:shd w:val="clear" w:color="auto" w:fill="C4BC96"/>
            <w:noWrap/>
            <w:vAlign w:val="bottom"/>
          </w:tcPr>
          <w:p w:rsidR="00A97702" w:rsidRPr="009D61B4" w:rsidRDefault="00A97702" w:rsidP="00DA1C9D">
            <w:pPr>
              <w:spacing w:before="60" w:after="60"/>
              <w:jc w:val="center"/>
              <w:rPr>
                <w:rFonts w:cs="Arial"/>
                <w:b/>
                <w:szCs w:val="22"/>
                <w:lang w:val="en-GB"/>
              </w:rPr>
            </w:pPr>
            <w:r w:rsidRPr="009D61B4">
              <w:rPr>
                <w:rFonts w:cs="Arial"/>
                <w:b/>
                <w:szCs w:val="22"/>
                <w:lang w:val="en-GB"/>
              </w:rPr>
              <w:t>Areas of  ecological significance</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pH</w:t>
            </w:r>
            <w:r w:rsidRPr="009D61B4">
              <w:rPr>
                <w:rFonts w:cs="Arial"/>
                <w:b/>
                <w:i/>
                <w:szCs w:val="22"/>
                <w:vertAlign w:val="superscript"/>
                <w:lang w:val="en-GB"/>
              </w:rPr>
              <w:t>a</w:t>
            </w:r>
          </w:p>
        </w:tc>
        <w:tc>
          <w:tcPr>
            <w:tcW w:w="7516" w:type="dxa"/>
            <w:gridSpan w:val="6"/>
            <w:shd w:val="clear" w:color="auto" w:fill="F2F2F2"/>
            <w:noWrap/>
            <w:vAlign w:val="bottom"/>
          </w:tcPr>
          <w:p w:rsidR="00A97702" w:rsidRPr="009D61B4" w:rsidRDefault="00A97702" w:rsidP="00DA1C9D">
            <w:pPr>
              <w:tabs>
                <w:tab w:val="decimal" w:pos="509"/>
              </w:tabs>
              <w:spacing w:before="60" w:after="60"/>
              <w:jc w:val="center"/>
              <w:rPr>
                <w:rFonts w:cs="Arial"/>
                <w:b/>
                <w:i/>
                <w:szCs w:val="22"/>
                <w:lang w:val="en-GB"/>
              </w:rPr>
            </w:pPr>
            <w:r w:rsidRPr="009D61B4">
              <w:rPr>
                <w:rFonts w:cs="Arial"/>
                <w:b/>
                <w:i/>
                <w:szCs w:val="22"/>
                <w:lang w:val="en-GB"/>
              </w:rPr>
              <w:t>CEC</w:t>
            </w:r>
            <w:r w:rsidRPr="009D61B4">
              <w:rPr>
                <w:rFonts w:cs="Arial"/>
                <w:b/>
                <w:i/>
                <w:szCs w:val="22"/>
                <w:vertAlign w:val="superscript"/>
                <w:lang w:val="en-GB"/>
              </w:rPr>
              <w:t>b</w:t>
            </w:r>
            <w:r w:rsidRPr="009D61B4">
              <w:rPr>
                <w:rFonts w:cs="Arial"/>
                <w:b/>
                <w:i/>
                <w:szCs w:val="22"/>
                <w:lang w:val="en-GB"/>
              </w:rPr>
              <w:t xml:space="preserve"> (cmol</w:t>
            </w:r>
            <w:r w:rsidRPr="009D61B4">
              <w:rPr>
                <w:rFonts w:cs="Arial"/>
                <w:b/>
                <w:i/>
                <w:szCs w:val="22"/>
                <w:vertAlign w:val="subscript"/>
                <w:lang w:val="en-GB"/>
              </w:rPr>
              <w:t>c</w:t>
            </w:r>
            <w:r w:rsidRPr="009D61B4">
              <w:rPr>
                <w:rFonts w:cs="Arial"/>
                <w:b/>
                <w:i/>
                <w:szCs w:val="22"/>
                <w:lang w:val="en-GB"/>
              </w:rPr>
              <w:t>/kg)</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p>
        </w:tc>
        <w:tc>
          <w:tcPr>
            <w:tcW w:w="1252" w:type="dxa"/>
            <w:shd w:val="clear" w:color="auto" w:fill="F2F2F2"/>
            <w:noWrap/>
            <w:vAlign w:val="bottom"/>
          </w:tcPr>
          <w:p w:rsidR="00A97702" w:rsidRPr="009D61B4" w:rsidRDefault="00A97702" w:rsidP="00DA1C9D">
            <w:pPr>
              <w:tabs>
                <w:tab w:val="decimal" w:pos="476"/>
              </w:tabs>
              <w:spacing w:before="60" w:after="60"/>
              <w:rPr>
                <w:rFonts w:cs="Arial"/>
                <w:b/>
                <w:i/>
                <w:szCs w:val="22"/>
                <w:lang w:val="en-GB"/>
              </w:rPr>
            </w:pPr>
            <w:r w:rsidRPr="009D61B4">
              <w:rPr>
                <w:rFonts w:cs="Arial"/>
                <w:b/>
                <w:i/>
                <w:szCs w:val="22"/>
                <w:lang w:val="en-GB"/>
              </w:rPr>
              <w:t>5</w:t>
            </w:r>
          </w:p>
        </w:tc>
        <w:tc>
          <w:tcPr>
            <w:tcW w:w="1253" w:type="dxa"/>
            <w:shd w:val="clear" w:color="auto" w:fill="F2F2F2"/>
            <w:noWrap/>
            <w:vAlign w:val="bottom"/>
          </w:tcPr>
          <w:p w:rsidR="00A97702" w:rsidRPr="009D61B4" w:rsidRDefault="00A97702" w:rsidP="00DA1C9D">
            <w:pPr>
              <w:tabs>
                <w:tab w:val="decimal" w:pos="498"/>
              </w:tabs>
              <w:spacing w:before="60" w:after="60"/>
              <w:rPr>
                <w:rFonts w:cs="Arial"/>
                <w:b/>
                <w:i/>
                <w:szCs w:val="22"/>
                <w:lang w:val="en-GB"/>
              </w:rPr>
            </w:pPr>
            <w:r w:rsidRPr="009D61B4">
              <w:rPr>
                <w:rFonts w:cs="Arial"/>
                <w:b/>
                <w:i/>
                <w:szCs w:val="22"/>
                <w:lang w:val="en-GB"/>
              </w:rPr>
              <w:t>10</w:t>
            </w:r>
          </w:p>
        </w:tc>
        <w:tc>
          <w:tcPr>
            <w:tcW w:w="1253" w:type="dxa"/>
            <w:shd w:val="clear" w:color="auto" w:fill="F2F2F2"/>
            <w:noWrap/>
            <w:vAlign w:val="bottom"/>
          </w:tcPr>
          <w:p w:rsidR="00A97702" w:rsidRPr="009D61B4" w:rsidRDefault="00A97702" w:rsidP="00DA1C9D">
            <w:pPr>
              <w:tabs>
                <w:tab w:val="decimal" w:pos="479"/>
              </w:tabs>
              <w:spacing w:before="60" w:after="60"/>
              <w:rPr>
                <w:rFonts w:cs="Arial"/>
                <w:b/>
                <w:i/>
                <w:szCs w:val="22"/>
                <w:lang w:val="en-GB"/>
              </w:rPr>
            </w:pPr>
            <w:r w:rsidRPr="009D61B4">
              <w:rPr>
                <w:rFonts w:cs="Arial"/>
                <w:b/>
                <w:i/>
                <w:szCs w:val="22"/>
                <w:lang w:val="en-GB"/>
              </w:rPr>
              <w:t>20</w:t>
            </w:r>
          </w:p>
        </w:tc>
        <w:tc>
          <w:tcPr>
            <w:tcW w:w="1252" w:type="dxa"/>
            <w:shd w:val="clear" w:color="auto" w:fill="F2F2F2"/>
            <w:noWrap/>
            <w:vAlign w:val="bottom"/>
          </w:tcPr>
          <w:p w:rsidR="00A97702" w:rsidRPr="009D61B4" w:rsidRDefault="00A97702" w:rsidP="00DA1C9D">
            <w:pPr>
              <w:tabs>
                <w:tab w:val="decimal" w:pos="474"/>
              </w:tabs>
              <w:spacing w:before="60" w:after="60"/>
              <w:rPr>
                <w:rFonts w:cs="Arial"/>
                <w:b/>
                <w:i/>
                <w:szCs w:val="22"/>
                <w:lang w:val="en-GB"/>
              </w:rPr>
            </w:pPr>
            <w:r w:rsidRPr="009D61B4">
              <w:rPr>
                <w:rFonts w:cs="Arial"/>
                <w:b/>
                <w:i/>
                <w:szCs w:val="22"/>
                <w:lang w:val="en-GB"/>
              </w:rPr>
              <w:t>30</w:t>
            </w:r>
          </w:p>
        </w:tc>
        <w:tc>
          <w:tcPr>
            <w:tcW w:w="1253" w:type="dxa"/>
            <w:shd w:val="clear" w:color="auto" w:fill="F2F2F2"/>
            <w:noWrap/>
            <w:vAlign w:val="bottom"/>
          </w:tcPr>
          <w:p w:rsidR="00A97702" w:rsidRPr="009D61B4" w:rsidRDefault="00A97702" w:rsidP="00DA1C9D">
            <w:pPr>
              <w:tabs>
                <w:tab w:val="decimal" w:pos="607"/>
              </w:tabs>
              <w:spacing w:before="60" w:after="60"/>
              <w:rPr>
                <w:rFonts w:cs="Arial"/>
                <w:b/>
                <w:i/>
                <w:szCs w:val="22"/>
                <w:lang w:val="en-GB"/>
              </w:rPr>
            </w:pPr>
            <w:r w:rsidRPr="009D61B4">
              <w:rPr>
                <w:rFonts w:cs="Arial"/>
                <w:b/>
                <w:i/>
                <w:szCs w:val="22"/>
                <w:lang w:val="en-GB"/>
              </w:rPr>
              <w:t>40</w:t>
            </w:r>
          </w:p>
        </w:tc>
        <w:tc>
          <w:tcPr>
            <w:tcW w:w="1253" w:type="dxa"/>
            <w:shd w:val="clear" w:color="auto" w:fill="F2F2F2"/>
            <w:noWrap/>
            <w:vAlign w:val="bottom"/>
          </w:tcPr>
          <w:p w:rsidR="00A97702" w:rsidRPr="009D61B4" w:rsidRDefault="00A97702" w:rsidP="00DA1C9D">
            <w:pPr>
              <w:tabs>
                <w:tab w:val="decimal" w:pos="509"/>
              </w:tabs>
              <w:spacing w:before="60" w:after="60"/>
              <w:rPr>
                <w:rFonts w:cs="Arial"/>
                <w:b/>
                <w:i/>
                <w:szCs w:val="22"/>
                <w:lang w:val="en-GB"/>
              </w:rPr>
            </w:pPr>
            <w:r w:rsidRPr="009D61B4">
              <w:rPr>
                <w:rFonts w:cs="Arial"/>
                <w:b/>
                <w:i/>
                <w:szCs w:val="22"/>
                <w:lang w:val="en-GB"/>
              </w:rPr>
              <w:t>60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4.0</w:t>
            </w:r>
          </w:p>
        </w:tc>
        <w:tc>
          <w:tcPr>
            <w:tcW w:w="1252" w:type="dxa"/>
            <w:noWrap/>
            <w:vAlign w:val="bottom"/>
          </w:tcPr>
          <w:p w:rsidR="00A97702" w:rsidRPr="009D61B4" w:rsidRDefault="00A97702" w:rsidP="00DA1C9D">
            <w:pPr>
              <w:tabs>
                <w:tab w:val="decimal" w:pos="572"/>
              </w:tabs>
              <w:spacing w:before="60" w:after="60"/>
              <w:rPr>
                <w:rFonts w:cs="Arial"/>
                <w:szCs w:val="22"/>
              </w:rPr>
            </w:pPr>
            <w:r w:rsidRPr="009D61B4">
              <w:rPr>
                <w:rFonts w:cs="Arial"/>
                <w:szCs w:val="22"/>
              </w:rPr>
              <w:t>15</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20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20</w:t>
            </w:r>
          </w:p>
        </w:tc>
        <w:tc>
          <w:tcPr>
            <w:tcW w:w="1252" w:type="dxa"/>
            <w:noWrap/>
          </w:tcPr>
          <w:p w:rsidR="00A97702" w:rsidRPr="009D61B4" w:rsidRDefault="00A97702" w:rsidP="00DA1C9D">
            <w:pPr>
              <w:tabs>
                <w:tab w:val="decimal" w:pos="479"/>
              </w:tabs>
              <w:spacing w:before="60" w:after="60"/>
              <w:rPr>
                <w:rFonts w:cs="Arial"/>
                <w:szCs w:val="22"/>
              </w:rPr>
            </w:pPr>
            <w:r w:rsidRPr="009D61B4">
              <w:rPr>
                <w:rFonts w:cs="Arial"/>
                <w:szCs w:val="22"/>
              </w:rPr>
              <w:t>20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20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20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4.5</w:t>
            </w:r>
          </w:p>
        </w:tc>
        <w:tc>
          <w:tcPr>
            <w:tcW w:w="1252" w:type="dxa"/>
            <w:noWrap/>
            <w:vAlign w:val="bottom"/>
          </w:tcPr>
          <w:p w:rsidR="00A97702" w:rsidRPr="009D61B4" w:rsidRDefault="00A97702" w:rsidP="00DA1C9D">
            <w:pPr>
              <w:tabs>
                <w:tab w:val="decimal" w:pos="572"/>
              </w:tabs>
              <w:spacing w:before="60" w:after="60"/>
              <w:rPr>
                <w:rFonts w:cs="Arial"/>
                <w:szCs w:val="22"/>
              </w:rPr>
            </w:pPr>
            <w:r w:rsidRPr="009D61B4">
              <w:rPr>
                <w:rFonts w:cs="Arial"/>
                <w:szCs w:val="22"/>
              </w:rPr>
              <w:t>20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25</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25</w:t>
            </w:r>
          </w:p>
        </w:tc>
        <w:tc>
          <w:tcPr>
            <w:tcW w:w="1252" w:type="dxa"/>
            <w:noWrap/>
          </w:tcPr>
          <w:p w:rsidR="00A97702" w:rsidRPr="009D61B4" w:rsidRDefault="00A97702" w:rsidP="00DA1C9D">
            <w:pPr>
              <w:tabs>
                <w:tab w:val="decimal" w:pos="479"/>
              </w:tabs>
              <w:spacing w:before="60" w:after="60"/>
              <w:rPr>
                <w:rFonts w:cs="Arial"/>
                <w:szCs w:val="22"/>
              </w:rPr>
            </w:pPr>
            <w:r w:rsidRPr="009D61B4">
              <w:rPr>
                <w:rFonts w:cs="Arial"/>
                <w:szCs w:val="22"/>
              </w:rPr>
              <w:t>25</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25</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25</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5.0</w:t>
            </w:r>
          </w:p>
        </w:tc>
        <w:tc>
          <w:tcPr>
            <w:tcW w:w="1252" w:type="dxa"/>
            <w:noWrap/>
            <w:vAlign w:val="bottom"/>
          </w:tcPr>
          <w:p w:rsidR="00A97702" w:rsidRPr="009D61B4" w:rsidRDefault="00A97702" w:rsidP="00DA1C9D">
            <w:pPr>
              <w:tabs>
                <w:tab w:val="decimal" w:pos="572"/>
              </w:tabs>
              <w:spacing w:before="60" w:after="60"/>
              <w:rPr>
                <w:rFonts w:cs="Arial"/>
                <w:szCs w:val="22"/>
              </w:rPr>
            </w:pPr>
            <w:r w:rsidRPr="009D61B4">
              <w:rPr>
                <w:rFonts w:cs="Arial"/>
                <w:szCs w:val="22"/>
              </w:rPr>
              <w:t>30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40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40</w:t>
            </w:r>
          </w:p>
        </w:tc>
        <w:tc>
          <w:tcPr>
            <w:tcW w:w="1252"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40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40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40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5.5</w:t>
            </w:r>
          </w:p>
        </w:tc>
        <w:tc>
          <w:tcPr>
            <w:tcW w:w="1252" w:type="dxa"/>
            <w:noWrap/>
            <w:vAlign w:val="bottom"/>
          </w:tcPr>
          <w:p w:rsidR="00A97702" w:rsidRPr="009D61B4" w:rsidRDefault="00A97702" w:rsidP="00DA1C9D">
            <w:pPr>
              <w:tabs>
                <w:tab w:val="decimal" w:pos="572"/>
              </w:tabs>
              <w:spacing w:before="60" w:after="60"/>
              <w:rPr>
                <w:rFonts w:cs="Arial"/>
                <w:szCs w:val="22"/>
              </w:rPr>
            </w:pPr>
            <w:r w:rsidRPr="009D61B4">
              <w:rPr>
                <w:rFonts w:cs="Arial"/>
                <w:szCs w:val="22"/>
              </w:rPr>
              <w:t>40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60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60</w:t>
            </w:r>
          </w:p>
        </w:tc>
        <w:tc>
          <w:tcPr>
            <w:tcW w:w="1252"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60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60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60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6.0</w:t>
            </w:r>
          </w:p>
        </w:tc>
        <w:tc>
          <w:tcPr>
            <w:tcW w:w="1252" w:type="dxa"/>
            <w:noWrap/>
            <w:vAlign w:val="bottom"/>
          </w:tcPr>
          <w:p w:rsidR="00A97702" w:rsidRPr="009D61B4" w:rsidRDefault="00A97702" w:rsidP="00DA1C9D">
            <w:pPr>
              <w:tabs>
                <w:tab w:val="decimal" w:pos="572"/>
              </w:tabs>
              <w:spacing w:before="60" w:after="60"/>
              <w:rPr>
                <w:rFonts w:cs="Arial"/>
                <w:szCs w:val="22"/>
              </w:rPr>
            </w:pPr>
            <w:r w:rsidRPr="009D61B4">
              <w:rPr>
                <w:rFonts w:cs="Arial"/>
                <w:szCs w:val="22"/>
              </w:rPr>
              <w:t>50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90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90</w:t>
            </w:r>
          </w:p>
        </w:tc>
        <w:tc>
          <w:tcPr>
            <w:tcW w:w="1252" w:type="dxa"/>
            <w:noWrap/>
          </w:tcPr>
          <w:p w:rsidR="00A97702" w:rsidRPr="009D61B4" w:rsidRDefault="00A97702" w:rsidP="00DA1C9D">
            <w:pPr>
              <w:tabs>
                <w:tab w:val="decimal" w:pos="479"/>
              </w:tabs>
              <w:spacing w:before="60" w:after="60"/>
              <w:rPr>
                <w:rFonts w:cs="Arial"/>
                <w:szCs w:val="22"/>
              </w:rPr>
            </w:pPr>
            <w:r w:rsidRPr="009D61B4">
              <w:rPr>
                <w:rFonts w:cs="Arial"/>
                <w:szCs w:val="22"/>
              </w:rPr>
              <w:t>90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90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90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6.5</w:t>
            </w:r>
          </w:p>
        </w:tc>
        <w:tc>
          <w:tcPr>
            <w:tcW w:w="1252" w:type="dxa"/>
            <w:noWrap/>
            <w:vAlign w:val="bottom"/>
          </w:tcPr>
          <w:p w:rsidR="00A97702" w:rsidRPr="009D61B4" w:rsidRDefault="00A97702" w:rsidP="00DA1C9D">
            <w:pPr>
              <w:tabs>
                <w:tab w:val="decimal" w:pos="572"/>
              </w:tabs>
              <w:spacing w:before="60" w:after="60"/>
              <w:rPr>
                <w:rFonts w:cs="Arial"/>
                <w:szCs w:val="22"/>
              </w:rPr>
            </w:pPr>
            <w:r w:rsidRPr="009D61B4">
              <w:rPr>
                <w:rFonts w:cs="Arial"/>
                <w:szCs w:val="22"/>
              </w:rPr>
              <w:t>50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90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130</w:t>
            </w:r>
          </w:p>
        </w:tc>
        <w:tc>
          <w:tcPr>
            <w:tcW w:w="1252" w:type="dxa"/>
            <w:noWrap/>
          </w:tcPr>
          <w:p w:rsidR="00A97702" w:rsidRPr="009D61B4" w:rsidRDefault="00A97702" w:rsidP="00DA1C9D">
            <w:pPr>
              <w:tabs>
                <w:tab w:val="decimal" w:pos="479"/>
              </w:tabs>
              <w:spacing w:before="60" w:after="60"/>
              <w:rPr>
                <w:rFonts w:cs="Arial"/>
                <w:szCs w:val="22"/>
              </w:rPr>
            </w:pPr>
            <w:r w:rsidRPr="009D61B4">
              <w:rPr>
                <w:rFonts w:cs="Arial"/>
                <w:szCs w:val="22"/>
              </w:rPr>
              <w:t>130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130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130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7.0</w:t>
            </w:r>
          </w:p>
        </w:tc>
        <w:tc>
          <w:tcPr>
            <w:tcW w:w="1252" w:type="dxa"/>
            <w:noWrap/>
            <w:vAlign w:val="bottom"/>
          </w:tcPr>
          <w:p w:rsidR="00A97702" w:rsidRPr="009D61B4" w:rsidRDefault="00A97702" w:rsidP="00DA1C9D">
            <w:pPr>
              <w:tabs>
                <w:tab w:val="decimal" w:pos="572"/>
              </w:tabs>
              <w:spacing w:before="60" w:after="60"/>
              <w:rPr>
                <w:rFonts w:cs="Arial"/>
                <w:szCs w:val="22"/>
              </w:rPr>
            </w:pPr>
            <w:r w:rsidRPr="009D61B4">
              <w:rPr>
                <w:rFonts w:cs="Arial"/>
                <w:szCs w:val="22"/>
              </w:rPr>
              <w:t>50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90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150</w:t>
            </w:r>
          </w:p>
        </w:tc>
        <w:tc>
          <w:tcPr>
            <w:tcW w:w="1252"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190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190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190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7.5</w:t>
            </w:r>
          </w:p>
        </w:tc>
        <w:tc>
          <w:tcPr>
            <w:tcW w:w="1252" w:type="dxa"/>
            <w:noWrap/>
            <w:vAlign w:val="bottom"/>
          </w:tcPr>
          <w:p w:rsidR="00A97702" w:rsidRPr="009D61B4" w:rsidRDefault="00A97702" w:rsidP="00DA1C9D">
            <w:pPr>
              <w:tabs>
                <w:tab w:val="decimal" w:pos="572"/>
              </w:tabs>
              <w:spacing w:before="60" w:after="60"/>
              <w:rPr>
                <w:rFonts w:cs="Arial"/>
                <w:szCs w:val="22"/>
              </w:rPr>
            </w:pPr>
            <w:r w:rsidRPr="009D61B4">
              <w:rPr>
                <w:rFonts w:cs="Arial"/>
                <w:szCs w:val="22"/>
              </w:rPr>
              <w:t>50</w:t>
            </w:r>
          </w:p>
        </w:tc>
        <w:tc>
          <w:tcPr>
            <w:tcW w:w="1253" w:type="dxa"/>
            <w:noWrap/>
          </w:tcPr>
          <w:p w:rsidR="00A97702" w:rsidRPr="009D61B4" w:rsidRDefault="00A97702" w:rsidP="00DA1C9D">
            <w:pPr>
              <w:tabs>
                <w:tab w:val="decimal" w:pos="479"/>
              </w:tabs>
              <w:spacing w:before="60" w:after="60"/>
              <w:rPr>
                <w:rFonts w:cs="Arial"/>
                <w:szCs w:val="22"/>
              </w:rPr>
            </w:pPr>
            <w:r w:rsidRPr="009D61B4">
              <w:rPr>
                <w:rFonts w:cs="Arial"/>
                <w:szCs w:val="22"/>
              </w:rPr>
              <w:t>90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150</w:t>
            </w:r>
          </w:p>
        </w:tc>
        <w:tc>
          <w:tcPr>
            <w:tcW w:w="1252"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210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260</w:t>
            </w:r>
          </w:p>
        </w:tc>
        <w:tc>
          <w:tcPr>
            <w:tcW w:w="1253" w:type="dxa"/>
            <w:noWrap/>
            <w:vAlign w:val="bottom"/>
          </w:tcPr>
          <w:p w:rsidR="00A97702" w:rsidRPr="009D61B4" w:rsidRDefault="00A97702" w:rsidP="00DA1C9D">
            <w:pPr>
              <w:tabs>
                <w:tab w:val="decimal" w:pos="479"/>
              </w:tabs>
              <w:spacing w:before="60" w:after="60"/>
              <w:rPr>
                <w:rFonts w:cs="Arial"/>
                <w:szCs w:val="22"/>
              </w:rPr>
            </w:pPr>
            <w:r w:rsidRPr="009D61B4">
              <w:rPr>
                <w:rFonts w:cs="Arial"/>
                <w:szCs w:val="22"/>
              </w:rPr>
              <w:t>280</w:t>
            </w:r>
          </w:p>
        </w:tc>
      </w:tr>
      <w:tr w:rsidR="00A97702" w:rsidRPr="009D61B4" w:rsidTr="00DA1C9D">
        <w:trPr>
          <w:trHeight w:hRule="exact" w:val="340"/>
        </w:trPr>
        <w:tc>
          <w:tcPr>
            <w:tcW w:w="8931" w:type="dxa"/>
            <w:gridSpan w:val="7"/>
            <w:shd w:val="clear" w:color="auto" w:fill="EAFADD"/>
            <w:noWrap/>
            <w:vAlign w:val="bottom"/>
          </w:tcPr>
          <w:p w:rsidR="00A97702" w:rsidRPr="009D61B4" w:rsidRDefault="00A97702" w:rsidP="00DA1C9D">
            <w:pPr>
              <w:tabs>
                <w:tab w:val="decimal" w:pos="509"/>
              </w:tabs>
              <w:spacing w:before="60" w:after="60"/>
              <w:jc w:val="center"/>
              <w:rPr>
                <w:rFonts w:cs="Arial"/>
                <w:szCs w:val="22"/>
                <w:lang w:val="en-GB"/>
              </w:rPr>
            </w:pPr>
            <w:r w:rsidRPr="009D61B4">
              <w:rPr>
                <w:rFonts w:cs="Arial"/>
                <w:b/>
                <w:szCs w:val="22"/>
                <w:lang w:val="en-GB"/>
              </w:rPr>
              <w:t>Urban residential/public open space</w:t>
            </w:r>
            <w:r w:rsidRPr="009D61B4">
              <w:rPr>
                <w:rFonts w:cs="Arial"/>
                <w:b/>
                <w:szCs w:val="22"/>
                <w:vertAlign w:val="superscript"/>
                <w:lang w:val="en-GB"/>
              </w:rPr>
              <w:t>1</w:t>
            </w:r>
            <w:r w:rsidRPr="009D61B4">
              <w:rPr>
                <w:rFonts w:cs="Arial"/>
                <w:b/>
                <w:szCs w:val="22"/>
                <w:lang w:val="en-GB"/>
              </w:rPr>
              <w:t xml:space="preserve"> </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pH</w:t>
            </w:r>
            <w:r w:rsidRPr="009D61B4">
              <w:rPr>
                <w:rFonts w:cs="Arial"/>
                <w:b/>
                <w:i/>
                <w:szCs w:val="22"/>
                <w:vertAlign w:val="superscript"/>
                <w:lang w:val="en-GB"/>
              </w:rPr>
              <w:t>a</w:t>
            </w:r>
          </w:p>
        </w:tc>
        <w:tc>
          <w:tcPr>
            <w:tcW w:w="7516" w:type="dxa"/>
            <w:gridSpan w:val="6"/>
            <w:shd w:val="clear" w:color="auto" w:fill="F2F2F2"/>
            <w:noWrap/>
            <w:vAlign w:val="bottom"/>
          </w:tcPr>
          <w:p w:rsidR="00A97702" w:rsidRPr="009D61B4" w:rsidRDefault="00A97702" w:rsidP="00DA1C9D">
            <w:pPr>
              <w:tabs>
                <w:tab w:val="decimal" w:pos="509"/>
              </w:tabs>
              <w:spacing w:before="60" w:after="60"/>
              <w:jc w:val="center"/>
              <w:rPr>
                <w:rFonts w:cs="Arial"/>
                <w:b/>
                <w:i/>
                <w:szCs w:val="22"/>
                <w:lang w:val="en-GB"/>
              </w:rPr>
            </w:pPr>
            <w:r w:rsidRPr="009D61B4">
              <w:rPr>
                <w:rFonts w:cs="Arial"/>
                <w:b/>
                <w:i/>
                <w:szCs w:val="22"/>
                <w:lang w:val="en-GB"/>
              </w:rPr>
              <w:t>CEC</w:t>
            </w:r>
            <w:r w:rsidRPr="009D61B4">
              <w:rPr>
                <w:rFonts w:cs="Arial"/>
                <w:b/>
                <w:i/>
                <w:szCs w:val="22"/>
                <w:vertAlign w:val="superscript"/>
                <w:lang w:val="en-GB"/>
              </w:rPr>
              <w:t>b</w:t>
            </w:r>
            <w:r w:rsidRPr="009D61B4">
              <w:rPr>
                <w:rFonts w:cs="Arial"/>
                <w:b/>
                <w:i/>
                <w:szCs w:val="22"/>
                <w:lang w:val="en-GB"/>
              </w:rPr>
              <w:t xml:space="preserve"> (cmol</w:t>
            </w:r>
            <w:r w:rsidRPr="009D61B4">
              <w:rPr>
                <w:rFonts w:cs="Arial"/>
                <w:b/>
                <w:i/>
                <w:szCs w:val="22"/>
                <w:vertAlign w:val="subscript"/>
                <w:lang w:val="en-GB"/>
              </w:rPr>
              <w:t>c</w:t>
            </w:r>
            <w:r w:rsidRPr="009D61B4">
              <w:rPr>
                <w:rFonts w:cs="Arial"/>
                <w:b/>
                <w:i/>
                <w:szCs w:val="22"/>
                <w:lang w:val="en-GB"/>
              </w:rPr>
              <w:t>/kg)</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p>
        </w:tc>
        <w:tc>
          <w:tcPr>
            <w:tcW w:w="1252" w:type="dxa"/>
            <w:shd w:val="clear" w:color="auto" w:fill="F2F2F2"/>
            <w:noWrap/>
            <w:vAlign w:val="bottom"/>
          </w:tcPr>
          <w:p w:rsidR="00A97702" w:rsidRPr="009D61B4" w:rsidRDefault="00A97702" w:rsidP="00DA1C9D">
            <w:pPr>
              <w:tabs>
                <w:tab w:val="decimal" w:pos="476"/>
              </w:tabs>
              <w:spacing w:before="60" w:after="60"/>
              <w:rPr>
                <w:rFonts w:cs="Arial"/>
                <w:b/>
                <w:i/>
                <w:szCs w:val="22"/>
                <w:lang w:val="en-GB"/>
              </w:rPr>
            </w:pPr>
            <w:r w:rsidRPr="009D61B4">
              <w:rPr>
                <w:rFonts w:cs="Arial"/>
                <w:b/>
                <w:i/>
                <w:szCs w:val="22"/>
                <w:lang w:val="en-GB"/>
              </w:rPr>
              <w:t>5</w:t>
            </w:r>
          </w:p>
        </w:tc>
        <w:tc>
          <w:tcPr>
            <w:tcW w:w="1253" w:type="dxa"/>
            <w:shd w:val="clear" w:color="auto" w:fill="F2F2F2"/>
            <w:noWrap/>
            <w:vAlign w:val="bottom"/>
          </w:tcPr>
          <w:p w:rsidR="00A97702" w:rsidRPr="009D61B4" w:rsidRDefault="00A97702" w:rsidP="00DA1C9D">
            <w:pPr>
              <w:tabs>
                <w:tab w:val="decimal" w:pos="498"/>
              </w:tabs>
              <w:spacing w:before="60" w:after="60"/>
              <w:rPr>
                <w:rFonts w:cs="Arial"/>
                <w:b/>
                <w:i/>
                <w:szCs w:val="22"/>
                <w:lang w:val="en-GB"/>
              </w:rPr>
            </w:pPr>
            <w:r w:rsidRPr="009D61B4">
              <w:rPr>
                <w:rFonts w:cs="Arial"/>
                <w:b/>
                <w:i/>
                <w:szCs w:val="22"/>
                <w:lang w:val="en-GB"/>
              </w:rPr>
              <w:t>10</w:t>
            </w:r>
          </w:p>
        </w:tc>
        <w:tc>
          <w:tcPr>
            <w:tcW w:w="1253" w:type="dxa"/>
            <w:shd w:val="clear" w:color="auto" w:fill="F2F2F2"/>
            <w:noWrap/>
            <w:vAlign w:val="bottom"/>
          </w:tcPr>
          <w:p w:rsidR="00A97702" w:rsidRPr="009D61B4" w:rsidRDefault="00A97702" w:rsidP="00DA1C9D">
            <w:pPr>
              <w:tabs>
                <w:tab w:val="decimal" w:pos="479"/>
              </w:tabs>
              <w:spacing w:before="60" w:after="60"/>
              <w:rPr>
                <w:rFonts w:cs="Arial"/>
                <w:b/>
                <w:i/>
                <w:szCs w:val="22"/>
                <w:lang w:val="en-GB"/>
              </w:rPr>
            </w:pPr>
            <w:r w:rsidRPr="009D61B4">
              <w:rPr>
                <w:rFonts w:cs="Arial"/>
                <w:b/>
                <w:i/>
                <w:szCs w:val="22"/>
                <w:lang w:val="en-GB"/>
              </w:rPr>
              <w:t>20</w:t>
            </w:r>
          </w:p>
        </w:tc>
        <w:tc>
          <w:tcPr>
            <w:tcW w:w="1252" w:type="dxa"/>
            <w:shd w:val="clear" w:color="auto" w:fill="F2F2F2"/>
            <w:noWrap/>
            <w:vAlign w:val="bottom"/>
          </w:tcPr>
          <w:p w:rsidR="00A97702" w:rsidRPr="009D61B4" w:rsidRDefault="00A97702" w:rsidP="00DA1C9D">
            <w:pPr>
              <w:tabs>
                <w:tab w:val="decimal" w:pos="474"/>
              </w:tabs>
              <w:spacing w:before="60" w:after="60"/>
              <w:rPr>
                <w:rFonts w:cs="Arial"/>
                <w:b/>
                <w:i/>
                <w:szCs w:val="22"/>
                <w:lang w:val="en-GB"/>
              </w:rPr>
            </w:pPr>
            <w:r w:rsidRPr="009D61B4">
              <w:rPr>
                <w:rFonts w:cs="Arial"/>
                <w:b/>
                <w:i/>
                <w:szCs w:val="22"/>
                <w:lang w:val="en-GB"/>
              </w:rPr>
              <w:t>30</w:t>
            </w:r>
          </w:p>
        </w:tc>
        <w:tc>
          <w:tcPr>
            <w:tcW w:w="1253" w:type="dxa"/>
            <w:shd w:val="clear" w:color="auto" w:fill="F2F2F2"/>
            <w:noWrap/>
            <w:vAlign w:val="bottom"/>
          </w:tcPr>
          <w:p w:rsidR="00A97702" w:rsidRPr="009D61B4" w:rsidRDefault="00A97702" w:rsidP="00DA1C9D">
            <w:pPr>
              <w:tabs>
                <w:tab w:val="decimal" w:pos="607"/>
              </w:tabs>
              <w:spacing w:before="60" w:after="60"/>
              <w:rPr>
                <w:rFonts w:cs="Arial"/>
                <w:b/>
                <w:i/>
                <w:szCs w:val="22"/>
                <w:lang w:val="en-GB"/>
              </w:rPr>
            </w:pPr>
            <w:r w:rsidRPr="009D61B4">
              <w:rPr>
                <w:rFonts w:cs="Arial"/>
                <w:b/>
                <w:i/>
                <w:szCs w:val="22"/>
                <w:lang w:val="en-GB"/>
              </w:rPr>
              <w:t>40</w:t>
            </w:r>
          </w:p>
        </w:tc>
        <w:tc>
          <w:tcPr>
            <w:tcW w:w="1253" w:type="dxa"/>
            <w:shd w:val="clear" w:color="auto" w:fill="F2F2F2"/>
            <w:noWrap/>
            <w:vAlign w:val="bottom"/>
          </w:tcPr>
          <w:p w:rsidR="00A97702" w:rsidRPr="009D61B4" w:rsidRDefault="00A97702" w:rsidP="00DA1C9D">
            <w:pPr>
              <w:tabs>
                <w:tab w:val="decimal" w:pos="509"/>
              </w:tabs>
              <w:spacing w:before="60" w:after="60"/>
              <w:rPr>
                <w:rFonts w:cs="Arial"/>
                <w:b/>
                <w:i/>
                <w:szCs w:val="22"/>
                <w:lang w:val="en-GB"/>
              </w:rPr>
            </w:pPr>
            <w:r w:rsidRPr="009D61B4">
              <w:rPr>
                <w:rFonts w:cs="Arial"/>
                <w:b/>
                <w:i/>
                <w:szCs w:val="22"/>
                <w:lang w:val="en-GB"/>
              </w:rPr>
              <w:t>60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4.0</w:t>
            </w:r>
          </w:p>
        </w:tc>
        <w:tc>
          <w:tcPr>
            <w:tcW w:w="1252"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70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85</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85</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85</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85</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85</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4.5</w:t>
            </w:r>
          </w:p>
        </w:tc>
        <w:tc>
          <w:tcPr>
            <w:tcW w:w="1252"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100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120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120</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120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120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120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5.0</w:t>
            </w:r>
          </w:p>
        </w:tc>
        <w:tc>
          <w:tcPr>
            <w:tcW w:w="1252"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130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180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180</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180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180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180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5.5</w:t>
            </w:r>
          </w:p>
        </w:tc>
        <w:tc>
          <w:tcPr>
            <w:tcW w:w="1252"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180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270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270</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270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270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270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6.0</w:t>
            </w:r>
          </w:p>
        </w:tc>
        <w:tc>
          <w:tcPr>
            <w:tcW w:w="1252"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230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400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400</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400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400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400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6.5</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230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400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590</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590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590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590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7.0</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230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400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700</w:t>
            </w:r>
          </w:p>
        </w:tc>
        <w:tc>
          <w:tcPr>
            <w:tcW w:w="1252"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880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880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880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7.5</w:t>
            </w:r>
          </w:p>
        </w:tc>
        <w:tc>
          <w:tcPr>
            <w:tcW w:w="1252" w:type="dxa"/>
            <w:noWrap/>
          </w:tcPr>
          <w:p w:rsidR="00A97702" w:rsidRPr="009D61B4" w:rsidRDefault="00A97702" w:rsidP="00DA1C9D">
            <w:pPr>
              <w:tabs>
                <w:tab w:val="decimal" w:pos="599"/>
              </w:tabs>
              <w:spacing w:before="60" w:after="60"/>
              <w:rPr>
                <w:rFonts w:cs="Arial"/>
                <w:szCs w:val="22"/>
              </w:rPr>
            </w:pPr>
            <w:r w:rsidRPr="009D61B4">
              <w:rPr>
                <w:rFonts w:cs="Arial"/>
                <w:szCs w:val="22"/>
              </w:rPr>
              <w:t>230</w:t>
            </w:r>
          </w:p>
        </w:tc>
        <w:tc>
          <w:tcPr>
            <w:tcW w:w="1253" w:type="dxa"/>
            <w:noWrap/>
          </w:tcPr>
          <w:p w:rsidR="00A97702" w:rsidRPr="009D61B4" w:rsidRDefault="00A97702" w:rsidP="00DA1C9D">
            <w:pPr>
              <w:tabs>
                <w:tab w:val="decimal" w:pos="599"/>
              </w:tabs>
              <w:spacing w:before="60" w:after="60"/>
              <w:rPr>
                <w:rFonts w:cs="Arial"/>
                <w:szCs w:val="22"/>
              </w:rPr>
            </w:pPr>
            <w:r w:rsidRPr="009D61B4">
              <w:rPr>
                <w:rFonts w:cs="Arial"/>
                <w:szCs w:val="22"/>
              </w:rPr>
              <w:t>400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700</w:t>
            </w:r>
          </w:p>
        </w:tc>
        <w:tc>
          <w:tcPr>
            <w:tcW w:w="1252"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960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1200</w:t>
            </w:r>
          </w:p>
        </w:tc>
        <w:tc>
          <w:tcPr>
            <w:tcW w:w="1253" w:type="dxa"/>
            <w:noWrap/>
            <w:vAlign w:val="bottom"/>
          </w:tcPr>
          <w:p w:rsidR="00A97702" w:rsidRPr="009D61B4" w:rsidRDefault="00A97702" w:rsidP="00DA1C9D">
            <w:pPr>
              <w:tabs>
                <w:tab w:val="decimal" w:pos="599"/>
              </w:tabs>
              <w:spacing w:before="60" w:after="60"/>
              <w:rPr>
                <w:rFonts w:cs="Arial"/>
                <w:szCs w:val="22"/>
              </w:rPr>
            </w:pPr>
            <w:r w:rsidRPr="009D61B4">
              <w:rPr>
                <w:rFonts w:cs="Arial"/>
                <w:szCs w:val="22"/>
              </w:rPr>
              <w:t>1300</w:t>
            </w:r>
          </w:p>
        </w:tc>
      </w:tr>
      <w:tr w:rsidR="00A97702" w:rsidRPr="009D61B4" w:rsidTr="00DA1C9D">
        <w:trPr>
          <w:trHeight w:hRule="exact" w:val="340"/>
        </w:trPr>
        <w:tc>
          <w:tcPr>
            <w:tcW w:w="8931" w:type="dxa"/>
            <w:gridSpan w:val="7"/>
            <w:shd w:val="clear" w:color="auto" w:fill="DBE5F1"/>
            <w:noWrap/>
            <w:vAlign w:val="bottom"/>
          </w:tcPr>
          <w:p w:rsidR="00A97702" w:rsidRPr="009D61B4" w:rsidRDefault="00A97702" w:rsidP="00DA1C9D">
            <w:pPr>
              <w:tabs>
                <w:tab w:val="decimal" w:pos="509"/>
              </w:tabs>
              <w:spacing w:before="60" w:after="60"/>
              <w:jc w:val="center"/>
              <w:rPr>
                <w:rFonts w:cs="Arial"/>
                <w:szCs w:val="22"/>
                <w:lang w:val="en-GB"/>
              </w:rPr>
            </w:pPr>
            <w:r w:rsidRPr="009D61B4">
              <w:rPr>
                <w:rFonts w:cs="Arial"/>
                <w:b/>
                <w:szCs w:val="22"/>
                <w:lang w:val="en-GB"/>
              </w:rPr>
              <w:t xml:space="preserve">Commercial/industrial </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pH</w:t>
            </w:r>
            <w:r w:rsidRPr="009D61B4">
              <w:rPr>
                <w:rFonts w:cs="Arial"/>
                <w:b/>
                <w:i/>
                <w:szCs w:val="22"/>
                <w:vertAlign w:val="superscript"/>
                <w:lang w:val="en-GB"/>
              </w:rPr>
              <w:t>a</w:t>
            </w:r>
          </w:p>
        </w:tc>
        <w:tc>
          <w:tcPr>
            <w:tcW w:w="7516" w:type="dxa"/>
            <w:gridSpan w:val="6"/>
            <w:shd w:val="clear" w:color="auto" w:fill="F2F2F2"/>
            <w:noWrap/>
            <w:vAlign w:val="bottom"/>
          </w:tcPr>
          <w:p w:rsidR="00A97702" w:rsidRPr="009D61B4" w:rsidRDefault="00A97702" w:rsidP="00DA1C9D">
            <w:pPr>
              <w:tabs>
                <w:tab w:val="decimal" w:pos="509"/>
              </w:tabs>
              <w:spacing w:before="60" w:after="60"/>
              <w:jc w:val="center"/>
              <w:rPr>
                <w:rFonts w:cs="Arial"/>
                <w:b/>
                <w:i/>
                <w:szCs w:val="22"/>
                <w:lang w:val="en-GB"/>
              </w:rPr>
            </w:pPr>
            <w:r w:rsidRPr="009D61B4">
              <w:rPr>
                <w:rFonts w:cs="Arial"/>
                <w:b/>
                <w:i/>
                <w:szCs w:val="22"/>
                <w:lang w:val="en-GB"/>
              </w:rPr>
              <w:t>CEC</w:t>
            </w:r>
            <w:r w:rsidRPr="009D61B4">
              <w:rPr>
                <w:rFonts w:cs="Arial"/>
                <w:b/>
                <w:i/>
                <w:szCs w:val="22"/>
                <w:vertAlign w:val="superscript"/>
                <w:lang w:val="en-GB"/>
              </w:rPr>
              <w:t>b</w:t>
            </w:r>
            <w:r w:rsidRPr="009D61B4">
              <w:rPr>
                <w:rFonts w:cs="Arial"/>
                <w:b/>
                <w:i/>
                <w:szCs w:val="22"/>
                <w:lang w:val="en-GB"/>
              </w:rPr>
              <w:t xml:space="preserve"> (cmol</w:t>
            </w:r>
            <w:r w:rsidRPr="009D61B4">
              <w:rPr>
                <w:rFonts w:cs="Arial"/>
                <w:b/>
                <w:i/>
                <w:szCs w:val="22"/>
                <w:vertAlign w:val="subscript"/>
                <w:lang w:val="en-GB"/>
              </w:rPr>
              <w:t>c</w:t>
            </w:r>
            <w:r w:rsidRPr="009D61B4">
              <w:rPr>
                <w:rFonts w:cs="Arial"/>
                <w:b/>
                <w:i/>
                <w:szCs w:val="22"/>
                <w:lang w:val="en-GB"/>
              </w:rPr>
              <w:t>/kg)</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szCs w:val="22"/>
                <w:lang w:val="en-GB"/>
              </w:rPr>
            </w:pPr>
          </w:p>
        </w:tc>
        <w:tc>
          <w:tcPr>
            <w:tcW w:w="1252" w:type="dxa"/>
            <w:shd w:val="clear" w:color="auto" w:fill="F2F2F2"/>
            <w:noWrap/>
            <w:vAlign w:val="bottom"/>
          </w:tcPr>
          <w:p w:rsidR="00A97702" w:rsidRPr="009D61B4" w:rsidRDefault="00A97702" w:rsidP="00DA1C9D">
            <w:pPr>
              <w:tabs>
                <w:tab w:val="decimal" w:pos="476"/>
              </w:tabs>
              <w:spacing w:before="60" w:after="60"/>
              <w:rPr>
                <w:rFonts w:cs="Arial"/>
                <w:b/>
                <w:i/>
                <w:szCs w:val="22"/>
                <w:lang w:val="en-GB"/>
              </w:rPr>
            </w:pPr>
            <w:r w:rsidRPr="009D61B4">
              <w:rPr>
                <w:rFonts w:cs="Arial"/>
                <w:b/>
                <w:i/>
                <w:szCs w:val="22"/>
                <w:lang w:val="en-GB"/>
              </w:rPr>
              <w:t>5</w:t>
            </w:r>
          </w:p>
        </w:tc>
        <w:tc>
          <w:tcPr>
            <w:tcW w:w="1253" w:type="dxa"/>
            <w:shd w:val="clear" w:color="auto" w:fill="F2F2F2"/>
            <w:noWrap/>
            <w:vAlign w:val="bottom"/>
          </w:tcPr>
          <w:p w:rsidR="00A97702" w:rsidRPr="009D61B4" w:rsidRDefault="00A97702" w:rsidP="00DA1C9D">
            <w:pPr>
              <w:tabs>
                <w:tab w:val="decimal" w:pos="498"/>
              </w:tabs>
              <w:spacing w:before="60" w:after="60"/>
              <w:rPr>
                <w:rFonts w:cs="Arial"/>
                <w:b/>
                <w:i/>
                <w:szCs w:val="22"/>
                <w:lang w:val="en-GB"/>
              </w:rPr>
            </w:pPr>
            <w:r w:rsidRPr="009D61B4">
              <w:rPr>
                <w:rFonts w:cs="Arial"/>
                <w:b/>
                <w:i/>
                <w:szCs w:val="22"/>
                <w:lang w:val="en-GB"/>
              </w:rPr>
              <w:t>10</w:t>
            </w:r>
          </w:p>
        </w:tc>
        <w:tc>
          <w:tcPr>
            <w:tcW w:w="1253" w:type="dxa"/>
            <w:shd w:val="clear" w:color="auto" w:fill="F2F2F2"/>
            <w:noWrap/>
            <w:vAlign w:val="bottom"/>
          </w:tcPr>
          <w:p w:rsidR="00A97702" w:rsidRPr="009D61B4" w:rsidRDefault="00A97702" w:rsidP="00DA1C9D">
            <w:pPr>
              <w:tabs>
                <w:tab w:val="decimal" w:pos="479"/>
              </w:tabs>
              <w:spacing w:before="60" w:after="60"/>
              <w:rPr>
                <w:rFonts w:cs="Arial"/>
                <w:b/>
                <w:i/>
                <w:szCs w:val="22"/>
                <w:lang w:val="en-GB"/>
              </w:rPr>
            </w:pPr>
            <w:r w:rsidRPr="009D61B4">
              <w:rPr>
                <w:rFonts w:cs="Arial"/>
                <w:b/>
                <w:i/>
                <w:szCs w:val="22"/>
                <w:lang w:val="en-GB"/>
              </w:rPr>
              <w:t>20</w:t>
            </w:r>
          </w:p>
        </w:tc>
        <w:tc>
          <w:tcPr>
            <w:tcW w:w="1252" w:type="dxa"/>
            <w:shd w:val="clear" w:color="auto" w:fill="F2F2F2"/>
            <w:noWrap/>
            <w:vAlign w:val="bottom"/>
          </w:tcPr>
          <w:p w:rsidR="00A97702" w:rsidRPr="009D61B4" w:rsidRDefault="00A97702" w:rsidP="00DA1C9D">
            <w:pPr>
              <w:tabs>
                <w:tab w:val="decimal" w:pos="474"/>
              </w:tabs>
              <w:spacing w:before="60" w:after="60"/>
              <w:rPr>
                <w:rFonts w:cs="Arial"/>
                <w:b/>
                <w:i/>
                <w:szCs w:val="22"/>
                <w:lang w:val="en-GB"/>
              </w:rPr>
            </w:pPr>
            <w:r w:rsidRPr="009D61B4">
              <w:rPr>
                <w:rFonts w:cs="Arial"/>
                <w:b/>
                <w:i/>
                <w:szCs w:val="22"/>
                <w:lang w:val="en-GB"/>
              </w:rPr>
              <w:t>30</w:t>
            </w:r>
          </w:p>
        </w:tc>
        <w:tc>
          <w:tcPr>
            <w:tcW w:w="1253" w:type="dxa"/>
            <w:shd w:val="clear" w:color="auto" w:fill="F2F2F2"/>
            <w:noWrap/>
            <w:vAlign w:val="bottom"/>
          </w:tcPr>
          <w:p w:rsidR="00A97702" w:rsidRPr="009D61B4" w:rsidRDefault="00A97702" w:rsidP="00DA1C9D">
            <w:pPr>
              <w:tabs>
                <w:tab w:val="decimal" w:pos="607"/>
              </w:tabs>
              <w:spacing w:before="60" w:after="60"/>
              <w:rPr>
                <w:rFonts w:cs="Arial"/>
                <w:b/>
                <w:i/>
                <w:szCs w:val="22"/>
                <w:lang w:val="en-GB"/>
              </w:rPr>
            </w:pPr>
            <w:r w:rsidRPr="009D61B4">
              <w:rPr>
                <w:rFonts w:cs="Arial"/>
                <w:b/>
                <w:i/>
                <w:szCs w:val="22"/>
                <w:lang w:val="en-GB"/>
              </w:rPr>
              <w:t>40</w:t>
            </w:r>
          </w:p>
        </w:tc>
        <w:tc>
          <w:tcPr>
            <w:tcW w:w="1253" w:type="dxa"/>
            <w:shd w:val="clear" w:color="auto" w:fill="F2F2F2"/>
            <w:noWrap/>
            <w:vAlign w:val="bottom"/>
          </w:tcPr>
          <w:p w:rsidR="00A97702" w:rsidRPr="009D61B4" w:rsidRDefault="00A97702" w:rsidP="00DA1C9D">
            <w:pPr>
              <w:tabs>
                <w:tab w:val="decimal" w:pos="509"/>
              </w:tabs>
              <w:spacing w:before="60" w:after="60"/>
              <w:rPr>
                <w:rFonts w:cs="Arial"/>
                <w:b/>
                <w:i/>
                <w:szCs w:val="22"/>
                <w:lang w:val="en-GB"/>
              </w:rPr>
            </w:pPr>
            <w:r w:rsidRPr="009D61B4">
              <w:rPr>
                <w:rFonts w:cs="Arial"/>
                <w:b/>
                <w:i/>
                <w:szCs w:val="22"/>
                <w:lang w:val="en-GB"/>
              </w:rPr>
              <w:t>60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4.0</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110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130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130</w:t>
            </w:r>
          </w:p>
        </w:tc>
        <w:tc>
          <w:tcPr>
            <w:tcW w:w="1252" w:type="dxa"/>
            <w:noWrap/>
          </w:tcPr>
          <w:p w:rsidR="00A97702" w:rsidRPr="009D61B4" w:rsidRDefault="00A97702" w:rsidP="00DA1C9D">
            <w:pPr>
              <w:tabs>
                <w:tab w:val="decimal" w:pos="586"/>
              </w:tabs>
              <w:spacing w:before="60" w:after="60"/>
              <w:rPr>
                <w:rFonts w:cs="Arial"/>
                <w:szCs w:val="22"/>
              </w:rPr>
            </w:pPr>
            <w:r w:rsidRPr="009D61B4">
              <w:rPr>
                <w:rFonts w:cs="Arial"/>
                <w:szCs w:val="22"/>
              </w:rPr>
              <w:t>130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130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130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4.5</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150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190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190</w:t>
            </w:r>
          </w:p>
        </w:tc>
        <w:tc>
          <w:tcPr>
            <w:tcW w:w="1252" w:type="dxa"/>
            <w:noWrap/>
          </w:tcPr>
          <w:p w:rsidR="00A97702" w:rsidRPr="009D61B4" w:rsidRDefault="00A97702" w:rsidP="00DA1C9D">
            <w:pPr>
              <w:tabs>
                <w:tab w:val="decimal" w:pos="586"/>
              </w:tabs>
              <w:spacing w:before="60" w:after="60"/>
              <w:rPr>
                <w:rFonts w:cs="Arial"/>
                <w:szCs w:val="22"/>
              </w:rPr>
            </w:pPr>
            <w:r w:rsidRPr="009D61B4">
              <w:rPr>
                <w:rFonts w:cs="Arial"/>
                <w:szCs w:val="22"/>
              </w:rPr>
              <w:t>190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190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190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5.0</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210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290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290</w:t>
            </w:r>
          </w:p>
        </w:tc>
        <w:tc>
          <w:tcPr>
            <w:tcW w:w="1252" w:type="dxa"/>
            <w:noWrap/>
          </w:tcPr>
          <w:p w:rsidR="00A97702" w:rsidRPr="009D61B4" w:rsidRDefault="00A97702" w:rsidP="00DA1C9D">
            <w:pPr>
              <w:tabs>
                <w:tab w:val="decimal" w:pos="586"/>
              </w:tabs>
              <w:spacing w:before="60" w:after="60"/>
              <w:rPr>
                <w:rFonts w:cs="Arial"/>
                <w:szCs w:val="22"/>
              </w:rPr>
            </w:pPr>
            <w:r w:rsidRPr="009D61B4">
              <w:rPr>
                <w:rFonts w:cs="Arial"/>
                <w:szCs w:val="22"/>
              </w:rPr>
              <w:t>290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290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290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5.5</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280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420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420</w:t>
            </w:r>
          </w:p>
        </w:tc>
        <w:tc>
          <w:tcPr>
            <w:tcW w:w="1252" w:type="dxa"/>
            <w:noWrap/>
          </w:tcPr>
          <w:p w:rsidR="00A97702" w:rsidRPr="009D61B4" w:rsidRDefault="00A97702" w:rsidP="00DA1C9D">
            <w:pPr>
              <w:tabs>
                <w:tab w:val="decimal" w:pos="586"/>
              </w:tabs>
              <w:spacing w:before="60" w:after="60"/>
              <w:rPr>
                <w:rFonts w:cs="Arial"/>
                <w:szCs w:val="22"/>
              </w:rPr>
            </w:pPr>
            <w:r w:rsidRPr="009D61B4">
              <w:rPr>
                <w:rFonts w:cs="Arial"/>
                <w:szCs w:val="22"/>
              </w:rPr>
              <w:t>420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420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420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6.0</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360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620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620</w:t>
            </w:r>
          </w:p>
        </w:tc>
        <w:tc>
          <w:tcPr>
            <w:tcW w:w="1252" w:type="dxa"/>
            <w:noWrap/>
          </w:tcPr>
          <w:p w:rsidR="00A97702" w:rsidRPr="009D61B4" w:rsidRDefault="00A97702" w:rsidP="00DA1C9D">
            <w:pPr>
              <w:tabs>
                <w:tab w:val="decimal" w:pos="586"/>
              </w:tabs>
              <w:spacing w:before="60" w:after="60"/>
              <w:rPr>
                <w:rFonts w:cs="Arial"/>
                <w:szCs w:val="22"/>
              </w:rPr>
            </w:pPr>
            <w:r w:rsidRPr="009D61B4">
              <w:rPr>
                <w:rFonts w:cs="Arial"/>
                <w:szCs w:val="22"/>
              </w:rPr>
              <w:t>620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620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620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6.5</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360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620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920</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920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920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920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7.0</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360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620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1100</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1400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1400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1400</w:t>
            </w:r>
          </w:p>
        </w:tc>
      </w:tr>
      <w:tr w:rsidR="00A97702" w:rsidRPr="009D61B4" w:rsidTr="00DA1C9D">
        <w:trPr>
          <w:trHeight w:hRule="exact" w:val="340"/>
        </w:trPr>
        <w:tc>
          <w:tcPr>
            <w:tcW w:w="1415" w:type="dxa"/>
            <w:shd w:val="clear" w:color="auto" w:fill="F2F2F2"/>
            <w:noWrap/>
            <w:vAlign w:val="bottom"/>
          </w:tcPr>
          <w:p w:rsidR="00A97702" w:rsidRPr="009D61B4" w:rsidRDefault="00A97702" w:rsidP="00DA1C9D">
            <w:pPr>
              <w:spacing w:before="60" w:after="60"/>
              <w:rPr>
                <w:rFonts w:cs="Arial"/>
                <w:b/>
                <w:i/>
                <w:szCs w:val="22"/>
                <w:lang w:val="en-GB"/>
              </w:rPr>
            </w:pPr>
            <w:r w:rsidRPr="009D61B4">
              <w:rPr>
                <w:rFonts w:cs="Arial"/>
                <w:b/>
                <w:i/>
                <w:szCs w:val="22"/>
                <w:lang w:val="en-GB"/>
              </w:rPr>
              <w:t>7.5</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360</w:t>
            </w:r>
          </w:p>
        </w:tc>
        <w:tc>
          <w:tcPr>
            <w:tcW w:w="1253" w:type="dxa"/>
            <w:noWrap/>
          </w:tcPr>
          <w:p w:rsidR="00A97702" w:rsidRPr="009D61B4" w:rsidRDefault="00A97702" w:rsidP="00DA1C9D">
            <w:pPr>
              <w:tabs>
                <w:tab w:val="decimal" w:pos="586"/>
              </w:tabs>
              <w:spacing w:before="60" w:after="60"/>
              <w:rPr>
                <w:rFonts w:cs="Arial"/>
                <w:szCs w:val="22"/>
              </w:rPr>
            </w:pPr>
            <w:r w:rsidRPr="009D61B4">
              <w:rPr>
                <w:rFonts w:cs="Arial"/>
                <w:szCs w:val="22"/>
              </w:rPr>
              <w:t>620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1100</w:t>
            </w:r>
          </w:p>
        </w:tc>
        <w:tc>
          <w:tcPr>
            <w:tcW w:w="1252"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1500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1900</w:t>
            </w:r>
          </w:p>
        </w:tc>
        <w:tc>
          <w:tcPr>
            <w:tcW w:w="1253" w:type="dxa"/>
            <w:noWrap/>
            <w:vAlign w:val="bottom"/>
          </w:tcPr>
          <w:p w:rsidR="00A97702" w:rsidRPr="009D61B4" w:rsidRDefault="00A97702" w:rsidP="00DA1C9D">
            <w:pPr>
              <w:tabs>
                <w:tab w:val="decimal" w:pos="586"/>
              </w:tabs>
              <w:spacing w:before="60" w:after="60"/>
              <w:rPr>
                <w:rFonts w:cs="Arial"/>
                <w:szCs w:val="22"/>
              </w:rPr>
            </w:pPr>
            <w:r w:rsidRPr="009D61B4">
              <w:rPr>
                <w:rFonts w:cs="Arial"/>
                <w:szCs w:val="22"/>
              </w:rPr>
              <w:t>2000</w:t>
            </w:r>
          </w:p>
        </w:tc>
      </w:tr>
    </w:tbl>
    <w:p w:rsidR="00A97702" w:rsidRPr="009D61B4" w:rsidRDefault="00A97702" w:rsidP="00A97702">
      <w:pPr>
        <w:pStyle w:val="ListParagraph"/>
        <w:numPr>
          <w:ilvl w:val="0"/>
          <w:numId w:val="40"/>
        </w:numPr>
        <w:spacing w:before="20" w:after="20"/>
        <w:rPr>
          <w:rFonts w:cs="Arial"/>
          <w:sz w:val="18"/>
          <w:szCs w:val="18"/>
        </w:rPr>
      </w:pPr>
      <w:r w:rsidRPr="009D61B4">
        <w:rPr>
          <w:rFonts w:cs="Arial"/>
          <w:sz w:val="18"/>
          <w:szCs w:val="18"/>
        </w:rPr>
        <w:t xml:space="preserve">Urban residential/public open space is broadly equivalent to the HIL A, HIL B and HIL C land use scenarios in Table 1A(1) Footnote 1 and as described in Schedule B7. </w:t>
      </w:r>
    </w:p>
    <w:p w:rsidR="00A97702" w:rsidRPr="009D61B4" w:rsidRDefault="00A97702" w:rsidP="00A97702">
      <w:pPr>
        <w:pStyle w:val="ListParagraph"/>
        <w:numPr>
          <w:ilvl w:val="0"/>
          <w:numId w:val="40"/>
        </w:numPr>
        <w:spacing w:before="20" w:after="20"/>
        <w:rPr>
          <w:rFonts w:cs="Arial"/>
          <w:sz w:val="18"/>
          <w:szCs w:val="18"/>
        </w:rPr>
      </w:pPr>
      <w:r w:rsidRPr="009D61B4">
        <w:rPr>
          <w:rFonts w:cs="Arial"/>
          <w:sz w:val="18"/>
          <w:szCs w:val="18"/>
        </w:rPr>
        <w:t>Aged values apply</w:t>
      </w:r>
      <w:r w:rsidRPr="009D61B4">
        <w:rPr>
          <w:rFonts w:cs="Arial"/>
          <w:sz w:val="18"/>
          <w:szCs w:val="18"/>
          <w:lang w:val="en-GB"/>
        </w:rPr>
        <w:t xml:space="preserve"> to contamination present in soil for at least two years. For fresh contamination refer to Schedule B5c.</w:t>
      </w:r>
    </w:p>
    <w:p w:rsidR="00A97702" w:rsidRPr="009D61B4" w:rsidRDefault="00A97702" w:rsidP="00A97702">
      <w:pPr>
        <w:pStyle w:val="ListParagraph"/>
        <w:numPr>
          <w:ilvl w:val="0"/>
          <w:numId w:val="40"/>
        </w:numPr>
        <w:spacing w:before="20" w:after="20"/>
        <w:rPr>
          <w:rFonts w:cs="Arial"/>
          <w:sz w:val="18"/>
          <w:szCs w:val="18"/>
        </w:rPr>
      </w:pPr>
      <w:r w:rsidRPr="009D61B4">
        <w:rPr>
          <w:rFonts w:cs="Arial"/>
          <w:sz w:val="18"/>
          <w:szCs w:val="18"/>
        </w:rPr>
        <w:t>The EIL is calculated from summing the ACL and the ABC.</w:t>
      </w:r>
    </w:p>
    <w:p w:rsidR="00A97702" w:rsidRPr="009D61B4" w:rsidRDefault="00A97702" w:rsidP="00A97702">
      <w:pPr>
        <w:pStyle w:val="BodyText"/>
        <w:spacing w:before="60" w:after="60"/>
        <w:jc w:val="left"/>
        <w:rPr>
          <w:rFonts w:cs="Arial"/>
          <w:b w:val="0"/>
          <w:szCs w:val="18"/>
          <w:lang w:val="en-GB"/>
        </w:rPr>
      </w:pPr>
      <w:r w:rsidRPr="009D61B4">
        <w:rPr>
          <w:rFonts w:cs="Arial"/>
          <w:b w:val="0"/>
          <w:szCs w:val="18"/>
          <w:lang w:val="en-GB"/>
        </w:rPr>
        <w:t>a = pH measured using the CaCl</w:t>
      </w:r>
      <w:r w:rsidRPr="009D61B4">
        <w:rPr>
          <w:rFonts w:cs="Arial"/>
          <w:b w:val="0"/>
          <w:szCs w:val="18"/>
          <w:vertAlign w:val="subscript"/>
          <w:lang w:val="en-GB"/>
        </w:rPr>
        <w:t>2</w:t>
      </w:r>
      <w:r w:rsidRPr="009D61B4">
        <w:rPr>
          <w:rFonts w:cs="Arial"/>
          <w:b w:val="0"/>
          <w:szCs w:val="18"/>
          <w:lang w:val="en-GB"/>
        </w:rPr>
        <w:t xml:space="preserve"> method (Rayment &amp; Higginson 1992).</w:t>
      </w:r>
    </w:p>
    <w:p w:rsidR="00A97702" w:rsidRPr="009D61B4" w:rsidRDefault="00A97702" w:rsidP="00A97702">
      <w:pPr>
        <w:pStyle w:val="BodyText"/>
        <w:spacing w:before="60" w:after="60"/>
        <w:jc w:val="left"/>
        <w:rPr>
          <w:rFonts w:cs="Arial"/>
          <w:b w:val="0"/>
          <w:szCs w:val="18"/>
          <w:lang w:val="en-GB"/>
        </w:rPr>
      </w:pPr>
      <w:r w:rsidRPr="009D61B4">
        <w:rPr>
          <w:rFonts w:cs="Arial"/>
          <w:b w:val="0"/>
          <w:szCs w:val="18"/>
          <w:lang w:val="en-GB"/>
        </w:rPr>
        <w:t xml:space="preserve">b = CEC measured using the silver thiourea method (Chabra et al. 1972). </w:t>
      </w:r>
    </w:p>
    <w:p w:rsidR="00A97702" w:rsidRDefault="00A97702" w:rsidP="00A97702"/>
    <w:p w:rsidR="00A97702" w:rsidRPr="00E4138B" w:rsidRDefault="00A97702" w:rsidP="00A97702">
      <w:pPr>
        <w:pStyle w:val="Caption"/>
      </w:pPr>
      <w:r w:rsidRPr="00E4138B">
        <w:t>Table 1B(2)</w:t>
      </w:r>
      <w:r w:rsidRPr="00E4138B">
        <w:tab/>
      </w:r>
      <w:r>
        <w:t>Soil-specific added contaminant limits for aged copper</w:t>
      </w:r>
      <w:r w:rsidRPr="00E4138B">
        <w:t xml:space="preserve"> </w:t>
      </w:r>
      <w:r>
        <w:t>in soils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512"/>
        <w:gridCol w:w="1512"/>
        <w:gridCol w:w="1512"/>
        <w:gridCol w:w="1512"/>
        <w:gridCol w:w="1512"/>
      </w:tblGrid>
      <w:tr w:rsidR="00A97702" w:rsidRPr="009D61B4" w:rsidTr="00DA1C9D">
        <w:trPr>
          <w:trHeight w:hRule="exact" w:val="340"/>
        </w:trPr>
        <w:tc>
          <w:tcPr>
            <w:tcW w:w="9072" w:type="dxa"/>
            <w:gridSpan w:val="6"/>
            <w:shd w:val="clear" w:color="auto" w:fill="C6D9F1" w:themeFill="text2" w:themeFillTint="33"/>
            <w:vAlign w:val="bottom"/>
          </w:tcPr>
          <w:p w:rsidR="00A97702" w:rsidRPr="009D61B4" w:rsidRDefault="00A97702" w:rsidP="00DA1C9D">
            <w:pPr>
              <w:spacing w:before="60" w:after="60"/>
              <w:jc w:val="center"/>
              <w:rPr>
                <w:rFonts w:cs="Arial"/>
                <w:b/>
                <w:szCs w:val="22"/>
                <w:lang w:val="en-GB"/>
              </w:rPr>
            </w:pPr>
            <w:r w:rsidRPr="009D61B4">
              <w:rPr>
                <w:rFonts w:cs="Arial"/>
                <w:b/>
                <w:szCs w:val="22"/>
                <w:lang w:val="en-GB"/>
              </w:rPr>
              <w:t>Cu added contaminant limits (ACL, mg added contaminant/kg)</w:t>
            </w:r>
          </w:p>
        </w:tc>
      </w:tr>
      <w:tr w:rsidR="00A97702" w:rsidRPr="009D61B4" w:rsidTr="00DA1C9D">
        <w:trPr>
          <w:trHeight w:hRule="exact" w:val="340"/>
        </w:trPr>
        <w:tc>
          <w:tcPr>
            <w:tcW w:w="9072" w:type="dxa"/>
            <w:gridSpan w:val="6"/>
            <w:shd w:val="clear" w:color="auto" w:fill="C4BC96"/>
            <w:vAlign w:val="bottom"/>
          </w:tcPr>
          <w:p w:rsidR="00A97702" w:rsidRPr="009D61B4" w:rsidRDefault="00A97702" w:rsidP="00DA1C9D">
            <w:pPr>
              <w:spacing w:before="60" w:after="60"/>
              <w:jc w:val="center"/>
              <w:rPr>
                <w:rFonts w:cs="Arial"/>
                <w:b/>
                <w:szCs w:val="22"/>
                <w:lang w:val="en-GB"/>
              </w:rPr>
            </w:pPr>
            <w:r w:rsidRPr="009D61B4">
              <w:rPr>
                <w:rFonts w:cs="Arial"/>
                <w:b/>
                <w:szCs w:val="22"/>
                <w:lang w:val="en-GB"/>
              </w:rPr>
              <w:t>Areas of ecological significance</w:t>
            </w:r>
          </w:p>
        </w:tc>
      </w:tr>
      <w:tr w:rsidR="00A97702" w:rsidRPr="009D61B4" w:rsidTr="00DA1C9D">
        <w:trPr>
          <w:trHeight w:hRule="exact" w:val="340"/>
        </w:trPr>
        <w:tc>
          <w:tcPr>
            <w:tcW w:w="9072" w:type="dxa"/>
            <w:gridSpan w:val="6"/>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CEC (cmol</w:t>
            </w:r>
            <w:r w:rsidRPr="009D61B4">
              <w:rPr>
                <w:rFonts w:cs="Arial"/>
                <w:b/>
                <w:i/>
                <w:szCs w:val="22"/>
                <w:vertAlign w:val="subscript"/>
                <w:lang w:val="en-GB"/>
              </w:rPr>
              <w:t>c</w:t>
            </w:r>
            <w:r w:rsidRPr="009D61B4">
              <w:rPr>
                <w:rFonts w:cs="Arial"/>
                <w:b/>
                <w:i/>
                <w:szCs w:val="22"/>
                <w:lang w:val="en-GB"/>
              </w:rPr>
              <w:t>/kg)</w:t>
            </w:r>
            <w:r w:rsidRPr="009D61B4">
              <w:rPr>
                <w:rFonts w:cs="Arial"/>
                <w:b/>
                <w:i/>
                <w:szCs w:val="22"/>
                <w:vertAlign w:val="superscript"/>
                <w:lang w:val="en-GB"/>
              </w:rPr>
              <w:t xml:space="preserve">a </w:t>
            </w:r>
            <w:r w:rsidRPr="009D61B4">
              <w:rPr>
                <w:rFonts w:cs="Arial"/>
                <w:b/>
                <w:i/>
                <w:szCs w:val="22"/>
                <w:lang w:val="en-GB"/>
              </w:rPr>
              <w:t>based</w:t>
            </w:r>
          </w:p>
        </w:tc>
      </w:tr>
      <w:tr w:rsidR="00A97702" w:rsidRPr="009D61B4" w:rsidTr="00DA1C9D">
        <w:trPr>
          <w:trHeight w:hRule="exact" w:val="340"/>
        </w:trPr>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5</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10</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20</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30</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40</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60</w:t>
            </w:r>
          </w:p>
        </w:tc>
      </w:tr>
      <w:tr w:rsidR="00A97702" w:rsidRPr="009D61B4" w:rsidTr="00DA1C9D">
        <w:trPr>
          <w:trHeight w:hRule="exact" w:val="340"/>
        </w:trPr>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30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65</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70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70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75</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80</w:t>
            </w:r>
          </w:p>
        </w:tc>
      </w:tr>
      <w:tr w:rsidR="00A97702" w:rsidRPr="009D61B4" w:rsidTr="00DA1C9D">
        <w:trPr>
          <w:trHeight w:hRule="exact" w:val="340"/>
        </w:trPr>
        <w:tc>
          <w:tcPr>
            <w:tcW w:w="9072" w:type="dxa"/>
            <w:gridSpan w:val="6"/>
            <w:shd w:val="clear" w:color="auto" w:fill="F2F2F2"/>
            <w:noWrap/>
            <w:vAlign w:val="bottom"/>
          </w:tcPr>
          <w:p w:rsidR="00A97702" w:rsidRPr="009D61B4" w:rsidRDefault="00A97702" w:rsidP="00DA1C9D">
            <w:pPr>
              <w:tabs>
                <w:tab w:val="decimal" w:pos="534"/>
              </w:tabs>
              <w:spacing w:before="60" w:after="60"/>
              <w:jc w:val="center"/>
              <w:rPr>
                <w:rFonts w:cs="Arial"/>
                <w:b/>
                <w:i/>
                <w:szCs w:val="22"/>
                <w:lang w:val="en-GB"/>
              </w:rPr>
            </w:pPr>
            <w:r w:rsidRPr="009D61B4">
              <w:rPr>
                <w:rFonts w:cs="Arial"/>
                <w:b/>
                <w:i/>
                <w:szCs w:val="22"/>
                <w:lang w:val="en-GB"/>
              </w:rPr>
              <w:t>pH</w:t>
            </w:r>
            <w:r w:rsidRPr="009D61B4">
              <w:rPr>
                <w:rFonts w:cs="Arial"/>
                <w:b/>
                <w:i/>
                <w:szCs w:val="22"/>
                <w:vertAlign w:val="superscript"/>
                <w:lang w:val="en-GB"/>
              </w:rPr>
              <w:t>b</w:t>
            </w:r>
            <w:r w:rsidRPr="009D61B4">
              <w:rPr>
                <w:rFonts w:cs="Arial"/>
                <w:b/>
                <w:i/>
                <w:szCs w:val="22"/>
                <w:lang w:val="en-GB"/>
              </w:rPr>
              <w:t>based</w:t>
            </w:r>
          </w:p>
        </w:tc>
      </w:tr>
      <w:tr w:rsidR="00A97702" w:rsidRPr="009D61B4" w:rsidTr="00DA1C9D">
        <w:trPr>
          <w:trHeight w:hRule="exact" w:val="340"/>
        </w:trPr>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4.5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5.5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6</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6.5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7.5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8.0</w:t>
            </w:r>
          </w:p>
        </w:tc>
      </w:tr>
      <w:tr w:rsidR="00A97702" w:rsidRPr="009D61B4" w:rsidTr="00DA1C9D">
        <w:trPr>
          <w:trHeight w:hRule="exact" w:val="340"/>
        </w:trPr>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45</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65</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90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190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270</w:t>
            </w:r>
          </w:p>
        </w:tc>
      </w:tr>
      <w:tr w:rsidR="00A97702" w:rsidRPr="009D61B4" w:rsidTr="00DA1C9D">
        <w:trPr>
          <w:trHeight w:hRule="exact" w:val="340"/>
        </w:trPr>
        <w:tc>
          <w:tcPr>
            <w:tcW w:w="9072" w:type="dxa"/>
            <w:gridSpan w:val="6"/>
            <w:shd w:val="clear" w:color="auto" w:fill="EAFADD"/>
          </w:tcPr>
          <w:p w:rsidR="00A97702" w:rsidRPr="009D61B4" w:rsidRDefault="00A97702" w:rsidP="00DA1C9D">
            <w:pPr>
              <w:tabs>
                <w:tab w:val="decimal" w:pos="534"/>
              </w:tabs>
              <w:spacing w:before="60" w:after="60"/>
              <w:jc w:val="center"/>
              <w:rPr>
                <w:rFonts w:cs="Arial"/>
                <w:b/>
                <w:szCs w:val="22"/>
                <w:lang w:val="en-GB"/>
              </w:rPr>
            </w:pPr>
            <w:r w:rsidRPr="009D61B4">
              <w:rPr>
                <w:rFonts w:cs="Arial"/>
                <w:b/>
                <w:szCs w:val="22"/>
                <w:lang w:val="en-GB"/>
              </w:rPr>
              <w:t>Urban residential/public open space</w:t>
            </w:r>
            <w:r w:rsidRPr="009D61B4">
              <w:rPr>
                <w:rFonts w:cs="Arial"/>
                <w:b/>
                <w:szCs w:val="22"/>
                <w:vertAlign w:val="superscript"/>
                <w:lang w:val="en-GB"/>
              </w:rPr>
              <w:t>1</w:t>
            </w:r>
            <w:r w:rsidRPr="009D61B4">
              <w:rPr>
                <w:rFonts w:cs="Arial"/>
                <w:b/>
                <w:szCs w:val="22"/>
                <w:lang w:val="en-GB"/>
              </w:rPr>
              <w:t xml:space="preserve"> </w:t>
            </w:r>
          </w:p>
        </w:tc>
      </w:tr>
      <w:tr w:rsidR="00A97702" w:rsidRPr="009D61B4" w:rsidTr="00DA1C9D">
        <w:trPr>
          <w:trHeight w:hRule="exact" w:val="340"/>
        </w:trPr>
        <w:tc>
          <w:tcPr>
            <w:tcW w:w="9072" w:type="dxa"/>
            <w:gridSpan w:val="6"/>
            <w:shd w:val="clear" w:color="auto" w:fill="F2F2F2"/>
            <w:noWrap/>
          </w:tcPr>
          <w:p w:rsidR="00A97702" w:rsidRPr="009D61B4" w:rsidRDefault="00A97702" w:rsidP="00DA1C9D">
            <w:pPr>
              <w:tabs>
                <w:tab w:val="decimal" w:pos="534"/>
              </w:tabs>
              <w:spacing w:before="60" w:after="60"/>
              <w:jc w:val="center"/>
              <w:rPr>
                <w:rFonts w:cs="Arial"/>
                <w:b/>
                <w:i/>
                <w:szCs w:val="22"/>
                <w:lang w:val="en-GB"/>
              </w:rPr>
            </w:pPr>
            <w:r w:rsidRPr="009D61B4">
              <w:rPr>
                <w:rFonts w:cs="Arial"/>
                <w:b/>
                <w:i/>
                <w:szCs w:val="22"/>
                <w:lang w:val="en-GB"/>
              </w:rPr>
              <w:t>CEC (cmol</w:t>
            </w:r>
            <w:r w:rsidRPr="009D61B4">
              <w:rPr>
                <w:rFonts w:cs="Arial"/>
                <w:b/>
                <w:i/>
                <w:szCs w:val="22"/>
                <w:vertAlign w:val="subscript"/>
                <w:lang w:val="en-GB"/>
              </w:rPr>
              <w:t>c</w:t>
            </w:r>
            <w:r w:rsidRPr="009D61B4">
              <w:rPr>
                <w:rFonts w:cs="Arial"/>
                <w:b/>
                <w:i/>
                <w:szCs w:val="22"/>
                <w:lang w:val="en-GB"/>
              </w:rPr>
              <w:t>/kg)</w:t>
            </w:r>
            <w:r w:rsidRPr="009D61B4">
              <w:rPr>
                <w:rFonts w:cs="Arial"/>
                <w:b/>
                <w:i/>
                <w:szCs w:val="22"/>
                <w:vertAlign w:val="superscript"/>
                <w:lang w:val="en-GB"/>
              </w:rPr>
              <w:t xml:space="preserve">a </w:t>
            </w:r>
            <w:r w:rsidRPr="009D61B4">
              <w:rPr>
                <w:rFonts w:cs="Arial"/>
                <w:b/>
                <w:i/>
                <w:szCs w:val="22"/>
                <w:lang w:val="en-GB"/>
              </w:rPr>
              <w:t>based</w:t>
            </w:r>
          </w:p>
        </w:tc>
      </w:tr>
      <w:tr w:rsidR="00A97702" w:rsidRPr="009D61B4" w:rsidTr="00DA1C9D">
        <w:trPr>
          <w:trHeight w:hRule="exact" w:val="340"/>
        </w:trPr>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10</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20</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30</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40</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60</w:t>
            </w:r>
          </w:p>
        </w:tc>
      </w:tr>
      <w:tr w:rsidR="00A97702" w:rsidRPr="009D61B4" w:rsidTr="00DA1C9D">
        <w:trPr>
          <w:trHeight w:hRule="exact" w:val="340"/>
        </w:trPr>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95</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190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210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220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220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230</w:t>
            </w:r>
          </w:p>
        </w:tc>
      </w:tr>
      <w:tr w:rsidR="00A97702" w:rsidRPr="009D61B4" w:rsidTr="00DA1C9D">
        <w:trPr>
          <w:trHeight w:hRule="exact" w:val="340"/>
        </w:trPr>
        <w:tc>
          <w:tcPr>
            <w:tcW w:w="9072" w:type="dxa"/>
            <w:gridSpan w:val="6"/>
            <w:shd w:val="clear" w:color="auto" w:fill="F2F2F2"/>
            <w:noWrap/>
          </w:tcPr>
          <w:p w:rsidR="00A97702" w:rsidRPr="009D61B4" w:rsidRDefault="00A97702" w:rsidP="00DA1C9D">
            <w:pPr>
              <w:tabs>
                <w:tab w:val="decimal" w:pos="534"/>
              </w:tabs>
              <w:spacing w:before="60" w:after="60"/>
              <w:jc w:val="center"/>
              <w:rPr>
                <w:rFonts w:cs="Arial"/>
                <w:b/>
                <w:i/>
                <w:szCs w:val="22"/>
                <w:lang w:val="en-GB"/>
              </w:rPr>
            </w:pPr>
            <w:r w:rsidRPr="009D61B4">
              <w:rPr>
                <w:rFonts w:cs="Arial"/>
                <w:b/>
                <w:i/>
                <w:szCs w:val="22"/>
                <w:lang w:val="en-GB"/>
              </w:rPr>
              <w:t>pH</w:t>
            </w:r>
            <w:r w:rsidRPr="009D61B4">
              <w:rPr>
                <w:rFonts w:cs="Arial"/>
                <w:b/>
                <w:i/>
                <w:szCs w:val="22"/>
                <w:vertAlign w:val="superscript"/>
                <w:lang w:val="en-GB"/>
              </w:rPr>
              <w:t>b</w:t>
            </w:r>
            <w:r w:rsidRPr="009D61B4">
              <w:rPr>
                <w:rFonts w:cs="Arial"/>
                <w:b/>
                <w:i/>
                <w:szCs w:val="22"/>
                <w:lang w:val="en-GB"/>
              </w:rPr>
              <w:t>based</w:t>
            </w:r>
          </w:p>
        </w:tc>
      </w:tr>
      <w:tr w:rsidR="00A97702" w:rsidRPr="009D61B4" w:rsidTr="00DA1C9D">
        <w:trPr>
          <w:trHeight w:hRule="exact" w:val="340"/>
        </w:trPr>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4.5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5.5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6</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6.5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7.5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8.0</w:t>
            </w:r>
          </w:p>
        </w:tc>
      </w:tr>
      <w:tr w:rsidR="00A97702" w:rsidRPr="009D61B4" w:rsidTr="00DA1C9D">
        <w:trPr>
          <w:trHeight w:hRule="exact" w:val="340"/>
        </w:trPr>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60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130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190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280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560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800</w:t>
            </w:r>
          </w:p>
        </w:tc>
      </w:tr>
      <w:tr w:rsidR="00A97702" w:rsidRPr="009D61B4" w:rsidTr="00DA1C9D">
        <w:trPr>
          <w:trHeight w:hRule="exact" w:val="340"/>
        </w:trPr>
        <w:tc>
          <w:tcPr>
            <w:tcW w:w="9072" w:type="dxa"/>
            <w:gridSpan w:val="6"/>
            <w:shd w:val="clear" w:color="auto" w:fill="DBE5F1"/>
            <w:vAlign w:val="bottom"/>
          </w:tcPr>
          <w:p w:rsidR="00A97702" w:rsidRPr="009D61B4" w:rsidRDefault="00A97702" w:rsidP="00DA1C9D">
            <w:pPr>
              <w:tabs>
                <w:tab w:val="decimal" w:pos="534"/>
              </w:tabs>
              <w:spacing w:before="60" w:after="60"/>
              <w:jc w:val="center"/>
              <w:rPr>
                <w:rFonts w:cs="Arial"/>
                <w:szCs w:val="22"/>
                <w:lang w:val="en-GB"/>
              </w:rPr>
            </w:pPr>
            <w:r w:rsidRPr="009D61B4">
              <w:rPr>
                <w:rFonts w:cs="Arial"/>
                <w:b/>
                <w:szCs w:val="22"/>
                <w:lang w:val="en-GB"/>
              </w:rPr>
              <w:t xml:space="preserve">Commercial/industrial </w:t>
            </w:r>
          </w:p>
        </w:tc>
      </w:tr>
      <w:tr w:rsidR="00A97702" w:rsidRPr="009D61B4" w:rsidTr="00DA1C9D">
        <w:trPr>
          <w:trHeight w:hRule="exact" w:val="340"/>
        </w:trPr>
        <w:tc>
          <w:tcPr>
            <w:tcW w:w="9072" w:type="dxa"/>
            <w:gridSpan w:val="6"/>
            <w:shd w:val="clear" w:color="auto" w:fill="F2F2F2"/>
            <w:noWrap/>
          </w:tcPr>
          <w:p w:rsidR="00A97702" w:rsidRPr="009D61B4" w:rsidRDefault="00A97702" w:rsidP="00DA1C9D">
            <w:pPr>
              <w:tabs>
                <w:tab w:val="decimal" w:pos="534"/>
              </w:tabs>
              <w:spacing w:before="60" w:after="60"/>
              <w:jc w:val="center"/>
              <w:rPr>
                <w:rFonts w:cs="Arial"/>
                <w:b/>
                <w:i/>
                <w:szCs w:val="22"/>
                <w:lang w:val="en-GB"/>
              </w:rPr>
            </w:pPr>
            <w:r w:rsidRPr="009D61B4">
              <w:rPr>
                <w:rFonts w:cs="Arial"/>
                <w:b/>
                <w:i/>
                <w:szCs w:val="22"/>
                <w:lang w:val="en-GB"/>
              </w:rPr>
              <w:t>CEC (cmol</w:t>
            </w:r>
            <w:r w:rsidRPr="009D61B4">
              <w:rPr>
                <w:rFonts w:cs="Arial"/>
                <w:b/>
                <w:i/>
                <w:szCs w:val="22"/>
                <w:vertAlign w:val="subscript"/>
                <w:lang w:val="en-GB"/>
              </w:rPr>
              <w:t>c</w:t>
            </w:r>
            <w:r w:rsidRPr="009D61B4">
              <w:rPr>
                <w:rFonts w:cs="Arial"/>
                <w:b/>
                <w:i/>
                <w:szCs w:val="22"/>
                <w:lang w:val="en-GB"/>
              </w:rPr>
              <w:t>/kg)</w:t>
            </w:r>
            <w:r w:rsidRPr="009D61B4">
              <w:rPr>
                <w:rFonts w:cs="Arial"/>
                <w:b/>
                <w:i/>
                <w:szCs w:val="22"/>
                <w:vertAlign w:val="superscript"/>
                <w:lang w:val="en-GB"/>
              </w:rPr>
              <w:t xml:space="preserve">a </w:t>
            </w:r>
            <w:r w:rsidRPr="009D61B4">
              <w:rPr>
                <w:rFonts w:cs="Arial"/>
                <w:b/>
                <w:i/>
                <w:szCs w:val="22"/>
                <w:lang w:val="en-GB"/>
              </w:rPr>
              <w:t>based</w:t>
            </w:r>
          </w:p>
        </w:tc>
      </w:tr>
      <w:tr w:rsidR="00A97702" w:rsidRPr="009D61B4" w:rsidTr="00DA1C9D">
        <w:trPr>
          <w:trHeight w:hRule="exact" w:val="340"/>
        </w:trPr>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5</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10</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20</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30</w:t>
            </w:r>
          </w:p>
        </w:tc>
        <w:tc>
          <w:tcPr>
            <w:tcW w:w="1512" w:type="dxa"/>
            <w:shd w:val="clear" w:color="auto" w:fill="F2F2F2"/>
            <w:noWrap/>
            <w:vAlign w:val="bottom"/>
          </w:tcPr>
          <w:p w:rsidR="00A97702" w:rsidRPr="009D61B4" w:rsidRDefault="00A97702" w:rsidP="00DA1C9D">
            <w:pPr>
              <w:spacing w:before="60" w:after="60"/>
              <w:jc w:val="center"/>
              <w:rPr>
                <w:rFonts w:cs="Arial"/>
                <w:b/>
                <w:i/>
                <w:szCs w:val="22"/>
                <w:lang w:val="en-GB"/>
              </w:rPr>
            </w:pPr>
            <w:r w:rsidRPr="009D61B4">
              <w:rPr>
                <w:rFonts w:cs="Arial"/>
                <w:b/>
                <w:i/>
                <w:szCs w:val="22"/>
                <w:lang w:val="en-GB"/>
              </w:rPr>
              <w:t>40</w:t>
            </w:r>
          </w:p>
        </w:tc>
        <w:tc>
          <w:tcPr>
            <w:tcW w:w="1512" w:type="dxa"/>
            <w:shd w:val="clear" w:color="auto" w:fill="F2F2F2"/>
            <w:noWrap/>
            <w:vAlign w:val="center"/>
          </w:tcPr>
          <w:p w:rsidR="00A97702" w:rsidRPr="009D61B4" w:rsidRDefault="00A97702" w:rsidP="00DA1C9D">
            <w:pPr>
              <w:spacing w:before="60" w:after="60"/>
              <w:jc w:val="center"/>
              <w:rPr>
                <w:rFonts w:cs="Arial"/>
                <w:b/>
                <w:i/>
                <w:szCs w:val="22"/>
                <w:lang w:val="en-GB"/>
              </w:rPr>
            </w:pPr>
            <w:r w:rsidRPr="009D61B4">
              <w:rPr>
                <w:rFonts w:cs="Arial"/>
                <w:b/>
                <w:i/>
                <w:szCs w:val="22"/>
                <w:lang w:val="en-GB"/>
              </w:rPr>
              <w:t>60</w:t>
            </w:r>
          </w:p>
        </w:tc>
      </w:tr>
      <w:tr w:rsidR="00A97702" w:rsidRPr="009D61B4" w:rsidTr="00DA1C9D">
        <w:trPr>
          <w:trHeight w:hRule="exact" w:val="340"/>
        </w:trPr>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140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280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300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320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330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340</w:t>
            </w:r>
          </w:p>
        </w:tc>
      </w:tr>
      <w:tr w:rsidR="00A97702" w:rsidRPr="009D61B4" w:rsidTr="00DA1C9D">
        <w:trPr>
          <w:trHeight w:hRule="exact" w:val="340"/>
        </w:trPr>
        <w:tc>
          <w:tcPr>
            <w:tcW w:w="9072" w:type="dxa"/>
            <w:gridSpan w:val="6"/>
            <w:shd w:val="clear" w:color="auto" w:fill="F2F2F2"/>
            <w:noWrap/>
            <w:vAlign w:val="bottom"/>
          </w:tcPr>
          <w:p w:rsidR="00A97702" w:rsidRPr="009D61B4" w:rsidRDefault="00A97702" w:rsidP="00DA1C9D">
            <w:pPr>
              <w:tabs>
                <w:tab w:val="decimal" w:pos="534"/>
              </w:tabs>
              <w:spacing w:before="60" w:after="60"/>
              <w:jc w:val="center"/>
              <w:rPr>
                <w:rFonts w:cs="Arial"/>
                <w:b/>
                <w:i/>
                <w:szCs w:val="22"/>
                <w:lang w:val="en-GB"/>
              </w:rPr>
            </w:pPr>
            <w:r w:rsidRPr="009D61B4">
              <w:rPr>
                <w:rFonts w:cs="Arial"/>
                <w:b/>
                <w:i/>
                <w:szCs w:val="22"/>
                <w:lang w:val="en-GB"/>
              </w:rPr>
              <w:t>pH</w:t>
            </w:r>
            <w:r w:rsidRPr="009D61B4">
              <w:rPr>
                <w:rFonts w:cs="Arial"/>
                <w:b/>
                <w:i/>
                <w:szCs w:val="22"/>
                <w:vertAlign w:val="superscript"/>
                <w:lang w:val="en-GB"/>
              </w:rPr>
              <w:t>b</w:t>
            </w:r>
            <w:r w:rsidRPr="009D61B4">
              <w:rPr>
                <w:rFonts w:cs="Arial"/>
                <w:b/>
                <w:i/>
                <w:szCs w:val="22"/>
                <w:lang w:val="en-GB"/>
              </w:rPr>
              <w:t>based</w:t>
            </w:r>
          </w:p>
        </w:tc>
      </w:tr>
      <w:tr w:rsidR="00A97702" w:rsidRPr="009D61B4" w:rsidTr="00DA1C9D">
        <w:trPr>
          <w:trHeight w:hRule="exact" w:val="340"/>
        </w:trPr>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4.5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5.5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6</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6.5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7.5</w:t>
            </w:r>
          </w:p>
        </w:tc>
        <w:tc>
          <w:tcPr>
            <w:tcW w:w="1512" w:type="dxa"/>
            <w:shd w:val="clear" w:color="auto" w:fill="F2F2F2"/>
            <w:noWrap/>
          </w:tcPr>
          <w:p w:rsidR="00A97702" w:rsidRPr="009D61B4" w:rsidRDefault="00A97702" w:rsidP="00DA1C9D">
            <w:pPr>
              <w:spacing w:before="60" w:after="60"/>
              <w:jc w:val="center"/>
              <w:rPr>
                <w:rFonts w:cs="Arial"/>
                <w:b/>
                <w:i/>
                <w:szCs w:val="22"/>
                <w:lang w:val="en-GB"/>
              </w:rPr>
            </w:pPr>
            <w:r w:rsidRPr="009D61B4">
              <w:rPr>
                <w:rFonts w:cs="Arial"/>
                <w:b/>
                <w:i/>
                <w:szCs w:val="22"/>
                <w:lang w:val="en-GB"/>
              </w:rPr>
              <w:t>8.0</w:t>
            </w:r>
          </w:p>
        </w:tc>
      </w:tr>
      <w:tr w:rsidR="00A97702" w:rsidRPr="009D61B4" w:rsidTr="00DA1C9D">
        <w:trPr>
          <w:trHeight w:hRule="exact" w:val="340"/>
        </w:trPr>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85</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190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280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400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830</w:t>
            </w:r>
          </w:p>
        </w:tc>
        <w:tc>
          <w:tcPr>
            <w:tcW w:w="1512" w:type="dxa"/>
            <w:noWrap/>
          </w:tcPr>
          <w:p w:rsidR="00A97702" w:rsidRPr="009D61B4" w:rsidRDefault="00A97702" w:rsidP="00DA1C9D">
            <w:pPr>
              <w:spacing w:before="60" w:after="60"/>
              <w:jc w:val="center"/>
              <w:rPr>
                <w:rFonts w:cs="Arial"/>
                <w:szCs w:val="22"/>
                <w:lang w:val="en-GB"/>
              </w:rPr>
            </w:pPr>
            <w:r w:rsidRPr="009D61B4">
              <w:rPr>
                <w:rFonts w:cs="Arial"/>
                <w:szCs w:val="22"/>
                <w:lang w:val="en-GB"/>
              </w:rPr>
              <w:t>1200</w:t>
            </w:r>
          </w:p>
        </w:tc>
      </w:tr>
    </w:tbl>
    <w:p w:rsidR="00A97702" w:rsidRPr="009D61B4" w:rsidRDefault="00A97702" w:rsidP="00A97702">
      <w:pPr>
        <w:pStyle w:val="Note"/>
        <w:spacing w:after="40"/>
        <w:rPr>
          <w:rFonts w:cs="Arial"/>
          <w:b/>
          <w:sz w:val="18"/>
          <w:szCs w:val="18"/>
        </w:rPr>
      </w:pPr>
      <w:r w:rsidRPr="009D61B4">
        <w:rPr>
          <w:rFonts w:cs="Arial"/>
          <w:b/>
          <w:sz w:val="18"/>
          <w:szCs w:val="18"/>
        </w:rPr>
        <w:t>Notes:</w:t>
      </w:r>
    </w:p>
    <w:p w:rsidR="00A97702" w:rsidRPr="009D61B4" w:rsidRDefault="00A97702" w:rsidP="00A97702">
      <w:pPr>
        <w:pStyle w:val="ListParagraph"/>
        <w:numPr>
          <w:ilvl w:val="0"/>
          <w:numId w:val="41"/>
        </w:numPr>
        <w:spacing w:before="20" w:after="20"/>
        <w:rPr>
          <w:rFonts w:cs="Arial"/>
          <w:sz w:val="18"/>
          <w:szCs w:val="18"/>
        </w:rPr>
      </w:pPr>
      <w:r w:rsidRPr="009D61B4">
        <w:rPr>
          <w:rFonts w:cs="Arial"/>
          <w:sz w:val="18"/>
          <w:szCs w:val="18"/>
        </w:rPr>
        <w:t xml:space="preserve">Urban residential/public open space is broadly equivalent to the HIL A, HIL B and HIL C land use scenarios in Table 1A(1) Footnote 1 and as described in Schedule B7. </w:t>
      </w:r>
    </w:p>
    <w:p w:rsidR="00A97702" w:rsidRPr="009D61B4" w:rsidRDefault="00A97702" w:rsidP="00A97702">
      <w:pPr>
        <w:pStyle w:val="ListParagraph"/>
        <w:numPr>
          <w:ilvl w:val="0"/>
          <w:numId w:val="41"/>
        </w:numPr>
        <w:spacing w:before="20" w:after="20"/>
        <w:rPr>
          <w:rFonts w:cs="Arial"/>
          <w:sz w:val="18"/>
          <w:szCs w:val="18"/>
        </w:rPr>
      </w:pPr>
      <w:r w:rsidRPr="009D61B4">
        <w:rPr>
          <w:rFonts w:cs="Arial"/>
          <w:sz w:val="18"/>
          <w:szCs w:val="18"/>
        </w:rPr>
        <w:t>The lower of the CEC or the pH-based ACLs for the land use and soil conditions is the ACL to be used.</w:t>
      </w:r>
    </w:p>
    <w:p w:rsidR="00A97702" w:rsidRPr="009D61B4" w:rsidRDefault="00A97702" w:rsidP="00A97702">
      <w:pPr>
        <w:pStyle w:val="ListParagraph"/>
        <w:numPr>
          <w:ilvl w:val="0"/>
          <w:numId w:val="41"/>
        </w:numPr>
        <w:spacing w:before="20" w:after="20"/>
        <w:rPr>
          <w:rFonts w:cs="Arial"/>
          <w:sz w:val="18"/>
          <w:szCs w:val="18"/>
        </w:rPr>
      </w:pPr>
      <w:r w:rsidRPr="009D61B4">
        <w:rPr>
          <w:rFonts w:cs="Arial"/>
          <w:sz w:val="18"/>
          <w:szCs w:val="18"/>
        </w:rPr>
        <w:t>Aged values apply</w:t>
      </w:r>
      <w:r w:rsidRPr="009D61B4">
        <w:rPr>
          <w:rFonts w:cs="Arial"/>
          <w:sz w:val="18"/>
          <w:szCs w:val="18"/>
          <w:lang w:val="en-GB"/>
        </w:rPr>
        <w:t xml:space="preserve"> to contamination present in soil for at least two years. For fresh contamination refer to Schedule B5c.</w:t>
      </w:r>
    </w:p>
    <w:p w:rsidR="00A97702" w:rsidRPr="009D61B4" w:rsidRDefault="00A97702" w:rsidP="00A97702">
      <w:pPr>
        <w:pStyle w:val="ListParagraph"/>
        <w:numPr>
          <w:ilvl w:val="0"/>
          <w:numId w:val="41"/>
        </w:numPr>
        <w:spacing w:before="20" w:after="20"/>
        <w:rPr>
          <w:rFonts w:cs="Arial"/>
          <w:sz w:val="18"/>
          <w:szCs w:val="18"/>
        </w:rPr>
      </w:pPr>
      <w:r w:rsidRPr="009D61B4">
        <w:rPr>
          <w:rFonts w:cs="Arial"/>
          <w:sz w:val="18"/>
          <w:szCs w:val="18"/>
        </w:rPr>
        <w:t>The EIL is calculated from summing the ACL and the ABC.</w:t>
      </w:r>
    </w:p>
    <w:p w:rsidR="00A97702" w:rsidRPr="009D61B4" w:rsidRDefault="00A97702" w:rsidP="00A97702">
      <w:pPr>
        <w:pStyle w:val="BodyText"/>
        <w:spacing w:before="60" w:after="60"/>
        <w:jc w:val="left"/>
        <w:rPr>
          <w:rFonts w:cs="Arial"/>
          <w:b w:val="0"/>
          <w:szCs w:val="18"/>
          <w:lang w:val="en-GB"/>
        </w:rPr>
      </w:pPr>
      <w:r w:rsidRPr="009D61B4">
        <w:rPr>
          <w:rFonts w:cs="Arial"/>
          <w:b w:val="0"/>
          <w:szCs w:val="18"/>
          <w:lang w:val="en-GB"/>
        </w:rPr>
        <w:t xml:space="preserve">a = CEC measured using the silver thiourea method (Chabra et al. 1972). </w:t>
      </w:r>
    </w:p>
    <w:p w:rsidR="00A97702" w:rsidRDefault="00A97702" w:rsidP="00A97702">
      <w:pPr>
        <w:pStyle w:val="Caption"/>
        <w:rPr>
          <w:lang w:val="en-GB"/>
        </w:rPr>
      </w:pPr>
      <w:r w:rsidRPr="00B2121A">
        <w:rPr>
          <w:rFonts w:cs="Arial"/>
          <w:b w:val="0"/>
          <w:sz w:val="18"/>
          <w:szCs w:val="18"/>
          <w:lang w:val="en-GB"/>
        </w:rPr>
        <w:t>b = pH measured using the CaCl</w:t>
      </w:r>
      <w:r w:rsidRPr="00B2121A">
        <w:rPr>
          <w:rFonts w:cs="Arial"/>
          <w:b w:val="0"/>
          <w:sz w:val="18"/>
          <w:szCs w:val="18"/>
          <w:vertAlign w:val="subscript"/>
          <w:lang w:val="en-GB"/>
        </w:rPr>
        <w:t>2</w:t>
      </w:r>
      <w:r w:rsidRPr="00B2121A">
        <w:rPr>
          <w:rFonts w:cs="Arial"/>
          <w:b w:val="0"/>
          <w:sz w:val="18"/>
          <w:szCs w:val="18"/>
          <w:lang w:val="en-GB"/>
        </w:rPr>
        <w:t xml:space="preserve"> method (Rayment &amp; Higginson 1992).</w:t>
      </w:r>
      <w:r>
        <w:rPr>
          <w:lang w:val="en-GB"/>
        </w:rPr>
        <w:br w:type="page"/>
      </w:r>
      <w:r w:rsidRPr="00CF4C5A">
        <w:rPr>
          <w:lang w:val="en-GB"/>
        </w:rPr>
        <w:lastRenderedPageBreak/>
        <w:t xml:space="preserve">Table 1B(3) </w:t>
      </w:r>
      <w:r>
        <w:rPr>
          <w:lang w:val="en-GB"/>
        </w:rPr>
        <w:t xml:space="preserve"> Soil-specific added contaminant limits for aged ch</w:t>
      </w:r>
      <w:r w:rsidRPr="00CF4C5A">
        <w:rPr>
          <w:lang w:val="en-GB"/>
        </w:rPr>
        <w:t>r</w:t>
      </w:r>
      <w:r>
        <w:rPr>
          <w:lang w:val="en-GB"/>
        </w:rPr>
        <w:t xml:space="preserve">omium </w:t>
      </w:r>
      <w:r w:rsidRPr="00CF4C5A">
        <w:rPr>
          <w:lang w:val="en-GB"/>
        </w:rPr>
        <w:t>III</w:t>
      </w:r>
      <w:r>
        <w:rPr>
          <w:lang w:val="en-GB"/>
        </w:rPr>
        <w:t xml:space="preserve"> and</w:t>
      </w:r>
      <w:r w:rsidRPr="00CF4C5A">
        <w:rPr>
          <w:lang w:val="en-GB"/>
        </w:rPr>
        <w:t xml:space="preserve"> </w:t>
      </w:r>
      <w:r>
        <w:rPr>
          <w:lang w:val="en-GB"/>
        </w:rPr>
        <w:t>n</w:t>
      </w:r>
      <w:r w:rsidRPr="00CF4C5A">
        <w:rPr>
          <w:lang w:val="en-GB"/>
        </w:rPr>
        <w:t>i</w:t>
      </w:r>
      <w:r>
        <w:rPr>
          <w:lang w:val="en-GB"/>
        </w:rPr>
        <w:t>ckel</w:t>
      </w:r>
      <w:r w:rsidRPr="00CF4C5A">
        <w:rPr>
          <w:lang w:val="en-GB"/>
        </w:rPr>
        <w:t xml:space="preserve">  </w:t>
      </w:r>
      <w:r>
        <w:rPr>
          <w:lang w:val="en-GB"/>
        </w:rPr>
        <w:t>in soil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189"/>
        <w:gridCol w:w="2087"/>
        <w:gridCol w:w="2088"/>
        <w:gridCol w:w="2088"/>
      </w:tblGrid>
      <w:tr w:rsidR="00A97702" w:rsidRPr="00616DC3" w:rsidTr="00DA1C9D">
        <w:tc>
          <w:tcPr>
            <w:tcW w:w="1620" w:type="dxa"/>
            <w:vMerge w:val="restart"/>
            <w:shd w:val="clear" w:color="auto" w:fill="C6D9F1" w:themeFill="text2" w:themeFillTint="33"/>
          </w:tcPr>
          <w:p w:rsidR="00A97702" w:rsidRPr="00616DC3" w:rsidRDefault="00A97702" w:rsidP="00DA1C9D">
            <w:pPr>
              <w:pStyle w:val="BodyText"/>
              <w:tabs>
                <w:tab w:val="left" w:pos="567"/>
                <w:tab w:val="right" w:leader="dot" w:pos="9072"/>
              </w:tabs>
              <w:spacing w:before="160" w:after="60"/>
              <w:ind w:left="567" w:hanging="567"/>
              <w:rPr>
                <w:rFonts w:cs="Arial"/>
                <w:noProof/>
                <w:sz w:val="22"/>
                <w:szCs w:val="22"/>
                <w:lang w:val="en-GB"/>
              </w:rPr>
            </w:pPr>
            <w:r w:rsidRPr="00616DC3">
              <w:rPr>
                <w:rFonts w:cs="Arial"/>
                <w:noProof/>
                <w:sz w:val="22"/>
                <w:szCs w:val="22"/>
                <w:lang w:val="en-GB"/>
              </w:rPr>
              <w:t>CHEMICAL</w:t>
            </w:r>
          </w:p>
        </w:tc>
        <w:tc>
          <w:tcPr>
            <w:tcW w:w="1189" w:type="dxa"/>
            <w:vMerge w:val="restart"/>
            <w:shd w:val="clear" w:color="auto" w:fill="C6D9F1" w:themeFill="text2" w:themeFillTint="33"/>
          </w:tcPr>
          <w:p w:rsidR="00A97702" w:rsidRPr="00616DC3" w:rsidRDefault="00A97702" w:rsidP="00DA1C9D">
            <w:pPr>
              <w:pStyle w:val="BodyText"/>
              <w:tabs>
                <w:tab w:val="left" w:pos="0"/>
                <w:tab w:val="right" w:leader="dot" w:pos="9072"/>
              </w:tabs>
              <w:spacing w:before="160" w:after="60"/>
              <w:ind w:right="149"/>
              <w:rPr>
                <w:rFonts w:cs="Arial"/>
                <w:noProof/>
                <w:sz w:val="22"/>
                <w:szCs w:val="22"/>
                <w:lang w:val="en-GB"/>
              </w:rPr>
            </w:pPr>
            <w:r w:rsidRPr="00616DC3">
              <w:rPr>
                <w:rFonts w:cs="Arial"/>
                <w:noProof/>
                <w:sz w:val="22"/>
                <w:szCs w:val="22"/>
                <w:lang w:val="en-GB"/>
              </w:rPr>
              <w:t>Clay content (% clay)</w:t>
            </w:r>
          </w:p>
        </w:tc>
        <w:tc>
          <w:tcPr>
            <w:tcW w:w="6263" w:type="dxa"/>
            <w:gridSpan w:val="3"/>
            <w:shd w:val="clear" w:color="auto" w:fill="C6D9F1" w:themeFill="text2" w:themeFillTint="33"/>
          </w:tcPr>
          <w:p w:rsidR="00A97702" w:rsidRPr="00616DC3" w:rsidRDefault="00A97702" w:rsidP="00DA1C9D">
            <w:pPr>
              <w:pStyle w:val="BodyText"/>
              <w:tabs>
                <w:tab w:val="left" w:pos="567"/>
                <w:tab w:val="right" w:leader="dot" w:pos="9072"/>
              </w:tabs>
              <w:spacing w:before="60" w:after="60"/>
              <w:ind w:left="567" w:hanging="567"/>
              <w:rPr>
                <w:rFonts w:cs="Arial"/>
                <w:noProof/>
                <w:sz w:val="22"/>
                <w:szCs w:val="22"/>
                <w:lang w:val="en-GB"/>
              </w:rPr>
            </w:pPr>
            <w:r w:rsidRPr="00616DC3">
              <w:rPr>
                <w:rFonts w:cs="Arial"/>
                <w:noProof/>
                <w:sz w:val="22"/>
                <w:szCs w:val="22"/>
                <w:lang w:val="en-GB"/>
              </w:rPr>
              <w:t>Added contaminant limits (mg added contaminant/kg)</w:t>
            </w:r>
            <w:r w:rsidRPr="00616DC3">
              <w:rPr>
                <w:rFonts w:cs="Arial"/>
                <w:noProof/>
                <w:sz w:val="22"/>
                <w:szCs w:val="22"/>
                <w:lang w:val="en-GB"/>
              </w:rPr>
              <w:br/>
              <w:t>for various land uses</w:t>
            </w:r>
          </w:p>
        </w:tc>
      </w:tr>
      <w:tr w:rsidR="00A97702" w:rsidRPr="00616DC3" w:rsidTr="00DA1C9D">
        <w:trPr>
          <w:trHeight w:val="555"/>
        </w:trPr>
        <w:tc>
          <w:tcPr>
            <w:tcW w:w="1620" w:type="dxa"/>
            <w:vMerge/>
          </w:tcPr>
          <w:p w:rsidR="00A97702" w:rsidRPr="00616DC3" w:rsidRDefault="00A97702" w:rsidP="00DA1C9D">
            <w:pPr>
              <w:pStyle w:val="Caption"/>
              <w:rPr>
                <w:noProof/>
                <w:lang w:val="en-GB"/>
              </w:rPr>
            </w:pPr>
          </w:p>
        </w:tc>
        <w:tc>
          <w:tcPr>
            <w:tcW w:w="1189" w:type="dxa"/>
            <w:vMerge/>
            <w:shd w:val="clear" w:color="auto" w:fill="F2F2F2"/>
          </w:tcPr>
          <w:p w:rsidR="00A97702" w:rsidRPr="00616DC3" w:rsidRDefault="00A97702" w:rsidP="00DA1C9D">
            <w:pPr>
              <w:pStyle w:val="Caption"/>
              <w:rPr>
                <w:noProof/>
                <w:lang w:val="en-GB"/>
              </w:rPr>
            </w:pPr>
          </w:p>
        </w:tc>
        <w:tc>
          <w:tcPr>
            <w:tcW w:w="2087" w:type="dxa"/>
            <w:shd w:val="clear" w:color="auto" w:fill="DDD9C3"/>
          </w:tcPr>
          <w:p w:rsidR="00A97702" w:rsidRPr="00616DC3" w:rsidRDefault="00A97702" w:rsidP="00DA1C9D">
            <w:pPr>
              <w:pStyle w:val="TableHeading1"/>
              <w:spacing w:before="80"/>
              <w:rPr>
                <w:rFonts w:ascii="Book Antiqua" w:hAnsi="Book Antiqua"/>
                <w:sz w:val="22"/>
                <w:szCs w:val="22"/>
              </w:rPr>
            </w:pPr>
            <w:r w:rsidRPr="00616DC3">
              <w:rPr>
                <w:rFonts w:ascii="Book Antiqua" w:hAnsi="Book Antiqua"/>
                <w:sz w:val="22"/>
                <w:szCs w:val="22"/>
              </w:rPr>
              <w:t>Areas of ecological significance</w:t>
            </w:r>
          </w:p>
        </w:tc>
        <w:tc>
          <w:tcPr>
            <w:tcW w:w="2088" w:type="dxa"/>
            <w:shd w:val="clear" w:color="auto" w:fill="EAFADD"/>
          </w:tcPr>
          <w:p w:rsidR="00A97702" w:rsidRPr="00616DC3" w:rsidRDefault="00A97702" w:rsidP="00DA1C9D">
            <w:pPr>
              <w:pStyle w:val="TableHeading1"/>
              <w:spacing w:before="80"/>
              <w:rPr>
                <w:rFonts w:ascii="Book Antiqua" w:hAnsi="Book Antiqua"/>
                <w:sz w:val="22"/>
                <w:szCs w:val="22"/>
              </w:rPr>
            </w:pPr>
            <w:r w:rsidRPr="00616DC3">
              <w:rPr>
                <w:rFonts w:ascii="Book Antiqua" w:hAnsi="Book Antiqua"/>
                <w:sz w:val="22"/>
                <w:szCs w:val="22"/>
              </w:rPr>
              <w:t>Urban residential and public open space</w:t>
            </w:r>
          </w:p>
        </w:tc>
        <w:tc>
          <w:tcPr>
            <w:tcW w:w="2088" w:type="dxa"/>
            <w:shd w:val="clear" w:color="auto" w:fill="DBE5F1"/>
          </w:tcPr>
          <w:p w:rsidR="00A97702" w:rsidRPr="00616DC3" w:rsidRDefault="00A97702" w:rsidP="00DA1C9D">
            <w:pPr>
              <w:pStyle w:val="TableHeading1"/>
              <w:spacing w:before="80"/>
              <w:rPr>
                <w:rFonts w:ascii="Book Antiqua" w:hAnsi="Book Antiqua"/>
                <w:sz w:val="22"/>
                <w:szCs w:val="22"/>
              </w:rPr>
            </w:pPr>
            <w:r w:rsidRPr="00616DC3">
              <w:rPr>
                <w:rFonts w:ascii="Book Antiqua" w:hAnsi="Book Antiqua"/>
                <w:sz w:val="22"/>
                <w:szCs w:val="22"/>
              </w:rPr>
              <w:t>Commercial and industrial</w:t>
            </w:r>
          </w:p>
        </w:tc>
      </w:tr>
      <w:tr w:rsidR="00A97702" w:rsidRPr="00616DC3" w:rsidTr="00DA1C9D">
        <w:tc>
          <w:tcPr>
            <w:tcW w:w="1620" w:type="dxa"/>
            <w:vMerge w:val="restart"/>
            <w:vAlign w:val="center"/>
          </w:tcPr>
          <w:p w:rsidR="00A97702" w:rsidRPr="00616DC3" w:rsidRDefault="00A97702" w:rsidP="00DA1C9D">
            <w:pPr>
              <w:pStyle w:val="BodyText"/>
              <w:tabs>
                <w:tab w:val="left" w:pos="567"/>
                <w:tab w:val="right" w:leader="dot" w:pos="9072"/>
              </w:tabs>
              <w:spacing w:before="60" w:after="60"/>
              <w:ind w:left="567" w:hanging="567"/>
              <w:rPr>
                <w:rFonts w:cs="Arial"/>
                <w:noProof/>
                <w:sz w:val="22"/>
                <w:szCs w:val="22"/>
                <w:lang w:val="en-GB"/>
              </w:rPr>
            </w:pPr>
            <w:r w:rsidRPr="00616DC3">
              <w:rPr>
                <w:rFonts w:cs="Arial"/>
                <w:noProof/>
                <w:sz w:val="22"/>
                <w:szCs w:val="22"/>
                <w:lang w:val="en-GB"/>
              </w:rPr>
              <w:t>Chromium III</w:t>
            </w:r>
          </w:p>
        </w:tc>
        <w:tc>
          <w:tcPr>
            <w:tcW w:w="1189" w:type="dxa"/>
            <w:shd w:val="clear" w:color="auto" w:fill="F2F2F2"/>
            <w:vAlign w:val="center"/>
          </w:tcPr>
          <w:p w:rsidR="00A97702" w:rsidRPr="00616DC3" w:rsidRDefault="00A97702" w:rsidP="00DA1C9D">
            <w:pPr>
              <w:pStyle w:val="BodyText"/>
              <w:tabs>
                <w:tab w:val="decimal" w:pos="507"/>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1</w:t>
            </w:r>
          </w:p>
        </w:tc>
        <w:tc>
          <w:tcPr>
            <w:tcW w:w="2087" w:type="dxa"/>
            <w:shd w:val="clear" w:color="auto" w:fill="DDD9C3"/>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60</w:t>
            </w:r>
          </w:p>
        </w:tc>
        <w:tc>
          <w:tcPr>
            <w:tcW w:w="2088" w:type="dxa"/>
            <w:shd w:val="clear" w:color="auto" w:fill="EAFADD"/>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190</w:t>
            </w:r>
          </w:p>
        </w:tc>
        <w:tc>
          <w:tcPr>
            <w:tcW w:w="2088" w:type="dxa"/>
            <w:shd w:val="clear" w:color="auto" w:fill="DBE5F1"/>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310</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center"/>
          </w:tcPr>
          <w:p w:rsidR="00A97702" w:rsidRPr="00616DC3" w:rsidRDefault="00A97702" w:rsidP="00DA1C9D">
            <w:pPr>
              <w:pStyle w:val="BodyText"/>
              <w:tabs>
                <w:tab w:val="decimal" w:pos="507"/>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2.5</w:t>
            </w:r>
          </w:p>
        </w:tc>
        <w:tc>
          <w:tcPr>
            <w:tcW w:w="2087" w:type="dxa"/>
            <w:shd w:val="clear" w:color="auto" w:fill="DDD9C3"/>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80</w:t>
            </w:r>
          </w:p>
        </w:tc>
        <w:tc>
          <w:tcPr>
            <w:tcW w:w="2088" w:type="dxa"/>
            <w:shd w:val="clear" w:color="auto" w:fill="EAFADD"/>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250</w:t>
            </w:r>
          </w:p>
        </w:tc>
        <w:tc>
          <w:tcPr>
            <w:tcW w:w="2088" w:type="dxa"/>
            <w:shd w:val="clear" w:color="auto" w:fill="DBE5F1"/>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420</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center"/>
          </w:tcPr>
          <w:p w:rsidR="00A97702" w:rsidRPr="00616DC3" w:rsidRDefault="00A97702" w:rsidP="00DA1C9D">
            <w:pPr>
              <w:pStyle w:val="BodyText"/>
              <w:tabs>
                <w:tab w:val="decimal" w:pos="507"/>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5</w:t>
            </w:r>
          </w:p>
        </w:tc>
        <w:tc>
          <w:tcPr>
            <w:tcW w:w="2087" w:type="dxa"/>
            <w:shd w:val="clear" w:color="auto" w:fill="DDD9C3"/>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100</w:t>
            </w:r>
          </w:p>
        </w:tc>
        <w:tc>
          <w:tcPr>
            <w:tcW w:w="2088" w:type="dxa"/>
            <w:shd w:val="clear" w:color="auto" w:fill="EAFADD"/>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320</w:t>
            </w:r>
          </w:p>
        </w:tc>
        <w:tc>
          <w:tcPr>
            <w:tcW w:w="2088" w:type="dxa"/>
            <w:shd w:val="clear" w:color="auto" w:fill="DBE5F1"/>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530</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center"/>
          </w:tcPr>
          <w:p w:rsidR="00A97702" w:rsidRPr="00616DC3" w:rsidRDefault="00A97702" w:rsidP="00DA1C9D">
            <w:pPr>
              <w:pStyle w:val="BodyText"/>
              <w:tabs>
                <w:tab w:val="decimal" w:pos="507"/>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≥10</w:t>
            </w:r>
          </w:p>
        </w:tc>
        <w:tc>
          <w:tcPr>
            <w:tcW w:w="2087" w:type="dxa"/>
            <w:shd w:val="clear" w:color="auto" w:fill="DDD9C3"/>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130</w:t>
            </w:r>
          </w:p>
        </w:tc>
        <w:tc>
          <w:tcPr>
            <w:tcW w:w="2088" w:type="dxa"/>
            <w:shd w:val="clear" w:color="auto" w:fill="EAFADD"/>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400</w:t>
            </w:r>
          </w:p>
        </w:tc>
        <w:tc>
          <w:tcPr>
            <w:tcW w:w="2088" w:type="dxa"/>
            <w:shd w:val="clear" w:color="auto" w:fill="DBE5F1"/>
            <w:vAlign w:val="center"/>
          </w:tcPr>
          <w:p w:rsidR="00A97702" w:rsidRPr="00616DC3" w:rsidRDefault="00A97702" w:rsidP="00DA1C9D">
            <w:pPr>
              <w:tabs>
                <w:tab w:val="left" w:pos="567"/>
                <w:tab w:val="right" w:leader="dot" w:pos="9072"/>
              </w:tabs>
              <w:spacing w:before="60" w:after="60"/>
              <w:ind w:left="567" w:hanging="567"/>
              <w:jc w:val="center"/>
              <w:rPr>
                <w:rFonts w:cs="Arial"/>
                <w:noProof/>
                <w:szCs w:val="22"/>
              </w:rPr>
            </w:pPr>
            <w:r w:rsidRPr="00616DC3">
              <w:rPr>
                <w:rFonts w:cs="Arial"/>
                <w:noProof/>
                <w:szCs w:val="22"/>
              </w:rPr>
              <w:t>660</w:t>
            </w:r>
          </w:p>
        </w:tc>
      </w:tr>
      <w:tr w:rsidR="00A97702" w:rsidRPr="00616DC3" w:rsidTr="00DA1C9D">
        <w:tc>
          <w:tcPr>
            <w:tcW w:w="1620" w:type="dxa"/>
            <w:vMerge w:val="restart"/>
            <w:vAlign w:val="center"/>
          </w:tcPr>
          <w:p w:rsidR="00A97702" w:rsidRPr="00616DC3" w:rsidRDefault="00A97702" w:rsidP="00DA1C9D">
            <w:pPr>
              <w:pStyle w:val="BodyText"/>
              <w:tabs>
                <w:tab w:val="left" w:pos="567"/>
                <w:tab w:val="right" w:leader="dot" w:pos="9072"/>
              </w:tabs>
              <w:spacing w:before="60" w:after="60"/>
              <w:ind w:left="567" w:hanging="567"/>
              <w:rPr>
                <w:rFonts w:cs="Arial"/>
                <w:noProof/>
                <w:sz w:val="22"/>
                <w:szCs w:val="22"/>
                <w:lang w:val="en-GB"/>
              </w:rPr>
            </w:pPr>
            <w:r w:rsidRPr="00616DC3">
              <w:rPr>
                <w:rFonts w:cs="Arial"/>
                <w:noProof/>
                <w:sz w:val="22"/>
                <w:szCs w:val="22"/>
                <w:lang w:val="en-GB"/>
              </w:rPr>
              <w:t>Nickel</w:t>
            </w:r>
          </w:p>
        </w:tc>
        <w:tc>
          <w:tcPr>
            <w:tcW w:w="1189" w:type="dxa"/>
            <w:shd w:val="clear" w:color="auto" w:fill="F2F2F2"/>
            <w:vAlign w:val="center"/>
          </w:tcPr>
          <w:p w:rsidR="00A97702" w:rsidRPr="00616DC3" w:rsidRDefault="00A97702" w:rsidP="00DA1C9D">
            <w:pPr>
              <w:pStyle w:val="BodyText"/>
              <w:tabs>
                <w:tab w:val="left" w:pos="567"/>
                <w:tab w:val="right" w:leader="dot" w:pos="9072"/>
              </w:tabs>
              <w:spacing w:before="60" w:after="60"/>
              <w:contextualSpacing/>
              <w:rPr>
                <w:rFonts w:cs="Arial"/>
                <w:noProof/>
                <w:sz w:val="22"/>
                <w:szCs w:val="22"/>
                <w:lang w:val="en-GB"/>
              </w:rPr>
            </w:pPr>
            <w:r w:rsidRPr="00616DC3">
              <w:rPr>
                <w:rFonts w:cs="Arial"/>
                <w:noProof/>
                <w:sz w:val="22"/>
                <w:szCs w:val="22"/>
                <w:lang w:val="en-GB"/>
              </w:rPr>
              <w:t>CEC</w:t>
            </w:r>
            <w:r w:rsidRPr="00616DC3">
              <w:rPr>
                <w:rFonts w:cs="Arial"/>
                <w:noProof/>
                <w:sz w:val="22"/>
                <w:szCs w:val="22"/>
                <w:vertAlign w:val="superscript"/>
                <w:lang w:val="en-GB"/>
              </w:rPr>
              <w:t>a</w:t>
            </w:r>
          </w:p>
          <w:p w:rsidR="00A97702" w:rsidRPr="00616DC3" w:rsidRDefault="00A97702" w:rsidP="00DA1C9D">
            <w:pPr>
              <w:pStyle w:val="BodyText"/>
              <w:tabs>
                <w:tab w:val="left" w:pos="567"/>
                <w:tab w:val="right" w:leader="dot" w:pos="9072"/>
              </w:tabs>
              <w:spacing w:before="60" w:after="60"/>
              <w:contextualSpacing/>
              <w:rPr>
                <w:rFonts w:cs="Arial"/>
                <w:b w:val="0"/>
                <w:noProof/>
                <w:sz w:val="22"/>
                <w:szCs w:val="22"/>
                <w:lang w:val="en-GB"/>
              </w:rPr>
            </w:pPr>
            <w:r w:rsidRPr="00616DC3">
              <w:rPr>
                <w:rFonts w:cs="Arial"/>
                <w:noProof/>
                <w:sz w:val="22"/>
                <w:szCs w:val="22"/>
                <w:lang w:val="en-GB"/>
              </w:rPr>
              <w:t>(cmol</w:t>
            </w:r>
            <w:r w:rsidRPr="00616DC3">
              <w:rPr>
                <w:rFonts w:cs="Arial"/>
                <w:noProof/>
                <w:sz w:val="22"/>
                <w:szCs w:val="22"/>
                <w:vertAlign w:val="subscript"/>
                <w:lang w:val="en-GB"/>
              </w:rPr>
              <w:t>c</w:t>
            </w:r>
            <w:r w:rsidRPr="00616DC3">
              <w:rPr>
                <w:rFonts w:cs="Arial"/>
                <w:noProof/>
                <w:sz w:val="22"/>
                <w:szCs w:val="22"/>
                <w:lang w:val="en-GB"/>
              </w:rPr>
              <w:t>/kg)</w:t>
            </w:r>
          </w:p>
        </w:tc>
        <w:tc>
          <w:tcPr>
            <w:tcW w:w="2087" w:type="dxa"/>
            <w:shd w:val="clear" w:color="auto" w:fill="DDD9C3"/>
            <w:vAlign w:val="center"/>
          </w:tcPr>
          <w:p w:rsidR="00A97702" w:rsidRPr="00616DC3" w:rsidRDefault="00A97702" w:rsidP="00DA1C9D">
            <w:pPr>
              <w:pStyle w:val="TableHeading1"/>
              <w:rPr>
                <w:rFonts w:ascii="Book Antiqua" w:hAnsi="Book Antiqua"/>
                <w:sz w:val="22"/>
                <w:szCs w:val="22"/>
              </w:rPr>
            </w:pPr>
            <w:r w:rsidRPr="00616DC3">
              <w:rPr>
                <w:rFonts w:ascii="Book Antiqua" w:hAnsi="Book Antiqua"/>
                <w:sz w:val="22"/>
                <w:szCs w:val="22"/>
              </w:rPr>
              <w:t>Areas of ecological significance</w:t>
            </w:r>
          </w:p>
        </w:tc>
        <w:tc>
          <w:tcPr>
            <w:tcW w:w="2088" w:type="dxa"/>
            <w:shd w:val="clear" w:color="auto" w:fill="EAFADD"/>
            <w:vAlign w:val="center"/>
          </w:tcPr>
          <w:p w:rsidR="00A97702" w:rsidRPr="00616DC3" w:rsidRDefault="00A97702" w:rsidP="00DA1C9D">
            <w:pPr>
              <w:pStyle w:val="TableHeading1"/>
              <w:rPr>
                <w:rFonts w:ascii="Book Antiqua" w:hAnsi="Book Antiqua"/>
                <w:sz w:val="22"/>
                <w:szCs w:val="22"/>
              </w:rPr>
            </w:pPr>
            <w:r w:rsidRPr="00616DC3">
              <w:rPr>
                <w:rFonts w:ascii="Book Antiqua" w:hAnsi="Book Antiqua"/>
                <w:sz w:val="22"/>
                <w:szCs w:val="22"/>
              </w:rPr>
              <w:t>Urban residential and public open space</w:t>
            </w:r>
            <w:r w:rsidRPr="00616DC3">
              <w:rPr>
                <w:rFonts w:ascii="Book Antiqua" w:hAnsi="Book Antiqua"/>
                <w:sz w:val="22"/>
                <w:szCs w:val="22"/>
                <w:vertAlign w:val="superscript"/>
              </w:rPr>
              <w:t>1</w:t>
            </w:r>
          </w:p>
        </w:tc>
        <w:tc>
          <w:tcPr>
            <w:tcW w:w="2088" w:type="dxa"/>
            <w:shd w:val="clear" w:color="auto" w:fill="DBE5F1"/>
            <w:vAlign w:val="center"/>
          </w:tcPr>
          <w:p w:rsidR="00A97702" w:rsidRPr="00616DC3" w:rsidRDefault="00A97702" w:rsidP="00DA1C9D">
            <w:pPr>
              <w:pStyle w:val="TableHeading1"/>
              <w:rPr>
                <w:rFonts w:ascii="Book Antiqua" w:hAnsi="Book Antiqua"/>
                <w:sz w:val="22"/>
                <w:szCs w:val="22"/>
              </w:rPr>
            </w:pPr>
            <w:r w:rsidRPr="00616DC3">
              <w:rPr>
                <w:rFonts w:ascii="Book Antiqua" w:hAnsi="Book Antiqua"/>
                <w:sz w:val="22"/>
                <w:szCs w:val="22"/>
              </w:rPr>
              <w:t>Commercial and industrial</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bottom"/>
          </w:tcPr>
          <w:p w:rsidR="00A97702" w:rsidRPr="00616DC3" w:rsidRDefault="00A97702" w:rsidP="00DA1C9D">
            <w:pPr>
              <w:pStyle w:val="BodyText"/>
              <w:tabs>
                <w:tab w:val="decimal" w:pos="521"/>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5</w:t>
            </w:r>
          </w:p>
        </w:tc>
        <w:tc>
          <w:tcPr>
            <w:tcW w:w="2087" w:type="dxa"/>
            <w:shd w:val="clear" w:color="auto" w:fill="DDD9C3"/>
            <w:vAlign w:val="center"/>
          </w:tcPr>
          <w:p w:rsidR="00A97702" w:rsidRPr="00616DC3" w:rsidRDefault="00A97702" w:rsidP="00DA1C9D">
            <w:pPr>
              <w:tabs>
                <w:tab w:val="left" w:pos="567"/>
                <w:tab w:val="decimal" w:pos="676"/>
                <w:tab w:val="right" w:leader="dot" w:pos="9072"/>
              </w:tabs>
              <w:spacing w:before="60" w:after="60"/>
              <w:ind w:left="567" w:hanging="567"/>
              <w:jc w:val="center"/>
              <w:rPr>
                <w:rFonts w:cs="Arial"/>
                <w:noProof/>
                <w:szCs w:val="22"/>
              </w:rPr>
            </w:pPr>
            <w:r w:rsidRPr="00616DC3">
              <w:rPr>
                <w:rFonts w:cs="Arial"/>
                <w:noProof/>
                <w:szCs w:val="22"/>
              </w:rPr>
              <w:t>5</w:t>
            </w:r>
          </w:p>
        </w:tc>
        <w:tc>
          <w:tcPr>
            <w:tcW w:w="2088" w:type="dxa"/>
            <w:shd w:val="clear" w:color="auto" w:fill="EAFADD"/>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30</w:t>
            </w:r>
          </w:p>
        </w:tc>
        <w:tc>
          <w:tcPr>
            <w:tcW w:w="2088" w:type="dxa"/>
            <w:shd w:val="clear" w:color="auto" w:fill="DBE5F1"/>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55</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center"/>
          </w:tcPr>
          <w:p w:rsidR="00A97702" w:rsidRPr="00616DC3" w:rsidRDefault="00A97702" w:rsidP="00DA1C9D">
            <w:pPr>
              <w:pStyle w:val="BodyText"/>
              <w:tabs>
                <w:tab w:val="decimal" w:pos="521"/>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10</w:t>
            </w:r>
          </w:p>
        </w:tc>
        <w:tc>
          <w:tcPr>
            <w:tcW w:w="2087" w:type="dxa"/>
            <w:shd w:val="clear" w:color="auto" w:fill="DDD9C3"/>
            <w:vAlign w:val="center"/>
          </w:tcPr>
          <w:p w:rsidR="00A97702" w:rsidRPr="00616DC3" w:rsidRDefault="00A97702" w:rsidP="00DA1C9D">
            <w:pPr>
              <w:tabs>
                <w:tab w:val="left" w:pos="567"/>
                <w:tab w:val="decimal" w:pos="676"/>
                <w:tab w:val="right" w:leader="dot" w:pos="9072"/>
              </w:tabs>
              <w:spacing w:before="60" w:after="60"/>
              <w:ind w:left="567" w:hanging="567"/>
              <w:jc w:val="center"/>
              <w:rPr>
                <w:rFonts w:cs="Arial"/>
                <w:noProof/>
                <w:szCs w:val="22"/>
              </w:rPr>
            </w:pPr>
            <w:r w:rsidRPr="00616DC3">
              <w:rPr>
                <w:rFonts w:cs="Arial"/>
                <w:noProof/>
                <w:szCs w:val="22"/>
              </w:rPr>
              <w:t>30</w:t>
            </w:r>
          </w:p>
        </w:tc>
        <w:tc>
          <w:tcPr>
            <w:tcW w:w="2088" w:type="dxa"/>
            <w:shd w:val="clear" w:color="auto" w:fill="EAFADD"/>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170</w:t>
            </w:r>
          </w:p>
        </w:tc>
        <w:tc>
          <w:tcPr>
            <w:tcW w:w="2088" w:type="dxa"/>
            <w:shd w:val="clear" w:color="auto" w:fill="DBE5F1"/>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290</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center"/>
          </w:tcPr>
          <w:p w:rsidR="00A97702" w:rsidRPr="00616DC3" w:rsidRDefault="00A97702" w:rsidP="00DA1C9D">
            <w:pPr>
              <w:pStyle w:val="BodyText"/>
              <w:tabs>
                <w:tab w:val="decimal" w:pos="521"/>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20</w:t>
            </w:r>
          </w:p>
        </w:tc>
        <w:tc>
          <w:tcPr>
            <w:tcW w:w="2087" w:type="dxa"/>
            <w:shd w:val="clear" w:color="auto" w:fill="DDD9C3"/>
            <w:vAlign w:val="center"/>
          </w:tcPr>
          <w:p w:rsidR="00A97702" w:rsidRPr="00616DC3" w:rsidRDefault="00A97702" w:rsidP="00DA1C9D">
            <w:pPr>
              <w:tabs>
                <w:tab w:val="left" w:pos="567"/>
                <w:tab w:val="decimal" w:pos="676"/>
                <w:tab w:val="right" w:leader="dot" w:pos="9072"/>
              </w:tabs>
              <w:spacing w:before="60" w:after="60"/>
              <w:ind w:left="567" w:hanging="567"/>
              <w:jc w:val="center"/>
              <w:rPr>
                <w:rFonts w:cs="Arial"/>
                <w:noProof/>
                <w:szCs w:val="22"/>
              </w:rPr>
            </w:pPr>
            <w:r w:rsidRPr="00616DC3">
              <w:rPr>
                <w:rFonts w:cs="Arial"/>
                <w:noProof/>
                <w:szCs w:val="22"/>
              </w:rPr>
              <w:t>45</w:t>
            </w:r>
          </w:p>
        </w:tc>
        <w:tc>
          <w:tcPr>
            <w:tcW w:w="2088" w:type="dxa"/>
            <w:shd w:val="clear" w:color="auto" w:fill="EAFADD"/>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270</w:t>
            </w:r>
          </w:p>
        </w:tc>
        <w:tc>
          <w:tcPr>
            <w:tcW w:w="2088" w:type="dxa"/>
            <w:shd w:val="clear" w:color="auto" w:fill="DBE5F1"/>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460</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center"/>
          </w:tcPr>
          <w:p w:rsidR="00A97702" w:rsidRPr="00616DC3" w:rsidRDefault="00A97702" w:rsidP="00DA1C9D">
            <w:pPr>
              <w:pStyle w:val="BodyText"/>
              <w:tabs>
                <w:tab w:val="decimal" w:pos="521"/>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30</w:t>
            </w:r>
          </w:p>
        </w:tc>
        <w:tc>
          <w:tcPr>
            <w:tcW w:w="2087" w:type="dxa"/>
            <w:shd w:val="clear" w:color="auto" w:fill="DDD9C3"/>
            <w:vAlign w:val="center"/>
          </w:tcPr>
          <w:p w:rsidR="00A97702" w:rsidRPr="00616DC3" w:rsidRDefault="00A97702" w:rsidP="00DA1C9D">
            <w:pPr>
              <w:tabs>
                <w:tab w:val="left" w:pos="567"/>
                <w:tab w:val="decimal" w:pos="676"/>
                <w:tab w:val="right" w:leader="dot" w:pos="9072"/>
              </w:tabs>
              <w:spacing w:before="60" w:after="60"/>
              <w:ind w:left="567" w:hanging="567"/>
              <w:jc w:val="center"/>
              <w:rPr>
                <w:rFonts w:cs="Arial"/>
                <w:noProof/>
                <w:szCs w:val="22"/>
              </w:rPr>
            </w:pPr>
            <w:r w:rsidRPr="00616DC3">
              <w:rPr>
                <w:rFonts w:cs="Arial"/>
                <w:noProof/>
                <w:szCs w:val="22"/>
              </w:rPr>
              <w:t>60</w:t>
            </w:r>
          </w:p>
        </w:tc>
        <w:tc>
          <w:tcPr>
            <w:tcW w:w="2088" w:type="dxa"/>
            <w:shd w:val="clear" w:color="auto" w:fill="EAFADD"/>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350</w:t>
            </w:r>
          </w:p>
        </w:tc>
        <w:tc>
          <w:tcPr>
            <w:tcW w:w="2088" w:type="dxa"/>
            <w:shd w:val="clear" w:color="auto" w:fill="DBE5F1"/>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600</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center"/>
          </w:tcPr>
          <w:p w:rsidR="00A97702" w:rsidRPr="00616DC3" w:rsidRDefault="00A97702" w:rsidP="00DA1C9D">
            <w:pPr>
              <w:pStyle w:val="BodyText"/>
              <w:tabs>
                <w:tab w:val="decimal" w:pos="521"/>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40</w:t>
            </w:r>
          </w:p>
        </w:tc>
        <w:tc>
          <w:tcPr>
            <w:tcW w:w="2087" w:type="dxa"/>
            <w:shd w:val="clear" w:color="auto" w:fill="DDD9C3"/>
            <w:vAlign w:val="center"/>
          </w:tcPr>
          <w:p w:rsidR="00A97702" w:rsidRPr="00616DC3" w:rsidRDefault="00A97702" w:rsidP="00DA1C9D">
            <w:pPr>
              <w:tabs>
                <w:tab w:val="left" w:pos="567"/>
                <w:tab w:val="decimal" w:pos="676"/>
                <w:tab w:val="right" w:leader="dot" w:pos="9072"/>
              </w:tabs>
              <w:spacing w:before="60" w:after="60"/>
              <w:ind w:left="567" w:hanging="567"/>
              <w:jc w:val="center"/>
              <w:rPr>
                <w:rFonts w:cs="Arial"/>
                <w:noProof/>
                <w:szCs w:val="22"/>
              </w:rPr>
            </w:pPr>
            <w:r w:rsidRPr="00616DC3">
              <w:rPr>
                <w:rFonts w:cs="Arial"/>
                <w:noProof/>
                <w:szCs w:val="22"/>
              </w:rPr>
              <w:t>70</w:t>
            </w:r>
          </w:p>
        </w:tc>
        <w:tc>
          <w:tcPr>
            <w:tcW w:w="2088" w:type="dxa"/>
            <w:shd w:val="clear" w:color="auto" w:fill="EAFADD"/>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420</w:t>
            </w:r>
          </w:p>
        </w:tc>
        <w:tc>
          <w:tcPr>
            <w:tcW w:w="2088" w:type="dxa"/>
            <w:shd w:val="clear" w:color="auto" w:fill="DBE5F1"/>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730</w:t>
            </w:r>
          </w:p>
        </w:tc>
      </w:tr>
      <w:tr w:rsidR="00A97702" w:rsidRPr="00616DC3" w:rsidTr="00DA1C9D">
        <w:tc>
          <w:tcPr>
            <w:tcW w:w="1620" w:type="dxa"/>
            <w:vMerge/>
            <w:vAlign w:val="center"/>
          </w:tcPr>
          <w:p w:rsidR="00A97702" w:rsidRPr="00616DC3" w:rsidRDefault="00A97702" w:rsidP="00DA1C9D">
            <w:pPr>
              <w:pStyle w:val="BodyText"/>
              <w:tabs>
                <w:tab w:val="left" w:pos="567"/>
                <w:tab w:val="right" w:leader="dot" w:pos="9072"/>
              </w:tabs>
              <w:spacing w:before="60" w:after="60"/>
              <w:ind w:left="567" w:hanging="567"/>
              <w:jc w:val="both"/>
              <w:rPr>
                <w:rFonts w:cs="Arial"/>
                <w:b w:val="0"/>
                <w:noProof/>
                <w:sz w:val="22"/>
                <w:szCs w:val="22"/>
                <w:lang w:val="en-GB"/>
              </w:rPr>
            </w:pPr>
          </w:p>
        </w:tc>
        <w:tc>
          <w:tcPr>
            <w:tcW w:w="1189" w:type="dxa"/>
            <w:shd w:val="clear" w:color="auto" w:fill="F2F2F2"/>
            <w:vAlign w:val="center"/>
          </w:tcPr>
          <w:p w:rsidR="00A97702" w:rsidRPr="00616DC3" w:rsidRDefault="00A97702" w:rsidP="00DA1C9D">
            <w:pPr>
              <w:pStyle w:val="BodyText"/>
              <w:tabs>
                <w:tab w:val="decimal" w:pos="521"/>
                <w:tab w:val="left" w:pos="567"/>
                <w:tab w:val="right" w:leader="dot" w:pos="9072"/>
              </w:tabs>
              <w:spacing w:before="60" w:after="60"/>
              <w:ind w:left="567" w:hanging="567"/>
              <w:rPr>
                <w:rFonts w:cs="Arial"/>
                <w:i/>
                <w:noProof/>
                <w:sz w:val="22"/>
                <w:szCs w:val="22"/>
                <w:lang w:val="en-GB"/>
              </w:rPr>
            </w:pPr>
            <w:r w:rsidRPr="00616DC3">
              <w:rPr>
                <w:rFonts w:cs="Arial"/>
                <w:i/>
                <w:noProof/>
                <w:sz w:val="22"/>
                <w:szCs w:val="22"/>
                <w:lang w:val="en-GB"/>
              </w:rPr>
              <w:t>60</w:t>
            </w:r>
          </w:p>
        </w:tc>
        <w:tc>
          <w:tcPr>
            <w:tcW w:w="2087" w:type="dxa"/>
            <w:shd w:val="clear" w:color="auto" w:fill="DDD9C3"/>
            <w:vAlign w:val="center"/>
          </w:tcPr>
          <w:p w:rsidR="00A97702" w:rsidRPr="00616DC3" w:rsidRDefault="00A97702" w:rsidP="00DA1C9D">
            <w:pPr>
              <w:tabs>
                <w:tab w:val="left" w:pos="567"/>
                <w:tab w:val="decimal" w:pos="676"/>
                <w:tab w:val="right" w:leader="dot" w:pos="9072"/>
              </w:tabs>
              <w:spacing w:before="60" w:after="60"/>
              <w:ind w:left="567" w:hanging="567"/>
              <w:jc w:val="center"/>
              <w:rPr>
                <w:rFonts w:cs="Arial"/>
                <w:noProof/>
                <w:szCs w:val="22"/>
              </w:rPr>
            </w:pPr>
            <w:r w:rsidRPr="00616DC3">
              <w:rPr>
                <w:rFonts w:cs="Arial"/>
                <w:noProof/>
                <w:szCs w:val="22"/>
              </w:rPr>
              <w:t>95</w:t>
            </w:r>
          </w:p>
        </w:tc>
        <w:tc>
          <w:tcPr>
            <w:tcW w:w="2088" w:type="dxa"/>
            <w:shd w:val="clear" w:color="auto" w:fill="EAFADD"/>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560</w:t>
            </w:r>
          </w:p>
        </w:tc>
        <w:tc>
          <w:tcPr>
            <w:tcW w:w="2088" w:type="dxa"/>
            <w:shd w:val="clear" w:color="auto" w:fill="DBE5F1"/>
            <w:vAlign w:val="center"/>
          </w:tcPr>
          <w:p w:rsidR="00A97702" w:rsidRPr="00616DC3" w:rsidRDefault="00A97702" w:rsidP="00DA1C9D">
            <w:pPr>
              <w:tabs>
                <w:tab w:val="left" w:pos="567"/>
                <w:tab w:val="decimal" w:pos="648"/>
                <w:tab w:val="right" w:leader="dot" w:pos="9072"/>
              </w:tabs>
              <w:spacing w:before="60" w:after="60"/>
              <w:ind w:left="567" w:hanging="567"/>
              <w:jc w:val="center"/>
              <w:rPr>
                <w:rFonts w:cs="Arial"/>
                <w:noProof/>
                <w:szCs w:val="22"/>
              </w:rPr>
            </w:pPr>
            <w:r w:rsidRPr="00616DC3">
              <w:rPr>
                <w:rFonts w:cs="Arial"/>
                <w:noProof/>
                <w:szCs w:val="22"/>
              </w:rPr>
              <w:t>960</w:t>
            </w:r>
          </w:p>
        </w:tc>
      </w:tr>
    </w:tbl>
    <w:p w:rsidR="00A97702" w:rsidRPr="00616DC3" w:rsidRDefault="00A97702" w:rsidP="00A97702">
      <w:pPr>
        <w:pStyle w:val="Note"/>
        <w:spacing w:after="40"/>
        <w:rPr>
          <w:rFonts w:cs="Arial"/>
          <w:b/>
          <w:sz w:val="18"/>
          <w:szCs w:val="18"/>
        </w:rPr>
      </w:pPr>
      <w:r w:rsidRPr="00616DC3">
        <w:rPr>
          <w:rFonts w:cs="Arial"/>
          <w:b/>
          <w:sz w:val="18"/>
          <w:szCs w:val="18"/>
        </w:rPr>
        <w:t>Notes:</w:t>
      </w:r>
    </w:p>
    <w:p w:rsidR="00A97702" w:rsidRPr="00616DC3" w:rsidRDefault="00A97702" w:rsidP="00A97702">
      <w:pPr>
        <w:pStyle w:val="ListParagraph"/>
        <w:numPr>
          <w:ilvl w:val="0"/>
          <w:numId w:val="42"/>
        </w:numPr>
        <w:spacing w:before="20" w:after="20"/>
        <w:rPr>
          <w:rFonts w:cs="Arial"/>
          <w:sz w:val="18"/>
          <w:szCs w:val="18"/>
        </w:rPr>
      </w:pPr>
      <w:r w:rsidRPr="00616DC3">
        <w:rPr>
          <w:rFonts w:cs="Arial"/>
          <w:sz w:val="18"/>
          <w:szCs w:val="18"/>
        </w:rPr>
        <w:t xml:space="preserve">Urban residential/public open space is broadly equivalent to the HIL A, HIL B and HIL C land use scenarios in Table 1A(1) Footnote 1 and as described in Schedule B7. </w:t>
      </w:r>
    </w:p>
    <w:p w:rsidR="00A97702" w:rsidRPr="00616DC3" w:rsidRDefault="00A97702" w:rsidP="00A97702">
      <w:pPr>
        <w:pStyle w:val="ListParagraph"/>
        <w:numPr>
          <w:ilvl w:val="0"/>
          <w:numId w:val="42"/>
        </w:numPr>
        <w:spacing w:before="20" w:after="20"/>
        <w:rPr>
          <w:rFonts w:cs="Arial"/>
          <w:sz w:val="18"/>
          <w:szCs w:val="18"/>
        </w:rPr>
      </w:pPr>
      <w:r w:rsidRPr="00616DC3">
        <w:rPr>
          <w:rFonts w:cs="Arial"/>
          <w:sz w:val="18"/>
          <w:szCs w:val="18"/>
        </w:rPr>
        <w:t xml:space="preserve">Aged values </w:t>
      </w:r>
      <w:r w:rsidRPr="00616DC3">
        <w:rPr>
          <w:rFonts w:cs="Arial"/>
          <w:sz w:val="18"/>
          <w:szCs w:val="18"/>
          <w:lang w:val="en-GB"/>
        </w:rPr>
        <w:t>apply to contamination present in soil for at least two years. For fresh contamination refer to Schedule B5c.</w:t>
      </w:r>
    </w:p>
    <w:p w:rsidR="00A97702" w:rsidRPr="00616DC3" w:rsidRDefault="00A97702" w:rsidP="00A97702">
      <w:pPr>
        <w:pStyle w:val="ListParagraph"/>
        <w:numPr>
          <w:ilvl w:val="0"/>
          <w:numId w:val="42"/>
        </w:numPr>
        <w:spacing w:before="20" w:after="20"/>
        <w:rPr>
          <w:rFonts w:cs="Arial"/>
          <w:sz w:val="18"/>
          <w:szCs w:val="18"/>
        </w:rPr>
      </w:pPr>
      <w:r w:rsidRPr="00616DC3">
        <w:rPr>
          <w:rFonts w:cs="Arial"/>
          <w:sz w:val="18"/>
          <w:szCs w:val="18"/>
        </w:rPr>
        <w:t>The EIL is calculated from summing the ACL and the ABC.</w:t>
      </w:r>
    </w:p>
    <w:p w:rsidR="00A97702" w:rsidRPr="00616DC3" w:rsidRDefault="00A97702" w:rsidP="00A97702">
      <w:pPr>
        <w:pStyle w:val="BodyText"/>
        <w:spacing w:before="60" w:after="60"/>
        <w:jc w:val="left"/>
        <w:rPr>
          <w:rFonts w:cs="Arial"/>
          <w:b w:val="0"/>
          <w:szCs w:val="18"/>
          <w:lang w:val="en-GB"/>
        </w:rPr>
      </w:pPr>
      <w:r w:rsidRPr="00616DC3">
        <w:rPr>
          <w:rFonts w:cs="Arial"/>
          <w:b w:val="0"/>
          <w:szCs w:val="18"/>
          <w:lang w:val="en-GB"/>
        </w:rPr>
        <w:t xml:space="preserve">a = CEC measured using the silver thiourea method (Chabra et al. 1972). </w:t>
      </w:r>
    </w:p>
    <w:p w:rsidR="00A97702" w:rsidRDefault="00A97702" w:rsidP="00A97702">
      <w:pPr>
        <w:pStyle w:val="text"/>
        <w:rPr>
          <w:b/>
          <w:bCs/>
          <w:lang w:val="en-GB"/>
        </w:rPr>
      </w:pPr>
    </w:p>
    <w:p w:rsidR="00A97702" w:rsidRDefault="00A97702" w:rsidP="00A97702">
      <w:pPr>
        <w:pStyle w:val="Caption"/>
      </w:pPr>
      <w:r>
        <w:rPr>
          <w:lang w:val="en-GB"/>
        </w:rPr>
        <w:t>Table 1B(4)</w:t>
      </w:r>
      <w:r>
        <w:rPr>
          <w:lang w:val="en-GB"/>
        </w:rPr>
        <w:tab/>
        <w:t xml:space="preserve">Generic added contaminant limits for lead in soils irrespective of their physicochemical properties </w:t>
      </w:r>
    </w:p>
    <w:tbl>
      <w:tblPr>
        <w:tblW w:w="9072" w:type="dxa"/>
        <w:tblInd w:w="108" w:type="dxa"/>
        <w:tblLayout w:type="fixed"/>
        <w:tblLook w:val="01E0" w:firstRow="1" w:lastRow="1" w:firstColumn="1" w:lastColumn="1" w:noHBand="0" w:noVBand="0"/>
      </w:tblPr>
      <w:tblGrid>
        <w:gridCol w:w="1560"/>
        <w:gridCol w:w="2424"/>
        <w:gridCol w:w="2544"/>
        <w:gridCol w:w="2544"/>
      </w:tblGrid>
      <w:tr w:rsidR="00A97702" w:rsidRPr="00616DC3" w:rsidTr="00DA1C9D">
        <w:trPr>
          <w:trHeight w:val="540"/>
        </w:trPr>
        <w:tc>
          <w:tcPr>
            <w:tcW w:w="1560" w:type="dxa"/>
            <w:tcBorders>
              <w:top w:val="single" w:sz="4" w:space="0" w:color="auto"/>
              <w:left w:val="single" w:sz="4" w:space="0" w:color="auto"/>
              <w:bottom w:val="single" w:sz="12" w:space="0" w:color="auto"/>
              <w:right w:val="single" w:sz="4" w:space="0" w:color="auto"/>
            </w:tcBorders>
            <w:shd w:val="clear" w:color="auto" w:fill="C6D9F1" w:themeFill="text2" w:themeFillTint="33"/>
          </w:tcPr>
          <w:p w:rsidR="00A97702" w:rsidRPr="00616DC3" w:rsidRDefault="00A97702" w:rsidP="00DA1C9D">
            <w:pPr>
              <w:pStyle w:val="TableHeading1"/>
              <w:spacing w:before="60" w:after="60"/>
              <w:rPr>
                <w:rFonts w:ascii="Book Antiqua" w:hAnsi="Book Antiqua"/>
                <w:sz w:val="22"/>
                <w:szCs w:val="22"/>
              </w:rPr>
            </w:pPr>
          </w:p>
        </w:tc>
        <w:tc>
          <w:tcPr>
            <w:tcW w:w="7512" w:type="dxa"/>
            <w:gridSpan w:val="3"/>
            <w:tcBorders>
              <w:top w:val="single" w:sz="4" w:space="0" w:color="auto"/>
              <w:left w:val="single" w:sz="4" w:space="0" w:color="auto"/>
              <w:bottom w:val="single" w:sz="12" w:space="0" w:color="auto"/>
              <w:right w:val="single" w:sz="4" w:space="0" w:color="auto"/>
            </w:tcBorders>
            <w:shd w:val="clear" w:color="auto" w:fill="C6D9F1" w:themeFill="text2" w:themeFillTint="33"/>
          </w:tcPr>
          <w:p w:rsidR="00A97702" w:rsidRPr="00616DC3" w:rsidRDefault="00A97702" w:rsidP="00DA1C9D">
            <w:pPr>
              <w:pStyle w:val="TableHeading1"/>
              <w:spacing w:before="60" w:after="60"/>
              <w:rPr>
                <w:rFonts w:ascii="Book Antiqua" w:hAnsi="Book Antiqua"/>
                <w:sz w:val="22"/>
                <w:szCs w:val="22"/>
              </w:rPr>
            </w:pPr>
            <w:r w:rsidRPr="00616DC3">
              <w:rPr>
                <w:rFonts w:ascii="Book Antiqua" w:hAnsi="Book Antiqua"/>
                <w:sz w:val="22"/>
                <w:szCs w:val="22"/>
              </w:rPr>
              <w:t>Pb added contaminant limit (ACL, mg added contaminant/kg)</w:t>
            </w:r>
            <w:r w:rsidRPr="00616DC3">
              <w:rPr>
                <w:rFonts w:ascii="Book Antiqua" w:hAnsi="Book Antiqua"/>
                <w:sz w:val="22"/>
                <w:szCs w:val="22"/>
              </w:rPr>
              <w:br/>
              <w:t>for various land uses</w:t>
            </w:r>
          </w:p>
        </w:tc>
      </w:tr>
      <w:tr w:rsidR="00A97702" w:rsidRPr="00616DC3" w:rsidTr="00DA1C9D">
        <w:trPr>
          <w:trHeight w:val="540"/>
        </w:trPr>
        <w:tc>
          <w:tcPr>
            <w:tcW w:w="1560" w:type="dxa"/>
            <w:tcBorders>
              <w:top w:val="single" w:sz="4" w:space="0" w:color="auto"/>
              <w:left w:val="single" w:sz="4" w:space="0" w:color="auto"/>
              <w:bottom w:val="single" w:sz="12" w:space="0" w:color="auto"/>
              <w:right w:val="single" w:sz="4" w:space="0" w:color="auto"/>
            </w:tcBorders>
          </w:tcPr>
          <w:p w:rsidR="00A97702" w:rsidRPr="00616DC3" w:rsidRDefault="00A97702" w:rsidP="00DA1C9D">
            <w:pPr>
              <w:pStyle w:val="TableHeading1"/>
              <w:spacing w:before="60" w:after="60"/>
              <w:rPr>
                <w:rFonts w:ascii="Book Antiqua" w:hAnsi="Book Antiqua"/>
                <w:sz w:val="22"/>
                <w:szCs w:val="22"/>
              </w:rPr>
            </w:pPr>
            <w:r w:rsidRPr="00616DC3">
              <w:rPr>
                <w:rFonts w:ascii="Book Antiqua" w:hAnsi="Book Antiqua"/>
                <w:sz w:val="22"/>
                <w:szCs w:val="22"/>
              </w:rPr>
              <w:t>CHEMICAL</w:t>
            </w:r>
          </w:p>
        </w:tc>
        <w:tc>
          <w:tcPr>
            <w:tcW w:w="2424" w:type="dxa"/>
            <w:tcBorders>
              <w:top w:val="single" w:sz="4" w:space="0" w:color="auto"/>
              <w:left w:val="single" w:sz="4" w:space="0" w:color="auto"/>
              <w:bottom w:val="single" w:sz="12" w:space="0" w:color="auto"/>
              <w:right w:val="single" w:sz="4" w:space="0" w:color="auto"/>
            </w:tcBorders>
            <w:shd w:val="clear" w:color="auto" w:fill="DDD9C3"/>
          </w:tcPr>
          <w:p w:rsidR="00A97702" w:rsidRPr="00616DC3" w:rsidRDefault="00A97702" w:rsidP="00DA1C9D">
            <w:pPr>
              <w:pStyle w:val="TableHeading1"/>
              <w:spacing w:before="60" w:after="60"/>
              <w:rPr>
                <w:rFonts w:ascii="Book Antiqua" w:hAnsi="Book Antiqua"/>
                <w:sz w:val="22"/>
                <w:szCs w:val="22"/>
              </w:rPr>
            </w:pPr>
            <w:r w:rsidRPr="00616DC3">
              <w:rPr>
                <w:rFonts w:ascii="Book Antiqua" w:hAnsi="Book Antiqua"/>
                <w:sz w:val="22"/>
                <w:szCs w:val="22"/>
              </w:rPr>
              <w:t>Areas of ecological significance</w:t>
            </w:r>
          </w:p>
        </w:tc>
        <w:tc>
          <w:tcPr>
            <w:tcW w:w="2544" w:type="dxa"/>
            <w:tcBorders>
              <w:top w:val="single" w:sz="4" w:space="0" w:color="auto"/>
              <w:left w:val="single" w:sz="4" w:space="0" w:color="auto"/>
              <w:bottom w:val="single" w:sz="12" w:space="0" w:color="auto"/>
              <w:right w:val="single" w:sz="4" w:space="0" w:color="auto"/>
            </w:tcBorders>
            <w:shd w:val="clear" w:color="auto" w:fill="EAFADD"/>
          </w:tcPr>
          <w:p w:rsidR="00A97702" w:rsidRPr="00616DC3" w:rsidRDefault="00A97702" w:rsidP="00DA1C9D">
            <w:pPr>
              <w:pStyle w:val="TableHeading1"/>
              <w:spacing w:before="60" w:after="60"/>
              <w:rPr>
                <w:rFonts w:ascii="Book Antiqua" w:hAnsi="Book Antiqua"/>
                <w:sz w:val="22"/>
                <w:szCs w:val="22"/>
              </w:rPr>
            </w:pPr>
            <w:r w:rsidRPr="00616DC3">
              <w:rPr>
                <w:rFonts w:ascii="Book Antiqua" w:hAnsi="Book Antiqua"/>
                <w:sz w:val="22"/>
                <w:szCs w:val="22"/>
              </w:rPr>
              <w:t>Urban residential and public open space</w:t>
            </w:r>
            <w:r w:rsidRPr="00616DC3">
              <w:rPr>
                <w:rFonts w:ascii="Book Antiqua" w:hAnsi="Book Antiqua"/>
                <w:sz w:val="22"/>
                <w:szCs w:val="22"/>
                <w:vertAlign w:val="superscript"/>
              </w:rPr>
              <w:t>1</w:t>
            </w:r>
          </w:p>
        </w:tc>
        <w:tc>
          <w:tcPr>
            <w:tcW w:w="2544" w:type="dxa"/>
            <w:tcBorders>
              <w:top w:val="single" w:sz="4" w:space="0" w:color="auto"/>
              <w:left w:val="single" w:sz="4" w:space="0" w:color="auto"/>
              <w:bottom w:val="single" w:sz="12" w:space="0" w:color="auto"/>
              <w:right w:val="single" w:sz="4" w:space="0" w:color="auto"/>
            </w:tcBorders>
            <w:shd w:val="clear" w:color="auto" w:fill="DBE5F1"/>
          </w:tcPr>
          <w:p w:rsidR="00A97702" w:rsidRPr="00616DC3" w:rsidRDefault="00A97702" w:rsidP="00DA1C9D">
            <w:pPr>
              <w:pStyle w:val="TableHeading1"/>
              <w:spacing w:before="60" w:after="60"/>
              <w:rPr>
                <w:rFonts w:ascii="Book Antiqua" w:hAnsi="Book Antiqua"/>
                <w:sz w:val="22"/>
                <w:szCs w:val="22"/>
              </w:rPr>
            </w:pPr>
            <w:r w:rsidRPr="00616DC3">
              <w:rPr>
                <w:rFonts w:ascii="Book Antiqua" w:hAnsi="Book Antiqua"/>
                <w:sz w:val="22"/>
                <w:szCs w:val="22"/>
              </w:rPr>
              <w:t>Commercial and industrial</w:t>
            </w:r>
          </w:p>
        </w:tc>
      </w:tr>
      <w:tr w:rsidR="00A97702" w:rsidRPr="00616DC3" w:rsidTr="00DA1C9D">
        <w:trPr>
          <w:trHeight w:val="293"/>
        </w:trPr>
        <w:tc>
          <w:tcPr>
            <w:tcW w:w="1560" w:type="dxa"/>
            <w:tcBorders>
              <w:top w:val="single" w:sz="4" w:space="0" w:color="auto"/>
              <w:left w:val="single" w:sz="4" w:space="0" w:color="auto"/>
              <w:bottom w:val="single" w:sz="4" w:space="0" w:color="auto"/>
              <w:right w:val="single" w:sz="4" w:space="0" w:color="auto"/>
            </w:tcBorders>
          </w:tcPr>
          <w:p w:rsidR="00A97702" w:rsidRPr="00616DC3" w:rsidRDefault="00A97702" w:rsidP="00DA1C9D">
            <w:pPr>
              <w:pStyle w:val="Table"/>
              <w:spacing w:before="60" w:after="0"/>
              <w:rPr>
                <w:rFonts w:ascii="Book Antiqua" w:hAnsi="Book Antiqua"/>
                <w:b/>
                <w:noProof/>
                <w:sz w:val="22"/>
                <w:szCs w:val="22"/>
                <w:lang w:val="en-GB"/>
              </w:rPr>
            </w:pPr>
            <w:r w:rsidRPr="00616DC3">
              <w:rPr>
                <w:rFonts w:ascii="Book Antiqua" w:hAnsi="Book Antiqua"/>
                <w:b/>
                <w:noProof/>
                <w:sz w:val="22"/>
                <w:szCs w:val="22"/>
                <w:lang w:val="en-GB"/>
              </w:rPr>
              <w:t>Lead</w:t>
            </w:r>
          </w:p>
        </w:tc>
        <w:tc>
          <w:tcPr>
            <w:tcW w:w="2424" w:type="dxa"/>
            <w:tcBorders>
              <w:top w:val="single" w:sz="4" w:space="0" w:color="auto"/>
              <w:left w:val="single" w:sz="4" w:space="0" w:color="auto"/>
              <w:bottom w:val="single" w:sz="4" w:space="0" w:color="auto"/>
              <w:right w:val="single" w:sz="4" w:space="0" w:color="auto"/>
            </w:tcBorders>
            <w:shd w:val="clear" w:color="auto" w:fill="DDD9C3"/>
          </w:tcPr>
          <w:p w:rsidR="00A97702" w:rsidRPr="00616DC3" w:rsidRDefault="00A97702" w:rsidP="00DA1C9D">
            <w:pPr>
              <w:pStyle w:val="Table"/>
              <w:spacing w:before="60" w:after="0"/>
              <w:jc w:val="center"/>
              <w:rPr>
                <w:rFonts w:ascii="Book Antiqua" w:hAnsi="Book Antiqua"/>
                <w:noProof/>
                <w:sz w:val="22"/>
                <w:szCs w:val="22"/>
                <w:lang w:val="en-GB"/>
              </w:rPr>
            </w:pPr>
            <w:r w:rsidRPr="00616DC3">
              <w:rPr>
                <w:rFonts w:ascii="Book Antiqua" w:hAnsi="Book Antiqua"/>
                <w:noProof/>
                <w:sz w:val="22"/>
                <w:szCs w:val="22"/>
              </w:rPr>
              <w:t>470</w:t>
            </w:r>
          </w:p>
        </w:tc>
        <w:tc>
          <w:tcPr>
            <w:tcW w:w="2544" w:type="dxa"/>
            <w:tcBorders>
              <w:top w:val="single" w:sz="4" w:space="0" w:color="auto"/>
              <w:left w:val="single" w:sz="4" w:space="0" w:color="auto"/>
              <w:bottom w:val="single" w:sz="4" w:space="0" w:color="auto"/>
              <w:right w:val="single" w:sz="4" w:space="0" w:color="auto"/>
            </w:tcBorders>
            <w:shd w:val="clear" w:color="auto" w:fill="EAFADD"/>
          </w:tcPr>
          <w:p w:rsidR="00A97702" w:rsidRPr="00616DC3" w:rsidRDefault="00A97702" w:rsidP="00DA1C9D">
            <w:pPr>
              <w:pStyle w:val="Table"/>
              <w:spacing w:before="60" w:after="0"/>
              <w:jc w:val="center"/>
              <w:rPr>
                <w:rFonts w:ascii="Book Antiqua" w:hAnsi="Book Antiqua"/>
                <w:noProof/>
                <w:sz w:val="22"/>
                <w:szCs w:val="22"/>
                <w:lang w:val="en-GB"/>
              </w:rPr>
            </w:pPr>
            <w:r w:rsidRPr="00616DC3">
              <w:rPr>
                <w:rFonts w:ascii="Book Antiqua" w:hAnsi="Book Antiqua"/>
                <w:noProof/>
                <w:sz w:val="22"/>
                <w:szCs w:val="22"/>
              </w:rPr>
              <w:t>1100</w:t>
            </w:r>
          </w:p>
        </w:tc>
        <w:tc>
          <w:tcPr>
            <w:tcW w:w="2544" w:type="dxa"/>
            <w:tcBorders>
              <w:top w:val="single" w:sz="4" w:space="0" w:color="auto"/>
              <w:left w:val="single" w:sz="4" w:space="0" w:color="auto"/>
              <w:bottom w:val="single" w:sz="4" w:space="0" w:color="auto"/>
              <w:right w:val="single" w:sz="4" w:space="0" w:color="auto"/>
            </w:tcBorders>
            <w:shd w:val="clear" w:color="auto" w:fill="DBE5F1"/>
          </w:tcPr>
          <w:p w:rsidR="00A97702" w:rsidRPr="00616DC3" w:rsidRDefault="00A97702" w:rsidP="00DA1C9D">
            <w:pPr>
              <w:pStyle w:val="Table"/>
              <w:spacing w:before="60" w:after="0"/>
              <w:jc w:val="center"/>
              <w:rPr>
                <w:rFonts w:ascii="Book Antiqua" w:hAnsi="Book Antiqua"/>
                <w:noProof/>
                <w:sz w:val="22"/>
                <w:szCs w:val="22"/>
                <w:lang w:val="en-GB"/>
              </w:rPr>
            </w:pPr>
            <w:r w:rsidRPr="00616DC3">
              <w:rPr>
                <w:rFonts w:ascii="Book Antiqua" w:hAnsi="Book Antiqua"/>
                <w:noProof/>
                <w:sz w:val="22"/>
                <w:szCs w:val="22"/>
              </w:rPr>
              <w:t>1800</w:t>
            </w:r>
          </w:p>
        </w:tc>
      </w:tr>
      <w:tr w:rsidR="00A97702" w:rsidRPr="00616DC3" w:rsidTr="00DA1C9D">
        <w:tc>
          <w:tcPr>
            <w:tcW w:w="9072" w:type="dxa"/>
            <w:gridSpan w:val="4"/>
            <w:tcBorders>
              <w:top w:val="single" w:sz="4" w:space="0" w:color="auto"/>
              <w:bottom w:val="single" w:sz="4" w:space="0" w:color="auto"/>
            </w:tcBorders>
          </w:tcPr>
          <w:p w:rsidR="00A97702" w:rsidRPr="00616DC3" w:rsidRDefault="00A97702" w:rsidP="00DA1C9D">
            <w:pPr>
              <w:pStyle w:val="Note"/>
              <w:spacing w:after="40"/>
              <w:jc w:val="left"/>
              <w:rPr>
                <w:rFonts w:cs="Arial"/>
                <w:b/>
                <w:sz w:val="18"/>
                <w:szCs w:val="18"/>
              </w:rPr>
            </w:pPr>
            <w:r w:rsidRPr="00616DC3">
              <w:rPr>
                <w:rFonts w:cs="Arial"/>
                <w:b/>
                <w:sz w:val="18"/>
                <w:szCs w:val="18"/>
              </w:rPr>
              <w:t>Notes:</w:t>
            </w:r>
          </w:p>
          <w:p w:rsidR="00A97702" w:rsidRPr="00616DC3" w:rsidRDefault="00A97702" w:rsidP="00A97702">
            <w:pPr>
              <w:pStyle w:val="ListParagraph"/>
              <w:numPr>
                <w:ilvl w:val="0"/>
                <w:numId w:val="43"/>
              </w:numPr>
              <w:spacing w:before="20" w:after="20"/>
              <w:jc w:val="left"/>
              <w:rPr>
                <w:rFonts w:cs="Arial"/>
                <w:sz w:val="18"/>
                <w:szCs w:val="18"/>
              </w:rPr>
            </w:pPr>
            <w:r w:rsidRPr="00616DC3">
              <w:rPr>
                <w:rFonts w:cs="Arial"/>
                <w:sz w:val="18"/>
                <w:szCs w:val="18"/>
              </w:rPr>
              <w:t>Urban residential/public open space is broadly equivalent to the HIL A, HIL B and HIL C land use scenarios in Table 1A(1) Footnote 1 and as described in Schedule B7.</w:t>
            </w:r>
          </w:p>
          <w:p w:rsidR="00A97702" w:rsidRPr="00616DC3" w:rsidRDefault="00A97702" w:rsidP="00A97702">
            <w:pPr>
              <w:pStyle w:val="ListParagraph"/>
              <w:numPr>
                <w:ilvl w:val="0"/>
                <w:numId w:val="43"/>
              </w:numPr>
              <w:spacing w:before="20" w:after="20"/>
              <w:jc w:val="left"/>
              <w:rPr>
                <w:rFonts w:cs="Arial"/>
                <w:sz w:val="18"/>
                <w:szCs w:val="18"/>
              </w:rPr>
            </w:pPr>
            <w:r w:rsidRPr="00616DC3">
              <w:rPr>
                <w:rFonts w:cs="Arial"/>
                <w:sz w:val="18"/>
                <w:szCs w:val="18"/>
              </w:rPr>
              <w:t xml:space="preserve">Aged values are </w:t>
            </w:r>
            <w:r w:rsidRPr="00616DC3">
              <w:rPr>
                <w:rFonts w:cs="Arial"/>
                <w:sz w:val="18"/>
                <w:szCs w:val="18"/>
                <w:lang w:val="en-GB"/>
              </w:rPr>
              <w:t>applicable to lead contamination present in soil for at least two years. For fresh contamination refer to Schedule B5c.</w:t>
            </w:r>
          </w:p>
          <w:p w:rsidR="00A97702" w:rsidRPr="00616DC3" w:rsidRDefault="00A97702" w:rsidP="00A97702">
            <w:pPr>
              <w:pStyle w:val="ListParagraph"/>
              <w:numPr>
                <w:ilvl w:val="0"/>
                <w:numId w:val="43"/>
              </w:numPr>
              <w:spacing w:before="20" w:after="20"/>
              <w:jc w:val="left"/>
              <w:rPr>
                <w:rFonts w:cs="Arial"/>
                <w:sz w:val="18"/>
                <w:szCs w:val="18"/>
              </w:rPr>
            </w:pPr>
            <w:r w:rsidRPr="00616DC3">
              <w:rPr>
                <w:rFonts w:cs="Arial"/>
                <w:sz w:val="18"/>
                <w:szCs w:val="18"/>
              </w:rPr>
              <w:t>The EIL is calculated from summing the ACL and the ABC.</w:t>
            </w:r>
          </w:p>
          <w:p w:rsidR="00A97702" w:rsidRPr="00616DC3" w:rsidRDefault="00A97702" w:rsidP="00DA1C9D">
            <w:pPr>
              <w:spacing w:before="20" w:after="20"/>
              <w:ind w:left="360"/>
              <w:jc w:val="center"/>
              <w:rPr>
                <w:rFonts w:cs="Arial"/>
                <w:sz w:val="18"/>
                <w:szCs w:val="18"/>
              </w:rPr>
            </w:pPr>
          </w:p>
          <w:p w:rsidR="00A97702" w:rsidRDefault="00A97702" w:rsidP="00DA1C9D">
            <w:pPr>
              <w:pStyle w:val="text"/>
              <w:rPr>
                <w:b/>
                <w:bCs/>
                <w:lang w:val="en-GB"/>
              </w:rPr>
            </w:pPr>
          </w:p>
          <w:p w:rsidR="00A97702" w:rsidRPr="00616DC3" w:rsidRDefault="00A97702" w:rsidP="00DA1C9D">
            <w:pPr>
              <w:pStyle w:val="Caption"/>
              <w:rPr>
                <w:lang w:val="en-GB"/>
              </w:rPr>
            </w:pPr>
            <w:r w:rsidRPr="00616DC3">
              <w:rPr>
                <w:lang w:val="en-GB"/>
              </w:rPr>
              <w:t>Table 1B(5)</w:t>
            </w:r>
            <w:r w:rsidRPr="00616DC3">
              <w:rPr>
                <w:lang w:val="en-GB"/>
              </w:rPr>
              <w:tab/>
              <w:t>Generic EILs for aged As, fresh DDT and fresh naphthalene in soils irrespective of their physicochemical properties</w:t>
            </w:r>
          </w:p>
        </w:tc>
      </w:tr>
      <w:tr w:rsidR="00A97702" w:rsidRPr="00616DC3" w:rsidTr="00DA1C9D">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97702" w:rsidRPr="003011B4" w:rsidRDefault="00A97702" w:rsidP="00DA1C9D">
            <w:pPr>
              <w:pStyle w:val="Table"/>
              <w:rPr>
                <w:rFonts w:ascii="Book Antiqua" w:hAnsi="Book Antiqua"/>
                <w:noProof/>
                <w:sz w:val="22"/>
                <w:szCs w:val="22"/>
                <w:lang w:val="en-GB"/>
              </w:rPr>
            </w:pPr>
            <w:r w:rsidRPr="003011B4">
              <w:rPr>
                <w:rFonts w:ascii="Book Antiqua" w:hAnsi="Book Antiqua"/>
                <w:noProof/>
                <w:sz w:val="22"/>
                <w:szCs w:val="22"/>
                <w:lang w:val="en-GB"/>
              </w:rPr>
              <w:lastRenderedPageBreak/>
              <w:t xml:space="preserve"> </w:t>
            </w:r>
          </w:p>
        </w:tc>
        <w:tc>
          <w:tcPr>
            <w:tcW w:w="75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A97702" w:rsidRPr="003011B4" w:rsidRDefault="00A97702" w:rsidP="00DA1C9D">
            <w:pPr>
              <w:pStyle w:val="Table"/>
              <w:jc w:val="center"/>
              <w:rPr>
                <w:rFonts w:ascii="Book Antiqua" w:hAnsi="Book Antiqua"/>
                <w:b/>
                <w:noProof/>
                <w:sz w:val="22"/>
                <w:szCs w:val="22"/>
                <w:lang w:val="en-GB"/>
              </w:rPr>
            </w:pPr>
            <w:r w:rsidRPr="003011B4">
              <w:rPr>
                <w:rFonts w:ascii="Book Antiqua" w:hAnsi="Book Antiqua"/>
                <w:b/>
                <w:noProof/>
                <w:sz w:val="22"/>
                <w:szCs w:val="22"/>
                <w:lang w:val="en-GB"/>
              </w:rPr>
              <w:t>Ecological Investigation Levels (mg total contaminant/kg)</w:t>
            </w:r>
          </w:p>
        </w:tc>
      </w:tr>
      <w:tr w:rsidR="00A97702" w:rsidRPr="00616DC3" w:rsidTr="00DA1C9D">
        <w:tc>
          <w:tcPr>
            <w:tcW w:w="1560" w:type="dxa"/>
            <w:tcBorders>
              <w:top w:val="single" w:sz="4" w:space="0" w:color="auto"/>
              <w:left w:val="single" w:sz="4" w:space="0" w:color="auto"/>
              <w:bottom w:val="single" w:sz="4" w:space="0" w:color="auto"/>
              <w:right w:val="single" w:sz="4" w:space="0" w:color="auto"/>
            </w:tcBorders>
          </w:tcPr>
          <w:p w:rsidR="00A97702" w:rsidRPr="003011B4" w:rsidRDefault="00A97702" w:rsidP="00DA1C9D">
            <w:pPr>
              <w:pStyle w:val="Table"/>
              <w:spacing w:before="60" w:after="60"/>
              <w:jc w:val="center"/>
              <w:rPr>
                <w:rFonts w:ascii="Book Antiqua" w:hAnsi="Book Antiqua"/>
                <w:b/>
                <w:noProof/>
                <w:sz w:val="22"/>
                <w:szCs w:val="22"/>
                <w:lang w:val="en-GB"/>
              </w:rPr>
            </w:pPr>
            <w:r w:rsidRPr="003011B4">
              <w:rPr>
                <w:rFonts w:ascii="Book Antiqua" w:hAnsi="Book Antiqua"/>
                <w:b/>
                <w:sz w:val="22"/>
                <w:szCs w:val="22"/>
              </w:rPr>
              <w:t>CHEMICAL</w:t>
            </w:r>
          </w:p>
        </w:tc>
        <w:tc>
          <w:tcPr>
            <w:tcW w:w="2424" w:type="dxa"/>
            <w:tcBorders>
              <w:top w:val="single" w:sz="4" w:space="0" w:color="auto"/>
              <w:left w:val="single" w:sz="4" w:space="0" w:color="auto"/>
              <w:bottom w:val="single" w:sz="4" w:space="0" w:color="auto"/>
              <w:right w:val="single" w:sz="4" w:space="0" w:color="auto"/>
            </w:tcBorders>
            <w:shd w:val="clear" w:color="auto" w:fill="DDD9C3"/>
          </w:tcPr>
          <w:p w:rsidR="00A97702" w:rsidRPr="003011B4" w:rsidRDefault="00A97702" w:rsidP="00DA1C9D">
            <w:pPr>
              <w:pStyle w:val="Table"/>
              <w:spacing w:before="60" w:after="60"/>
              <w:jc w:val="center"/>
              <w:rPr>
                <w:rFonts w:ascii="Book Antiqua" w:hAnsi="Book Antiqua"/>
                <w:b/>
                <w:noProof/>
                <w:sz w:val="22"/>
                <w:szCs w:val="22"/>
                <w:lang w:val="en-GB"/>
              </w:rPr>
            </w:pPr>
            <w:r w:rsidRPr="003011B4">
              <w:rPr>
                <w:rFonts w:ascii="Book Antiqua" w:hAnsi="Book Antiqua"/>
                <w:b/>
                <w:sz w:val="22"/>
                <w:szCs w:val="22"/>
              </w:rPr>
              <w:t>Areas of ecological significance</w:t>
            </w:r>
          </w:p>
        </w:tc>
        <w:tc>
          <w:tcPr>
            <w:tcW w:w="2544" w:type="dxa"/>
            <w:tcBorders>
              <w:top w:val="single" w:sz="4" w:space="0" w:color="auto"/>
              <w:left w:val="single" w:sz="4" w:space="0" w:color="auto"/>
              <w:bottom w:val="single" w:sz="4" w:space="0" w:color="auto"/>
              <w:right w:val="single" w:sz="4" w:space="0" w:color="auto"/>
            </w:tcBorders>
            <w:shd w:val="clear" w:color="auto" w:fill="EAFADD"/>
          </w:tcPr>
          <w:p w:rsidR="00A97702" w:rsidRPr="003011B4" w:rsidRDefault="00A97702" w:rsidP="00DA1C9D">
            <w:pPr>
              <w:pStyle w:val="Table"/>
              <w:spacing w:before="60" w:after="60"/>
              <w:jc w:val="center"/>
              <w:rPr>
                <w:rFonts w:ascii="Book Antiqua" w:hAnsi="Book Antiqua"/>
                <w:b/>
                <w:noProof/>
                <w:sz w:val="22"/>
                <w:szCs w:val="22"/>
                <w:lang w:val="en-GB"/>
              </w:rPr>
            </w:pPr>
            <w:r w:rsidRPr="003011B4">
              <w:rPr>
                <w:rFonts w:ascii="Book Antiqua" w:hAnsi="Book Antiqua"/>
                <w:b/>
                <w:sz w:val="22"/>
                <w:szCs w:val="22"/>
              </w:rPr>
              <w:t>Urban residential and public open space</w:t>
            </w:r>
            <w:r w:rsidRPr="003011B4">
              <w:rPr>
                <w:rFonts w:ascii="Book Antiqua" w:hAnsi="Book Antiqua"/>
                <w:b/>
                <w:sz w:val="22"/>
                <w:szCs w:val="22"/>
                <w:vertAlign w:val="superscript"/>
              </w:rPr>
              <w:t>1</w:t>
            </w:r>
          </w:p>
        </w:tc>
        <w:tc>
          <w:tcPr>
            <w:tcW w:w="2544" w:type="dxa"/>
            <w:tcBorders>
              <w:top w:val="single" w:sz="4" w:space="0" w:color="auto"/>
              <w:left w:val="single" w:sz="4" w:space="0" w:color="auto"/>
              <w:bottom w:val="single" w:sz="4" w:space="0" w:color="auto"/>
              <w:right w:val="single" w:sz="4" w:space="0" w:color="auto"/>
            </w:tcBorders>
            <w:shd w:val="clear" w:color="auto" w:fill="DBE5F1"/>
          </w:tcPr>
          <w:p w:rsidR="00A97702" w:rsidRPr="003011B4" w:rsidRDefault="00A97702" w:rsidP="00DA1C9D">
            <w:pPr>
              <w:pStyle w:val="Table"/>
              <w:spacing w:before="60" w:after="60"/>
              <w:jc w:val="center"/>
              <w:rPr>
                <w:rFonts w:ascii="Book Antiqua" w:hAnsi="Book Antiqua"/>
                <w:b/>
                <w:noProof/>
                <w:sz w:val="22"/>
                <w:szCs w:val="22"/>
                <w:lang w:val="en-GB"/>
              </w:rPr>
            </w:pPr>
            <w:r w:rsidRPr="003011B4">
              <w:rPr>
                <w:rFonts w:ascii="Book Antiqua" w:hAnsi="Book Antiqua"/>
                <w:b/>
                <w:sz w:val="22"/>
                <w:szCs w:val="22"/>
              </w:rPr>
              <w:t>Commercial and industrial</w:t>
            </w:r>
          </w:p>
        </w:tc>
      </w:tr>
      <w:tr w:rsidR="00A97702" w:rsidRPr="00616DC3" w:rsidTr="00DA1C9D">
        <w:tc>
          <w:tcPr>
            <w:tcW w:w="1560" w:type="dxa"/>
            <w:tcBorders>
              <w:top w:val="single" w:sz="4" w:space="0" w:color="auto"/>
              <w:left w:val="single" w:sz="4" w:space="0" w:color="auto"/>
              <w:bottom w:val="single" w:sz="4" w:space="0" w:color="auto"/>
              <w:right w:val="single" w:sz="4" w:space="0" w:color="auto"/>
            </w:tcBorders>
          </w:tcPr>
          <w:p w:rsidR="00A97702" w:rsidRPr="003011B4" w:rsidRDefault="00A97702" w:rsidP="00DA1C9D">
            <w:pPr>
              <w:pStyle w:val="Table"/>
              <w:spacing w:before="60" w:after="60"/>
              <w:rPr>
                <w:rFonts w:ascii="Book Antiqua" w:hAnsi="Book Antiqua"/>
                <w:b/>
                <w:noProof/>
                <w:sz w:val="22"/>
                <w:szCs w:val="22"/>
                <w:lang w:val="en-GB"/>
              </w:rPr>
            </w:pPr>
            <w:r w:rsidRPr="003011B4">
              <w:rPr>
                <w:rFonts w:ascii="Book Antiqua" w:hAnsi="Book Antiqua"/>
                <w:b/>
                <w:noProof/>
                <w:sz w:val="22"/>
                <w:szCs w:val="22"/>
                <w:lang w:val="en-GB"/>
              </w:rPr>
              <w:t>Arsenic</w:t>
            </w:r>
            <w:r w:rsidRPr="003011B4">
              <w:rPr>
                <w:rFonts w:ascii="Book Antiqua" w:hAnsi="Book Antiqua"/>
                <w:b/>
                <w:noProof/>
                <w:sz w:val="22"/>
                <w:szCs w:val="22"/>
                <w:vertAlign w:val="superscript"/>
                <w:lang w:val="en-GB"/>
              </w:rPr>
              <w:t>2</w:t>
            </w:r>
          </w:p>
        </w:tc>
        <w:tc>
          <w:tcPr>
            <w:tcW w:w="2424" w:type="dxa"/>
            <w:tcBorders>
              <w:top w:val="single" w:sz="4" w:space="0" w:color="auto"/>
              <w:left w:val="single" w:sz="4" w:space="0" w:color="auto"/>
              <w:bottom w:val="single" w:sz="4" w:space="0" w:color="auto"/>
              <w:right w:val="single" w:sz="4" w:space="0" w:color="auto"/>
            </w:tcBorders>
            <w:shd w:val="clear" w:color="auto" w:fill="DDD9C3"/>
          </w:tcPr>
          <w:p w:rsidR="00A97702" w:rsidRPr="003011B4" w:rsidRDefault="00A97702" w:rsidP="00DA1C9D">
            <w:pPr>
              <w:pStyle w:val="Table"/>
              <w:spacing w:before="60" w:after="60"/>
              <w:jc w:val="center"/>
              <w:rPr>
                <w:rFonts w:ascii="Book Antiqua" w:hAnsi="Book Antiqua"/>
                <w:noProof/>
                <w:sz w:val="22"/>
                <w:szCs w:val="22"/>
                <w:lang w:val="en-GB"/>
              </w:rPr>
            </w:pPr>
            <w:r w:rsidRPr="003011B4">
              <w:rPr>
                <w:rFonts w:ascii="Book Antiqua" w:hAnsi="Book Antiqua"/>
                <w:noProof/>
                <w:sz w:val="22"/>
                <w:szCs w:val="22"/>
                <w:lang w:val="en-GB"/>
              </w:rPr>
              <w:t>40</w:t>
            </w:r>
          </w:p>
        </w:tc>
        <w:tc>
          <w:tcPr>
            <w:tcW w:w="2544" w:type="dxa"/>
            <w:tcBorders>
              <w:top w:val="single" w:sz="4" w:space="0" w:color="auto"/>
              <w:left w:val="single" w:sz="4" w:space="0" w:color="auto"/>
              <w:bottom w:val="single" w:sz="4" w:space="0" w:color="auto"/>
              <w:right w:val="single" w:sz="4" w:space="0" w:color="auto"/>
            </w:tcBorders>
            <w:shd w:val="clear" w:color="auto" w:fill="EAFADD"/>
          </w:tcPr>
          <w:p w:rsidR="00A97702" w:rsidRPr="003011B4" w:rsidRDefault="00A97702" w:rsidP="00DA1C9D">
            <w:pPr>
              <w:pStyle w:val="Table"/>
              <w:spacing w:before="60" w:after="60"/>
              <w:jc w:val="center"/>
              <w:rPr>
                <w:rFonts w:ascii="Book Antiqua" w:hAnsi="Book Antiqua"/>
                <w:noProof/>
                <w:sz w:val="22"/>
                <w:szCs w:val="22"/>
                <w:lang w:val="en-GB"/>
              </w:rPr>
            </w:pPr>
            <w:r w:rsidRPr="003011B4">
              <w:rPr>
                <w:rFonts w:ascii="Book Antiqua" w:hAnsi="Book Antiqua"/>
                <w:noProof/>
                <w:sz w:val="22"/>
                <w:szCs w:val="22"/>
                <w:lang w:val="en-GB"/>
              </w:rPr>
              <w:t>100</w:t>
            </w:r>
          </w:p>
        </w:tc>
        <w:tc>
          <w:tcPr>
            <w:tcW w:w="2544" w:type="dxa"/>
            <w:tcBorders>
              <w:top w:val="single" w:sz="4" w:space="0" w:color="auto"/>
              <w:left w:val="single" w:sz="4" w:space="0" w:color="auto"/>
              <w:bottom w:val="single" w:sz="4" w:space="0" w:color="auto"/>
              <w:right w:val="single" w:sz="4" w:space="0" w:color="auto"/>
            </w:tcBorders>
            <w:shd w:val="clear" w:color="auto" w:fill="DBE5F1"/>
          </w:tcPr>
          <w:p w:rsidR="00A97702" w:rsidRPr="003011B4" w:rsidRDefault="00A97702" w:rsidP="00DA1C9D">
            <w:pPr>
              <w:pStyle w:val="Table"/>
              <w:spacing w:before="60" w:after="60"/>
              <w:jc w:val="center"/>
              <w:rPr>
                <w:rFonts w:ascii="Book Antiqua" w:hAnsi="Book Antiqua"/>
                <w:noProof/>
                <w:sz w:val="22"/>
                <w:szCs w:val="22"/>
                <w:lang w:val="en-GB"/>
              </w:rPr>
            </w:pPr>
            <w:r w:rsidRPr="003011B4">
              <w:rPr>
                <w:rFonts w:ascii="Book Antiqua" w:hAnsi="Book Antiqua"/>
                <w:noProof/>
                <w:sz w:val="22"/>
                <w:szCs w:val="22"/>
                <w:lang w:val="en-GB"/>
              </w:rPr>
              <w:t>160</w:t>
            </w:r>
          </w:p>
        </w:tc>
      </w:tr>
      <w:tr w:rsidR="00A97702" w:rsidRPr="00616DC3" w:rsidTr="00DA1C9D">
        <w:tc>
          <w:tcPr>
            <w:tcW w:w="1560" w:type="dxa"/>
            <w:tcBorders>
              <w:top w:val="single" w:sz="4" w:space="0" w:color="auto"/>
              <w:left w:val="single" w:sz="4" w:space="0" w:color="auto"/>
              <w:bottom w:val="single" w:sz="4" w:space="0" w:color="auto"/>
              <w:right w:val="single" w:sz="4" w:space="0" w:color="auto"/>
            </w:tcBorders>
          </w:tcPr>
          <w:p w:rsidR="00A97702" w:rsidRPr="003011B4" w:rsidRDefault="00A97702" w:rsidP="00DA1C9D">
            <w:pPr>
              <w:pStyle w:val="Table"/>
              <w:spacing w:before="60" w:after="60"/>
              <w:rPr>
                <w:rFonts w:ascii="Book Antiqua" w:hAnsi="Book Antiqua"/>
                <w:b/>
                <w:noProof/>
                <w:sz w:val="22"/>
                <w:szCs w:val="22"/>
                <w:lang w:val="en-GB"/>
              </w:rPr>
            </w:pPr>
            <w:r w:rsidRPr="003011B4">
              <w:rPr>
                <w:rFonts w:ascii="Book Antiqua" w:hAnsi="Book Antiqua"/>
                <w:b/>
                <w:noProof/>
                <w:sz w:val="22"/>
                <w:szCs w:val="22"/>
                <w:lang w:val="en-GB"/>
              </w:rPr>
              <w:t>DDT</w:t>
            </w:r>
            <w:r w:rsidRPr="003011B4">
              <w:rPr>
                <w:rFonts w:ascii="Book Antiqua" w:hAnsi="Book Antiqua"/>
                <w:b/>
                <w:noProof/>
                <w:sz w:val="22"/>
                <w:szCs w:val="22"/>
                <w:vertAlign w:val="superscript"/>
                <w:lang w:val="en-GB"/>
              </w:rPr>
              <w:t>3</w:t>
            </w:r>
          </w:p>
        </w:tc>
        <w:tc>
          <w:tcPr>
            <w:tcW w:w="2424" w:type="dxa"/>
            <w:tcBorders>
              <w:top w:val="single" w:sz="4" w:space="0" w:color="auto"/>
              <w:left w:val="single" w:sz="4" w:space="0" w:color="auto"/>
              <w:bottom w:val="single" w:sz="4" w:space="0" w:color="auto"/>
              <w:right w:val="single" w:sz="4" w:space="0" w:color="auto"/>
            </w:tcBorders>
            <w:shd w:val="clear" w:color="auto" w:fill="DDD9C3"/>
          </w:tcPr>
          <w:p w:rsidR="00A97702" w:rsidRPr="003011B4" w:rsidRDefault="00A97702" w:rsidP="00DA1C9D">
            <w:pPr>
              <w:pStyle w:val="Table"/>
              <w:spacing w:before="60" w:after="60"/>
              <w:jc w:val="center"/>
              <w:rPr>
                <w:rFonts w:ascii="Book Antiqua" w:hAnsi="Book Antiqua"/>
                <w:noProof/>
                <w:sz w:val="22"/>
                <w:szCs w:val="22"/>
                <w:lang w:val="en-GB"/>
              </w:rPr>
            </w:pPr>
            <w:r w:rsidRPr="003011B4">
              <w:rPr>
                <w:rFonts w:ascii="Book Antiqua" w:hAnsi="Book Antiqua"/>
                <w:noProof/>
                <w:sz w:val="22"/>
                <w:szCs w:val="22"/>
                <w:lang w:val="en-GB"/>
              </w:rPr>
              <w:t>3</w:t>
            </w:r>
          </w:p>
        </w:tc>
        <w:tc>
          <w:tcPr>
            <w:tcW w:w="2544" w:type="dxa"/>
            <w:tcBorders>
              <w:top w:val="single" w:sz="4" w:space="0" w:color="auto"/>
              <w:left w:val="single" w:sz="4" w:space="0" w:color="auto"/>
              <w:bottom w:val="single" w:sz="4" w:space="0" w:color="auto"/>
              <w:right w:val="single" w:sz="4" w:space="0" w:color="auto"/>
            </w:tcBorders>
            <w:shd w:val="clear" w:color="auto" w:fill="EAFADD"/>
          </w:tcPr>
          <w:p w:rsidR="00A97702" w:rsidRPr="003011B4" w:rsidRDefault="00A97702" w:rsidP="00DA1C9D">
            <w:pPr>
              <w:pStyle w:val="Table"/>
              <w:spacing w:before="60" w:after="60"/>
              <w:jc w:val="center"/>
              <w:rPr>
                <w:rFonts w:ascii="Book Antiqua" w:hAnsi="Book Antiqua"/>
                <w:noProof/>
                <w:sz w:val="22"/>
                <w:szCs w:val="22"/>
                <w:lang w:val="en-GB"/>
              </w:rPr>
            </w:pPr>
            <w:r w:rsidRPr="003011B4">
              <w:rPr>
                <w:rFonts w:ascii="Book Antiqua" w:hAnsi="Book Antiqua"/>
                <w:noProof/>
                <w:sz w:val="22"/>
                <w:szCs w:val="22"/>
                <w:lang w:val="en-GB"/>
              </w:rPr>
              <w:t>180</w:t>
            </w:r>
          </w:p>
        </w:tc>
        <w:tc>
          <w:tcPr>
            <w:tcW w:w="2544" w:type="dxa"/>
            <w:tcBorders>
              <w:top w:val="single" w:sz="4" w:space="0" w:color="auto"/>
              <w:left w:val="single" w:sz="4" w:space="0" w:color="auto"/>
              <w:bottom w:val="single" w:sz="4" w:space="0" w:color="auto"/>
              <w:right w:val="single" w:sz="4" w:space="0" w:color="auto"/>
            </w:tcBorders>
            <w:shd w:val="clear" w:color="auto" w:fill="DBE5F1"/>
          </w:tcPr>
          <w:p w:rsidR="00A97702" w:rsidRPr="003011B4" w:rsidRDefault="00A97702" w:rsidP="00DA1C9D">
            <w:pPr>
              <w:pStyle w:val="Table"/>
              <w:spacing w:before="60" w:after="60"/>
              <w:jc w:val="center"/>
              <w:rPr>
                <w:rFonts w:ascii="Book Antiqua" w:hAnsi="Book Antiqua"/>
                <w:noProof/>
                <w:sz w:val="22"/>
                <w:szCs w:val="22"/>
                <w:lang w:val="en-GB"/>
              </w:rPr>
            </w:pPr>
            <w:r w:rsidRPr="003011B4">
              <w:rPr>
                <w:rFonts w:ascii="Book Antiqua" w:hAnsi="Book Antiqua"/>
                <w:noProof/>
                <w:sz w:val="22"/>
                <w:szCs w:val="22"/>
                <w:lang w:val="en-GB"/>
              </w:rPr>
              <w:t>640</w:t>
            </w:r>
          </w:p>
        </w:tc>
      </w:tr>
      <w:tr w:rsidR="00A97702" w:rsidRPr="00616DC3" w:rsidTr="00DA1C9D">
        <w:tc>
          <w:tcPr>
            <w:tcW w:w="1560" w:type="dxa"/>
            <w:tcBorders>
              <w:top w:val="single" w:sz="4" w:space="0" w:color="auto"/>
              <w:left w:val="single" w:sz="4" w:space="0" w:color="auto"/>
              <w:bottom w:val="single" w:sz="4" w:space="0" w:color="auto"/>
              <w:right w:val="single" w:sz="4" w:space="0" w:color="auto"/>
            </w:tcBorders>
          </w:tcPr>
          <w:p w:rsidR="00A97702" w:rsidRPr="003011B4" w:rsidRDefault="00A97702" w:rsidP="00DA1C9D">
            <w:pPr>
              <w:pStyle w:val="Table"/>
              <w:spacing w:before="60" w:after="60"/>
              <w:rPr>
                <w:rFonts w:ascii="Book Antiqua" w:hAnsi="Book Antiqua"/>
                <w:b/>
                <w:noProof/>
                <w:sz w:val="22"/>
                <w:szCs w:val="22"/>
                <w:lang w:val="en-GB"/>
              </w:rPr>
            </w:pPr>
            <w:r w:rsidRPr="003011B4">
              <w:rPr>
                <w:rFonts w:ascii="Book Antiqua" w:hAnsi="Book Antiqua"/>
                <w:b/>
                <w:noProof/>
                <w:sz w:val="22"/>
                <w:szCs w:val="22"/>
                <w:lang w:val="en-GB"/>
              </w:rPr>
              <w:t>Naphthalene</w:t>
            </w:r>
            <w:r w:rsidRPr="003011B4">
              <w:rPr>
                <w:rFonts w:ascii="Book Antiqua" w:hAnsi="Book Antiqua"/>
                <w:b/>
                <w:noProof/>
                <w:sz w:val="22"/>
                <w:szCs w:val="22"/>
                <w:vertAlign w:val="superscript"/>
                <w:lang w:val="en-GB"/>
              </w:rPr>
              <w:t>3</w:t>
            </w:r>
          </w:p>
        </w:tc>
        <w:tc>
          <w:tcPr>
            <w:tcW w:w="2424" w:type="dxa"/>
            <w:tcBorders>
              <w:top w:val="single" w:sz="4" w:space="0" w:color="auto"/>
              <w:left w:val="single" w:sz="4" w:space="0" w:color="auto"/>
              <w:bottom w:val="single" w:sz="4" w:space="0" w:color="auto"/>
              <w:right w:val="single" w:sz="4" w:space="0" w:color="auto"/>
            </w:tcBorders>
            <w:shd w:val="clear" w:color="auto" w:fill="DDD9C3"/>
          </w:tcPr>
          <w:p w:rsidR="00A97702" w:rsidRPr="003011B4" w:rsidRDefault="00A97702" w:rsidP="00DA1C9D">
            <w:pPr>
              <w:pStyle w:val="Table"/>
              <w:spacing w:before="60" w:after="60"/>
              <w:jc w:val="center"/>
              <w:rPr>
                <w:rFonts w:ascii="Book Antiqua" w:hAnsi="Book Antiqua"/>
                <w:noProof/>
                <w:sz w:val="22"/>
                <w:szCs w:val="22"/>
              </w:rPr>
            </w:pPr>
            <w:r w:rsidRPr="003011B4">
              <w:rPr>
                <w:rFonts w:ascii="Book Antiqua" w:hAnsi="Book Antiqua"/>
                <w:noProof/>
                <w:sz w:val="22"/>
                <w:szCs w:val="22"/>
              </w:rPr>
              <w:t>10</w:t>
            </w:r>
          </w:p>
        </w:tc>
        <w:tc>
          <w:tcPr>
            <w:tcW w:w="2544" w:type="dxa"/>
            <w:tcBorders>
              <w:top w:val="single" w:sz="4" w:space="0" w:color="auto"/>
              <w:left w:val="single" w:sz="4" w:space="0" w:color="auto"/>
              <w:bottom w:val="single" w:sz="4" w:space="0" w:color="auto"/>
              <w:right w:val="single" w:sz="4" w:space="0" w:color="auto"/>
            </w:tcBorders>
            <w:shd w:val="clear" w:color="auto" w:fill="EAFADD"/>
          </w:tcPr>
          <w:p w:rsidR="00A97702" w:rsidRPr="003011B4" w:rsidRDefault="00A97702" w:rsidP="00DA1C9D">
            <w:pPr>
              <w:pStyle w:val="Table"/>
              <w:spacing w:before="60" w:after="60"/>
              <w:jc w:val="center"/>
              <w:rPr>
                <w:rFonts w:ascii="Book Antiqua" w:hAnsi="Book Antiqua"/>
                <w:noProof/>
                <w:sz w:val="22"/>
                <w:szCs w:val="22"/>
              </w:rPr>
            </w:pPr>
            <w:r w:rsidRPr="003011B4">
              <w:rPr>
                <w:rFonts w:ascii="Book Antiqua" w:hAnsi="Book Antiqua"/>
                <w:noProof/>
                <w:sz w:val="22"/>
                <w:szCs w:val="22"/>
              </w:rPr>
              <w:t>170</w:t>
            </w:r>
          </w:p>
        </w:tc>
        <w:tc>
          <w:tcPr>
            <w:tcW w:w="2544" w:type="dxa"/>
            <w:tcBorders>
              <w:top w:val="single" w:sz="4" w:space="0" w:color="auto"/>
              <w:left w:val="single" w:sz="4" w:space="0" w:color="auto"/>
              <w:bottom w:val="single" w:sz="4" w:space="0" w:color="auto"/>
              <w:right w:val="single" w:sz="4" w:space="0" w:color="auto"/>
            </w:tcBorders>
            <w:shd w:val="clear" w:color="auto" w:fill="DBE5F1"/>
          </w:tcPr>
          <w:p w:rsidR="00A97702" w:rsidRPr="003011B4" w:rsidRDefault="00A97702" w:rsidP="00DA1C9D">
            <w:pPr>
              <w:pStyle w:val="Table"/>
              <w:spacing w:before="60" w:after="60"/>
              <w:jc w:val="center"/>
              <w:rPr>
                <w:rFonts w:ascii="Book Antiqua" w:hAnsi="Book Antiqua"/>
                <w:noProof/>
                <w:sz w:val="22"/>
                <w:szCs w:val="22"/>
              </w:rPr>
            </w:pPr>
            <w:r w:rsidRPr="003011B4">
              <w:rPr>
                <w:rFonts w:ascii="Book Antiqua" w:hAnsi="Book Antiqua"/>
                <w:noProof/>
                <w:sz w:val="22"/>
                <w:szCs w:val="22"/>
              </w:rPr>
              <w:t>370</w:t>
            </w:r>
          </w:p>
        </w:tc>
      </w:tr>
    </w:tbl>
    <w:p w:rsidR="00A97702" w:rsidRPr="003011B4" w:rsidRDefault="00A97702" w:rsidP="00A97702">
      <w:pPr>
        <w:pStyle w:val="Note"/>
        <w:spacing w:after="40"/>
        <w:rPr>
          <w:rFonts w:cs="Arial"/>
          <w:b/>
          <w:sz w:val="18"/>
          <w:szCs w:val="18"/>
        </w:rPr>
      </w:pPr>
      <w:r w:rsidRPr="003011B4">
        <w:rPr>
          <w:rFonts w:cs="Arial"/>
          <w:b/>
          <w:sz w:val="18"/>
          <w:szCs w:val="18"/>
        </w:rPr>
        <w:t>Notes:</w:t>
      </w:r>
    </w:p>
    <w:p w:rsidR="00A97702" w:rsidRPr="003011B4" w:rsidRDefault="00A97702" w:rsidP="00A97702">
      <w:pPr>
        <w:pStyle w:val="ListParagraph"/>
        <w:numPr>
          <w:ilvl w:val="0"/>
          <w:numId w:val="44"/>
        </w:numPr>
        <w:spacing w:before="20" w:after="20"/>
        <w:rPr>
          <w:rFonts w:cs="Arial"/>
          <w:sz w:val="18"/>
          <w:szCs w:val="18"/>
        </w:rPr>
      </w:pPr>
      <w:r w:rsidRPr="003011B4">
        <w:rPr>
          <w:rFonts w:cs="Arial"/>
          <w:sz w:val="18"/>
          <w:szCs w:val="18"/>
        </w:rPr>
        <w:t xml:space="preserve">Urban residential/public open space is broadly equivalent to the HIL-A, HIL-B and HIL-C land use scenarios in Table 1A(1) Footnote 1 and as described in Schedule B7. </w:t>
      </w:r>
    </w:p>
    <w:p w:rsidR="00A97702" w:rsidRPr="003011B4" w:rsidRDefault="00A97702" w:rsidP="00A97702">
      <w:pPr>
        <w:pStyle w:val="ListParagraph"/>
        <w:numPr>
          <w:ilvl w:val="0"/>
          <w:numId w:val="44"/>
        </w:numPr>
        <w:spacing w:before="20" w:after="20"/>
        <w:rPr>
          <w:rFonts w:cs="Arial"/>
          <w:sz w:val="18"/>
          <w:szCs w:val="18"/>
        </w:rPr>
      </w:pPr>
      <w:r w:rsidRPr="003011B4">
        <w:rPr>
          <w:rFonts w:cs="Arial"/>
          <w:sz w:val="18"/>
          <w:szCs w:val="18"/>
        </w:rPr>
        <w:t xml:space="preserve">Aged values are </w:t>
      </w:r>
      <w:r w:rsidRPr="003011B4">
        <w:rPr>
          <w:rFonts w:cs="Arial"/>
          <w:sz w:val="18"/>
          <w:szCs w:val="18"/>
          <w:lang w:val="en-GB"/>
        </w:rPr>
        <w:t>applicable to arsenic contamination present in soil for at least two years. For fresh contamination refer to Schedule B5c.</w:t>
      </w:r>
    </w:p>
    <w:p w:rsidR="00A97702" w:rsidRPr="003011B4" w:rsidRDefault="00A97702" w:rsidP="00A97702">
      <w:pPr>
        <w:pStyle w:val="ListParagraph"/>
        <w:numPr>
          <w:ilvl w:val="0"/>
          <w:numId w:val="44"/>
        </w:numPr>
        <w:spacing w:before="20" w:after="20"/>
        <w:rPr>
          <w:rFonts w:cs="Arial"/>
          <w:sz w:val="18"/>
          <w:szCs w:val="18"/>
        </w:rPr>
      </w:pPr>
      <w:r w:rsidRPr="003011B4">
        <w:rPr>
          <w:rFonts w:cs="Arial"/>
          <w:sz w:val="18"/>
          <w:szCs w:val="18"/>
          <w:lang w:val="en-GB"/>
        </w:rPr>
        <w:t>Insufficient data was available to calculate aged values for DDT and naphthalene, consequently the values for fresh contamination should be used.</w:t>
      </w:r>
    </w:p>
    <w:p w:rsidR="00A97702" w:rsidRPr="003011B4" w:rsidRDefault="00A97702" w:rsidP="00A97702">
      <w:pPr>
        <w:pStyle w:val="ListParagraph"/>
        <w:numPr>
          <w:ilvl w:val="0"/>
          <w:numId w:val="44"/>
        </w:numPr>
        <w:spacing w:before="20" w:after="20"/>
        <w:rPr>
          <w:rFonts w:cs="Arial"/>
          <w:sz w:val="18"/>
          <w:szCs w:val="18"/>
        </w:rPr>
      </w:pPr>
      <w:r w:rsidRPr="003011B4">
        <w:rPr>
          <w:rFonts w:cs="Arial"/>
          <w:sz w:val="18"/>
          <w:szCs w:val="18"/>
          <w:lang w:val="en-GB"/>
        </w:rPr>
        <w:t>Insufficient data was available to calculate ACLs for As, DDT and naphthalene. The EIL should be taken directly from Table 1B(5).</w:t>
      </w:r>
    </w:p>
    <w:p w:rsidR="00A97702" w:rsidRDefault="00A97702" w:rsidP="00A97702">
      <w:pPr>
        <w:spacing w:before="20" w:after="20"/>
        <w:rPr>
          <w:rFonts w:ascii="Arial" w:hAnsi="Arial" w:cs="Arial"/>
          <w:sz w:val="16"/>
          <w:szCs w:val="16"/>
        </w:rPr>
      </w:pPr>
    </w:p>
    <w:p w:rsidR="00A97702" w:rsidRPr="003D328D" w:rsidRDefault="00A97702" w:rsidP="00A97702">
      <w:pPr>
        <w:spacing w:before="20" w:after="20"/>
        <w:rPr>
          <w:rFonts w:ascii="Arial" w:hAnsi="Arial" w:cs="Arial"/>
          <w:sz w:val="16"/>
          <w:szCs w:val="16"/>
        </w:rPr>
      </w:pPr>
    </w:p>
    <w:p w:rsidR="00A97702" w:rsidRDefault="00A97702" w:rsidP="00A97702">
      <w:pPr>
        <w:rPr>
          <w:b/>
          <w:szCs w:val="22"/>
        </w:rPr>
      </w:pPr>
      <w:r>
        <w:br w:type="page"/>
      </w:r>
    </w:p>
    <w:p w:rsidR="00A97702" w:rsidRPr="00CF4C5A" w:rsidRDefault="00A97702" w:rsidP="00A97702">
      <w:pPr>
        <w:pStyle w:val="Caption"/>
      </w:pPr>
      <w:r w:rsidRPr="00CF4C5A">
        <w:lastRenderedPageBreak/>
        <w:t>Table 1B(</w:t>
      </w:r>
      <w:r>
        <w:t>6)</w:t>
      </w:r>
      <w:r>
        <w:tab/>
      </w:r>
      <w:r w:rsidRPr="00CF4C5A">
        <w:t xml:space="preserve">ESLs </w:t>
      </w:r>
      <w:r>
        <w:t xml:space="preserve">for </w:t>
      </w:r>
      <w:r w:rsidRPr="00CF4C5A">
        <w:t xml:space="preserve">TPH </w:t>
      </w:r>
      <w:r>
        <w:t xml:space="preserve">fractions F1 – F4, </w:t>
      </w:r>
      <w:r w:rsidRPr="00CF4C5A">
        <w:t>BTEX and benzo(a)pyrene</w:t>
      </w:r>
      <w:r>
        <w:t xml:space="preserve"> in soil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992"/>
        <w:gridCol w:w="1843"/>
        <w:gridCol w:w="2268"/>
        <w:gridCol w:w="2038"/>
      </w:tblGrid>
      <w:tr w:rsidR="00A97702" w:rsidRPr="003011B4" w:rsidTr="00DA1C9D">
        <w:tc>
          <w:tcPr>
            <w:tcW w:w="1843" w:type="dxa"/>
            <w:vMerge w:val="restart"/>
            <w:shd w:val="clear" w:color="auto" w:fill="C6D9F1" w:themeFill="text2" w:themeFillTint="33"/>
          </w:tcPr>
          <w:p w:rsidR="00A97702" w:rsidRPr="003011B4" w:rsidDel="00740CFF" w:rsidRDefault="00A97702" w:rsidP="00DA1C9D">
            <w:pPr>
              <w:spacing w:before="80" w:after="80"/>
              <w:jc w:val="center"/>
              <w:rPr>
                <w:rFonts w:cs="Arial"/>
                <w:b/>
                <w:szCs w:val="22"/>
              </w:rPr>
            </w:pPr>
            <w:r w:rsidRPr="003011B4">
              <w:rPr>
                <w:rFonts w:cs="Arial"/>
                <w:b/>
                <w:szCs w:val="22"/>
              </w:rPr>
              <w:t>CHEMICAL</w:t>
            </w:r>
          </w:p>
        </w:tc>
        <w:tc>
          <w:tcPr>
            <w:tcW w:w="992" w:type="dxa"/>
            <w:vMerge w:val="restart"/>
            <w:shd w:val="clear" w:color="auto" w:fill="C6D9F1" w:themeFill="text2" w:themeFillTint="33"/>
          </w:tcPr>
          <w:p w:rsidR="00A97702" w:rsidRPr="003011B4" w:rsidRDefault="00A97702" w:rsidP="00DA1C9D">
            <w:pPr>
              <w:spacing w:before="80" w:after="80"/>
              <w:jc w:val="center"/>
              <w:rPr>
                <w:rFonts w:cs="Arial"/>
                <w:b/>
                <w:szCs w:val="22"/>
              </w:rPr>
            </w:pPr>
            <w:r w:rsidRPr="003011B4">
              <w:rPr>
                <w:rFonts w:cs="Arial"/>
                <w:b/>
                <w:szCs w:val="22"/>
              </w:rPr>
              <w:t>Soil texture</w:t>
            </w:r>
          </w:p>
        </w:tc>
        <w:tc>
          <w:tcPr>
            <w:tcW w:w="6149" w:type="dxa"/>
            <w:gridSpan w:val="3"/>
            <w:shd w:val="clear" w:color="auto" w:fill="C6D9F1" w:themeFill="text2" w:themeFillTint="33"/>
          </w:tcPr>
          <w:p w:rsidR="00A97702" w:rsidRPr="003011B4" w:rsidRDefault="00A97702" w:rsidP="00DA1C9D">
            <w:pPr>
              <w:spacing w:before="80" w:after="80"/>
              <w:jc w:val="center"/>
              <w:rPr>
                <w:rFonts w:cs="Arial"/>
                <w:b/>
                <w:szCs w:val="22"/>
              </w:rPr>
            </w:pPr>
            <w:r w:rsidRPr="003011B4">
              <w:rPr>
                <w:rFonts w:cs="Arial"/>
                <w:b/>
                <w:szCs w:val="22"/>
              </w:rPr>
              <w:t xml:space="preserve">ESLs (mg/kg dry soil) </w:t>
            </w:r>
          </w:p>
        </w:tc>
      </w:tr>
      <w:tr w:rsidR="00A97702" w:rsidRPr="003011B4" w:rsidTr="00DA1C9D">
        <w:trPr>
          <w:trHeight w:val="512"/>
        </w:trPr>
        <w:tc>
          <w:tcPr>
            <w:tcW w:w="1843" w:type="dxa"/>
            <w:vMerge/>
            <w:tcBorders>
              <w:bottom w:val="single" w:sz="12" w:space="0" w:color="auto"/>
            </w:tcBorders>
          </w:tcPr>
          <w:p w:rsidR="00A97702" w:rsidRPr="003011B4" w:rsidRDefault="00A97702" w:rsidP="00DA1C9D">
            <w:pPr>
              <w:spacing w:before="80" w:after="80"/>
              <w:rPr>
                <w:rFonts w:cs="Arial"/>
                <w:b/>
                <w:szCs w:val="22"/>
              </w:rPr>
            </w:pPr>
          </w:p>
        </w:tc>
        <w:tc>
          <w:tcPr>
            <w:tcW w:w="992" w:type="dxa"/>
            <w:vMerge/>
            <w:tcBorders>
              <w:bottom w:val="single" w:sz="12" w:space="0" w:color="auto"/>
            </w:tcBorders>
            <w:shd w:val="clear" w:color="auto" w:fill="F2F2F2"/>
          </w:tcPr>
          <w:p w:rsidR="00A97702" w:rsidRPr="003011B4" w:rsidRDefault="00A97702" w:rsidP="00DA1C9D">
            <w:pPr>
              <w:spacing w:before="80" w:after="80"/>
              <w:rPr>
                <w:rFonts w:cs="Arial"/>
                <w:b/>
                <w:szCs w:val="22"/>
              </w:rPr>
            </w:pPr>
          </w:p>
        </w:tc>
        <w:tc>
          <w:tcPr>
            <w:tcW w:w="1843" w:type="dxa"/>
            <w:tcBorders>
              <w:bottom w:val="single" w:sz="12" w:space="0" w:color="auto"/>
            </w:tcBorders>
            <w:shd w:val="clear" w:color="auto" w:fill="DDD9C3"/>
          </w:tcPr>
          <w:p w:rsidR="00A97702" w:rsidRPr="003011B4" w:rsidRDefault="00A97702" w:rsidP="00DA1C9D">
            <w:pPr>
              <w:spacing w:before="80" w:after="80"/>
              <w:jc w:val="center"/>
              <w:rPr>
                <w:rFonts w:cs="Arial"/>
                <w:b/>
                <w:szCs w:val="22"/>
              </w:rPr>
            </w:pPr>
            <w:r w:rsidRPr="003011B4">
              <w:rPr>
                <w:rFonts w:cs="Arial"/>
                <w:b/>
                <w:szCs w:val="22"/>
              </w:rPr>
              <w:t>Areas of ecological significance</w:t>
            </w:r>
          </w:p>
        </w:tc>
        <w:tc>
          <w:tcPr>
            <w:tcW w:w="2268" w:type="dxa"/>
            <w:tcBorders>
              <w:bottom w:val="single" w:sz="12" w:space="0" w:color="auto"/>
            </w:tcBorders>
            <w:shd w:val="clear" w:color="auto" w:fill="EAFADD"/>
          </w:tcPr>
          <w:p w:rsidR="00A97702" w:rsidRPr="003011B4" w:rsidRDefault="00A97702" w:rsidP="00DA1C9D">
            <w:pPr>
              <w:spacing w:before="80" w:after="80"/>
              <w:jc w:val="center"/>
              <w:rPr>
                <w:rFonts w:cs="Arial"/>
                <w:b/>
                <w:szCs w:val="22"/>
              </w:rPr>
            </w:pPr>
            <w:r w:rsidRPr="003011B4">
              <w:rPr>
                <w:rFonts w:cs="Arial"/>
                <w:b/>
                <w:szCs w:val="22"/>
              </w:rPr>
              <w:t>Urban residential and public open space</w:t>
            </w:r>
          </w:p>
        </w:tc>
        <w:tc>
          <w:tcPr>
            <w:tcW w:w="2038" w:type="dxa"/>
            <w:tcBorders>
              <w:bottom w:val="single" w:sz="12" w:space="0" w:color="auto"/>
            </w:tcBorders>
            <w:shd w:val="clear" w:color="auto" w:fill="DBE5F1"/>
          </w:tcPr>
          <w:p w:rsidR="00A97702" w:rsidRPr="003011B4" w:rsidRDefault="00A97702" w:rsidP="00DA1C9D">
            <w:pPr>
              <w:spacing w:before="80" w:after="80"/>
              <w:jc w:val="center"/>
              <w:rPr>
                <w:rFonts w:cs="Arial"/>
                <w:b/>
                <w:szCs w:val="22"/>
              </w:rPr>
            </w:pPr>
            <w:r w:rsidRPr="003011B4">
              <w:rPr>
                <w:rFonts w:cs="Arial"/>
                <w:b/>
                <w:szCs w:val="22"/>
              </w:rPr>
              <w:t>Commercial and industrial</w:t>
            </w:r>
          </w:p>
        </w:tc>
      </w:tr>
      <w:tr w:rsidR="00A97702" w:rsidRPr="003011B4" w:rsidTr="00DA1C9D">
        <w:tc>
          <w:tcPr>
            <w:tcW w:w="1843" w:type="dxa"/>
            <w:tcBorders>
              <w:top w:val="single" w:sz="12" w:space="0" w:color="auto"/>
            </w:tcBorders>
          </w:tcPr>
          <w:p w:rsidR="00A97702" w:rsidRPr="003011B4" w:rsidRDefault="00A97702" w:rsidP="00DA1C9D">
            <w:pPr>
              <w:spacing w:before="40" w:afterLines="40" w:after="96" w:line="300" w:lineRule="auto"/>
              <w:rPr>
                <w:rFonts w:cs="Arial"/>
                <w:b/>
                <w:szCs w:val="22"/>
                <w:vertAlign w:val="superscript"/>
              </w:rPr>
            </w:pPr>
            <w:r w:rsidRPr="003011B4">
              <w:rPr>
                <w:rFonts w:cs="Arial"/>
                <w:b/>
                <w:szCs w:val="22"/>
              </w:rPr>
              <w:t xml:space="preserve">F1  </w:t>
            </w:r>
            <w:r w:rsidRPr="003011B4">
              <w:rPr>
                <w:rFonts w:cs="Arial"/>
                <w:szCs w:val="22"/>
              </w:rPr>
              <w:t>C</w:t>
            </w:r>
            <w:r w:rsidRPr="003011B4">
              <w:rPr>
                <w:rFonts w:cs="Arial"/>
                <w:szCs w:val="22"/>
                <w:vertAlign w:val="subscript"/>
              </w:rPr>
              <w:t>6</w:t>
            </w:r>
            <w:r w:rsidRPr="003011B4">
              <w:rPr>
                <w:rFonts w:cs="Arial"/>
                <w:szCs w:val="22"/>
              </w:rPr>
              <w:t>-C</w:t>
            </w:r>
            <w:r w:rsidRPr="003011B4">
              <w:rPr>
                <w:rFonts w:cs="Arial"/>
                <w:szCs w:val="22"/>
                <w:vertAlign w:val="subscript"/>
              </w:rPr>
              <w:t>10</w:t>
            </w:r>
          </w:p>
        </w:tc>
        <w:tc>
          <w:tcPr>
            <w:tcW w:w="992" w:type="dxa"/>
            <w:vMerge w:val="restart"/>
            <w:tcBorders>
              <w:top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p>
          <w:p w:rsidR="00A97702" w:rsidRPr="003011B4" w:rsidRDefault="00A97702" w:rsidP="00DA1C9D">
            <w:pPr>
              <w:spacing w:before="40" w:afterLines="40" w:after="96" w:line="300" w:lineRule="auto"/>
              <w:rPr>
                <w:rFonts w:cs="Arial"/>
                <w:i/>
                <w:szCs w:val="22"/>
              </w:rPr>
            </w:pPr>
            <w:r w:rsidRPr="003011B4">
              <w:rPr>
                <w:rFonts w:cs="Arial"/>
                <w:i/>
                <w:szCs w:val="22"/>
              </w:rPr>
              <w:t>Coarse/ Fine</w:t>
            </w:r>
          </w:p>
        </w:tc>
        <w:tc>
          <w:tcPr>
            <w:tcW w:w="1843" w:type="dxa"/>
            <w:tcBorders>
              <w:top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125*</w:t>
            </w:r>
          </w:p>
        </w:tc>
        <w:tc>
          <w:tcPr>
            <w:tcW w:w="2268" w:type="dxa"/>
            <w:tcBorders>
              <w:top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180*</w:t>
            </w:r>
          </w:p>
        </w:tc>
        <w:tc>
          <w:tcPr>
            <w:tcW w:w="2038" w:type="dxa"/>
            <w:tcBorders>
              <w:top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215*</w:t>
            </w:r>
          </w:p>
        </w:tc>
      </w:tr>
      <w:tr w:rsidR="00A97702" w:rsidRPr="003011B4" w:rsidTr="00DA1C9D">
        <w:tc>
          <w:tcPr>
            <w:tcW w:w="1843" w:type="dxa"/>
            <w:tcBorders>
              <w:bottom w:val="single" w:sz="12" w:space="0" w:color="auto"/>
            </w:tcBorders>
          </w:tcPr>
          <w:p w:rsidR="00A97702" w:rsidRPr="003011B4" w:rsidRDefault="00A97702" w:rsidP="00DA1C9D">
            <w:pPr>
              <w:spacing w:before="40" w:afterLines="40" w:after="96" w:line="300" w:lineRule="auto"/>
              <w:rPr>
                <w:rFonts w:cs="Arial"/>
                <w:b/>
                <w:szCs w:val="22"/>
                <w:vertAlign w:val="superscript"/>
              </w:rPr>
            </w:pPr>
            <w:r w:rsidRPr="003011B4">
              <w:rPr>
                <w:rFonts w:cs="Arial"/>
                <w:b/>
                <w:szCs w:val="22"/>
              </w:rPr>
              <w:t>F2  &gt;C</w:t>
            </w:r>
            <w:r w:rsidRPr="003011B4">
              <w:rPr>
                <w:rFonts w:cs="Arial"/>
                <w:b/>
                <w:szCs w:val="22"/>
                <w:vertAlign w:val="subscript"/>
              </w:rPr>
              <w:t>10</w:t>
            </w:r>
            <w:r w:rsidRPr="003011B4">
              <w:rPr>
                <w:rFonts w:cs="Arial"/>
                <w:b/>
                <w:szCs w:val="22"/>
              </w:rPr>
              <w:t>-C</w:t>
            </w:r>
            <w:r w:rsidRPr="003011B4">
              <w:rPr>
                <w:rFonts w:cs="Arial"/>
                <w:b/>
                <w:szCs w:val="22"/>
                <w:vertAlign w:val="subscript"/>
              </w:rPr>
              <w:t>16</w:t>
            </w:r>
          </w:p>
        </w:tc>
        <w:tc>
          <w:tcPr>
            <w:tcW w:w="992" w:type="dxa"/>
            <w:vMerge/>
            <w:tcBorders>
              <w:bottom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p>
        </w:tc>
        <w:tc>
          <w:tcPr>
            <w:tcW w:w="1843" w:type="dxa"/>
            <w:tcBorders>
              <w:bottom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25*</w:t>
            </w:r>
          </w:p>
        </w:tc>
        <w:tc>
          <w:tcPr>
            <w:tcW w:w="2268" w:type="dxa"/>
            <w:tcBorders>
              <w:bottom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120*</w:t>
            </w:r>
          </w:p>
        </w:tc>
        <w:tc>
          <w:tcPr>
            <w:tcW w:w="2038" w:type="dxa"/>
            <w:tcBorders>
              <w:bottom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170*</w:t>
            </w:r>
          </w:p>
        </w:tc>
      </w:tr>
      <w:tr w:rsidR="00A97702" w:rsidRPr="003011B4" w:rsidTr="00DA1C9D">
        <w:tc>
          <w:tcPr>
            <w:tcW w:w="1843" w:type="dxa"/>
            <w:tcBorders>
              <w:top w:val="single" w:sz="12" w:space="0" w:color="auto"/>
            </w:tcBorders>
          </w:tcPr>
          <w:p w:rsidR="00A97702" w:rsidRPr="003011B4" w:rsidRDefault="00A97702" w:rsidP="00DA1C9D">
            <w:pPr>
              <w:spacing w:before="40" w:afterLines="40" w:after="96" w:line="300" w:lineRule="auto"/>
              <w:rPr>
                <w:rFonts w:cs="Arial"/>
                <w:b/>
                <w:szCs w:val="22"/>
              </w:rPr>
            </w:pPr>
            <w:r w:rsidRPr="003011B4">
              <w:rPr>
                <w:rFonts w:cs="Arial"/>
                <w:b/>
                <w:szCs w:val="22"/>
              </w:rPr>
              <w:t>F3  &gt;C</w:t>
            </w:r>
            <w:r w:rsidRPr="003011B4">
              <w:rPr>
                <w:rFonts w:cs="Arial"/>
                <w:b/>
                <w:szCs w:val="22"/>
                <w:vertAlign w:val="subscript"/>
              </w:rPr>
              <w:t>16</w:t>
            </w:r>
            <w:r w:rsidRPr="003011B4">
              <w:rPr>
                <w:rFonts w:cs="Arial"/>
                <w:b/>
                <w:szCs w:val="22"/>
              </w:rPr>
              <w:t>-C</w:t>
            </w:r>
            <w:r w:rsidRPr="003011B4">
              <w:rPr>
                <w:rFonts w:cs="Arial"/>
                <w:b/>
                <w:szCs w:val="22"/>
                <w:vertAlign w:val="subscript"/>
              </w:rPr>
              <w:t>34</w:t>
            </w:r>
          </w:p>
        </w:tc>
        <w:tc>
          <w:tcPr>
            <w:tcW w:w="992" w:type="dxa"/>
            <w:tcBorders>
              <w:top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Coarse</w:t>
            </w:r>
            <w:r w:rsidRPr="003011B4" w:rsidDel="00740CFF">
              <w:rPr>
                <w:rFonts w:cs="Arial"/>
                <w:i/>
                <w:szCs w:val="22"/>
              </w:rPr>
              <w:t xml:space="preserve"> </w:t>
            </w:r>
          </w:p>
        </w:tc>
        <w:tc>
          <w:tcPr>
            <w:tcW w:w="1843" w:type="dxa"/>
            <w:tcBorders>
              <w:top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w:t>
            </w:r>
          </w:p>
        </w:tc>
        <w:tc>
          <w:tcPr>
            <w:tcW w:w="2268" w:type="dxa"/>
            <w:tcBorders>
              <w:top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300</w:t>
            </w:r>
          </w:p>
        </w:tc>
        <w:tc>
          <w:tcPr>
            <w:tcW w:w="2038" w:type="dxa"/>
            <w:tcBorders>
              <w:top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1700</w:t>
            </w:r>
          </w:p>
        </w:tc>
      </w:tr>
      <w:tr w:rsidR="00A97702" w:rsidRPr="003011B4" w:rsidTr="00DA1C9D">
        <w:tc>
          <w:tcPr>
            <w:tcW w:w="1843" w:type="dxa"/>
            <w:tcBorders>
              <w:bottom w:val="single" w:sz="12" w:space="0" w:color="auto"/>
            </w:tcBorders>
          </w:tcPr>
          <w:p w:rsidR="00A97702" w:rsidRPr="003011B4" w:rsidRDefault="00A97702" w:rsidP="00DA1C9D">
            <w:pPr>
              <w:spacing w:before="40" w:afterLines="40" w:after="96" w:line="300" w:lineRule="auto"/>
              <w:rPr>
                <w:rFonts w:cs="Arial"/>
                <w:b/>
                <w:szCs w:val="22"/>
              </w:rPr>
            </w:pPr>
          </w:p>
        </w:tc>
        <w:tc>
          <w:tcPr>
            <w:tcW w:w="992" w:type="dxa"/>
            <w:tcBorders>
              <w:bottom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Fine</w:t>
            </w:r>
          </w:p>
        </w:tc>
        <w:tc>
          <w:tcPr>
            <w:tcW w:w="1843" w:type="dxa"/>
            <w:tcBorders>
              <w:bottom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w:t>
            </w:r>
          </w:p>
        </w:tc>
        <w:tc>
          <w:tcPr>
            <w:tcW w:w="2268" w:type="dxa"/>
            <w:tcBorders>
              <w:bottom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1300</w:t>
            </w:r>
          </w:p>
        </w:tc>
        <w:tc>
          <w:tcPr>
            <w:tcW w:w="2038" w:type="dxa"/>
            <w:tcBorders>
              <w:bottom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2500</w:t>
            </w:r>
          </w:p>
        </w:tc>
      </w:tr>
      <w:tr w:rsidR="00A97702" w:rsidRPr="003011B4" w:rsidTr="00DA1C9D">
        <w:tc>
          <w:tcPr>
            <w:tcW w:w="1843" w:type="dxa"/>
            <w:tcBorders>
              <w:top w:val="single" w:sz="12" w:space="0" w:color="auto"/>
            </w:tcBorders>
          </w:tcPr>
          <w:p w:rsidR="00A97702" w:rsidRPr="003011B4" w:rsidRDefault="00A97702" w:rsidP="00DA1C9D">
            <w:pPr>
              <w:spacing w:before="40" w:afterLines="40" w:after="96" w:line="300" w:lineRule="auto"/>
              <w:rPr>
                <w:rFonts w:cs="Arial"/>
                <w:b/>
                <w:szCs w:val="22"/>
              </w:rPr>
            </w:pPr>
            <w:r w:rsidRPr="003011B4">
              <w:rPr>
                <w:rFonts w:cs="Arial"/>
                <w:b/>
                <w:szCs w:val="22"/>
              </w:rPr>
              <w:t>F4   &gt;C</w:t>
            </w:r>
            <w:r w:rsidRPr="003011B4">
              <w:rPr>
                <w:rFonts w:cs="Arial"/>
                <w:b/>
                <w:szCs w:val="22"/>
                <w:vertAlign w:val="subscript"/>
              </w:rPr>
              <w:t>34</w:t>
            </w:r>
            <w:r w:rsidRPr="003011B4">
              <w:rPr>
                <w:rFonts w:cs="Arial"/>
                <w:b/>
                <w:szCs w:val="22"/>
              </w:rPr>
              <w:t>-C</w:t>
            </w:r>
            <w:r w:rsidRPr="003011B4">
              <w:rPr>
                <w:rFonts w:cs="Arial"/>
                <w:b/>
                <w:szCs w:val="22"/>
                <w:vertAlign w:val="subscript"/>
              </w:rPr>
              <w:t>40</w:t>
            </w:r>
          </w:p>
        </w:tc>
        <w:tc>
          <w:tcPr>
            <w:tcW w:w="992" w:type="dxa"/>
            <w:tcBorders>
              <w:top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Coarse</w:t>
            </w:r>
            <w:r w:rsidRPr="003011B4" w:rsidDel="00740CFF">
              <w:rPr>
                <w:rFonts w:cs="Arial"/>
                <w:i/>
                <w:szCs w:val="22"/>
              </w:rPr>
              <w:t xml:space="preserve"> </w:t>
            </w:r>
          </w:p>
        </w:tc>
        <w:tc>
          <w:tcPr>
            <w:tcW w:w="1843" w:type="dxa"/>
            <w:tcBorders>
              <w:top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w:t>
            </w:r>
          </w:p>
        </w:tc>
        <w:tc>
          <w:tcPr>
            <w:tcW w:w="2268" w:type="dxa"/>
            <w:tcBorders>
              <w:top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2800</w:t>
            </w:r>
          </w:p>
        </w:tc>
        <w:tc>
          <w:tcPr>
            <w:tcW w:w="2038" w:type="dxa"/>
            <w:tcBorders>
              <w:top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3300</w:t>
            </w:r>
          </w:p>
        </w:tc>
      </w:tr>
      <w:tr w:rsidR="00A97702" w:rsidRPr="003011B4" w:rsidTr="00DA1C9D">
        <w:tc>
          <w:tcPr>
            <w:tcW w:w="1843" w:type="dxa"/>
            <w:tcBorders>
              <w:bottom w:val="single" w:sz="12" w:space="0" w:color="auto"/>
            </w:tcBorders>
          </w:tcPr>
          <w:p w:rsidR="00A97702" w:rsidRPr="003011B4" w:rsidRDefault="00A97702" w:rsidP="00DA1C9D">
            <w:pPr>
              <w:spacing w:before="40" w:afterLines="40" w:after="96" w:line="300" w:lineRule="auto"/>
              <w:rPr>
                <w:rFonts w:cs="Arial"/>
                <w:b/>
                <w:szCs w:val="22"/>
              </w:rPr>
            </w:pPr>
          </w:p>
        </w:tc>
        <w:tc>
          <w:tcPr>
            <w:tcW w:w="992" w:type="dxa"/>
            <w:tcBorders>
              <w:bottom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Fine</w:t>
            </w:r>
          </w:p>
        </w:tc>
        <w:tc>
          <w:tcPr>
            <w:tcW w:w="1843" w:type="dxa"/>
            <w:tcBorders>
              <w:bottom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w:t>
            </w:r>
          </w:p>
        </w:tc>
        <w:tc>
          <w:tcPr>
            <w:tcW w:w="2268" w:type="dxa"/>
            <w:tcBorders>
              <w:bottom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5600</w:t>
            </w:r>
          </w:p>
        </w:tc>
        <w:tc>
          <w:tcPr>
            <w:tcW w:w="2038" w:type="dxa"/>
            <w:tcBorders>
              <w:bottom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6600</w:t>
            </w:r>
          </w:p>
        </w:tc>
      </w:tr>
      <w:tr w:rsidR="00A97702" w:rsidRPr="003011B4" w:rsidTr="00DA1C9D">
        <w:tc>
          <w:tcPr>
            <w:tcW w:w="1843" w:type="dxa"/>
            <w:tcBorders>
              <w:top w:val="single" w:sz="12" w:space="0" w:color="auto"/>
            </w:tcBorders>
          </w:tcPr>
          <w:p w:rsidR="00A97702" w:rsidRPr="003011B4" w:rsidRDefault="00A97702" w:rsidP="00DA1C9D">
            <w:pPr>
              <w:spacing w:before="40" w:afterLines="40" w:after="96" w:line="300" w:lineRule="auto"/>
              <w:rPr>
                <w:rFonts w:cs="Arial"/>
                <w:b/>
                <w:szCs w:val="22"/>
              </w:rPr>
            </w:pPr>
            <w:r w:rsidRPr="003011B4">
              <w:rPr>
                <w:rFonts w:cs="Arial"/>
                <w:b/>
                <w:szCs w:val="22"/>
              </w:rPr>
              <w:t>Benzene</w:t>
            </w:r>
          </w:p>
        </w:tc>
        <w:tc>
          <w:tcPr>
            <w:tcW w:w="992" w:type="dxa"/>
            <w:tcBorders>
              <w:top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Coarse</w:t>
            </w:r>
            <w:r w:rsidRPr="003011B4" w:rsidDel="00740CFF">
              <w:rPr>
                <w:rFonts w:cs="Arial"/>
                <w:i/>
                <w:szCs w:val="22"/>
              </w:rPr>
              <w:t xml:space="preserve"> </w:t>
            </w:r>
          </w:p>
        </w:tc>
        <w:tc>
          <w:tcPr>
            <w:tcW w:w="1843" w:type="dxa"/>
            <w:tcBorders>
              <w:top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10</w:t>
            </w:r>
          </w:p>
        </w:tc>
        <w:tc>
          <w:tcPr>
            <w:tcW w:w="2268" w:type="dxa"/>
            <w:tcBorders>
              <w:top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50</w:t>
            </w:r>
          </w:p>
        </w:tc>
        <w:tc>
          <w:tcPr>
            <w:tcW w:w="2038" w:type="dxa"/>
            <w:tcBorders>
              <w:top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75</w:t>
            </w:r>
          </w:p>
        </w:tc>
      </w:tr>
      <w:tr w:rsidR="00A97702" w:rsidRPr="003011B4" w:rsidTr="00DA1C9D">
        <w:tc>
          <w:tcPr>
            <w:tcW w:w="1843" w:type="dxa"/>
            <w:tcBorders>
              <w:bottom w:val="single" w:sz="12" w:space="0" w:color="auto"/>
            </w:tcBorders>
          </w:tcPr>
          <w:p w:rsidR="00A97702" w:rsidRPr="003011B4" w:rsidRDefault="00A97702" w:rsidP="00DA1C9D">
            <w:pPr>
              <w:spacing w:before="40" w:afterLines="40" w:after="96" w:line="300" w:lineRule="auto"/>
              <w:rPr>
                <w:rFonts w:cs="Arial"/>
                <w:b/>
                <w:szCs w:val="22"/>
              </w:rPr>
            </w:pPr>
          </w:p>
        </w:tc>
        <w:tc>
          <w:tcPr>
            <w:tcW w:w="992" w:type="dxa"/>
            <w:tcBorders>
              <w:bottom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Fine</w:t>
            </w:r>
          </w:p>
        </w:tc>
        <w:tc>
          <w:tcPr>
            <w:tcW w:w="1843" w:type="dxa"/>
            <w:tcBorders>
              <w:bottom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10</w:t>
            </w:r>
          </w:p>
        </w:tc>
        <w:tc>
          <w:tcPr>
            <w:tcW w:w="2268" w:type="dxa"/>
            <w:tcBorders>
              <w:bottom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65</w:t>
            </w:r>
          </w:p>
        </w:tc>
        <w:tc>
          <w:tcPr>
            <w:tcW w:w="2038" w:type="dxa"/>
            <w:tcBorders>
              <w:bottom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95</w:t>
            </w:r>
          </w:p>
        </w:tc>
      </w:tr>
      <w:tr w:rsidR="00A97702" w:rsidRPr="003011B4" w:rsidTr="00DA1C9D">
        <w:tc>
          <w:tcPr>
            <w:tcW w:w="1843" w:type="dxa"/>
            <w:tcBorders>
              <w:top w:val="single" w:sz="12" w:space="0" w:color="auto"/>
            </w:tcBorders>
          </w:tcPr>
          <w:p w:rsidR="00A97702" w:rsidRPr="003011B4" w:rsidRDefault="00A97702" w:rsidP="00DA1C9D">
            <w:pPr>
              <w:spacing w:before="40" w:afterLines="40" w:after="96" w:line="300" w:lineRule="auto"/>
              <w:rPr>
                <w:rFonts w:cs="Arial"/>
                <w:b/>
                <w:szCs w:val="22"/>
              </w:rPr>
            </w:pPr>
            <w:r w:rsidRPr="003011B4">
              <w:rPr>
                <w:rFonts w:cs="Arial"/>
                <w:b/>
                <w:szCs w:val="22"/>
              </w:rPr>
              <w:t>Toluene</w:t>
            </w:r>
          </w:p>
        </w:tc>
        <w:tc>
          <w:tcPr>
            <w:tcW w:w="992" w:type="dxa"/>
            <w:tcBorders>
              <w:top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Coarse</w:t>
            </w:r>
          </w:p>
        </w:tc>
        <w:tc>
          <w:tcPr>
            <w:tcW w:w="1843" w:type="dxa"/>
            <w:tcBorders>
              <w:top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10</w:t>
            </w:r>
          </w:p>
        </w:tc>
        <w:tc>
          <w:tcPr>
            <w:tcW w:w="2268" w:type="dxa"/>
            <w:tcBorders>
              <w:top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85</w:t>
            </w:r>
          </w:p>
        </w:tc>
        <w:tc>
          <w:tcPr>
            <w:tcW w:w="2038" w:type="dxa"/>
            <w:tcBorders>
              <w:top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135</w:t>
            </w:r>
          </w:p>
        </w:tc>
      </w:tr>
      <w:tr w:rsidR="00A97702" w:rsidRPr="003011B4" w:rsidTr="00DA1C9D">
        <w:tc>
          <w:tcPr>
            <w:tcW w:w="1843" w:type="dxa"/>
            <w:tcBorders>
              <w:bottom w:val="single" w:sz="12" w:space="0" w:color="auto"/>
            </w:tcBorders>
          </w:tcPr>
          <w:p w:rsidR="00A97702" w:rsidRPr="003011B4" w:rsidRDefault="00A97702" w:rsidP="00DA1C9D">
            <w:pPr>
              <w:spacing w:before="40" w:afterLines="40" w:after="96" w:line="300" w:lineRule="auto"/>
              <w:rPr>
                <w:rFonts w:cs="Arial"/>
                <w:b/>
                <w:szCs w:val="22"/>
              </w:rPr>
            </w:pPr>
          </w:p>
        </w:tc>
        <w:tc>
          <w:tcPr>
            <w:tcW w:w="992" w:type="dxa"/>
            <w:tcBorders>
              <w:bottom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Fine</w:t>
            </w:r>
          </w:p>
        </w:tc>
        <w:tc>
          <w:tcPr>
            <w:tcW w:w="1843" w:type="dxa"/>
            <w:tcBorders>
              <w:bottom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65</w:t>
            </w:r>
          </w:p>
        </w:tc>
        <w:tc>
          <w:tcPr>
            <w:tcW w:w="2268" w:type="dxa"/>
            <w:tcBorders>
              <w:bottom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105</w:t>
            </w:r>
          </w:p>
        </w:tc>
        <w:tc>
          <w:tcPr>
            <w:tcW w:w="2038" w:type="dxa"/>
            <w:tcBorders>
              <w:bottom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135</w:t>
            </w:r>
          </w:p>
        </w:tc>
      </w:tr>
      <w:tr w:rsidR="00A97702" w:rsidRPr="003011B4" w:rsidTr="00DA1C9D">
        <w:tc>
          <w:tcPr>
            <w:tcW w:w="1843" w:type="dxa"/>
            <w:tcBorders>
              <w:top w:val="single" w:sz="12" w:space="0" w:color="auto"/>
            </w:tcBorders>
          </w:tcPr>
          <w:p w:rsidR="00A97702" w:rsidRPr="003011B4" w:rsidRDefault="00A97702" w:rsidP="00DA1C9D">
            <w:pPr>
              <w:spacing w:before="40" w:afterLines="40" w:after="96" w:line="300" w:lineRule="auto"/>
              <w:rPr>
                <w:rFonts w:cs="Arial"/>
                <w:b/>
                <w:szCs w:val="22"/>
              </w:rPr>
            </w:pPr>
            <w:r w:rsidRPr="003011B4">
              <w:rPr>
                <w:rFonts w:cs="Arial"/>
                <w:b/>
                <w:szCs w:val="22"/>
              </w:rPr>
              <w:t>Ethylbenzene</w:t>
            </w:r>
          </w:p>
        </w:tc>
        <w:tc>
          <w:tcPr>
            <w:tcW w:w="992" w:type="dxa"/>
            <w:tcBorders>
              <w:top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Coarse</w:t>
            </w:r>
          </w:p>
        </w:tc>
        <w:tc>
          <w:tcPr>
            <w:tcW w:w="1843" w:type="dxa"/>
            <w:tcBorders>
              <w:top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1.5</w:t>
            </w:r>
          </w:p>
        </w:tc>
        <w:tc>
          <w:tcPr>
            <w:tcW w:w="2268" w:type="dxa"/>
            <w:tcBorders>
              <w:top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70</w:t>
            </w:r>
          </w:p>
        </w:tc>
        <w:tc>
          <w:tcPr>
            <w:tcW w:w="2038" w:type="dxa"/>
            <w:tcBorders>
              <w:top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165</w:t>
            </w:r>
          </w:p>
        </w:tc>
      </w:tr>
      <w:tr w:rsidR="00A97702" w:rsidRPr="003011B4" w:rsidTr="00DA1C9D">
        <w:tc>
          <w:tcPr>
            <w:tcW w:w="1843" w:type="dxa"/>
            <w:tcBorders>
              <w:bottom w:val="single" w:sz="12" w:space="0" w:color="auto"/>
            </w:tcBorders>
          </w:tcPr>
          <w:p w:rsidR="00A97702" w:rsidRPr="003011B4" w:rsidRDefault="00A97702" w:rsidP="00DA1C9D">
            <w:pPr>
              <w:spacing w:before="40" w:afterLines="40" w:after="96" w:line="300" w:lineRule="auto"/>
              <w:rPr>
                <w:rFonts w:cs="Arial"/>
                <w:b/>
                <w:szCs w:val="22"/>
              </w:rPr>
            </w:pPr>
          </w:p>
        </w:tc>
        <w:tc>
          <w:tcPr>
            <w:tcW w:w="992" w:type="dxa"/>
            <w:tcBorders>
              <w:bottom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Fine</w:t>
            </w:r>
          </w:p>
        </w:tc>
        <w:tc>
          <w:tcPr>
            <w:tcW w:w="1843" w:type="dxa"/>
            <w:tcBorders>
              <w:bottom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40</w:t>
            </w:r>
          </w:p>
        </w:tc>
        <w:tc>
          <w:tcPr>
            <w:tcW w:w="2268" w:type="dxa"/>
            <w:tcBorders>
              <w:bottom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125</w:t>
            </w:r>
          </w:p>
        </w:tc>
        <w:tc>
          <w:tcPr>
            <w:tcW w:w="2038" w:type="dxa"/>
            <w:tcBorders>
              <w:bottom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185</w:t>
            </w:r>
          </w:p>
        </w:tc>
      </w:tr>
      <w:tr w:rsidR="00A97702" w:rsidRPr="003011B4" w:rsidTr="00DA1C9D">
        <w:tc>
          <w:tcPr>
            <w:tcW w:w="1843" w:type="dxa"/>
            <w:tcBorders>
              <w:top w:val="single" w:sz="12" w:space="0" w:color="auto"/>
            </w:tcBorders>
          </w:tcPr>
          <w:p w:rsidR="00A97702" w:rsidRPr="003011B4" w:rsidRDefault="00A97702" w:rsidP="00DA1C9D">
            <w:pPr>
              <w:spacing w:before="40" w:afterLines="40" w:after="96" w:line="300" w:lineRule="auto"/>
              <w:rPr>
                <w:rFonts w:cs="Arial"/>
                <w:b/>
                <w:szCs w:val="22"/>
              </w:rPr>
            </w:pPr>
            <w:r w:rsidRPr="003011B4">
              <w:rPr>
                <w:rFonts w:cs="Arial"/>
                <w:b/>
                <w:szCs w:val="22"/>
              </w:rPr>
              <w:t>Xylenes</w:t>
            </w:r>
          </w:p>
        </w:tc>
        <w:tc>
          <w:tcPr>
            <w:tcW w:w="992" w:type="dxa"/>
            <w:tcBorders>
              <w:top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Coarse</w:t>
            </w:r>
          </w:p>
        </w:tc>
        <w:tc>
          <w:tcPr>
            <w:tcW w:w="1843" w:type="dxa"/>
            <w:tcBorders>
              <w:top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10</w:t>
            </w:r>
          </w:p>
        </w:tc>
        <w:tc>
          <w:tcPr>
            <w:tcW w:w="2268" w:type="dxa"/>
            <w:tcBorders>
              <w:top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105</w:t>
            </w:r>
          </w:p>
        </w:tc>
        <w:tc>
          <w:tcPr>
            <w:tcW w:w="2038" w:type="dxa"/>
            <w:tcBorders>
              <w:top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180</w:t>
            </w:r>
          </w:p>
        </w:tc>
      </w:tr>
      <w:tr w:rsidR="00A97702" w:rsidRPr="003011B4" w:rsidTr="00DA1C9D">
        <w:tc>
          <w:tcPr>
            <w:tcW w:w="1843" w:type="dxa"/>
            <w:tcBorders>
              <w:bottom w:val="single" w:sz="12" w:space="0" w:color="auto"/>
            </w:tcBorders>
          </w:tcPr>
          <w:p w:rsidR="00A97702" w:rsidRPr="003011B4" w:rsidRDefault="00A97702" w:rsidP="00DA1C9D">
            <w:pPr>
              <w:spacing w:before="40" w:afterLines="40" w:after="96" w:line="300" w:lineRule="auto"/>
              <w:rPr>
                <w:rFonts w:cs="Arial"/>
                <w:b/>
                <w:szCs w:val="22"/>
              </w:rPr>
            </w:pPr>
          </w:p>
        </w:tc>
        <w:tc>
          <w:tcPr>
            <w:tcW w:w="992" w:type="dxa"/>
            <w:tcBorders>
              <w:bottom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Fine</w:t>
            </w:r>
          </w:p>
        </w:tc>
        <w:tc>
          <w:tcPr>
            <w:tcW w:w="1843" w:type="dxa"/>
            <w:tcBorders>
              <w:bottom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1.6</w:t>
            </w:r>
          </w:p>
        </w:tc>
        <w:tc>
          <w:tcPr>
            <w:tcW w:w="2268" w:type="dxa"/>
            <w:tcBorders>
              <w:bottom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45</w:t>
            </w:r>
          </w:p>
        </w:tc>
        <w:tc>
          <w:tcPr>
            <w:tcW w:w="2038" w:type="dxa"/>
            <w:tcBorders>
              <w:bottom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95</w:t>
            </w:r>
          </w:p>
        </w:tc>
      </w:tr>
      <w:tr w:rsidR="00A97702" w:rsidRPr="003011B4" w:rsidTr="00DA1C9D">
        <w:tc>
          <w:tcPr>
            <w:tcW w:w="1843" w:type="dxa"/>
            <w:vMerge w:val="restart"/>
            <w:tcBorders>
              <w:top w:val="single" w:sz="12" w:space="0" w:color="auto"/>
              <w:bottom w:val="single" w:sz="12" w:space="0" w:color="auto"/>
            </w:tcBorders>
          </w:tcPr>
          <w:p w:rsidR="00A97702" w:rsidRPr="003011B4" w:rsidRDefault="00A97702" w:rsidP="00DA1C9D">
            <w:pPr>
              <w:spacing w:before="40" w:afterLines="40" w:after="96" w:line="300" w:lineRule="auto"/>
              <w:rPr>
                <w:rFonts w:cs="Arial"/>
                <w:b/>
                <w:szCs w:val="22"/>
              </w:rPr>
            </w:pPr>
            <w:r w:rsidRPr="003011B4">
              <w:rPr>
                <w:rFonts w:cs="Arial"/>
                <w:b/>
                <w:szCs w:val="22"/>
              </w:rPr>
              <w:t>Benzo(a)pyrene</w:t>
            </w:r>
          </w:p>
        </w:tc>
        <w:tc>
          <w:tcPr>
            <w:tcW w:w="992" w:type="dxa"/>
            <w:tcBorders>
              <w:top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Coarse</w:t>
            </w:r>
          </w:p>
        </w:tc>
        <w:tc>
          <w:tcPr>
            <w:tcW w:w="1843" w:type="dxa"/>
            <w:tcBorders>
              <w:top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sidRPr="003011B4">
              <w:rPr>
                <w:rFonts w:cs="Arial"/>
                <w:szCs w:val="22"/>
              </w:rPr>
              <w:t>0.7</w:t>
            </w:r>
          </w:p>
        </w:tc>
        <w:tc>
          <w:tcPr>
            <w:tcW w:w="2268" w:type="dxa"/>
            <w:tcBorders>
              <w:top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sidRPr="003011B4">
              <w:rPr>
                <w:rFonts w:cs="Arial"/>
                <w:szCs w:val="22"/>
              </w:rPr>
              <w:t>0.7</w:t>
            </w:r>
          </w:p>
        </w:tc>
        <w:tc>
          <w:tcPr>
            <w:tcW w:w="2038" w:type="dxa"/>
            <w:tcBorders>
              <w:top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sidRPr="003011B4">
              <w:rPr>
                <w:rFonts w:cs="Arial"/>
                <w:szCs w:val="22"/>
              </w:rPr>
              <w:t>0.7</w:t>
            </w:r>
          </w:p>
        </w:tc>
      </w:tr>
      <w:tr w:rsidR="00A97702" w:rsidRPr="003011B4" w:rsidTr="00DA1C9D">
        <w:tc>
          <w:tcPr>
            <w:tcW w:w="1843" w:type="dxa"/>
            <w:vMerge/>
            <w:tcBorders>
              <w:bottom w:val="single" w:sz="12" w:space="0" w:color="auto"/>
            </w:tcBorders>
          </w:tcPr>
          <w:p w:rsidR="00A97702" w:rsidRPr="003011B4" w:rsidRDefault="00A97702" w:rsidP="00DA1C9D">
            <w:pPr>
              <w:spacing w:before="40" w:afterLines="40" w:after="96" w:line="300" w:lineRule="auto"/>
              <w:rPr>
                <w:rFonts w:cs="Arial"/>
                <w:szCs w:val="22"/>
              </w:rPr>
            </w:pPr>
          </w:p>
        </w:tc>
        <w:tc>
          <w:tcPr>
            <w:tcW w:w="992" w:type="dxa"/>
            <w:tcBorders>
              <w:bottom w:val="single" w:sz="12" w:space="0" w:color="auto"/>
            </w:tcBorders>
            <w:shd w:val="clear" w:color="auto" w:fill="F2F2F2"/>
          </w:tcPr>
          <w:p w:rsidR="00A97702" w:rsidRPr="003011B4" w:rsidRDefault="00A97702" w:rsidP="00DA1C9D">
            <w:pPr>
              <w:spacing w:before="40" w:afterLines="40" w:after="96" w:line="300" w:lineRule="auto"/>
              <w:rPr>
                <w:rFonts w:cs="Arial"/>
                <w:i/>
                <w:szCs w:val="22"/>
              </w:rPr>
            </w:pPr>
            <w:r w:rsidRPr="003011B4">
              <w:rPr>
                <w:rFonts w:cs="Arial"/>
                <w:i/>
                <w:szCs w:val="22"/>
              </w:rPr>
              <w:t>Fine</w:t>
            </w:r>
          </w:p>
        </w:tc>
        <w:tc>
          <w:tcPr>
            <w:tcW w:w="1843" w:type="dxa"/>
            <w:tcBorders>
              <w:bottom w:val="single" w:sz="12" w:space="0" w:color="auto"/>
            </w:tcBorders>
            <w:shd w:val="clear" w:color="auto" w:fill="DDD9C3"/>
            <w:tcMar>
              <w:right w:w="567" w:type="dxa"/>
            </w:tcMar>
          </w:tcPr>
          <w:p w:rsidR="00A97702" w:rsidRPr="003011B4" w:rsidRDefault="00A97702" w:rsidP="00DA1C9D">
            <w:pPr>
              <w:tabs>
                <w:tab w:val="decimal" w:pos="692"/>
              </w:tabs>
              <w:spacing w:before="40" w:afterLines="40" w:after="96" w:line="300" w:lineRule="auto"/>
              <w:jc w:val="right"/>
              <w:rPr>
                <w:rFonts w:cs="Arial"/>
                <w:szCs w:val="22"/>
              </w:rPr>
            </w:pPr>
            <w:r>
              <w:rPr>
                <w:rFonts w:cs="Arial"/>
                <w:szCs w:val="22"/>
              </w:rPr>
              <w:t>0.7</w:t>
            </w:r>
          </w:p>
        </w:tc>
        <w:tc>
          <w:tcPr>
            <w:tcW w:w="2268" w:type="dxa"/>
            <w:tcBorders>
              <w:bottom w:val="single" w:sz="12" w:space="0" w:color="auto"/>
            </w:tcBorders>
            <w:shd w:val="clear" w:color="auto" w:fill="EAFADD"/>
            <w:tcMar>
              <w:right w:w="567" w:type="dxa"/>
            </w:tcMar>
          </w:tcPr>
          <w:p w:rsidR="00A97702" w:rsidRPr="003011B4" w:rsidRDefault="00A97702" w:rsidP="00DA1C9D">
            <w:pPr>
              <w:tabs>
                <w:tab w:val="decimal" w:pos="709"/>
              </w:tabs>
              <w:spacing w:before="40" w:afterLines="40" w:after="96" w:line="300" w:lineRule="auto"/>
              <w:jc w:val="right"/>
              <w:rPr>
                <w:rFonts w:cs="Arial"/>
                <w:szCs w:val="22"/>
              </w:rPr>
            </w:pPr>
            <w:r>
              <w:rPr>
                <w:rFonts w:cs="Arial"/>
                <w:szCs w:val="22"/>
              </w:rPr>
              <w:t>0.7</w:t>
            </w:r>
          </w:p>
        </w:tc>
        <w:tc>
          <w:tcPr>
            <w:tcW w:w="2038" w:type="dxa"/>
            <w:tcBorders>
              <w:bottom w:val="single" w:sz="12" w:space="0" w:color="auto"/>
            </w:tcBorders>
            <w:shd w:val="clear" w:color="auto" w:fill="DBE5F1"/>
            <w:tcMar>
              <w:right w:w="567" w:type="dxa"/>
            </w:tcMar>
          </w:tcPr>
          <w:p w:rsidR="00A97702" w:rsidRPr="003011B4" w:rsidRDefault="00A97702" w:rsidP="00DA1C9D">
            <w:pPr>
              <w:tabs>
                <w:tab w:val="decimal" w:pos="822"/>
              </w:tabs>
              <w:spacing w:before="40" w:afterLines="40" w:after="96" w:line="300" w:lineRule="auto"/>
              <w:jc w:val="right"/>
              <w:rPr>
                <w:rFonts w:cs="Arial"/>
                <w:szCs w:val="22"/>
              </w:rPr>
            </w:pPr>
            <w:r>
              <w:rPr>
                <w:rFonts w:cs="Arial"/>
                <w:szCs w:val="22"/>
              </w:rPr>
              <w:t>0.7</w:t>
            </w:r>
          </w:p>
        </w:tc>
      </w:tr>
    </w:tbl>
    <w:p w:rsidR="00A97702" w:rsidRPr="003011B4" w:rsidRDefault="00A97702" w:rsidP="00A97702">
      <w:pPr>
        <w:pStyle w:val="Note"/>
        <w:spacing w:before="60" w:after="40"/>
        <w:rPr>
          <w:rFonts w:cs="Arial"/>
          <w:b/>
          <w:sz w:val="18"/>
          <w:szCs w:val="18"/>
        </w:rPr>
      </w:pPr>
      <w:r w:rsidRPr="003011B4">
        <w:rPr>
          <w:rFonts w:cs="Arial"/>
          <w:b/>
          <w:sz w:val="18"/>
          <w:szCs w:val="18"/>
        </w:rPr>
        <w:t>Notes:</w:t>
      </w:r>
    </w:p>
    <w:p w:rsidR="00A97702" w:rsidRPr="003011B4" w:rsidRDefault="00A97702" w:rsidP="00A97702">
      <w:pPr>
        <w:numPr>
          <w:ilvl w:val="0"/>
          <w:numId w:val="37"/>
        </w:numPr>
        <w:spacing w:before="20" w:after="20" w:line="240" w:lineRule="auto"/>
        <w:jc w:val="both"/>
        <w:rPr>
          <w:rFonts w:cs="Arial"/>
          <w:sz w:val="18"/>
          <w:szCs w:val="18"/>
        </w:rPr>
      </w:pPr>
      <w:r w:rsidRPr="003011B4">
        <w:rPr>
          <w:rFonts w:cs="Arial"/>
          <w:sz w:val="18"/>
          <w:szCs w:val="18"/>
        </w:rPr>
        <w:t>ESLs are of low reliability except where indicated by * which indicates that the ESL is of moderate reliability.</w:t>
      </w:r>
    </w:p>
    <w:p w:rsidR="00A97702" w:rsidRPr="003011B4" w:rsidRDefault="00A97702" w:rsidP="00A97702">
      <w:pPr>
        <w:numPr>
          <w:ilvl w:val="0"/>
          <w:numId w:val="37"/>
        </w:numPr>
        <w:spacing w:before="20" w:after="20" w:line="240" w:lineRule="auto"/>
        <w:jc w:val="both"/>
        <w:rPr>
          <w:rFonts w:cs="Arial"/>
          <w:sz w:val="18"/>
          <w:szCs w:val="18"/>
        </w:rPr>
      </w:pPr>
      <w:r w:rsidRPr="003011B4">
        <w:rPr>
          <w:rFonts w:cs="Arial"/>
          <w:sz w:val="18"/>
          <w:szCs w:val="18"/>
        </w:rPr>
        <w:t>‘-‘ indicates that insufficient data was available to derive a value.</w:t>
      </w:r>
    </w:p>
    <w:p w:rsidR="00A97702" w:rsidRPr="003011B4" w:rsidRDefault="00A97702" w:rsidP="00A97702">
      <w:pPr>
        <w:numPr>
          <w:ilvl w:val="0"/>
          <w:numId w:val="37"/>
        </w:numPr>
        <w:spacing w:before="20" w:after="20" w:line="240" w:lineRule="auto"/>
        <w:jc w:val="both"/>
        <w:rPr>
          <w:rFonts w:cs="Arial"/>
          <w:sz w:val="18"/>
          <w:szCs w:val="18"/>
        </w:rPr>
      </w:pPr>
      <w:r w:rsidRPr="003011B4">
        <w:rPr>
          <w:rFonts w:cs="Arial"/>
          <w:sz w:val="18"/>
          <w:szCs w:val="18"/>
        </w:rPr>
        <w:t>To obtain F1, subtract the sum of BTEX concentrations from C</w:t>
      </w:r>
      <w:r w:rsidRPr="003011B4">
        <w:rPr>
          <w:rFonts w:cs="Arial"/>
          <w:sz w:val="18"/>
          <w:szCs w:val="18"/>
          <w:vertAlign w:val="subscript"/>
        </w:rPr>
        <w:t>6</w:t>
      </w:r>
      <w:r w:rsidRPr="003011B4">
        <w:rPr>
          <w:rFonts w:cs="Arial"/>
          <w:sz w:val="18"/>
          <w:szCs w:val="18"/>
        </w:rPr>
        <w:t>-C</w:t>
      </w:r>
      <w:r w:rsidRPr="003011B4">
        <w:rPr>
          <w:rFonts w:cs="Arial"/>
          <w:sz w:val="18"/>
          <w:szCs w:val="18"/>
          <w:vertAlign w:val="subscript"/>
        </w:rPr>
        <w:t>10</w:t>
      </w:r>
      <w:r w:rsidRPr="003011B4">
        <w:rPr>
          <w:rFonts w:cs="Arial"/>
          <w:sz w:val="18"/>
          <w:szCs w:val="18"/>
        </w:rPr>
        <w:t xml:space="preserve"> fraction and subtract naphthalene from &gt;C</w:t>
      </w:r>
      <w:r w:rsidRPr="003011B4">
        <w:rPr>
          <w:rFonts w:cs="Arial"/>
          <w:sz w:val="18"/>
          <w:szCs w:val="18"/>
          <w:vertAlign w:val="subscript"/>
        </w:rPr>
        <w:t>10</w:t>
      </w:r>
      <w:r w:rsidRPr="003011B4">
        <w:rPr>
          <w:rFonts w:cs="Arial"/>
          <w:sz w:val="18"/>
          <w:szCs w:val="18"/>
        </w:rPr>
        <w:t>-C</w:t>
      </w:r>
      <w:r w:rsidRPr="003011B4">
        <w:rPr>
          <w:rFonts w:cs="Arial"/>
          <w:sz w:val="18"/>
          <w:szCs w:val="18"/>
          <w:vertAlign w:val="subscript"/>
        </w:rPr>
        <w:t>16</w:t>
      </w:r>
      <w:r w:rsidRPr="003011B4">
        <w:rPr>
          <w:rFonts w:cs="Arial"/>
          <w:sz w:val="18"/>
          <w:szCs w:val="18"/>
        </w:rPr>
        <w:t xml:space="preserve"> to obtain F2.</w:t>
      </w:r>
    </w:p>
    <w:p w:rsidR="00A97702" w:rsidRPr="00600E4C" w:rsidRDefault="00A97702" w:rsidP="00A97702">
      <w:pPr>
        <w:pStyle w:val="text"/>
        <w:rPr>
          <w:rFonts w:ascii="Arial" w:hAnsi="Arial" w:cs="Arial"/>
          <w:sz w:val="16"/>
          <w:szCs w:val="16"/>
        </w:rPr>
      </w:pPr>
    </w:p>
    <w:p w:rsidR="00A97702" w:rsidRDefault="00A97702" w:rsidP="00A97702">
      <w:pPr>
        <w:rPr>
          <w:b/>
          <w:szCs w:val="22"/>
        </w:rPr>
      </w:pPr>
      <w:r>
        <w:br w:type="page"/>
      </w:r>
    </w:p>
    <w:p w:rsidR="00A97702" w:rsidRPr="000674C3" w:rsidRDefault="00A97702" w:rsidP="00A97702">
      <w:pPr>
        <w:pStyle w:val="Caption"/>
      </w:pPr>
      <w:r w:rsidRPr="000674C3">
        <w:lastRenderedPageBreak/>
        <w:t>Table 1 B(</w:t>
      </w:r>
      <w:r>
        <w:t>7)</w:t>
      </w:r>
      <w:r>
        <w:tab/>
        <w:t>Management Limits for</w:t>
      </w:r>
      <w:r w:rsidRPr="000674C3">
        <w:t xml:space="preserve"> TPH </w:t>
      </w:r>
      <w:r>
        <w:t xml:space="preserve">fractions </w:t>
      </w:r>
      <w:r w:rsidRPr="000674C3">
        <w:t>F</w:t>
      </w:r>
      <w:r>
        <w:t>1</w:t>
      </w:r>
      <w:r>
        <w:sym w:font="Symbol" w:char="F02D"/>
      </w:r>
      <w:r w:rsidRPr="000674C3">
        <w:t xml:space="preserve">F4 </w:t>
      </w:r>
      <w:r>
        <w:t>in soil</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59"/>
        <w:gridCol w:w="2835"/>
        <w:gridCol w:w="2835"/>
      </w:tblGrid>
      <w:tr w:rsidR="00A97702" w:rsidRPr="003011B4" w:rsidTr="00DA1C9D">
        <w:trPr>
          <w:trHeight w:val="50"/>
        </w:trPr>
        <w:tc>
          <w:tcPr>
            <w:tcW w:w="1560" w:type="dxa"/>
            <w:vMerge w:val="restart"/>
            <w:shd w:val="clear" w:color="auto" w:fill="C6D9F1" w:themeFill="text2" w:themeFillTint="33"/>
          </w:tcPr>
          <w:p w:rsidR="00A97702" w:rsidRPr="003011B4" w:rsidRDefault="00A97702" w:rsidP="00DA1C9D">
            <w:pPr>
              <w:spacing w:before="80" w:line="240" w:lineRule="atLeast"/>
              <w:jc w:val="center"/>
              <w:rPr>
                <w:rFonts w:cs="Arial"/>
                <w:b/>
                <w:szCs w:val="22"/>
              </w:rPr>
            </w:pPr>
            <w:r w:rsidRPr="003011B4">
              <w:rPr>
                <w:rFonts w:cs="Arial"/>
                <w:b/>
                <w:szCs w:val="22"/>
              </w:rPr>
              <w:t>TPH fraction</w:t>
            </w:r>
          </w:p>
        </w:tc>
        <w:tc>
          <w:tcPr>
            <w:tcW w:w="1559" w:type="dxa"/>
            <w:vMerge w:val="restart"/>
            <w:shd w:val="clear" w:color="auto" w:fill="C6D9F1" w:themeFill="text2" w:themeFillTint="33"/>
          </w:tcPr>
          <w:p w:rsidR="00A97702" w:rsidRPr="003011B4" w:rsidRDefault="00A97702" w:rsidP="00DA1C9D">
            <w:pPr>
              <w:spacing w:before="80" w:line="240" w:lineRule="atLeast"/>
              <w:jc w:val="center"/>
              <w:rPr>
                <w:rFonts w:cs="Arial"/>
                <w:b/>
                <w:szCs w:val="22"/>
              </w:rPr>
            </w:pPr>
            <w:r w:rsidRPr="003011B4">
              <w:rPr>
                <w:rFonts w:cs="Arial"/>
                <w:b/>
                <w:szCs w:val="22"/>
              </w:rPr>
              <w:t>Soil texture</w:t>
            </w:r>
          </w:p>
        </w:tc>
        <w:tc>
          <w:tcPr>
            <w:tcW w:w="5670" w:type="dxa"/>
            <w:gridSpan w:val="2"/>
            <w:shd w:val="clear" w:color="auto" w:fill="C6D9F1" w:themeFill="text2" w:themeFillTint="33"/>
          </w:tcPr>
          <w:p w:rsidR="00A97702" w:rsidRPr="003011B4" w:rsidRDefault="00A97702" w:rsidP="00DA1C9D">
            <w:pPr>
              <w:spacing w:before="80" w:after="80" w:line="240" w:lineRule="atLeast"/>
              <w:jc w:val="center"/>
              <w:rPr>
                <w:rFonts w:cs="Arial"/>
                <w:szCs w:val="22"/>
              </w:rPr>
            </w:pPr>
            <w:r w:rsidRPr="003011B4">
              <w:rPr>
                <w:rFonts w:cs="Arial"/>
                <w:b/>
                <w:szCs w:val="22"/>
                <w:lang w:val="de-AT"/>
              </w:rPr>
              <w:t>Management Limits</w:t>
            </w:r>
            <w:r w:rsidRPr="003011B4">
              <w:rPr>
                <w:rFonts w:cs="Arial"/>
                <w:b/>
                <w:szCs w:val="22"/>
                <w:vertAlign w:val="superscript"/>
                <w:lang w:val="de-AT"/>
              </w:rPr>
              <w:t>1</w:t>
            </w:r>
            <w:r w:rsidRPr="003011B4">
              <w:rPr>
                <w:rFonts w:cs="Arial"/>
                <w:b/>
                <w:szCs w:val="22"/>
                <w:lang w:val="de-AT"/>
              </w:rPr>
              <w:t xml:space="preserve"> (mg/kg dry soil)</w:t>
            </w:r>
          </w:p>
        </w:tc>
      </w:tr>
      <w:tr w:rsidR="00A97702" w:rsidRPr="003011B4" w:rsidTr="00DA1C9D">
        <w:trPr>
          <w:trHeight w:val="624"/>
        </w:trPr>
        <w:tc>
          <w:tcPr>
            <w:tcW w:w="1560" w:type="dxa"/>
            <w:vMerge/>
          </w:tcPr>
          <w:p w:rsidR="00A97702" w:rsidRPr="003011B4" w:rsidRDefault="00A97702" w:rsidP="00DA1C9D">
            <w:pPr>
              <w:spacing w:line="240" w:lineRule="atLeast"/>
              <w:rPr>
                <w:rFonts w:cs="Arial"/>
                <w:szCs w:val="22"/>
              </w:rPr>
            </w:pPr>
          </w:p>
        </w:tc>
        <w:tc>
          <w:tcPr>
            <w:tcW w:w="1559" w:type="dxa"/>
            <w:vMerge/>
            <w:shd w:val="clear" w:color="auto" w:fill="F2F2F2"/>
          </w:tcPr>
          <w:p w:rsidR="00A97702" w:rsidRPr="003011B4" w:rsidRDefault="00A97702" w:rsidP="00DA1C9D">
            <w:pPr>
              <w:spacing w:line="240" w:lineRule="atLeast"/>
              <w:rPr>
                <w:rFonts w:cs="Arial"/>
                <w:szCs w:val="22"/>
              </w:rPr>
            </w:pPr>
          </w:p>
        </w:tc>
        <w:tc>
          <w:tcPr>
            <w:tcW w:w="2835" w:type="dxa"/>
            <w:shd w:val="clear" w:color="auto" w:fill="EAFADD"/>
          </w:tcPr>
          <w:p w:rsidR="00A97702" w:rsidRPr="003011B4" w:rsidRDefault="00A97702" w:rsidP="00DA1C9D">
            <w:pPr>
              <w:spacing w:before="80" w:line="240" w:lineRule="atLeast"/>
              <w:jc w:val="center"/>
              <w:rPr>
                <w:rFonts w:cs="Arial"/>
                <w:szCs w:val="22"/>
              </w:rPr>
            </w:pPr>
            <w:r w:rsidRPr="003011B4">
              <w:rPr>
                <w:rFonts w:cs="Arial"/>
                <w:b/>
                <w:szCs w:val="22"/>
              </w:rPr>
              <w:t>Residential, parkland and public open space</w:t>
            </w:r>
          </w:p>
        </w:tc>
        <w:tc>
          <w:tcPr>
            <w:tcW w:w="2835" w:type="dxa"/>
            <w:shd w:val="clear" w:color="auto" w:fill="DBE5F1"/>
          </w:tcPr>
          <w:p w:rsidR="00A97702" w:rsidRPr="003011B4" w:rsidRDefault="00A97702" w:rsidP="00DA1C9D">
            <w:pPr>
              <w:spacing w:before="80" w:line="240" w:lineRule="atLeast"/>
              <w:jc w:val="center"/>
              <w:rPr>
                <w:rFonts w:cs="Arial"/>
                <w:szCs w:val="22"/>
              </w:rPr>
            </w:pPr>
            <w:r w:rsidRPr="003011B4">
              <w:rPr>
                <w:rFonts w:cs="Arial"/>
                <w:b/>
                <w:szCs w:val="22"/>
              </w:rPr>
              <w:t>Commercial and industrial</w:t>
            </w:r>
          </w:p>
        </w:tc>
      </w:tr>
      <w:tr w:rsidR="00A97702" w:rsidRPr="003011B4" w:rsidTr="00DA1C9D">
        <w:tc>
          <w:tcPr>
            <w:tcW w:w="1560" w:type="dxa"/>
          </w:tcPr>
          <w:p w:rsidR="00A97702" w:rsidRPr="003011B4" w:rsidRDefault="00A97702" w:rsidP="00DA1C9D">
            <w:pPr>
              <w:spacing w:before="40" w:after="40" w:line="240" w:lineRule="atLeast"/>
              <w:rPr>
                <w:rFonts w:cs="Arial"/>
                <w:b/>
                <w:szCs w:val="22"/>
              </w:rPr>
            </w:pPr>
            <w:r w:rsidRPr="003011B4">
              <w:rPr>
                <w:rFonts w:cs="Arial"/>
                <w:b/>
                <w:szCs w:val="22"/>
              </w:rPr>
              <w:t>F1</w:t>
            </w:r>
            <w:r w:rsidRPr="003011B4">
              <w:rPr>
                <w:rFonts w:cs="Arial"/>
                <w:b/>
                <w:szCs w:val="22"/>
                <w:vertAlign w:val="superscript"/>
              </w:rPr>
              <w:t>2</w:t>
            </w:r>
            <w:r w:rsidRPr="003011B4">
              <w:rPr>
                <w:rFonts w:cs="Arial"/>
                <w:b/>
                <w:szCs w:val="22"/>
              </w:rPr>
              <w:t xml:space="preserve">  C</w:t>
            </w:r>
            <w:r w:rsidRPr="003011B4">
              <w:rPr>
                <w:rFonts w:cs="Arial"/>
                <w:b/>
                <w:szCs w:val="22"/>
                <w:vertAlign w:val="subscript"/>
              </w:rPr>
              <w:t>6</w:t>
            </w:r>
            <w:r w:rsidRPr="003011B4">
              <w:rPr>
                <w:rFonts w:cs="Arial"/>
                <w:b/>
                <w:szCs w:val="22"/>
              </w:rPr>
              <w:t>- C</w:t>
            </w:r>
            <w:r w:rsidRPr="003011B4">
              <w:rPr>
                <w:rFonts w:cs="Arial"/>
                <w:b/>
                <w:szCs w:val="22"/>
                <w:vertAlign w:val="subscript"/>
              </w:rPr>
              <w:t>10</w:t>
            </w:r>
          </w:p>
        </w:tc>
        <w:tc>
          <w:tcPr>
            <w:tcW w:w="1559" w:type="dxa"/>
            <w:shd w:val="clear" w:color="auto" w:fill="F2F2F2"/>
          </w:tcPr>
          <w:p w:rsidR="00A97702" w:rsidRPr="003011B4" w:rsidRDefault="00A97702" w:rsidP="00DA1C9D">
            <w:pPr>
              <w:spacing w:before="40" w:after="40" w:line="240" w:lineRule="atLeast"/>
              <w:rPr>
                <w:rFonts w:cs="Arial"/>
                <w:i/>
                <w:szCs w:val="22"/>
              </w:rPr>
            </w:pPr>
            <w:r w:rsidRPr="003011B4">
              <w:rPr>
                <w:rFonts w:cs="Arial"/>
                <w:i/>
                <w:szCs w:val="22"/>
              </w:rPr>
              <w:t>Coarse</w:t>
            </w:r>
          </w:p>
        </w:tc>
        <w:tc>
          <w:tcPr>
            <w:tcW w:w="2835" w:type="dxa"/>
            <w:shd w:val="clear" w:color="auto" w:fill="EAFADD"/>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700</w:t>
            </w:r>
          </w:p>
        </w:tc>
        <w:tc>
          <w:tcPr>
            <w:tcW w:w="2835" w:type="dxa"/>
            <w:shd w:val="clear" w:color="auto" w:fill="DBE5F1"/>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700</w:t>
            </w:r>
          </w:p>
        </w:tc>
      </w:tr>
      <w:tr w:rsidR="00A97702" w:rsidRPr="003011B4" w:rsidTr="00DA1C9D">
        <w:tc>
          <w:tcPr>
            <w:tcW w:w="1560" w:type="dxa"/>
          </w:tcPr>
          <w:p w:rsidR="00A97702" w:rsidRPr="003011B4" w:rsidRDefault="00A97702" w:rsidP="00DA1C9D">
            <w:pPr>
              <w:spacing w:before="40" w:after="40" w:line="240" w:lineRule="atLeast"/>
              <w:rPr>
                <w:rFonts w:cs="Arial"/>
                <w:b/>
                <w:szCs w:val="22"/>
              </w:rPr>
            </w:pPr>
          </w:p>
        </w:tc>
        <w:tc>
          <w:tcPr>
            <w:tcW w:w="1559" w:type="dxa"/>
            <w:shd w:val="clear" w:color="auto" w:fill="F2F2F2"/>
          </w:tcPr>
          <w:p w:rsidR="00A97702" w:rsidRPr="003011B4" w:rsidRDefault="00A97702" w:rsidP="00DA1C9D">
            <w:pPr>
              <w:spacing w:before="40" w:after="40" w:line="240" w:lineRule="atLeast"/>
              <w:rPr>
                <w:rFonts w:cs="Arial"/>
                <w:i/>
                <w:szCs w:val="22"/>
              </w:rPr>
            </w:pPr>
            <w:r w:rsidRPr="003011B4">
              <w:rPr>
                <w:rFonts w:cs="Arial"/>
                <w:i/>
                <w:szCs w:val="22"/>
              </w:rPr>
              <w:t>Fine</w:t>
            </w:r>
          </w:p>
        </w:tc>
        <w:tc>
          <w:tcPr>
            <w:tcW w:w="2835" w:type="dxa"/>
            <w:shd w:val="clear" w:color="auto" w:fill="EAFADD"/>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800</w:t>
            </w:r>
          </w:p>
        </w:tc>
        <w:tc>
          <w:tcPr>
            <w:tcW w:w="2835" w:type="dxa"/>
            <w:shd w:val="clear" w:color="auto" w:fill="DBE5F1"/>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800</w:t>
            </w:r>
          </w:p>
        </w:tc>
      </w:tr>
      <w:tr w:rsidR="00A97702" w:rsidRPr="003011B4" w:rsidTr="00DA1C9D">
        <w:tc>
          <w:tcPr>
            <w:tcW w:w="1560" w:type="dxa"/>
          </w:tcPr>
          <w:p w:rsidR="00A97702" w:rsidRPr="003011B4" w:rsidRDefault="00A97702" w:rsidP="00DA1C9D">
            <w:pPr>
              <w:spacing w:before="40" w:after="40" w:line="240" w:lineRule="atLeast"/>
              <w:rPr>
                <w:rFonts w:cs="Arial"/>
                <w:b/>
                <w:szCs w:val="22"/>
              </w:rPr>
            </w:pPr>
            <w:r w:rsidRPr="003011B4">
              <w:rPr>
                <w:rFonts w:cs="Arial"/>
                <w:b/>
                <w:szCs w:val="22"/>
              </w:rPr>
              <w:t>F2</w:t>
            </w:r>
            <w:r w:rsidRPr="003011B4">
              <w:rPr>
                <w:rFonts w:cs="Arial"/>
                <w:b/>
                <w:szCs w:val="22"/>
                <w:vertAlign w:val="superscript"/>
              </w:rPr>
              <w:t>2</w:t>
            </w:r>
            <w:r w:rsidRPr="003011B4">
              <w:rPr>
                <w:rFonts w:cs="Arial"/>
                <w:b/>
                <w:szCs w:val="22"/>
              </w:rPr>
              <w:t xml:space="preserve">  &gt;C</w:t>
            </w:r>
            <w:r w:rsidRPr="003011B4">
              <w:rPr>
                <w:rFonts w:cs="Arial"/>
                <w:b/>
                <w:szCs w:val="22"/>
                <w:vertAlign w:val="subscript"/>
              </w:rPr>
              <w:t>10</w:t>
            </w:r>
            <w:r w:rsidRPr="003011B4">
              <w:rPr>
                <w:rFonts w:cs="Arial"/>
                <w:b/>
                <w:szCs w:val="22"/>
              </w:rPr>
              <w:t>-C</w:t>
            </w:r>
            <w:r w:rsidRPr="003011B4">
              <w:rPr>
                <w:rFonts w:cs="Arial"/>
                <w:b/>
                <w:szCs w:val="22"/>
                <w:vertAlign w:val="subscript"/>
              </w:rPr>
              <w:t>16</w:t>
            </w:r>
          </w:p>
        </w:tc>
        <w:tc>
          <w:tcPr>
            <w:tcW w:w="1559" w:type="dxa"/>
            <w:shd w:val="clear" w:color="auto" w:fill="F2F2F2"/>
          </w:tcPr>
          <w:p w:rsidR="00A97702" w:rsidRPr="003011B4" w:rsidRDefault="00A97702" w:rsidP="00DA1C9D">
            <w:pPr>
              <w:spacing w:before="40" w:after="40" w:line="240" w:lineRule="atLeast"/>
              <w:rPr>
                <w:rFonts w:cs="Arial"/>
                <w:i/>
                <w:szCs w:val="22"/>
              </w:rPr>
            </w:pPr>
            <w:r w:rsidRPr="003011B4">
              <w:rPr>
                <w:rFonts w:cs="Arial"/>
                <w:i/>
                <w:szCs w:val="22"/>
              </w:rPr>
              <w:t>Coarse</w:t>
            </w:r>
          </w:p>
        </w:tc>
        <w:tc>
          <w:tcPr>
            <w:tcW w:w="2835" w:type="dxa"/>
            <w:shd w:val="clear" w:color="auto" w:fill="EAFADD"/>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1000</w:t>
            </w:r>
          </w:p>
        </w:tc>
        <w:tc>
          <w:tcPr>
            <w:tcW w:w="2835" w:type="dxa"/>
            <w:shd w:val="clear" w:color="auto" w:fill="DBE5F1"/>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1000</w:t>
            </w:r>
          </w:p>
        </w:tc>
      </w:tr>
      <w:tr w:rsidR="00A97702" w:rsidRPr="003011B4" w:rsidTr="00DA1C9D">
        <w:tc>
          <w:tcPr>
            <w:tcW w:w="1560" w:type="dxa"/>
          </w:tcPr>
          <w:p w:rsidR="00A97702" w:rsidRPr="003011B4" w:rsidRDefault="00A97702" w:rsidP="00DA1C9D">
            <w:pPr>
              <w:spacing w:before="40" w:after="40" w:line="240" w:lineRule="atLeast"/>
              <w:rPr>
                <w:rFonts w:cs="Arial"/>
                <w:b/>
                <w:szCs w:val="22"/>
              </w:rPr>
            </w:pPr>
          </w:p>
        </w:tc>
        <w:tc>
          <w:tcPr>
            <w:tcW w:w="1559" w:type="dxa"/>
            <w:shd w:val="clear" w:color="auto" w:fill="F2F2F2"/>
          </w:tcPr>
          <w:p w:rsidR="00A97702" w:rsidRPr="003011B4" w:rsidRDefault="00A97702" w:rsidP="00DA1C9D">
            <w:pPr>
              <w:spacing w:before="40" w:after="40" w:line="240" w:lineRule="atLeast"/>
              <w:rPr>
                <w:rFonts w:cs="Arial"/>
                <w:i/>
                <w:szCs w:val="22"/>
              </w:rPr>
            </w:pPr>
            <w:r w:rsidRPr="003011B4">
              <w:rPr>
                <w:rFonts w:cs="Arial"/>
                <w:i/>
                <w:szCs w:val="22"/>
              </w:rPr>
              <w:t>Fine</w:t>
            </w:r>
          </w:p>
        </w:tc>
        <w:tc>
          <w:tcPr>
            <w:tcW w:w="2835" w:type="dxa"/>
            <w:shd w:val="clear" w:color="auto" w:fill="EAFADD"/>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1000</w:t>
            </w:r>
          </w:p>
        </w:tc>
        <w:tc>
          <w:tcPr>
            <w:tcW w:w="2835" w:type="dxa"/>
            <w:shd w:val="clear" w:color="auto" w:fill="DBE5F1"/>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1000</w:t>
            </w:r>
          </w:p>
        </w:tc>
      </w:tr>
      <w:tr w:rsidR="00A97702" w:rsidRPr="003011B4" w:rsidTr="00DA1C9D">
        <w:tc>
          <w:tcPr>
            <w:tcW w:w="1560" w:type="dxa"/>
          </w:tcPr>
          <w:p w:rsidR="00A97702" w:rsidRPr="003011B4" w:rsidRDefault="00A97702" w:rsidP="00DA1C9D">
            <w:pPr>
              <w:spacing w:before="40" w:after="40" w:line="240" w:lineRule="atLeast"/>
              <w:rPr>
                <w:rFonts w:cs="Arial"/>
                <w:b/>
                <w:szCs w:val="22"/>
              </w:rPr>
            </w:pPr>
            <w:r w:rsidRPr="003011B4">
              <w:rPr>
                <w:rFonts w:cs="Arial"/>
                <w:b/>
                <w:szCs w:val="22"/>
              </w:rPr>
              <w:t>F3  &gt;C</w:t>
            </w:r>
            <w:r w:rsidRPr="003011B4">
              <w:rPr>
                <w:rFonts w:cs="Arial"/>
                <w:b/>
                <w:szCs w:val="22"/>
                <w:vertAlign w:val="subscript"/>
              </w:rPr>
              <w:t>16</w:t>
            </w:r>
            <w:r w:rsidRPr="003011B4">
              <w:rPr>
                <w:rFonts w:cs="Arial"/>
                <w:b/>
                <w:szCs w:val="22"/>
              </w:rPr>
              <w:t>-C</w:t>
            </w:r>
            <w:r w:rsidRPr="003011B4">
              <w:rPr>
                <w:rFonts w:cs="Arial"/>
                <w:b/>
                <w:szCs w:val="22"/>
                <w:vertAlign w:val="subscript"/>
              </w:rPr>
              <w:t>34</w:t>
            </w:r>
          </w:p>
        </w:tc>
        <w:tc>
          <w:tcPr>
            <w:tcW w:w="1559" w:type="dxa"/>
            <w:shd w:val="clear" w:color="auto" w:fill="F2F2F2"/>
          </w:tcPr>
          <w:p w:rsidR="00A97702" w:rsidRPr="003011B4" w:rsidRDefault="00A97702" w:rsidP="00DA1C9D">
            <w:pPr>
              <w:spacing w:before="40" w:after="40" w:line="240" w:lineRule="atLeast"/>
              <w:rPr>
                <w:rFonts w:cs="Arial"/>
                <w:i/>
                <w:szCs w:val="22"/>
              </w:rPr>
            </w:pPr>
            <w:r w:rsidRPr="003011B4">
              <w:rPr>
                <w:rFonts w:cs="Arial"/>
                <w:i/>
                <w:szCs w:val="22"/>
              </w:rPr>
              <w:t>Coarse</w:t>
            </w:r>
          </w:p>
        </w:tc>
        <w:tc>
          <w:tcPr>
            <w:tcW w:w="2835" w:type="dxa"/>
            <w:shd w:val="clear" w:color="auto" w:fill="EAFADD"/>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2500</w:t>
            </w:r>
          </w:p>
        </w:tc>
        <w:tc>
          <w:tcPr>
            <w:tcW w:w="2835" w:type="dxa"/>
            <w:shd w:val="clear" w:color="auto" w:fill="DBE5F1"/>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3500</w:t>
            </w:r>
          </w:p>
        </w:tc>
      </w:tr>
      <w:tr w:rsidR="00A97702" w:rsidRPr="003011B4" w:rsidTr="00DA1C9D">
        <w:tc>
          <w:tcPr>
            <w:tcW w:w="1560" w:type="dxa"/>
          </w:tcPr>
          <w:p w:rsidR="00A97702" w:rsidRPr="003011B4" w:rsidRDefault="00A97702" w:rsidP="00DA1C9D">
            <w:pPr>
              <w:spacing w:before="40" w:after="40" w:line="240" w:lineRule="atLeast"/>
              <w:rPr>
                <w:rFonts w:cs="Arial"/>
                <w:b/>
                <w:szCs w:val="22"/>
              </w:rPr>
            </w:pPr>
          </w:p>
        </w:tc>
        <w:tc>
          <w:tcPr>
            <w:tcW w:w="1559" w:type="dxa"/>
            <w:shd w:val="clear" w:color="auto" w:fill="F2F2F2"/>
          </w:tcPr>
          <w:p w:rsidR="00A97702" w:rsidRPr="003011B4" w:rsidRDefault="00A97702" w:rsidP="00DA1C9D">
            <w:pPr>
              <w:spacing w:before="40" w:after="40" w:line="240" w:lineRule="atLeast"/>
              <w:rPr>
                <w:rFonts w:cs="Arial"/>
                <w:i/>
                <w:szCs w:val="22"/>
              </w:rPr>
            </w:pPr>
            <w:r w:rsidRPr="003011B4">
              <w:rPr>
                <w:rFonts w:cs="Arial"/>
                <w:i/>
                <w:szCs w:val="22"/>
              </w:rPr>
              <w:t>Fine</w:t>
            </w:r>
          </w:p>
        </w:tc>
        <w:tc>
          <w:tcPr>
            <w:tcW w:w="2835" w:type="dxa"/>
            <w:shd w:val="clear" w:color="auto" w:fill="EAFADD"/>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3500</w:t>
            </w:r>
          </w:p>
        </w:tc>
        <w:tc>
          <w:tcPr>
            <w:tcW w:w="2835" w:type="dxa"/>
            <w:shd w:val="clear" w:color="auto" w:fill="DBE5F1"/>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5000</w:t>
            </w:r>
          </w:p>
        </w:tc>
      </w:tr>
      <w:tr w:rsidR="00A97702" w:rsidRPr="003011B4" w:rsidTr="00DA1C9D">
        <w:tc>
          <w:tcPr>
            <w:tcW w:w="1560" w:type="dxa"/>
          </w:tcPr>
          <w:p w:rsidR="00A97702" w:rsidRPr="003011B4" w:rsidRDefault="00A97702" w:rsidP="00DA1C9D">
            <w:pPr>
              <w:spacing w:before="40" w:after="40" w:line="240" w:lineRule="atLeast"/>
              <w:rPr>
                <w:rFonts w:cs="Arial"/>
                <w:b/>
                <w:szCs w:val="22"/>
                <w:vertAlign w:val="subscript"/>
              </w:rPr>
            </w:pPr>
            <w:r w:rsidRPr="003011B4">
              <w:rPr>
                <w:rFonts w:cs="Arial"/>
                <w:b/>
                <w:szCs w:val="22"/>
              </w:rPr>
              <w:t>F4  &gt;C</w:t>
            </w:r>
            <w:r w:rsidRPr="003011B4">
              <w:rPr>
                <w:rFonts w:cs="Arial"/>
                <w:b/>
                <w:szCs w:val="22"/>
                <w:vertAlign w:val="subscript"/>
              </w:rPr>
              <w:t>34</w:t>
            </w:r>
            <w:r w:rsidRPr="003011B4">
              <w:rPr>
                <w:rFonts w:cs="Arial"/>
                <w:b/>
                <w:szCs w:val="22"/>
              </w:rPr>
              <w:t>-C</w:t>
            </w:r>
            <w:r w:rsidRPr="003011B4">
              <w:rPr>
                <w:rFonts w:cs="Arial"/>
                <w:b/>
                <w:szCs w:val="22"/>
                <w:vertAlign w:val="subscript"/>
              </w:rPr>
              <w:t>40</w:t>
            </w:r>
          </w:p>
        </w:tc>
        <w:tc>
          <w:tcPr>
            <w:tcW w:w="1559" w:type="dxa"/>
            <w:shd w:val="clear" w:color="auto" w:fill="F2F2F2"/>
          </w:tcPr>
          <w:p w:rsidR="00A97702" w:rsidRPr="003011B4" w:rsidRDefault="00A97702" w:rsidP="00DA1C9D">
            <w:pPr>
              <w:spacing w:before="40" w:after="40" w:line="240" w:lineRule="atLeast"/>
              <w:rPr>
                <w:rFonts w:cs="Arial"/>
                <w:i/>
                <w:szCs w:val="22"/>
              </w:rPr>
            </w:pPr>
            <w:r w:rsidRPr="003011B4">
              <w:rPr>
                <w:rFonts w:cs="Arial"/>
                <w:i/>
                <w:szCs w:val="22"/>
              </w:rPr>
              <w:t>Coarse</w:t>
            </w:r>
          </w:p>
        </w:tc>
        <w:tc>
          <w:tcPr>
            <w:tcW w:w="2835" w:type="dxa"/>
            <w:shd w:val="clear" w:color="auto" w:fill="EAFADD"/>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10</w:t>
            </w:r>
            <w:r>
              <w:rPr>
                <w:rFonts w:cs="Arial"/>
                <w:szCs w:val="22"/>
              </w:rPr>
              <w:t xml:space="preserve"> </w:t>
            </w:r>
            <w:r w:rsidRPr="003011B4">
              <w:rPr>
                <w:rFonts w:cs="Arial"/>
                <w:szCs w:val="22"/>
              </w:rPr>
              <w:t>000</w:t>
            </w:r>
          </w:p>
        </w:tc>
        <w:tc>
          <w:tcPr>
            <w:tcW w:w="2835" w:type="dxa"/>
            <w:shd w:val="clear" w:color="auto" w:fill="DBE5F1"/>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10</w:t>
            </w:r>
            <w:r>
              <w:rPr>
                <w:rFonts w:cs="Arial"/>
                <w:szCs w:val="22"/>
              </w:rPr>
              <w:t xml:space="preserve"> </w:t>
            </w:r>
            <w:r w:rsidRPr="003011B4">
              <w:rPr>
                <w:rFonts w:cs="Arial"/>
                <w:szCs w:val="22"/>
              </w:rPr>
              <w:t>000</w:t>
            </w:r>
          </w:p>
        </w:tc>
      </w:tr>
      <w:tr w:rsidR="00A97702" w:rsidRPr="003011B4" w:rsidTr="00DA1C9D">
        <w:tc>
          <w:tcPr>
            <w:tcW w:w="1560" w:type="dxa"/>
          </w:tcPr>
          <w:p w:rsidR="00A97702" w:rsidRPr="003011B4" w:rsidRDefault="00A97702" w:rsidP="00DA1C9D">
            <w:pPr>
              <w:spacing w:before="40" w:after="40" w:line="240" w:lineRule="atLeast"/>
              <w:rPr>
                <w:rFonts w:cs="Arial"/>
                <w:szCs w:val="22"/>
              </w:rPr>
            </w:pPr>
          </w:p>
        </w:tc>
        <w:tc>
          <w:tcPr>
            <w:tcW w:w="1559" w:type="dxa"/>
            <w:shd w:val="clear" w:color="auto" w:fill="F2F2F2"/>
          </w:tcPr>
          <w:p w:rsidR="00A97702" w:rsidRPr="003011B4" w:rsidRDefault="00A97702" w:rsidP="00DA1C9D">
            <w:pPr>
              <w:spacing w:before="40" w:after="40" w:line="240" w:lineRule="atLeast"/>
              <w:rPr>
                <w:rFonts w:cs="Arial"/>
                <w:i/>
                <w:szCs w:val="22"/>
              </w:rPr>
            </w:pPr>
            <w:r w:rsidRPr="003011B4">
              <w:rPr>
                <w:rFonts w:cs="Arial"/>
                <w:i/>
                <w:szCs w:val="22"/>
              </w:rPr>
              <w:t>Fine</w:t>
            </w:r>
          </w:p>
        </w:tc>
        <w:tc>
          <w:tcPr>
            <w:tcW w:w="2835" w:type="dxa"/>
            <w:shd w:val="clear" w:color="auto" w:fill="EAFADD"/>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10</w:t>
            </w:r>
            <w:r>
              <w:rPr>
                <w:rFonts w:cs="Arial"/>
                <w:szCs w:val="22"/>
              </w:rPr>
              <w:t xml:space="preserve"> </w:t>
            </w:r>
            <w:r w:rsidRPr="003011B4">
              <w:rPr>
                <w:rFonts w:cs="Arial"/>
                <w:szCs w:val="22"/>
              </w:rPr>
              <w:t>000</w:t>
            </w:r>
          </w:p>
        </w:tc>
        <w:tc>
          <w:tcPr>
            <w:tcW w:w="2835" w:type="dxa"/>
            <w:shd w:val="clear" w:color="auto" w:fill="DBE5F1"/>
            <w:tcMar>
              <w:right w:w="680" w:type="dxa"/>
            </w:tcMar>
          </w:tcPr>
          <w:p w:rsidR="00A97702" w:rsidRPr="003011B4" w:rsidRDefault="00A97702" w:rsidP="00DA1C9D">
            <w:pPr>
              <w:spacing w:before="40" w:after="40" w:line="240" w:lineRule="atLeast"/>
              <w:jc w:val="right"/>
              <w:rPr>
                <w:rFonts w:cs="Arial"/>
                <w:szCs w:val="22"/>
              </w:rPr>
            </w:pPr>
            <w:r w:rsidRPr="003011B4">
              <w:rPr>
                <w:rFonts w:cs="Arial"/>
                <w:szCs w:val="22"/>
              </w:rPr>
              <w:t>10</w:t>
            </w:r>
            <w:r>
              <w:rPr>
                <w:rFonts w:cs="Arial"/>
                <w:szCs w:val="22"/>
              </w:rPr>
              <w:t xml:space="preserve"> </w:t>
            </w:r>
            <w:r w:rsidRPr="003011B4">
              <w:rPr>
                <w:rFonts w:cs="Arial"/>
                <w:szCs w:val="22"/>
              </w:rPr>
              <w:t>000</w:t>
            </w:r>
          </w:p>
        </w:tc>
      </w:tr>
    </w:tbl>
    <w:p w:rsidR="00A97702" w:rsidRPr="003011B4" w:rsidRDefault="00A97702" w:rsidP="00A97702">
      <w:pPr>
        <w:rPr>
          <w:rFonts w:cs="Arial"/>
          <w:sz w:val="18"/>
          <w:szCs w:val="18"/>
        </w:rPr>
      </w:pPr>
    </w:p>
    <w:p w:rsidR="00A97702" w:rsidRPr="003011B4" w:rsidRDefault="00A97702" w:rsidP="00A97702">
      <w:pPr>
        <w:rPr>
          <w:rFonts w:cs="Arial"/>
          <w:sz w:val="18"/>
          <w:szCs w:val="18"/>
        </w:rPr>
      </w:pPr>
      <w:r w:rsidRPr="003011B4">
        <w:rPr>
          <w:rFonts w:cs="Arial"/>
          <w:sz w:val="18"/>
          <w:szCs w:val="18"/>
          <w:vertAlign w:val="superscript"/>
        </w:rPr>
        <w:t>1</w:t>
      </w:r>
      <w:r w:rsidRPr="003011B4">
        <w:rPr>
          <w:rFonts w:cs="Arial"/>
          <w:sz w:val="18"/>
          <w:szCs w:val="18"/>
        </w:rPr>
        <w:t xml:space="preserve"> Management limits are applied after consideration of relevant ESLs and HSLs</w:t>
      </w:r>
    </w:p>
    <w:p w:rsidR="00A97702" w:rsidRPr="003011B4" w:rsidRDefault="00A97702" w:rsidP="00A97702">
      <w:pPr>
        <w:spacing w:before="80"/>
        <w:rPr>
          <w:rFonts w:cs="Arial"/>
          <w:sz w:val="18"/>
          <w:szCs w:val="18"/>
        </w:rPr>
      </w:pPr>
      <w:r w:rsidRPr="003011B4">
        <w:rPr>
          <w:rFonts w:cs="Arial"/>
          <w:sz w:val="18"/>
          <w:szCs w:val="18"/>
          <w:vertAlign w:val="superscript"/>
        </w:rPr>
        <w:t>2</w:t>
      </w:r>
      <w:r w:rsidRPr="003011B4">
        <w:rPr>
          <w:rFonts w:cs="Arial"/>
          <w:sz w:val="18"/>
          <w:szCs w:val="18"/>
        </w:rPr>
        <w:t xml:space="preserve"> Separate management limits for BTEX and naphthalene are not available hence these should not be subtracted from the relevant fractions to obtain F1 and F2.</w:t>
      </w:r>
    </w:p>
    <w:p w:rsidR="00A97702" w:rsidRPr="000674C3" w:rsidRDefault="00A97702" w:rsidP="00A97702">
      <w:pPr>
        <w:pStyle w:val="Caption"/>
      </w:pPr>
      <w:r>
        <w:br w:type="page"/>
      </w:r>
      <w:r>
        <w:lastRenderedPageBreak/>
        <w:t xml:space="preserve">Table 1C    </w:t>
      </w:r>
      <w:r>
        <w:tab/>
      </w:r>
      <w:r w:rsidRPr="000674C3">
        <w:t>Ground</w:t>
      </w:r>
      <w:r>
        <w:t>water Investigation L</w:t>
      </w:r>
      <w:r w:rsidRPr="000674C3">
        <w:t xml:space="preserve">evels (GILs) </w:t>
      </w:r>
    </w:p>
    <w:tbl>
      <w:tblPr>
        <w:tblW w:w="9015" w:type="dxa"/>
        <w:tblInd w:w="93" w:type="dxa"/>
        <w:tblLayout w:type="fixed"/>
        <w:tblLook w:val="00A0" w:firstRow="1" w:lastRow="0" w:firstColumn="1" w:lastColumn="0" w:noHBand="0" w:noVBand="0"/>
      </w:tblPr>
      <w:tblGrid>
        <w:gridCol w:w="420"/>
        <w:gridCol w:w="3013"/>
        <w:gridCol w:w="540"/>
        <w:gridCol w:w="1619"/>
        <w:gridCol w:w="1619"/>
        <w:gridCol w:w="1804"/>
      </w:tblGrid>
      <w:tr w:rsidR="00A97702" w:rsidRPr="00820B3C" w:rsidTr="00DA1C9D">
        <w:trPr>
          <w:trHeight w:val="350"/>
          <w:tblHeader/>
        </w:trPr>
        <w:tc>
          <w:tcPr>
            <w:tcW w:w="3973" w:type="dxa"/>
            <w:gridSpan w:val="3"/>
            <w:vMerge w:val="restart"/>
            <w:tcBorders>
              <w:top w:val="single" w:sz="4" w:space="0" w:color="auto"/>
              <w:left w:val="single" w:sz="4" w:space="0" w:color="auto"/>
              <w:right w:val="single" w:sz="4" w:space="0" w:color="000000"/>
            </w:tcBorders>
            <w:shd w:val="clear" w:color="auto" w:fill="C6D9F1" w:themeFill="text2" w:themeFillTint="33"/>
            <w:vAlign w:val="center"/>
          </w:tcPr>
          <w:p w:rsidR="00A97702" w:rsidRPr="00820B3C" w:rsidRDefault="00A97702" w:rsidP="00DA1C9D">
            <w:pPr>
              <w:jc w:val="center"/>
              <w:rPr>
                <w:rFonts w:cs="Arial"/>
                <w:b/>
                <w:bCs/>
                <w:color w:val="000000"/>
                <w:szCs w:val="22"/>
              </w:rPr>
            </w:pPr>
            <w:r w:rsidRPr="00820B3C">
              <w:rPr>
                <w:rFonts w:cs="Arial"/>
                <w:b/>
                <w:bCs/>
                <w:color w:val="000000"/>
                <w:szCs w:val="22"/>
              </w:rPr>
              <w:t>Substance</w:t>
            </w:r>
          </w:p>
        </w:tc>
        <w:tc>
          <w:tcPr>
            <w:tcW w:w="5042" w:type="dxa"/>
            <w:gridSpan w:val="3"/>
            <w:tcBorders>
              <w:top w:val="single" w:sz="4" w:space="0" w:color="auto"/>
              <w:left w:val="nil"/>
              <w:bottom w:val="single" w:sz="4" w:space="0" w:color="auto"/>
              <w:right w:val="single" w:sz="4" w:space="0" w:color="000000"/>
            </w:tcBorders>
            <w:shd w:val="clear" w:color="auto" w:fill="C6D9F1" w:themeFill="text2" w:themeFillTint="33"/>
            <w:vAlign w:val="center"/>
          </w:tcPr>
          <w:p w:rsidR="00A97702" w:rsidRPr="00820B3C" w:rsidRDefault="00A97702" w:rsidP="00DA1C9D">
            <w:pPr>
              <w:jc w:val="center"/>
              <w:rPr>
                <w:rFonts w:cs="Arial"/>
                <w:b/>
                <w:bCs/>
                <w:szCs w:val="22"/>
              </w:rPr>
            </w:pPr>
            <w:r w:rsidRPr="00820B3C">
              <w:rPr>
                <w:rFonts w:cs="Arial"/>
                <w:b/>
                <w:bCs/>
                <w:szCs w:val="22"/>
              </w:rPr>
              <w:t>Groundwater Investigation Levels</w:t>
            </w:r>
          </w:p>
        </w:tc>
      </w:tr>
      <w:tr w:rsidR="00A97702" w:rsidRPr="00820B3C" w:rsidTr="00DA1C9D">
        <w:trPr>
          <w:trHeight w:val="346"/>
          <w:tblHeader/>
        </w:trPr>
        <w:tc>
          <w:tcPr>
            <w:tcW w:w="3973" w:type="dxa"/>
            <w:gridSpan w:val="3"/>
            <w:vMerge/>
            <w:tcBorders>
              <w:left w:val="single" w:sz="4" w:space="0" w:color="auto"/>
              <w:right w:val="single" w:sz="4" w:space="0" w:color="000000"/>
            </w:tcBorders>
            <w:vAlign w:val="bottom"/>
          </w:tcPr>
          <w:p w:rsidR="00A97702" w:rsidRPr="00820B3C" w:rsidRDefault="00A97702" w:rsidP="00DA1C9D">
            <w:pPr>
              <w:rPr>
                <w:rFonts w:cs="Arial"/>
                <w:color w:val="000000"/>
                <w:szCs w:val="22"/>
              </w:rPr>
            </w:pPr>
          </w:p>
        </w:tc>
        <w:tc>
          <w:tcPr>
            <w:tcW w:w="1619" w:type="dxa"/>
            <w:tcBorders>
              <w:top w:val="nil"/>
              <w:left w:val="nil"/>
              <w:bottom w:val="single" w:sz="4" w:space="0" w:color="auto"/>
              <w:right w:val="single" w:sz="4" w:space="0" w:color="auto"/>
            </w:tcBorders>
            <w:shd w:val="clear" w:color="000000" w:fill="B8CCE4"/>
            <w:noWrap/>
            <w:vAlign w:val="center"/>
          </w:tcPr>
          <w:p w:rsidR="00A97702" w:rsidRPr="00820B3C" w:rsidRDefault="00A97702" w:rsidP="00DA1C9D">
            <w:pPr>
              <w:spacing w:before="80" w:after="80"/>
              <w:jc w:val="center"/>
              <w:rPr>
                <w:rFonts w:cs="Arial"/>
                <w:b/>
                <w:bCs/>
                <w:szCs w:val="22"/>
              </w:rPr>
            </w:pPr>
            <w:r w:rsidRPr="00820B3C">
              <w:rPr>
                <w:rFonts w:cs="Arial"/>
                <w:b/>
                <w:bCs/>
                <w:szCs w:val="22"/>
              </w:rPr>
              <w:t>Fresh Waters</w:t>
            </w:r>
            <w:r w:rsidRPr="00820B3C">
              <w:rPr>
                <w:rFonts w:cs="Arial"/>
                <w:b/>
                <w:bCs/>
                <w:szCs w:val="22"/>
                <w:vertAlign w:val="superscript"/>
              </w:rPr>
              <w:t>A</w:t>
            </w:r>
          </w:p>
        </w:tc>
        <w:tc>
          <w:tcPr>
            <w:tcW w:w="1619" w:type="dxa"/>
            <w:tcBorders>
              <w:top w:val="nil"/>
              <w:left w:val="nil"/>
              <w:bottom w:val="single" w:sz="4" w:space="0" w:color="auto"/>
              <w:right w:val="single" w:sz="4" w:space="0" w:color="auto"/>
            </w:tcBorders>
            <w:shd w:val="clear" w:color="000000" w:fill="DBE5F1"/>
            <w:noWrap/>
            <w:vAlign w:val="center"/>
          </w:tcPr>
          <w:p w:rsidR="00A97702" w:rsidRPr="00820B3C" w:rsidRDefault="00A97702" w:rsidP="00DA1C9D">
            <w:pPr>
              <w:spacing w:before="80" w:after="80"/>
              <w:jc w:val="center"/>
              <w:rPr>
                <w:rFonts w:cs="Arial"/>
                <w:b/>
                <w:bCs/>
                <w:szCs w:val="22"/>
              </w:rPr>
            </w:pPr>
            <w:r w:rsidRPr="00820B3C">
              <w:rPr>
                <w:rFonts w:cs="Arial"/>
                <w:b/>
                <w:bCs/>
                <w:szCs w:val="22"/>
              </w:rPr>
              <w:t>Marine Waters</w:t>
            </w:r>
            <w:r w:rsidRPr="00820B3C">
              <w:rPr>
                <w:rFonts w:cs="Arial"/>
                <w:b/>
                <w:bCs/>
                <w:szCs w:val="22"/>
                <w:vertAlign w:val="superscript"/>
              </w:rPr>
              <w:t>A</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80" w:after="80"/>
              <w:jc w:val="center"/>
              <w:rPr>
                <w:rFonts w:cs="Arial"/>
                <w:b/>
                <w:bCs/>
                <w:szCs w:val="22"/>
              </w:rPr>
            </w:pPr>
            <w:r w:rsidRPr="00820B3C">
              <w:rPr>
                <w:rFonts w:cs="Arial"/>
                <w:b/>
                <w:bCs/>
                <w:szCs w:val="22"/>
              </w:rPr>
              <w:t>Drinking Water</w:t>
            </w:r>
            <w:r w:rsidRPr="00820B3C">
              <w:rPr>
                <w:rFonts w:cs="Arial"/>
                <w:b/>
                <w:bCs/>
                <w:szCs w:val="22"/>
                <w:vertAlign w:val="superscript"/>
              </w:rPr>
              <w:t>B</w:t>
            </w:r>
          </w:p>
        </w:tc>
      </w:tr>
      <w:tr w:rsidR="00A97702" w:rsidRPr="00820B3C" w:rsidTr="00DA1C9D">
        <w:trPr>
          <w:trHeight w:val="356"/>
          <w:tblHeader/>
        </w:trPr>
        <w:tc>
          <w:tcPr>
            <w:tcW w:w="3973" w:type="dxa"/>
            <w:gridSpan w:val="3"/>
            <w:vMerge/>
            <w:tcBorders>
              <w:left w:val="single" w:sz="4" w:space="0" w:color="auto"/>
              <w:bottom w:val="single" w:sz="8" w:space="0" w:color="auto"/>
              <w:right w:val="single" w:sz="4" w:space="0" w:color="000000"/>
            </w:tcBorders>
            <w:vAlign w:val="bottom"/>
          </w:tcPr>
          <w:p w:rsidR="00A97702" w:rsidRPr="00820B3C" w:rsidRDefault="00A97702" w:rsidP="00DA1C9D">
            <w:pPr>
              <w:rPr>
                <w:rFonts w:cs="Arial"/>
                <w:color w:val="000000"/>
                <w:szCs w:val="22"/>
              </w:rPr>
            </w:pP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80" w:after="80"/>
              <w:jc w:val="center"/>
              <w:rPr>
                <w:rFonts w:cs="Arial"/>
                <w:b/>
                <w:bCs/>
                <w:szCs w:val="22"/>
              </w:rPr>
            </w:pPr>
            <w:r w:rsidRPr="00820B3C">
              <w:rPr>
                <w:rFonts w:cs="Arial"/>
                <w:b/>
                <w:bCs/>
                <w:szCs w:val="22"/>
              </w:rPr>
              <w:t>(</w:t>
            </w:r>
            <w:r w:rsidR="00B2121A" w:rsidRPr="00B2121A">
              <w:rPr>
                <w:rFonts w:cs="Arial"/>
                <w:b/>
                <w:bCs/>
                <w:szCs w:val="22"/>
              </w:rPr>
              <w:t>µg/L</w:t>
            </w:r>
            <w:r w:rsidRPr="00820B3C">
              <w:rPr>
                <w:rFonts w:cs="Arial"/>
                <w:b/>
                <w:bCs/>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80" w:after="80"/>
              <w:jc w:val="center"/>
              <w:rPr>
                <w:rFonts w:cs="Arial"/>
                <w:b/>
                <w:bCs/>
                <w:szCs w:val="22"/>
              </w:rPr>
            </w:pPr>
            <w:r w:rsidRPr="00820B3C">
              <w:rPr>
                <w:rFonts w:cs="Arial"/>
                <w:b/>
                <w:bCs/>
                <w:szCs w:val="22"/>
              </w:rPr>
              <w:t>(</w:t>
            </w:r>
            <w:r w:rsidR="00B2121A" w:rsidRPr="00B2121A">
              <w:rPr>
                <w:rFonts w:cs="Arial"/>
                <w:b/>
                <w:bCs/>
                <w:szCs w:val="22"/>
              </w:rPr>
              <w:t>µg/L</w:t>
            </w:r>
            <w:r w:rsidRPr="00820B3C">
              <w:rPr>
                <w:rFonts w:cs="Arial"/>
                <w:b/>
                <w:bCs/>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80" w:after="80"/>
              <w:jc w:val="center"/>
              <w:rPr>
                <w:rFonts w:cs="Arial"/>
                <w:b/>
                <w:bCs/>
                <w:szCs w:val="22"/>
              </w:rPr>
            </w:pPr>
            <w:r w:rsidRPr="00820B3C">
              <w:rPr>
                <w:rFonts w:cs="Arial"/>
                <w:b/>
                <w:bCs/>
                <w:szCs w:val="22"/>
              </w:rPr>
              <w:t>(mg/L)</w:t>
            </w:r>
          </w:p>
        </w:tc>
      </w:tr>
      <w:tr w:rsidR="00A97702" w:rsidRPr="00820B3C" w:rsidTr="00DA1C9D">
        <w:trPr>
          <w:trHeight w:val="300"/>
        </w:trPr>
        <w:tc>
          <w:tcPr>
            <w:tcW w:w="9015" w:type="dxa"/>
            <w:gridSpan w:val="6"/>
            <w:tcBorders>
              <w:top w:val="single" w:sz="8"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Metals and Metalloids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Aluminium, Al pH&gt;6.5</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55</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Antimony</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0.003</w:t>
            </w:r>
          </w:p>
        </w:tc>
      </w:tr>
      <w:tr w:rsidR="00A97702" w:rsidRPr="00820B3C" w:rsidTr="00DA1C9D">
        <w:trPr>
          <w:trHeight w:val="477"/>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Arsenic</w:t>
            </w:r>
          </w:p>
        </w:tc>
        <w:tc>
          <w:tcPr>
            <w:tcW w:w="540" w:type="dxa"/>
            <w:tcBorders>
              <w:top w:val="nil"/>
              <w:bottom w:val="single" w:sz="4" w:space="0" w:color="000000"/>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24 as As(III)</w:t>
            </w:r>
          </w:p>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13 as As(V)</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single" w:sz="4" w:space="0" w:color="auto"/>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Barium</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Beryllium</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0.06</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Boron</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370</w:t>
            </w:r>
            <w:r w:rsidRPr="00820B3C">
              <w:rPr>
                <w:rFonts w:cs="Arial"/>
                <w:color w:val="000000"/>
                <w:szCs w:val="22"/>
                <w:vertAlign w:val="superscript"/>
              </w:rPr>
              <w:t>C</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xml:space="preserve">Cadmium </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0.2</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0.7</w:t>
            </w:r>
            <w:r w:rsidRPr="00820B3C">
              <w:rPr>
                <w:rFonts w:cs="Arial"/>
                <w:color w:val="000000"/>
                <w:szCs w:val="22"/>
                <w:vertAlign w:val="superscript"/>
              </w:rPr>
              <w:t>D</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Chromium,  Cr</w:t>
            </w:r>
            <w:r>
              <w:rPr>
                <w:rFonts w:cs="Arial"/>
                <w:color w:val="000000"/>
                <w:szCs w:val="22"/>
              </w:rPr>
              <w:t xml:space="preserve"> </w:t>
            </w:r>
            <w:r w:rsidRPr="00820B3C">
              <w:rPr>
                <w:rFonts w:cs="Arial"/>
                <w:color w:val="000000"/>
                <w:szCs w:val="22"/>
              </w:rPr>
              <w:t>(III)</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27</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Chromium,  Cr</w:t>
            </w:r>
            <w:r>
              <w:rPr>
                <w:rFonts w:cs="Arial"/>
                <w:color w:val="000000"/>
                <w:szCs w:val="22"/>
              </w:rPr>
              <w:t xml:space="preserve"> </w:t>
            </w:r>
            <w:r w:rsidRPr="00820B3C">
              <w:rPr>
                <w:rFonts w:cs="Arial"/>
                <w:color w:val="000000"/>
                <w:szCs w:val="22"/>
              </w:rPr>
              <w:t>(VI)</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w:t>
            </w:r>
            <w:r w:rsidRPr="00820B3C">
              <w:rPr>
                <w:rFonts w:cs="Arial"/>
                <w:color w:val="000000"/>
                <w:szCs w:val="22"/>
                <w:vertAlign w:val="superscript"/>
              </w:rPr>
              <w:t>C</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4.4</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Cobalt</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Copper</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1.4</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1.3</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Iron, (Total)</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Lead</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3.4</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4.4</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Manganese</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1900</w:t>
            </w:r>
            <w:r w:rsidRPr="00820B3C">
              <w:rPr>
                <w:rFonts w:cs="Arial"/>
                <w:color w:val="000000"/>
                <w:szCs w:val="22"/>
                <w:vertAlign w:val="superscript"/>
              </w:rPr>
              <w:t>C</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Mercury (Total)</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0.06</w:t>
            </w:r>
            <w:r w:rsidRPr="00820B3C">
              <w:rPr>
                <w:rFonts w:cs="Arial"/>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0.1</w:t>
            </w:r>
            <w:r w:rsidRPr="00820B3C">
              <w:rPr>
                <w:rFonts w:cs="Arial"/>
                <w:color w:val="000000"/>
                <w:szCs w:val="22"/>
                <w:vertAlign w:val="superscript"/>
              </w:rPr>
              <w:t>D</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Molybdenum</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Nickel</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11</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7</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Selenium (Total)</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5</w:t>
            </w:r>
            <w:r w:rsidRPr="00820B3C">
              <w:rPr>
                <w:rFonts w:cs="Arial"/>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Silver</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0.05</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1.4</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Tributyl tin (as Sn)</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0.006</w:t>
            </w:r>
            <w:r w:rsidRPr="00820B3C">
              <w:rPr>
                <w:rFonts w:cs="Arial"/>
                <w:color w:val="000000"/>
                <w:szCs w:val="22"/>
                <w:vertAlign w:val="superscript"/>
              </w:rPr>
              <w:t>C</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Tributyl tin oxide</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Uranium</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Vanadium</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100</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Zinc</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8</w:t>
            </w:r>
            <w:r w:rsidRPr="00820B3C">
              <w:rPr>
                <w:rFonts w:cs="Arial"/>
                <w:color w:val="000000"/>
                <w:szCs w:val="22"/>
                <w:vertAlign w:val="superscript"/>
              </w:rPr>
              <w:t>C</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15</w:t>
            </w:r>
            <w:r w:rsidRPr="00820B3C">
              <w:rPr>
                <w:rFonts w:cs="Arial"/>
                <w:color w:val="000000"/>
                <w:szCs w:val="22"/>
                <w:vertAlign w:val="superscript"/>
              </w:rPr>
              <w:t>C</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bottom"/>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Non-metallic Inorganics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Ammonia</w:t>
            </w:r>
            <w:r w:rsidRPr="00820B3C">
              <w:rPr>
                <w:rFonts w:cs="Arial"/>
                <w:color w:val="000000"/>
                <w:szCs w:val="22"/>
                <w:vertAlign w:val="superscript"/>
              </w:rPr>
              <w:t>E</w:t>
            </w:r>
            <w:r w:rsidRPr="00820B3C">
              <w:rPr>
                <w:rFonts w:cs="Arial"/>
                <w:color w:val="000000"/>
                <w:szCs w:val="22"/>
              </w:rPr>
              <w:t xml:space="preserve">  (as NH</w:t>
            </w:r>
            <w:r w:rsidRPr="00820B3C">
              <w:rPr>
                <w:rFonts w:cs="Arial"/>
                <w:color w:val="000000"/>
                <w:szCs w:val="22"/>
                <w:vertAlign w:val="subscript"/>
              </w:rPr>
              <w:t>3</w:t>
            </w:r>
            <w:r w:rsidRPr="00820B3C">
              <w:rPr>
                <w:rFonts w:cs="Arial"/>
                <w:color w:val="000000"/>
                <w:szCs w:val="22"/>
              </w:rPr>
              <w:t xml:space="preserve">-N at pH 8)   </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900</w:t>
            </w:r>
            <w:r w:rsidRPr="00820B3C">
              <w:rPr>
                <w:rFonts w:cs="Arial"/>
                <w:color w:val="000000"/>
                <w:szCs w:val="22"/>
                <w:vertAlign w:val="superscript"/>
              </w:rPr>
              <w:t>C</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910</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szCs w:val="22"/>
              </w:rPr>
              <w:t>Bromate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Chloride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Cyanide (as un-ionised Cn)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7</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4</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0.08</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Fluoride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Hydrogen sulphide (un-ionised H</w:t>
            </w:r>
            <w:r w:rsidRPr="00820B3C">
              <w:rPr>
                <w:rFonts w:cs="Arial"/>
                <w:color w:val="000000"/>
                <w:szCs w:val="22"/>
                <w:vertAlign w:val="subscript"/>
              </w:rPr>
              <w:t>2</w:t>
            </w:r>
            <w:r w:rsidRPr="00820B3C">
              <w:rPr>
                <w:rFonts w:cs="Arial"/>
                <w:color w:val="000000"/>
                <w:szCs w:val="22"/>
              </w:rPr>
              <w:t>S measured as S)</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Iodide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lastRenderedPageBreak/>
              <w:t>Nitrate (as NO</w:t>
            </w:r>
            <w:r w:rsidRPr="00820B3C">
              <w:rPr>
                <w:rFonts w:cs="Arial"/>
                <w:color w:val="000000"/>
                <w:szCs w:val="22"/>
                <w:vertAlign w:val="subscript"/>
              </w:rPr>
              <w:t>3</w:t>
            </w:r>
            <w:r w:rsidRPr="00820B3C">
              <w:rPr>
                <w:rFonts w:cs="Arial"/>
                <w:color w:val="000000"/>
                <w:szCs w:val="22"/>
              </w:rPr>
              <w:t>)</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refer to guideline</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refer to guideline</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50</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Nitrite (as NO</w:t>
            </w:r>
            <w:r w:rsidRPr="00820B3C">
              <w:rPr>
                <w:rFonts w:cs="Arial"/>
                <w:color w:val="000000"/>
                <w:szCs w:val="22"/>
                <w:vertAlign w:val="subscript"/>
              </w:rPr>
              <w:t>2</w:t>
            </w:r>
            <w:r w:rsidRPr="00820B3C">
              <w:rPr>
                <w:rFonts w:cs="Arial"/>
                <w:color w:val="000000"/>
                <w:szCs w:val="22"/>
              </w:rPr>
              <w:t>)</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refer to guideline</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refer to guideline</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Nitrogen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refer to guideline</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refer to guideline</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Phosphorus</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refer to guideline</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refer to guideline</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Sulphate (as SO</w:t>
            </w:r>
            <w:r w:rsidRPr="00820B3C">
              <w:rPr>
                <w:rFonts w:cs="Arial"/>
                <w:color w:val="000000"/>
                <w:szCs w:val="22"/>
                <w:vertAlign w:val="subscript"/>
              </w:rPr>
              <w:t>4</w:t>
            </w:r>
            <w:r w:rsidRPr="00820B3C">
              <w:rPr>
                <w:rFonts w:cs="Arial"/>
                <w:color w:val="000000"/>
                <w:szCs w:val="22"/>
              </w:rPr>
              <w:t>)</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500</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Organic alchohols/other organics</w:t>
            </w:r>
          </w:p>
        </w:tc>
      </w:tr>
      <w:tr w:rsidR="00A97702" w:rsidRPr="00820B3C" w:rsidTr="00DA1C9D">
        <w:trPr>
          <w:trHeight w:val="255"/>
        </w:trPr>
        <w:tc>
          <w:tcPr>
            <w:tcW w:w="3433" w:type="dxa"/>
            <w:gridSpan w:val="2"/>
            <w:tcBorders>
              <w:top w:val="nil"/>
              <w:left w:val="single" w:sz="8" w:space="0" w:color="auto"/>
              <w:bottom w:val="single" w:sz="4" w:space="0" w:color="auto"/>
            </w:tcBorders>
            <w:noWrap/>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Ethanol</w:t>
            </w:r>
          </w:p>
        </w:tc>
        <w:tc>
          <w:tcPr>
            <w:tcW w:w="540" w:type="dxa"/>
            <w:tcBorders>
              <w:top w:val="nil"/>
              <w:bottom w:val="single" w:sz="4" w:space="0" w:color="auto"/>
              <w:right w:val="single" w:sz="4" w:space="0" w:color="auto"/>
            </w:tcBorders>
            <w:noWrap/>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1400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Ethylenediamine tetra-acetic acid (EDTA)</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0.25</w:t>
            </w:r>
          </w:p>
        </w:tc>
      </w:tr>
      <w:tr w:rsidR="00A97702" w:rsidRPr="00820B3C" w:rsidTr="00DA1C9D">
        <w:trPr>
          <w:trHeight w:val="255"/>
        </w:trPr>
        <w:tc>
          <w:tcPr>
            <w:tcW w:w="3433" w:type="dxa"/>
            <w:gridSpan w:val="2"/>
            <w:tcBorders>
              <w:top w:val="nil"/>
              <w:left w:val="single" w:sz="8" w:space="0" w:color="auto"/>
              <w:bottom w:val="single" w:sz="4" w:space="0" w:color="auto"/>
            </w:tcBorders>
            <w:noWrap/>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Formaldehyde</w:t>
            </w:r>
          </w:p>
        </w:tc>
        <w:tc>
          <w:tcPr>
            <w:tcW w:w="540" w:type="dxa"/>
            <w:tcBorders>
              <w:top w:val="single" w:sz="4" w:space="0" w:color="auto"/>
              <w:bottom w:val="single" w:sz="4" w:space="0" w:color="auto"/>
              <w:right w:val="single" w:sz="4" w:space="0" w:color="auto"/>
            </w:tcBorders>
            <w:noWrap/>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0.5</w:t>
            </w:r>
          </w:p>
        </w:tc>
      </w:tr>
      <w:tr w:rsidR="00A97702" w:rsidRPr="00820B3C" w:rsidTr="00DA1C9D">
        <w:trPr>
          <w:trHeight w:val="255"/>
        </w:trPr>
        <w:tc>
          <w:tcPr>
            <w:tcW w:w="3433" w:type="dxa"/>
            <w:gridSpan w:val="2"/>
            <w:tcBorders>
              <w:top w:val="nil"/>
              <w:left w:val="single" w:sz="8" w:space="0" w:color="auto"/>
              <w:bottom w:val="single" w:sz="4" w:space="0" w:color="auto"/>
            </w:tcBorders>
            <w:noWrap/>
            <w:vAlign w:val="bottom"/>
          </w:tcPr>
          <w:p w:rsidR="00A97702" w:rsidRPr="00820B3C" w:rsidRDefault="00A97702" w:rsidP="00DA1C9D">
            <w:pPr>
              <w:spacing w:before="40" w:after="40" w:line="240" w:lineRule="atLeast"/>
              <w:rPr>
                <w:rFonts w:cs="Arial"/>
                <w:szCs w:val="22"/>
              </w:rPr>
            </w:pPr>
            <w:r w:rsidRPr="00820B3C">
              <w:rPr>
                <w:rFonts w:cs="Arial"/>
                <w:szCs w:val="22"/>
              </w:rPr>
              <w:t>Nitrilotriacetic acid</w:t>
            </w:r>
          </w:p>
        </w:tc>
        <w:tc>
          <w:tcPr>
            <w:tcW w:w="540" w:type="dxa"/>
            <w:tcBorders>
              <w:top w:val="single" w:sz="4" w:space="0" w:color="auto"/>
              <w:bottom w:val="single" w:sz="4" w:space="0" w:color="auto"/>
              <w:right w:val="single" w:sz="4" w:space="0" w:color="auto"/>
            </w:tcBorders>
            <w:noWrap/>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0.2</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Anilines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Aniline</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8</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2,4-Dichloroaniline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7</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3,4-Dichloroaniline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150</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Chlorinated Alkanes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xml:space="preserve">Dichloromethane </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Trichloromethane  (chloroform)</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Trihalomethanes (total)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0.25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Tetrachloromethane  (carbon tetrachloride)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1,2-Dichloroethane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1,1,2-Trichloroethane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6500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1900</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 -</w:t>
            </w:r>
          </w:p>
        </w:tc>
      </w:tr>
      <w:tr w:rsidR="00A97702" w:rsidRPr="00820B3C" w:rsidTr="00DA1C9D">
        <w:trPr>
          <w:trHeight w:val="28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Hexachloroethane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290</w:t>
            </w:r>
            <w:r w:rsidRPr="00820B3C">
              <w:rPr>
                <w:rFonts w:cs="Arial"/>
                <w:b/>
                <w:bCs/>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Chlorinated Alkenes</w:t>
            </w: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Chloroethene (vinyl chloride)</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1,1-Dichloroethene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1,2-Dichoroethene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0.06</w:t>
            </w:r>
          </w:p>
        </w:tc>
      </w:tr>
      <w:tr w:rsidR="00A97702" w:rsidRPr="00820B3C" w:rsidTr="00DA1C9D">
        <w:trPr>
          <w:trHeight w:val="510"/>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Tetrachloroethene (PCE)</w:t>
            </w:r>
            <w:r w:rsidRPr="00820B3C">
              <w:rPr>
                <w:rFonts w:cs="Arial"/>
                <w:color w:val="000000"/>
                <w:szCs w:val="22"/>
              </w:rPr>
              <w:br/>
              <w:t>(Perchloroethene)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0.05</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bottom"/>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Chlorinated Benzenes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Chlorobenzene</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1,2- Dichlorobenzene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160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1,3- Dichlorobenzene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260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lastRenderedPageBreak/>
              <w:t>1,4- Dichlorobenzene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60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0.04</w:t>
            </w:r>
          </w:p>
        </w:tc>
      </w:tr>
      <w:tr w:rsidR="00A97702" w:rsidRPr="00820B3C" w:rsidTr="00DA1C9D">
        <w:trPr>
          <w:trHeight w:val="28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1,2,3- Trichlorobenzene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w:t>
            </w:r>
            <w:r w:rsidRPr="00820B3C">
              <w:rPr>
                <w:rFonts w:cs="Arial"/>
                <w:b/>
                <w:bCs/>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0.03</w:t>
            </w:r>
          </w:p>
        </w:tc>
      </w:tr>
      <w:tr w:rsidR="00A97702" w:rsidRPr="00820B3C" w:rsidTr="00DA1C9D">
        <w:trPr>
          <w:trHeight w:val="28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1,2,4- Trichlorobenzene</w:t>
            </w:r>
          </w:p>
        </w:tc>
        <w:tc>
          <w:tcPr>
            <w:tcW w:w="540" w:type="dxa"/>
            <w:tcBorders>
              <w:top w:val="single" w:sz="4" w:space="0" w:color="auto"/>
              <w:bottom w:val="single" w:sz="4" w:space="0" w:color="auto"/>
              <w:right w:val="single" w:sz="4" w:space="0" w:color="auto"/>
            </w:tcBorders>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85</w:t>
            </w:r>
            <w:r w:rsidRPr="00820B3C">
              <w:rPr>
                <w:rFonts w:cs="Arial"/>
                <w:b/>
                <w:bCs/>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20</w:t>
            </w:r>
            <w:r w:rsidRPr="00820B3C">
              <w:rPr>
                <w:rFonts w:cs="Arial"/>
                <w:b/>
                <w:bCs/>
                <w:color w:val="000000"/>
                <w:szCs w:val="22"/>
                <w:vertAlign w:val="superscript"/>
              </w:rPr>
              <w:t>D</w:t>
            </w:r>
          </w:p>
        </w:tc>
        <w:tc>
          <w:tcPr>
            <w:tcW w:w="1804" w:type="dxa"/>
            <w:vMerge w:val="restart"/>
            <w:tcBorders>
              <w:top w:val="nil"/>
              <w:left w:val="single" w:sz="4" w:space="0" w:color="auto"/>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 xml:space="preserve">for individual or total </w:t>
            </w:r>
            <w:r w:rsidRPr="00820B3C">
              <w:rPr>
                <w:rFonts w:cs="Arial"/>
                <w:color w:val="000000"/>
                <w:sz w:val="20"/>
              </w:rPr>
              <w:t>trichlorobenzenes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1,3,5-Trichlorobenzene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Polychlorinated Biphenyls (PCBs)</w:t>
            </w:r>
          </w:p>
        </w:tc>
      </w:tr>
      <w:tr w:rsidR="00A97702" w:rsidRPr="00820B3C" w:rsidTr="00DA1C9D">
        <w:trPr>
          <w:trHeight w:val="28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Aroclor 1242</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0.3</w:t>
            </w:r>
            <w:r w:rsidRPr="00820B3C">
              <w:rPr>
                <w:rFonts w:cs="Arial"/>
                <w:b/>
                <w:bCs/>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8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Aroclor 1254</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r w:rsidRPr="00820B3C">
              <w:rPr>
                <w:rFonts w:cs="Arial"/>
                <w:b/>
                <w:bCs/>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Other Chlorinated Compounds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Epichlorohydrin</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Hexachlorobutadiene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0.0007</w:t>
            </w:r>
          </w:p>
        </w:tc>
      </w:tr>
      <w:tr w:rsidR="00A97702" w:rsidRPr="00820B3C" w:rsidTr="00DA1C9D">
        <w:trPr>
          <w:trHeight w:val="255"/>
        </w:trPr>
        <w:tc>
          <w:tcPr>
            <w:tcW w:w="3433" w:type="dxa"/>
            <w:gridSpan w:val="2"/>
            <w:tcBorders>
              <w:top w:val="single" w:sz="4" w:space="0" w:color="auto"/>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Monochloramine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noWrap/>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Monocyclic Aromatic Hydrocarbons</w:t>
            </w:r>
          </w:p>
        </w:tc>
      </w:tr>
      <w:tr w:rsidR="00A97702" w:rsidRPr="00820B3C" w:rsidTr="00DA1C9D">
        <w:trPr>
          <w:trHeight w:val="28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Benzene</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950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500</w:t>
            </w:r>
            <w:r w:rsidRPr="00820B3C">
              <w:rPr>
                <w:rFonts w:cs="Arial"/>
                <w:color w:val="000000"/>
                <w:szCs w:val="22"/>
                <w:vertAlign w:val="superscript"/>
              </w:rPr>
              <w:t>C</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xml:space="preserve">Toluene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0.8</w:t>
            </w: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Ethylbenzene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0.3</w:t>
            </w:r>
          </w:p>
        </w:tc>
      </w:tr>
      <w:tr w:rsidR="00A97702" w:rsidRPr="00820B3C" w:rsidTr="00DA1C9D">
        <w:trPr>
          <w:trHeight w:val="170"/>
        </w:trPr>
        <w:tc>
          <w:tcPr>
            <w:tcW w:w="3433" w:type="dxa"/>
            <w:gridSpan w:val="2"/>
            <w:vMerge w:val="restart"/>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xml:space="preserve">Xylenes </w:t>
            </w:r>
          </w:p>
        </w:tc>
        <w:tc>
          <w:tcPr>
            <w:tcW w:w="540" w:type="dxa"/>
            <w:tcBorders>
              <w:top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vMerge w:val="restart"/>
            <w:tcBorders>
              <w:top w:val="single" w:sz="4" w:space="0" w:color="auto"/>
              <w:left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350 (as o-xylene)</w:t>
            </w:r>
          </w:p>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200 (as p-xylene)</w:t>
            </w:r>
          </w:p>
        </w:tc>
        <w:tc>
          <w:tcPr>
            <w:tcW w:w="1619" w:type="dxa"/>
            <w:vMerge w:val="restart"/>
            <w:tcBorders>
              <w:top w:val="nil"/>
              <w:left w:val="single" w:sz="4" w:space="0" w:color="auto"/>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vMerge w:val="restart"/>
            <w:tcBorders>
              <w:top w:val="nil"/>
              <w:left w:val="single" w:sz="4" w:space="0" w:color="auto"/>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0.6</w:t>
            </w:r>
          </w:p>
        </w:tc>
      </w:tr>
      <w:tr w:rsidR="00A97702" w:rsidRPr="00820B3C" w:rsidTr="00DA1C9D">
        <w:trPr>
          <w:trHeight w:val="315"/>
        </w:trPr>
        <w:tc>
          <w:tcPr>
            <w:tcW w:w="3433" w:type="dxa"/>
            <w:gridSpan w:val="2"/>
            <w:vMerge/>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540" w:type="dxa"/>
            <w:tcBorders>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vMerge/>
            <w:tcBorders>
              <w:left w:val="single" w:sz="4" w:space="0" w:color="auto"/>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p>
        </w:tc>
        <w:tc>
          <w:tcPr>
            <w:tcW w:w="1619" w:type="dxa"/>
            <w:vMerge/>
            <w:tcBorders>
              <w:top w:val="nil"/>
              <w:left w:val="single" w:sz="4" w:space="0" w:color="auto"/>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c>
          <w:tcPr>
            <w:tcW w:w="1804" w:type="dxa"/>
            <w:vMerge/>
            <w:tcBorders>
              <w:top w:val="nil"/>
              <w:left w:val="single" w:sz="4" w:space="0" w:color="auto"/>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Styrene (Vinyl benzene)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0.03</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Polycyclic Aromatic Hydrocarbons (PAHs)</w:t>
            </w:r>
          </w:p>
        </w:tc>
      </w:tr>
      <w:tr w:rsidR="00A97702" w:rsidRPr="00820B3C" w:rsidTr="00DA1C9D">
        <w:trPr>
          <w:trHeight w:val="28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Naphthalene</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16</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50</w:t>
            </w:r>
            <w:r w:rsidRPr="00820B3C">
              <w:rPr>
                <w:rFonts w:cs="Arial"/>
                <w:color w:val="000000"/>
                <w:szCs w:val="22"/>
                <w:vertAlign w:val="superscript"/>
              </w:rPr>
              <w:t>C</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Benzo[a]pyrene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0.00001</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bottom"/>
          </w:tcPr>
          <w:p w:rsidR="00A97702" w:rsidRPr="00820B3C" w:rsidRDefault="00A97702" w:rsidP="00DA1C9D">
            <w:pPr>
              <w:pStyle w:val="TableHeading2"/>
              <w:spacing w:before="40" w:after="40" w:line="240" w:lineRule="atLeast"/>
              <w:jc w:val="center"/>
              <w:rPr>
                <w:rFonts w:ascii="Book Antiqua" w:hAnsi="Book Antiqua"/>
                <w:sz w:val="22"/>
                <w:szCs w:val="22"/>
              </w:rPr>
            </w:pPr>
            <w:r w:rsidRPr="00820B3C">
              <w:rPr>
                <w:rFonts w:ascii="Book Antiqua" w:hAnsi="Book Antiqua"/>
                <w:sz w:val="22"/>
                <w:szCs w:val="22"/>
              </w:rPr>
              <w:t>Phenols</w:t>
            </w:r>
          </w:p>
        </w:tc>
      </w:tr>
      <w:tr w:rsidR="00A97702" w:rsidRPr="00820B3C" w:rsidTr="00DA1C9D">
        <w:trPr>
          <w:trHeight w:val="255"/>
        </w:trPr>
        <w:tc>
          <w:tcPr>
            <w:tcW w:w="3433" w:type="dxa"/>
            <w:gridSpan w:val="2"/>
            <w:tcBorders>
              <w:top w:val="nil"/>
              <w:left w:val="single" w:sz="8" w:space="0" w:color="auto"/>
              <w:bottom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Phenol</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320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400</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2-Chlorophenol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340</w:t>
            </w:r>
            <w:r w:rsidRPr="00820B3C">
              <w:rPr>
                <w:rFonts w:cs="Arial"/>
                <w:color w:val="000000"/>
                <w:szCs w:val="22"/>
                <w:vertAlign w:val="superscript"/>
              </w:rPr>
              <w:t>C</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4-Chlorophenol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220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2,4-Dichlorophenol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120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2,4,6-Trichlorophenol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w:t>
            </w:r>
            <w:r w:rsidRPr="00820B3C">
              <w:rPr>
                <w:rFonts w:cs="Arial"/>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2,3,4,6-Tetrachlorophenol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10</w:t>
            </w:r>
            <w:r w:rsidRPr="00820B3C">
              <w:rPr>
                <w:rFonts w:cs="Arial"/>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Pentachlorophenol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3.6</w:t>
            </w:r>
            <w:r w:rsidRPr="00820B3C">
              <w:rPr>
                <w:rFonts w:cs="Arial"/>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11</w:t>
            </w:r>
            <w:r w:rsidRPr="00820B3C">
              <w:rPr>
                <w:rFonts w:cs="Arial"/>
                <w:color w:val="000000"/>
                <w:szCs w:val="22"/>
                <w:vertAlign w:val="superscript"/>
              </w:rPr>
              <w:t>D</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2,4-Dinitrophenol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45</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keepNext/>
              <w:keepLines/>
              <w:spacing w:before="40" w:after="40" w:line="240" w:lineRule="atLeast"/>
              <w:jc w:val="center"/>
              <w:rPr>
                <w:rFonts w:ascii="Book Antiqua" w:hAnsi="Book Antiqua"/>
                <w:sz w:val="22"/>
                <w:szCs w:val="22"/>
              </w:rPr>
            </w:pPr>
            <w:r w:rsidRPr="00820B3C">
              <w:rPr>
                <w:rFonts w:ascii="Book Antiqua" w:hAnsi="Book Antiqua"/>
                <w:sz w:val="22"/>
                <w:szCs w:val="22"/>
              </w:rPr>
              <w:t>Phthalates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Dimethylphthalate</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3700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Diethylphthalate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1000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8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Dibutylphthalate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10</w:t>
            </w:r>
            <w:r w:rsidRPr="00820B3C">
              <w:rPr>
                <w:rFonts w:cs="Arial"/>
                <w:b/>
                <w:bCs/>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Di(2-ethylhexyl) phthalate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p>
        </w:tc>
      </w:tr>
      <w:tr w:rsidR="00A97702" w:rsidRPr="00820B3C" w:rsidTr="00DA1C9D">
        <w:trPr>
          <w:trHeight w:val="300"/>
        </w:trPr>
        <w:tc>
          <w:tcPr>
            <w:tcW w:w="901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keepNext/>
              <w:keepLines/>
              <w:spacing w:before="40" w:after="40" w:line="240" w:lineRule="atLeast"/>
              <w:jc w:val="center"/>
              <w:rPr>
                <w:rFonts w:ascii="Book Antiqua" w:hAnsi="Book Antiqua"/>
                <w:sz w:val="22"/>
                <w:szCs w:val="22"/>
              </w:rPr>
            </w:pPr>
            <w:r w:rsidRPr="00820B3C">
              <w:rPr>
                <w:rFonts w:ascii="Book Antiqua" w:hAnsi="Book Antiqua"/>
                <w:sz w:val="22"/>
                <w:szCs w:val="22"/>
              </w:rPr>
              <w:lastRenderedPageBreak/>
              <w:t>Pesticides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Acephate</w:t>
            </w:r>
          </w:p>
        </w:tc>
        <w:tc>
          <w:tcPr>
            <w:tcW w:w="540" w:type="dxa"/>
            <w:tcBorders>
              <w:top w:val="nil"/>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0.008</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Aldicarb</w:t>
            </w:r>
          </w:p>
        </w:tc>
        <w:tc>
          <w:tcPr>
            <w:tcW w:w="540" w:type="dxa"/>
            <w:tcBorders>
              <w:top w:val="single" w:sz="4" w:space="0" w:color="auto"/>
              <w:bottom w:val="single" w:sz="4" w:space="0" w:color="auto"/>
              <w:right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Aldrin plus Dieldrin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Ametryn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Amitraz</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Amitrole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Asulam</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Atrazine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13</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Azinphos-methyl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Benomyl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Bentazone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Bioresmethrin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Bromacil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Bromoxynil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Captan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Carbaryl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Carbendazim (Thiophanate-methyl)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Carbofuran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0.06</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Carboxin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Carfentrazone-ethyl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Chlorantraniliprole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6</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Chlordane</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0.03</w:t>
            </w:r>
            <w:r w:rsidRPr="00820B3C">
              <w:rPr>
                <w:rFonts w:cs="Arial"/>
                <w:b/>
                <w:bCs/>
                <w:color w:val="000000"/>
                <w:szCs w:val="22"/>
                <w:vertAlign w:val="superscript"/>
              </w:rPr>
              <w:t>D</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Chlorfenvinphos</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Chlorothalonil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Chlorpyrifos</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r w:rsidRPr="00820B3C">
              <w:rPr>
                <w:rFonts w:cs="Arial"/>
                <w:b/>
                <w:bCs/>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0.009</w:t>
            </w:r>
            <w:r w:rsidRPr="00820B3C">
              <w:rPr>
                <w:rFonts w:cs="Arial"/>
                <w:b/>
                <w:bCs/>
                <w:color w:val="000000"/>
                <w:szCs w:val="22"/>
                <w:vertAlign w:val="superscript"/>
              </w:rPr>
              <w:t>D</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Chlorsulfuron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Clopyralid</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Cyfluthrin, Beta-cyfluthrin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Cypermethrin isomers</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Cyprodinil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1,3-Dichloropropene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2,2-DPA</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2,4-D [2,4-dichlorophenoxy acetic acid]</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280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xml:space="preserve">DDT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0.006</w:t>
            </w:r>
            <w:r w:rsidRPr="00820B3C">
              <w:rPr>
                <w:rFonts w:cs="Arial"/>
                <w:b/>
                <w:bCs/>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Deltramethrin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lastRenderedPageBreak/>
              <w:t>Diazinon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Dicamba</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Dichloroprop</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Dichlorvos</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Dicofol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Diclofop-methyl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Dieldrin plus Aldrin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Diflubenzuron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Dimethoate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0.15</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Diquat</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1.4</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Disulfoton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Diuron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xml:space="preserve">Endosulfan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0.03</w:t>
            </w:r>
            <w:r w:rsidRPr="00820B3C">
              <w:rPr>
                <w:rFonts w:cs="Arial"/>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0.005</w:t>
            </w:r>
            <w:r w:rsidRPr="00820B3C">
              <w:rPr>
                <w:rFonts w:cs="Arial"/>
                <w:color w:val="000000"/>
                <w:szCs w:val="22"/>
                <w:vertAlign w:val="superscript"/>
              </w:rPr>
              <w:t>D</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Endothal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Endrin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r w:rsidRPr="00820B3C">
              <w:rPr>
                <w:rFonts w:cs="Arial"/>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0.004</w:t>
            </w:r>
            <w:r w:rsidRPr="00820B3C">
              <w:rPr>
                <w:rFonts w:cs="Arial"/>
                <w:color w:val="000000"/>
                <w:szCs w:val="22"/>
                <w:vertAlign w:val="superscript"/>
              </w:rPr>
              <w:t>D</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EPTC</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Esfenvalerate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Ethion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 xml:space="preserve">Ethoprophos </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Etridiazole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Fenamiphos</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Fenarimol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Fenitrothion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0.2</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Fenthion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Fenvalerate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0.06</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Fipronil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Flamprop-methyl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Fluometuron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Fluproponate</w:t>
            </w:r>
            <w:r w:rsidRPr="00820B3C">
              <w:rPr>
                <w:rFonts w:cs="Arial"/>
                <w:szCs w:val="22"/>
              </w:rPr>
              <w:t xml:space="preserve"> </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Glyphosate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370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Haloxyfop</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xml:space="preserve">Heptachlor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r w:rsidRPr="00820B3C">
              <w:rPr>
                <w:rFonts w:cs="Arial"/>
                <w:color w:val="000000"/>
                <w:szCs w:val="22"/>
                <w:vertAlign w:val="superscript"/>
              </w:rPr>
              <w:t>D</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Heptachlor epoxide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Hexazinone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Imazapyr</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szCs w:val="22"/>
              </w:rPr>
              <w:t>I</w:t>
            </w:r>
            <w:r w:rsidRPr="00820B3C">
              <w:rPr>
                <w:rFonts w:cs="Arial"/>
                <w:color w:val="000000"/>
                <w:szCs w:val="22"/>
              </w:rPr>
              <w:t>prodione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Lindane (γ-HCH)</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bCs/>
                <w:color w:val="000000"/>
                <w:szCs w:val="22"/>
              </w:rPr>
            </w:pPr>
            <w:r w:rsidRPr="00820B3C">
              <w:rPr>
                <w:rFonts w:cs="Arial"/>
                <w:bCs/>
                <w:color w:val="000000"/>
                <w:szCs w:val="22"/>
              </w:rPr>
              <w:t>0.2</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bCs/>
                <w:color w:val="000000"/>
                <w:szCs w:val="22"/>
              </w:rPr>
            </w:pPr>
            <w:r w:rsidRPr="00820B3C">
              <w:rPr>
                <w:rFonts w:cs="Arial"/>
                <w:bCs/>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lastRenderedPageBreak/>
              <w:t>Malathion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0.05</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Mancozeb (as ETU, ethylene thiourea)</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MCPA</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Metaldehyde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szCs w:val="22"/>
              </w:rPr>
              <w:t>Metham (as methylisothiocyanate, MITC)</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Methidathion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0.006</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Methiocarb</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Methomyl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3.5</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 </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Methyl bromide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Metiram (as ETU, ethylene thiourea)</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Metolachlor/s–Metolachlor</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0.30</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Metribuzin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Metsulfuron-methyl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Mevinphos</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0.006</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Molinate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3.4</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Napropamide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Nicarbazin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Norflurazon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0.05</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Omethoate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Oryzalin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Oxamyl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 xml:space="preserve">Paraquat </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Parathion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0.004</w:t>
            </w:r>
            <w:r w:rsidRPr="00820B3C">
              <w:rPr>
                <w:rFonts w:cs="Arial"/>
                <w:bCs/>
                <w:color w:val="000000"/>
                <w:szCs w:val="22"/>
                <w:vertAlign w:val="superscript"/>
              </w:rPr>
              <w:t>C</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Parathion methyl</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Pebulate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0.03</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Pendimethalin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Pentachlorophenol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Permethrin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Picloram</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0.30</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Piperonyl butoxide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0.6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Pirimicarb</w:t>
            </w:r>
            <w:r w:rsidRPr="00820B3C">
              <w:rPr>
                <w:rFonts w:cs="Arial"/>
                <w:szCs w:val="22"/>
              </w:rPr>
              <w:t xml:space="preserve"> </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0.007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Pirimiphos methyl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0.09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Polihexanide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0.7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Profenofos</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0.0003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lastRenderedPageBreak/>
              <w:t>Propachlor</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0.07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Propanil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0.7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Propargite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0.007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szCs w:val="22"/>
              </w:rPr>
              <w:t>Proparzine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0.05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Propiconazole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0.1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Propyzamide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Pyrasulfatole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0.04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Pyrazophos</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0.02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Pyroxsulam</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4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Quintozene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0.03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Simazine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3.2</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0.02</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Spirotetramat</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0.2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Sulprofos</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0.01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2,4,5-T</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36</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0.1</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Tebuthiuron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2.2</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Temephos</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0.05</w:t>
            </w:r>
            <w:r w:rsidRPr="00820B3C">
              <w:rPr>
                <w:rFonts w:cs="Arial"/>
                <w:color w:val="000000"/>
                <w:szCs w:val="22"/>
                <w:vertAlign w:val="superscript"/>
              </w:rPr>
              <w:t>D</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0.4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Terbacil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0.2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Terbufos</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0.0009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Terbuthylazine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0.01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Terbutryn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0.4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Thiobencarb</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2.8</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Thiometon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0.004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Thiram</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0.01</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0.007</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Toltrazuril</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noWrap/>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0.004</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Toxafene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0.1</w:t>
            </w:r>
            <w:r w:rsidRPr="00820B3C">
              <w:rPr>
                <w:rFonts w:cs="Arial"/>
                <w:color w:val="000000"/>
                <w:szCs w:val="22"/>
                <w:vertAlign w:val="superscript"/>
              </w:rPr>
              <w:t xml:space="preserve"> D</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Triadimefon</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0.09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 xml:space="preserve">Trichlorfon </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0.007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Triclopyr</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0.02 </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Trifluralin</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2.6</w:t>
            </w:r>
            <w:r w:rsidRPr="00820B3C">
              <w:rPr>
                <w:rFonts w:cs="Arial"/>
                <w:b/>
                <w:bCs/>
                <w:color w:val="000000"/>
                <w:szCs w:val="22"/>
                <w:vertAlign w:val="superscript"/>
              </w:rPr>
              <w:t>D</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0.09</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szCs w:val="22"/>
              </w:rPr>
            </w:pPr>
            <w:r w:rsidRPr="00820B3C">
              <w:rPr>
                <w:rFonts w:cs="Arial"/>
                <w:color w:val="000000"/>
                <w:szCs w:val="22"/>
              </w:rPr>
              <w:t>Vernolate</w:t>
            </w:r>
            <w:r w:rsidRPr="00820B3C">
              <w:rPr>
                <w:rFonts w:cs="Arial"/>
                <w:szCs w:val="22"/>
              </w:rPr>
              <w:t xml:space="preserve"> </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szCs w:val="22"/>
              </w:rPr>
            </w:pPr>
            <w:r w:rsidRPr="00820B3C">
              <w:rPr>
                <w:rFonts w:cs="Arial"/>
                <w:szCs w:val="22"/>
              </w:rPr>
              <w:t> </w:t>
            </w:r>
          </w:p>
        </w:tc>
        <w:tc>
          <w:tcPr>
            <w:tcW w:w="1619" w:type="dxa"/>
            <w:tcBorders>
              <w:top w:val="single" w:sz="4" w:space="0" w:color="auto"/>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619" w:type="dxa"/>
            <w:tcBorders>
              <w:top w:val="single" w:sz="4" w:space="0" w:color="auto"/>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single" w:sz="4" w:space="0" w:color="auto"/>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szCs w:val="22"/>
              </w:rPr>
            </w:pPr>
            <w:r w:rsidRPr="00820B3C">
              <w:rPr>
                <w:rFonts w:cs="Arial"/>
                <w:szCs w:val="22"/>
              </w:rPr>
              <w:t xml:space="preserve"> 0.04 </w:t>
            </w:r>
          </w:p>
        </w:tc>
      </w:tr>
      <w:tr w:rsidR="00A97702" w:rsidRPr="00820B3C" w:rsidTr="00DA1C9D">
        <w:trPr>
          <w:trHeight w:val="300"/>
        </w:trPr>
        <w:tc>
          <w:tcPr>
            <w:tcW w:w="9015" w:type="dxa"/>
            <w:gridSpan w:val="6"/>
            <w:tcBorders>
              <w:top w:val="nil"/>
              <w:left w:val="single" w:sz="8" w:space="0" w:color="auto"/>
              <w:bottom w:val="single" w:sz="4" w:space="0" w:color="auto"/>
              <w:right w:val="single" w:sz="4" w:space="0" w:color="auto"/>
            </w:tcBorders>
            <w:shd w:val="clear" w:color="000000" w:fill="F2F2F2"/>
            <w:vAlign w:val="center"/>
          </w:tcPr>
          <w:p w:rsidR="00A97702" w:rsidRPr="00820B3C" w:rsidRDefault="00A97702" w:rsidP="00DA1C9D">
            <w:pPr>
              <w:pStyle w:val="TableHeading2"/>
              <w:keepNext/>
              <w:keepLines/>
              <w:spacing w:before="40" w:after="40" w:line="240" w:lineRule="atLeast"/>
              <w:jc w:val="center"/>
              <w:rPr>
                <w:rFonts w:ascii="Book Antiqua" w:hAnsi="Book Antiqua"/>
                <w:sz w:val="22"/>
                <w:szCs w:val="22"/>
              </w:rPr>
            </w:pPr>
            <w:r w:rsidRPr="00820B3C">
              <w:rPr>
                <w:rFonts w:ascii="Book Antiqua" w:hAnsi="Book Antiqua"/>
                <w:sz w:val="22"/>
                <w:szCs w:val="22"/>
              </w:rPr>
              <w:t>Surfactants</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Linear alkylbenzene sulfonates (LAS)</w:t>
            </w:r>
          </w:p>
        </w:tc>
        <w:tc>
          <w:tcPr>
            <w:tcW w:w="540" w:type="dxa"/>
            <w:tcBorders>
              <w:top w:val="nil"/>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280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Alcohol ethoxylated sulfate (AES)</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650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55"/>
        </w:trPr>
        <w:tc>
          <w:tcPr>
            <w:tcW w:w="3433" w:type="dxa"/>
            <w:gridSpan w:val="2"/>
            <w:tcBorders>
              <w:top w:val="nil"/>
              <w:left w:val="single" w:sz="8" w:space="0" w:color="auto"/>
              <w:bottom w:val="single" w:sz="4" w:space="0" w:color="auto"/>
            </w:tcBorders>
            <w:vAlign w:val="center"/>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Alcohol ethoxylated surfactants (AE)</w:t>
            </w:r>
          </w:p>
        </w:tc>
        <w:tc>
          <w:tcPr>
            <w:tcW w:w="540" w:type="dxa"/>
            <w:tcBorders>
              <w:top w:val="single" w:sz="4" w:space="0" w:color="auto"/>
              <w:bottom w:val="single" w:sz="4" w:space="0" w:color="auto"/>
              <w:right w:val="single" w:sz="4" w:space="0" w:color="auto"/>
            </w:tcBorders>
            <w:vAlign w:val="bottom"/>
          </w:tcPr>
          <w:p w:rsidR="00A97702" w:rsidRPr="00820B3C" w:rsidRDefault="00A97702" w:rsidP="00DA1C9D">
            <w:pPr>
              <w:spacing w:before="40" w:after="40" w:line="240" w:lineRule="atLeast"/>
              <w:rPr>
                <w:rFonts w:cs="Arial"/>
                <w:color w:val="000000"/>
                <w:szCs w:val="22"/>
              </w:rPr>
            </w:pPr>
            <w:r w:rsidRPr="00820B3C">
              <w:rPr>
                <w:rFonts w:cs="Arial"/>
                <w:color w:val="000000"/>
                <w:szCs w:val="22"/>
              </w:rPr>
              <w:t> </w:t>
            </w:r>
          </w:p>
        </w:tc>
        <w:tc>
          <w:tcPr>
            <w:tcW w:w="1619" w:type="dxa"/>
            <w:tcBorders>
              <w:top w:val="nil"/>
              <w:left w:val="nil"/>
              <w:bottom w:val="single" w:sz="4" w:space="0" w:color="auto"/>
              <w:right w:val="single" w:sz="4" w:space="0" w:color="auto"/>
            </w:tcBorders>
            <w:shd w:val="clear" w:color="000000" w:fill="B8CCE4"/>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140</w:t>
            </w:r>
          </w:p>
        </w:tc>
        <w:tc>
          <w:tcPr>
            <w:tcW w:w="1619" w:type="dxa"/>
            <w:tcBorders>
              <w:top w:val="nil"/>
              <w:left w:val="nil"/>
              <w:bottom w:val="single" w:sz="4" w:space="0" w:color="auto"/>
              <w:right w:val="single" w:sz="4" w:space="0" w:color="auto"/>
            </w:tcBorders>
            <w:shd w:val="clear" w:color="000000" w:fill="DBE5F1"/>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c>
          <w:tcPr>
            <w:tcW w:w="1804" w:type="dxa"/>
            <w:tcBorders>
              <w:top w:val="nil"/>
              <w:left w:val="nil"/>
              <w:bottom w:val="single" w:sz="4" w:space="0" w:color="auto"/>
              <w:right w:val="single" w:sz="4" w:space="0" w:color="auto"/>
            </w:tcBorders>
            <w:shd w:val="clear" w:color="000000" w:fill="B6DDE8"/>
            <w:vAlign w:val="center"/>
          </w:tcPr>
          <w:p w:rsidR="00A97702" w:rsidRPr="00820B3C" w:rsidRDefault="00A97702" w:rsidP="00DA1C9D">
            <w:pPr>
              <w:spacing w:before="40" w:after="40" w:line="240" w:lineRule="atLeast"/>
              <w:jc w:val="center"/>
              <w:rPr>
                <w:rFonts w:cs="Arial"/>
                <w:color w:val="000000"/>
                <w:szCs w:val="22"/>
              </w:rPr>
            </w:pPr>
            <w:r w:rsidRPr="00820B3C">
              <w:rPr>
                <w:rFonts w:cs="Arial"/>
                <w:color w:val="000000"/>
                <w:szCs w:val="22"/>
              </w:rPr>
              <w:t>-</w:t>
            </w:r>
          </w:p>
        </w:tc>
      </w:tr>
      <w:tr w:rsidR="00A97702" w:rsidRPr="00820B3C" w:rsidTr="00DA1C9D">
        <w:trPr>
          <w:trHeight w:val="237"/>
        </w:trPr>
        <w:tc>
          <w:tcPr>
            <w:tcW w:w="420" w:type="dxa"/>
            <w:tcBorders>
              <w:top w:val="nil"/>
              <w:left w:val="nil"/>
              <w:bottom w:val="nil"/>
              <w:right w:val="nil"/>
            </w:tcBorders>
            <w:noWrap/>
          </w:tcPr>
          <w:p w:rsidR="00A97702" w:rsidRPr="00820B3C" w:rsidRDefault="00A97702" w:rsidP="00DA1C9D">
            <w:pPr>
              <w:spacing w:before="40" w:after="40"/>
              <w:rPr>
                <w:rFonts w:cs="Arial"/>
                <w:szCs w:val="22"/>
              </w:rPr>
            </w:pPr>
          </w:p>
          <w:p w:rsidR="00A97702" w:rsidRPr="00820B3C" w:rsidRDefault="00A97702" w:rsidP="00DA1C9D">
            <w:pPr>
              <w:spacing w:before="40" w:after="40"/>
              <w:jc w:val="center"/>
              <w:rPr>
                <w:rFonts w:cs="Arial"/>
                <w:szCs w:val="22"/>
              </w:rPr>
            </w:pPr>
          </w:p>
          <w:p w:rsidR="00A97702" w:rsidRPr="00820B3C" w:rsidRDefault="00A97702" w:rsidP="00DA1C9D">
            <w:pPr>
              <w:spacing w:before="40" w:after="40"/>
              <w:jc w:val="center"/>
              <w:rPr>
                <w:rFonts w:cs="Arial"/>
                <w:szCs w:val="22"/>
              </w:rPr>
            </w:pPr>
            <w:r w:rsidRPr="00820B3C">
              <w:rPr>
                <w:rFonts w:cs="Arial"/>
                <w:szCs w:val="22"/>
              </w:rPr>
              <w:t>A</w:t>
            </w:r>
          </w:p>
        </w:tc>
        <w:tc>
          <w:tcPr>
            <w:tcW w:w="8595" w:type="dxa"/>
            <w:gridSpan w:val="5"/>
            <w:tcBorders>
              <w:top w:val="nil"/>
              <w:left w:val="nil"/>
              <w:bottom w:val="nil"/>
              <w:right w:val="nil"/>
            </w:tcBorders>
          </w:tcPr>
          <w:p w:rsidR="00A97702" w:rsidRPr="00820B3C" w:rsidRDefault="00A97702" w:rsidP="00DA1C9D">
            <w:pPr>
              <w:spacing w:before="40" w:after="40"/>
              <w:rPr>
                <w:rFonts w:cs="Arial"/>
                <w:szCs w:val="22"/>
              </w:rPr>
            </w:pPr>
          </w:p>
          <w:p w:rsidR="00A97702" w:rsidRPr="00820B3C" w:rsidRDefault="00A97702" w:rsidP="00DA1C9D">
            <w:pPr>
              <w:spacing w:before="40" w:after="40"/>
              <w:rPr>
                <w:rFonts w:cs="Arial"/>
                <w:szCs w:val="22"/>
              </w:rPr>
            </w:pPr>
          </w:p>
          <w:p w:rsidR="00A97702" w:rsidRPr="00820B3C" w:rsidRDefault="00A97702" w:rsidP="00DA1C9D">
            <w:pPr>
              <w:spacing w:before="40" w:after="40"/>
              <w:rPr>
                <w:rFonts w:cs="Arial"/>
                <w:szCs w:val="22"/>
              </w:rPr>
            </w:pPr>
            <w:r w:rsidRPr="00820B3C">
              <w:rPr>
                <w:rFonts w:cs="Arial"/>
                <w:szCs w:val="22"/>
              </w:rPr>
              <w:t>Investigation levels apply to typical slightly-moderately disturbed systems. See ANZECC &amp; ARMCANZ (2000) for guidance on applying these levels to different ecosystem conditions.</w:t>
            </w:r>
          </w:p>
        </w:tc>
      </w:tr>
      <w:tr w:rsidR="00A97702" w:rsidRPr="00820B3C" w:rsidTr="00DA1C9D">
        <w:trPr>
          <w:trHeight w:val="147"/>
        </w:trPr>
        <w:tc>
          <w:tcPr>
            <w:tcW w:w="420" w:type="dxa"/>
            <w:tcBorders>
              <w:top w:val="nil"/>
              <w:left w:val="nil"/>
              <w:bottom w:val="nil"/>
              <w:right w:val="nil"/>
            </w:tcBorders>
            <w:noWrap/>
          </w:tcPr>
          <w:p w:rsidR="00A97702" w:rsidRPr="00820B3C" w:rsidRDefault="00A97702" w:rsidP="00DA1C9D">
            <w:pPr>
              <w:spacing w:before="40" w:after="40"/>
              <w:jc w:val="center"/>
              <w:rPr>
                <w:rFonts w:cs="Arial"/>
                <w:szCs w:val="22"/>
              </w:rPr>
            </w:pPr>
            <w:r w:rsidRPr="00820B3C">
              <w:rPr>
                <w:rFonts w:cs="Arial"/>
                <w:szCs w:val="22"/>
              </w:rPr>
              <w:lastRenderedPageBreak/>
              <w:t>B</w:t>
            </w:r>
          </w:p>
        </w:tc>
        <w:tc>
          <w:tcPr>
            <w:tcW w:w="8595" w:type="dxa"/>
            <w:gridSpan w:val="5"/>
            <w:tcBorders>
              <w:top w:val="nil"/>
              <w:left w:val="nil"/>
              <w:bottom w:val="nil"/>
              <w:right w:val="nil"/>
            </w:tcBorders>
          </w:tcPr>
          <w:p w:rsidR="00A97702" w:rsidRPr="00820B3C" w:rsidRDefault="00A97702" w:rsidP="00DA1C9D">
            <w:pPr>
              <w:spacing w:before="40" w:after="40"/>
              <w:rPr>
                <w:rFonts w:cs="Arial"/>
                <w:szCs w:val="22"/>
              </w:rPr>
            </w:pPr>
            <w:r w:rsidRPr="00820B3C">
              <w:rPr>
                <w:rFonts w:cs="Arial"/>
                <w:szCs w:val="22"/>
              </w:rPr>
              <w:t xml:space="preserve">Investigation levels are taken from the health values of the </w:t>
            </w:r>
            <w:r w:rsidRPr="00945981">
              <w:rPr>
                <w:rFonts w:ascii="Book Antiqua" w:hAnsi="Book Antiqua" w:cs="Arial"/>
                <w:szCs w:val="22"/>
              </w:rPr>
              <w:t>Australian Drinking Water Guidelines (NHMRC 2011).</w:t>
            </w:r>
            <w:r w:rsidRPr="00820B3C">
              <w:rPr>
                <w:rFonts w:cs="Arial"/>
                <w:szCs w:val="22"/>
              </w:rPr>
              <w:t xml:space="preserve"> </w:t>
            </w:r>
          </w:p>
        </w:tc>
      </w:tr>
      <w:tr w:rsidR="00A97702" w:rsidRPr="00820B3C" w:rsidTr="00DA1C9D">
        <w:trPr>
          <w:trHeight w:val="251"/>
        </w:trPr>
        <w:tc>
          <w:tcPr>
            <w:tcW w:w="420" w:type="dxa"/>
            <w:tcBorders>
              <w:top w:val="nil"/>
              <w:left w:val="nil"/>
              <w:bottom w:val="nil"/>
              <w:right w:val="nil"/>
            </w:tcBorders>
            <w:noWrap/>
          </w:tcPr>
          <w:p w:rsidR="00A97702" w:rsidRPr="00820B3C" w:rsidRDefault="00A97702" w:rsidP="00DA1C9D">
            <w:pPr>
              <w:spacing w:before="40" w:after="40"/>
              <w:jc w:val="center"/>
              <w:rPr>
                <w:rFonts w:cs="Arial"/>
                <w:szCs w:val="22"/>
              </w:rPr>
            </w:pPr>
            <w:r w:rsidRPr="00820B3C">
              <w:rPr>
                <w:rFonts w:cs="Arial"/>
                <w:szCs w:val="22"/>
              </w:rPr>
              <w:t>C</w:t>
            </w:r>
          </w:p>
        </w:tc>
        <w:tc>
          <w:tcPr>
            <w:tcW w:w="8595" w:type="dxa"/>
            <w:gridSpan w:val="5"/>
            <w:tcBorders>
              <w:top w:val="nil"/>
              <w:left w:val="nil"/>
              <w:bottom w:val="nil"/>
              <w:right w:val="nil"/>
            </w:tcBorders>
          </w:tcPr>
          <w:p w:rsidR="00A97702" w:rsidRPr="00820B3C" w:rsidRDefault="00A97702" w:rsidP="00DA1C9D">
            <w:pPr>
              <w:spacing w:before="40" w:after="40"/>
              <w:rPr>
                <w:rFonts w:cs="Arial"/>
                <w:szCs w:val="22"/>
              </w:rPr>
            </w:pPr>
            <w:r w:rsidRPr="00820B3C">
              <w:rPr>
                <w:rFonts w:cs="Arial"/>
                <w:szCs w:val="22"/>
              </w:rPr>
              <w:t>Figure may not protect key species from chronic toxicity, refer to ANZECC &amp; ARMCANZ (2000) for further guidance.</w:t>
            </w:r>
          </w:p>
        </w:tc>
      </w:tr>
      <w:tr w:rsidR="00A97702" w:rsidRPr="00820B3C" w:rsidTr="00DA1C9D">
        <w:trPr>
          <w:trHeight w:val="510"/>
        </w:trPr>
        <w:tc>
          <w:tcPr>
            <w:tcW w:w="420" w:type="dxa"/>
            <w:tcBorders>
              <w:top w:val="nil"/>
              <w:left w:val="nil"/>
              <w:bottom w:val="nil"/>
              <w:right w:val="nil"/>
            </w:tcBorders>
            <w:noWrap/>
          </w:tcPr>
          <w:p w:rsidR="00A97702" w:rsidRPr="00820B3C" w:rsidRDefault="00A97702" w:rsidP="00DA1C9D">
            <w:pPr>
              <w:spacing w:before="40" w:after="40"/>
              <w:jc w:val="center"/>
              <w:rPr>
                <w:rFonts w:cs="Arial"/>
                <w:szCs w:val="22"/>
              </w:rPr>
            </w:pPr>
            <w:r w:rsidRPr="00820B3C">
              <w:rPr>
                <w:rFonts w:cs="Arial"/>
                <w:szCs w:val="22"/>
              </w:rPr>
              <w:t>D</w:t>
            </w:r>
          </w:p>
        </w:tc>
        <w:tc>
          <w:tcPr>
            <w:tcW w:w="8595" w:type="dxa"/>
            <w:gridSpan w:val="5"/>
            <w:tcBorders>
              <w:top w:val="nil"/>
              <w:left w:val="nil"/>
              <w:bottom w:val="nil"/>
              <w:right w:val="nil"/>
            </w:tcBorders>
          </w:tcPr>
          <w:p w:rsidR="00A97702" w:rsidRPr="00820B3C" w:rsidRDefault="00A97702" w:rsidP="00DA1C9D">
            <w:pPr>
              <w:spacing w:before="40" w:after="40"/>
              <w:rPr>
                <w:rFonts w:cs="Arial"/>
                <w:szCs w:val="22"/>
              </w:rPr>
            </w:pPr>
            <w:r w:rsidRPr="00820B3C">
              <w:rPr>
                <w:rFonts w:cs="Arial"/>
                <w:szCs w:val="22"/>
              </w:rPr>
              <w:t>Chemical for which possible bioaccumulation and secondary poisoning effects should be considered, refer to ANZECC &amp; ARMCANZ (2000) for further guidance.</w:t>
            </w:r>
          </w:p>
        </w:tc>
      </w:tr>
      <w:tr w:rsidR="00A97702" w:rsidRPr="00820B3C" w:rsidTr="00DA1C9D">
        <w:trPr>
          <w:trHeight w:val="72"/>
        </w:trPr>
        <w:tc>
          <w:tcPr>
            <w:tcW w:w="420" w:type="dxa"/>
            <w:tcBorders>
              <w:top w:val="nil"/>
              <w:left w:val="nil"/>
              <w:bottom w:val="nil"/>
              <w:right w:val="nil"/>
            </w:tcBorders>
            <w:noWrap/>
          </w:tcPr>
          <w:p w:rsidR="00A97702" w:rsidRPr="00820B3C" w:rsidRDefault="00A97702" w:rsidP="00DA1C9D">
            <w:pPr>
              <w:spacing w:before="40" w:after="40"/>
              <w:jc w:val="center"/>
              <w:rPr>
                <w:rFonts w:cs="Arial"/>
                <w:szCs w:val="22"/>
              </w:rPr>
            </w:pPr>
            <w:r w:rsidRPr="00820B3C">
              <w:rPr>
                <w:rFonts w:cs="Arial"/>
                <w:szCs w:val="22"/>
              </w:rPr>
              <w:t>E</w:t>
            </w:r>
          </w:p>
        </w:tc>
        <w:tc>
          <w:tcPr>
            <w:tcW w:w="8595" w:type="dxa"/>
            <w:gridSpan w:val="5"/>
            <w:tcBorders>
              <w:top w:val="nil"/>
              <w:left w:val="nil"/>
              <w:bottom w:val="nil"/>
              <w:right w:val="nil"/>
            </w:tcBorders>
          </w:tcPr>
          <w:p w:rsidR="00A97702" w:rsidRPr="00820B3C" w:rsidRDefault="00A97702" w:rsidP="00DA1C9D">
            <w:pPr>
              <w:spacing w:before="40" w:after="40"/>
              <w:rPr>
                <w:rFonts w:cs="Arial"/>
                <w:szCs w:val="22"/>
              </w:rPr>
            </w:pPr>
            <w:r w:rsidRPr="00820B3C">
              <w:rPr>
                <w:rFonts w:cs="Arial"/>
                <w:szCs w:val="22"/>
              </w:rPr>
              <w:t>For changes in GIL with pH refer to ANZECC &amp; ARMCANZ (2000) for further guidance.</w:t>
            </w:r>
          </w:p>
        </w:tc>
      </w:tr>
      <w:tr w:rsidR="00A97702" w:rsidRPr="00820B3C" w:rsidTr="00DA1C9D">
        <w:trPr>
          <w:trHeight w:val="205"/>
        </w:trPr>
        <w:tc>
          <w:tcPr>
            <w:tcW w:w="420" w:type="dxa"/>
            <w:tcBorders>
              <w:top w:val="nil"/>
              <w:left w:val="nil"/>
              <w:bottom w:val="nil"/>
              <w:right w:val="nil"/>
            </w:tcBorders>
            <w:noWrap/>
          </w:tcPr>
          <w:p w:rsidR="00A97702" w:rsidRPr="00820B3C" w:rsidRDefault="00A97702" w:rsidP="00DA1C9D">
            <w:pPr>
              <w:spacing w:before="40" w:after="40"/>
              <w:jc w:val="center"/>
              <w:rPr>
                <w:rFonts w:cs="Arial"/>
                <w:szCs w:val="22"/>
              </w:rPr>
            </w:pPr>
            <w:r w:rsidRPr="00820B3C">
              <w:rPr>
                <w:rFonts w:cs="Arial"/>
                <w:szCs w:val="22"/>
              </w:rPr>
              <w:t>H</w:t>
            </w:r>
          </w:p>
        </w:tc>
        <w:tc>
          <w:tcPr>
            <w:tcW w:w="8595" w:type="dxa"/>
            <w:gridSpan w:val="5"/>
            <w:tcBorders>
              <w:top w:val="nil"/>
              <w:left w:val="nil"/>
              <w:bottom w:val="nil"/>
              <w:right w:val="nil"/>
            </w:tcBorders>
          </w:tcPr>
          <w:p w:rsidR="00A97702" w:rsidRPr="00820B3C" w:rsidRDefault="00A97702" w:rsidP="00DA1C9D">
            <w:pPr>
              <w:spacing w:before="40" w:after="40"/>
              <w:rPr>
                <w:rFonts w:cs="Arial"/>
                <w:szCs w:val="22"/>
              </w:rPr>
            </w:pPr>
            <w:r w:rsidRPr="00820B3C">
              <w:rPr>
                <w:rFonts w:cs="Arial"/>
                <w:szCs w:val="22"/>
              </w:rPr>
              <w:t>Values have been calculated using a hardness of 30 mg/L CaCO</w:t>
            </w:r>
            <w:r w:rsidRPr="00820B3C">
              <w:rPr>
                <w:rFonts w:cs="Arial"/>
                <w:szCs w:val="22"/>
                <w:vertAlign w:val="subscript"/>
              </w:rPr>
              <w:t>3</w:t>
            </w:r>
            <w:r w:rsidRPr="00820B3C">
              <w:rPr>
                <w:rFonts w:cs="Arial"/>
                <w:szCs w:val="22"/>
              </w:rPr>
              <w:t xml:space="preserve"> refer to ANZECC &amp; ARMCANZ (2000) for further guidance on recalculating for site-specific hardness.</w:t>
            </w:r>
          </w:p>
        </w:tc>
      </w:tr>
    </w:tbl>
    <w:p w:rsidR="00A97702" w:rsidRDefault="00A97702" w:rsidP="00A97702"/>
    <w:p w:rsidR="00A97702" w:rsidRPr="004D0A3D" w:rsidRDefault="00A97702" w:rsidP="00A97702">
      <w:pPr>
        <w:sectPr w:rsidR="00A97702" w:rsidRPr="004D0A3D" w:rsidSect="00DA1C9D">
          <w:pgSz w:w="11907" w:h="16840" w:code="9"/>
          <w:pgMar w:top="1418" w:right="1134" w:bottom="1134" w:left="1701" w:header="567" w:footer="567" w:gutter="0"/>
          <w:pgNumType w:chapSep="period"/>
          <w:cols w:space="720"/>
        </w:sectPr>
      </w:pPr>
    </w:p>
    <w:p w:rsidR="00A97702" w:rsidRPr="005F65AF" w:rsidRDefault="00A97702" w:rsidP="00A97702">
      <w:pPr>
        <w:pStyle w:val="Heading1"/>
        <w:rPr>
          <w:szCs w:val="24"/>
        </w:rPr>
      </w:pPr>
      <w:bookmarkStart w:id="78" w:name="_Toc351712082"/>
      <w:r w:rsidRPr="00C30ABA">
        <w:lastRenderedPageBreak/>
        <w:t>Bibliography</w:t>
      </w:r>
      <w:bookmarkEnd w:id="78"/>
      <w:r w:rsidRPr="00C30ABA">
        <w:t xml:space="preserve"> </w:t>
      </w:r>
    </w:p>
    <w:p w:rsidR="00A97702" w:rsidRPr="00FF5A96" w:rsidRDefault="00A97702" w:rsidP="00A97702">
      <w:pPr>
        <w:pStyle w:val="StyletextLeft0cmHanging1cm"/>
      </w:pPr>
      <w:r w:rsidRPr="00FF5A96">
        <w:t xml:space="preserve">ANZECC &amp; ARMCANZ 2000, </w:t>
      </w:r>
      <w:r w:rsidRPr="00FF5A96">
        <w:rPr>
          <w:i/>
        </w:rPr>
        <w:t>National water quality management strategy.</w:t>
      </w:r>
      <w:r w:rsidRPr="00FF5A96">
        <w:t xml:space="preserve"> </w:t>
      </w:r>
      <w:r w:rsidRPr="00FF5A96">
        <w:rPr>
          <w:i/>
        </w:rPr>
        <w:t>Australian and New Zealand guidelines for fresh and marine water quality</w:t>
      </w:r>
      <w:r w:rsidRPr="00FF5A96">
        <w:t>, Australian and New Zealand Conservation Council &amp; Agriculture, and Resource Management Council of Australia and New Zealand.</w:t>
      </w:r>
    </w:p>
    <w:p w:rsidR="00A97702" w:rsidRDefault="00A97702" w:rsidP="00A97702">
      <w:pPr>
        <w:pStyle w:val="StyletextLeft0cmHanging1cm"/>
      </w:pPr>
      <w:r>
        <w:t>AS 1726</w:t>
      </w:r>
      <w:r>
        <w:sym w:font="Symbol" w:char="F02D"/>
      </w:r>
      <w:r>
        <w:t xml:space="preserve">1993, </w:t>
      </w:r>
      <w:r>
        <w:rPr>
          <w:i/>
        </w:rPr>
        <w:t xml:space="preserve">Geotechnical site investigations, </w:t>
      </w:r>
      <w:r>
        <w:t>Standards Australia.</w:t>
      </w:r>
    </w:p>
    <w:p w:rsidR="00A97702" w:rsidRPr="00E83D73" w:rsidRDefault="00A97702" w:rsidP="00A97702">
      <w:pPr>
        <w:pStyle w:val="StyletextLeft0cmHanging1cm"/>
      </w:pPr>
      <w:r>
        <w:t>AS 4963</w:t>
      </w:r>
      <w:r>
        <w:sym w:font="Symbol" w:char="F02D"/>
      </w:r>
      <w:r>
        <w:t>2004, Method for the Qualitative Identification of Asbestos in Bulk Samples, Standards Australia</w:t>
      </w:r>
    </w:p>
    <w:p w:rsidR="00A97702" w:rsidRDefault="00A97702" w:rsidP="00A97702">
      <w:pPr>
        <w:pStyle w:val="StyletextLeft0cmHanging1cm"/>
      </w:pPr>
      <w:r>
        <w:t>AS/NZS 5667.12—1999</w:t>
      </w:r>
      <w:r w:rsidRPr="006D03D9">
        <w:t>, Water quality – sampling, part</w:t>
      </w:r>
      <w:r>
        <w:t xml:space="preserve"> 12</w:t>
      </w:r>
      <w:r w:rsidRPr="006D03D9">
        <w:t xml:space="preserve">: Guidance on sampling of </w:t>
      </w:r>
      <w:r>
        <w:t>bottom sediments</w:t>
      </w:r>
      <w:r w:rsidRPr="006D03D9">
        <w:t>, Standards Australia.</w:t>
      </w:r>
    </w:p>
    <w:p w:rsidR="00A97702" w:rsidRPr="00FF5A96" w:rsidRDefault="00A97702" w:rsidP="00A97702">
      <w:pPr>
        <w:pStyle w:val="StyletextLeft0cmHanging1cm"/>
        <w:rPr>
          <w:szCs w:val="22"/>
        </w:rPr>
      </w:pPr>
      <w:r>
        <w:rPr>
          <w:szCs w:val="22"/>
        </w:rPr>
        <w:t xml:space="preserve">CCME 2008, </w:t>
      </w:r>
      <w:r w:rsidRPr="00FF5A96">
        <w:rPr>
          <w:i/>
          <w:szCs w:val="22"/>
        </w:rPr>
        <w:t>Canada-wide standard for petroleum hydrocarbons (PHC) in soil</w:t>
      </w:r>
      <w:r w:rsidRPr="00FF5A96">
        <w:rPr>
          <w:szCs w:val="22"/>
        </w:rPr>
        <w:t>,</w:t>
      </w:r>
      <w:r w:rsidRPr="00FF5A96">
        <w:rPr>
          <w:i/>
          <w:szCs w:val="22"/>
        </w:rPr>
        <w:t xml:space="preserve"> </w:t>
      </w:r>
      <w:r w:rsidRPr="00FF5A96">
        <w:rPr>
          <w:szCs w:val="22"/>
        </w:rPr>
        <w:t>Technical supplement, January</w:t>
      </w:r>
      <w:r>
        <w:rPr>
          <w:szCs w:val="22"/>
        </w:rPr>
        <w:t>,</w:t>
      </w:r>
      <w:r w:rsidRPr="009977DC">
        <w:rPr>
          <w:szCs w:val="22"/>
        </w:rPr>
        <w:t xml:space="preserve"> </w:t>
      </w:r>
      <w:r w:rsidRPr="00FF5A96">
        <w:rPr>
          <w:szCs w:val="22"/>
        </w:rPr>
        <w:t>Canadian Council of the Ministers of the Environment</w:t>
      </w:r>
      <w:r>
        <w:rPr>
          <w:szCs w:val="22"/>
        </w:rPr>
        <w:t>.</w:t>
      </w:r>
    </w:p>
    <w:p w:rsidR="00A97702" w:rsidRPr="00FF5A96" w:rsidRDefault="00A97702" w:rsidP="00A97702">
      <w:pPr>
        <w:pStyle w:val="StyletextLeft0cmHanging1cm"/>
        <w:rPr>
          <w:szCs w:val="22"/>
        </w:rPr>
      </w:pPr>
      <w:r w:rsidRPr="00FF5A96">
        <w:rPr>
          <w:szCs w:val="22"/>
        </w:rPr>
        <w:t xml:space="preserve">Chabra, RJ, Pleysier, J &amp; Cremers, AC 1975, 'The measurement of the cation exchange capacity and exchangeable cations in soils: a new method', </w:t>
      </w:r>
      <w:r w:rsidRPr="00FF5A96">
        <w:rPr>
          <w:i/>
          <w:szCs w:val="22"/>
        </w:rPr>
        <w:t>Proceedings of the International Clay Conference</w:t>
      </w:r>
      <w:r w:rsidRPr="00FF5A96">
        <w:rPr>
          <w:szCs w:val="22"/>
        </w:rPr>
        <w:t xml:space="preserve">, </w:t>
      </w:r>
      <w:r w:rsidRPr="00FF5A96">
        <w:rPr>
          <w:i/>
          <w:szCs w:val="22"/>
        </w:rPr>
        <w:t>Mexico City</w:t>
      </w:r>
      <w:r w:rsidRPr="00FF5A96">
        <w:rPr>
          <w:szCs w:val="22"/>
        </w:rPr>
        <w:t>, Applied Publishing, Wilmette, IL, USA, pp. 439–449.</w:t>
      </w:r>
    </w:p>
    <w:p w:rsidR="00A97702" w:rsidRPr="00FF5A96" w:rsidRDefault="00A97702" w:rsidP="00A97702">
      <w:pPr>
        <w:pStyle w:val="StyletextLeft0cmHanging1cm"/>
        <w:rPr>
          <w:szCs w:val="22"/>
        </w:rPr>
      </w:pPr>
      <w:r w:rsidRPr="00FF5A96">
        <w:rPr>
          <w:szCs w:val="22"/>
        </w:rPr>
        <w:t>Davis, GB, Patterson, BM &amp; Trefry, MG 2009</w:t>
      </w:r>
      <w:r>
        <w:rPr>
          <w:szCs w:val="22"/>
        </w:rPr>
        <w:t>a</w:t>
      </w:r>
      <w:r w:rsidRPr="00FF5A96">
        <w:rPr>
          <w:szCs w:val="22"/>
        </w:rPr>
        <w:t xml:space="preserve">, </w:t>
      </w:r>
      <w:r w:rsidRPr="00FF5A96">
        <w:rPr>
          <w:i/>
          <w:szCs w:val="22"/>
        </w:rPr>
        <w:t>Biodegradation of petroleum hydrocarbon vapours</w:t>
      </w:r>
      <w:r w:rsidRPr="00FF5A96">
        <w:rPr>
          <w:szCs w:val="22"/>
        </w:rPr>
        <w:t>, Technical report no. 12, CRC for Contamination Assessment and Remediation of the Environment, Adelaide, Australia.</w:t>
      </w:r>
    </w:p>
    <w:p w:rsidR="00A97702" w:rsidRDefault="00A97702" w:rsidP="00A97702">
      <w:pPr>
        <w:pStyle w:val="StyletextLeft0cmHanging1cm"/>
        <w:rPr>
          <w:szCs w:val="22"/>
        </w:rPr>
      </w:pPr>
      <w:r w:rsidRPr="00FF5A96">
        <w:rPr>
          <w:szCs w:val="22"/>
        </w:rPr>
        <w:t>Davis, GB, Wright, J &amp; Patterson, BM 2009</w:t>
      </w:r>
      <w:r>
        <w:rPr>
          <w:szCs w:val="22"/>
        </w:rPr>
        <w:t>b</w:t>
      </w:r>
      <w:r w:rsidRPr="00FF5A96">
        <w:rPr>
          <w:szCs w:val="22"/>
        </w:rPr>
        <w:t xml:space="preserve">, </w:t>
      </w:r>
      <w:r w:rsidRPr="00FF5A96">
        <w:rPr>
          <w:i/>
          <w:szCs w:val="22"/>
        </w:rPr>
        <w:t>Field assessment of vapours</w:t>
      </w:r>
      <w:r w:rsidRPr="00FF5A96">
        <w:rPr>
          <w:szCs w:val="22"/>
        </w:rPr>
        <w:t>,</w:t>
      </w:r>
      <w:r w:rsidRPr="00FF5A96">
        <w:rPr>
          <w:i/>
          <w:szCs w:val="22"/>
        </w:rPr>
        <w:t xml:space="preserve"> </w:t>
      </w:r>
      <w:r w:rsidRPr="00FF5A96">
        <w:rPr>
          <w:szCs w:val="22"/>
        </w:rPr>
        <w:t>Technical report no. 13, CRC for Contamination Assessment and Remediation of the Environment, Adelaide, Australia.</w:t>
      </w:r>
    </w:p>
    <w:p w:rsidR="00A97702" w:rsidRPr="000D1DA7" w:rsidRDefault="00A97702" w:rsidP="00A97702">
      <w:pPr>
        <w:pStyle w:val="StyletextLeft0cmHanging1cm"/>
      </w:pPr>
      <w:r w:rsidRPr="00CD235E">
        <w:t>Davis, GB, Trefry, MG &amp; Patterson, BM 2009</w:t>
      </w:r>
      <w:r>
        <w:t>c</w:t>
      </w:r>
      <w:r w:rsidRPr="00CD235E">
        <w:t xml:space="preserve">, </w:t>
      </w:r>
      <w:r w:rsidRPr="00BC358F">
        <w:rPr>
          <w:i/>
        </w:rPr>
        <w:t>Petroleum vapour model comparison,</w:t>
      </w:r>
      <w:r w:rsidRPr="00CD235E">
        <w:t xml:space="preserve"> Technical Report no. 9, CRC </w:t>
      </w:r>
      <w:r>
        <w:t xml:space="preserve">for </w:t>
      </w:r>
      <w:r w:rsidRPr="00CD235E">
        <w:t>Contamination Assessment and Remediation of the Environment, Adelaide</w:t>
      </w:r>
      <w:r>
        <w:t>, Australia</w:t>
      </w:r>
      <w:r w:rsidRPr="00CD235E">
        <w:t>.</w:t>
      </w:r>
    </w:p>
    <w:p w:rsidR="00A97702" w:rsidRDefault="00A97702" w:rsidP="00A97702">
      <w:pPr>
        <w:pStyle w:val="StyletextLeft0cmHanging1cm"/>
        <w:rPr>
          <w:szCs w:val="22"/>
        </w:rPr>
      </w:pPr>
      <w:r w:rsidRPr="00FF5A96">
        <w:rPr>
          <w:szCs w:val="22"/>
        </w:rPr>
        <w:t xml:space="preserve">enHealth 2005, </w:t>
      </w:r>
      <w:r w:rsidRPr="00FF5A96">
        <w:rPr>
          <w:i/>
          <w:szCs w:val="22"/>
        </w:rPr>
        <w:t xml:space="preserve">Management of asbestos in the non-occupational environment, </w:t>
      </w:r>
      <w:r w:rsidRPr="00FF5A96">
        <w:rPr>
          <w:szCs w:val="22"/>
        </w:rPr>
        <w:t>Department of Health and Ageing, Canberra, Australia.</w:t>
      </w:r>
    </w:p>
    <w:p w:rsidR="00A97702" w:rsidRDefault="00A97702" w:rsidP="00A97702">
      <w:pPr>
        <w:pStyle w:val="StyletextLeft0cmHanging1cm"/>
        <w:rPr>
          <w:szCs w:val="22"/>
        </w:rPr>
      </w:pPr>
      <w:r>
        <w:rPr>
          <w:szCs w:val="22"/>
        </w:rPr>
        <w:t xml:space="preserve">enHealth 2012, </w:t>
      </w:r>
      <w:r>
        <w:rPr>
          <w:i/>
        </w:rPr>
        <w:t>Australian exposure factor</w:t>
      </w:r>
      <w:r w:rsidRPr="00AD44AB">
        <w:rPr>
          <w:i/>
        </w:rPr>
        <w:t xml:space="preserve"> guidance</w:t>
      </w:r>
      <w:r>
        <w:rPr>
          <w:szCs w:val="22"/>
        </w:rPr>
        <w:t>. Environmental Health Subcommittee (enHealth) of the Australian Health Protection Principal Committee, Canberra, Australia.</w:t>
      </w:r>
    </w:p>
    <w:p w:rsidR="00A97702" w:rsidRPr="00FF5A96" w:rsidRDefault="00A97702" w:rsidP="00A97702">
      <w:pPr>
        <w:pStyle w:val="StyletextLeft0cmHanging1cm"/>
        <w:rPr>
          <w:szCs w:val="22"/>
        </w:rPr>
      </w:pPr>
      <w:r w:rsidRPr="00FF5A96">
        <w:rPr>
          <w:szCs w:val="22"/>
        </w:rPr>
        <w:t xml:space="preserve">Friebel, E &amp; Nadebaum, P </w:t>
      </w:r>
      <w:r>
        <w:rPr>
          <w:szCs w:val="22"/>
        </w:rPr>
        <w:t>2011a</w:t>
      </w:r>
      <w:r w:rsidRPr="00FF5A96">
        <w:rPr>
          <w:szCs w:val="22"/>
        </w:rPr>
        <w:t xml:space="preserve">, </w:t>
      </w:r>
      <w:r w:rsidRPr="00FF5A96">
        <w:rPr>
          <w:i/>
          <w:szCs w:val="22"/>
        </w:rPr>
        <w:t>HSLs for petroleum hydrocarbons in soil and groundwater, part 1: technical development document</w:t>
      </w:r>
      <w:r w:rsidRPr="00FF5A96">
        <w:rPr>
          <w:szCs w:val="22"/>
        </w:rPr>
        <w:t>, Technical report no. 10, CRC for Contamination Assessment and Remediation of the Environment, Adelaide, Australia.</w:t>
      </w:r>
    </w:p>
    <w:p w:rsidR="00A97702" w:rsidRPr="00FF5A96" w:rsidRDefault="00A97702" w:rsidP="00A97702">
      <w:pPr>
        <w:pStyle w:val="StyletextLeft0cmHanging1cm"/>
        <w:rPr>
          <w:szCs w:val="22"/>
        </w:rPr>
      </w:pPr>
      <w:r w:rsidRPr="00FF5A96">
        <w:rPr>
          <w:szCs w:val="22"/>
        </w:rPr>
        <w:t xml:space="preserve">Friebel, E &amp; Nadebaum, P </w:t>
      </w:r>
      <w:r>
        <w:rPr>
          <w:szCs w:val="22"/>
        </w:rPr>
        <w:t>2011b</w:t>
      </w:r>
      <w:r w:rsidRPr="00FF5A96">
        <w:rPr>
          <w:szCs w:val="22"/>
        </w:rPr>
        <w:t xml:space="preserve">, </w:t>
      </w:r>
      <w:r w:rsidRPr="00FF5A96">
        <w:rPr>
          <w:i/>
          <w:szCs w:val="22"/>
        </w:rPr>
        <w:t>HSLs for petroleum hydrocarbons in soil and groundwater, part 2: application document,</w:t>
      </w:r>
      <w:r w:rsidRPr="00FF5A96">
        <w:rPr>
          <w:szCs w:val="22"/>
        </w:rPr>
        <w:t xml:space="preserve"> Technical report no. 10, CRC for Contamination Assessment and Remediation of the Environment, Adelaide, Australia.</w:t>
      </w:r>
    </w:p>
    <w:p w:rsidR="00A97702" w:rsidRPr="00FF5A96" w:rsidRDefault="00A97702" w:rsidP="00A97702">
      <w:pPr>
        <w:pStyle w:val="StyletextLeft0cmHanging1cm"/>
        <w:rPr>
          <w:szCs w:val="22"/>
        </w:rPr>
      </w:pPr>
      <w:r w:rsidRPr="00FF5A96">
        <w:rPr>
          <w:szCs w:val="22"/>
        </w:rPr>
        <w:t xml:space="preserve">Friebel, E &amp; Nadebaum, P </w:t>
      </w:r>
      <w:r>
        <w:rPr>
          <w:szCs w:val="22"/>
        </w:rPr>
        <w:t>2011c</w:t>
      </w:r>
      <w:r w:rsidRPr="00FF5A96">
        <w:rPr>
          <w:szCs w:val="22"/>
        </w:rPr>
        <w:t xml:space="preserve">, </w:t>
      </w:r>
      <w:r w:rsidRPr="00FF5A96">
        <w:rPr>
          <w:i/>
          <w:szCs w:val="22"/>
        </w:rPr>
        <w:t>HSLs for petroleum hydrocarbons in soil and groundwater, part 3: sensitivity assessment</w:t>
      </w:r>
      <w:r w:rsidRPr="00FF5A96">
        <w:rPr>
          <w:szCs w:val="22"/>
        </w:rPr>
        <w:t>, Technical report no. 10, CRC for Contamination Assessment and Remediation of the Environment, Adelaide, Australia.</w:t>
      </w:r>
    </w:p>
    <w:p w:rsidR="00A97702" w:rsidRPr="00FF5A96" w:rsidRDefault="00A97702" w:rsidP="00A97702">
      <w:pPr>
        <w:pStyle w:val="StyletextLeft0cmHanging1cm"/>
        <w:rPr>
          <w:szCs w:val="22"/>
        </w:rPr>
      </w:pPr>
      <w:r w:rsidRPr="00FF5A96">
        <w:rPr>
          <w:szCs w:val="22"/>
        </w:rPr>
        <w:t>Friebel, E &amp; Nadebaum, P 201</w:t>
      </w:r>
      <w:r>
        <w:rPr>
          <w:szCs w:val="22"/>
        </w:rPr>
        <w:t>1</w:t>
      </w:r>
      <w:r w:rsidRPr="00FF5A96">
        <w:rPr>
          <w:szCs w:val="22"/>
        </w:rPr>
        <w:t xml:space="preserve">d, </w:t>
      </w:r>
      <w:r w:rsidRPr="00FF5A96">
        <w:rPr>
          <w:i/>
          <w:szCs w:val="22"/>
        </w:rPr>
        <w:t>HSLs for petroleum hydrocarbons in soil and groundwater: summary for NEPC consultation</w:t>
      </w:r>
      <w:r w:rsidRPr="00FF5A96">
        <w:rPr>
          <w:szCs w:val="22"/>
        </w:rPr>
        <w:t>, Technical Report no. 10, CRC for Contamination Assessment and Remediation of the Environment, Adelaide, Australia</w:t>
      </w:r>
      <w:r>
        <w:rPr>
          <w:szCs w:val="22"/>
        </w:rPr>
        <w:t>.</w:t>
      </w:r>
    </w:p>
    <w:p w:rsidR="00A97702" w:rsidRPr="00FF5A96" w:rsidRDefault="00A97702" w:rsidP="00A97702">
      <w:pPr>
        <w:pStyle w:val="StyletextLeft0cmHanging1cm"/>
        <w:rPr>
          <w:szCs w:val="22"/>
        </w:rPr>
      </w:pPr>
      <w:r w:rsidRPr="00FF5A96">
        <w:rPr>
          <w:szCs w:val="22"/>
        </w:rPr>
        <w:lastRenderedPageBreak/>
        <w:t>Hamon, RE, McLaughlin, MJ, Gilkes, RJ, Rate, AW, Zarcinas, B, Robertson, A, Cozens, G, Radford, N &amp; Bettenay, L 2004, ‘Geochemical indices allow estimation of heavy metal background concentrations in soils</w:t>
      </w:r>
      <w:r>
        <w:rPr>
          <w:szCs w:val="22"/>
        </w:rPr>
        <w:t>’</w:t>
      </w:r>
      <w:r w:rsidRPr="00FF5A96">
        <w:rPr>
          <w:szCs w:val="22"/>
        </w:rPr>
        <w:t xml:space="preserve">, </w:t>
      </w:r>
      <w:r w:rsidRPr="00FF5A96">
        <w:rPr>
          <w:i/>
          <w:szCs w:val="22"/>
        </w:rPr>
        <w:t>Global Biogeochemical Cycles</w:t>
      </w:r>
      <w:r w:rsidRPr="00FF5A96">
        <w:rPr>
          <w:szCs w:val="22"/>
        </w:rPr>
        <w:t>, vol. 18, pp. 1</w:t>
      </w:r>
      <w:r>
        <w:rPr>
          <w:szCs w:val="22"/>
        </w:rPr>
        <w:sym w:font="Symbol" w:char="F02D"/>
      </w:r>
      <w:r w:rsidRPr="00FF5A96">
        <w:rPr>
          <w:szCs w:val="22"/>
        </w:rPr>
        <w:t>6.</w:t>
      </w:r>
    </w:p>
    <w:p w:rsidR="00A97702" w:rsidRDefault="00A97702" w:rsidP="00A97702">
      <w:pPr>
        <w:pStyle w:val="StyletextLeft0cmHanging1cm"/>
        <w:rPr>
          <w:szCs w:val="22"/>
        </w:rPr>
      </w:pPr>
      <w:r>
        <w:rPr>
          <w:szCs w:val="22"/>
        </w:rPr>
        <w:t xml:space="preserve">Johnson, PC 2005, ‘Sensitivity analysis and identification of critical and non-critical parameters for the Johnson and Ettinger vapour intrusion model’, </w:t>
      </w:r>
      <w:r w:rsidRPr="00E24F67">
        <w:rPr>
          <w:i/>
          <w:szCs w:val="22"/>
        </w:rPr>
        <w:t>Ground Water Monitoring and Remediation</w:t>
      </w:r>
      <w:r>
        <w:rPr>
          <w:i/>
          <w:szCs w:val="22"/>
        </w:rPr>
        <w:t>,</w:t>
      </w:r>
      <w:r w:rsidRPr="00E24F67">
        <w:rPr>
          <w:i/>
          <w:szCs w:val="22"/>
        </w:rPr>
        <w:t xml:space="preserve"> </w:t>
      </w:r>
      <w:r>
        <w:rPr>
          <w:szCs w:val="22"/>
        </w:rPr>
        <w:t>Winter, 25 (1), pp. 63</w:t>
      </w:r>
      <w:r>
        <w:rPr>
          <w:szCs w:val="22"/>
        </w:rPr>
        <w:sym w:font="Symbol" w:char="F02D"/>
      </w:r>
      <w:r>
        <w:rPr>
          <w:szCs w:val="22"/>
        </w:rPr>
        <w:t>78.</w:t>
      </w:r>
    </w:p>
    <w:p w:rsidR="00A97702" w:rsidRDefault="00A97702" w:rsidP="00A97702">
      <w:pPr>
        <w:pStyle w:val="StyletextLeft0cmHanging1cm"/>
        <w:rPr>
          <w:szCs w:val="22"/>
        </w:rPr>
      </w:pPr>
      <w:r w:rsidRPr="003F4DD3">
        <w:t xml:space="preserve">NHMRC </w:t>
      </w:r>
      <w:r>
        <w:t xml:space="preserve">&amp; NRMMC </w:t>
      </w:r>
      <w:r w:rsidRPr="003F4DD3">
        <w:t xml:space="preserve">2011, </w:t>
      </w:r>
      <w:r w:rsidRPr="003F4DD3">
        <w:rPr>
          <w:i/>
        </w:rPr>
        <w:t>National wa</w:t>
      </w:r>
      <w:r>
        <w:rPr>
          <w:i/>
        </w:rPr>
        <w:t>ter quality management strategy,</w:t>
      </w:r>
      <w:r w:rsidRPr="003F4DD3">
        <w:rPr>
          <w:i/>
        </w:rPr>
        <w:t xml:space="preserve"> Australian drinking water guidelines</w:t>
      </w:r>
      <w:r w:rsidRPr="003F4DD3">
        <w:t>, National Health and Medical Research Council</w:t>
      </w:r>
      <w:r>
        <w:t xml:space="preserve"> and National Resource Management Ministerial Council</w:t>
      </w:r>
      <w:r w:rsidRPr="003F4DD3">
        <w:t>, Australia.</w:t>
      </w:r>
    </w:p>
    <w:p w:rsidR="00A97702" w:rsidRPr="00A76A19" w:rsidRDefault="00A97702" w:rsidP="00A97702">
      <w:pPr>
        <w:pStyle w:val="StyletextLeft0cmHanging1cm"/>
        <w:rPr>
          <w:szCs w:val="22"/>
        </w:rPr>
      </w:pPr>
      <w:r>
        <w:rPr>
          <w:szCs w:val="22"/>
        </w:rPr>
        <w:t xml:space="preserve">NOHSC: 2002 (2005), </w:t>
      </w:r>
      <w:r>
        <w:rPr>
          <w:i/>
          <w:szCs w:val="22"/>
        </w:rPr>
        <w:t>Code of Practice for the Safe Removal of Asbestos 2</w:t>
      </w:r>
      <w:r w:rsidRPr="00A121CF">
        <w:rPr>
          <w:i/>
          <w:szCs w:val="22"/>
          <w:vertAlign w:val="superscript"/>
        </w:rPr>
        <w:t>nd</w:t>
      </w:r>
      <w:r>
        <w:rPr>
          <w:i/>
          <w:szCs w:val="22"/>
        </w:rPr>
        <w:t xml:space="preserve"> edn </w:t>
      </w:r>
      <w:r w:rsidRPr="00A76A19">
        <w:rPr>
          <w:szCs w:val="22"/>
        </w:rPr>
        <w:t>National Occupational Health and Safety Commission, Canberra</w:t>
      </w:r>
      <w:r>
        <w:rPr>
          <w:szCs w:val="22"/>
        </w:rPr>
        <w:t>, Australia.</w:t>
      </w:r>
      <w:r w:rsidRPr="00A76A19">
        <w:rPr>
          <w:szCs w:val="22"/>
        </w:rPr>
        <w:t xml:space="preserve"> </w:t>
      </w:r>
    </w:p>
    <w:p w:rsidR="00A97702" w:rsidRPr="0018457F" w:rsidRDefault="00A97702" w:rsidP="00A97702">
      <w:pPr>
        <w:pStyle w:val="StyletextLeft0cmHanging1cm"/>
        <w:rPr>
          <w:szCs w:val="22"/>
        </w:rPr>
      </w:pPr>
      <w:r w:rsidRPr="0018457F">
        <w:rPr>
          <w:szCs w:val="22"/>
        </w:rPr>
        <w:t>NOHSC:</w:t>
      </w:r>
      <w:r>
        <w:rPr>
          <w:szCs w:val="22"/>
        </w:rPr>
        <w:t xml:space="preserve"> </w:t>
      </w:r>
      <w:r w:rsidRPr="0018457F">
        <w:rPr>
          <w:szCs w:val="22"/>
        </w:rPr>
        <w:t>2018</w:t>
      </w:r>
      <w:r>
        <w:rPr>
          <w:szCs w:val="22"/>
        </w:rPr>
        <w:t xml:space="preserve"> (2005) </w:t>
      </w:r>
      <w:r>
        <w:rPr>
          <w:i/>
          <w:szCs w:val="22"/>
        </w:rPr>
        <w:t xml:space="preserve">Code of Practice for the Management and Control of Asbestos in Workplaces, </w:t>
      </w:r>
      <w:r w:rsidRPr="00A76A19">
        <w:rPr>
          <w:szCs w:val="22"/>
        </w:rPr>
        <w:t>National Occupational Health and Safety Commission, Canberra</w:t>
      </w:r>
      <w:r>
        <w:rPr>
          <w:szCs w:val="22"/>
        </w:rPr>
        <w:t>, Australia.</w:t>
      </w:r>
    </w:p>
    <w:p w:rsidR="00A97702" w:rsidRDefault="00A97702" w:rsidP="00A97702">
      <w:pPr>
        <w:pStyle w:val="StyletextLeft0cmHanging1cm"/>
      </w:pPr>
      <w:r w:rsidRPr="006D03D9">
        <w:t xml:space="preserve">NSW DECC 2006, </w:t>
      </w:r>
      <w:r w:rsidRPr="00BC358F">
        <w:rPr>
          <w:i/>
        </w:rPr>
        <w:t>Guidelines for the NSW site auditor system</w:t>
      </w:r>
      <w:r w:rsidRPr="006D03D9">
        <w:t>, 2nd edn, NSW Department of Environment &amp; Climate Change, Sydney</w:t>
      </w:r>
      <w:r>
        <w:t>, Australia</w:t>
      </w:r>
      <w:r w:rsidRPr="006D03D9">
        <w:t>.</w:t>
      </w:r>
    </w:p>
    <w:p w:rsidR="00A97702" w:rsidRPr="00FF5A96" w:rsidRDefault="00A97702" w:rsidP="00A97702">
      <w:pPr>
        <w:pStyle w:val="StyletextLeft0cmHanging1cm"/>
        <w:rPr>
          <w:szCs w:val="22"/>
        </w:rPr>
      </w:pPr>
      <w:r w:rsidRPr="00FF5A96">
        <w:rPr>
          <w:szCs w:val="22"/>
          <w:lang w:val="da-DK"/>
        </w:rPr>
        <w:t xml:space="preserve">Olszowy, H, Torr, P, Imray, P 1995, </w:t>
      </w:r>
      <w:r w:rsidRPr="00FF5A96">
        <w:rPr>
          <w:i/>
          <w:szCs w:val="22"/>
        </w:rPr>
        <w:t>Trace element concentrations in soils from rural and urban areas of Australia</w:t>
      </w:r>
      <w:r w:rsidRPr="00FF5A96">
        <w:rPr>
          <w:szCs w:val="22"/>
        </w:rPr>
        <w:t xml:space="preserve">, Contaminated sites monograph no. 4, South Australian Health Commission. </w:t>
      </w:r>
    </w:p>
    <w:p w:rsidR="00A97702" w:rsidRDefault="00A97702" w:rsidP="00A97702">
      <w:pPr>
        <w:pStyle w:val="StyletextLeft0cmHanging1cm"/>
        <w:rPr>
          <w:szCs w:val="22"/>
        </w:rPr>
      </w:pPr>
      <w:r w:rsidRPr="00FF5A96">
        <w:rPr>
          <w:szCs w:val="22"/>
        </w:rPr>
        <w:t xml:space="preserve">Rayment, GE &amp; Higginson, FR 1992, 'Ion-exchange properties', </w:t>
      </w:r>
      <w:r w:rsidRPr="00FF5A96">
        <w:rPr>
          <w:i/>
          <w:szCs w:val="22"/>
        </w:rPr>
        <w:t>Australian Laboratory Handbook of Soil and Water Chemical Methods</w:t>
      </w:r>
      <w:r w:rsidRPr="00FF5A96">
        <w:rPr>
          <w:szCs w:val="22"/>
        </w:rPr>
        <w:t>, Inkata, Melbourne, Australia, pp. 137–94.</w:t>
      </w:r>
    </w:p>
    <w:p w:rsidR="00A97702" w:rsidRDefault="00A97702" w:rsidP="00A97702">
      <w:pPr>
        <w:pStyle w:val="StyletextLeft0cmHanging1cm"/>
        <w:rPr>
          <w:i/>
          <w:szCs w:val="22"/>
        </w:rPr>
      </w:pPr>
      <w:r>
        <w:rPr>
          <w:szCs w:val="22"/>
        </w:rPr>
        <w:t xml:space="preserve">Safe Work Australia 2011a, </w:t>
      </w:r>
      <w:r>
        <w:rPr>
          <w:i/>
          <w:szCs w:val="22"/>
        </w:rPr>
        <w:t xml:space="preserve">How to manage and control asbestos in the workplace </w:t>
      </w:r>
      <w:r>
        <w:rPr>
          <w:i/>
          <w:szCs w:val="22"/>
        </w:rPr>
        <w:sym w:font="Symbol" w:char="F02D"/>
      </w:r>
      <w:r>
        <w:rPr>
          <w:i/>
          <w:szCs w:val="22"/>
        </w:rPr>
        <w:t xml:space="preserve"> Code of Practice.</w:t>
      </w:r>
    </w:p>
    <w:p w:rsidR="00A97702" w:rsidRDefault="00A97702" w:rsidP="00A97702">
      <w:pPr>
        <w:pStyle w:val="StyletextLeft0cmHanging1cm"/>
        <w:rPr>
          <w:i/>
          <w:szCs w:val="22"/>
        </w:rPr>
      </w:pPr>
      <w:r>
        <w:rPr>
          <w:szCs w:val="22"/>
        </w:rPr>
        <w:t xml:space="preserve">Safe Work Australia 2011b, </w:t>
      </w:r>
      <w:r>
        <w:rPr>
          <w:i/>
          <w:szCs w:val="22"/>
        </w:rPr>
        <w:t xml:space="preserve">How to safely remove asbestos </w:t>
      </w:r>
      <w:r>
        <w:rPr>
          <w:i/>
          <w:szCs w:val="22"/>
        </w:rPr>
        <w:sym w:font="Symbol" w:char="F02D"/>
      </w:r>
      <w:r>
        <w:rPr>
          <w:i/>
          <w:szCs w:val="22"/>
        </w:rPr>
        <w:t xml:space="preserve"> Code of Practice.</w:t>
      </w:r>
    </w:p>
    <w:p w:rsidR="00A97702" w:rsidRPr="00FF5A96" w:rsidRDefault="00A97702" w:rsidP="00A97702">
      <w:pPr>
        <w:pStyle w:val="StyletextLeft0cmHanging1cm"/>
        <w:rPr>
          <w:szCs w:val="22"/>
        </w:rPr>
      </w:pPr>
      <w:r>
        <w:rPr>
          <w:szCs w:val="22"/>
        </w:rPr>
        <w:t xml:space="preserve">Simpson, SL, Batley, GE, Chariton, AA, Stauber, JL, King, CK, Chapman, JC, Hyne, RV, Gale SA, Roach, AC &amp; Maher, WA 2005, </w:t>
      </w:r>
      <w:r w:rsidRPr="00385603">
        <w:rPr>
          <w:i/>
          <w:szCs w:val="22"/>
        </w:rPr>
        <w:t>Handbook for sediment quality assessment</w:t>
      </w:r>
      <w:r>
        <w:rPr>
          <w:szCs w:val="22"/>
        </w:rPr>
        <w:t>, Environment Trust, CSIRO, University of Canberra.</w:t>
      </w:r>
    </w:p>
    <w:p w:rsidR="00A97702" w:rsidRPr="00FF5A96" w:rsidRDefault="00A97702" w:rsidP="00A97702">
      <w:pPr>
        <w:pStyle w:val="StyletextLeft0cmHanging1cm"/>
        <w:rPr>
          <w:szCs w:val="22"/>
        </w:rPr>
      </w:pPr>
      <w:r w:rsidRPr="00FF5A96">
        <w:rPr>
          <w:szCs w:val="22"/>
        </w:rPr>
        <w:t>Swartjes, FA &amp; Tromp, PC 2008, 'A tiered approach to the assessment of human health risks of asbestos in soil',</w:t>
      </w:r>
      <w:r w:rsidRPr="00FF5A96">
        <w:rPr>
          <w:i/>
          <w:szCs w:val="22"/>
        </w:rPr>
        <w:t xml:space="preserve"> Soil and Sediment Contamination</w:t>
      </w:r>
      <w:r w:rsidRPr="00FF5A96">
        <w:rPr>
          <w:szCs w:val="22"/>
        </w:rPr>
        <w:t>, vol. 17, pp. 137</w:t>
      </w:r>
      <w:r>
        <w:rPr>
          <w:szCs w:val="22"/>
        </w:rPr>
        <w:sym w:font="Symbol" w:char="F02D"/>
      </w:r>
      <w:r w:rsidRPr="00FF5A96">
        <w:rPr>
          <w:szCs w:val="22"/>
        </w:rPr>
        <w:t>149.</w:t>
      </w:r>
    </w:p>
    <w:p w:rsidR="00A97702" w:rsidRDefault="00A97702" w:rsidP="00A97702">
      <w:pPr>
        <w:pStyle w:val="StyletextLeft0cmHanging1cm"/>
      </w:pPr>
      <w:r w:rsidRPr="00B07F47">
        <w:t xml:space="preserve">TPHCWG (1998), </w:t>
      </w:r>
      <w:r w:rsidRPr="00B07F47">
        <w:rPr>
          <w:i/>
        </w:rPr>
        <w:t>Composition of petroleum mixtures</w:t>
      </w:r>
      <w:r w:rsidRPr="00B07F47">
        <w:t>,</w:t>
      </w:r>
      <w:r>
        <w:t xml:space="preserve"> Total Petroleum Hydrocarbon Criteria Working Group Series volume 2, Amherst Scientific Publishers, Massachusetts, USA.</w:t>
      </w:r>
      <w:r w:rsidRPr="002300C8">
        <w:rPr>
          <w:rFonts w:ascii="Arial" w:hAnsi="Arial" w:cs="Arial"/>
          <w:sz w:val="16"/>
          <w:szCs w:val="16"/>
        </w:rPr>
        <w:t xml:space="preserve"> </w:t>
      </w:r>
    </w:p>
    <w:p w:rsidR="00A97702" w:rsidRPr="00385603" w:rsidRDefault="00A97702" w:rsidP="00A97702">
      <w:pPr>
        <w:pStyle w:val="StyletextLeft0cmHanging1cm"/>
      </w:pPr>
      <w:r w:rsidRPr="00FF5A96">
        <w:t xml:space="preserve">US EPA 2004, Users guide for evaluating subsurface vapour intrusion into buildings, </w:t>
      </w:r>
      <w:r w:rsidRPr="00385603">
        <w:t>United States Environmental Protection Agency.</w:t>
      </w:r>
    </w:p>
    <w:p w:rsidR="00A97702" w:rsidRDefault="00A97702" w:rsidP="00A97702">
      <w:pPr>
        <w:pStyle w:val="StyletextLeft0cmHanging1cm"/>
      </w:pPr>
      <w:r w:rsidRPr="006D03D9">
        <w:t>US EPA 2006</w:t>
      </w:r>
      <w:r>
        <w:t>b</w:t>
      </w:r>
      <w:r w:rsidRPr="006D03D9">
        <w:t xml:space="preserve">, </w:t>
      </w:r>
      <w:r w:rsidRPr="00E7374C">
        <w:rPr>
          <w:i/>
        </w:rPr>
        <w:t>Data quality assessment: statistical methods for practitioners,</w:t>
      </w:r>
      <w:r w:rsidRPr="00CD235E">
        <w:t xml:space="preserve"> EPA</w:t>
      </w:r>
      <w:r>
        <w:t>/</w:t>
      </w:r>
      <w:r w:rsidRPr="00CD235E">
        <w:t xml:space="preserve">QA/G-9S, </w:t>
      </w:r>
      <w:r w:rsidRPr="006D03D9">
        <w:t xml:space="preserve">US Environmental Protection Agency, </w:t>
      </w:r>
      <w:r>
        <w:t xml:space="preserve">Office of Environmental Information, </w:t>
      </w:r>
      <w:r w:rsidRPr="006D03D9">
        <w:t>Washington</w:t>
      </w:r>
      <w:r>
        <w:t>,</w:t>
      </w:r>
      <w:r w:rsidRPr="006D03D9">
        <w:t xml:space="preserve"> DC.</w:t>
      </w:r>
      <w:r w:rsidRPr="00CD235E">
        <w:t xml:space="preserve"> </w:t>
      </w:r>
    </w:p>
    <w:p w:rsidR="00A97702" w:rsidRPr="00E27056" w:rsidRDefault="00A97702" w:rsidP="00A97702">
      <w:pPr>
        <w:pStyle w:val="StyletextLeft0cmHanging1cm"/>
        <w:rPr>
          <w:szCs w:val="22"/>
          <w:highlight w:val="yellow"/>
        </w:rPr>
      </w:pPr>
      <w:r w:rsidRPr="006D03D9">
        <w:t xml:space="preserve">US EPA </w:t>
      </w:r>
      <w:r w:rsidRPr="00CD235E">
        <w:t>2007</w:t>
      </w:r>
      <w:r>
        <w:t>a</w:t>
      </w:r>
      <w:r w:rsidRPr="00CD235E">
        <w:t xml:space="preserve">, </w:t>
      </w:r>
      <w:r w:rsidRPr="00E7374C">
        <w:rPr>
          <w:i/>
        </w:rPr>
        <w:t>ProUCL version 4.00.04 user guide</w:t>
      </w:r>
      <w:r w:rsidRPr="00CD235E">
        <w:t xml:space="preserve">, EPA/600/R-07/038, </w:t>
      </w:r>
      <w:r w:rsidRPr="006D03D9">
        <w:t xml:space="preserve">US Environmental </w:t>
      </w:r>
      <w:r w:rsidRPr="00F957AF">
        <w:t xml:space="preserve">Protection Agency, Washington, DC. (also see </w:t>
      </w:r>
      <w:hyperlink r:id="rId24" w:history="1">
        <w:r w:rsidRPr="00E27056">
          <w:rPr>
            <w:rStyle w:val="Hyperlink"/>
          </w:rPr>
          <w:t>www.epa.gov/OSP/hstl/tsc/proucl-4-0-02-user.pdf</w:t>
        </w:r>
      </w:hyperlink>
      <w:r w:rsidRPr="00E27056">
        <w:t>.</w:t>
      </w:r>
    </w:p>
    <w:p w:rsidR="00A97702" w:rsidRDefault="00A97702" w:rsidP="00A97702">
      <w:pPr>
        <w:pStyle w:val="StyletextLeft0cmHanging1cm"/>
        <w:rPr>
          <w:szCs w:val="22"/>
        </w:rPr>
      </w:pPr>
      <w:r>
        <w:rPr>
          <w:szCs w:val="22"/>
        </w:rPr>
        <w:t>US EPA 2008</w:t>
      </w:r>
      <w:r w:rsidRPr="00FF5A96">
        <w:rPr>
          <w:szCs w:val="22"/>
        </w:rPr>
        <w:t xml:space="preserve">, </w:t>
      </w:r>
      <w:r>
        <w:rPr>
          <w:noProof/>
        </w:rPr>
        <w:t>Vapor Intrusion Database: preliminary evaluation of attenuation factors (Draft)</w:t>
      </w:r>
      <w:r w:rsidRPr="00FF5A96">
        <w:rPr>
          <w:szCs w:val="22"/>
        </w:rPr>
        <w:t xml:space="preserve">, </w:t>
      </w:r>
      <w:r w:rsidRPr="00385603">
        <w:rPr>
          <w:szCs w:val="22"/>
        </w:rPr>
        <w:t>United States Environmental Protection Agency.</w:t>
      </w:r>
    </w:p>
    <w:p w:rsidR="00A97702" w:rsidRDefault="00A97702" w:rsidP="00A97702">
      <w:pPr>
        <w:pStyle w:val="StyletextLeft0cmHanging1cm"/>
        <w:rPr>
          <w:szCs w:val="22"/>
        </w:rPr>
      </w:pPr>
      <w:r>
        <w:rPr>
          <w:szCs w:val="22"/>
        </w:rPr>
        <w:t>US EPA 2012</w:t>
      </w:r>
      <w:r w:rsidRPr="00FF5A96">
        <w:rPr>
          <w:szCs w:val="22"/>
        </w:rPr>
        <w:t xml:space="preserve">, </w:t>
      </w:r>
      <w:r>
        <w:rPr>
          <w:noProof/>
        </w:rPr>
        <w:t>EPA's Vapor Intrusion Database: Evaluation and characterisation of attenuation factors for chlorinated volatile organic compounds and residential buildings. Washington DC : Office of Solid Waste and Emergency Response, US Environmental Protection Agency.</w:t>
      </w:r>
    </w:p>
    <w:p w:rsidR="00A97702" w:rsidRDefault="00A97702" w:rsidP="00A97702">
      <w:pPr>
        <w:pStyle w:val="StyletextLeft0cmHanging1cm"/>
        <w:rPr>
          <w:szCs w:val="22"/>
        </w:rPr>
      </w:pPr>
      <w:r w:rsidRPr="00FF5A96">
        <w:rPr>
          <w:szCs w:val="22"/>
        </w:rPr>
        <w:lastRenderedPageBreak/>
        <w:t xml:space="preserve">WA DoH 2009, </w:t>
      </w:r>
      <w:r w:rsidRPr="00FF5A96">
        <w:rPr>
          <w:i/>
          <w:szCs w:val="22"/>
        </w:rPr>
        <w:t>Guidelines for the assessment, remediation and management of asbestos-contaminated sites in Western Australia</w:t>
      </w:r>
      <w:r w:rsidRPr="00FF5A96">
        <w:rPr>
          <w:szCs w:val="22"/>
        </w:rPr>
        <w:t>, WA Department of Health</w:t>
      </w:r>
      <w:r w:rsidRPr="00FB3533">
        <w:t xml:space="preserve"> </w:t>
      </w:r>
      <w:r>
        <w:t>and Western Australian Department of Environment and Conservation</w:t>
      </w:r>
      <w:r w:rsidRPr="00FF5A96">
        <w:rPr>
          <w:szCs w:val="22"/>
        </w:rPr>
        <w:t>, Perth, Western Australia.</w:t>
      </w:r>
    </w:p>
    <w:p w:rsidR="00A97702" w:rsidRPr="003C0459" w:rsidRDefault="00A97702" w:rsidP="00A97702">
      <w:pPr>
        <w:pStyle w:val="StyletextLeft0cmHanging1cm"/>
      </w:pPr>
      <w:r>
        <w:t xml:space="preserve">WA DoH 2012, </w:t>
      </w:r>
      <w:r w:rsidRPr="005657FC">
        <w:t>Summary of the</w:t>
      </w:r>
      <w:r>
        <w:t xml:space="preserve"> </w:t>
      </w:r>
      <w:r w:rsidRPr="005657FC">
        <w:t>Guidelines for the assessment, remediation and management of asbestos-contaminated sites in Western Australia</w:t>
      </w:r>
      <w:r>
        <w:sym w:font="Symbol" w:char="F02D"/>
      </w:r>
      <w:r>
        <w:t>May 2009, Western Australian Department of Health Perth, Western Australia.</w:t>
      </w:r>
    </w:p>
    <w:p w:rsidR="00A97702" w:rsidRPr="00FF5A96" w:rsidRDefault="00A97702" w:rsidP="00A97702">
      <w:pPr>
        <w:pStyle w:val="StyletextLeft0cmHanging1cm"/>
        <w:rPr>
          <w:szCs w:val="22"/>
        </w:rPr>
      </w:pPr>
      <w:r w:rsidRPr="00FF5A96">
        <w:rPr>
          <w:szCs w:val="22"/>
        </w:rPr>
        <w:t xml:space="preserve">Warne, MStJ 2010a, </w:t>
      </w:r>
      <w:r w:rsidRPr="00FF5A96">
        <w:rPr>
          <w:i/>
          <w:szCs w:val="22"/>
        </w:rPr>
        <w:t>Review of the appropriateness of the Canadian petroleum hydrocarbon country-wide standards in soil, for incorporation into the Australian National Environment Protection (Assessment of Site Contamination) Measure</w:t>
      </w:r>
      <w:r w:rsidRPr="00FF5A96">
        <w:rPr>
          <w:szCs w:val="22"/>
        </w:rPr>
        <w:t>, National Environment Protection Council, Australia.</w:t>
      </w:r>
    </w:p>
    <w:p w:rsidR="00A97702" w:rsidRDefault="00A97702" w:rsidP="00A97702">
      <w:pPr>
        <w:pStyle w:val="StyletextLeft0cmHanging1cm"/>
      </w:pPr>
      <w:r w:rsidRPr="00FF5A96">
        <w:t xml:space="preserve">Warne, MStJ 2010b, </w:t>
      </w:r>
      <w:r w:rsidRPr="00BF555B">
        <w:t xml:space="preserve">Review of the appropriateness of selected Canadian soil quality guidelines (benzene, benzo(a)pyrene, ethylbenzene, toluene and xylenes), for incorporation into the Australian National Environment Protection (Assessment of Site Contamination) Measure, and </w:t>
      </w:r>
      <w:r>
        <w:t>r</w:t>
      </w:r>
      <w:r w:rsidRPr="00BF555B">
        <w:t>ecommended ecological investigation levels</w:t>
      </w:r>
      <w:r w:rsidRPr="00FF5A96">
        <w:t>, National Environment Protection Council, Australia.</w:t>
      </w:r>
    </w:p>
    <w:p w:rsidR="00A97702" w:rsidRPr="006E27BC" w:rsidRDefault="00A97702" w:rsidP="00A97702">
      <w:pPr>
        <w:pStyle w:val="StyletextLeft0cmHanging1cm"/>
        <w:rPr>
          <w:szCs w:val="22"/>
        </w:rPr>
      </w:pPr>
      <w:r w:rsidRPr="006E27BC">
        <w:rPr>
          <w:szCs w:val="22"/>
        </w:rPr>
        <w:t xml:space="preserve">Workplace Health and Safety Queensland 2011, </w:t>
      </w:r>
      <w:r w:rsidRPr="006E27BC">
        <w:rPr>
          <w:i/>
          <w:szCs w:val="22"/>
        </w:rPr>
        <w:t>Factsheet on asbestos flooring</w:t>
      </w:r>
      <w:r>
        <w:rPr>
          <w:i/>
          <w:szCs w:val="22"/>
        </w:rPr>
        <w:t>,</w:t>
      </w:r>
      <w:r>
        <w:rPr>
          <w:i/>
          <w:szCs w:val="22"/>
        </w:rPr>
        <w:br/>
      </w:r>
      <w:r w:rsidRPr="006E27BC">
        <w:rPr>
          <w:szCs w:val="22"/>
        </w:rPr>
        <w:t>www.deir.qld.gov.au/asbestos/publications/factsheets.htm</w:t>
      </w:r>
    </w:p>
    <w:p w:rsidR="00A97702" w:rsidRPr="008A4366" w:rsidRDefault="00A97702" w:rsidP="00A97702">
      <w:pPr>
        <w:pStyle w:val="StyletextLeft0cmHanging1cm"/>
        <w:rPr>
          <w:i/>
        </w:rPr>
      </w:pPr>
    </w:p>
    <w:p w:rsidR="00A97702" w:rsidRDefault="00A97702" w:rsidP="00A97702">
      <w:pPr>
        <w:pStyle w:val="Heading1"/>
      </w:pPr>
      <w:bookmarkStart w:id="79" w:name="_Toc351712083"/>
      <w:r>
        <w:lastRenderedPageBreak/>
        <w:t>Glossary</w:t>
      </w:r>
      <w:bookmarkEnd w:id="79"/>
    </w:p>
    <w:p w:rsidR="00A97702" w:rsidRPr="00024089" w:rsidRDefault="00A97702" w:rsidP="00A97702">
      <w:pPr>
        <w:pStyle w:val="text"/>
        <w:rPr>
          <w:lang w:bidi="hi-IN"/>
        </w:rPr>
      </w:pPr>
      <w:r w:rsidRPr="005D743D">
        <w:rPr>
          <w:b/>
          <w:lang w:bidi="hi-IN"/>
        </w:rPr>
        <w:t>Added contaminant limit</w:t>
      </w:r>
      <w:r>
        <w:rPr>
          <w:lang w:bidi="hi-IN"/>
        </w:rPr>
        <w:t xml:space="preserve"> </w:t>
      </w:r>
      <w:r w:rsidRPr="00351E79">
        <w:rPr>
          <w:b/>
          <w:lang w:bidi="hi-IN"/>
        </w:rPr>
        <w:t>(ACL)</w:t>
      </w:r>
      <w:r>
        <w:rPr>
          <w:lang w:bidi="hi-IN"/>
        </w:rPr>
        <w:t xml:space="preserve"> is the added concentration of a contaminant above which further appropriate investigation and evaluation of the impact on ecological values will be required. ACL values are generated in the process of deriving ecological investigation levels (EILs).</w:t>
      </w:r>
    </w:p>
    <w:p w:rsidR="00A97702" w:rsidRDefault="00A97702" w:rsidP="00A97702">
      <w:pPr>
        <w:pStyle w:val="text"/>
        <w:rPr>
          <w:szCs w:val="22"/>
        </w:rPr>
      </w:pPr>
      <w:r w:rsidRPr="007E0241">
        <w:rPr>
          <w:b/>
          <w:szCs w:val="22"/>
        </w:rPr>
        <w:t xml:space="preserve">Ambient background concentration (ABC) </w:t>
      </w:r>
      <w:r w:rsidRPr="007E0241">
        <w:rPr>
          <w:szCs w:val="22"/>
        </w:rPr>
        <w:t xml:space="preserve">of a contaminant is the soil concentration in a specified locality that is the sum of the naturally occurring background and the contaminant levels that have been introduced from diffuse or non-point sources by general anthropogenic activity not attributable to industrial, commercial or agricultural activities. </w:t>
      </w:r>
    </w:p>
    <w:p w:rsidR="00A97702" w:rsidRDefault="00A97702" w:rsidP="00A97702">
      <w:pPr>
        <w:pStyle w:val="text"/>
        <w:rPr>
          <w:lang w:bidi="hi-IN"/>
        </w:rPr>
      </w:pPr>
      <w:r>
        <w:rPr>
          <w:lang w:bidi="hi-IN"/>
        </w:rPr>
        <w:t xml:space="preserve">An </w:t>
      </w:r>
      <w:r w:rsidRPr="00471322">
        <w:rPr>
          <w:b/>
          <w:lang w:bidi="hi-IN"/>
        </w:rPr>
        <w:t>area of ecological significance</w:t>
      </w:r>
      <w:r>
        <w:rPr>
          <w:lang w:bidi="hi-IN"/>
        </w:rPr>
        <w:t xml:space="preserve"> is one where the planning provisions or land use designation is for the primary intention of conserving and protecting the natural environment. This would include national parks, state parks, and wilderness areas and designated conservation areas.</w:t>
      </w:r>
    </w:p>
    <w:p w:rsidR="00A97702" w:rsidRDefault="00A97702" w:rsidP="00A97702">
      <w:pPr>
        <w:pStyle w:val="text"/>
      </w:pPr>
      <w:r w:rsidRPr="00A96D2C">
        <w:rPr>
          <w:b/>
        </w:rPr>
        <w:t xml:space="preserve">Asbestos </w:t>
      </w:r>
      <w:r w:rsidRPr="00351E79">
        <w:rPr>
          <w:b/>
        </w:rPr>
        <w:t>fines (AF)</w:t>
      </w:r>
      <w:r>
        <w:t xml:space="preserve"> includes free fibres of asbestos, small fibre bundles and fragments of bonded ACM that pass a 7 mm x 7 mm sieve. </w:t>
      </w:r>
    </w:p>
    <w:p w:rsidR="00A97702" w:rsidRDefault="00A97702" w:rsidP="00A97702">
      <w:pPr>
        <w:pStyle w:val="text"/>
      </w:pPr>
      <w:r w:rsidRPr="00564C07">
        <w:rPr>
          <w:b/>
          <w:bCs/>
        </w:rPr>
        <w:t>Bioavailability</w:t>
      </w:r>
      <w:r w:rsidRPr="00564C07">
        <w:t xml:space="preserve"> is a generic term defined as the fraction of a contaminant that is absorbed into the body following dermal contact, ingestion or inhalation.</w:t>
      </w:r>
    </w:p>
    <w:p w:rsidR="00A97702" w:rsidRDefault="00A97702" w:rsidP="00A97702">
      <w:pPr>
        <w:pStyle w:val="text"/>
        <w:rPr>
          <w:szCs w:val="22"/>
        </w:rPr>
      </w:pPr>
      <w:r w:rsidRPr="002D36DC">
        <w:rPr>
          <w:b/>
          <w:szCs w:val="22"/>
        </w:rPr>
        <w:t>Bonded asbestos</w:t>
      </w:r>
      <w:r>
        <w:rPr>
          <w:b/>
          <w:szCs w:val="22"/>
        </w:rPr>
        <w:t>-</w:t>
      </w:r>
      <w:r w:rsidRPr="002D36DC">
        <w:rPr>
          <w:b/>
          <w:szCs w:val="22"/>
        </w:rPr>
        <w:t>cement</w:t>
      </w:r>
      <w:r>
        <w:rPr>
          <w:b/>
          <w:szCs w:val="22"/>
        </w:rPr>
        <w:t>-</w:t>
      </w:r>
      <w:r w:rsidRPr="002D36DC">
        <w:rPr>
          <w:b/>
          <w:szCs w:val="22"/>
        </w:rPr>
        <w:t>material (</w:t>
      </w:r>
      <w:r>
        <w:rPr>
          <w:b/>
          <w:szCs w:val="22"/>
        </w:rPr>
        <w:t xml:space="preserve">bonded </w:t>
      </w:r>
      <w:r w:rsidRPr="002D36DC">
        <w:rPr>
          <w:b/>
          <w:szCs w:val="22"/>
        </w:rPr>
        <w:t xml:space="preserve">ACM) </w:t>
      </w:r>
      <w:r w:rsidRPr="002D36DC">
        <w:rPr>
          <w:szCs w:val="22"/>
        </w:rPr>
        <w:t>comprises bonded asbestos containing material which is in sound condition (although possibly broken or fragmented)</w:t>
      </w:r>
      <w:r>
        <w:rPr>
          <w:szCs w:val="22"/>
        </w:rPr>
        <w:t>,</w:t>
      </w:r>
      <w:r w:rsidRPr="002D36DC">
        <w:rPr>
          <w:szCs w:val="22"/>
        </w:rPr>
        <w:t xml:space="preserve"> and  is restricted to material that cannot pass a 7 mm x 7 mm sieve. This sieve size is selected as it approximates the thickness of common asbestos cement sheeting and for fragments to be smaller than this would imply a high degree of damage and potential for fibre release. </w:t>
      </w:r>
    </w:p>
    <w:p w:rsidR="00A97702" w:rsidRDefault="00A97702" w:rsidP="00A97702">
      <w:pPr>
        <w:pStyle w:val="text"/>
        <w:rPr>
          <w:szCs w:val="22"/>
        </w:rPr>
      </w:pPr>
      <w:r w:rsidRPr="00A04410">
        <w:rPr>
          <w:b/>
          <w:szCs w:val="22"/>
        </w:rPr>
        <w:t xml:space="preserve">Conceptual site model (CSM) </w:t>
      </w:r>
      <w:r w:rsidRPr="00A04410">
        <w:rPr>
          <w:szCs w:val="22"/>
        </w:rPr>
        <w:t xml:space="preserve">is a description of a site including the environmental setting, geological, hydrogeological and soil characteristics together with </w:t>
      </w:r>
      <w:r>
        <w:rPr>
          <w:szCs w:val="22"/>
        </w:rPr>
        <w:t xml:space="preserve">the </w:t>
      </w:r>
      <w:r w:rsidRPr="00A04410">
        <w:rPr>
          <w:szCs w:val="22"/>
        </w:rPr>
        <w:t>nature and distribution of contaminants. Potentially exposed populations and exposure pathways are identified. Presentation is usually graphical or tabular with accompanying explanatory text.</w:t>
      </w:r>
    </w:p>
    <w:p w:rsidR="00A97702" w:rsidRDefault="00A97702" w:rsidP="00A97702">
      <w:pPr>
        <w:pStyle w:val="text"/>
        <w:rPr>
          <w:szCs w:val="22"/>
        </w:rPr>
      </w:pPr>
      <w:r w:rsidRPr="00CF1A5B">
        <w:rPr>
          <w:b/>
          <w:szCs w:val="22"/>
        </w:rPr>
        <w:t xml:space="preserve">Contamination </w:t>
      </w:r>
      <w:r w:rsidRPr="00CF1A5B">
        <w:rPr>
          <w:szCs w:val="22"/>
        </w:rPr>
        <w:t xml:space="preserve">means the condition of land or water where any chemical substance or waste has been added </w:t>
      </w:r>
      <w:r>
        <w:rPr>
          <w:szCs w:val="22"/>
        </w:rPr>
        <w:t xml:space="preserve">as a direct or indirect result of human activity </w:t>
      </w:r>
      <w:r w:rsidRPr="00CF1A5B">
        <w:rPr>
          <w:szCs w:val="22"/>
        </w:rPr>
        <w:t>at above background level and represents, or potentially represents, an adverse health or environmental impact.</w:t>
      </w:r>
    </w:p>
    <w:p w:rsidR="00A97702" w:rsidRDefault="00A97702" w:rsidP="00A97702">
      <w:pPr>
        <w:pStyle w:val="text"/>
        <w:rPr>
          <w:szCs w:val="22"/>
        </w:rPr>
      </w:pPr>
      <w:r w:rsidRPr="005A3404">
        <w:rPr>
          <w:b/>
        </w:rPr>
        <w:t>Ecological investigation levels (EILs</w:t>
      </w:r>
      <w:r w:rsidRPr="00755E1C">
        <w:t xml:space="preserve">) </w:t>
      </w:r>
      <w:r>
        <w:t xml:space="preserve">are the concentrations of contaminants above which </w:t>
      </w:r>
      <w:r w:rsidRPr="00755E1C">
        <w:t>further appropriate investigation and evaluation will be required</w:t>
      </w:r>
      <w:r>
        <w:t xml:space="preserve">. EILs </w:t>
      </w:r>
      <w:r w:rsidRPr="00755E1C">
        <w:t>depend on specific soil physicochemical properties and land use scenarios and generally apply to the top 2</w:t>
      </w:r>
      <w:r>
        <w:t xml:space="preserve"> </w:t>
      </w:r>
      <w:r w:rsidRPr="00755E1C">
        <w:t>m of soil.</w:t>
      </w:r>
      <w:r>
        <w:t xml:space="preserve"> </w:t>
      </w:r>
      <w:r w:rsidRPr="00755E1C">
        <w:t xml:space="preserve">EILs may also be referred to as soil quality guidelines in </w:t>
      </w:r>
      <w:r>
        <w:t>Schedules B5b and B5c.</w:t>
      </w:r>
    </w:p>
    <w:p w:rsidR="00A97702" w:rsidRDefault="00A97702" w:rsidP="00A97702">
      <w:pPr>
        <w:pStyle w:val="text"/>
      </w:pPr>
      <w:r w:rsidRPr="005A3404">
        <w:rPr>
          <w:b/>
        </w:rPr>
        <w:t>Ecological screening levels (ESLs)</w:t>
      </w:r>
      <w:r w:rsidRPr="00755E1C">
        <w:t xml:space="preserve"> </w:t>
      </w:r>
      <w:r>
        <w:t xml:space="preserve">for petroleum hydrocarbons </w:t>
      </w:r>
      <w:r w:rsidRPr="00755E1C">
        <w:t>are the concentrations above which further appropriate investigation and evaluation will be required</w:t>
      </w:r>
      <w:r>
        <w:t xml:space="preserve">. ESLs </w:t>
      </w:r>
      <w:r w:rsidRPr="00755E1C">
        <w:t>broadly apply to coarse</w:t>
      </w:r>
      <w:r>
        <w:t>-</w:t>
      </w:r>
      <w:r w:rsidRPr="00755E1C">
        <w:t xml:space="preserve"> and fine</w:t>
      </w:r>
      <w:r>
        <w:t>-</w:t>
      </w:r>
      <w:r w:rsidRPr="00755E1C">
        <w:t>grained soils and various land uses</w:t>
      </w:r>
      <w:r>
        <w:t xml:space="preserve">. </w:t>
      </w:r>
      <w:r w:rsidRPr="00755E1C">
        <w:t xml:space="preserve">They are </w:t>
      </w:r>
      <w:r>
        <w:t xml:space="preserve">generally </w:t>
      </w:r>
      <w:r w:rsidRPr="00755E1C">
        <w:t xml:space="preserve">applicable to the top </w:t>
      </w:r>
      <w:r>
        <w:t xml:space="preserve">2 </w:t>
      </w:r>
      <w:r w:rsidRPr="00755E1C">
        <w:t xml:space="preserve">m of soil. </w:t>
      </w:r>
    </w:p>
    <w:p w:rsidR="00A97702" w:rsidRDefault="00A97702" w:rsidP="00A97702">
      <w:pPr>
        <w:pStyle w:val="text"/>
      </w:pPr>
      <w:r w:rsidRPr="00CF1A5B">
        <w:rPr>
          <w:b/>
          <w:szCs w:val="22"/>
        </w:rPr>
        <w:t>Environmental value</w:t>
      </w:r>
      <w:r w:rsidRPr="00CF1A5B">
        <w:rPr>
          <w:szCs w:val="22"/>
        </w:rPr>
        <w:t xml:space="preserve"> is a value or use of the environment which is conducive to public benefit, welfare, safety or health and which requires protection from the effects of pollution, waste discharge and deposits.</w:t>
      </w:r>
    </w:p>
    <w:p w:rsidR="00A97702" w:rsidRDefault="00A97702" w:rsidP="00A97702">
      <w:pPr>
        <w:pStyle w:val="text"/>
      </w:pPr>
      <w:r w:rsidRPr="00781B51">
        <w:rPr>
          <w:b/>
          <w:szCs w:val="22"/>
        </w:rPr>
        <w:t xml:space="preserve">Exposure scenario </w:t>
      </w:r>
      <w:r w:rsidRPr="00781B51">
        <w:rPr>
          <w:szCs w:val="22"/>
        </w:rPr>
        <w:t xml:space="preserve">is a set of conditions or assumptions about sources, exposure pathways, concentration of contaminants involved and </w:t>
      </w:r>
      <w:r>
        <w:rPr>
          <w:szCs w:val="22"/>
        </w:rPr>
        <w:t xml:space="preserve">an </w:t>
      </w:r>
      <w:r w:rsidRPr="00781B51">
        <w:rPr>
          <w:szCs w:val="22"/>
        </w:rPr>
        <w:t>exposed population (that is, numbers, characteristics, habits) used in the evaluation and quantification of exposure(s) in a given situation.</w:t>
      </w:r>
    </w:p>
    <w:p w:rsidR="00A97702" w:rsidRDefault="00A97702" w:rsidP="00A97702">
      <w:pPr>
        <w:pStyle w:val="text"/>
      </w:pPr>
      <w:r w:rsidRPr="00A96D2C">
        <w:rPr>
          <w:b/>
        </w:rPr>
        <w:lastRenderedPageBreak/>
        <w:t xml:space="preserve">Fibrous </w:t>
      </w:r>
      <w:r w:rsidRPr="00351E79">
        <w:rPr>
          <w:b/>
        </w:rPr>
        <w:t>asbestos (FA)</w:t>
      </w:r>
      <w:r>
        <w:t xml:space="preserve"> includes loose fibrous material such as insulation products, severely weathered cement-bonded asbestos sheeting and damaged low density board (up to 70% asbestos in calcium silicate). For the purposes of site assessment, FA includes any asbestos–containing-material (ACM) that is easily powdered or made pasty with clear separation of asbestos fibres by moderate hand pressure.</w:t>
      </w:r>
    </w:p>
    <w:p w:rsidR="00A97702" w:rsidRDefault="00A97702" w:rsidP="00A97702">
      <w:pPr>
        <w:pStyle w:val="text"/>
      </w:pPr>
      <w:r w:rsidRPr="002161E7">
        <w:rPr>
          <w:b/>
        </w:rPr>
        <w:t>Groundwater investigation level</w:t>
      </w:r>
      <w:r>
        <w:rPr>
          <w:b/>
        </w:rPr>
        <w:t xml:space="preserve"> (GIL)</w:t>
      </w:r>
      <w:r w:rsidRPr="00710C0A">
        <w:rPr>
          <w:rFonts w:ascii="Arial" w:hAnsi="Arial"/>
        </w:rPr>
        <w:t xml:space="preserve"> </w:t>
      </w:r>
      <w:r w:rsidRPr="007F63F1">
        <w:t>is the</w:t>
      </w:r>
      <w:r w:rsidRPr="00710C0A">
        <w:rPr>
          <w:rFonts w:ascii="Arial" w:hAnsi="Arial"/>
        </w:rPr>
        <w:t xml:space="preserve"> </w:t>
      </w:r>
      <w:r w:rsidRPr="007F63F1">
        <w:t>concentration of a groundwater parameter at which further investigation (point of extraction) or a response (point of use) is required. Includes Australian water quality guidelines</w:t>
      </w:r>
      <w:r>
        <w:t xml:space="preserve">, </w:t>
      </w:r>
      <w:r w:rsidRPr="007F63F1">
        <w:t>drinking water guidelines</w:t>
      </w:r>
      <w:r>
        <w:t xml:space="preserve">, </w:t>
      </w:r>
      <w:r w:rsidRPr="007F63F1">
        <w:t>guidelines for managing risk in recreational water criteria and site-specific derived criteria.</w:t>
      </w:r>
    </w:p>
    <w:p w:rsidR="00A97702" w:rsidRDefault="00A97702" w:rsidP="00A97702">
      <w:pPr>
        <w:pStyle w:val="text"/>
      </w:pPr>
      <w:r w:rsidRPr="005A3404">
        <w:rPr>
          <w:b/>
        </w:rPr>
        <w:t>Health investigation levels (HILs)</w:t>
      </w:r>
      <w:r w:rsidRPr="00755E1C">
        <w:t xml:space="preserve"> are the concentrations of a contaminant above which further appropriate investigation and evaluation will be required</w:t>
      </w:r>
      <w:r>
        <w:t xml:space="preserve">. HILs </w:t>
      </w:r>
      <w:r w:rsidRPr="00755E1C">
        <w:t xml:space="preserve">are generic to all soil types </w:t>
      </w:r>
      <w:r>
        <w:t xml:space="preserve">and </w:t>
      </w:r>
      <w:r w:rsidRPr="00755E1C">
        <w:t xml:space="preserve">generally </w:t>
      </w:r>
      <w:r>
        <w:t xml:space="preserve">apply </w:t>
      </w:r>
      <w:r w:rsidRPr="00755E1C">
        <w:t xml:space="preserve">to </w:t>
      </w:r>
      <w:r>
        <w:t>the top</w:t>
      </w:r>
      <w:r w:rsidRPr="00755E1C">
        <w:t xml:space="preserve"> 3</w:t>
      </w:r>
      <w:r>
        <w:t xml:space="preserve"> </w:t>
      </w:r>
      <w:r w:rsidRPr="00755E1C">
        <w:t xml:space="preserve">m </w:t>
      </w:r>
      <w:r>
        <w:t>of soil</w:t>
      </w:r>
      <w:r w:rsidRPr="00755E1C">
        <w:t>.</w:t>
      </w:r>
    </w:p>
    <w:p w:rsidR="00A97702" w:rsidRDefault="00A97702" w:rsidP="00A97702">
      <w:pPr>
        <w:pStyle w:val="text"/>
      </w:pPr>
      <w:r>
        <w:rPr>
          <w:b/>
          <w:bCs/>
          <w:szCs w:val="22"/>
        </w:rPr>
        <w:t>Health risk assessment</w:t>
      </w:r>
      <w:r w:rsidRPr="008D0FCA">
        <w:rPr>
          <w:b/>
          <w:bCs/>
          <w:szCs w:val="22"/>
        </w:rPr>
        <w:t xml:space="preserve"> (</w:t>
      </w:r>
      <w:r>
        <w:rPr>
          <w:b/>
          <w:bCs/>
          <w:szCs w:val="22"/>
        </w:rPr>
        <w:t>HRA</w:t>
      </w:r>
      <w:r w:rsidRPr="008D0FCA">
        <w:rPr>
          <w:b/>
          <w:bCs/>
          <w:szCs w:val="22"/>
        </w:rPr>
        <w:t>)</w:t>
      </w:r>
      <w:r w:rsidRPr="008D0FCA">
        <w:rPr>
          <w:szCs w:val="22"/>
        </w:rPr>
        <w:t xml:space="preserve"> is </w:t>
      </w:r>
      <w:r>
        <w:rPr>
          <w:szCs w:val="22"/>
        </w:rPr>
        <w:t>the process of estimating the potential impact of a chemical, biological or physical agent on a specified human population system under a specific set of conditions.</w:t>
      </w:r>
    </w:p>
    <w:p w:rsidR="00A97702" w:rsidRDefault="00A97702" w:rsidP="00A97702">
      <w:pPr>
        <w:pStyle w:val="text"/>
      </w:pPr>
      <w:r w:rsidRPr="005A3404">
        <w:rPr>
          <w:b/>
        </w:rPr>
        <w:t>Health screening levels (HSLs)</w:t>
      </w:r>
      <w:r w:rsidRPr="00755E1C">
        <w:t xml:space="preserve"> for petroleum hydrocarbons are the concentrations above which further appropriate investigation and evaluation will be required</w:t>
      </w:r>
      <w:r>
        <w:t xml:space="preserve">. HSLs </w:t>
      </w:r>
      <w:r w:rsidRPr="00755E1C">
        <w:t>depend on physicochemical properties of soil</w:t>
      </w:r>
      <w:r>
        <w:t>,</w:t>
      </w:r>
      <w:r w:rsidRPr="00755E1C">
        <w:t xml:space="preserve"> as </w:t>
      </w:r>
      <w:r>
        <w:t>these</w:t>
      </w:r>
      <w:r w:rsidRPr="00755E1C">
        <w:t xml:space="preserve"> affect hydrocarbon vapour movement in soil</w:t>
      </w:r>
      <w:r>
        <w:t>,</w:t>
      </w:r>
      <w:r w:rsidRPr="00755E1C">
        <w:t xml:space="preserve"> and the characteristics of building structures</w:t>
      </w:r>
      <w:r>
        <w:t>. HSLs</w:t>
      </w:r>
      <w:r w:rsidRPr="00755E1C">
        <w:t xml:space="preserve"> apply to different soil types, land uses and depths below surface to &gt;4</w:t>
      </w:r>
      <w:r>
        <w:t xml:space="preserve"> </w:t>
      </w:r>
      <w:r w:rsidRPr="00755E1C">
        <w:t>m and have a range of limitations</w:t>
      </w:r>
      <w:r>
        <w:t>.</w:t>
      </w:r>
    </w:p>
    <w:p w:rsidR="00A97702" w:rsidRDefault="00A97702" w:rsidP="00A97702">
      <w:pPr>
        <w:pStyle w:val="text"/>
      </w:pPr>
      <w:r w:rsidRPr="005A3404">
        <w:rPr>
          <w:rFonts w:cs="Arial"/>
          <w:b/>
        </w:rPr>
        <w:t>Investigation levels</w:t>
      </w:r>
      <w:r w:rsidRPr="005A3404">
        <w:rPr>
          <w:b/>
        </w:rPr>
        <w:t xml:space="preserve"> </w:t>
      </w:r>
      <w:r w:rsidRPr="005A3404">
        <w:t>and</w:t>
      </w:r>
      <w:r w:rsidRPr="005A3404">
        <w:rPr>
          <w:b/>
        </w:rPr>
        <w:t xml:space="preserve"> </w:t>
      </w:r>
      <w:r w:rsidRPr="005A3404">
        <w:rPr>
          <w:rFonts w:cs="Arial"/>
          <w:b/>
        </w:rPr>
        <w:t>screening levels</w:t>
      </w:r>
      <w:r w:rsidRPr="00755E1C">
        <w:t xml:space="preserve"> are the concentrations of a contaminant above which further appropriate investigation and evaluation will be required</w:t>
      </w:r>
      <w:r>
        <w:t xml:space="preserve">. </w:t>
      </w:r>
      <w:r w:rsidRPr="005A3404">
        <w:t>Investigation and screening levels provide the basis of Tier 1 risk assessment</w:t>
      </w:r>
      <w:r>
        <w:t xml:space="preserve">.  </w:t>
      </w:r>
    </w:p>
    <w:p w:rsidR="00A97702" w:rsidRDefault="00A97702" w:rsidP="00A97702">
      <w:pPr>
        <w:pStyle w:val="text"/>
      </w:pPr>
      <w:r>
        <w:t>Petroleum hydrocarbon ‘</w:t>
      </w:r>
      <w:r w:rsidRPr="002161E7">
        <w:rPr>
          <w:b/>
        </w:rPr>
        <w:t>management limits’</w:t>
      </w:r>
      <w:r w:rsidRPr="00755E1C">
        <w:t xml:space="preserve"> </w:t>
      </w:r>
      <w:r>
        <w:t>are limited to petroleum hydrocarbon compounds. They are maximum values that should remain in a site following evaluation of human health and ecological risks and risks to groundwater resources and apply to all soil depths based on site-specific considerations. These limits are to consider the formation of light non aqueous phase liquids, fire and explosion risks and damage to buried infrastructure.</w:t>
      </w:r>
    </w:p>
    <w:p w:rsidR="00A97702" w:rsidRDefault="00A97702" w:rsidP="00A97702">
      <w:pPr>
        <w:pStyle w:val="text"/>
        <w:rPr>
          <w:szCs w:val="22"/>
        </w:rPr>
      </w:pPr>
      <w:r>
        <w:rPr>
          <w:b/>
          <w:szCs w:val="22"/>
        </w:rPr>
        <w:t xml:space="preserve">Multiple-lines-of-evidence approach </w:t>
      </w:r>
      <w:r w:rsidRPr="00B476EA">
        <w:rPr>
          <w:szCs w:val="22"/>
        </w:rPr>
        <w:t>is</w:t>
      </w:r>
      <w:r>
        <w:rPr>
          <w:szCs w:val="22"/>
        </w:rPr>
        <w:t xml:space="preserve"> the process for evaluating and integrating information from different sources of data and uses best professional judgement to assess the consistency and plausibility of the conclusions which can be drawn. </w:t>
      </w:r>
    </w:p>
    <w:p w:rsidR="00A97702" w:rsidRDefault="00A97702" w:rsidP="00A97702">
      <w:pPr>
        <w:pStyle w:val="text"/>
        <w:rPr>
          <w:szCs w:val="22"/>
        </w:rPr>
      </w:pPr>
      <w:r w:rsidRPr="006F467C">
        <w:rPr>
          <w:b/>
          <w:szCs w:val="22"/>
        </w:rPr>
        <w:t>Risk</w:t>
      </w:r>
      <w:r>
        <w:rPr>
          <w:szCs w:val="22"/>
        </w:rPr>
        <w:t xml:space="preserve"> means the probability in a certain timeframe that an adverse outcome will occur in a person, a group of people, plants, animals and/or the ecology of a specified area that is exposed to a particular dose or concentration of a chemical substance, that is, it depends on both the level of toxicity of the chemical substance and the level of exposure to it.</w:t>
      </w:r>
    </w:p>
    <w:p w:rsidR="00A97702" w:rsidRDefault="00A97702" w:rsidP="00A97702">
      <w:pPr>
        <w:pStyle w:val="text"/>
        <w:rPr>
          <w:szCs w:val="22"/>
        </w:rPr>
      </w:pPr>
      <w:r w:rsidRPr="008D0FCA">
        <w:rPr>
          <w:b/>
          <w:bCs/>
          <w:szCs w:val="22"/>
        </w:rPr>
        <w:t>Risk assessment</w:t>
      </w:r>
      <w:r w:rsidRPr="008D0FCA">
        <w:rPr>
          <w:szCs w:val="22"/>
        </w:rPr>
        <w:t xml:space="preserve"> </w:t>
      </w:r>
      <w:r>
        <w:rPr>
          <w:szCs w:val="22"/>
        </w:rPr>
        <w:t xml:space="preserve">is </w:t>
      </w:r>
      <w:r w:rsidRPr="00152C9E">
        <w:t>the process of estimating the potential impact of a chemical, physical, microbiological or psychosocial hazard on a specified human population or ecological system under a specific set of conditions and for a certain timeframe</w:t>
      </w:r>
      <w:r>
        <w:t>.</w:t>
      </w:r>
    </w:p>
    <w:p w:rsidR="00A97702" w:rsidRPr="00182B65" w:rsidRDefault="00A97702" w:rsidP="00A97702">
      <w:pPr>
        <w:pStyle w:val="text"/>
        <w:rPr>
          <w:szCs w:val="22"/>
        </w:rPr>
      </w:pPr>
      <w:r w:rsidRPr="008D0FCA">
        <w:rPr>
          <w:b/>
          <w:bCs/>
          <w:szCs w:val="22"/>
        </w:rPr>
        <w:t>Risk management</w:t>
      </w:r>
      <w:r w:rsidRPr="00A83B50">
        <w:rPr>
          <w:bCs/>
          <w:szCs w:val="22"/>
        </w:rPr>
        <w:t xml:space="preserve"> is a decision-making process involving consideration of political, social, economic and technical factors with relevant risk assessment information relating to a hazard to determine an appropriate course of action.</w:t>
      </w:r>
    </w:p>
    <w:p w:rsidR="00A97702" w:rsidRDefault="00A97702" w:rsidP="00A97702">
      <w:pPr>
        <w:pStyle w:val="text"/>
      </w:pPr>
      <w:r w:rsidRPr="008D0FCA">
        <w:rPr>
          <w:b/>
          <w:bCs/>
          <w:szCs w:val="22"/>
        </w:rPr>
        <w:t>Screening</w:t>
      </w:r>
      <w:r w:rsidRPr="008D0FCA">
        <w:rPr>
          <w:szCs w:val="22"/>
        </w:rPr>
        <w:t xml:space="preserve"> is the process of comparison of site data to screening criteria to obtain a rapid assessment of contaminants of potential concern.</w:t>
      </w:r>
    </w:p>
    <w:p w:rsidR="00A97702" w:rsidRDefault="00A97702" w:rsidP="00A97702">
      <w:pPr>
        <w:pStyle w:val="text"/>
      </w:pPr>
      <w:r w:rsidRPr="005A3404">
        <w:lastRenderedPageBreak/>
        <w:t xml:space="preserve">A </w:t>
      </w:r>
      <w:r w:rsidRPr="005A3404">
        <w:rPr>
          <w:rFonts w:cs="Arial"/>
          <w:b/>
        </w:rPr>
        <w:t>Tier 1 assessment</w:t>
      </w:r>
      <w:r w:rsidRPr="00755E1C">
        <w:t xml:space="preserve"> is a risk-based analysis comparing site data with investigation and screening levels for various land uses to determine the need for further assessment or development of an appropriate management strategy</w:t>
      </w:r>
      <w:r>
        <w:t xml:space="preserve">. </w:t>
      </w:r>
    </w:p>
    <w:p w:rsidR="00A97702" w:rsidRDefault="00A97702" w:rsidP="00A97702">
      <w:pPr>
        <w:pStyle w:val="text"/>
        <w:rPr>
          <w:szCs w:val="22"/>
        </w:rPr>
      </w:pPr>
    </w:p>
    <w:p w:rsidR="00A97702" w:rsidRDefault="00A97702" w:rsidP="00A97702">
      <w:pPr>
        <w:pStyle w:val="Heading1"/>
      </w:pPr>
      <w:bookmarkStart w:id="80" w:name="_Toc351712084"/>
      <w:r>
        <w:lastRenderedPageBreak/>
        <w:t>Shortened forms</w:t>
      </w:r>
      <w:bookmarkEnd w:id="80"/>
    </w:p>
    <w:tbl>
      <w:tblPr>
        <w:tblW w:w="0" w:type="auto"/>
        <w:jc w:val="center"/>
        <w:tblLook w:val="00A0" w:firstRow="1" w:lastRow="0" w:firstColumn="1" w:lastColumn="0" w:noHBand="0" w:noVBand="0"/>
      </w:tblPr>
      <w:tblGrid>
        <w:gridCol w:w="1735"/>
        <w:gridCol w:w="6794"/>
      </w:tblGrid>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ABC</w:t>
            </w:r>
          </w:p>
        </w:tc>
        <w:tc>
          <w:tcPr>
            <w:tcW w:w="6794" w:type="dxa"/>
            <w:vAlign w:val="center"/>
          </w:tcPr>
          <w:p w:rsidR="00A97702" w:rsidRPr="00B373DF" w:rsidRDefault="00A97702" w:rsidP="00DA1C9D">
            <w:pPr>
              <w:pStyle w:val="TableText1"/>
              <w:rPr>
                <w:sz w:val="22"/>
                <w:szCs w:val="22"/>
              </w:rPr>
            </w:pPr>
            <w:r w:rsidRPr="00B373DF">
              <w:rPr>
                <w:sz w:val="22"/>
                <w:szCs w:val="22"/>
              </w:rPr>
              <w:t>ambient background concentration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ACL</w:t>
            </w:r>
          </w:p>
        </w:tc>
        <w:tc>
          <w:tcPr>
            <w:tcW w:w="6794" w:type="dxa"/>
            <w:vAlign w:val="center"/>
          </w:tcPr>
          <w:p w:rsidR="00A97702" w:rsidRPr="00B373DF" w:rsidRDefault="00A97702" w:rsidP="00DA1C9D">
            <w:pPr>
              <w:pStyle w:val="TableText1"/>
              <w:rPr>
                <w:sz w:val="22"/>
                <w:szCs w:val="22"/>
              </w:rPr>
            </w:pPr>
            <w:r w:rsidRPr="00B373DF">
              <w:rPr>
                <w:sz w:val="22"/>
                <w:szCs w:val="22"/>
              </w:rPr>
              <w:t>added contaminant limit</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ACM</w:t>
            </w:r>
          </w:p>
        </w:tc>
        <w:tc>
          <w:tcPr>
            <w:tcW w:w="6794" w:type="dxa"/>
            <w:vAlign w:val="center"/>
          </w:tcPr>
          <w:p w:rsidR="00A97702" w:rsidRPr="00B373DF" w:rsidRDefault="00A97702" w:rsidP="00DA1C9D">
            <w:pPr>
              <w:pStyle w:val="TableText1"/>
              <w:rPr>
                <w:rFonts w:cs="Arial"/>
                <w:sz w:val="22"/>
                <w:szCs w:val="22"/>
              </w:rPr>
            </w:pPr>
            <w:r w:rsidRPr="00B373DF">
              <w:rPr>
                <w:rFonts w:cs="Arial"/>
                <w:sz w:val="22"/>
                <w:szCs w:val="22"/>
              </w:rPr>
              <w:t>asbestos-containing-material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ADI</w:t>
            </w:r>
          </w:p>
        </w:tc>
        <w:tc>
          <w:tcPr>
            <w:tcW w:w="6794" w:type="dxa"/>
            <w:vAlign w:val="center"/>
          </w:tcPr>
          <w:p w:rsidR="00A97702" w:rsidRPr="00B373DF" w:rsidRDefault="00A97702" w:rsidP="00DA1C9D">
            <w:pPr>
              <w:rPr>
                <w:szCs w:val="22"/>
              </w:rPr>
            </w:pPr>
            <w:r w:rsidRPr="00B373DF">
              <w:rPr>
                <w:szCs w:val="22"/>
              </w:rPr>
              <w:t>acceptable daily intake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ADWG</w:t>
            </w:r>
          </w:p>
        </w:tc>
        <w:tc>
          <w:tcPr>
            <w:tcW w:w="6794" w:type="dxa"/>
            <w:vAlign w:val="center"/>
          </w:tcPr>
          <w:p w:rsidR="00A97702" w:rsidRPr="00B373DF" w:rsidRDefault="00A97702" w:rsidP="00DA1C9D">
            <w:pPr>
              <w:pStyle w:val="TableText1"/>
              <w:rPr>
                <w:rFonts w:cs="Arial"/>
                <w:i/>
                <w:sz w:val="22"/>
                <w:szCs w:val="22"/>
              </w:rPr>
            </w:pPr>
            <w:r w:rsidRPr="00B373DF">
              <w:rPr>
                <w:rFonts w:cs="Arial"/>
                <w:i/>
                <w:sz w:val="22"/>
                <w:szCs w:val="22"/>
              </w:rPr>
              <w:t>Australian Drinking Water Guidelines</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AF</w:t>
            </w:r>
          </w:p>
        </w:tc>
        <w:tc>
          <w:tcPr>
            <w:tcW w:w="6794" w:type="dxa"/>
            <w:vAlign w:val="center"/>
          </w:tcPr>
          <w:p w:rsidR="00A97702" w:rsidRPr="00B373DF" w:rsidRDefault="00A97702" w:rsidP="00DA1C9D">
            <w:pPr>
              <w:pStyle w:val="TableText1"/>
              <w:rPr>
                <w:sz w:val="22"/>
                <w:szCs w:val="22"/>
              </w:rPr>
            </w:pPr>
            <w:r w:rsidRPr="00B373DF">
              <w:rPr>
                <w:sz w:val="22"/>
                <w:szCs w:val="22"/>
              </w:rPr>
              <w:t>asbestos fines</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AM</w:t>
            </w:r>
          </w:p>
        </w:tc>
        <w:tc>
          <w:tcPr>
            <w:tcW w:w="6794" w:type="dxa"/>
            <w:vAlign w:val="center"/>
          </w:tcPr>
          <w:p w:rsidR="00A97702" w:rsidRPr="00B373DF" w:rsidRDefault="00A97702" w:rsidP="00DA1C9D">
            <w:pPr>
              <w:pStyle w:val="TableText1"/>
              <w:rPr>
                <w:sz w:val="22"/>
                <w:szCs w:val="22"/>
              </w:rPr>
            </w:pPr>
            <w:r w:rsidRPr="00B373DF">
              <w:rPr>
                <w:sz w:val="22"/>
                <w:szCs w:val="22"/>
              </w:rPr>
              <w:t>arithmetic mean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AS</w:t>
            </w:r>
          </w:p>
        </w:tc>
        <w:tc>
          <w:tcPr>
            <w:tcW w:w="6794" w:type="dxa"/>
            <w:vAlign w:val="center"/>
          </w:tcPr>
          <w:p w:rsidR="00A97702" w:rsidRPr="00B373DF" w:rsidRDefault="00A97702" w:rsidP="00DA1C9D">
            <w:pPr>
              <w:pStyle w:val="TableText1"/>
              <w:rPr>
                <w:sz w:val="22"/>
                <w:szCs w:val="22"/>
              </w:rPr>
            </w:pPr>
            <w:r w:rsidRPr="00B373DF">
              <w:rPr>
                <w:sz w:val="22"/>
                <w:szCs w:val="22"/>
              </w:rPr>
              <w:t>Australian Standard</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As</w:t>
            </w:r>
          </w:p>
        </w:tc>
        <w:tc>
          <w:tcPr>
            <w:tcW w:w="6794" w:type="dxa"/>
            <w:vAlign w:val="center"/>
          </w:tcPr>
          <w:p w:rsidR="00A97702" w:rsidRPr="00B373DF" w:rsidRDefault="00A97702" w:rsidP="00DA1C9D">
            <w:pPr>
              <w:pStyle w:val="TableText1"/>
              <w:rPr>
                <w:sz w:val="22"/>
                <w:szCs w:val="22"/>
              </w:rPr>
            </w:pPr>
            <w:r w:rsidRPr="00B373DF">
              <w:rPr>
                <w:sz w:val="22"/>
                <w:szCs w:val="22"/>
              </w:rPr>
              <w:t>Arsenic</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AWQG</w:t>
            </w:r>
          </w:p>
        </w:tc>
        <w:tc>
          <w:tcPr>
            <w:tcW w:w="6794" w:type="dxa"/>
            <w:vAlign w:val="center"/>
          </w:tcPr>
          <w:p w:rsidR="00A97702" w:rsidRPr="00B373DF" w:rsidRDefault="00A97702" w:rsidP="00DA1C9D">
            <w:pPr>
              <w:pStyle w:val="TableText1"/>
              <w:rPr>
                <w:rFonts w:cs="Arial"/>
                <w:i/>
                <w:sz w:val="22"/>
                <w:szCs w:val="22"/>
              </w:rPr>
            </w:pPr>
            <w:r w:rsidRPr="00B373DF">
              <w:rPr>
                <w:i/>
                <w:sz w:val="22"/>
                <w:szCs w:val="22"/>
              </w:rPr>
              <w:t>Australian Water Quality Guidelines 2000</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B(a)P</w:t>
            </w:r>
          </w:p>
        </w:tc>
        <w:tc>
          <w:tcPr>
            <w:tcW w:w="6794" w:type="dxa"/>
            <w:vAlign w:val="center"/>
          </w:tcPr>
          <w:p w:rsidR="00A97702" w:rsidRPr="00B373DF" w:rsidRDefault="00A97702" w:rsidP="00DA1C9D">
            <w:pPr>
              <w:pStyle w:val="TableText1"/>
              <w:rPr>
                <w:sz w:val="22"/>
                <w:szCs w:val="22"/>
              </w:rPr>
            </w:pPr>
            <w:r w:rsidRPr="00B373DF">
              <w:rPr>
                <w:sz w:val="22"/>
                <w:szCs w:val="22"/>
              </w:rPr>
              <w:t>benzo(a)pyrene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Bonded ACM</w:t>
            </w:r>
          </w:p>
        </w:tc>
        <w:tc>
          <w:tcPr>
            <w:tcW w:w="6794" w:type="dxa"/>
            <w:vAlign w:val="center"/>
          </w:tcPr>
          <w:p w:rsidR="00A97702" w:rsidRPr="00B373DF" w:rsidRDefault="00A97702" w:rsidP="00DA1C9D">
            <w:pPr>
              <w:pStyle w:val="TableText1"/>
              <w:rPr>
                <w:sz w:val="22"/>
                <w:szCs w:val="22"/>
              </w:rPr>
            </w:pPr>
            <w:r w:rsidRPr="00B373DF">
              <w:rPr>
                <w:sz w:val="22"/>
                <w:szCs w:val="22"/>
              </w:rPr>
              <w:t>bonded asbestos-containing-material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BTEX</w:t>
            </w:r>
          </w:p>
        </w:tc>
        <w:tc>
          <w:tcPr>
            <w:tcW w:w="6794" w:type="dxa"/>
            <w:vAlign w:val="center"/>
          </w:tcPr>
          <w:p w:rsidR="00A97702" w:rsidRPr="00B373DF" w:rsidRDefault="00A97702" w:rsidP="00DA1C9D">
            <w:pPr>
              <w:pStyle w:val="TableText1"/>
              <w:rPr>
                <w:sz w:val="22"/>
                <w:szCs w:val="22"/>
              </w:rPr>
            </w:pPr>
            <w:r w:rsidRPr="00B373DF">
              <w:rPr>
                <w:sz w:val="22"/>
                <w:szCs w:val="22"/>
              </w:rPr>
              <w:t>benzene, toluene, ethylbenzene and xylenes</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CCME</w:t>
            </w:r>
          </w:p>
        </w:tc>
        <w:tc>
          <w:tcPr>
            <w:tcW w:w="6794" w:type="dxa"/>
            <w:vAlign w:val="center"/>
          </w:tcPr>
          <w:p w:rsidR="00A97702" w:rsidRPr="00B373DF" w:rsidRDefault="00A97702" w:rsidP="00DA1C9D">
            <w:pPr>
              <w:pStyle w:val="TableText1"/>
              <w:rPr>
                <w:rFonts w:cs="Book Antiqua"/>
                <w:color w:val="000000"/>
                <w:sz w:val="22"/>
                <w:szCs w:val="22"/>
                <w:lang w:val="en-GB"/>
              </w:rPr>
            </w:pPr>
            <w:r w:rsidRPr="00B373DF">
              <w:rPr>
                <w:sz w:val="22"/>
                <w:szCs w:val="22"/>
              </w:rPr>
              <w:t>Canadian Council of the Ministers of the Environment</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CEC</w:t>
            </w:r>
          </w:p>
        </w:tc>
        <w:tc>
          <w:tcPr>
            <w:tcW w:w="6794" w:type="dxa"/>
            <w:vAlign w:val="center"/>
          </w:tcPr>
          <w:p w:rsidR="00A97702" w:rsidRPr="00B373DF" w:rsidRDefault="00A97702" w:rsidP="00DA1C9D">
            <w:pPr>
              <w:pStyle w:val="TableText1"/>
              <w:rPr>
                <w:sz w:val="22"/>
                <w:szCs w:val="22"/>
              </w:rPr>
            </w:pPr>
            <w:r w:rsidRPr="00B373DF">
              <w:rPr>
                <w:rFonts w:cs="Book Antiqua"/>
                <w:color w:val="000000"/>
                <w:sz w:val="22"/>
                <w:szCs w:val="22"/>
                <w:lang w:val="en-GB"/>
              </w:rPr>
              <w:t>cation exchange capacity</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CRC CARE</w:t>
            </w:r>
          </w:p>
        </w:tc>
        <w:tc>
          <w:tcPr>
            <w:tcW w:w="6794" w:type="dxa"/>
            <w:vAlign w:val="center"/>
          </w:tcPr>
          <w:p w:rsidR="00A97702" w:rsidRPr="00B373DF" w:rsidRDefault="00A97702" w:rsidP="00DA1C9D">
            <w:pPr>
              <w:pStyle w:val="TableText1"/>
              <w:rPr>
                <w:sz w:val="22"/>
                <w:szCs w:val="22"/>
              </w:rPr>
            </w:pPr>
            <w:r w:rsidRPr="00B373DF">
              <w:rPr>
                <w:sz w:val="22"/>
                <w:szCs w:val="22"/>
              </w:rPr>
              <w:t>Cooperative Research Centre for Contamination Assessment and Remediation of the Environment</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CSIRO</w:t>
            </w:r>
          </w:p>
        </w:tc>
        <w:tc>
          <w:tcPr>
            <w:tcW w:w="6794" w:type="dxa"/>
            <w:vAlign w:val="center"/>
          </w:tcPr>
          <w:p w:rsidR="00A97702" w:rsidRPr="00B373DF" w:rsidRDefault="00A97702" w:rsidP="00DA1C9D">
            <w:pPr>
              <w:pStyle w:val="TableText1"/>
              <w:rPr>
                <w:sz w:val="22"/>
                <w:szCs w:val="22"/>
              </w:rPr>
            </w:pPr>
            <w:r w:rsidRPr="00B373DF">
              <w:rPr>
                <w:sz w:val="22"/>
                <w:szCs w:val="22"/>
              </w:rPr>
              <w:t>Commonwealth Scientific and Industrial Research Organisation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Cr</w:t>
            </w:r>
            <w:r>
              <w:rPr>
                <w:b/>
                <w:sz w:val="22"/>
                <w:szCs w:val="22"/>
              </w:rPr>
              <w:t xml:space="preserve"> </w:t>
            </w:r>
            <w:r w:rsidRPr="00B373DF">
              <w:rPr>
                <w:b/>
                <w:sz w:val="22"/>
                <w:szCs w:val="22"/>
              </w:rPr>
              <w:t>III</w:t>
            </w:r>
          </w:p>
        </w:tc>
        <w:tc>
          <w:tcPr>
            <w:tcW w:w="6794" w:type="dxa"/>
            <w:vAlign w:val="center"/>
          </w:tcPr>
          <w:p w:rsidR="00A97702" w:rsidRPr="00B373DF" w:rsidRDefault="00A97702" w:rsidP="00DA1C9D">
            <w:pPr>
              <w:pStyle w:val="TableText1"/>
              <w:rPr>
                <w:sz w:val="22"/>
                <w:szCs w:val="22"/>
              </w:rPr>
            </w:pPr>
            <w:r w:rsidRPr="00B373DF">
              <w:rPr>
                <w:sz w:val="22"/>
                <w:szCs w:val="22"/>
              </w:rPr>
              <w:t>Chromium</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CSM</w:t>
            </w:r>
          </w:p>
        </w:tc>
        <w:tc>
          <w:tcPr>
            <w:tcW w:w="6794" w:type="dxa"/>
            <w:vAlign w:val="center"/>
          </w:tcPr>
          <w:p w:rsidR="00A97702" w:rsidRPr="00B373DF" w:rsidRDefault="00A97702" w:rsidP="00DA1C9D">
            <w:pPr>
              <w:pStyle w:val="TableText1"/>
              <w:rPr>
                <w:sz w:val="22"/>
                <w:szCs w:val="22"/>
              </w:rPr>
            </w:pPr>
            <w:r w:rsidRPr="00B373DF">
              <w:rPr>
                <w:sz w:val="22"/>
                <w:szCs w:val="22"/>
              </w:rPr>
              <w:t>Conceptual Site Model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Cu</w:t>
            </w:r>
          </w:p>
        </w:tc>
        <w:tc>
          <w:tcPr>
            <w:tcW w:w="6794" w:type="dxa"/>
            <w:vAlign w:val="center"/>
          </w:tcPr>
          <w:p w:rsidR="00A97702" w:rsidRPr="00B373DF" w:rsidRDefault="00A97702" w:rsidP="00DA1C9D">
            <w:pPr>
              <w:pStyle w:val="TableText1"/>
              <w:rPr>
                <w:sz w:val="22"/>
                <w:szCs w:val="22"/>
              </w:rPr>
            </w:pPr>
            <w:r w:rsidRPr="00B373DF">
              <w:rPr>
                <w:sz w:val="22"/>
                <w:szCs w:val="22"/>
              </w:rPr>
              <w:t>Copper</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CWS PHC</w:t>
            </w:r>
          </w:p>
        </w:tc>
        <w:tc>
          <w:tcPr>
            <w:tcW w:w="6794" w:type="dxa"/>
            <w:vAlign w:val="center"/>
          </w:tcPr>
          <w:p w:rsidR="00A97702" w:rsidRPr="00B373DF" w:rsidRDefault="00A97702" w:rsidP="00DA1C9D">
            <w:pPr>
              <w:pStyle w:val="TableText1"/>
              <w:rPr>
                <w:i/>
                <w:sz w:val="22"/>
                <w:szCs w:val="22"/>
              </w:rPr>
            </w:pPr>
            <w:r w:rsidRPr="00B373DF">
              <w:rPr>
                <w:i/>
                <w:sz w:val="22"/>
                <w:szCs w:val="22"/>
              </w:rPr>
              <w:t>Canada Wide Standard for Petroleum Hydrocarbons (PHCs) in Soil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DDT</w:t>
            </w:r>
          </w:p>
        </w:tc>
        <w:tc>
          <w:tcPr>
            <w:tcW w:w="6794" w:type="dxa"/>
            <w:vAlign w:val="center"/>
          </w:tcPr>
          <w:p w:rsidR="00A97702" w:rsidRPr="00B373DF" w:rsidRDefault="00A97702" w:rsidP="00DA1C9D">
            <w:pPr>
              <w:pStyle w:val="TableText1"/>
              <w:rPr>
                <w:sz w:val="22"/>
                <w:szCs w:val="22"/>
              </w:rPr>
            </w:pPr>
            <w:r w:rsidRPr="00B373DF">
              <w:rPr>
                <w:rStyle w:val="st"/>
                <w:sz w:val="22"/>
                <w:szCs w:val="22"/>
              </w:rPr>
              <w:t>dichlorodiphenyltrichloroethane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DQO</w:t>
            </w:r>
          </w:p>
        </w:tc>
        <w:tc>
          <w:tcPr>
            <w:tcW w:w="6794" w:type="dxa"/>
            <w:vAlign w:val="center"/>
          </w:tcPr>
          <w:p w:rsidR="00A97702" w:rsidRPr="00B373DF" w:rsidRDefault="00A97702" w:rsidP="00DA1C9D">
            <w:pPr>
              <w:pStyle w:val="TableText1"/>
              <w:rPr>
                <w:sz w:val="22"/>
                <w:szCs w:val="22"/>
              </w:rPr>
            </w:pPr>
            <w:r w:rsidRPr="00B373DF">
              <w:rPr>
                <w:sz w:val="22"/>
                <w:szCs w:val="22"/>
              </w:rPr>
              <w:t>data quality objective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DSI</w:t>
            </w:r>
          </w:p>
        </w:tc>
        <w:tc>
          <w:tcPr>
            <w:tcW w:w="6794" w:type="dxa"/>
            <w:vAlign w:val="center"/>
          </w:tcPr>
          <w:p w:rsidR="00A97702" w:rsidRPr="00B373DF" w:rsidRDefault="00A97702" w:rsidP="00DA1C9D">
            <w:pPr>
              <w:pStyle w:val="TableText1"/>
              <w:rPr>
                <w:sz w:val="22"/>
                <w:szCs w:val="22"/>
              </w:rPr>
            </w:pPr>
            <w:r w:rsidRPr="00B373DF">
              <w:rPr>
                <w:sz w:val="22"/>
                <w:szCs w:val="22"/>
              </w:rPr>
              <w:t>detailed site investigation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EC</w:t>
            </w:r>
            <w:r w:rsidRPr="00B373DF">
              <w:rPr>
                <w:b/>
                <w:sz w:val="22"/>
                <w:szCs w:val="22"/>
                <w:vertAlign w:val="subscript"/>
              </w:rPr>
              <w:t>30</w:t>
            </w:r>
          </w:p>
        </w:tc>
        <w:tc>
          <w:tcPr>
            <w:tcW w:w="6794" w:type="dxa"/>
            <w:vAlign w:val="center"/>
          </w:tcPr>
          <w:p w:rsidR="00A97702" w:rsidRPr="00B373DF" w:rsidRDefault="00A97702" w:rsidP="00DA1C9D">
            <w:pPr>
              <w:pStyle w:val="TableText1"/>
              <w:rPr>
                <w:sz w:val="22"/>
                <w:szCs w:val="22"/>
              </w:rPr>
            </w:pPr>
            <w:r w:rsidRPr="00B373DF">
              <w:rPr>
                <w:sz w:val="22"/>
                <w:szCs w:val="22"/>
              </w:rPr>
              <w:t>effective concentration 30%</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EIL</w:t>
            </w:r>
          </w:p>
        </w:tc>
        <w:tc>
          <w:tcPr>
            <w:tcW w:w="6794" w:type="dxa"/>
            <w:vAlign w:val="center"/>
          </w:tcPr>
          <w:p w:rsidR="00A97702" w:rsidRPr="00B373DF" w:rsidRDefault="00A97702" w:rsidP="00DA1C9D">
            <w:pPr>
              <w:pStyle w:val="TableText1"/>
              <w:rPr>
                <w:sz w:val="22"/>
                <w:szCs w:val="22"/>
              </w:rPr>
            </w:pPr>
            <w:r w:rsidRPr="00B373DF">
              <w:rPr>
                <w:sz w:val="22"/>
                <w:szCs w:val="22"/>
              </w:rPr>
              <w:t>ecological investigation level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ESL</w:t>
            </w:r>
          </w:p>
        </w:tc>
        <w:tc>
          <w:tcPr>
            <w:tcW w:w="6794" w:type="dxa"/>
            <w:vAlign w:val="center"/>
          </w:tcPr>
          <w:p w:rsidR="00A97702" w:rsidRPr="00B373DF" w:rsidRDefault="00A97702" w:rsidP="00DA1C9D">
            <w:pPr>
              <w:pStyle w:val="TableText1"/>
              <w:rPr>
                <w:sz w:val="22"/>
                <w:szCs w:val="22"/>
              </w:rPr>
            </w:pPr>
            <w:r w:rsidRPr="00B373DF">
              <w:rPr>
                <w:sz w:val="22"/>
                <w:szCs w:val="22"/>
              </w:rPr>
              <w:t>ecological screening level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FA</w:t>
            </w:r>
          </w:p>
        </w:tc>
        <w:tc>
          <w:tcPr>
            <w:tcW w:w="6794" w:type="dxa"/>
            <w:vAlign w:val="center"/>
          </w:tcPr>
          <w:p w:rsidR="00A97702" w:rsidRPr="00B373DF" w:rsidRDefault="00A97702" w:rsidP="00DA1C9D">
            <w:pPr>
              <w:pStyle w:val="TableText1"/>
              <w:rPr>
                <w:sz w:val="22"/>
                <w:szCs w:val="22"/>
              </w:rPr>
            </w:pPr>
            <w:r w:rsidRPr="00B373DF">
              <w:rPr>
                <w:sz w:val="22"/>
                <w:szCs w:val="22"/>
              </w:rPr>
              <w:t>fibrous asbestos</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GC-MS</w:t>
            </w:r>
          </w:p>
        </w:tc>
        <w:tc>
          <w:tcPr>
            <w:tcW w:w="6794" w:type="dxa"/>
            <w:vAlign w:val="center"/>
          </w:tcPr>
          <w:p w:rsidR="00A97702" w:rsidRPr="00B373DF" w:rsidRDefault="00A97702" w:rsidP="00DA1C9D">
            <w:pPr>
              <w:pStyle w:val="TableText1"/>
              <w:rPr>
                <w:sz w:val="22"/>
                <w:szCs w:val="22"/>
              </w:rPr>
            </w:pPr>
            <w:r w:rsidRPr="00B373DF">
              <w:rPr>
                <w:sz w:val="22"/>
                <w:szCs w:val="22"/>
              </w:rPr>
              <w:t>gas chromatography-mass spectrometry</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GIL</w:t>
            </w:r>
          </w:p>
        </w:tc>
        <w:tc>
          <w:tcPr>
            <w:tcW w:w="6794" w:type="dxa"/>
            <w:vAlign w:val="center"/>
          </w:tcPr>
          <w:p w:rsidR="00A97702" w:rsidRPr="00B373DF" w:rsidRDefault="00A97702" w:rsidP="00DA1C9D">
            <w:pPr>
              <w:pStyle w:val="TableText1"/>
              <w:rPr>
                <w:rFonts w:cs="Arial"/>
                <w:sz w:val="22"/>
                <w:szCs w:val="22"/>
              </w:rPr>
            </w:pPr>
            <w:r w:rsidRPr="00B373DF">
              <w:rPr>
                <w:sz w:val="22"/>
                <w:szCs w:val="22"/>
              </w:rPr>
              <w:t>groundwater investigation level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GM</w:t>
            </w:r>
          </w:p>
        </w:tc>
        <w:tc>
          <w:tcPr>
            <w:tcW w:w="6794" w:type="dxa"/>
            <w:vAlign w:val="center"/>
          </w:tcPr>
          <w:p w:rsidR="00A97702" w:rsidRPr="00B373DF" w:rsidRDefault="00A97702" w:rsidP="00DA1C9D">
            <w:pPr>
              <w:pStyle w:val="TableText1"/>
              <w:rPr>
                <w:rFonts w:cs="Arial"/>
                <w:sz w:val="22"/>
                <w:szCs w:val="22"/>
              </w:rPr>
            </w:pPr>
            <w:r w:rsidRPr="00B373DF">
              <w:rPr>
                <w:rFonts w:cs="Arial"/>
                <w:sz w:val="22"/>
                <w:szCs w:val="22"/>
              </w:rPr>
              <w:t>geometric mean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GMRRW</w:t>
            </w:r>
          </w:p>
        </w:tc>
        <w:tc>
          <w:tcPr>
            <w:tcW w:w="6794" w:type="dxa"/>
            <w:vAlign w:val="center"/>
          </w:tcPr>
          <w:p w:rsidR="00A97702" w:rsidRPr="00B373DF" w:rsidRDefault="00A97702" w:rsidP="00DA1C9D">
            <w:pPr>
              <w:pStyle w:val="TableText1"/>
              <w:rPr>
                <w:rFonts w:cs="Arial"/>
                <w:i/>
                <w:sz w:val="22"/>
                <w:szCs w:val="22"/>
              </w:rPr>
            </w:pPr>
            <w:r w:rsidRPr="00B373DF">
              <w:rPr>
                <w:rFonts w:cs="Arial"/>
                <w:i/>
                <w:sz w:val="22"/>
                <w:szCs w:val="22"/>
              </w:rPr>
              <w:t>Guidelines for Managing Risk in Recreational Water</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HIL</w:t>
            </w:r>
          </w:p>
        </w:tc>
        <w:tc>
          <w:tcPr>
            <w:tcW w:w="6794" w:type="dxa"/>
            <w:vAlign w:val="center"/>
          </w:tcPr>
          <w:p w:rsidR="00A97702" w:rsidRPr="00B373DF" w:rsidRDefault="00A97702" w:rsidP="00DA1C9D">
            <w:pPr>
              <w:pStyle w:val="TableText1"/>
              <w:rPr>
                <w:sz w:val="22"/>
                <w:szCs w:val="22"/>
              </w:rPr>
            </w:pPr>
            <w:r w:rsidRPr="00B373DF">
              <w:rPr>
                <w:sz w:val="22"/>
                <w:szCs w:val="22"/>
              </w:rPr>
              <w:t>health investigation level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HSL</w:t>
            </w:r>
          </w:p>
        </w:tc>
        <w:tc>
          <w:tcPr>
            <w:tcW w:w="6794" w:type="dxa"/>
            <w:vAlign w:val="center"/>
          </w:tcPr>
          <w:p w:rsidR="00A97702" w:rsidRPr="00B373DF" w:rsidRDefault="00A97702" w:rsidP="00DA1C9D">
            <w:pPr>
              <w:pStyle w:val="TableText1"/>
              <w:rPr>
                <w:sz w:val="22"/>
                <w:szCs w:val="22"/>
              </w:rPr>
            </w:pPr>
            <w:r w:rsidRPr="00B373DF">
              <w:rPr>
                <w:sz w:val="22"/>
                <w:szCs w:val="22"/>
              </w:rPr>
              <w:t>health screening level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lastRenderedPageBreak/>
              <w:t>IEUBK</w:t>
            </w:r>
          </w:p>
        </w:tc>
        <w:tc>
          <w:tcPr>
            <w:tcW w:w="6794" w:type="dxa"/>
            <w:vAlign w:val="center"/>
          </w:tcPr>
          <w:p w:rsidR="00A97702" w:rsidRPr="00B373DF" w:rsidRDefault="00A97702" w:rsidP="00DA1C9D">
            <w:pPr>
              <w:pStyle w:val="TableText1"/>
              <w:rPr>
                <w:sz w:val="22"/>
                <w:szCs w:val="22"/>
              </w:rPr>
            </w:pPr>
            <w:r w:rsidRPr="00B373DF">
              <w:rPr>
                <w:sz w:val="22"/>
                <w:szCs w:val="22"/>
              </w:rPr>
              <w:t>integrated exposure uptake biokinetic model (for lead)</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ISQG</w:t>
            </w:r>
          </w:p>
        </w:tc>
        <w:tc>
          <w:tcPr>
            <w:tcW w:w="6794" w:type="dxa"/>
            <w:vAlign w:val="center"/>
          </w:tcPr>
          <w:p w:rsidR="00A97702" w:rsidRPr="00B373DF" w:rsidRDefault="00A97702" w:rsidP="00DA1C9D">
            <w:pPr>
              <w:pStyle w:val="TableText1"/>
              <w:rPr>
                <w:i/>
                <w:sz w:val="22"/>
                <w:szCs w:val="22"/>
              </w:rPr>
            </w:pPr>
            <w:r w:rsidRPr="00B373DF">
              <w:rPr>
                <w:i/>
                <w:sz w:val="22"/>
                <w:szCs w:val="22"/>
              </w:rPr>
              <w:t>Interim Sediment Quality Guideline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LNAPL</w:t>
            </w:r>
          </w:p>
        </w:tc>
        <w:tc>
          <w:tcPr>
            <w:tcW w:w="6794" w:type="dxa"/>
            <w:vAlign w:val="center"/>
          </w:tcPr>
          <w:p w:rsidR="00A97702" w:rsidRPr="00B373DF" w:rsidRDefault="00A97702" w:rsidP="00DA1C9D">
            <w:pPr>
              <w:pStyle w:val="TableText1"/>
              <w:rPr>
                <w:sz w:val="22"/>
                <w:szCs w:val="22"/>
              </w:rPr>
            </w:pPr>
            <w:r w:rsidRPr="00B373DF">
              <w:rPr>
                <w:sz w:val="22"/>
                <w:szCs w:val="22"/>
              </w:rPr>
              <w:t>light non-aqueous phase liquid</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LOEC</w:t>
            </w:r>
          </w:p>
        </w:tc>
        <w:tc>
          <w:tcPr>
            <w:tcW w:w="6794" w:type="dxa"/>
            <w:vAlign w:val="center"/>
          </w:tcPr>
          <w:p w:rsidR="00A97702" w:rsidRPr="00B373DF" w:rsidRDefault="00A97702" w:rsidP="00DA1C9D">
            <w:pPr>
              <w:pStyle w:val="TableText1"/>
              <w:rPr>
                <w:sz w:val="22"/>
                <w:szCs w:val="22"/>
              </w:rPr>
            </w:pPr>
            <w:r w:rsidRPr="00B373DF">
              <w:rPr>
                <w:sz w:val="22"/>
                <w:szCs w:val="22"/>
              </w:rPr>
              <w:t>lowest observed effect concentration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MTBE</w:t>
            </w:r>
          </w:p>
        </w:tc>
        <w:tc>
          <w:tcPr>
            <w:tcW w:w="6794" w:type="dxa"/>
            <w:vAlign w:val="center"/>
          </w:tcPr>
          <w:p w:rsidR="00A97702" w:rsidRPr="00B373DF" w:rsidRDefault="00A97702" w:rsidP="00DA1C9D">
            <w:pPr>
              <w:pStyle w:val="TableText1"/>
              <w:rPr>
                <w:sz w:val="22"/>
                <w:szCs w:val="22"/>
              </w:rPr>
            </w:pPr>
            <w:r w:rsidRPr="00B373DF">
              <w:rPr>
                <w:sz w:val="22"/>
                <w:szCs w:val="22"/>
              </w:rPr>
              <w:t>Methyl tert-butyl ether</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N/A</w:t>
            </w:r>
          </w:p>
        </w:tc>
        <w:tc>
          <w:tcPr>
            <w:tcW w:w="6794" w:type="dxa"/>
            <w:vAlign w:val="center"/>
          </w:tcPr>
          <w:p w:rsidR="00A97702" w:rsidRPr="00B373DF" w:rsidRDefault="00A97702" w:rsidP="00DA1C9D">
            <w:pPr>
              <w:pStyle w:val="TableText1"/>
              <w:rPr>
                <w:sz w:val="22"/>
                <w:szCs w:val="22"/>
              </w:rPr>
            </w:pPr>
            <w:r w:rsidRPr="00B373DF">
              <w:rPr>
                <w:sz w:val="22"/>
                <w:szCs w:val="22"/>
              </w:rPr>
              <w:t>not applicable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NATA</w:t>
            </w:r>
          </w:p>
        </w:tc>
        <w:tc>
          <w:tcPr>
            <w:tcW w:w="6794" w:type="dxa"/>
            <w:vAlign w:val="center"/>
          </w:tcPr>
          <w:p w:rsidR="00A97702" w:rsidRPr="00B373DF" w:rsidRDefault="00A97702" w:rsidP="00DA1C9D">
            <w:pPr>
              <w:pStyle w:val="TableText1"/>
              <w:rPr>
                <w:sz w:val="22"/>
                <w:szCs w:val="22"/>
              </w:rPr>
            </w:pPr>
            <w:r w:rsidRPr="00B373DF">
              <w:rPr>
                <w:sz w:val="22"/>
                <w:szCs w:val="22"/>
              </w:rPr>
              <w:t>National Association of Testing Authorities</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Ni</w:t>
            </w:r>
          </w:p>
        </w:tc>
        <w:tc>
          <w:tcPr>
            <w:tcW w:w="6794" w:type="dxa"/>
            <w:vAlign w:val="center"/>
          </w:tcPr>
          <w:p w:rsidR="00A97702" w:rsidRPr="00B373DF" w:rsidRDefault="00A97702" w:rsidP="00DA1C9D">
            <w:pPr>
              <w:pStyle w:val="TableText1"/>
              <w:rPr>
                <w:sz w:val="22"/>
                <w:szCs w:val="22"/>
              </w:rPr>
            </w:pPr>
            <w:r w:rsidRPr="00B373DF">
              <w:rPr>
                <w:sz w:val="22"/>
                <w:szCs w:val="22"/>
              </w:rPr>
              <w:t>Nickel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NL</w:t>
            </w:r>
          </w:p>
        </w:tc>
        <w:tc>
          <w:tcPr>
            <w:tcW w:w="6794" w:type="dxa"/>
            <w:vAlign w:val="center"/>
          </w:tcPr>
          <w:p w:rsidR="00A97702" w:rsidRPr="00B373DF" w:rsidRDefault="00A97702" w:rsidP="00DA1C9D">
            <w:pPr>
              <w:pStyle w:val="TableText1"/>
              <w:rPr>
                <w:sz w:val="22"/>
                <w:szCs w:val="22"/>
              </w:rPr>
            </w:pPr>
            <w:r w:rsidRPr="00B373DF">
              <w:rPr>
                <w:sz w:val="22"/>
                <w:szCs w:val="22"/>
              </w:rPr>
              <w:t>not limiting</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OCP</w:t>
            </w:r>
          </w:p>
        </w:tc>
        <w:tc>
          <w:tcPr>
            <w:tcW w:w="6794" w:type="dxa"/>
            <w:vAlign w:val="center"/>
          </w:tcPr>
          <w:p w:rsidR="00A97702" w:rsidRPr="00B373DF" w:rsidRDefault="00A97702" w:rsidP="00DA1C9D">
            <w:pPr>
              <w:pStyle w:val="TableText1"/>
              <w:rPr>
                <w:sz w:val="22"/>
                <w:szCs w:val="22"/>
              </w:rPr>
            </w:pPr>
            <w:r w:rsidRPr="00B373DF">
              <w:rPr>
                <w:sz w:val="22"/>
                <w:szCs w:val="22"/>
              </w:rPr>
              <w:t>organochlorine pesticide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PAH</w:t>
            </w:r>
          </w:p>
        </w:tc>
        <w:tc>
          <w:tcPr>
            <w:tcW w:w="6794" w:type="dxa"/>
            <w:vAlign w:val="center"/>
          </w:tcPr>
          <w:p w:rsidR="00A97702" w:rsidRPr="00B373DF" w:rsidRDefault="00A97702" w:rsidP="00DA1C9D">
            <w:pPr>
              <w:pStyle w:val="TableText1"/>
              <w:rPr>
                <w:sz w:val="22"/>
                <w:szCs w:val="22"/>
              </w:rPr>
            </w:pPr>
            <w:r w:rsidRPr="00B373DF">
              <w:rPr>
                <w:sz w:val="22"/>
                <w:szCs w:val="22"/>
              </w:rPr>
              <w:t>polycyclic aromatic hydrocarbon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Pb</w:t>
            </w:r>
          </w:p>
        </w:tc>
        <w:tc>
          <w:tcPr>
            <w:tcW w:w="6794" w:type="dxa"/>
            <w:vAlign w:val="center"/>
          </w:tcPr>
          <w:p w:rsidR="00A97702" w:rsidRPr="00B373DF" w:rsidRDefault="00A97702" w:rsidP="00DA1C9D">
            <w:pPr>
              <w:pStyle w:val="TableText1"/>
              <w:rPr>
                <w:sz w:val="22"/>
                <w:szCs w:val="22"/>
              </w:rPr>
            </w:pPr>
            <w:r w:rsidRPr="00B373DF">
              <w:rPr>
                <w:sz w:val="22"/>
                <w:szCs w:val="22"/>
              </w:rPr>
              <w:t>Lead</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PCB</w:t>
            </w:r>
          </w:p>
        </w:tc>
        <w:tc>
          <w:tcPr>
            <w:tcW w:w="6794" w:type="dxa"/>
            <w:vAlign w:val="center"/>
          </w:tcPr>
          <w:p w:rsidR="00A97702" w:rsidRPr="00B373DF" w:rsidRDefault="00A97702" w:rsidP="00DA1C9D">
            <w:pPr>
              <w:pStyle w:val="TableText1"/>
              <w:rPr>
                <w:sz w:val="22"/>
                <w:szCs w:val="22"/>
              </w:rPr>
            </w:pPr>
            <w:r w:rsidRPr="00B373DF">
              <w:rPr>
                <w:sz w:val="22"/>
                <w:szCs w:val="22"/>
              </w:rPr>
              <w:t>polychlorinated biphenyl</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PCE</w:t>
            </w:r>
          </w:p>
        </w:tc>
        <w:tc>
          <w:tcPr>
            <w:tcW w:w="6794" w:type="dxa"/>
            <w:vAlign w:val="center"/>
          </w:tcPr>
          <w:p w:rsidR="00A97702" w:rsidRPr="00B373DF" w:rsidRDefault="00A97702" w:rsidP="00DA1C9D">
            <w:pPr>
              <w:pStyle w:val="TableText1"/>
              <w:rPr>
                <w:sz w:val="22"/>
                <w:szCs w:val="22"/>
              </w:rPr>
            </w:pPr>
            <w:r w:rsidRPr="00B373DF">
              <w:rPr>
                <w:sz w:val="22"/>
                <w:szCs w:val="22"/>
              </w:rPr>
              <w:t>perchloroethene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PSI</w:t>
            </w:r>
          </w:p>
        </w:tc>
        <w:tc>
          <w:tcPr>
            <w:tcW w:w="6794" w:type="dxa"/>
            <w:vAlign w:val="center"/>
          </w:tcPr>
          <w:p w:rsidR="00A97702" w:rsidRPr="00B373DF" w:rsidRDefault="00A97702" w:rsidP="00DA1C9D">
            <w:pPr>
              <w:pStyle w:val="TableText1"/>
              <w:rPr>
                <w:sz w:val="22"/>
                <w:szCs w:val="22"/>
              </w:rPr>
            </w:pPr>
            <w:r w:rsidRPr="00B373DF">
              <w:rPr>
                <w:sz w:val="22"/>
                <w:szCs w:val="22"/>
              </w:rPr>
              <w:t>preliminary site investigation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RfD</w:t>
            </w:r>
          </w:p>
        </w:tc>
        <w:tc>
          <w:tcPr>
            <w:tcW w:w="6794" w:type="dxa"/>
            <w:vAlign w:val="center"/>
          </w:tcPr>
          <w:p w:rsidR="00A97702" w:rsidRPr="00B373DF" w:rsidRDefault="00A97702" w:rsidP="00DA1C9D">
            <w:pPr>
              <w:pStyle w:val="TableText1"/>
              <w:rPr>
                <w:sz w:val="22"/>
                <w:szCs w:val="22"/>
              </w:rPr>
            </w:pPr>
            <w:r w:rsidRPr="00B373DF">
              <w:rPr>
                <w:sz w:val="22"/>
                <w:szCs w:val="22"/>
              </w:rPr>
              <w:t>reference dose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SAQP</w:t>
            </w:r>
          </w:p>
        </w:tc>
        <w:tc>
          <w:tcPr>
            <w:tcW w:w="6794" w:type="dxa"/>
            <w:vAlign w:val="center"/>
          </w:tcPr>
          <w:p w:rsidR="00A97702" w:rsidRPr="00B373DF" w:rsidRDefault="00A97702" w:rsidP="00DA1C9D">
            <w:pPr>
              <w:pStyle w:val="TableText1"/>
              <w:rPr>
                <w:sz w:val="22"/>
                <w:szCs w:val="22"/>
              </w:rPr>
            </w:pPr>
            <w:r w:rsidRPr="00B373DF">
              <w:rPr>
                <w:sz w:val="22"/>
                <w:szCs w:val="22"/>
              </w:rPr>
              <w:t>Sampling and Analysis Quality Plan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SD</w:t>
            </w:r>
          </w:p>
        </w:tc>
        <w:tc>
          <w:tcPr>
            <w:tcW w:w="6794" w:type="dxa"/>
            <w:vAlign w:val="center"/>
          </w:tcPr>
          <w:p w:rsidR="00A97702" w:rsidRPr="00B373DF" w:rsidRDefault="00A97702" w:rsidP="00DA1C9D">
            <w:pPr>
              <w:pStyle w:val="TableText1"/>
              <w:rPr>
                <w:sz w:val="22"/>
                <w:szCs w:val="22"/>
              </w:rPr>
            </w:pPr>
            <w:r w:rsidRPr="00B373DF">
              <w:rPr>
                <w:sz w:val="22"/>
                <w:szCs w:val="22"/>
              </w:rPr>
              <w:t>standard deviation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SSD</w:t>
            </w:r>
          </w:p>
        </w:tc>
        <w:tc>
          <w:tcPr>
            <w:tcW w:w="6794" w:type="dxa"/>
            <w:vAlign w:val="center"/>
          </w:tcPr>
          <w:p w:rsidR="00A97702" w:rsidRPr="00B373DF" w:rsidRDefault="00A97702" w:rsidP="00DA1C9D">
            <w:pPr>
              <w:pStyle w:val="TableText1"/>
              <w:rPr>
                <w:sz w:val="22"/>
                <w:szCs w:val="22"/>
              </w:rPr>
            </w:pPr>
            <w:r w:rsidRPr="00B373DF">
              <w:rPr>
                <w:sz w:val="22"/>
                <w:szCs w:val="22"/>
              </w:rPr>
              <w:t>species sensitivity distribution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TCE</w:t>
            </w:r>
          </w:p>
        </w:tc>
        <w:tc>
          <w:tcPr>
            <w:tcW w:w="6794" w:type="dxa"/>
            <w:vAlign w:val="center"/>
          </w:tcPr>
          <w:p w:rsidR="00A97702" w:rsidRPr="00B373DF" w:rsidRDefault="00A97702" w:rsidP="00DA1C9D">
            <w:pPr>
              <w:pStyle w:val="TableText1"/>
              <w:rPr>
                <w:sz w:val="22"/>
                <w:szCs w:val="22"/>
              </w:rPr>
            </w:pPr>
            <w:r w:rsidRPr="00B373DF">
              <w:rPr>
                <w:sz w:val="22"/>
                <w:szCs w:val="22"/>
              </w:rPr>
              <w:t>tetrachlorethene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TDI</w:t>
            </w:r>
          </w:p>
        </w:tc>
        <w:tc>
          <w:tcPr>
            <w:tcW w:w="6794" w:type="dxa"/>
            <w:vAlign w:val="center"/>
          </w:tcPr>
          <w:p w:rsidR="00A97702" w:rsidRPr="00B373DF" w:rsidRDefault="00A97702" w:rsidP="00DA1C9D">
            <w:pPr>
              <w:pStyle w:val="TableText1"/>
              <w:rPr>
                <w:sz w:val="22"/>
                <w:szCs w:val="22"/>
              </w:rPr>
            </w:pPr>
            <w:r w:rsidRPr="00B373DF">
              <w:rPr>
                <w:sz w:val="22"/>
                <w:szCs w:val="22"/>
              </w:rPr>
              <w:t>tolerable daily intake</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TDS</w:t>
            </w:r>
          </w:p>
        </w:tc>
        <w:tc>
          <w:tcPr>
            <w:tcW w:w="6794" w:type="dxa"/>
            <w:vAlign w:val="center"/>
          </w:tcPr>
          <w:p w:rsidR="00A97702" w:rsidRPr="00B373DF" w:rsidRDefault="00A97702" w:rsidP="00DA1C9D">
            <w:pPr>
              <w:pStyle w:val="TableText1"/>
              <w:rPr>
                <w:sz w:val="22"/>
                <w:szCs w:val="22"/>
              </w:rPr>
            </w:pPr>
            <w:r w:rsidRPr="00B373DF">
              <w:rPr>
                <w:sz w:val="22"/>
                <w:szCs w:val="22"/>
              </w:rPr>
              <w:t>total dissolved solids</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TEF</w:t>
            </w:r>
          </w:p>
        </w:tc>
        <w:tc>
          <w:tcPr>
            <w:tcW w:w="6794" w:type="dxa"/>
            <w:vAlign w:val="center"/>
          </w:tcPr>
          <w:p w:rsidR="00A97702" w:rsidRPr="00B373DF" w:rsidRDefault="00A97702" w:rsidP="00DA1C9D">
            <w:pPr>
              <w:pStyle w:val="TableText1"/>
              <w:rPr>
                <w:sz w:val="22"/>
                <w:szCs w:val="22"/>
              </w:rPr>
            </w:pPr>
            <w:r w:rsidRPr="00B373DF">
              <w:rPr>
                <w:sz w:val="22"/>
                <w:szCs w:val="22"/>
              </w:rPr>
              <w:t>toxicity equivalence factor</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TEQ</w:t>
            </w:r>
          </w:p>
        </w:tc>
        <w:tc>
          <w:tcPr>
            <w:tcW w:w="6794" w:type="dxa"/>
            <w:vAlign w:val="center"/>
          </w:tcPr>
          <w:p w:rsidR="00A97702" w:rsidRPr="00B373DF" w:rsidRDefault="00A97702" w:rsidP="00DA1C9D">
            <w:pPr>
              <w:pStyle w:val="TableText1"/>
              <w:rPr>
                <w:sz w:val="22"/>
                <w:szCs w:val="22"/>
              </w:rPr>
            </w:pPr>
            <w:r w:rsidRPr="00B373DF">
              <w:rPr>
                <w:sz w:val="22"/>
                <w:szCs w:val="22"/>
              </w:rPr>
              <w:t>toxicity equivalent quotient</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TPH</w:t>
            </w:r>
          </w:p>
        </w:tc>
        <w:tc>
          <w:tcPr>
            <w:tcW w:w="6794" w:type="dxa"/>
            <w:vAlign w:val="center"/>
          </w:tcPr>
          <w:p w:rsidR="00A97702" w:rsidRPr="00B373DF" w:rsidRDefault="00A97702" w:rsidP="00DA1C9D">
            <w:pPr>
              <w:pStyle w:val="TableText1"/>
              <w:rPr>
                <w:sz w:val="22"/>
                <w:szCs w:val="22"/>
              </w:rPr>
            </w:pPr>
            <w:r w:rsidRPr="00B373DF">
              <w:rPr>
                <w:sz w:val="22"/>
                <w:szCs w:val="22"/>
              </w:rPr>
              <w:t>total petroleum hydrocarbons</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TRH</w:t>
            </w:r>
          </w:p>
        </w:tc>
        <w:tc>
          <w:tcPr>
            <w:tcW w:w="6794" w:type="dxa"/>
            <w:vAlign w:val="center"/>
          </w:tcPr>
          <w:p w:rsidR="00A97702" w:rsidRPr="00B373DF" w:rsidRDefault="00A97702" w:rsidP="00DA1C9D">
            <w:pPr>
              <w:pStyle w:val="TableText1"/>
              <w:rPr>
                <w:sz w:val="22"/>
                <w:szCs w:val="22"/>
              </w:rPr>
            </w:pPr>
            <w:r w:rsidRPr="00B373DF">
              <w:rPr>
                <w:sz w:val="22"/>
                <w:szCs w:val="22"/>
              </w:rPr>
              <w:t>total recoverable hydrocarbons</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UCL</w:t>
            </w:r>
          </w:p>
        </w:tc>
        <w:tc>
          <w:tcPr>
            <w:tcW w:w="6794" w:type="dxa"/>
            <w:vAlign w:val="center"/>
          </w:tcPr>
          <w:p w:rsidR="00A97702" w:rsidRPr="00B373DF" w:rsidRDefault="00A97702" w:rsidP="00DA1C9D">
            <w:pPr>
              <w:pStyle w:val="TableText1"/>
              <w:rPr>
                <w:rFonts w:cs="Arial"/>
                <w:sz w:val="22"/>
                <w:szCs w:val="22"/>
              </w:rPr>
            </w:pPr>
            <w:r w:rsidRPr="00B373DF">
              <w:rPr>
                <w:rFonts w:cs="Arial"/>
                <w:sz w:val="22"/>
                <w:szCs w:val="22"/>
              </w:rPr>
              <w:t>upper confidence limit</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US EPA</w:t>
            </w:r>
          </w:p>
        </w:tc>
        <w:tc>
          <w:tcPr>
            <w:tcW w:w="6794" w:type="dxa"/>
            <w:vAlign w:val="center"/>
          </w:tcPr>
          <w:p w:rsidR="00A97702" w:rsidRPr="00B373DF" w:rsidRDefault="00A97702" w:rsidP="00DA1C9D">
            <w:pPr>
              <w:pStyle w:val="TableText1"/>
              <w:rPr>
                <w:sz w:val="22"/>
                <w:szCs w:val="22"/>
              </w:rPr>
            </w:pPr>
            <w:r w:rsidRPr="00B373DF">
              <w:rPr>
                <w:rFonts w:cs="Arial"/>
                <w:sz w:val="22"/>
                <w:szCs w:val="22"/>
              </w:rPr>
              <w:t>United States Environmental Protection Agency</w:t>
            </w:r>
            <w:r w:rsidRPr="00B373DF">
              <w:rPr>
                <w:sz w:val="22"/>
                <w:szCs w:val="22"/>
              </w:rPr>
              <w:t xml:space="preserve"> </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VOCC</w:t>
            </w:r>
          </w:p>
        </w:tc>
        <w:tc>
          <w:tcPr>
            <w:tcW w:w="6794" w:type="dxa"/>
            <w:vAlign w:val="center"/>
          </w:tcPr>
          <w:p w:rsidR="00A97702" w:rsidRPr="00B373DF" w:rsidRDefault="00A97702" w:rsidP="00DA1C9D">
            <w:pPr>
              <w:pStyle w:val="TableText1"/>
              <w:rPr>
                <w:sz w:val="22"/>
                <w:szCs w:val="22"/>
              </w:rPr>
            </w:pPr>
            <w:r w:rsidRPr="00B373DF">
              <w:rPr>
                <w:sz w:val="22"/>
                <w:szCs w:val="22"/>
              </w:rPr>
              <w:t>volatile organic chlorinated compound</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WA DoH</w:t>
            </w:r>
          </w:p>
        </w:tc>
        <w:tc>
          <w:tcPr>
            <w:tcW w:w="6794" w:type="dxa"/>
            <w:vAlign w:val="center"/>
          </w:tcPr>
          <w:p w:rsidR="00A97702" w:rsidRPr="00B373DF" w:rsidRDefault="00A97702" w:rsidP="00DA1C9D">
            <w:pPr>
              <w:pStyle w:val="TableText1"/>
              <w:rPr>
                <w:sz w:val="22"/>
                <w:szCs w:val="22"/>
              </w:rPr>
            </w:pPr>
            <w:r w:rsidRPr="00B373DF">
              <w:rPr>
                <w:sz w:val="22"/>
                <w:szCs w:val="22"/>
              </w:rPr>
              <w:t>Western Australian Department of Health</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WHO</w:t>
            </w:r>
          </w:p>
        </w:tc>
        <w:tc>
          <w:tcPr>
            <w:tcW w:w="6794" w:type="dxa"/>
            <w:vAlign w:val="center"/>
          </w:tcPr>
          <w:p w:rsidR="00A97702" w:rsidRPr="00B373DF" w:rsidRDefault="00A97702" w:rsidP="00DA1C9D">
            <w:pPr>
              <w:pStyle w:val="TableText1"/>
              <w:rPr>
                <w:sz w:val="22"/>
                <w:szCs w:val="22"/>
              </w:rPr>
            </w:pPr>
            <w:r w:rsidRPr="00B373DF">
              <w:rPr>
                <w:sz w:val="22"/>
                <w:szCs w:val="22"/>
              </w:rPr>
              <w:t>World Health Organization</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WHS</w:t>
            </w:r>
          </w:p>
        </w:tc>
        <w:tc>
          <w:tcPr>
            <w:tcW w:w="6794" w:type="dxa"/>
            <w:vAlign w:val="center"/>
          </w:tcPr>
          <w:p w:rsidR="00A97702" w:rsidRPr="00B373DF" w:rsidRDefault="00A97702" w:rsidP="00DA1C9D">
            <w:pPr>
              <w:pStyle w:val="TableText1"/>
              <w:rPr>
                <w:sz w:val="22"/>
                <w:szCs w:val="22"/>
              </w:rPr>
            </w:pPr>
            <w:r>
              <w:rPr>
                <w:sz w:val="22"/>
                <w:szCs w:val="22"/>
              </w:rPr>
              <w:t>w</w:t>
            </w:r>
            <w:r w:rsidRPr="00B373DF">
              <w:rPr>
                <w:sz w:val="22"/>
                <w:szCs w:val="22"/>
              </w:rPr>
              <w:t>ork health and safety</w:t>
            </w:r>
          </w:p>
        </w:tc>
      </w:tr>
      <w:tr w:rsidR="00A97702" w:rsidRPr="00B373DF" w:rsidTr="00C80CB2">
        <w:trPr>
          <w:trHeight w:val="284"/>
          <w:jc w:val="center"/>
        </w:trPr>
        <w:tc>
          <w:tcPr>
            <w:tcW w:w="1735" w:type="dxa"/>
            <w:vAlign w:val="center"/>
          </w:tcPr>
          <w:p w:rsidR="00A97702" w:rsidRPr="00B373DF" w:rsidRDefault="00A97702" w:rsidP="00DA1C9D">
            <w:pPr>
              <w:pStyle w:val="TableTextBold"/>
              <w:rPr>
                <w:b/>
                <w:sz w:val="22"/>
                <w:szCs w:val="22"/>
              </w:rPr>
            </w:pPr>
            <w:r w:rsidRPr="00B373DF">
              <w:rPr>
                <w:b/>
                <w:sz w:val="22"/>
                <w:szCs w:val="22"/>
              </w:rPr>
              <w:t>Zn</w:t>
            </w:r>
          </w:p>
        </w:tc>
        <w:tc>
          <w:tcPr>
            <w:tcW w:w="6794" w:type="dxa"/>
            <w:vAlign w:val="center"/>
          </w:tcPr>
          <w:p w:rsidR="00A97702" w:rsidRPr="00B373DF" w:rsidRDefault="00A97702" w:rsidP="00DA1C9D">
            <w:pPr>
              <w:pStyle w:val="TableText1"/>
              <w:rPr>
                <w:sz w:val="22"/>
                <w:szCs w:val="22"/>
              </w:rPr>
            </w:pPr>
            <w:r w:rsidRPr="00B373DF">
              <w:rPr>
                <w:sz w:val="22"/>
                <w:szCs w:val="22"/>
              </w:rPr>
              <w:t>Zinc</w:t>
            </w:r>
          </w:p>
        </w:tc>
      </w:tr>
    </w:tbl>
    <w:p w:rsidR="00701637" w:rsidRDefault="00701637" w:rsidP="00C80CB2">
      <w:pPr>
        <w:sectPr w:rsidR="00701637" w:rsidSect="00C80CB2">
          <w:type w:val="continuous"/>
          <w:pgSz w:w="11907" w:h="16840" w:code="9"/>
          <w:pgMar w:top="1418" w:right="1134" w:bottom="1134" w:left="1701" w:header="567" w:footer="567" w:gutter="0"/>
          <w:pgNumType w:chapSep="period"/>
          <w:cols w:space="720"/>
        </w:sectPr>
      </w:pPr>
    </w:p>
    <w:p w:rsidR="00A6121F" w:rsidRDefault="00A6121F" w:rsidP="00701637"/>
    <w:sectPr w:rsidR="00A6121F" w:rsidSect="00701637">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1418" w:right="1134" w:bottom="1134" w:left="1701" w:header="567" w:footer="56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38" w:rsidRDefault="00590138" w:rsidP="00664C63">
      <w:pPr>
        <w:spacing w:line="240" w:lineRule="auto"/>
      </w:pPr>
      <w:r>
        <w:separator/>
      </w:r>
    </w:p>
  </w:endnote>
  <w:endnote w:type="continuationSeparator" w:id="0">
    <w:p w:rsidR="00590138" w:rsidRDefault="00590138"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embedRegular r:id="rId1" w:fontKey="{E5EB9B14-4B0A-4010-82A0-7DD5FCC28B0A}"/>
    <w:embedBold r:id="rId2" w:fontKey="{A3A68B01-2D0F-409E-B2ED-1504FD4F8575}"/>
    <w:embedItalic r:id="rId3" w:fontKey="{06CF39A3-42D7-4784-B7D3-ECB95E9E84DE}"/>
    <w:embedBoldItalic r:id="rId4" w:fontKey="{62523E6A-CF13-444E-9BC2-4A5F09081898}"/>
  </w:font>
  <w:font w:name="Calibri">
    <w:panose1 w:val="020F0502020204030204"/>
    <w:charset w:val="00"/>
    <w:family w:val="swiss"/>
    <w:pitch w:val="variable"/>
    <w:sig w:usb0="E10002FF" w:usb1="4000ACFF" w:usb2="00000009" w:usb3="00000000" w:csb0="0000019F" w:csb1="00000000"/>
    <w:embedRegular r:id="rId5" w:subsetted="1" w:fontKey="{D46500EF-C37E-457B-96CD-9C721E940787}"/>
    <w:embedBold r:id="rId6" w:subsetted="1" w:fontKey="{6D63E671-5F51-436A-9BEF-75D383670F42}"/>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embedBold r:id="rId7" w:subsetted="1" w:fontKey="{56FC622A-4901-41FA-A61C-9190C3E80C84}"/>
  </w:font>
  <w:font w:name="Kozuka Mincho Pro B">
    <w:panose1 w:val="00000000000000000000"/>
    <w:charset w:val="80"/>
    <w:family w:val="roman"/>
    <w:notTrueType/>
    <w:pitch w:val="variable"/>
    <w:sig w:usb0="00000283" w:usb1="2AC71C11" w:usb2="00000012" w:usb3="00000000" w:csb0="00020005" w:csb1="00000000"/>
  </w:font>
  <w:font w:name="Wingdings 2">
    <w:panose1 w:val="05020102010507070707"/>
    <w:charset w:val="02"/>
    <w:family w:val="roman"/>
    <w:pitch w:val="variable"/>
    <w:sig w:usb0="00000000" w:usb1="10000000" w:usb2="00000000" w:usb3="00000000" w:csb0="80000000" w:csb1="00000000"/>
    <w:embedRegular r:id="rId8" w:fontKey="{7C654550-7E03-41D7-AC68-B45CE028CFC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Default="00590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81</w:t>
    </w:r>
    <w:r>
      <w:rPr>
        <w:rStyle w:val="PageNumber"/>
      </w:rPr>
      <w:fldChar w:fldCharType="end"/>
    </w:r>
  </w:p>
  <w:p w:rsidR="00590138" w:rsidRDefault="005901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16" w:rsidRPr="004A5616" w:rsidRDefault="004A5616" w:rsidP="004A5616">
    <w:pPr>
      <w:pStyle w:val="Footer"/>
      <w:rPr>
        <w:rFonts w:ascii="Arial" w:hAnsi="Arial" w:cs="Arial"/>
        <w:sz w:val="14"/>
      </w:rPr>
    </w:pPr>
    <w:r>
      <w:rPr>
        <w:rFonts w:ascii="Arial" w:hAnsi="Arial" w:cs="Arial"/>
        <w:sz w:val="14"/>
      </w:rPr>
      <w:t>OPC50357</w:t>
    </w:r>
    <w:r w:rsidRPr="004A5616">
      <w:rPr>
        <w:rFonts w:ascii="Arial" w:hAnsi="Arial" w:cs="Arial"/>
        <w:sz w:val="14"/>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16" w:rsidRPr="004A5616" w:rsidRDefault="004A5616" w:rsidP="004A5616">
    <w:pPr>
      <w:pStyle w:val="text"/>
      <w:jc w:val="left"/>
      <w:rPr>
        <w:rFonts w:ascii="Arial" w:hAnsi="Arial" w:cs="Arial"/>
        <w:sz w:val="14"/>
      </w:rPr>
    </w:pPr>
    <w:r>
      <w:rPr>
        <w:rFonts w:ascii="Arial" w:hAnsi="Arial" w:cs="Arial"/>
        <w:sz w:val="14"/>
      </w:rPr>
      <w:t>OPC50357</w:t>
    </w:r>
    <w:r w:rsidRPr="004A5616">
      <w:rPr>
        <w:rFonts w:ascii="Arial" w:hAnsi="Arial" w:cs="Arial"/>
        <w:sz w:val="14"/>
      </w:rPr>
      <w:t xml:space="preserve">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Pr="004A5616" w:rsidRDefault="004A5616" w:rsidP="004A5616">
    <w:pPr>
      <w:pStyle w:val="text"/>
      <w:jc w:val="left"/>
      <w:rPr>
        <w:rFonts w:ascii="Arial" w:hAnsi="Arial" w:cs="Arial"/>
        <w:sz w:val="14"/>
      </w:rPr>
    </w:pPr>
    <w:r>
      <w:rPr>
        <w:rFonts w:ascii="Arial" w:hAnsi="Arial" w:cs="Arial"/>
        <w:sz w:val="14"/>
      </w:rPr>
      <w:t>OPC50357</w:t>
    </w:r>
    <w:r w:rsidRPr="004A5616">
      <w:rPr>
        <w:rFonts w:ascii="Arial" w:hAnsi="Arial" w:cs="Arial"/>
        <w:sz w:val="14"/>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Pr="004A5616" w:rsidRDefault="00590138" w:rsidP="00DA1C9D">
    <w:pPr>
      <w:pStyle w:val="Footer"/>
      <w:framePr w:wrap="around" w:vAnchor="text" w:hAnchor="margin" w:xAlign="right" w:y="1"/>
      <w:rPr>
        <w:rStyle w:val="PageNumber"/>
        <w:rFonts w:ascii="Arial" w:hAnsi="Arial" w:cs="Arial"/>
        <w:sz w:val="14"/>
      </w:rPr>
    </w:pPr>
    <w:r w:rsidRPr="004A5616">
      <w:rPr>
        <w:rStyle w:val="PageNumber"/>
        <w:rFonts w:ascii="Arial" w:hAnsi="Arial" w:cs="Arial"/>
        <w:sz w:val="14"/>
      </w:rPr>
      <w:fldChar w:fldCharType="begin"/>
    </w:r>
    <w:r w:rsidRPr="004A5616">
      <w:rPr>
        <w:rStyle w:val="PageNumber"/>
        <w:rFonts w:ascii="Arial" w:hAnsi="Arial" w:cs="Arial"/>
        <w:sz w:val="14"/>
      </w:rPr>
      <w:instrText xml:space="preserve">PAGE  </w:instrText>
    </w:r>
    <w:r w:rsidRPr="004A5616">
      <w:rPr>
        <w:rStyle w:val="PageNumber"/>
        <w:rFonts w:ascii="Arial" w:hAnsi="Arial" w:cs="Arial"/>
        <w:sz w:val="14"/>
      </w:rPr>
      <w:fldChar w:fldCharType="separate"/>
    </w:r>
    <w:r w:rsidR="005838D8">
      <w:rPr>
        <w:rStyle w:val="PageNumber"/>
        <w:rFonts w:ascii="Arial" w:hAnsi="Arial" w:cs="Arial"/>
        <w:noProof/>
        <w:sz w:val="14"/>
      </w:rPr>
      <w:t>82</w:t>
    </w:r>
    <w:r w:rsidRPr="004A5616">
      <w:rPr>
        <w:rStyle w:val="PageNumber"/>
        <w:rFonts w:ascii="Arial" w:hAnsi="Arial" w:cs="Arial"/>
        <w:sz w:val="14"/>
      </w:rPr>
      <w:fldChar w:fldCharType="end"/>
    </w:r>
  </w:p>
  <w:p w:rsidR="004A5616" w:rsidRDefault="00590138" w:rsidP="004A5616">
    <w:pPr>
      <w:pBdr>
        <w:top w:val="single" w:sz="4" w:space="5" w:color="auto"/>
      </w:pBdr>
      <w:ind w:right="27"/>
      <w:rPr>
        <w:rFonts w:ascii="Arial" w:hAnsi="Arial" w:cs="Arial"/>
        <w:sz w:val="14"/>
      </w:rPr>
    </w:pPr>
    <w:r w:rsidRPr="004A5616">
      <w:rPr>
        <w:rFonts w:ascii="Arial" w:hAnsi="Arial" w:cs="Arial"/>
        <w:sz w:val="14"/>
      </w:rPr>
      <w:t>Schedule</w:t>
    </w:r>
    <w:smartTag w:uri="urn:schemas-microsoft-com:office:smarttags" w:element="PersonName">
      <w:r w:rsidRPr="004A5616">
        <w:rPr>
          <w:rFonts w:ascii="Arial" w:hAnsi="Arial" w:cs="Arial"/>
          <w:sz w:val="14"/>
        </w:rPr>
        <w:t xml:space="preserve"> </w:t>
      </w:r>
    </w:smartTag>
    <w:r w:rsidRPr="004A5616">
      <w:rPr>
        <w:rFonts w:ascii="Arial" w:hAnsi="Arial" w:cs="Arial"/>
        <w:sz w:val="14"/>
      </w:rPr>
      <w:t>B 1 -</w:t>
    </w:r>
    <w:smartTag w:uri="urn:schemas-microsoft-com:office:smarttags" w:element="PersonName">
      <w:r w:rsidRPr="004A5616">
        <w:rPr>
          <w:rFonts w:ascii="Arial" w:hAnsi="Arial" w:cs="Arial"/>
          <w:sz w:val="14"/>
        </w:rPr>
        <w:t xml:space="preserve"> </w:t>
      </w:r>
    </w:smartTag>
    <w:r w:rsidRPr="004A5616">
      <w:rPr>
        <w:rFonts w:ascii="Arial" w:hAnsi="Arial" w:cs="Arial"/>
        <w:sz w:val="14"/>
      </w:rPr>
      <w:t>Guideline</w:t>
    </w:r>
    <w:smartTag w:uri="urn:schemas-microsoft-com:office:smarttags" w:element="PersonName">
      <w:r w:rsidRPr="004A5616">
        <w:rPr>
          <w:rFonts w:ascii="Arial" w:hAnsi="Arial" w:cs="Arial"/>
          <w:sz w:val="14"/>
        </w:rPr>
        <w:t xml:space="preserve"> </w:t>
      </w:r>
    </w:smartTag>
    <w:r w:rsidRPr="004A5616">
      <w:rPr>
        <w:rFonts w:ascii="Arial" w:hAnsi="Arial" w:cs="Arial"/>
        <w:sz w:val="14"/>
      </w:rPr>
      <w:t>on</w:t>
    </w:r>
    <w:smartTag w:uri="urn:schemas-microsoft-com:office:smarttags" w:element="PersonName">
      <w:r w:rsidRPr="004A5616">
        <w:rPr>
          <w:rFonts w:ascii="Arial" w:hAnsi="Arial" w:cs="Arial"/>
          <w:sz w:val="14"/>
        </w:rPr>
        <w:t xml:space="preserve"> </w:t>
      </w:r>
    </w:smartTag>
    <w:r w:rsidRPr="004A5616">
      <w:rPr>
        <w:rFonts w:ascii="Arial" w:hAnsi="Arial" w:cs="Arial"/>
        <w:sz w:val="14"/>
      </w:rPr>
      <w:t>Investigation</w:t>
    </w:r>
    <w:smartTag w:uri="urn:schemas-microsoft-com:office:smarttags" w:element="PersonName">
      <w:r w:rsidRPr="004A5616">
        <w:rPr>
          <w:rFonts w:ascii="Arial" w:hAnsi="Arial" w:cs="Arial"/>
          <w:sz w:val="14"/>
        </w:rPr>
        <w:t xml:space="preserve"> </w:t>
      </w:r>
    </w:smartTag>
    <w:r w:rsidRPr="004A5616">
      <w:rPr>
        <w:rFonts w:ascii="Arial" w:hAnsi="Arial" w:cs="Arial"/>
        <w:sz w:val="14"/>
      </w:rPr>
      <w:t>Levels</w:t>
    </w:r>
    <w:smartTag w:uri="urn:schemas-microsoft-com:office:smarttags" w:element="PersonName">
      <w:r w:rsidRPr="004A5616">
        <w:rPr>
          <w:rFonts w:ascii="Arial" w:hAnsi="Arial" w:cs="Arial"/>
          <w:sz w:val="14"/>
        </w:rPr>
        <w:t xml:space="preserve"> </w:t>
      </w:r>
    </w:smartTag>
    <w:r w:rsidRPr="004A5616">
      <w:rPr>
        <w:rFonts w:ascii="Arial" w:hAnsi="Arial" w:cs="Arial"/>
        <w:sz w:val="14"/>
      </w:rPr>
      <w:t>for</w:t>
    </w:r>
    <w:smartTag w:uri="urn:schemas-microsoft-com:office:smarttags" w:element="PersonName">
      <w:r w:rsidRPr="004A5616">
        <w:rPr>
          <w:rFonts w:ascii="Arial" w:hAnsi="Arial" w:cs="Arial"/>
          <w:sz w:val="14"/>
        </w:rPr>
        <w:t xml:space="preserve"> </w:t>
      </w:r>
    </w:smartTag>
    <w:r w:rsidRPr="004A5616">
      <w:rPr>
        <w:rFonts w:ascii="Arial" w:hAnsi="Arial" w:cs="Arial"/>
        <w:sz w:val="14"/>
      </w:rPr>
      <w:t>Soil</w:t>
    </w:r>
    <w:smartTag w:uri="urn:schemas-microsoft-com:office:smarttags" w:element="PersonName">
      <w:r w:rsidRPr="004A5616">
        <w:rPr>
          <w:rFonts w:ascii="Arial" w:hAnsi="Arial" w:cs="Arial"/>
          <w:sz w:val="14"/>
        </w:rPr>
        <w:t xml:space="preserve"> </w:t>
      </w:r>
    </w:smartTag>
    <w:r w:rsidRPr="004A5616">
      <w:rPr>
        <w:rFonts w:ascii="Arial" w:hAnsi="Arial" w:cs="Arial"/>
        <w:sz w:val="14"/>
      </w:rPr>
      <w:t>and</w:t>
    </w:r>
    <w:smartTag w:uri="urn:schemas-microsoft-com:office:smarttags" w:element="PersonName">
      <w:r w:rsidRPr="004A5616">
        <w:rPr>
          <w:rFonts w:ascii="Arial" w:hAnsi="Arial" w:cs="Arial"/>
          <w:sz w:val="14"/>
        </w:rPr>
        <w:t xml:space="preserve"> </w:t>
      </w:r>
    </w:smartTag>
    <w:r w:rsidRPr="004A5616">
      <w:rPr>
        <w:rFonts w:ascii="Arial" w:hAnsi="Arial" w:cs="Arial"/>
        <w:sz w:val="14"/>
      </w:rPr>
      <w:t>Groundwater</w:t>
    </w:r>
  </w:p>
  <w:p w:rsidR="00590138" w:rsidRPr="004A5616" w:rsidRDefault="004A5616" w:rsidP="004A5616">
    <w:pPr>
      <w:pBdr>
        <w:top w:val="single" w:sz="4" w:space="5" w:color="auto"/>
      </w:pBdr>
      <w:ind w:right="27"/>
      <w:rPr>
        <w:rFonts w:ascii="Arial" w:hAnsi="Arial" w:cs="Arial"/>
        <w:sz w:val="14"/>
      </w:rPr>
    </w:pPr>
    <w:r w:rsidRPr="004A5616">
      <w:rPr>
        <w:rFonts w:ascii="Arial" w:hAnsi="Arial" w:cs="Arial"/>
        <w:sz w:val="14"/>
      </w:rPr>
      <w:t>OPC50357 -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Pr="00BB4623" w:rsidRDefault="00590138" w:rsidP="00FA3991">
    <w:pPr>
      <w:pBdr>
        <w:top w:val="single" w:sz="6" w:space="1" w:color="auto"/>
      </w:pBdr>
      <w:spacing w:before="120"/>
      <w:jc w:val="right"/>
      <w:rPr>
        <w:sz w:val="18"/>
      </w:rPr>
    </w:pPr>
  </w:p>
  <w:p w:rsidR="00590138" w:rsidRPr="00BB4623" w:rsidRDefault="00590138"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81</w:t>
    </w:r>
    <w:r w:rsidRPr="00BB4623">
      <w:rPr>
        <w:i/>
        <w:sz w:val="18"/>
      </w:rPr>
      <w:fldChar w:fldCharType="end"/>
    </w:r>
  </w:p>
  <w:p w:rsidR="00590138" w:rsidRPr="00BB4623" w:rsidRDefault="00590138" w:rsidP="00664C63">
    <w:pPr>
      <w:jc w:val="right"/>
      <w:rPr>
        <w:i/>
        <w:sz w:val="18"/>
      </w:rPr>
    </w:pPr>
    <w:r w:rsidRPr="00BB4623">
      <w:rPr>
        <w:i/>
        <w:sz w:val="18"/>
      </w:rPr>
      <w:fldChar w:fldCharType="begin"/>
    </w:r>
    <w:r w:rsidRPr="00BB4623">
      <w:rPr>
        <w:i/>
        <w:sz w:val="18"/>
      </w:rPr>
      <w:instrText xml:space="preserve"> FILENAME \p </w:instrText>
    </w:r>
    <w:r w:rsidRPr="00BB4623">
      <w:rPr>
        <w:i/>
        <w:sz w:val="18"/>
      </w:rPr>
      <w:fldChar w:fldCharType="separate"/>
    </w:r>
    <w:r w:rsidR="005838D8">
      <w:rPr>
        <w:i/>
        <w:noProof/>
        <w:sz w:val="18"/>
      </w:rPr>
      <w:t>Q:\Word\INSTRUMENTS\I13KE118.DOCX</w:t>
    </w:r>
    <w:r w:rsidRPr="00BB4623">
      <w:rPr>
        <w:i/>
        <w:sz w:val="18"/>
      </w:rPr>
      <w:fldChar w:fldCharType="end"/>
    </w:r>
    <w:r w:rsidRPr="00BB4623">
      <w:rPr>
        <w:i/>
        <w:sz w:val="18"/>
      </w:rPr>
      <w:t xml:space="preserve">  </w:t>
    </w:r>
    <w:r w:rsidRPr="00BB4623">
      <w:rPr>
        <w:i/>
        <w:sz w:val="18"/>
      </w:rPr>
      <w:fldChar w:fldCharType="begin"/>
    </w:r>
    <w:r w:rsidRPr="00BB4623">
      <w:rPr>
        <w:i/>
        <w:sz w:val="18"/>
      </w:rPr>
      <w:instrText xml:space="preserve"> TIME \@ "d/M/yyyy h:mm AM/PM" </w:instrText>
    </w:r>
    <w:r w:rsidRPr="00BB4623">
      <w:rPr>
        <w:i/>
        <w:sz w:val="18"/>
      </w:rPr>
      <w:fldChar w:fldCharType="separate"/>
    </w:r>
    <w:r w:rsidR="005838D8">
      <w:rPr>
        <w:i/>
        <w:noProof/>
        <w:sz w:val="18"/>
      </w:rPr>
      <w:t>22/3/2013 12:20 PM</w:t>
    </w:r>
    <w:r w:rsidRPr="00BB4623">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Pr="004A5616" w:rsidRDefault="00590138" w:rsidP="00A6121F">
    <w:pPr>
      <w:pBdr>
        <w:top w:val="single" w:sz="6" w:space="1" w:color="auto"/>
      </w:pBdr>
      <w:spacing w:line="0" w:lineRule="atLeast"/>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590138" w:rsidRPr="004A5616" w:rsidTr="006C5791">
      <w:tc>
        <w:tcPr>
          <w:tcW w:w="8472" w:type="dxa"/>
        </w:tcPr>
        <w:p w:rsidR="00590138" w:rsidRPr="004A5616" w:rsidRDefault="00590138" w:rsidP="00A6121F">
          <w:pPr>
            <w:spacing w:line="0" w:lineRule="atLeast"/>
            <w:jc w:val="right"/>
            <w:rPr>
              <w:rFonts w:ascii="Arial" w:hAnsi="Arial" w:cs="Arial"/>
              <w:i/>
              <w:sz w:val="14"/>
            </w:rPr>
          </w:pPr>
          <w:r w:rsidRPr="004A5616">
            <w:rPr>
              <w:rFonts w:ascii="Arial" w:hAnsi="Arial" w:cs="Arial"/>
              <w:i/>
              <w:sz w:val="14"/>
            </w:rPr>
            <w:fldChar w:fldCharType="begin"/>
          </w:r>
          <w:r w:rsidRPr="004A5616">
            <w:rPr>
              <w:rFonts w:ascii="Arial" w:hAnsi="Arial" w:cs="Arial"/>
              <w:i/>
              <w:sz w:val="14"/>
            </w:rPr>
            <w:instrText xml:space="preserve"> PAGE </w:instrText>
          </w:r>
          <w:r w:rsidRPr="004A5616">
            <w:rPr>
              <w:rFonts w:ascii="Arial" w:hAnsi="Arial" w:cs="Arial"/>
              <w:i/>
              <w:sz w:val="14"/>
            </w:rPr>
            <w:fldChar w:fldCharType="separate"/>
          </w:r>
          <w:r w:rsidRPr="004A5616">
            <w:rPr>
              <w:rFonts w:ascii="Arial" w:hAnsi="Arial" w:cs="Arial"/>
              <w:i/>
              <w:noProof/>
              <w:sz w:val="14"/>
            </w:rPr>
            <w:t>82</w:t>
          </w:r>
          <w:r w:rsidRPr="004A5616">
            <w:rPr>
              <w:rFonts w:ascii="Arial" w:hAnsi="Arial" w:cs="Arial"/>
              <w:i/>
              <w:sz w:val="14"/>
            </w:rPr>
            <w:fldChar w:fldCharType="end"/>
          </w:r>
        </w:p>
      </w:tc>
    </w:tr>
    <w:tr w:rsidR="00590138" w:rsidRPr="004A5616" w:rsidTr="006C5791">
      <w:tc>
        <w:tcPr>
          <w:tcW w:w="8472" w:type="dxa"/>
        </w:tcPr>
        <w:p w:rsidR="00590138" w:rsidRPr="004A5616" w:rsidRDefault="00590138" w:rsidP="00A6121F">
          <w:pPr>
            <w:rPr>
              <w:rFonts w:ascii="Arial" w:hAnsi="Arial" w:cs="Arial"/>
              <w:i/>
              <w:sz w:val="14"/>
            </w:rPr>
          </w:pPr>
          <w:r w:rsidRPr="004A5616">
            <w:rPr>
              <w:rFonts w:ascii="Arial" w:hAnsi="Arial" w:cs="Arial"/>
              <w:i/>
              <w:sz w:val="14"/>
            </w:rPr>
            <w:fldChar w:fldCharType="begin"/>
          </w:r>
          <w:r w:rsidRPr="004A5616">
            <w:rPr>
              <w:rFonts w:ascii="Arial" w:hAnsi="Arial" w:cs="Arial"/>
              <w:i/>
              <w:sz w:val="14"/>
            </w:rPr>
            <w:instrText xml:space="preserve"> FILENAME \p </w:instrText>
          </w:r>
          <w:r w:rsidRPr="004A5616">
            <w:rPr>
              <w:rFonts w:ascii="Arial" w:hAnsi="Arial" w:cs="Arial"/>
              <w:i/>
              <w:sz w:val="14"/>
            </w:rPr>
            <w:fldChar w:fldCharType="separate"/>
          </w:r>
          <w:r w:rsidR="005838D8">
            <w:rPr>
              <w:rFonts w:ascii="Arial" w:hAnsi="Arial" w:cs="Arial"/>
              <w:i/>
              <w:noProof/>
              <w:sz w:val="14"/>
            </w:rPr>
            <w:t>Q:\Word\INSTRUMENTS\I13KE118.DOCX</w:t>
          </w:r>
          <w:r w:rsidRPr="004A5616">
            <w:rPr>
              <w:rFonts w:ascii="Arial" w:hAnsi="Arial" w:cs="Arial"/>
              <w:i/>
              <w:sz w:val="14"/>
            </w:rPr>
            <w:fldChar w:fldCharType="end"/>
          </w:r>
          <w:r w:rsidRPr="004A5616">
            <w:rPr>
              <w:rFonts w:ascii="Arial" w:hAnsi="Arial" w:cs="Arial"/>
              <w:i/>
              <w:sz w:val="14"/>
            </w:rPr>
            <w:t xml:space="preserve">  </w:t>
          </w:r>
          <w:r w:rsidRPr="004A5616">
            <w:rPr>
              <w:rFonts w:ascii="Arial" w:hAnsi="Arial" w:cs="Arial"/>
              <w:i/>
              <w:sz w:val="14"/>
            </w:rPr>
            <w:fldChar w:fldCharType="begin"/>
          </w:r>
          <w:r w:rsidRPr="004A5616">
            <w:rPr>
              <w:rFonts w:ascii="Arial" w:hAnsi="Arial" w:cs="Arial"/>
              <w:i/>
              <w:sz w:val="14"/>
            </w:rPr>
            <w:instrText xml:space="preserve"> TIME \@ "d/M/yyyy h:mm AM/PM" </w:instrText>
          </w:r>
          <w:r w:rsidRPr="004A5616">
            <w:rPr>
              <w:rFonts w:ascii="Arial" w:hAnsi="Arial" w:cs="Arial"/>
              <w:i/>
              <w:sz w:val="14"/>
            </w:rPr>
            <w:fldChar w:fldCharType="separate"/>
          </w:r>
          <w:r w:rsidR="005838D8">
            <w:rPr>
              <w:rFonts w:ascii="Arial" w:hAnsi="Arial" w:cs="Arial"/>
              <w:i/>
              <w:noProof/>
              <w:sz w:val="14"/>
            </w:rPr>
            <w:t>22/3/2013 12:20 PM</w:t>
          </w:r>
          <w:r w:rsidRPr="004A5616">
            <w:rPr>
              <w:rFonts w:ascii="Arial" w:hAnsi="Arial" w:cs="Arial"/>
              <w:i/>
              <w:sz w:val="14"/>
            </w:rPr>
            <w:fldChar w:fldCharType="end"/>
          </w:r>
        </w:p>
      </w:tc>
    </w:tr>
  </w:tbl>
  <w:p w:rsidR="00590138" w:rsidRPr="004A5616" w:rsidRDefault="00590138" w:rsidP="004A5616">
    <w:pPr>
      <w:spacing w:before="120"/>
      <w:rPr>
        <w:rFonts w:ascii="Arial" w:hAnsi="Arial" w:cs="Arial"/>
        <w:sz w:val="14"/>
      </w:rPr>
    </w:pPr>
    <w:r w:rsidRPr="004A5616">
      <w:rPr>
        <w:rFonts w:ascii="Arial" w:hAnsi="Arial" w:cs="Arial"/>
        <w:noProof/>
        <w:sz w:val="14"/>
        <w:lang w:eastAsia="en-AU"/>
      </w:rPr>
      <mc:AlternateContent>
        <mc:Choice Requires="wps">
          <w:drawing>
            <wp:anchor distT="0" distB="0" distL="114300" distR="114300" simplePos="0" relativeHeight="251660288" behindDoc="1" locked="0" layoutInCell="1" allowOverlap="1" wp14:anchorId="3380C951" wp14:editId="6EB7F214">
              <wp:simplePos x="0" y="0"/>
              <wp:positionH relativeFrom="column">
                <wp:align>center</wp:align>
              </wp:positionH>
              <wp:positionV relativeFrom="page">
                <wp:posOffset>10223500</wp:posOffset>
              </wp:positionV>
              <wp:extent cx="4410075" cy="3429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590138" w:rsidRPr="00B909AF" w:rsidRDefault="00590138" w:rsidP="00B909AF">
                          <w:pPr>
                            <w:jc w:val="center"/>
                            <w:rPr>
                              <w:rFonts w:ascii="Arial" w:hAnsi="Arial" w:cs="Arial"/>
                              <w:b/>
                              <w:sz w:val="40"/>
                            </w:rPr>
                          </w:pPr>
                          <w:r w:rsidRPr="00B909AF">
                            <w:rPr>
                              <w:rFonts w:ascii="Arial" w:hAnsi="Arial" w:cs="Arial"/>
                              <w:b/>
                              <w:sz w:val="40"/>
                            </w:rPr>
                            <w:fldChar w:fldCharType="begin"/>
                          </w:r>
                          <w:r w:rsidRPr="00B909AF">
                            <w:rPr>
                              <w:rFonts w:ascii="Arial" w:hAnsi="Arial" w:cs="Arial"/>
                              <w:b/>
                              <w:sz w:val="40"/>
                            </w:rPr>
                            <w:instrText xml:space="preserve"> DOCPROPERTY  Classification  \* MERGEFORMAT </w:instrText>
                          </w:r>
                          <w:r w:rsidRPr="00B909AF">
                            <w:rPr>
                              <w:rFonts w:ascii="Arial" w:hAnsi="Arial" w:cs="Arial"/>
                              <w:b/>
                              <w:sz w:val="40"/>
                            </w:rPr>
                            <w:fldChar w:fldCharType="separate"/>
                          </w:r>
                          <w:r w:rsidR="005838D8">
                            <w:rPr>
                              <w:rFonts w:ascii="Arial" w:hAnsi="Arial" w:cs="Arial"/>
                              <w:b/>
                              <w:sz w:val="40"/>
                            </w:rPr>
                            <w:t>DRAFT-IN-CONFIDENCE</w:t>
                          </w:r>
                          <w:r w:rsidRPr="00B909AF">
                            <w:rPr>
                              <w:rFonts w:ascii="Arial" w:hAnsi="Arial" w:cs="Arial"/>
                              <w:b/>
                              <w:sz w:val="40"/>
                            </w:rPr>
                            <w:fldChar w:fldCharType="end"/>
                          </w:r>
                          <w:r w:rsidRPr="00B909AF">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0;margin-top:805pt;width:347.25pt;height:27pt;z-index:-251656192;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" stroked="f">
              <v:stroke joinstyle="round"/>
              <v:path arrowok="t"/>
              <v:textbox>
                <w:txbxContent>
                  <w:p w:rsidR="00590138" w:rsidRPr="00B909AF" w:rsidRDefault="00590138" w:rsidP="00B909AF">
                    <w:pPr>
                      <w:jc w:val="center"/>
                      <w:rPr>
                        <w:rFonts w:ascii="Arial" w:hAnsi="Arial" w:cs="Arial"/>
                        <w:b/>
                        <w:sz w:val="40"/>
                      </w:rPr>
                    </w:pPr>
                    <w:r w:rsidRPr="00B909AF">
                      <w:rPr>
                        <w:rFonts w:ascii="Arial" w:hAnsi="Arial" w:cs="Arial"/>
                        <w:b/>
                        <w:sz w:val="40"/>
                      </w:rPr>
                      <w:fldChar w:fldCharType="begin"/>
                    </w:r>
                    <w:r w:rsidRPr="00B909AF">
                      <w:rPr>
                        <w:rFonts w:ascii="Arial" w:hAnsi="Arial" w:cs="Arial"/>
                        <w:b/>
                        <w:sz w:val="40"/>
                      </w:rPr>
                      <w:instrText xml:space="preserve"> DOCPROPERTY  Classification  \* MERGEFORMAT </w:instrText>
                    </w:r>
                    <w:r w:rsidRPr="00B909AF">
                      <w:rPr>
                        <w:rFonts w:ascii="Arial" w:hAnsi="Arial" w:cs="Arial"/>
                        <w:b/>
                        <w:sz w:val="40"/>
                      </w:rPr>
                      <w:fldChar w:fldCharType="separate"/>
                    </w:r>
                    <w:r w:rsidR="005838D8">
                      <w:rPr>
                        <w:rFonts w:ascii="Arial" w:hAnsi="Arial" w:cs="Arial"/>
                        <w:b/>
                        <w:sz w:val="40"/>
                      </w:rPr>
                      <w:t>DRAFT-IN-CONFIDENCE</w:t>
                    </w:r>
                    <w:r w:rsidRPr="00B909AF">
                      <w:rPr>
                        <w:rFonts w:ascii="Arial" w:hAnsi="Arial" w:cs="Arial"/>
                        <w:b/>
                        <w:sz w:val="40"/>
                      </w:rPr>
                      <w:fldChar w:fldCharType="end"/>
                    </w:r>
                    <w:r w:rsidRPr="00B909AF">
                      <w:rPr>
                        <w:rFonts w:ascii="Arial" w:hAnsi="Arial" w:cs="Arial"/>
                        <w:b/>
                        <w:sz w:val="40"/>
                      </w:rPr>
                      <w:t xml:space="preserve"> </w:t>
                    </w:r>
                  </w:p>
                </w:txbxContent>
              </v:textbox>
              <w10:wrap anchory="page"/>
            </v:shape>
          </w:pict>
        </mc:Fallback>
      </mc:AlternateContent>
    </w:r>
    <w:r w:rsidR="004A5616">
      <w:rPr>
        <w:rFonts w:ascii="Arial" w:hAnsi="Arial" w:cs="Arial"/>
        <w:sz w:val="14"/>
      </w:rPr>
      <w:t>OPC50357</w:t>
    </w:r>
    <w:r w:rsidR="004A5616" w:rsidRPr="004A5616">
      <w:rPr>
        <w:rFonts w:ascii="Arial" w:hAnsi="Arial" w:cs="Arial"/>
        <w:sz w:val="14"/>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Pr="00BB4623" w:rsidRDefault="00590138"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38" w:rsidRDefault="00590138" w:rsidP="00664C63">
      <w:pPr>
        <w:spacing w:line="240" w:lineRule="auto"/>
      </w:pPr>
      <w:r>
        <w:separator/>
      </w:r>
    </w:p>
  </w:footnote>
  <w:footnote w:type="continuationSeparator" w:id="0">
    <w:p w:rsidR="00590138" w:rsidRDefault="00590138" w:rsidP="00664C63">
      <w:pPr>
        <w:spacing w:line="240" w:lineRule="auto"/>
      </w:pPr>
      <w:r>
        <w:continuationSeparator/>
      </w:r>
    </w:p>
  </w:footnote>
  <w:footnote w:id="1">
    <w:p w:rsidR="00590138" w:rsidRPr="005A798A" w:rsidRDefault="00590138" w:rsidP="00A97702">
      <w:pPr>
        <w:pStyle w:val="PlainText"/>
        <w:rPr>
          <w:rFonts w:ascii="Book Antiqua" w:hAnsi="Book Antiqua"/>
          <w:sz w:val="16"/>
          <w:szCs w:val="16"/>
        </w:rPr>
      </w:pPr>
      <w:r w:rsidRPr="005A798A">
        <w:rPr>
          <w:rStyle w:val="FootnoteReference"/>
          <w:sz w:val="16"/>
          <w:szCs w:val="16"/>
        </w:rPr>
        <w:footnoteRef/>
      </w:r>
      <w:r w:rsidRPr="005A798A">
        <w:rPr>
          <w:sz w:val="16"/>
          <w:szCs w:val="16"/>
        </w:rPr>
        <w:t xml:space="preserve"> </w:t>
      </w:r>
      <w:r w:rsidRPr="005A798A">
        <w:rPr>
          <w:rFonts w:ascii="Book Antiqua" w:hAnsi="Book Antiqua"/>
          <w:sz w:val="16"/>
          <w:szCs w:val="16"/>
        </w:rPr>
        <w:t xml:space="preserve">The following rounding rules </w:t>
      </w:r>
      <w:r>
        <w:rPr>
          <w:rFonts w:ascii="Book Antiqua" w:hAnsi="Book Antiqua"/>
          <w:sz w:val="16"/>
          <w:szCs w:val="16"/>
        </w:rPr>
        <w:t>are applicable</w:t>
      </w:r>
      <w:r w:rsidRPr="005A798A">
        <w:rPr>
          <w:rFonts w:ascii="Book Antiqua" w:hAnsi="Book Antiqua"/>
          <w:sz w:val="16"/>
          <w:szCs w:val="16"/>
        </w:rPr>
        <w:t xml:space="preserve"> to the EILs </w:t>
      </w:r>
    </w:p>
    <w:p w:rsidR="00590138" w:rsidRPr="005A798A" w:rsidRDefault="00590138" w:rsidP="00A97702">
      <w:pPr>
        <w:pStyle w:val="PlainText"/>
        <w:tabs>
          <w:tab w:val="left" w:pos="426"/>
          <w:tab w:val="left" w:pos="1418"/>
        </w:tabs>
        <w:rPr>
          <w:rFonts w:ascii="Book Antiqua" w:hAnsi="Book Antiqua"/>
          <w:sz w:val="16"/>
          <w:szCs w:val="16"/>
        </w:rPr>
      </w:pPr>
      <w:r w:rsidRPr="005A798A">
        <w:rPr>
          <w:rFonts w:ascii="Book Antiqua" w:hAnsi="Book Antiqua"/>
          <w:sz w:val="16"/>
          <w:szCs w:val="16"/>
        </w:rPr>
        <w:t>Nos</w:t>
      </w:r>
      <w:r>
        <w:rPr>
          <w:rFonts w:ascii="Book Antiqua" w:hAnsi="Book Antiqua"/>
          <w:sz w:val="16"/>
          <w:szCs w:val="16"/>
        </w:rPr>
        <w:tab/>
      </w:r>
      <w:r w:rsidRPr="005A798A">
        <w:rPr>
          <w:rFonts w:ascii="Book Antiqua" w:hAnsi="Book Antiqua"/>
          <w:sz w:val="16"/>
          <w:szCs w:val="16"/>
        </w:rPr>
        <w:t xml:space="preserve"> &lt; 1</w:t>
      </w:r>
      <w:r>
        <w:rPr>
          <w:rFonts w:ascii="Book Antiqua" w:hAnsi="Book Antiqua"/>
          <w:sz w:val="16"/>
          <w:szCs w:val="16"/>
        </w:rPr>
        <w:tab/>
      </w:r>
      <w:r w:rsidRPr="005A798A">
        <w:rPr>
          <w:rFonts w:ascii="Book Antiqua" w:hAnsi="Book Antiqua"/>
          <w:sz w:val="16"/>
          <w:szCs w:val="16"/>
        </w:rPr>
        <w:t>to nearest 0.1</w:t>
      </w:r>
    </w:p>
    <w:p w:rsidR="00590138" w:rsidRPr="005A798A" w:rsidRDefault="00590138" w:rsidP="00A97702">
      <w:pPr>
        <w:pStyle w:val="PlainText"/>
        <w:tabs>
          <w:tab w:val="left" w:pos="426"/>
          <w:tab w:val="left" w:pos="1418"/>
        </w:tabs>
        <w:rPr>
          <w:rFonts w:ascii="Book Antiqua" w:hAnsi="Book Antiqua"/>
          <w:sz w:val="16"/>
          <w:szCs w:val="16"/>
        </w:rPr>
      </w:pPr>
      <w:r>
        <w:rPr>
          <w:rFonts w:ascii="Book Antiqua" w:hAnsi="Book Antiqua"/>
          <w:sz w:val="16"/>
          <w:szCs w:val="16"/>
        </w:rPr>
        <w:tab/>
      </w:r>
      <w:r w:rsidRPr="005A798A">
        <w:rPr>
          <w:rFonts w:ascii="Book Antiqua" w:hAnsi="Book Antiqua"/>
          <w:sz w:val="16"/>
          <w:szCs w:val="16"/>
        </w:rPr>
        <w:t>1</w:t>
      </w:r>
      <w:r>
        <w:rPr>
          <w:rFonts w:ascii="Book Antiqua" w:hAnsi="Book Antiqua"/>
          <w:sz w:val="16"/>
          <w:szCs w:val="16"/>
        </w:rPr>
        <w:t xml:space="preserve"> - </w:t>
      </w:r>
      <w:r w:rsidRPr="005A798A">
        <w:rPr>
          <w:rFonts w:ascii="Book Antiqua" w:hAnsi="Book Antiqua"/>
          <w:sz w:val="16"/>
          <w:szCs w:val="16"/>
        </w:rPr>
        <w:t>&lt;10</w:t>
      </w:r>
      <w:r>
        <w:rPr>
          <w:rFonts w:ascii="Book Antiqua" w:hAnsi="Book Antiqua"/>
          <w:sz w:val="16"/>
          <w:szCs w:val="16"/>
        </w:rPr>
        <w:tab/>
      </w:r>
      <w:r w:rsidRPr="005A798A">
        <w:rPr>
          <w:rFonts w:ascii="Book Antiqua" w:hAnsi="Book Antiqua"/>
          <w:sz w:val="16"/>
          <w:szCs w:val="16"/>
        </w:rPr>
        <w:t xml:space="preserve">to nearest </w:t>
      </w:r>
      <w:r>
        <w:rPr>
          <w:rFonts w:ascii="Book Antiqua" w:hAnsi="Book Antiqua"/>
          <w:sz w:val="16"/>
          <w:szCs w:val="16"/>
        </w:rPr>
        <w:t>integer</w:t>
      </w:r>
    </w:p>
    <w:p w:rsidR="00590138" w:rsidRPr="005A798A" w:rsidRDefault="00590138" w:rsidP="00A97702">
      <w:pPr>
        <w:pStyle w:val="PlainText"/>
        <w:tabs>
          <w:tab w:val="left" w:pos="426"/>
          <w:tab w:val="left" w:pos="1418"/>
        </w:tabs>
        <w:rPr>
          <w:rFonts w:ascii="Book Antiqua" w:hAnsi="Book Antiqua"/>
          <w:sz w:val="16"/>
          <w:szCs w:val="16"/>
        </w:rPr>
      </w:pPr>
      <w:r>
        <w:rPr>
          <w:rFonts w:ascii="Book Antiqua" w:hAnsi="Book Antiqua"/>
          <w:sz w:val="16"/>
          <w:szCs w:val="16"/>
        </w:rPr>
        <w:tab/>
      </w:r>
      <w:r w:rsidRPr="005A798A">
        <w:rPr>
          <w:rFonts w:ascii="Book Antiqua" w:hAnsi="Book Antiqua"/>
          <w:sz w:val="16"/>
          <w:szCs w:val="16"/>
        </w:rPr>
        <w:t>1</w:t>
      </w:r>
      <w:r>
        <w:rPr>
          <w:rFonts w:ascii="Book Antiqua" w:hAnsi="Book Antiqua"/>
          <w:sz w:val="16"/>
          <w:szCs w:val="16"/>
        </w:rPr>
        <w:t xml:space="preserve">0 </w:t>
      </w:r>
      <w:r w:rsidRPr="005A798A">
        <w:rPr>
          <w:rFonts w:ascii="Book Antiqua" w:hAnsi="Book Antiqua"/>
          <w:sz w:val="16"/>
          <w:szCs w:val="16"/>
        </w:rPr>
        <w:t>- &lt; 100</w:t>
      </w:r>
      <w:r>
        <w:rPr>
          <w:rFonts w:ascii="Book Antiqua" w:hAnsi="Book Antiqua"/>
          <w:sz w:val="16"/>
          <w:szCs w:val="16"/>
        </w:rPr>
        <w:tab/>
      </w:r>
      <w:r w:rsidRPr="005A798A">
        <w:rPr>
          <w:rFonts w:ascii="Book Antiqua" w:hAnsi="Book Antiqua"/>
          <w:sz w:val="16"/>
          <w:szCs w:val="16"/>
        </w:rPr>
        <w:t>to nearest 5</w:t>
      </w:r>
    </w:p>
    <w:p w:rsidR="00590138" w:rsidRPr="005A798A" w:rsidRDefault="00590138" w:rsidP="00A97702">
      <w:pPr>
        <w:pStyle w:val="PlainText"/>
        <w:tabs>
          <w:tab w:val="left" w:pos="426"/>
          <w:tab w:val="left" w:pos="1418"/>
        </w:tabs>
        <w:rPr>
          <w:rFonts w:ascii="Book Antiqua" w:hAnsi="Book Antiqua"/>
          <w:sz w:val="16"/>
          <w:szCs w:val="16"/>
        </w:rPr>
      </w:pPr>
      <w:r>
        <w:rPr>
          <w:rFonts w:ascii="Book Antiqua" w:hAnsi="Book Antiqua"/>
          <w:sz w:val="16"/>
          <w:szCs w:val="16"/>
        </w:rPr>
        <w:tab/>
      </w:r>
      <w:r w:rsidRPr="005A798A">
        <w:rPr>
          <w:rFonts w:ascii="Book Antiqua" w:hAnsi="Book Antiqua"/>
          <w:sz w:val="16"/>
          <w:szCs w:val="16"/>
        </w:rPr>
        <w:t>100 - &lt;1000</w:t>
      </w:r>
      <w:r>
        <w:rPr>
          <w:rFonts w:ascii="Book Antiqua" w:hAnsi="Book Antiqua"/>
          <w:sz w:val="16"/>
          <w:szCs w:val="16"/>
        </w:rPr>
        <w:tab/>
      </w:r>
      <w:r w:rsidRPr="005A798A">
        <w:rPr>
          <w:rFonts w:ascii="Book Antiqua" w:hAnsi="Book Antiqua"/>
          <w:sz w:val="16"/>
          <w:szCs w:val="16"/>
        </w:rPr>
        <w:t>to nearest 10</w:t>
      </w:r>
    </w:p>
    <w:p w:rsidR="00590138" w:rsidRPr="005A798A" w:rsidRDefault="00590138" w:rsidP="00A97702">
      <w:pPr>
        <w:pStyle w:val="PlainText"/>
        <w:tabs>
          <w:tab w:val="left" w:pos="426"/>
          <w:tab w:val="left" w:pos="1418"/>
        </w:tabs>
        <w:rPr>
          <w:rFonts w:ascii="Book Antiqua" w:hAnsi="Book Antiqua"/>
          <w:sz w:val="16"/>
          <w:szCs w:val="16"/>
        </w:rPr>
      </w:pPr>
      <w:r>
        <w:rPr>
          <w:rFonts w:ascii="Book Antiqua" w:hAnsi="Book Antiqua"/>
          <w:sz w:val="16"/>
          <w:szCs w:val="16"/>
        </w:rPr>
        <w:tab/>
      </w:r>
      <w:r w:rsidRPr="005A798A">
        <w:rPr>
          <w:rFonts w:ascii="Book Antiqua" w:hAnsi="Book Antiqua"/>
          <w:sz w:val="16"/>
          <w:szCs w:val="16"/>
        </w:rPr>
        <w:t>≥1000</w:t>
      </w:r>
      <w:r>
        <w:rPr>
          <w:rFonts w:ascii="Book Antiqua" w:hAnsi="Book Antiqua"/>
          <w:sz w:val="16"/>
          <w:szCs w:val="16"/>
        </w:rPr>
        <w:tab/>
      </w:r>
      <w:r w:rsidRPr="005A798A">
        <w:rPr>
          <w:rFonts w:ascii="Book Antiqua" w:hAnsi="Book Antiqua"/>
          <w:sz w:val="16"/>
          <w:szCs w:val="16"/>
        </w:rPr>
        <w:t>to nearest 100</w:t>
      </w:r>
    </w:p>
    <w:p w:rsidR="00590138" w:rsidRDefault="00590138" w:rsidP="00A97702">
      <w:pPr>
        <w:pStyle w:val="PlainText"/>
        <w:tabs>
          <w:tab w:val="left" w:pos="426"/>
          <w:tab w:val="left" w:pos="1418"/>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Default="005838D8">
    <w:pPr>
      <w:pStyle w:val="Header"/>
    </w:pPr>
    <w:r>
      <w:rPr>
        <w:noProof/>
      </w:rPr>
      <w:pict>
        <v:shapetype id="_x0000_t202" coordsize="21600,21600" o:spt="202" path="m,l,21600r21600,l21600,xe">
          <v:stroke joinstyle="miter"/>
          <v:path gradientshapeok="t" o:connecttype="rect"/>
        </v:shapetype>
        <v:shape id="_x0000_s4097" type="#_x0000_t202" style="position:absolute;margin-left:60.95pt;margin-top:265.1pt;width:331.4pt;height:241.2pt;z-index:-251654144" o:allowincell="f" filled="f" fillcolor="silver" stroked="f">
          <v:shadow color="#868686"/>
          <v:textbox style="mso-next-textbox:#_x0000_s4097">
            <w:txbxContent>
              <w:p w:rsidR="00590138" w:rsidRDefault="00590138">
                <w:r>
                  <w:object w:dxaOrig="5881" w:dyaOrig="4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232.5pt" o:ole="" fillcolor="window">
                      <v:imagedata r:id="rId1" o:title="" gain="30147f" blacklevel="5898f"/>
                    </v:shape>
                    <o:OLEObject Type="Embed" ProgID="Word.Picture.8" ShapeID="_x0000_i1026" DrawAspect="Content" ObjectID="_1425460372" r:id="rId2"/>
                  </w:objec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Pr="00BB4623" w:rsidRDefault="00590138" w:rsidP="00664C63">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Default="005901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Default="005901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Default="005901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Default="005838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9" type="#_x0000_t136" style="position:absolute;margin-left:0;margin-top:0;width:600.9pt;height:38.35pt;rotation:315;z-index:-251652096;mso-position-horizontal:center;mso-position-horizontal-relative:margin;mso-position-vertical:center;mso-position-vertical-relative:margin" o:allowincell="f" fillcolor="silver" stroked="f">
          <v:fill opacity=".5"/>
          <v:textpath style="font-family:&quot;Book Antiqua&quot;;font-size:1pt" string="CONFIDENTIAL DRAFT for consultation only"/>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Default="0059013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Default="005838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type="#_x0000_t136" style="position:absolute;margin-left:0;margin-top:0;width:600.9pt;height:38.35pt;rotation:315;z-index:-251653120;mso-position-horizontal:center;mso-position-horizontal-relative:margin;mso-position-vertical:center;mso-position-vertical-relative:margin" o:allowincell="f" fillcolor="silver" stroked="f">
          <v:fill opacity=".5"/>
          <v:textpath style="font-family:&quot;Book Antiqua&quot;;font-size:1pt" string="CONFIDENTIAL DRAFT for consultation only"/>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Pr="00BB4623" w:rsidRDefault="00590138" w:rsidP="00664C63">
    <w:pPr>
      <w:rPr>
        <w:sz w:val="24"/>
      </w:rPr>
    </w:pPr>
  </w:p>
  <w:p w:rsidR="00590138" w:rsidRPr="00BB4623" w:rsidRDefault="00590138" w:rsidP="00664C63">
    <w:pPr>
      <w:pBdr>
        <w:bottom w:val="single" w:sz="6" w:space="1" w:color="auto"/>
      </w:pBdr>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38" w:rsidRPr="00BB4623" w:rsidRDefault="00590138"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51ADADB8" wp14:editId="0EEE4D07">
              <wp:simplePos x="0" y="0"/>
              <wp:positionH relativeFrom="column">
                <wp:align>center</wp:align>
              </wp:positionH>
              <wp:positionV relativeFrom="page">
                <wp:posOffset>143510</wp:posOffset>
              </wp:positionV>
              <wp:extent cx="4410075" cy="3429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590138" w:rsidRPr="00B909AF" w:rsidRDefault="00590138" w:rsidP="00B909AF">
                          <w:pPr>
                            <w:jc w:val="center"/>
                            <w:rPr>
                              <w:rFonts w:ascii="Arial" w:hAnsi="Arial" w:cs="Arial"/>
                              <w:b/>
                              <w:sz w:val="40"/>
                            </w:rPr>
                          </w:pPr>
                          <w:r w:rsidRPr="00B909AF">
                            <w:rPr>
                              <w:rFonts w:ascii="Arial" w:hAnsi="Arial" w:cs="Arial"/>
                              <w:b/>
                              <w:sz w:val="40"/>
                            </w:rPr>
                            <w:fldChar w:fldCharType="begin"/>
                          </w:r>
                          <w:r w:rsidRPr="00B909AF">
                            <w:rPr>
                              <w:rFonts w:ascii="Arial" w:hAnsi="Arial" w:cs="Arial"/>
                              <w:b/>
                              <w:sz w:val="40"/>
                            </w:rPr>
                            <w:instrText xml:space="preserve"> DOCPROPERTY  Classification  \* MERGEFORMAT </w:instrText>
                          </w:r>
                          <w:r w:rsidRPr="00B909AF">
                            <w:rPr>
                              <w:rFonts w:ascii="Arial" w:hAnsi="Arial" w:cs="Arial"/>
                              <w:b/>
                              <w:sz w:val="40"/>
                            </w:rPr>
                            <w:fldChar w:fldCharType="separate"/>
                          </w:r>
                          <w:r w:rsidR="005838D8">
                            <w:rPr>
                              <w:rFonts w:ascii="Arial" w:hAnsi="Arial" w:cs="Arial"/>
                              <w:b/>
                              <w:sz w:val="40"/>
                            </w:rPr>
                            <w:t>DRAFT-IN-CONFIDENCE</w:t>
                          </w:r>
                          <w:r w:rsidRPr="00B909AF">
                            <w:rPr>
                              <w:rFonts w:ascii="Arial" w:hAnsi="Arial" w:cs="Arial"/>
                              <w:b/>
                              <w:sz w:val="40"/>
                            </w:rPr>
                            <w:fldChar w:fldCharType="end"/>
                          </w:r>
                          <w:r w:rsidRPr="00B909AF">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0;margin-top:11.3pt;width:347.25pt;height:27pt;z-index:-251657216;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" stroked="f">
              <v:stroke joinstyle="round"/>
              <v:path arrowok="t"/>
              <v:textbox>
                <w:txbxContent>
                  <w:p w:rsidR="00590138" w:rsidRPr="00B909AF" w:rsidRDefault="00590138" w:rsidP="00B909AF">
                    <w:pPr>
                      <w:jc w:val="center"/>
                      <w:rPr>
                        <w:rFonts w:ascii="Arial" w:hAnsi="Arial" w:cs="Arial"/>
                        <w:b/>
                        <w:sz w:val="40"/>
                      </w:rPr>
                    </w:pPr>
                    <w:r w:rsidRPr="00B909AF">
                      <w:rPr>
                        <w:rFonts w:ascii="Arial" w:hAnsi="Arial" w:cs="Arial"/>
                        <w:b/>
                        <w:sz w:val="40"/>
                      </w:rPr>
                      <w:fldChar w:fldCharType="begin"/>
                    </w:r>
                    <w:r w:rsidRPr="00B909AF">
                      <w:rPr>
                        <w:rFonts w:ascii="Arial" w:hAnsi="Arial" w:cs="Arial"/>
                        <w:b/>
                        <w:sz w:val="40"/>
                      </w:rPr>
                      <w:instrText xml:space="preserve"> DOCPROPERTY  Classification  \* MERGEFORMAT </w:instrText>
                    </w:r>
                    <w:r w:rsidRPr="00B909AF">
                      <w:rPr>
                        <w:rFonts w:ascii="Arial" w:hAnsi="Arial" w:cs="Arial"/>
                        <w:b/>
                        <w:sz w:val="40"/>
                      </w:rPr>
                      <w:fldChar w:fldCharType="separate"/>
                    </w:r>
                    <w:r w:rsidR="005838D8">
                      <w:rPr>
                        <w:rFonts w:ascii="Arial" w:hAnsi="Arial" w:cs="Arial"/>
                        <w:b/>
                        <w:sz w:val="40"/>
                      </w:rPr>
                      <w:t>DRAFT-IN-CONFIDENCE</w:t>
                    </w:r>
                    <w:r w:rsidRPr="00B909AF">
                      <w:rPr>
                        <w:rFonts w:ascii="Arial" w:hAnsi="Arial" w:cs="Arial"/>
                        <w:b/>
                        <w:sz w:val="40"/>
                      </w:rPr>
                      <w:fldChar w:fldCharType="end"/>
                    </w:r>
                    <w:r w:rsidRPr="00B909AF">
                      <w:rPr>
                        <w:rFonts w:ascii="Arial" w:hAnsi="Arial" w:cs="Arial"/>
                        <w:b/>
                        <w:sz w:val="40"/>
                      </w:rPr>
                      <w:t xml:space="preserve"> </w:t>
                    </w:r>
                  </w:p>
                </w:txbxContent>
              </v:textbox>
              <w10:wrap anchory="page"/>
            </v:shape>
          </w:pict>
        </mc:Fallback>
      </mc:AlternateContent>
    </w:r>
  </w:p>
  <w:p w:rsidR="00590138" w:rsidRPr="00BB4623" w:rsidRDefault="00590138" w:rsidP="00664C63">
    <w:pPr>
      <w:pBdr>
        <w:bottom w:val="single" w:sz="6" w:space="1" w:color="auto"/>
      </w:pBdr>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227E5A"/>
    <w:lvl w:ilvl="0">
      <w:start w:val="1"/>
      <w:numFmt w:val="decimal"/>
      <w:lvlText w:val="%1."/>
      <w:lvlJc w:val="left"/>
      <w:pPr>
        <w:tabs>
          <w:tab w:val="num" w:pos="1492"/>
        </w:tabs>
        <w:ind w:left="1492" w:hanging="360"/>
      </w:pPr>
    </w:lvl>
  </w:abstractNum>
  <w:abstractNum w:abstractNumId="1">
    <w:nsid w:val="FFFFFF7D"/>
    <w:multiLevelType w:val="singleLevel"/>
    <w:tmpl w:val="E2B621B4"/>
    <w:lvl w:ilvl="0">
      <w:start w:val="1"/>
      <w:numFmt w:val="decimal"/>
      <w:lvlText w:val="%1."/>
      <w:lvlJc w:val="left"/>
      <w:pPr>
        <w:tabs>
          <w:tab w:val="num" w:pos="1209"/>
        </w:tabs>
        <w:ind w:left="1209" w:hanging="360"/>
      </w:pPr>
    </w:lvl>
  </w:abstractNum>
  <w:abstractNum w:abstractNumId="2">
    <w:nsid w:val="FFFFFF7E"/>
    <w:multiLevelType w:val="singleLevel"/>
    <w:tmpl w:val="87C61B2C"/>
    <w:lvl w:ilvl="0">
      <w:start w:val="1"/>
      <w:numFmt w:val="decimal"/>
      <w:lvlText w:val="%1."/>
      <w:lvlJc w:val="left"/>
      <w:pPr>
        <w:tabs>
          <w:tab w:val="num" w:pos="926"/>
        </w:tabs>
        <w:ind w:left="926" w:hanging="360"/>
      </w:pPr>
    </w:lvl>
  </w:abstractNum>
  <w:abstractNum w:abstractNumId="3">
    <w:nsid w:val="FFFFFF7F"/>
    <w:multiLevelType w:val="singleLevel"/>
    <w:tmpl w:val="443637D0"/>
    <w:lvl w:ilvl="0">
      <w:start w:val="1"/>
      <w:numFmt w:val="decimal"/>
      <w:lvlText w:val="%1."/>
      <w:lvlJc w:val="left"/>
      <w:pPr>
        <w:tabs>
          <w:tab w:val="num" w:pos="643"/>
        </w:tabs>
        <w:ind w:left="643" w:hanging="360"/>
      </w:pPr>
    </w:lvl>
  </w:abstractNum>
  <w:abstractNum w:abstractNumId="4">
    <w:nsid w:val="FFFFFF80"/>
    <w:multiLevelType w:val="singleLevel"/>
    <w:tmpl w:val="9E26C9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2AAA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7089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0E42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3EFDB8"/>
    <w:lvl w:ilvl="0">
      <w:start w:val="1"/>
      <w:numFmt w:val="decimal"/>
      <w:lvlText w:val="%1."/>
      <w:lvlJc w:val="left"/>
      <w:pPr>
        <w:tabs>
          <w:tab w:val="num" w:pos="360"/>
        </w:tabs>
        <w:ind w:left="360" w:hanging="360"/>
      </w:pPr>
    </w:lvl>
  </w:abstractNum>
  <w:abstractNum w:abstractNumId="9">
    <w:nsid w:val="FFFFFF89"/>
    <w:multiLevelType w:val="singleLevel"/>
    <w:tmpl w:val="BC7EA6A4"/>
    <w:lvl w:ilvl="0">
      <w:start w:val="1"/>
      <w:numFmt w:val="bullet"/>
      <w:lvlText w:val=""/>
      <w:lvlJc w:val="left"/>
      <w:pPr>
        <w:tabs>
          <w:tab w:val="num" w:pos="360"/>
        </w:tabs>
        <w:ind w:left="360" w:hanging="360"/>
      </w:pPr>
      <w:rPr>
        <w:rFonts w:ascii="Symbol" w:hAnsi="Symbol" w:hint="default"/>
      </w:rPr>
    </w:lvl>
  </w:abstractNum>
  <w:abstractNum w:abstractNumId="10">
    <w:nsid w:val="012F2000"/>
    <w:multiLevelType w:val="multilevel"/>
    <w:tmpl w:val="CEFEA6E6"/>
    <w:lvl w:ilvl="0">
      <w:start w:val="1"/>
      <w:numFmt w:val="bullet"/>
      <w:lvlText w:val=""/>
      <w:lvlJc w:val="left"/>
      <w:pPr>
        <w:tabs>
          <w:tab w:val="num" w:pos="1146"/>
        </w:tabs>
        <w:ind w:left="1146" w:hanging="720"/>
      </w:pPr>
      <w:rPr>
        <w:rFonts w:ascii="Symbol" w:hAnsi="Symbol" w:hint="default"/>
        <w:b/>
        <w:i w:val="0"/>
        <w:sz w:val="22"/>
        <w:szCs w:val="22"/>
      </w:rPr>
    </w:lvl>
    <w:lvl w:ilvl="1">
      <w:start w:val="1"/>
      <w:numFmt w:val="decimal"/>
      <w:lvlText w:val="%1.%2"/>
      <w:lvlJc w:val="left"/>
      <w:pPr>
        <w:tabs>
          <w:tab w:val="num" w:pos="1002"/>
        </w:tabs>
        <w:ind w:left="1002" w:hanging="576"/>
      </w:pPr>
      <w:rPr>
        <w:rFonts w:cs="Times New Roman" w:hint="default"/>
      </w:rPr>
    </w:lvl>
    <w:lvl w:ilvl="2">
      <w:start w:val="1"/>
      <w:numFmt w:val="decimal"/>
      <w:lvlText w:val="%1.%2.%3"/>
      <w:lvlJc w:val="left"/>
      <w:pPr>
        <w:tabs>
          <w:tab w:val="num" w:pos="1146"/>
        </w:tabs>
        <w:ind w:left="1146" w:hanging="720"/>
      </w:pPr>
      <w:rPr>
        <w:rFonts w:cs="Times New Roman" w:hint="default"/>
        <w:b/>
        <w:i w:val="0"/>
        <w:sz w:val="22"/>
      </w:rPr>
    </w:lvl>
    <w:lvl w:ilvl="3">
      <w:start w:val="1"/>
      <w:numFmt w:val="decimal"/>
      <w:lvlText w:val="%1.%2.%3.%4"/>
      <w:lvlJc w:val="left"/>
      <w:pPr>
        <w:tabs>
          <w:tab w:val="num" w:pos="1574"/>
        </w:tabs>
        <w:ind w:left="1574" w:hanging="864"/>
      </w:pPr>
      <w:rPr>
        <w:rFonts w:cs="Times New Roman" w:hint="default"/>
      </w:rPr>
    </w:lvl>
    <w:lvl w:ilvl="4">
      <w:start w:val="1"/>
      <w:numFmt w:val="decimal"/>
      <w:lvlText w:val="%1.%2.%3.%4.%5"/>
      <w:lvlJc w:val="left"/>
      <w:pPr>
        <w:tabs>
          <w:tab w:val="num" w:pos="1434"/>
        </w:tabs>
        <w:ind w:left="1434" w:hanging="1008"/>
      </w:pPr>
      <w:rPr>
        <w:rFonts w:cs="Times New Roman" w:hint="default"/>
      </w:rPr>
    </w:lvl>
    <w:lvl w:ilvl="5">
      <w:start w:val="1"/>
      <w:numFmt w:val="decimal"/>
      <w:lvlText w:val="%1.%2.%3.%4.%5.%6"/>
      <w:lvlJc w:val="left"/>
      <w:pPr>
        <w:tabs>
          <w:tab w:val="num" w:pos="1578"/>
        </w:tabs>
        <w:ind w:left="1578" w:hanging="1152"/>
      </w:pPr>
      <w:rPr>
        <w:rFonts w:cs="Times New Roman" w:hint="default"/>
      </w:rPr>
    </w:lvl>
    <w:lvl w:ilvl="6">
      <w:start w:val="1"/>
      <w:numFmt w:val="decimal"/>
      <w:lvlText w:val="%1.%2.%3.%4.%5.%6.%7"/>
      <w:lvlJc w:val="left"/>
      <w:pPr>
        <w:tabs>
          <w:tab w:val="num" w:pos="1722"/>
        </w:tabs>
        <w:ind w:left="1722" w:hanging="1296"/>
      </w:pPr>
      <w:rPr>
        <w:rFonts w:cs="Times New Roman" w:hint="default"/>
      </w:rPr>
    </w:lvl>
    <w:lvl w:ilvl="7">
      <w:start w:val="1"/>
      <w:numFmt w:val="decimal"/>
      <w:lvlText w:val="%1.%2.%3.%4.%5.%6.%7.%8"/>
      <w:lvlJc w:val="left"/>
      <w:pPr>
        <w:tabs>
          <w:tab w:val="num" w:pos="1866"/>
        </w:tabs>
        <w:ind w:left="1866" w:hanging="1440"/>
      </w:pPr>
      <w:rPr>
        <w:rFonts w:cs="Times New Roman" w:hint="default"/>
      </w:rPr>
    </w:lvl>
    <w:lvl w:ilvl="8">
      <w:start w:val="1"/>
      <w:numFmt w:val="decimal"/>
      <w:lvlText w:val="%1.%2.%3.%4.%5.%6.%7.%8.%9"/>
      <w:lvlJc w:val="left"/>
      <w:pPr>
        <w:tabs>
          <w:tab w:val="num" w:pos="2010"/>
        </w:tabs>
        <w:ind w:left="2010" w:hanging="1584"/>
      </w:pPr>
      <w:rPr>
        <w:rFonts w:cs="Times New Roman" w:hint="default"/>
      </w:rPr>
    </w:lvl>
  </w:abstractNum>
  <w:abstractNum w:abstractNumId="11">
    <w:nsid w:val="041B2621"/>
    <w:multiLevelType w:val="multilevel"/>
    <w:tmpl w:val="3E968F10"/>
    <w:lvl w:ilvl="0">
      <w:start w:val="1"/>
      <w:numFmt w:val="decimal"/>
      <w:lvlText w:val="%1."/>
      <w:lvlJc w:val="left"/>
      <w:pPr>
        <w:tabs>
          <w:tab w:val="num" w:pos="360"/>
        </w:tabs>
        <w:ind w:left="360" w:hanging="360"/>
      </w:pPr>
      <w:rPr>
        <w:rFonts w:cs="Times New Roman" w:hint="default"/>
        <w:i w:val="0"/>
        <w:sz w:val="18"/>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04E9130D"/>
    <w:multiLevelType w:val="hybridMultilevel"/>
    <w:tmpl w:val="C4C69896"/>
    <w:lvl w:ilvl="0" w:tplc="38C42320">
      <w:start w:val="1"/>
      <w:numFmt w:val="decimal"/>
      <w:lvlText w:val="%1."/>
      <w:lvlJc w:val="left"/>
      <w:pPr>
        <w:ind w:left="360" w:hanging="360"/>
      </w:pPr>
      <w:rPr>
        <w:rFonts w:cs="Times New Roman"/>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846CF3"/>
    <w:multiLevelType w:val="hybridMultilevel"/>
    <w:tmpl w:val="72A0E2D0"/>
    <w:lvl w:ilvl="0" w:tplc="FE825A0C">
      <w:start w:val="1"/>
      <w:numFmt w:val="decimal"/>
      <w:lvlText w:val="%1."/>
      <w:lvlJc w:val="left"/>
      <w:pPr>
        <w:tabs>
          <w:tab w:val="num" w:pos="360"/>
        </w:tabs>
        <w:ind w:left="360" w:hanging="360"/>
      </w:pPr>
      <w:rPr>
        <w:rFonts w:ascii="Book Antiqua" w:hAnsi="Book Antiqua"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02804F2"/>
    <w:multiLevelType w:val="hybridMultilevel"/>
    <w:tmpl w:val="1C30A2E8"/>
    <w:lvl w:ilvl="0" w:tplc="EE028036">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11C01671"/>
    <w:multiLevelType w:val="hybridMultilevel"/>
    <w:tmpl w:val="36B04494"/>
    <w:lvl w:ilvl="0" w:tplc="3586A996">
      <w:start w:val="1"/>
      <w:numFmt w:val="decimal"/>
      <w:pStyle w:val="NumberedunderAHeading"/>
      <w:lvlText w:val="%1."/>
      <w:lvlJc w:val="left"/>
      <w:pPr>
        <w:tabs>
          <w:tab w:val="num" w:pos="360"/>
        </w:tabs>
        <w:ind w:left="360" w:hanging="360"/>
      </w:pPr>
      <w:rPr>
        <w:rFonts w:ascii="Book Antiqua" w:hAnsi="Book Antiqua" w:cs="Times New Roman" w:hint="default"/>
        <w:b w:val="0"/>
        <w:i w:val="0"/>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13B944C7"/>
    <w:multiLevelType w:val="hybridMultilevel"/>
    <w:tmpl w:val="72DA9366"/>
    <w:lvl w:ilvl="0" w:tplc="432083BC">
      <w:start w:val="1"/>
      <w:numFmt w:val="decimal"/>
      <w:pStyle w:val="NoteNumbered"/>
      <w:lvlText w:val="%1."/>
      <w:lvlJc w:val="left"/>
      <w:pPr>
        <w:tabs>
          <w:tab w:val="num" w:pos="360"/>
        </w:tabs>
        <w:ind w:left="360" w:hanging="360"/>
      </w:pPr>
      <w:rPr>
        <w:rFonts w:cs="Times New Roman"/>
      </w:rPr>
    </w:lvl>
    <w:lvl w:ilvl="1" w:tplc="805E3604">
      <w:start w:val="1"/>
      <w:numFmt w:val="decimal"/>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8">
    <w:nsid w:val="172D44AD"/>
    <w:multiLevelType w:val="multilevel"/>
    <w:tmpl w:val="3E968F10"/>
    <w:lvl w:ilvl="0">
      <w:start w:val="1"/>
      <w:numFmt w:val="decimal"/>
      <w:lvlText w:val="%1."/>
      <w:lvlJc w:val="left"/>
      <w:pPr>
        <w:tabs>
          <w:tab w:val="num" w:pos="360"/>
        </w:tabs>
        <w:ind w:left="360" w:hanging="360"/>
      </w:pPr>
      <w:rPr>
        <w:rFonts w:cs="Times New Roman" w:hint="default"/>
        <w:i w:val="0"/>
        <w:sz w:val="18"/>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21AA23BE"/>
    <w:multiLevelType w:val="multilevel"/>
    <w:tmpl w:val="3E968F10"/>
    <w:lvl w:ilvl="0">
      <w:start w:val="1"/>
      <w:numFmt w:val="decimal"/>
      <w:lvlText w:val="%1."/>
      <w:lvlJc w:val="left"/>
      <w:pPr>
        <w:tabs>
          <w:tab w:val="num" w:pos="360"/>
        </w:tabs>
        <w:ind w:left="360" w:hanging="360"/>
      </w:pPr>
      <w:rPr>
        <w:rFonts w:cs="Times New Roman" w:hint="default"/>
        <w:i w:val="0"/>
        <w:sz w:val="18"/>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27157DBB"/>
    <w:multiLevelType w:val="singleLevel"/>
    <w:tmpl w:val="7278FBC6"/>
    <w:lvl w:ilvl="0">
      <w:start w:val="1"/>
      <w:numFmt w:val="lowerRoman"/>
      <w:pStyle w:val="DotpointiCONSITES"/>
      <w:lvlText w:val="(%1)"/>
      <w:lvlJc w:val="left"/>
      <w:pPr>
        <w:tabs>
          <w:tab w:val="num" w:pos="720"/>
        </w:tabs>
        <w:ind w:left="360" w:hanging="360"/>
      </w:pPr>
      <w:rPr>
        <w:rFonts w:cs="Times New Roman"/>
      </w:rPr>
    </w:lvl>
  </w:abstractNum>
  <w:abstractNum w:abstractNumId="21">
    <w:nsid w:val="287722E8"/>
    <w:multiLevelType w:val="multilevel"/>
    <w:tmpl w:val="3E968F10"/>
    <w:lvl w:ilvl="0">
      <w:start w:val="1"/>
      <w:numFmt w:val="decimal"/>
      <w:lvlText w:val="%1."/>
      <w:lvlJc w:val="left"/>
      <w:pPr>
        <w:tabs>
          <w:tab w:val="num" w:pos="360"/>
        </w:tabs>
        <w:ind w:left="360" w:hanging="360"/>
      </w:pPr>
      <w:rPr>
        <w:rFonts w:cs="Times New Roman" w:hint="default"/>
        <w:i w:val="0"/>
        <w:sz w:val="18"/>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2BD07C78"/>
    <w:multiLevelType w:val="hybridMultilevel"/>
    <w:tmpl w:val="F5B48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2CD82070"/>
    <w:multiLevelType w:val="multilevel"/>
    <w:tmpl w:val="0C09001F"/>
    <w:styleLink w:val="111111"/>
    <w:lvl w:ilvl="0">
      <w:start w:val="1"/>
      <w:numFmt w:val="decimal"/>
      <w:lvlText w:val="%1."/>
      <w:lvlJc w:val="left"/>
      <w:pPr>
        <w:tabs>
          <w:tab w:val="num" w:pos="360"/>
        </w:tabs>
        <w:ind w:left="360" w:hanging="360"/>
      </w:pPr>
      <w:rPr>
        <w:rFonts w:ascii="Book Antiqua" w:hAnsi="Book Antiqua"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337D0215"/>
    <w:multiLevelType w:val="multilevel"/>
    <w:tmpl w:val="53F8D05E"/>
    <w:lvl w:ilvl="0">
      <w:start w:val="1"/>
      <w:numFmt w:val="decimal"/>
      <w:pStyle w:val="Numbered"/>
      <w:lvlText w:val="%1"/>
      <w:lvlJc w:val="left"/>
      <w:pPr>
        <w:tabs>
          <w:tab w:val="num" w:pos="720"/>
        </w:tabs>
        <w:ind w:left="720" w:hanging="720"/>
      </w:pPr>
      <w:rPr>
        <w:rFonts w:cs="Times New Roman" w:hint="default"/>
        <w:b/>
        <w:i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i w:val="0"/>
        <w:sz w:val="22"/>
      </w:rPr>
    </w:lvl>
    <w:lvl w:ilvl="3">
      <w:start w:val="1"/>
      <w:numFmt w:val="decimal"/>
      <w:lvlText w:val="%1.%2.%3.%4"/>
      <w:lvlJc w:val="left"/>
      <w:pPr>
        <w:tabs>
          <w:tab w:val="num" w:pos="1148"/>
        </w:tabs>
        <w:ind w:left="1148"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3A70163B"/>
    <w:multiLevelType w:val="multilevel"/>
    <w:tmpl w:val="CEFEA6E6"/>
    <w:lvl w:ilvl="0">
      <w:start w:val="1"/>
      <w:numFmt w:val="bullet"/>
      <w:lvlText w:val=""/>
      <w:lvlJc w:val="left"/>
      <w:pPr>
        <w:tabs>
          <w:tab w:val="num" w:pos="1146"/>
        </w:tabs>
        <w:ind w:left="1146" w:hanging="720"/>
      </w:pPr>
      <w:rPr>
        <w:rFonts w:ascii="Symbol" w:hAnsi="Symbol" w:hint="default"/>
        <w:b/>
        <w:i w:val="0"/>
        <w:sz w:val="22"/>
        <w:szCs w:val="22"/>
      </w:rPr>
    </w:lvl>
    <w:lvl w:ilvl="1">
      <w:start w:val="1"/>
      <w:numFmt w:val="decimal"/>
      <w:lvlText w:val="%1.%2"/>
      <w:lvlJc w:val="left"/>
      <w:pPr>
        <w:tabs>
          <w:tab w:val="num" w:pos="1002"/>
        </w:tabs>
        <w:ind w:left="1002" w:hanging="576"/>
      </w:pPr>
      <w:rPr>
        <w:rFonts w:cs="Times New Roman" w:hint="default"/>
      </w:rPr>
    </w:lvl>
    <w:lvl w:ilvl="2">
      <w:start w:val="1"/>
      <w:numFmt w:val="decimal"/>
      <w:lvlText w:val="%1.%2.%3"/>
      <w:lvlJc w:val="left"/>
      <w:pPr>
        <w:tabs>
          <w:tab w:val="num" w:pos="1146"/>
        </w:tabs>
        <w:ind w:left="1146" w:hanging="720"/>
      </w:pPr>
      <w:rPr>
        <w:rFonts w:cs="Times New Roman" w:hint="default"/>
        <w:b/>
        <w:i w:val="0"/>
        <w:sz w:val="22"/>
      </w:rPr>
    </w:lvl>
    <w:lvl w:ilvl="3">
      <w:start w:val="1"/>
      <w:numFmt w:val="decimal"/>
      <w:lvlText w:val="%1.%2.%3.%4"/>
      <w:lvlJc w:val="left"/>
      <w:pPr>
        <w:tabs>
          <w:tab w:val="num" w:pos="1574"/>
        </w:tabs>
        <w:ind w:left="1574" w:hanging="864"/>
      </w:pPr>
      <w:rPr>
        <w:rFonts w:cs="Times New Roman" w:hint="default"/>
      </w:rPr>
    </w:lvl>
    <w:lvl w:ilvl="4">
      <w:start w:val="1"/>
      <w:numFmt w:val="decimal"/>
      <w:lvlText w:val="%1.%2.%3.%4.%5"/>
      <w:lvlJc w:val="left"/>
      <w:pPr>
        <w:tabs>
          <w:tab w:val="num" w:pos="1434"/>
        </w:tabs>
        <w:ind w:left="1434" w:hanging="1008"/>
      </w:pPr>
      <w:rPr>
        <w:rFonts w:cs="Times New Roman" w:hint="default"/>
      </w:rPr>
    </w:lvl>
    <w:lvl w:ilvl="5">
      <w:start w:val="1"/>
      <w:numFmt w:val="decimal"/>
      <w:lvlText w:val="%1.%2.%3.%4.%5.%6"/>
      <w:lvlJc w:val="left"/>
      <w:pPr>
        <w:tabs>
          <w:tab w:val="num" w:pos="1578"/>
        </w:tabs>
        <w:ind w:left="1578" w:hanging="1152"/>
      </w:pPr>
      <w:rPr>
        <w:rFonts w:cs="Times New Roman" w:hint="default"/>
      </w:rPr>
    </w:lvl>
    <w:lvl w:ilvl="6">
      <w:start w:val="1"/>
      <w:numFmt w:val="decimal"/>
      <w:lvlText w:val="%1.%2.%3.%4.%5.%6.%7"/>
      <w:lvlJc w:val="left"/>
      <w:pPr>
        <w:tabs>
          <w:tab w:val="num" w:pos="1722"/>
        </w:tabs>
        <w:ind w:left="1722" w:hanging="1296"/>
      </w:pPr>
      <w:rPr>
        <w:rFonts w:cs="Times New Roman" w:hint="default"/>
      </w:rPr>
    </w:lvl>
    <w:lvl w:ilvl="7">
      <w:start w:val="1"/>
      <w:numFmt w:val="decimal"/>
      <w:lvlText w:val="%1.%2.%3.%4.%5.%6.%7.%8"/>
      <w:lvlJc w:val="left"/>
      <w:pPr>
        <w:tabs>
          <w:tab w:val="num" w:pos="1866"/>
        </w:tabs>
        <w:ind w:left="1866" w:hanging="1440"/>
      </w:pPr>
      <w:rPr>
        <w:rFonts w:cs="Times New Roman" w:hint="default"/>
      </w:rPr>
    </w:lvl>
    <w:lvl w:ilvl="8">
      <w:start w:val="1"/>
      <w:numFmt w:val="decimal"/>
      <w:lvlText w:val="%1.%2.%3.%4.%5.%6.%7.%8.%9"/>
      <w:lvlJc w:val="left"/>
      <w:pPr>
        <w:tabs>
          <w:tab w:val="num" w:pos="2010"/>
        </w:tabs>
        <w:ind w:left="2010" w:hanging="1584"/>
      </w:pPr>
      <w:rPr>
        <w:rFonts w:cs="Times New Roman" w:hint="default"/>
      </w:r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BB26458"/>
    <w:multiLevelType w:val="multilevel"/>
    <w:tmpl w:val="085C0706"/>
    <w:lvl w:ilvl="0">
      <w:start w:val="1"/>
      <w:numFmt w:val="decimal"/>
      <w:pStyle w:val="OutlineLev1"/>
      <w:lvlText w:val="%1."/>
      <w:lvlJc w:val="left"/>
      <w:pPr>
        <w:tabs>
          <w:tab w:val="num" w:pos="360"/>
        </w:tabs>
        <w:ind w:left="360" w:hanging="360"/>
      </w:pPr>
      <w:rPr>
        <w:rFonts w:ascii="Book Antiqua" w:hAnsi="Book Antiqua" w:cs="Times New Roman" w:hint="default"/>
        <w:b w:val="0"/>
        <w:i w:val="0"/>
        <w:sz w:val="24"/>
      </w:rPr>
    </w:lvl>
    <w:lvl w:ilvl="1">
      <w:start w:val="1"/>
      <w:numFmt w:val="bullet"/>
      <w:pStyle w:val="OutlineLev2"/>
      <w:lvlText w:val=""/>
      <w:lvlJc w:val="left"/>
      <w:pPr>
        <w:tabs>
          <w:tab w:val="num" w:pos="720"/>
        </w:tabs>
        <w:ind w:left="720" w:hanging="360"/>
      </w:pPr>
      <w:rPr>
        <w:rFonts w:ascii="Symbol" w:hAnsi="Symbol" w:hint="default"/>
        <w:sz w:val="16"/>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2EF1A88"/>
    <w:multiLevelType w:val="hybridMultilevel"/>
    <w:tmpl w:val="F3165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72630A6"/>
    <w:multiLevelType w:val="hybridMultilevel"/>
    <w:tmpl w:val="35986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47E31FB5"/>
    <w:multiLevelType w:val="multilevel"/>
    <w:tmpl w:val="D1704D06"/>
    <w:lvl w:ilvl="0">
      <w:start w:val="1"/>
      <w:numFmt w:val="bullet"/>
      <w:pStyle w:val="Dot-points"/>
      <w:lvlText w:val=""/>
      <w:lvlJc w:val="left"/>
      <w:pPr>
        <w:tabs>
          <w:tab w:val="num" w:pos="360"/>
        </w:tabs>
        <w:ind w:left="360" w:hanging="360"/>
      </w:pPr>
      <w:rPr>
        <w:rFonts w:ascii="Symbol" w:hAnsi="Symbol" w:hint="default"/>
        <w:sz w:val="18"/>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9C12F88"/>
    <w:multiLevelType w:val="multilevel"/>
    <w:tmpl w:val="3E968F10"/>
    <w:lvl w:ilvl="0">
      <w:start w:val="1"/>
      <w:numFmt w:val="decimal"/>
      <w:lvlText w:val="%1."/>
      <w:lvlJc w:val="left"/>
      <w:pPr>
        <w:tabs>
          <w:tab w:val="num" w:pos="360"/>
        </w:tabs>
        <w:ind w:left="360" w:hanging="360"/>
      </w:pPr>
      <w:rPr>
        <w:rFonts w:cs="Times New Roman" w:hint="default"/>
        <w:i w:val="0"/>
        <w:sz w:val="18"/>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565672AA"/>
    <w:multiLevelType w:val="multilevel"/>
    <w:tmpl w:val="CEFEA6E6"/>
    <w:lvl w:ilvl="0">
      <w:start w:val="1"/>
      <w:numFmt w:val="bullet"/>
      <w:lvlText w:val=""/>
      <w:lvlJc w:val="left"/>
      <w:pPr>
        <w:tabs>
          <w:tab w:val="num" w:pos="1146"/>
        </w:tabs>
        <w:ind w:left="1146" w:hanging="720"/>
      </w:pPr>
      <w:rPr>
        <w:rFonts w:ascii="Symbol" w:hAnsi="Symbol" w:hint="default"/>
        <w:b/>
        <w:i w:val="0"/>
        <w:sz w:val="22"/>
        <w:szCs w:val="22"/>
      </w:rPr>
    </w:lvl>
    <w:lvl w:ilvl="1">
      <w:start w:val="1"/>
      <w:numFmt w:val="decimal"/>
      <w:lvlText w:val="%1.%2"/>
      <w:lvlJc w:val="left"/>
      <w:pPr>
        <w:tabs>
          <w:tab w:val="num" w:pos="1002"/>
        </w:tabs>
        <w:ind w:left="1002" w:hanging="576"/>
      </w:pPr>
      <w:rPr>
        <w:rFonts w:cs="Times New Roman" w:hint="default"/>
      </w:rPr>
    </w:lvl>
    <w:lvl w:ilvl="2">
      <w:start w:val="1"/>
      <w:numFmt w:val="decimal"/>
      <w:lvlText w:val="%1.%2.%3"/>
      <w:lvlJc w:val="left"/>
      <w:pPr>
        <w:tabs>
          <w:tab w:val="num" w:pos="1146"/>
        </w:tabs>
        <w:ind w:left="1146" w:hanging="720"/>
      </w:pPr>
      <w:rPr>
        <w:rFonts w:cs="Times New Roman" w:hint="default"/>
        <w:b/>
        <w:i w:val="0"/>
        <w:sz w:val="22"/>
      </w:rPr>
    </w:lvl>
    <w:lvl w:ilvl="3">
      <w:start w:val="1"/>
      <w:numFmt w:val="decimal"/>
      <w:lvlText w:val="%1.%2.%3.%4"/>
      <w:lvlJc w:val="left"/>
      <w:pPr>
        <w:tabs>
          <w:tab w:val="num" w:pos="1574"/>
        </w:tabs>
        <w:ind w:left="1574" w:hanging="864"/>
      </w:pPr>
      <w:rPr>
        <w:rFonts w:cs="Times New Roman" w:hint="default"/>
      </w:rPr>
    </w:lvl>
    <w:lvl w:ilvl="4">
      <w:start w:val="1"/>
      <w:numFmt w:val="decimal"/>
      <w:lvlText w:val="%1.%2.%3.%4.%5"/>
      <w:lvlJc w:val="left"/>
      <w:pPr>
        <w:tabs>
          <w:tab w:val="num" w:pos="1434"/>
        </w:tabs>
        <w:ind w:left="1434" w:hanging="1008"/>
      </w:pPr>
      <w:rPr>
        <w:rFonts w:cs="Times New Roman" w:hint="default"/>
      </w:rPr>
    </w:lvl>
    <w:lvl w:ilvl="5">
      <w:start w:val="1"/>
      <w:numFmt w:val="decimal"/>
      <w:lvlText w:val="%1.%2.%3.%4.%5.%6"/>
      <w:lvlJc w:val="left"/>
      <w:pPr>
        <w:tabs>
          <w:tab w:val="num" w:pos="1578"/>
        </w:tabs>
        <w:ind w:left="1578" w:hanging="1152"/>
      </w:pPr>
      <w:rPr>
        <w:rFonts w:cs="Times New Roman" w:hint="default"/>
      </w:rPr>
    </w:lvl>
    <w:lvl w:ilvl="6">
      <w:start w:val="1"/>
      <w:numFmt w:val="decimal"/>
      <w:lvlText w:val="%1.%2.%3.%4.%5.%6.%7"/>
      <w:lvlJc w:val="left"/>
      <w:pPr>
        <w:tabs>
          <w:tab w:val="num" w:pos="1722"/>
        </w:tabs>
        <w:ind w:left="1722" w:hanging="1296"/>
      </w:pPr>
      <w:rPr>
        <w:rFonts w:cs="Times New Roman" w:hint="default"/>
      </w:rPr>
    </w:lvl>
    <w:lvl w:ilvl="7">
      <w:start w:val="1"/>
      <w:numFmt w:val="decimal"/>
      <w:lvlText w:val="%1.%2.%3.%4.%5.%6.%7.%8"/>
      <w:lvlJc w:val="left"/>
      <w:pPr>
        <w:tabs>
          <w:tab w:val="num" w:pos="1866"/>
        </w:tabs>
        <w:ind w:left="1866" w:hanging="1440"/>
      </w:pPr>
      <w:rPr>
        <w:rFonts w:cs="Times New Roman" w:hint="default"/>
      </w:rPr>
    </w:lvl>
    <w:lvl w:ilvl="8">
      <w:start w:val="1"/>
      <w:numFmt w:val="decimal"/>
      <w:lvlText w:val="%1.%2.%3.%4.%5.%6.%7.%8.%9"/>
      <w:lvlJc w:val="left"/>
      <w:pPr>
        <w:tabs>
          <w:tab w:val="num" w:pos="2010"/>
        </w:tabs>
        <w:ind w:left="2010" w:hanging="1584"/>
      </w:pPr>
      <w:rPr>
        <w:rFonts w:cs="Times New Roman" w:hint="default"/>
      </w:rPr>
    </w:lvl>
  </w:abstractNum>
  <w:abstractNum w:abstractNumId="33">
    <w:nsid w:val="594336E9"/>
    <w:multiLevelType w:val="multilevel"/>
    <w:tmpl w:val="3E968F10"/>
    <w:lvl w:ilvl="0">
      <w:start w:val="1"/>
      <w:numFmt w:val="decimal"/>
      <w:lvlText w:val="%1."/>
      <w:lvlJc w:val="left"/>
      <w:pPr>
        <w:tabs>
          <w:tab w:val="num" w:pos="360"/>
        </w:tabs>
        <w:ind w:left="360" w:hanging="360"/>
      </w:pPr>
      <w:rPr>
        <w:rFonts w:cs="Times New Roman" w:hint="default"/>
        <w:i w:val="0"/>
        <w:sz w:val="18"/>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5E3C78E1"/>
    <w:multiLevelType w:val="hybridMultilevel"/>
    <w:tmpl w:val="52CA8B46"/>
    <w:lvl w:ilvl="0" w:tplc="034A9174">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5F8372AC"/>
    <w:multiLevelType w:val="multilevel"/>
    <w:tmpl w:val="F86C03D8"/>
    <w:lvl w:ilvl="0">
      <w:start w:val="1"/>
      <w:numFmt w:val="decimal"/>
      <w:pStyle w:val="Heading1"/>
      <w:lvlText w:val="%1"/>
      <w:lvlJc w:val="left"/>
      <w:pPr>
        <w:tabs>
          <w:tab w:val="num" w:pos="720"/>
        </w:tabs>
        <w:ind w:left="720" w:hanging="720"/>
      </w:pPr>
      <w:rPr>
        <w:rFonts w:ascii="Book Antiqua" w:hAnsi="Book Antiqua" w:cs="Times New Roman" w:hint="default"/>
        <w:b/>
        <w:i w:val="0"/>
        <w:caps w:val="0"/>
        <w:strike w:val="0"/>
        <w:dstrike w:val="0"/>
        <w:outline w:val="0"/>
        <w:shadow w:val="0"/>
        <w:emboss w:val="0"/>
        <w:imprint w:val="0"/>
        <w:vanish w:val="0"/>
        <w:sz w:val="32"/>
        <w:vertAlign w:val="baseline"/>
      </w:rPr>
    </w:lvl>
    <w:lvl w:ilvl="1">
      <w:start w:val="1"/>
      <w:numFmt w:val="decimal"/>
      <w:pStyle w:val="Heading2"/>
      <w:lvlText w:val="%1.%2"/>
      <w:lvlJc w:val="left"/>
      <w:pPr>
        <w:tabs>
          <w:tab w:val="num" w:pos="718"/>
        </w:tabs>
        <w:ind w:left="718" w:hanging="718"/>
      </w:pPr>
      <w:rPr>
        <w:rFonts w:ascii="Book Antiqua" w:hAnsi="Book Antiqua" w:cs="Times New Roman" w:hint="default"/>
        <w:b/>
        <w:i w:val="0"/>
        <w:sz w:val="24"/>
      </w:rPr>
    </w:lvl>
    <w:lvl w:ilvl="2">
      <w:start w:val="1"/>
      <w:numFmt w:val="decimal"/>
      <w:pStyle w:val="Heading3"/>
      <w:lvlText w:val="%1.%2.%3"/>
      <w:lvlJc w:val="left"/>
      <w:pPr>
        <w:tabs>
          <w:tab w:val="num" w:pos="720"/>
        </w:tabs>
        <w:ind w:left="720" w:hanging="720"/>
      </w:pPr>
      <w:rPr>
        <w:rFonts w:ascii="Book Antiqua" w:hAnsi="Book Antiqua" w:cs="Times New Roman" w:hint="default"/>
        <w:b/>
        <w:i w:val="0"/>
        <w:caps w:val="0"/>
        <w:strike w:val="0"/>
        <w:dstrike w:val="0"/>
        <w:outline w:val="0"/>
        <w:shadow w:val="0"/>
        <w:emboss w:val="0"/>
        <w:imprint w:val="0"/>
        <w:vanish w:val="0"/>
        <w:sz w:val="22"/>
        <w:vertAlign w:val="baseline"/>
      </w:rPr>
    </w:lvl>
    <w:lvl w:ilvl="3">
      <w:start w:val="1"/>
      <w:numFmt w:val="decimal"/>
      <w:pStyle w:val="Heading4"/>
      <w:lvlText w:val="%1.%2.%3.%4"/>
      <w:lvlJc w:val="left"/>
      <w:pPr>
        <w:tabs>
          <w:tab w:val="num" w:pos="864"/>
        </w:tabs>
        <w:ind w:left="864" w:hanging="864"/>
      </w:pPr>
      <w:rPr>
        <w:rFonts w:ascii="Book Antiqua" w:hAnsi="Book Antiqua" w:cs="Times New Roman" w:hint="default"/>
        <w:b w:val="0"/>
        <w:i/>
        <w:caps w:val="0"/>
        <w:strike w:val="0"/>
        <w:dstrike w:val="0"/>
        <w:outline w:val="0"/>
        <w:shadow w:val="0"/>
        <w:emboss w:val="0"/>
        <w:imprint w:val="0"/>
        <w:vanish w:val="0"/>
        <w:sz w:val="22"/>
        <w:vertAlign w:val="baseline"/>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6">
    <w:nsid w:val="62BF14C6"/>
    <w:multiLevelType w:val="multilevel"/>
    <w:tmpl w:val="3E968F10"/>
    <w:lvl w:ilvl="0">
      <w:start w:val="1"/>
      <w:numFmt w:val="decimal"/>
      <w:lvlText w:val="%1."/>
      <w:lvlJc w:val="left"/>
      <w:pPr>
        <w:tabs>
          <w:tab w:val="num" w:pos="360"/>
        </w:tabs>
        <w:ind w:left="360" w:hanging="360"/>
      </w:pPr>
      <w:rPr>
        <w:rFonts w:cs="Times New Roman" w:hint="default"/>
        <w:i w:val="0"/>
        <w:sz w:val="18"/>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640D12AB"/>
    <w:multiLevelType w:val="hybridMultilevel"/>
    <w:tmpl w:val="21424E38"/>
    <w:lvl w:ilvl="0" w:tplc="0E960DB8">
      <w:start w:val="1"/>
      <w:numFmt w:val="decimal"/>
      <w:lvlText w:val="(%1)"/>
      <w:lvlJc w:val="left"/>
      <w:pPr>
        <w:tabs>
          <w:tab w:val="num" w:pos="360"/>
        </w:tabs>
        <w:ind w:left="360" w:hanging="360"/>
      </w:pPr>
      <w:rPr>
        <w:rFonts w:cs="Times New Roman" w:hint="default"/>
      </w:rPr>
    </w:lvl>
    <w:lvl w:ilvl="1" w:tplc="A5B0F7FC" w:tentative="1">
      <w:start w:val="1"/>
      <w:numFmt w:val="lowerLetter"/>
      <w:lvlText w:val="%2."/>
      <w:lvlJc w:val="left"/>
      <w:pPr>
        <w:tabs>
          <w:tab w:val="num" w:pos="1080"/>
        </w:tabs>
        <w:ind w:left="1080" w:hanging="360"/>
      </w:pPr>
      <w:rPr>
        <w:rFonts w:cs="Times New Roman"/>
      </w:rPr>
    </w:lvl>
    <w:lvl w:ilvl="2" w:tplc="45E83232" w:tentative="1">
      <w:start w:val="1"/>
      <w:numFmt w:val="lowerRoman"/>
      <w:lvlText w:val="%3."/>
      <w:lvlJc w:val="right"/>
      <w:pPr>
        <w:tabs>
          <w:tab w:val="num" w:pos="1800"/>
        </w:tabs>
        <w:ind w:left="1800" w:hanging="180"/>
      </w:pPr>
      <w:rPr>
        <w:rFonts w:cs="Times New Roman"/>
      </w:rPr>
    </w:lvl>
    <w:lvl w:ilvl="3" w:tplc="F5F8EDF2">
      <w:start w:val="1"/>
      <w:numFmt w:val="decimal"/>
      <w:lvlText w:val="%4."/>
      <w:lvlJc w:val="left"/>
      <w:pPr>
        <w:tabs>
          <w:tab w:val="num" w:pos="2520"/>
        </w:tabs>
        <w:ind w:left="2520" w:hanging="360"/>
      </w:pPr>
      <w:rPr>
        <w:rFonts w:cs="Times New Roman"/>
      </w:rPr>
    </w:lvl>
    <w:lvl w:ilvl="4" w:tplc="24E85EE6" w:tentative="1">
      <w:start w:val="1"/>
      <w:numFmt w:val="lowerLetter"/>
      <w:lvlText w:val="%5."/>
      <w:lvlJc w:val="left"/>
      <w:pPr>
        <w:tabs>
          <w:tab w:val="num" w:pos="3240"/>
        </w:tabs>
        <w:ind w:left="3240" w:hanging="360"/>
      </w:pPr>
      <w:rPr>
        <w:rFonts w:cs="Times New Roman"/>
      </w:rPr>
    </w:lvl>
    <w:lvl w:ilvl="5" w:tplc="389047A2" w:tentative="1">
      <w:start w:val="1"/>
      <w:numFmt w:val="lowerRoman"/>
      <w:lvlText w:val="%6."/>
      <w:lvlJc w:val="right"/>
      <w:pPr>
        <w:tabs>
          <w:tab w:val="num" w:pos="3960"/>
        </w:tabs>
        <w:ind w:left="3960" w:hanging="180"/>
      </w:pPr>
      <w:rPr>
        <w:rFonts w:cs="Times New Roman"/>
      </w:rPr>
    </w:lvl>
    <w:lvl w:ilvl="6" w:tplc="7D4657BA" w:tentative="1">
      <w:start w:val="1"/>
      <w:numFmt w:val="decimal"/>
      <w:lvlText w:val="%7."/>
      <w:lvlJc w:val="left"/>
      <w:pPr>
        <w:tabs>
          <w:tab w:val="num" w:pos="4680"/>
        </w:tabs>
        <w:ind w:left="4680" w:hanging="360"/>
      </w:pPr>
      <w:rPr>
        <w:rFonts w:cs="Times New Roman"/>
      </w:rPr>
    </w:lvl>
    <w:lvl w:ilvl="7" w:tplc="FC78471C" w:tentative="1">
      <w:start w:val="1"/>
      <w:numFmt w:val="lowerLetter"/>
      <w:lvlText w:val="%8."/>
      <w:lvlJc w:val="left"/>
      <w:pPr>
        <w:tabs>
          <w:tab w:val="num" w:pos="5400"/>
        </w:tabs>
        <w:ind w:left="5400" w:hanging="360"/>
      </w:pPr>
      <w:rPr>
        <w:rFonts w:cs="Times New Roman"/>
      </w:rPr>
    </w:lvl>
    <w:lvl w:ilvl="8" w:tplc="498622B4" w:tentative="1">
      <w:start w:val="1"/>
      <w:numFmt w:val="lowerRoman"/>
      <w:lvlText w:val="%9."/>
      <w:lvlJc w:val="right"/>
      <w:pPr>
        <w:tabs>
          <w:tab w:val="num" w:pos="6120"/>
        </w:tabs>
        <w:ind w:left="6120" w:hanging="180"/>
      </w:pPr>
      <w:rPr>
        <w:rFonts w:cs="Times New Roman"/>
      </w:rPr>
    </w:lvl>
  </w:abstractNum>
  <w:abstractNum w:abstractNumId="38">
    <w:nsid w:val="64E153E7"/>
    <w:multiLevelType w:val="hybridMultilevel"/>
    <w:tmpl w:val="140C7764"/>
    <w:lvl w:ilvl="0" w:tplc="287C6FEA">
      <w:start w:val="3"/>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84B4745"/>
    <w:multiLevelType w:val="multilevel"/>
    <w:tmpl w:val="88E40C24"/>
    <w:lvl w:ilvl="0">
      <w:start w:val="1"/>
      <w:numFmt w:val="lowerRoman"/>
      <w:lvlText w:val="(%1)"/>
      <w:lvlJc w:val="left"/>
      <w:pPr>
        <w:tabs>
          <w:tab w:val="num" w:pos="1080"/>
        </w:tabs>
        <w:ind w:left="360" w:hanging="360"/>
      </w:pPr>
      <w:rPr>
        <w:rFonts w:cs="Times New Roman"/>
      </w:rPr>
    </w:lvl>
    <w:lvl w:ilvl="1">
      <w:start w:val="1"/>
      <w:numFmt w:val="bullet"/>
      <w:pStyle w:val="Dotpoint2ndCONSITES"/>
      <w:lvlText w:val=""/>
      <w:lvlJc w:val="left"/>
      <w:pPr>
        <w:tabs>
          <w:tab w:val="num" w:pos="720"/>
        </w:tabs>
        <w:ind w:left="720" w:hanging="360"/>
      </w:pPr>
      <w:rPr>
        <w:rFonts w:ascii="Symbol" w:hAnsi="Symbol" w:hint="default"/>
        <w:sz w:val="16"/>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8EF70B0"/>
    <w:multiLevelType w:val="hybridMultilevel"/>
    <w:tmpl w:val="D82E1088"/>
    <w:lvl w:ilvl="0" w:tplc="F6BEA1E4">
      <w:start w:val="1"/>
      <w:numFmt w:val="decimal"/>
      <w:lvlText w:val="(%1)"/>
      <w:lvlJc w:val="left"/>
      <w:pPr>
        <w:tabs>
          <w:tab w:val="num" w:pos="360"/>
        </w:tabs>
        <w:ind w:left="360" w:hanging="360"/>
      </w:pPr>
      <w:rPr>
        <w:rFonts w:cs="Times New Roman" w:hint="default"/>
      </w:rPr>
    </w:lvl>
    <w:lvl w:ilvl="1" w:tplc="3000E862" w:tentative="1">
      <w:start w:val="1"/>
      <w:numFmt w:val="lowerLetter"/>
      <w:lvlText w:val="%2."/>
      <w:lvlJc w:val="left"/>
      <w:pPr>
        <w:tabs>
          <w:tab w:val="num" w:pos="1440"/>
        </w:tabs>
        <w:ind w:left="1440" w:hanging="360"/>
      </w:pPr>
      <w:rPr>
        <w:rFonts w:cs="Times New Roman"/>
      </w:rPr>
    </w:lvl>
    <w:lvl w:ilvl="2" w:tplc="A3EADCCC" w:tentative="1">
      <w:start w:val="1"/>
      <w:numFmt w:val="lowerRoman"/>
      <w:lvlText w:val="%3."/>
      <w:lvlJc w:val="right"/>
      <w:pPr>
        <w:tabs>
          <w:tab w:val="num" w:pos="2160"/>
        </w:tabs>
        <w:ind w:left="2160" w:hanging="180"/>
      </w:pPr>
      <w:rPr>
        <w:rFonts w:cs="Times New Roman"/>
      </w:rPr>
    </w:lvl>
    <w:lvl w:ilvl="3" w:tplc="101C7072" w:tentative="1">
      <w:start w:val="1"/>
      <w:numFmt w:val="decimal"/>
      <w:lvlText w:val="%4."/>
      <w:lvlJc w:val="left"/>
      <w:pPr>
        <w:tabs>
          <w:tab w:val="num" w:pos="2880"/>
        </w:tabs>
        <w:ind w:left="2880" w:hanging="360"/>
      </w:pPr>
      <w:rPr>
        <w:rFonts w:cs="Times New Roman"/>
      </w:rPr>
    </w:lvl>
    <w:lvl w:ilvl="4" w:tplc="626AD0A8" w:tentative="1">
      <w:start w:val="1"/>
      <w:numFmt w:val="lowerLetter"/>
      <w:lvlText w:val="%5."/>
      <w:lvlJc w:val="left"/>
      <w:pPr>
        <w:tabs>
          <w:tab w:val="num" w:pos="3600"/>
        </w:tabs>
        <w:ind w:left="3600" w:hanging="360"/>
      </w:pPr>
      <w:rPr>
        <w:rFonts w:cs="Times New Roman"/>
      </w:rPr>
    </w:lvl>
    <w:lvl w:ilvl="5" w:tplc="647C4FDC" w:tentative="1">
      <w:start w:val="1"/>
      <w:numFmt w:val="lowerRoman"/>
      <w:lvlText w:val="%6."/>
      <w:lvlJc w:val="right"/>
      <w:pPr>
        <w:tabs>
          <w:tab w:val="num" w:pos="4320"/>
        </w:tabs>
        <w:ind w:left="4320" w:hanging="180"/>
      </w:pPr>
      <w:rPr>
        <w:rFonts w:cs="Times New Roman"/>
      </w:rPr>
    </w:lvl>
    <w:lvl w:ilvl="6" w:tplc="01B4C99E" w:tentative="1">
      <w:start w:val="1"/>
      <w:numFmt w:val="decimal"/>
      <w:lvlText w:val="%7."/>
      <w:lvlJc w:val="left"/>
      <w:pPr>
        <w:tabs>
          <w:tab w:val="num" w:pos="5040"/>
        </w:tabs>
        <w:ind w:left="5040" w:hanging="360"/>
      </w:pPr>
      <w:rPr>
        <w:rFonts w:cs="Times New Roman"/>
      </w:rPr>
    </w:lvl>
    <w:lvl w:ilvl="7" w:tplc="5D7017F2" w:tentative="1">
      <w:start w:val="1"/>
      <w:numFmt w:val="lowerLetter"/>
      <w:lvlText w:val="%8."/>
      <w:lvlJc w:val="left"/>
      <w:pPr>
        <w:tabs>
          <w:tab w:val="num" w:pos="5760"/>
        </w:tabs>
        <w:ind w:left="5760" w:hanging="360"/>
      </w:pPr>
      <w:rPr>
        <w:rFonts w:cs="Times New Roman"/>
      </w:rPr>
    </w:lvl>
    <w:lvl w:ilvl="8" w:tplc="2426484C" w:tentative="1">
      <w:start w:val="1"/>
      <w:numFmt w:val="lowerRoman"/>
      <w:lvlText w:val="%9."/>
      <w:lvlJc w:val="right"/>
      <w:pPr>
        <w:tabs>
          <w:tab w:val="num" w:pos="6480"/>
        </w:tabs>
        <w:ind w:left="6480" w:hanging="180"/>
      </w:pPr>
      <w:rPr>
        <w:rFonts w:cs="Times New Roman"/>
      </w:rPr>
    </w:lvl>
  </w:abstractNum>
  <w:abstractNum w:abstractNumId="41">
    <w:nsid w:val="78A22BB8"/>
    <w:multiLevelType w:val="hybridMultilevel"/>
    <w:tmpl w:val="3CCA6F6C"/>
    <w:lvl w:ilvl="0" w:tplc="F2AA0C88">
      <w:start w:val="1"/>
      <w:numFmt w:val="decimal"/>
      <w:pStyle w:val="Numberedlist"/>
      <w:lvlText w:val="%1."/>
      <w:lvlJc w:val="left"/>
      <w:pPr>
        <w:tabs>
          <w:tab w:val="num" w:pos="570"/>
        </w:tabs>
        <w:ind w:left="570" w:hanging="57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2">
    <w:nsid w:val="7B0B1F74"/>
    <w:multiLevelType w:val="hybridMultilevel"/>
    <w:tmpl w:val="9D126074"/>
    <w:lvl w:ilvl="0" w:tplc="F320C0A6">
      <w:start w:val="1"/>
      <w:numFmt w:val="decimal"/>
      <w:lvlText w:val="%1."/>
      <w:lvlJc w:val="left"/>
      <w:pPr>
        <w:tabs>
          <w:tab w:val="num" w:pos="360"/>
        </w:tabs>
        <w:ind w:left="360" w:hanging="360"/>
      </w:pPr>
      <w:rPr>
        <w:rFonts w:cs="Times New Roman" w:hint="default"/>
        <w:i w:val="0"/>
      </w:rPr>
    </w:lvl>
    <w:lvl w:ilvl="1" w:tplc="28163044" w:tentative="1">
      <w:start w:val="1"/>
      <w:numFmt w:val="lowerLetter"/>
      <w:lvlText w:val="%2."/>
      <w:lvlJc w:val="left"/>
      <w:pPr>
        <w:tabs>
          <w:tab w:val="num" w:pos="1440"/>
        </w:tabs>
        <w:ind w:left="1440" w:hanging="360"/>
      </w:pPr>
      <w:rPr>
        <w:rFonts w:cs="Times New Roman"/>
      </w:rPr>
    </w:lvl>
    <w:lvl w:ilvl="2" w:tplc="0E461850" w:tentative="1">
      <w:start w:val="1"/>
      <w:numFmt w:val="lowerRoman"/>
      <w:lvlText w:val="%3."/>
      <w:lvlJc w:val="right"/>
      <w:pPr>
        <w:tabs>
          <w:tab w:val="num" w:pos="2160"/>
        </w:tabs>
        <w:ind w:left="2160" w:hanging="180"/>
      </w:pPr>
      <w:rPr>
        <w:rFonts w:cs="Times New Roman"/>
      </w:rPr>
    </w:lvl>
    <w:lvl w:ilvl="3" w:tplc="002C0DA4" w:tentative="1">
      <w:start w:val="1"/>
      <w:numFmt w:val="decimal"/>
      <w:lvlText w:val="%4."/>
      <w:lvlJc w:val="left"/>
      <w:pPr>
        <w:tabs>
          <w:tab w:val="num" w:pos="2880"/>
        </w:tabs>
        <w:ind w:left="2880" w:hanging="360"/>
      </w:pPr>
      <w:rPr>
        <w:rFonts w:cs="Times New Roman"/>
      </w:rPr>
    </w:lvl>
    <w:lvl w:ilvl="4" w:tplc="BAD02D72" w:tentative="1">
      <w:start w:val="1"/>
      <w:numFmt w:val="lowerLetter"/>
      <w:lvlText w:val="%5."/>
      <w:lvlJc w:val="left"/>
      <w:pPr>
        <w:tabs>
          <w:tab w:val="num" w:pos="3600"/>
        </w:tabs>
        <w:ind w:left="3600" w:hanging="360"/>
      </w:pPr>
      <w:rPr>
        <w:rFonts w:cs="Times New Roman"/>
      </w:rPr>
    </w:lvl>
    <w:lvl w:ilvl="5" w:tplc="D1C62D2A" w:tentative="1">
      <w:start w:val="1"/>
      <w:numFmt w:val="lowerRoman"/>
      <w:lvlText w:val="%6."/>
      <w:lvlJc w:val="right"/>
      <w:pPr>
        <w:tabs>
          <w:tab w:val="num" w:pos="4320"/>
        </w:tabs>
        <w:ind w:left="4320" w:hanging="180"/>
      </w:pPr>
      <w:rPr>
        <w:rFonts w:cs="Times New Roman"/>
      </w:rPr>
    </w:lvl>
    <w:lvl w:ilvl="6" w:tplc="FB4C1D6E" w:tentative="1">
      <w:start w:val="1"/>
      <w:numFmt w:val="decimal"/>
      <w:lvlText w:val="%7."/>
      <w:lvlJc w:val="left"/>
      <w:pPr>
        <w:tabs>
          <w:tab w:val="num" w:pos="5040"/>
        </w:tabs>
        <w:ind w:left="5040" w:hanging="360"/>
      </w:pPr>
      <w:rPr>
        <w:rFonts w:cs="Times New Roman"/>
      </w:rPr>
    </w:lvl>
    <w:lvl w:ilvl="7" w:tplc="50FC50BE" w:tentative="1">
      <w:start w:val="1"/>
      <w:numFmt w:val="lowerLetter"/>
      <w:lvlText w:val="%8."/>
      <w:lvlJc w:val="left"/>
      <w:pPr>
        <w:tabs>
          <w:tab w:val="num" w:pos="5760"/>
        </w:tabs>
        <w:ind w:left="5760" w:hanging="360"/>
      </w:pPr>
      <w:rPr>
        <w:rFonts w:cs="Times New Roman"/>
      </w:rPr>
    </w:lvl>
    <w:lvl w:ilvl="8" w:tplc="01ECFE78" w:tentative="1">
      <w:start w:val="1"/>
      <w:numFmt w:val="lowerRoman"/>
      <w:lvlText w:val="%9."/>
      <w:lvlJc w:val="right"/>
      <w:pPr>
        <w:tabs>
          <w:tab w:val="num" w:pos="6480"/>
        </w:tabs>
        <w:ind w:left="6480" w:hanging="180"/>
      </w:pPr>
      <w:rPr>
        <w:rFonts w:cs="Times New Roman"/>
      </w:rPr>
    </w:lvl>
  </w:abstractNum>
  <w:abstractNum w:abstractNumId="43">
    <w:nsid w:val="7B997F39"/>
    <w:multiLevelType w:val="hybridMultilevel"/>
    <w:tmpl w:val="D4FEC26E"/>
    <w:lvl w:ilvl="0" w:tplc="FE825A0C">
      <w:start w:val="1"/>
      <w:numFmt w:val="decimal"/>
      <w:lvlText w:val="%1."/>
      <w:lvlJc w:val="left"/>
      <w:pPr>
        <w:tabs>
          <w:tab w:val="num" w:pos="360"/>
        </w:tabs>
        <w:ind w:left="360" w:hanging="360"/>
      </w:pPr>
      <w:rPr>
        <w:rFonts w:ascii="Book Antiqua" w:hAnsi="Book Antiqua"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39"/>
  </w:num>
  <w:num w:numId="14">
    <w:abstractNumId w:val="20"/>
  </w:num>
  <w:num w:numId="15">
    <w:abstractNumId w:val="30"/>
  </w:num>
  <w:num w:numId="16">
    <w:abstractNumId w:val="27"/>
  </w:num>
  <w:num w:numId="17">
    <w:abstractNumId w:val="37"/>
  </w:num>
  <w:num w:numId="18">
    <w:abstractNumId w:val="40"/>
  </w:num>
  <w:num w:numId="19">
    <w:abstractNumId w:val="41"/>
  </w:num>
  <w:num w:numId="20">
    <w:abstractNumId w:val="16"/>
  </w:num>
  <w:num w:numId="21">
    <w:abstractNumId w:val="14"/>
  </w:num>
  <w:num w:numId="22">
    <w:abstractNumId w:val="42"/>
  </w:num>
  <w:num w:numId="23">
    <w:abstractNumId w:val="17"/>
  </w:num>
  <w:num w:numId="24">
    <w:abstractNumId w:val="23"/>
  </w:num>
  <w:num w:numId="25">
    <w:abstractNumId w:val="24"/>
  </w:num>
  <w:num w:numId="26">
    <w:abstractNumId w:val="35"/>
  </w:num>
  <w:num w:numId="27">
    <w:abstractNumId w:val="34"/>
  </w:num>
  <w:num w:numId="28">
    <w:abstractNumId w:val="12"/>
  </w:num>
  <w:num w:numId="29">
    <w:abstractNumId w:val="28"/>
  </w:num>
  <w:num w:numId="30">
    <w:abstractNumId w:val="10"/>
  </w:num>
  <w:num w:numId="31">
    <w:abstractNumId w:val="32"/>
  </w:num>
  <w:num w:numId="32">
    <w:abstractNumId w:val="25"/>
  </w:num>
  <w:num w:numId="33">
    <w:abstractNumId w:val="29"/>
  </w:num>
  <w:num w:numId="34">
    <w:abstractNumId w:val="22"/>
  </w:num>
  <w:num w:numId="35">
    <w:abstractNumId w:val="43"/>
  </w:num>
  <w:num w:numId="36">
    <w:abstractNumId w:val="38"/>
  </w:num>
  <w:num w:numId="37">
    <w:abstractNumId w:val="15"/>
  </w:num>
  <w:num w:numId="38">
    <w:abstractNumId w:val="19"/>
  </w:num>
  <w:num w:numId="39">
    <w:abstractNumId w:val="11"/>
  </w:num>
  <w:num w:numId="40">
    <w:abstractNumId w:val="18"/>
  </w:num>
  <w:num w:numId="41">
    <w:abstractNumId w:val="31"/>
  </w:num>
  <w:num w:numId="42">
    <w:abstractNumId w:val="36"/>
  </w:num>
  <w:num w:numId="43">
    <w:abstractNumId w:val="2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7C"/>
    <w:rsid w:val="000136AF"/>
    <w:rsid w:val="00014B9A"/>
    <w:rsid w:val="000279D9"/>
    <w:rsid w:val="000614BF"/>
    <w:rsid w:val="00087033"/>
    <w:rsid w:val="000C0F87"/>
    <w:rsid w:val="000D05EF"/>
    <w:rsid w:val="000F21C1"/>
    <w:rsid w:val="000F57E9"/>
    <w:rsid w:val="001016D1"/>
    <w:rsid w:val="0010745C"/>
    <w:rsid w:val="0011206D"/>
    <w:rsid w:val="00134B66"/>
    <w:rsid w:val="00155EAD"/>
    <w:rsid w:val="0016384B"/>
    <w:rsid w:val="00166C2F"/>
    <w:rsid w:val="0018435F"/>
    <w:rsid w:val="00192C28"/>
    <w:rsid w:val="001939E1"/>
    <w:rsid w:val="00195382"/>
    <w:rsid w:val="001A61D8"/>
    <w:rsid w:val="001B0F61"/>
    <w:rsid w:val="001B6F44"/>
    <w:rsid w:val="001C69C4"/>
    <w:rsid w:val="001E3590"/>
    <w:rsid w:val="001E7407"/>
    <w:rsid w:val="00240749"/>
    <w:rsid w:val="0024239A"/>
    <w:rsid w:val="00271CD8"/>
    <w:rsid w:val="00297ECB"/>
    <w:rsid w:val="002D043A"/>
    <w:rsid w:val="00313C6F"/>
    <w:rsid w:val="003236CC"/>
    <w:rsid w:val="003415D3"/>
    <w:rsid w:val="00352B0F"/>
    <w:rsid w:val="00366A72"/>
    <w:rsid w:val="00385A36"/>
    <w:rsid w:val="003B1AE4"/>
    <w:rsid w:val="003B7FD7"/>
    <w:rsid w:val="003C4458"/>
    <w:rsid w:val="003D0BFE"/>
    <w:rsid w:val="003D5700"/>
    <w:rsid w:val="003F6414"/>
    <w:rsid w:val="004116CD"/>
    <w:rsid w:val="004171A3"/>
    <w:rsid w:val="00422E42"/>
    <w:rsid w:val="00424CA9"/>
    <w:rsid w:val="0043512F"/>
    <w:rsid w:val="004422F7"/>
    <w:rsid w:val="0044291A"/>
    <w:rsid w:val="00481A73"/>
    <w:rsid w:val="00496F97"/>
    <w:rsid w:val="004A5616"/>
    <w:rsid w:val="00516B8D"/>
    <w:rsid w:val="005230DA"/>
    <w:rsid w:val="00537FBC"/>
    <w:rsid w:val="005838D8"/>
    <w:rsid w:val="00584811"/>
    <w:rsid w:val="00590138"/>
    <w:rsid w:val="00593AA6"/>
    <w:rsid w:val="00594161"/>
    <w:rsid w:val="00594749"/>
    <w:rsid w:val="005B0973"/>
    <w:rsid w:val="005B4067"/>
    <w:rsid w:val="005B4D28"/>
    <w:rsid w:val="005C3F41"/>
    <w:rsid w:val="00600219"/>
    <w:rsid w:val="00605166"/>
    <w:rsid w:val="00657303"/>
    <w:rsid w:val="00664C63"/>
    <w:rsid w:val="00677CC2"/>
    <w:rsid w:val="0069207B"/>
    <w:rsid w:val="006B0CF5"/>
    <w:rsid w:val="006C5791"/>
    <w:rsid w:val="006C7F8C"/>
    <w:rsid w:val="00700B2C"/>
    <w:rsid w:val="00701637"/>
    <w:rsid w:val="00713084"/>
    <w:rsid w:val="00731E00"/>
    <w:rsid w:val="007426EB"/>
    <w:rsid w:val="007440B7"/>
    <w:rsid w:val="007715C9"/>
    <w:rsid w:val="007737AA"/>
    <w:rsid w:val="00774EDD"/>
    <w:rsid w:val="007757EC"/>
    <w:rsid w:val="007D7132"/>
    <w:rsid w:val="007E335B"/>
    <w:rsid w:val="008009FD"/>
    <w:rsid w:val="00816A5C"/>
    <w:rsid w:val="00830815"/>
    <w:rsid w:val="00831791"/>
    <w:rsid w:val="008415F1"/>
    <w:rsid w:val="00845000"/>
    <w:rsid w:val="00856A31"/>
    <w:rsid w:val="008754D0"/>
    <w:rsid w:val="008C7139"/>
    <w:rsid w:val="008D0EE0"/>
    <w:rsid w:val="009209B0"/>
    <w:rsid w:val="00932377"/>
    <w:rsid w:val="00945981"/>
    <w:rsid w:val="00946DD4"/>
    <w:rsid w:val="009620C2"/>
    <w:rsid w:val="009A7507"/>
    <w:rsid w:val="00A03961"/>
    <w:rsid w:val="00A231E2"/>
    <w:rsid w:val="00A24CB9"/>
    <w:rsid w:val="00A25627"/>
    <w:rsid w:val="00A54E0F"/>
    <w:rsid w:val="00A6121F"/>
    <w:rsid w:val="00A64912"/>
    <w:rsid w:val="00A70A74"/>
    <w:rsid w:val="00A84F73"/>
    <w:rsid w:val="00A97702"/>
    <w:rsid w:val="00AB7B68"/>
    <w:rsid w:val="00AD5641"/>
    <w:rsid w:val="00AE59F7"/>
    <w:rsid w:val="00AE7BD7"/>
    <w:rsid w:val="00B2121A"/>
    <w:rsid w:val="00B33B3C"/>
    <w:rsid w:val="00B340B6"/>
    <w:rsid w:val="00B542A2"/>
    <w:rsid w:val="00B74BBD"/>
    <w:rsid w:val="00B77135"/>
    <w:rsid w:val="00B909AF"/>
    <w:rsid w:val="00B90D47"/>
    <w:rsid w:val="00BD5689"/>
    <w:rsid w:val="00BD6B2E"/>
    <w:rsid w:val="00BE719A"/>
    <w:rsid w:val="00BE720A"/>
    <w:rsid w:val="00C07039"/>
    <w:rsid w:val="00C255AB"/>
    <w:rsid w:val="00C42BF8"/>
    <w:rsid w:val="00C50043"/>
    <w:rsid w:val="00C70562"/>
    <w:rsid w:val="00C7573B"/>
    <w:rsid w:val="00C80CB2"/>
    <w:rsid w:val="00CF0BB2"/>
    <w:rsid w:val="00CF4975"/>
    <w:rsid w:val="00D13441"/>
    <w:rsid w:val="00D3213F"/>
    <w:rsid w:val="00D70DFB"/>
    <w:rsid w:val="00D766DF"/>
    <w:rsid w:val="00DA192E"/>
    <w:rsid w:val="00DA1C9D"/>
    <w:rsid w:val="00DC4A71"/>
    <w:rsid w:val="00DD2F26"/>
    <w:rsid w:val="00DF09AC"/>
    <w:rsid w:val="00DF5524"/>
    <w:rsid w:val="00E05704"/>
    <w:rsid w:val="00E4146C"/>
    <w:rsid w:val="00E74DC7"/>
    <w:rsid w:val="00E856CC"/>
    <w:rsid w:val="00E9136A"/>
    <w:rsid w:val="00ED1A6C"/>
    <w:rsid w:val="00EF2E3A"/>
    <w:rsid w:val="00F03917"/>
    <w:rsid w:val="00F06B7C"/>
    <w:rsid w:val="00F078DC"/>
    <w:rsid w:val="00F1779C"/>
    <w:rsid w:val="00F5076A"/>
    <w:rsid w:val="00FA3991"/>
    <w:rsid w:val="00FC7F11"/>
    <w:rsid w:val="00FD4A57"/>
    <w:rsid w:val="00FF4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rsid w:val="001C69C4"/>
    <w:pPr>
      <w:spacing w:line="260" w:lineRule="atLeast"/>
    </w:pPr>
    <w:rPr>
      <w:sz w:val="22"/>
    </w:rPr>
  </w:style>
  <w:style w:type="paragraph" w:styleId="Heading1">
    <w:name w:val="heading 1"/>
    <w:aliases w:val="Chapter Heading,Main Heading,h1,H1,A MAJOR/BOLD,Para,Heading a,Head 1,Head 11,Head 12,Head 111,Head 13,Head 112,Head 14,Head 113,Head 15,Head 114,Head 16,Head 115,Head 17,Head 116,Head 18,Head 117,Head 19,Head 118,Head 121,Head 1111,Head 131"/>
    <w:basedOn w:val="text"/>
    <w:next w:val="text"/>
    <w:link w:val="Heading1Char"/>
    <w:autoRedefine/>
    <w:uiPriority w:val="99"/>
    <w:qFormat/>
    <w:rsid w:val="00A97702"/>
    <w:pPr>
      <w:keepNext/>
      <w:pageBreakBefore/>
      <w:numPr>
        <w:numId w:val="26"/>
      </w:numPr>
      <w:spacing w:before="0"/>
      <w:ind w:left="709" w:hanging="709"/>
      <w:outlineLvl w:val="0"/>
    </w:pPr>
    <w:rPr>
      <w:b/>
      <w:kern w:val="28"/>
      <w:sz w:val="32"/>
      <w:szCs w:val="32"/>
    </w:rPr>
  </w:style>
  <w:style w:type="paragraph" w:styleId="Heading2">
    <w:name w:val="heading 2"/>
    <w:aliases w:val="Major Heading,h2,H2,2,h2 main heading,B Sub/Bold,B Sub/Bold1,B Sub/Bold2,B Sub/Bold11,h2 main heading1,h2 main heading2,B Sub/Bold3,B Sub/Bold12,h2 main heading3,B Sub/Bold4,B Sub/Bold13,Para2,SubPara,Reset numbering,Major,Header 2,l2,2m,h21"/>
    <w:basedOn w:val="Heading1"/>
    <w:next w:val="Normal"/>
    <w:link w:val="Heading2Char"/>
    <w:autoRedefine/>
    <w:uiPriority w:val="99"/>
    <w:qFormat/>
    <w:rsid w:val="00A97702"/>
    <w:pPr>
      <w:pageBreakBefore w:val="0"/>
      <w:numPr>
        <w:ilvl w:val="1"/>
      </w:numPr>
      <w:tabs>
        <w:tab w:val="clear" w:pos="718"/>
        <w:tab w:val="num" w:pos="720"/>
      </w:tabs>
      <w:spacing w:before="240" w:after="0"/>
      <w:ind w:left="709" w:hanging="709"/>
      <w:outlineLvl w:val="1"/>
    </w:pPr>
    <w:rPr>
      <w:sz w:val="24"/>
      <w:lang w:eastAsia="en-US"/>
    </w:rPr>
  </w:style>
  <w:style w:type="paragraph" w:styleId="Heading3">
    <w:name w:val="heading 3"/>
    <w:aliases w:val="Sub-heading,Sub-heading1,Sub-heading2,Sub-heading3,Sub-heading4,Sub-heading5,Sub-heading6,Sub-heading11,Sub-heading21,Sub-heading31,Sub-heading7,Sub-heading12,Sub-heading22,Sub-heading32,Sub-heading8,Sub-heading13,Sub-heading23,Sub-heading33"/>
    <w:basedOn w:val="Heading2"/>
    <w:next w:val="Normal"/>
    <w:link w:val="Heading3Char"/>
    <w:autoRedefine/>
    <w:uiPriority w:val="99"/>
    <w:qFormat/>
    <w:rsid w:val="00A97702"/>
    <w:pPr>
      <w:numPr>
        <w:ilvl w:val="2"/>
      </w:numPr>
      <w:ind w:left="360" w:hanging="360"/>
      <w:outlineLvl w:val="2"/>
    </w:pPr>
    <w:rPr>
      <w:sz w:val="22"/>
    </w:rPr>
  </w:style>
  <w:style w:type="paragraph" w:styleId="Heading4">
    <w:name w:val="heading 4"/>
    <w:aliases w:val="Minor Heading,2nd sub-clause,h4,h41,h42,h411,h43,h412,h44,h413,h45,h414,h46,h415,h47,h416,h48,h417,h49,h418,h421,h4111,h431,h4121,h441,h4131,h451,h4141,h461,h4151,h422,h4112,h432,h4122,h442,h4132,h452,h4142,h462,h4152,h423,h4113,h433,h4123,D&amp;"/>
    <w:basedOn w:val="Normal"/>
    <w:next w:val="Normal"/>
    <w:link w:val="Heading4Char"/>
    <w:autoRedefine/>
    <w:uiPriority w:val="99"/>
    <w:qFormat/>
    <w:rsid w:val="00A97702"/>
    <w:pPr>
      <w:keepNext/>
      <w:numPr>
        <w:ilvl w:val="3"/>
        <w:numId w:val="26"/>
      </w:numPr>
      <w:spacing w:before="240" w:after="120" w:line="240" w:lineRule="auto"/>
      <w:ind w:left="862" w:hanging="862"/>
      <w:jc w:val="both"/>
      <w:outlineLvl w:val="3"/>
    </w:pPr>
    <w:rPr>
      <w:rFonts w:ascii="Book Antiqua" w:eastAsia="Times New Roman" w:hAnsi="Book Antiqua" w:cs="Times New Roman"/>
      <w:i/>
      <w:lang w:eastAsia="en-AU"/>
    </w:rPr>
  </w:style>
  <w:style w:type="paragraph" w:styleId="Heading5">
    <w:name w:val="heading 5"/>
    <w:aliases w:val="Further Points,3rd sub-clause,h5,Para5,h51,h52,H5,H51,Further Points1,Further Points2,Further Points3,Further Points11,Further Points4,Further Points5,Further Points12,Further Points21,Further Points111,Further Points6,Further Points13,headin"/>
    <w:basedOn w:val="Normal"/>
    <w:next w:val="Normal"/>
    <w:link w:val="Heading5Char"/>
    <w:uiPriority w:val="99"/>
    <w:rsid w:val="00A97702"/>
    <w:pPr>
      <w:keepNext/>
      <w:numPr>
        <w:ilvl w:val="4"/>
        <w:numId w:val="26"/>
      </w:numPr>
      <w:spacing w:before="120" w:after="120" w:line="240" w:lineRule="auto"/>
      <w:ind w:right="-2"/>
      <w:outlineLvl w:val="4"/>
    </w:pPr>
    <w:rPr>
      <w:rFonts w:ascii="Book Antiqua" w:eastAsia="Times New Roman" w:hAnsi="Book Antiqua" w:cs="Times New Roman"/>
      <w:b/>
      <w:sz w:val="20"/>
      <w:lang w:eastAsia="en-AU"/>
    </w:rPr>
  </w:style>
  <w:style w:type="paragraph" w:styleId="Heading6">
    <w:name w:val="heading 6"/>
    <w:aliases w:val="Points in Text,Points in Text1,Points in Text2,Points in Text3,Points in Text4,Points in Text5,Points in Text11,Points in Text21,Points in Text6,Points in Text12,Points in Text22,Points in Text7,Points in Text13,Points in Text23,not Kinhill,H"/>
    <w:basedOn w:val="Normal"/>
    <w:next w:val="Normal"/>
    <w:link w:val="Heading6Char"/>
    <w:uiPriority w:val="99"/>
    <w:rsid w:val="00A97702"/>
    <w:pPr>
      <w:numPr>
        <w:ilvl w:val="5"/>
        <w:numId w:val="26"/>
      </w:numPr>
      <w:spacing w:before="240" w:after="60" w:line="240" w:lineRule="auto"/>
      <w:jc w:val="both"/>
      <w:outlineLvl w:val="5"/>
    </w:pPr>
    <w:rPr>
      <w:rFonts w:eastAsia="Times New Roman" w:cs="Times New Roman"/>
      <w:i/>
      <w:lang w:eastAsia="en-AU"/>
    </w:rPr>
  </w:style>
  <w:style w:type="paragraph" w:styleId="Heading7">
    <w:name w:val="heading 7"/>
    <w:aliases w:val="DO NOT USE 7,DO NOT USE 71,H7,H71,H72,H711,DO NOT USE 72,DO NOT USE 711,H73,H712,DO NOT USE 73,DO NOT USE 712,H74,H713,DO NOT USE 74,DO NOT USE 713,H75,H714,DO NOT USE 75,DO NOT USE 714,H76,H715,DO NOT USE 76,DO NOT USE 715,H77,H716,H78,H717"/>
    <w:basedOn w:val="Normal"/>
    <w:next w:val="Normal"/>
    <w:link w:val="Heading7Char"/>
    <w:uiPriority w:val="99"/>
    <w:rsid w:val="00A97702"/>
    <w:pPr>
      <w:numPr>
        <w:ilvl w:val="6"/>
        <w:numId w:val="26"/>
      </w:numPr>
      <w:spacing w:before="240" w:after="60" w:line="240" w:lineRule="auto"/>
      <w:jc w:val="both"/>
      <w:outlineLvl w:val="6"/>
    </w:pPr>
    <w:rPr>
      <w:rFonts w:ascii="Arial" w:eastAsia="Times New Roman" w:hAnsi="Arial" w:cs="Times New Roman"/>
      <w:sz w:val="20"/>
      <w:lang w:eastAsia="en-AU"/>
    </w:rPr>
  </w:style>
  <w:style w:type="paragraph" w:styleId="Heading8">
    <w:name w:val="heading 8"/>
    <w:aliases w:val="Appendix Level 2,not Kinhill1,Appendix Level 21,Appendix Level 22,Appendix Level 23,Appendix Level 24,Appendix Level 25,Appendix Level 26,Appendix Level 27,DO NOT USE 8,Appendix Level 28,Appendix Level 211,Appendix Level 221"/>
    <w:basedOn w:val="Normal"/>
    <w:next w:val="Normal"/>
    <w:link w:val="Heading8Char"/>
    <w:uiPriority w:val="99"/>
    <w:rsid w:val="00A97702"/>
    <w:pPr>
      <w:numPr>
        <w:ilvl w:val="7"/>
        <w:numId w:val="26"/>
      </w:numPr>
      <w:spacing w:before="240" w:after="60" w:line="240" w:lineRule="auto"/>
      <w:jc w:val="both"/>
      <w:outlineLvl w:val="7"/>
    </w:pPr>
    <w:rPr>
      <w:rFonts w:ascii="Arial" w:eastAsia="Times New Roman" w:hAnsi="Arial" w:cs="Times New Roman"/>
      <w:i/>
      <w:sz w:val="20"/>
      <w:lang w:eastAsia="en-AU"/>
    </w:rPr>
  </w:style>
  <w:style w:type="paragraph" w:styleId="Heading9">
    <w:name w:val="heading 9"/>
    <w:aliases w:val="Appendix Level 3,Appendix Level 31,Appendix Level 32,Appendix Level 33,Appendix Level 34,Appendix Level 35,Appendix Level 36,Appendix Level 37,DO NOT USE 9,Appendix Level 38,Appendix Level 311,Appendix Level 321,Appendix Level 331,H9,H91,H92"/>
    <w:basedOn w:val="Normal"/>
    <w:next w:val="Normal"/>
    <w:link w:val="Heading9Char"/>
    <w:uiPriority w:val="99"/>
    <w:rsid w:val="00A97702"/>
    <w:pPr>
      <w:numPr>
        <w:ilvl w:val="8"/>
        <w:numId w:val="26"/>
      </w:numPr>
      <w:spacing w:before="240" w:after="60" w:line="240" w:lineRule="auto"/>
      <w:jc w:val="both"/>
      <w:outlineLvl w:val="8"/>
    </w:pPr>
    <w:rPr>
      <w:rFonts w:ascii="Arial" w:eastAsia="Times New Roman" w:hAnsi="Arial" w:cs="Times New Roman"/>
      <w:b/>
      <w:i/>
      <w:sz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A24C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1B0F61"/>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D134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54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54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754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0F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99"/>
    <w:semiHidden/>
    <w:unhideWhenUsed/>
    <w:rsid w:val="004116C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99"/>
    <w:semiHidden/>
    <w:unhideWhenUsed/>
    <w:rsid w:val="00CF0B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99"/>
    <w:semiHidden/>
    <w:unhideWhenUsed/>
    <w:rsid w:val="00CF0B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99"/>
    <w:semiHidden/>
    <w:unhideWhenUsed/>
    <w:rsid w:val="00CF0B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664C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664C63"/>
    <w:rPr>
      <w:rFonts w:eastAsia="Times New Roman" w:cs="Times New Roman"/>
      <w:sz w:val="22"/>
      <w:szCs w:val="24"/>
      <w:lang w:eastAsia="en-AU"/>
    </w:rPr>
  </w:style>
  <w:style w:type="character" w:styleId="LineNumber">
    <w:name w:val="line number"/>
    <w:basedOn w:val="OPCCharBase"/>
    <w:uiPriority w:val="99"/>
    <w:unhideWhenUsed/>
    <w:rsid w:val="001B0F61"/>
    <w:rPr>
      <w:sz w:val="16"/>
    </w:rPr>
  </w:style>
  <w:style w:type="table" w:customStyle="1" w:styleId="CFlag">
    <w:name w:val="CFlag"/>
    <w:basedOn w:val="TableNormal"/>
    <w:uiPriority w:val="99"/>
    <w:rsid w:val="0018435F"/>
    <w:rPr>
      <w:rFonts w:eastAsia="Times New Roman" w:cs="Times New Roman"/>
      <w:lang w:eastAsia="en-AU"/>
    </w:rPr>
    <w:tblPr>
      <w:tblInd w:w="0" w:type="dxa"/>
      <w:tblCellMar>
        <w:top w:w="0" w:type="dxa"/>
        <w:left w:w="108" w:type="dxa"/>
        <w:bottom w:w="0" w:type="dxa"/>
        <w:right w:w="108" w:type="dxa"/>
      </w:tblCellMar>
    </w:tblPr>
  </w:style>
  <w:style w:type="table" w:styleId="TableGrid">
    <w:name w:val="Table Grid"/>
    <w:basedOn w:val="TableNormal"/>
    <w:uiPriority w:val="99"/>
    <w:rsid w:val="00A6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PartCASA">
    <w:name w:val="SubPart(CASA)"/>
    <w:aliases w:val="csp"/>
    <w:basedOn w:val="OPCParaBase"/>
    <w:next w:val="ActHead3"/>
    <w:rsid w:val="007E335B"/>
    <w:pPr>
      <w:keepNext/>
      <w:keepLines/>
      <w:spacing w:before="280"/>
      <w:outlineLvl w:val="1"/>
    </w:pPr>
    <w:rPr>
      <w:b/>
      <w:kern w:val="28"/>
      <w:sz w:val="32"/>
    </w:rPr>
  </w:style>
  <w:style w:type="paragraph" w:customStyle="1" w:styleId="ENotesHeading1">
    <w:name w:val="ENotesHeading 1"/>
    <w:aliases w:val="Enh1"/>
    <w:basedOn w:val="OPCParaBase"/>
    <w:next w:val="Normal"/>
    <w:rsid w:val="00DF09AC"/>
    <w:pPr>
      <w:spacing w:before="120"/>
      <w:outlineLvl w:val="0"/>
    </w:pPr>
    <w:rPr>
      <w:b/>
      <w:sz w:val="28"/>
      <w:szCs w:val="28"/>
    </w:rPr>
  </w:style>
  <w:style w:type="paragraph" w:customStyle="1" w:styleId="ENotesHeading2">
    <w:name w:val="ENotesHeading 2"/>
    <w:aliases w:val="Enh2"/>
    <w:basedOn w:val="OPCParaBase"/>
    <w:next w:val="Normal"/>
    <w:rsid w:val="00DF09AC"/>
    <w:pPr>
      <w:spacing w:before="120" w:after="120"/>
      <w:outlineLvl w:val="6"/>
    </w:pPr>
    <w:rPr>
      <w:b/>
      <w:sz w:val="24"/>
      <w:szCs w:val="28"/>
    </w:rPr>
  </w:style>
  <w:style w:type="paragraph" w:customStyle="1" w:styleId="ENotesHeading3">
    <w:name w:val="ENotesHeading 3"/>
    <w:aliases w:val="Enh3"/>
    <w:basedOn w:val="OPCParaBase"/>
    <w:next w:val="Normal"/>
    <w:rsid w:val="00DF09AC"/>
    <w:pPr>
      <w:spacing w:before="120" w:line="240" w:lineRule="auto"/>
      <w:outlineLvl w:val="7"/>
    </w:pPr>
    <w:rPr>
      <w:b/>
      <w:szCs w:val="24"/>
    </w:rPr>
  </w:style>
  <w:style w:type="paragraph" w:customStyle="1" w:styleId="ENotesText">
    <w:name w:val="ENotesText"/>
    <w:aliases w:val="Ent"/>
    <w:basedOn w:val="OPCParaBase"/>
    <w:next w:val="Normal"/>
    <w:rsid w:val="00DF09AC"/>
    <w:pPr>
      <w:spacing w:before="120"/>
    </w:pPr>
  </w:style>
  <w:style w:type="paragraph" w:customStyle="1" w:styleId="CompiledActNo">
    <w:name w:val="CompiledActNo"/>
    <w:basedOn w:val="OPCParaBase"/>
    <w:next w:val="Normal"/>
    <w:rsid w:val="00C255AB"/>
    <w:rPr>
      <w:b/>
      <w:sz w:val="24"/>
      <w:szCs w:val="24"/>
    </w:rPr>
  </w:style>
  <w:style w:type="paragraph" w:customStyle="1" w:styleId="CompiledMadeUnder">
    <w:name w:val="CompiledMadeUnder"/>
    <w:basedOn w:val="OPCParaBase"/>
    <w:next w:val="Normal"/>
    <w:rsid w:val="00C255AB"/>
    <w:rPr>
      <w:i/>
      <w:sz w:val="24"/>
      <w:szCs w:val="24"/>
    </w:rPr>
  </w:style>
  <w:style w:type="paragraph" w:customStyle="1" w:styleId="Paragraphsub-sub-sub">
    <w:name w:val="Paragraph(sub-sub-sub)"/>
    <w:aliases w:val="aaaa"/>
    <w:basedOn w:val="OPCParaBase"/>
    <w:rsid w:val="00BD6B2E"/>
    <w:pPr>
      <w:tabs>
        <w:tab w:val="right" w:pos="3402"/>
      </w:tabs>
      <w:spacing w:before="40" w:line="240" w:lineRule="auto"/>
      <w:ind w:left="3402" w:hanging="3402"/>
    </w:pPr>
  </w:style>
  <w:style w:type="paragraph" w:customStyle="1" w:styleId="EndNotespara">
    <w:name w:val="EndNotes(para)"/>
    <w:aliases w:val="eta"/>
    <w:basedOn w:val="OPCParaBase"/>
    <w:next w:val="Normal"/>
    <w:rsid w:val="00DF09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09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F09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09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F09AC"/>
    <w:pPr>
      <w:spacing w:before="60" w:line="240" w:lineRule="auto"/>
    </w:pPr>
    <w:rPr>
      <w:rFonts w:cs="Arial"/>
      <w:sz w:val="20"/>
      <w:szCs w:val="22"/>
    </w:rPr>
  </w:style>
  <w:style w:type="paragraph" w:customStyle="1" w:styleId="TableHeading">
    <w:name w:val="TableHeading"/>
    <w:aliases w:val="th"/>
    <w:basedOn w:val="OPCParaBase"/>
    <w:next w:val="Tabletext"/>
    <w:uiPriority w:val="99"/>
    <w:rsid w:val="00F1779C"/>
    <w:pPr>
      <w:spacing w:before="60" w:line="240" w:lineRule="atLeast"/>
    </w:pPr>
    <w:rPr>
      <w:b/>
      <w:sz w:val="20"/>
    </w:rPr>
  </w:style>
  <w:style w:type="paragraph" w:customStyle="1" w:styleId="NoteToSubpara">
    <w:name w:val="NoteToSubpara"/>
    <w:aliases w:val="nts"/>
    <w:basedOn w:val="OPCParaBase"/>
    <w:rsid w:val="00E9136A"/>
    <w:pPr>
      <w:spacing w:before="40" w:line="198" w:lineRule="exact"/>
      <w:ind w:left="2835" w:hanging="709"/>
    </w:pPr>
    <w:rPr>
      <w:sz w:val="18"/>
    </w:rPr>
  </w:style>
  <w:style w:type="character" w:customStyle="1" w:styleId="Heading1Char">
    <w:name w:val="Heading 1 Char"/>
    <w:aliases w:val="Chapter Heading Char,Main Heading Char,h1 Char,H1 Char,A MAJOR/BOLD Char,Para Char,Heading a Char,Head 1 Char,Head 11 Char,Head 12 Char,Head 111 Char,Head 13 Char,Head 112 Char,Head 14 Char,Head 113 Char,Head 15 Char,Head 114 Char"/>
    <w:basedOn w:val="DefaultParagraphFont"/>
    <w:link w:val="Heading1"/>
    <w:uiPriority w:val="99"/>
    <w:rsid w:val="00A97702"/>
    <w:rPr>
      <w:rFonts w:ascii="Book Antiqua" w:eastAsia="Times New Roman" w:hAnsi="Book Antiqua" w:cs="Times New Roman"/>
      <w:b/>
      <w:kern w:val="28"/>
      <w:sz w:val="32"/>
      <w:szCs w:val="32"/>
      <w:lang w:eastAsia="en-AU"/>
    </w:rPr>
  </w:style>
  <w:style w:type="character" w:customStyle="1" w:styleId="Heading2Char">
    <w:name w:val="Heading 2 Char"/>
    <w:aliases w:val="Major Heading Char,h2 Char,H2 Char,2 Char,h2 main heading Char,B Sub/Bold Char,B Sub/Bold1 Char,B Sub/Bold2 Char,B Sub/Bold11 Char,h2 main heading1 Char,h2 main heading2 Char,B Sub/Bold3 Char,B Sub/Bold12 Char,h2 main heading3 Char"/>
    <w:basedOn w:val="DefaultParagraphFont"/>
    <w:link w:val="Heading2"/>
    <w:uiPriority w:val="99"/>
    <w:rsid w:val="00A97702"/>
    <w:rPr>
      <w:rFonts w:ascii="Book Antiqua" w:eastAsia="Times New Roman" w:hAnsi="Book Antiqua" w:cs="Times New Roman"/>
      <w:b/>
      <w:kern w:val="28"/>
      <w:sz w:val="24"/>
      <w:szCs w:val="32"/>
    </w:rPr>
  </w:style>
  <w:style w:type="character" w:customStyle="1" w:styleId="Heading3Char">
    <w:name w:val="Heading 3 Char"/>
    <w:aliases w:val="Sub-heading Char,Sub-heading1 Char,Sub-heading2 Char,Sub-heading3 Char,Sub-heading4 Char,Sub-heading5 Char,Sub-heading6 Char,Sub-heading11 Char,Sub-heading21 Char,Sub-heading31 Char,Sub-heading7 Char,Sub-heading12 Char,Sub-heading22 Char"/>
    <w:basedOn w:val="DefaultParagraphFont"/>
    <w:link w:val="Heading3"/>
    <w:uiPriority w:val="99"/>
    <w:rsid w:val="00A97702"/>
    <w:rPr>
      <w:rFonts w:ascii="Book Antiqua" w:eastAsia="Times New Roman" w:hAnsi="Book Antiqua" w:cs="Times New Roman"/>
      <w:b/>
      <w:kern w:val="28"/>
      <w:sz w:val="22"/>
      <w:szCs w:val="32"/>
    </w:rPr>
  </w:style>
  <w:style w:type="character" w:customStyle="1" w:styleId="Heading4Char">
    <w:name w:val="Heading 4 Char"/>
    <w:aliases w:val="Minor Heading Char,2nd sub-clause Char,h4 Char,h41 Char,h42 Char,h411 Char,h43 Char,h412 Char,h44 Char,h413 Char,h45 Char,h414 Char,h46 Char,h415 Char,h47 Char,h416 Char,h48 Char,h417 Char,h49 Char,h418 Char,h421 Char,h4111 Char,h431 Char"/>
    <w:basedOn w:val="DefaultParagraphFont"/>
    <w:link w:val="Heading4"/>
    <w:uiPriority w:val="99"/>
    <w:rsid w:val="00A97702"/>
    <w:rPr>
      <w:rFonts w:ascii="Book Antiqua" w:eastAsia="Times New Roman" w:hAnsi="Book Antiqua" w:cs="Times New Roman"/>
      <w:i/>
      <w:sz w:val="22"/>
      <w:lang w:eastAsia="en-AU"/>
    </w:rPr>
  </w:style>
  <w:style w:type="character" w:customStyle="1" w:styleId="Heading5Char">
    <w:name w:val="Heading 5 Char"/>
    <w:aliases w:val="Further Points Char,3rd sub-clause Char,h5 Char,Para5 Char,h51 Char,h52 Char,H5 Char,H51 Char,Further Points1 Char,Further Points2 Char,Further Points3 Char,Further Points11 Char,Further Points4 Char,Further Points5 Char,headin Char"/>
    <w:basedOn w:val="DefaultParagraphFont"/>
    <w:link w:val="Heading5"/>
    <w:uiPriority w:val="99"/>
    <w:rsid w:val="00A97702"/>
    <w:rPr>
      <w:rFonts w:ascii="Book Antiqua" w:eastAsia="Times New Roman" w:hAnsi="Book Antiqua" w:cs="Times New Roman"/>
      <w:b/>
      <w:lang w:eastAsia="en-AU"/>
    </w:rPr>
  </w:style>
  <w:style w:type="character" w:customStyle="1" w:styleId="Heading6Char">
    <w:name w:val="Heading 6 Char"/>
    <w:aliases w:val="Points in Text Char,Points in Text1 Char,Points in Text2 Char,Points in Text3 Char,Points in Text4 Char,Points in Text5 Char,Points in Text11 Char,Points in Text21 Char,Points in Text6 Char,Points in Text12 Char,Points in Text22 Char"/>
    <w:basedOn w:val="DefaultParagraphFont"/>
    <w:link w:val="Heading6"/>
    <w:uiPriority w:val="99"/>
    <w:rsid w:val="00A97702"/>
    <w:rPr>
      <w:rFonts w:eastAsia="Times New Roman" w:cs="Times New Roman"/>
      <w:i/>
      <w:sz w:val="22"/>
      <w:lang w:eastAsia="en-AU"/>
    </w:rPr>
  </w:style>
  <w:style w:type="character" w:customStyle="1" w:styleId="Heading7Char">
    <w:name w:val="Heading 7 Char"/>
    <w:aliases w:val="DO NOT USE 7 Char,DO NOT USE 71 Char,H7 Char,H71 Char,H72 Char,H711 Char,DO NOT USE 72 Char,DO NOT USE 711 Char,H73 Char,H712 Char,DO NOT USE 73 Char,DO NOT USE 712 Char,H74 Char,H713 Char,DO NOT USE 74 Char,DO NOT USE 713 Char,H75 Char"/>
    <w:basedOn w:val="DefaultParagraphFont"/>
    <w:link w:val="Heading7"/>
    <w:uiPriority w:val="99"/>
    <w:rsid w:val="00A97702"/>
    <w:rPr>
      <w:rFonts w:ascii="Arial" w:eastAsia="Times New Roman" w:hAnsi="Arial" w:cs="Times New Roman"/>
      <w:lang w:eastAsia="en-AU"/>
    </w:rPr>
  </w:style>
  <w:style w:type="character" w:customStyle="1" w:styleId="Heading8Char">
    <w:name w:val="Heading 8 Char"/>
    <w:aliases w:val="Appendix Level 2 Char,not Kinhill1 Char,Appendix Level 21 Char,Appendix Level 22 Char,Appendix Level 23 Char,Appendix Level 24 Char,Appendix Level 25 Char,Appendix Level 26 Char,Appendix Level 27 Char,DO NOT USE 8 Char"/>
    <w:basedOn w:val="DefaultParagraphFont"/>
    <w:link w:val="Heading8"/>
    <w:uiPriority w:val="99"/>
    <w:rsid w:val="00A97702"/>
    <w:rPr>
      <w:rFonts w:ascii="Arial" w:eastAsia="Times New Roman" w:hAnsi="Arial" w:cs="Times New Roman"/>
      <w:i/>
      <w:lang w:eastAsia="en-AU"/>
    </w:rPr>
  </w:style>
  <w:style w:type="character" w:customStyle="1" w:styleId="Heading9Char">
    <w:name w:val="Heading 9 Char"/>
    <w:aliases w:val="Appendix Level 3 Char,Appendix Level 31 Char,Appendix Level 32 Char,Appendix Level 33 Char,Appendix Level 34 Char,Appendix Level 35 Char,Appendix Level 36 Char,Appendix Level 37 Char,DO NOT USE 9 Char,Appendix Level 38 Char,H9 Char"/>
    <w:basedOn w:val="DefaultParagraphFont"/>
    <w:link w:val="Heading9"/>
    <w:uiPriority w:val="99"/>
    <w:rsid w:val="00A97702"/>
    <w:rPr>
      <w:rFonts w:ascii="Arial" w:eastAsia="Times New Roman" w:hAnsi="Arial" w:cs="Times New Roman"/>
      <w:b/>
      <w:i/>
      <w:sz w:val="18"/>
      <w:lang w:eastAsia="en-AU"/>
    </w:rPr>
  </w:style>
  <w:style w:type="paragraph" w:customStyle="1" w:styleId="text">
    <w:name w:val="text"/>
    <w:basedOn w:val="Normal"/>
    <w:link w:val="textChar"/>
    <w:rsid w:val="00A97702"/>
    <w:pPr>
      <w:keepLines/>
      <w:spacing w:before="120" w:after="120" w:line="240" w:lineRule="auto"/>
      <w:jc w:val="both"/>
    </w:pPr>
    <w:rPr>
      <w:rFonts w:ascii="Book Antiqua" w:eastAsia="Times New Roman" w:hAnsi="Book Antiqua" w:cs="Times New Roman"/>
      <w:lang w:eastAsia="en-AU"/>
    </w:rPr>
  </w:style>
  <w:style w:type="character" w:customStyle="1" w:styleId="textChar">
    <w:name w:val="text Char"/>
    <w:link w:val="text"/>
    <w:locked/>
    <w:rsid w:val="00A97702"/>
    <w:rPr>
      <w:rFonts w:ascii="Book Antiqua" w:eastAsia="Times New Roman" w:hAnsi="Book Antiqua" w:cs="Times New Roman"/>
      <w:sz w:val="22"/>
      <w:lang w:eastAsia="en-AU"/>
    </w:rPr>
  </w:style>
  <w:style w:type="paragraph" w:customStyle="1" w:styleId="DotpointCONSITES">
    <w:name w:val="Dotpoint CON SITES"/>
    <w:basedOn w:val="Normal"/>
    <w:next w:val="Normal"/>
    <w:autoRedefine/>
    <w:uiPriority w:val="99"/>
    <w:rsid w:val="00A97702"/>
    <w:pPr>
      <w:spacing w:before="120" w:after="120" w:line="240" w:lineRule="auto"/>
      <w:jc w:val="both"/>
    </w:pPr>
    <w:rPr>
      <w:rFonts w:ascii="Book Antiqua" w:eastAsia="Times New Roman" w:hAnsi="Book Antiqua" w:cs="Times New Roman"/>
      <w:b/>
      <w:lang w:eastAsia="en-AU"/>
    </w:rPr>
  </w:style>
  <w:style w:type="paragraph" w:customStyle="1" w:styleId="TableheadCONSITES">
    <w:name w:val="Tablehead CON SITES"/>
    <w:basedOn w:val="Normal"/>
    <w:next w:val="Normal"/>
    <w:uiPriority w:val="99"/>
    <w:rsid w:val="00A97702"/>
    <w:pPr>
      <w:spacing w:before="120" w:after="120" w:line="240" w:lineRule="auto"/>
      <w:jc w:val="center"/>
    </w:pPr>
    <w:rPr>
      <w:rFonts w:ascii="Book Antiqua" w:eastAsia="Times New Roman" w:hAnsi="Book Antiqua" w:cs="Times New Roman"/>
      <w:b/>
      <w:lang w:eastAsia="en-AU"/>
    </w:rPr>
  </w:style>
  <w:style w:type="character" w:styleId="PageNumber">
    <w:name w:val="page number"/>
    <w:basedOn w:val="DefaultParagraphFont"/>
    <w:uiPriority w:val="99"/>
    <w:rsid w:val="00A97702"/>
    <w:rPr>
      <w:rFonts w:cs="Times New Roman"/>
    </w:rPr>
  </w:style>
  <w:style w:type="paragraph" w:styleId="BlockText">
    <w:name w:val="Block Text"/>
    <w:basedOn w:val="Normal"/>
    <w:uiPriority w:val="99"/>
    <w:rsid w:val="00A97702"/>
    <w:pPr>
      <w:pBdr>
        <w:top w:val="thinThickSmallGap" w:sz="24" w:space="12" w:color="auto"/>
        <w:left w:val="thinThickSmallGap" w:sz="24" w:space="12" w:color="auto"/>
        <w:bottom w:val="thickThinSmallGap" w:sz="24" w:space="12" w:color="auto"/>
        <w:right w:val="thickThinSmallGap" w:sz="24" w:space="12" w:color="auto"/>
      </w:pBdr>
      <w:spacing w:before="120" w:after="120" w:line="480" w:lineRule="auto"/>
      <w:ind w:left="567" w:right="567"/>
      <w:jc w:val="both"/>
    </w:pPr>
    <w:rPr>
      <w:rFonts w:ascii="Book Antiqua" w:eastAsia="Times New Roman" w:hAnsi="Book Antiqua" w:cs="Times New Roman"/>
      <w:lang w:eastAsia="en-AU"/>
    </w:rPr>
  </w:style>
  <w:style w:type="paragraph" w:customStyle="1" w:styleId="Glossary">
    <w:name w:val="Glossary"/>
    <w:basedOn w:val="Normal"/>
    <w:rsid w:val="00A97702"/>
    <w:pPr>
      <w:keepLines/>
      <w:spacing w:before="120" w:after="120" w:line="240" w:lineRule="auto"/>
      <w:jc w:val="both"/>
    </w:pPr>
    <w:rPr>
      <w:rFonts w:ascii="Book Antiqua" w:eastAsia="Times New Roman" w:hAnsi="Book Antiqua" w:cs="Times New Roman"/>
      <w:lang w:eastAsia="en-AU"/>
    </w:rPr>
  </w:style>
  <w:style w:type="paragraph" w:customStyle="1" w:styleId="TableText0">
    <w:name w:val="Table Text"/>
    <w:basedOn w:val="Normal"/>
    <w:uiPriority w:val="99"/>
    <w:rsid w:val="00A97702"/>
    <w:pPr>
      <w:spacing w:before="60" w:after="60" w:line="240" w:lineRule="auto"/>
    </w:pPr>
    <w:rPr>
      <w:rFonts w:ascii="Book Antiqua" w:eastAsia="Times New Roman" w:hAnsi="Book Antiqua" w:cs="Times New Roman"/>
      <w:sz w:val="20"/>
      <w:lang w:eastAsia="en-AU"/>
    </w:rPr>
  </w:style>
  <w:style w:type="paragraph" w:customStyle="1" w:styleId="Dotpoint2ndCONSITES">
    <w:name w:val="Dotpoint 2ndCON SITES"/>
    <w:basedOn w:val="DotpointCONSITES"/>
    <w:uiPriority w:val="99"/>
    <w:rsid w:val="00A97702"/>
    <w:pPr>
      <w:numPr>
        <w:ilvl w:val="1"/>
        <w:numId w:val="13"/>
      </w:numPr>
      <w:tabs>
        <w:tab w:val="num" w:pos="851"/>
      </w:tabs>
      <w:ind w:left="851" w:hanging="284"/>
    </w:pPr>
  </w:style>
  <w:style w:type="paragraph" w:customStyle="1" w:styleId="DotpointiCONSITES">
    <w:name w:val="Dotpoint (i)CON SITES"/>
    <w:basedOn w:val="DotpointCONSITES"/>
    <w:uiPriority w:val="99"/>
    <w:rsid w:val="00A97702"/>
    <w:pPr>
      <w:numPr>
        <w:numId w:val="14"/>
      </w:numPr>
      <w:tabs>
        <w:tab w:val="num" w:pos="567"/>
      </w:tabs>
      <w:ind w:left="567" w:hanging="567"/>
    </w:pPr>
  </w:style>
  <w:style w:type="paragraph" w:customStyle="1" w:styleId="AppendixHeading">
    <w:name w:val="Appendix Heading"/>
    <w:basedOn w:val="Heading1"/>
    <w:uiPriority w:val="99"/>
    <w:rsid w:val="00A97702"/>
    <w:pPr>
      <w:numPr>
        <w:numId w:val="0"/>
      </w:numPr>
      <w:spacing w:after="0"/>
      <w:jc w:val="center"/>
    </w:pPr>
  </w:style>
  <w:style w:type="paragraph" w:customStyle="1" w:styleId="Dot-points">
    <w:name w:val="Dot-points"/>
    <w:basedOn w:val="text"/>
    <w:autoRedefine/>
    <w:uiPriority w:val="99"/>
    <w:qFormat/>
    <w:rsid w:val="00A97702"/>
    <w:pPr>
      <w:numPr>
        <w:numId w:val="15"/>
      </w:numPr>
      <w:tabs>
        <w:tab w:val="clear" w:pos="360"/>
        <w:tab w:val="num" w:pos="926"/>
      </w:tabs>
      <w:spacing w:before="0"/>
      <w:ind w:left="357" w:hanging="357"/>
    </w:pPr>
  </w:style>
  <w:style w:type="paragraph" w:customStyle="1" w:styleId="GlossaryHeading">
    <w:name w:val="Glossary Heading"/>
    <w:basedOn w:val="Heading1"/>
    <w:uiPriority w:val="99"/>
    <w:rsid w:val="00A97702"/>
    <w:pPr>
      <w:numPr>
        <w:numId w:val="0"/>
      </w:numPr>
      <w:spacing w:after="0"/>
      <w:jc w:val="center"/>
    </w:pPr>
  </w:style>
  <w:style w:type="character" w:customStyle="1" w:styleId="Highlight">
    <w:name w:val="Highlight"/>
    <w:uiPriority w:val="99"/>
    <w:rsid w:val="00A97702"/>
    <w:rPr>
      <w:rFonts w:ascii="Arial" w:hAnsi="Arial"/>
      <w:b/>
      <w:sz w:val="24"/>
    </w:rPr>
  </w:style>
  <w:style w:type="paragraph" w:customStyle="1" w:styleId="Level1">
    <w:name w:val="Level 1"/>
    <w:basedOn w:val="Heading2"/>
    <w:uiPriority w:val="99"/>
    <w:rsid w:val="00A97702"/>
    <w:pPr>
      <w:numPr>
        <w:ilvl w:val="0"/>
        <w:numId w:val="0"/>
      </w:numPr>
    </w:pPr>
  </w:style>
  <w:style w:type="paragraph" w:customStyle="1" w:styleId="Level2">
    <w:name w:val="Level 2"/>
    <w:basedOn w:val="Heading3"/>
    <w:uiPriority w:val="99"/>
    <w:rsid w:val="00A97702"/>
    <w:pPr>
      <w:numPr>
        <w:ilvl w:val="0"/>
        <w:numId w:val="0"/>
      </w:numPr>
    </w:pPr>
  </w:style>
  <w:style w:type="paragraph" w:customStyle="1" w:styleId="Level3">
    <w:name w:val="Level 3"/>
    <w:basedOn w:val="Heading4"/>
    <w:uiPriority w:val="99"/>
    <w:rsid w:val="00A97702"/>
    <w:pPr>
      <w:numPr>
        <w:ilvl w:val="0"/>
        <w:numId w:val="0"/>
      </w:numPr>
    </w:pPr>
  </w:style>
  <w:style w:type="paragraph" w:customStyle="1" w:styleId="TitleHeading">
    <w:name w:val="Title Heading"/>
    <w:basedOn w:val="text"/>
    <w:rsid w:val="00A97702"/>
    <w:pPr>
      <w:spacing w:before="20" w:after="20"/>
      <w:ind w:left="1985"/>
      <w:jc w:val="center"/>
    </w:pPr>
    <w:rPr>
      <w:rFonts w:ascii="Arial Bold" w:hAnsi="Arial Bold"/>
      <w:b/>
      <w:sz w:val="40"/>
    </w:rPr>
  </w:style>
  <w:style w:type="paragraph" w:customStyle="1" w:styleId="NationalHeading">
    <w:name w:val="National Heading"/>
    <w:basedOn w:val="TitleHeading"/>
    <w:uiPriority w:val="99"/>
    <w:rsid w:val="00A97702"/>
  </w:style>
  <w:style w:type="paragraph" w:styleId="FootnoteText">
    <w:name w:val="footnote text"/>
    <w:basedOn w:val="Normal"/>
    <w:link w:val="FootnoteTextChar"/>
    <w:uiPriority w:val="99"/>
    <w:semiHidden/>
    <w:rsid w:val="00A97702"/>
    <w:pPr>
      <w:spacing w:before="120" w:after="120" w:line="240" w:lineRule="auto"/>
      <w:ind w:left="142" w:hanging="142"/>
      <w:jc w:val="both"/>
    </w:pPr>
    <w:rPr>
      <w:rFonts w:ascii="Book Antiqua" w:eastAsia="Times New Roman" w:hAnsi="Book Antiqua" w:cs="Times New Roman"/>
      <w:sz w:val="14"/>
    </w:rPr>
  </w:style>
  <w:style w:type="character" w:customStyle="1" w:styleId="FootnoteTextChar">
    <w:name w:val="Footnote Text Char"/>
    <w:basedOn w:val="DefaultParagraphFont"/>
    <w:link w:val="FootnoteText"/>
    <w:uiPriority w:val="99"/>
    <w:semiHidden/>
    <w:rsid w:val="00A97702"/>
    <w:rPr>
      <w:rFonts w:ascii="Book Antiqua" w:eastAsia="Times New Roman" w:hAnsi="Book Antiqua" w:cs="Times New Roman"/>
      <w:sz w:val="14"/>
    </w:rPr>
  </w:style>
  <w:style w:type="paragraph" w:customStyle="1" w:styleId="OutlineLev1">
    <w:name w:val="Outline Lev 1"/>
    <w:basedOn w:val="Normal"/>
    <w:uiPriority w:val="99"/>
    <w:rsid w:val="00A97702"/>
    <w:pPr>
      <w:numPr>
        <w:numId w:val="16"/>
      </w:numPr>
      <w:spacing w:before="240" w:after="100" w:line="240" w:lineRule="auto"/>
      <w:jc w:val="both"/>
    </w:pPr>
    <w:rPr>
      <w:rFonts w:ascii="Book Antiqua" w:eastAsia="Times New Roman" w:hAnsi="Book Antiqua" w:cs="Times New Roman"/>
      <w:lang w:eastAsia="en-AU"/>
    </w:rPr>
  </w:style>
  <w:style w:type="paragraph" w:customStyle="1" w:styleId="OutlineLev2">
    <w:name w:val="Outline Lev 2"/>
    <w:basedOn w:val="Normal"/>
    <w:uiPriority w:val="99"/>
    <w:rsid w:val="00A97702"/>
    <w:pPr>
      <w:numPr>
        <w:ilvl w:val="1"/>
        <w:numId w:val="16"/>
      </w:numPr>
      <w:spacing w:before="20" w:after="20" w:line="240" w:lineRule="auto"/>
      <w:jc w:val="both"/>
    </w:pPr>
    <w:rPr>
      <w:rFonts w:ascii="Book Antiqua" w:eastAsia="Times New Roman" w:hAnsi="Book Antiqua" w:cs="Times New Roman"/>
      <w:lang w:eastAsia="en-AU"/>
    </w:rPr>
  </w:style>
  <w:style w:type="paragraph" w:styleId="TOCHeading">
    <w:name w:val="TOC Heading"/>
    <w:basedOn w:val="Heading2"/>
    <w:uiPriority w:val="99"/>
    <w:qFormat/>
    <w:rsid w:val="00A97702"/>
    <w:pPr>
      <w:numPr>
        <w:ilvl w:val="0"/>
        <w:numId w:val="0"/>
      </w:numPr>
      <w:spacing w:before="120"/>
      <w:jc w:val="center"/>
    </w:pPr>
    <w:rPr>
      <w:rFonts w:ascii="Arial" w:hAnsi="Arial"/>
      <w:sz w:val="32"/>
    </w:rPr>
  </w:style>
  <w:style w:type="paragraph" w:styleId="BalloonText">
    <w:name w:val="Balloon Text"/>
    <w:basedOn w:val="Normal"/>
    <w:link w:val="BalloonTextChar"/>
    <w:uiPriority w:val="99"/>
    <w:semiHidden/>
    <w:rsid w:val="00A97702"/>
    <w:pPr>
      <w:spacing w:before="120" w:after="120" w:line="240" w:lineRule="auto"/>
      <w:jc w:val="both"/>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A97702"/>
    <w:rPr>
      <w:rFonts w:ascii="Tahoma" w:eastAsia="Times New Roman" w:hAnsi="Tahoma" w:cs="Tahoma"/>
      <w:sz w:val="16"/>
      <w:szCs w:val="16"/>
      <w:lang w:eastAsia="en-AU"/>
    </w:rPr>
  </w:style>
  <w:style w:type="character" w:styleId="CommentReference">
    <w:name w:val="annotation reference"/>
    <w:basedOn w:val="DefaultParagraphFont"/>
    <w:uiPriority w:val="99"/>
    <w:rsid w:val="00A97702"/>
    <w:rPr>
      <w:rFonts w:cs="Times New Roman"/>
      <w:sz w:val="16"/>
    </w:rPr>
  </w:style>
  <w:style w:type="paragraph" w:styleId="CommentText">
    <w:name w:val="annotation text"/>
    <w:basedOn w:val="Normal"/>
    <w:link w:val="CommentTextChar"/>
    <w:uiPriority w:val="99"/>
    <w:rsid w:val="00A97702"/>
    <w:pPr>
      <w:spacing w:before="120" w:after="120" w:line="240" w:lineRule="auto"/>
      <w:jc w:val="both"/>
    </w:pPr>
    <w:rPr>
      <w:rFonts w:ascii="Book Antiqua" w:eastAsia="Times New Roman" w:hAnsi="Book Antiqua" w:cs="Times New Roman"/>
      <w:sz w:val="20"/>
      <w:lang w:eastAsia="en-AU"/>
    </w:rPr>
  </w:style>
  <w:style w:type="character" w:customStyle="1" w:styleId="CommentTextChar">
    <w:name w:val="Comment Text Char"/>
    <w:basedOn w:val="DefaultParagraphFont"/>
    <w:link w:val="CommentText"/>
    <w:uiPriority w:val="99"/>
    <w:rsid w:val="00A97702"/>
    <w:rPr>
      <w:rFonts w:ascii="Book Antiqua" w:eastAsia="Times New Roman" w:hAnsi="Book Antiqua" w:cs="Times New Roman"/>
      <w:lang w:eastAsia="en-AU"/>
    </w:rPr>
  </w:style>
  <w:style w:type="paragraph" w:styleId="CommentSubject">
    <w:name w:val="annotation subject"/>
    <w:basedOn w:val="CommentText"/>
    <w:next w:val="CommentText"/>
    <w:link w:val="CommentSubjectChar"/>
    <w:uiPriority w:val="99"/>
    <w:rsid w:val="00A97702"/>
    <w:rPr>
      <w:b/>
      <w:bCs/>
    </w:rPr>
  </w:style>
  <w:style w:type="character" w:customStyle="1" w:styleId="CommentSubjectChar">
    <w:name w:val="Comment Subject Char"/>
    <w:basedOn w:val="CommentTextChar"/>
    <w:link w:val="CommentSubject"/>
    <w:uiPriority w:val="99"/>
    <w:rsid w:val="00A97702"/>
    <w:rPr>
      <w:rFonts w:ascii="Book Antiqua" w:eastAsia="Times New Roman" w:hAnsi="Book Antiqua" w:cs="Times New Roman"/>
      <w:b/>
      <w:bCs/>
      <w:lang w:eastAsia="en-AU"/>
    </w:rPr>
  </w:style>
  <w:style w:type="character" w:styleId="FootnoteReference">
    <w:name w:val="footnote reference"/>
    <w:basedOn w:val="DefaultParagraphFont"/>
    <w:uiPriority w:val="99"/>
    <w:semiHidden/>
    <w:rsid w:val="00A97702"/>
    <w:rPr>
      <w:rFonts w:ascii="Book Antiqua" w:hAnsi="Book Antiqua" w:cs="Times New Roman"/>
      <w:vertAlign w:val="superscript"/>
    </w:rPr>
  </w:style>
  <w:style w:type="paragraph" w:styleId="BodyText3">
    <w:name w:val="Body Text 3"/>
    <w:basedOn w:val="Normal"/>
    <w:link w:val="BodyText3Char"/>
    <w:uiPriority w:val="99"/>
    <w:rsid w:val="00A97702"/>
    <w:pPr>
      <w:spacing w:before="120" w:after="120" w:line="240" w:lineRule="auto"/>
    </w:pPr>
    <w:rPr>
      <w:rFonts w:ascii="Book Antiqua" w:eastAsia="Times New Roman" w:hAnsi="Book Antiqua" w:cs="Times New Roman"/>
      <w:i/>
      <w:color w:val="FF0000"/>
    </w:rPr>
  </w:style>
  <w:style w:type="character" w:customStyle="1" w:styleId="BodyText3Char">
    <w:name w:val="Body Text 3 Char"/>
    <w:basedOn w:val="DefaultParagraphFont"/>
    <w:link w:val="BodyText3"/>
    <w:uiPriority w:val="99"/>
    <w:rsid w:val="00A97702"/>
    <w:rPr>
      <w:rFonts w:ascii="Book Antiqua" w:eastAsia="Times New Roman" w:hAnsi="Book Antiqua" w:cs="Times New Roman"/>
      <w:i/>
      <w:color w:val="FF0000"/>
      <w:sz w:val="22"/>
    </w:rPr>
  </w:style>
  <w:style w:type="paragraph" w:styleId="Revision">
    <w:name w:val="Revision"/>
    <w:hidden/>
    <w:uiPriority w:val="99"/>
    <w:semiHidden/>
    <w:rsid w:val="00A97702"/>
    <w:rPr>
      <w:rFonts w:ascii="Book Antiqua" w:eastAsia="Times New Roman" w:hAnsi="Book Antiqua" w:cs="Times New Roman"/>
      <w:sz w:val="24"/>
      <w:lang w:eastAsia="en-AU"/>
    </w:rPr>
  </w:style>
  <w:style w:type="character" w:styleId="Hyperlink">
    <w:name w:val="Hyperlink"/>
    <w:basedOn w:val="DefaultParagraphFont"/>
    <w:uiPriority w:val="99"/>
    <w:rsid w:val="00A97702"/>
    <w:rPr>
      <w:rFonts w:cs="Times New Roman"/>
      <w:color w:val="0000FF"/>
      <w:u w:val="single"/>
    </w:rPr>
  </w:style>
  <w:style w:type="paragraph" w:customStyle="1" w:styleId="Default">
    <w:name w:val="Default"/>
    <w:uiPriority w:val="99"/>
    <w:rsid w:val="00A97702"/>
    <w:pPr>
      <w:autoSpaceDE w:val="0"/>
      <w:autoSpaceDN w:val="0"/>
      <w:adjustRightInd w:val="0"/>
    </w:pPr>
    <w:rPr>
      <w:rFonts w:ascii="Arial" w:eastAsia="Times New Roman" w:hAnsi="Arial" w:cs="Arial"/>
      <w:color w:val="000000"/>
      <w:sz w:val="24"/>
      <w:szCs w:val="24"/>
      <w:lang w:val="en-US"/>
    </w:rPr>
  </w:style>
  <w:style w:type="paragraph" w:customStyle="1" w:styleId="Normal1">
    <w:name w:val="Normal+1"/>
    <w:basedOn w:val="Default"/>
    <w:next w:val="Default"/>
    <w:uiPriority w:val="99"/>
    <w:rsid w:val="00A97702"/>
    <w:rPr>
      <w:rFonts w:cs="Times New Roman"/>
      <w:color w:val="auto"/>
    </w:rPr>
  </w:style>
  <w:style w:type="paragraph" w:customStyle="1" w:styleId="glossary0">
    <w:name w:val="glossary"/>
    <w:basedOn w:val="Normal"/>
    <w:uiPriority w:val="99"/>
    <w:rsid w:val="00A97702"/>
    <w:pPr>
      <w:autoSpaceDE w:val="0"/>
      <w:autoSpaceDN w:val="0"/>
      <w:spacing w:before="100" w:after="100" w:line="240" w:lineRule="auto"/>
    </w:pPr>
    <w:rPr>
      <w:rFonts w:ascii="Book Antiqua" w:eastAsia="Times New Roman" w:hAnsi="Book Antiqua" w:cs="Times New Roman"/>
      <w:szCs w:val="24"/>
      <w:lang w:eastAsia="en-AU"/>
    </w:rPr>
  </w:style>
  <w:style w:type="paragraph" w:customStyle="1" w:styleId="Style1">
    <w:name w:val="Style1"/>
    <w:basedOn w:val="Heading2"/>
    <w:uiPriority w:val="99"/>
    <w:rsid w:val="00A97702"/>
    <w:rPr>
      <w:rFonts w:ascii="Arial" w:hAnsi="Arial"/>
    </w:rPr>
  </w:style>
  <w:style w:type="paragraph" w:customStyle="1" w:styleId="StyleTitleHeading22pt">
    <w:name w:val="Style Title Heading + 22 pt"/>
    <w:basedOn w:val="TitleHeading"/>
    <w:uiPriority w:val="99"/>
    <w:rsid w:val="00A97702"/>
    <w:rPr>
      <w:bCs/>
      <w:caps/>
    </w:rPr>
  </w:style>
  <w:style w:type="paragraph" w:customStyle="1" w:styleId="StyleglossaryJustified">
    <w:name w:val="Style glossary + Justified"/>
    <w:basedOn w:val="glossary0"/>
    <w:uiPriority w:val="99"/>
    <w:rsid w:val="00A97702"/>
    <w:pPr>
      <w:jc w:val="both"/>
    </w:pPr>
    <w:rPr>
      <w:szCs w:val="20"/>
    </w:rPr>
  </w:style>
  <w:style w:type="paragraph" w:customStyle="1" w:styleId="StyletextArialBold">
    <w:name w:val="Style text + Arial Bold"/>
    <w:basedOn w:val="text"/>
    <w:link w:val="StyletextArialBoldChar"/>
    <w:uiPriority w:val="99"/>
    <w:rsid w:val="00A97702"/>
    <w:rPr>
      <w:rFonts w:ascii="Arial" w:hAnsi="Arial"/>
      <w:b/>
    </w:rPr>
  </w:style>
  <w:style w:type="character" w:customStyle="1" w:styleId="StyletextArialBoldChar">
    <w:name w:val="Style text + Arial Bold Char"/>
    <w:link w:val="StyletextArialBold"/>
    <w:uiPriority w:val="99"/>
    <w:locked/>
    <w:rsid w:val="00A97702"/>
    <w:rPr>
      <w:rFonts w:ascii="Arial" w:eastAsia="Times New Roman" w:hAnsi="Arial" w:cs="Times New Roman"/>
      <w:b/>
      <w:sz w:val="22"/>
      <w:lang w:eastAsia="en-AU"/>
    </w:rPr>
  </w:style>
  <w:style w:type="character" w:styleId="Strong">
    <w:name w:val="Strong"/>
    <w:basedOn w:val="DefaultParagraphFont"/>
    <w:uiPriority w:val="99"/>
    <w:rsid w:val="00A97702"/>
    <w:rPr>
      <w:rFonts w:cs="Times New Roman"/>
      <w:b/>
    </w:rPr>
  </w:style>
  <w:style w:type="paragraph" w:styleId="DocumentMap">
    <w:name w:val="Document Map"/>
    <w:basedOn w:val="Normal"/>
    <w:link w:val="DocumentMapChar"/>
    <w:uiPriority w:val="99"/>
    <w:semiHidden/>
    <w:rsid w:val="00A97702"/>
    <w:pPr>
      <w:keepLines/>
      <w:shd w:val="clear" w:color="auto" w:fill="000080"/>
      <w:tabs>
        <w:tab w:val="left" w:pos="2943"/>
        <w:tab w:val="left" w:pos="9180"/>
      </w:tabs>
      <w:spacing w:before="20" w:after="20" w:line="240" w:lineRule="auto"/>
      <w:jc w:val="both"/>
    </w:pPr>
    <w:rPr>
      <w:rFonts w:ascii="Tahoma" w:eastAsia="Times New Roman" w:hAnsi="Tahoma" w:cs="Times New Roman"/>
      <w:lang w:eastAsia="en-AU"/>
    </w:rPr>
  </w:style>
  <w:style w:type="character" w:customStyle="1" w:styleId="DocumentMapChar">
    <w:name w:val="Document Map Char"/>
    <w:basedOn w:val="DefaultParagraphFont"/>
    <w:link w:val="DocumentMap"/>
    <w:uiPriority w:val="99"/>
    <w:semiHidden/>
    <w:rsid w:val="00A97702"/>
    <w:rPr>
      <w:rFonts w:ascii="Tahoma" w:eastAsia="Times New Roman" w:hAnsi="Tahoma" w:cs="Times New Roman"/>
      <w:sz w:val="22"/>
      <w:shd w:val="clear" w:color="auto" w:fill="000080"/>
      <w:lang w:eastAsia="en-AU"/>
    </w:rPr>
  </w:style>
  <w:style w:type="paragraph" w:styleId="BodyText">
    <w:name w:val="Body Text"/>
    <w:basedOn w:val="Normal"/>
    <w:link w:val="BodyTextChar"/>
    <w:uiPriority w:val="99"/>
    <w:rsid w:val="00A97702"/>
    <w:pPr>
      <w:spacing w:before="120" w:after="120" w:line="240" w:lineRule="auto"/>
      <w:jc w:val="center"/>
    </w:pPr>
    <w:rPr>
      <w:rFonts w:ascii="Book Antiqua" w:eastAsia="Times New Roman" w:hAnsi="Book Antiqua" w:cs="Times New Roman"/>
      <w:b/>
      <w:sz w:val="18"/>
      <w:lang w:eastAsia="en-AU"/>
    </w:rPr>
  </w:style>
  <w:style w:type="character" w:customStyle="1" w:styleId="BodyTextChar">
    <w:name w:val="Body Text Char"/>
    <w:basedOn w:val="DefaultParagraphFont"/>
    <w:link w:val="BodyText"/>
    <w:uiPriority w:val="99"/>
    <w:rsid w:val="00A97702"/>
    <w:rPr>
      <w:rFonts w:ascii="Book Antiqua" w:eastAsia="Times New Roman" w:hAnsi="Book Antiqua" w:cs="Times New Roman"/>
      <w:b/>
      <w:sz w:val="18"/>
      <w:lang w:eastAsia="en-AU"/>
    </w:rPr>
  </w:style>
  <w:style w:type="paragraph" w:styleId="Caption">
    <w:name w:val="caption"/>
    <w:basedOn w:val="Normal"/>
    <w:next w:val="Normal"/>
    <w:autoRedefine/>
    <w:uiPriority w:val="99"/>
    <w:qFormat/>
    <w:rsid w:val="00A97702"/>
    <w:pPr>
      <w:keepNext/>
      <w:spacing w:before="120" w:after="120" w:line="240" w:lineRule="auto"/>
    </w:pPr>
    <w:rPr>
      <w:rFonts w:ascii="Book Antiqua" w:eastAsia="Times New Roman" w:hAnsi="Book Antiqua" w:cs="Times New Roman"/>
      <w:b/>
      <w:szCs w:val="22"/>
      <w:lang w:eastAsia="en-AU"/>
    </w:rPr>
  </w:style>
  <w:style w:type="paragraph" w:styleId="BodyText2">
    <w:name w:val="Body Text 2"/>
    <w:basedOn w:val="Normal"/>
    <w:link w:val="BodyText2Char"/>
    <w:uiPriority w:val="99"/>
    <w:rsid w:val="00A97702"/>
    <w:pPr>
      <w:spacing w:before="20" w:after="20" w:line="240" w:lineRule="auto"/>
      <w:jc w:val="center"/>
    </w:pPr>
    <w:rPr>
      <w:rFonts w:ascii="Book Antiqua" w:eastAsia="Times New Roman" w:hAnsi="Book Antiqua" w:cs="Times New Roman"/>
      <w:sz w:val="16"/>
      <w:lang w:eastAsia="en-AU"/>
    </w:rPr>
  </w:style>
  <w:style w:type="character" w:customStyle="1" w:styleId="BodyText2Char">
    <w:name w:val="Body Text 2 Char"/>
    <w:basedOn w:val="DefaultParagraphFont"/>
    <w:link w:val="BodyText2"/>
    <w:uiPriority w:val="99"/>
    <w:rsid w:val="00A97702"/>
    <w:rPr>
      <w:rFonts w:ascii="Book Antiqua" w:eastAsia="Times New Roman" w:hAnsi="Book Antiqua" w:cs="Times New Roman"/>
      <w:sz w:val="16"/>
      <w:lang w:eastAsia="en-AU"/>
    </w:rPr>
  </w:style>
  <w:style w:type="character" w:styleId="FollowedHyperlink">
    <w:name w:val="FollowedHyperlink"/>
    <w:basedOn w:val="DefaultParagraphFont"/>
    <w:uiPriority w:val="99"/>
    <w:rsid w:val="00A97702"/>
    <w:rPr>
      <w:rFonts w:cs="Times New Roman"/>
      <w:color w:val="800080"/>
      <w:u w:val="single"/>
    </w:rPr>
  </w:style>
  <w:style w:type="paragraph" w:customStyle="1" w:styleId="CharCharChar">
    <w:name w:val="Char Char Char"/>
    <w:basedOn w:val="Normal"/>
    <w:uiPriority w:val="99"/>
    <w:rsid w:val="00A97702"/>
    <w:pPr>
      <w:spacing w:before="120" w:after="120" w:line="240" w:lineRule="auto"/>
    </w:pPr>
    <w:rPr>
      <w:rFonts w:ascii="Arial" w:eastAsia="Times New Roman" w:hAnsi="Arial" w:cs="Arial"/>
      <w:szCs w:val="22"/>
    </w:rPr>
  </w:style>
  <w:style w:type="paragraph" w:customStyle="1" w:styleId="Tablenumbers">
    <w:name w:val="Table numbers"/>
    <w:basedOn w:val="Normal"/>
    <w:link w:val="TablenumbersChar"/>
    <w:uiPriority w:val="99"/>
    <w:rsid w:val="00A97702"/>
    <w:pPr>
      <w:spacing w:before="80" w:after="120" w:line="240" w:lineRule="auto"/>
      <w:ind w:right="113"/>
      <w:jc w:val="right"/>
    </w:pPr>
    <w:rPr>
      <w:rFonts w:ascii="Arial" w:eastAsia="Times New Roman" w:hAnsi="Arial" w:cs="Times New Roman"/>
      <w:snapToGrid w:val="0"/>
      <w:sz w:val="18"/>
      <w:lang w:val="en-US"/>
    </w:rPr>
  </w:style>
  <w:style w:type="character" w:customStyle="1" w:styleId="TablenumbersChar">
    <w:name w:val="Table numbers Char"/>
    <w:link w:val="Tablenumbers"/>
    <w:uiPriority w:val="99"/>
    <w:locked/>
    <w:rsid w:val="00A97702"/>
    <w:rPr>
      <w:rFonts w:ascii="Arial" w:eastAsia="Times New Roman" w:hAnsi="Arial" w:cs="Times New Roman"/>
      <w:snapToGrid w:val="0"/>
      <w:sz w:val="18"/>
      <w:lang w:val="en-US"/>
    </w:rPr>
  </w:style>
  <w:style w:type="paragraph" w:customStyle="1" w:styleId="Table">
    <w:name w:val="Table"/>
    <w:basedOn w:val="Caption"/>
    <w:link w:val="TableChar"/>
    <w:uiPriority w:val="99"/>
    <w:rsid w:val="00A97702"/>
    <w:pPr>
      <w:spacing w:line="220" w:lineRule="exact"/>
      <w:jc w:val="both"/>
    </w:pPr>
    <w:rPr>
      <w:rFonts w:ascii="Arial" w:hAnsi="Arial"/>
      <w:b w:val="0"/>
      <w:kern w:val="28"/>
      <w:sz w:val="20"/>
      <w:szCs w:val="20"/>
    </w:rPr>
  </w:style>
  <w:style w:type="character" w:customStyle="1" w:styleId="TableChar">
    <w:name w:val="Table Char"/>
    <w:link w:val="Table"/>
    <w:uiPriority w:val="99"/>
    <w:locked/>
    <w:rsid w:val="00A97702"/>
    <w:rPr>
      <w:rFonts w:ascii="Arial" w:eastAsia="Times New Roman" w:hAnsi="Arial" w:cs="Times New Roman"/>
      <w:kern w:val="28"/>
      <w:lang w:eastAsia="en-AU"/>
    </w:rPr>
  </w:style>
  <w:style w:type="paragraph" w:styleId="NormalWeb">
    <w:name w:val="Normal (Web)"/>
    <w:basedOn w:val="Normal"/>
    <w:uiPriority w:val="99"/>
    <w:rsid w:val="00A97702"/>
    <w:pPr>
      <w:spacing w:before="100" w:beforeAutospacing="1" w:after="100" w:afterAutospacing="1" w:line="240" w:lineRule="auto"/>
    </w:pPr>
    <w:rPr>
      <w:rFonts w:eastAsia="Times New Roman" w:cs="Times New Roman"/>
      <w:szCs w:val="24"/>
      <w:lang w:val="en-US"/>
    </w:rPr>
  </w:style>
  <w:style w:type="paragraph" w:customStyle="1" w:styleId="Numberedlist">
    <w:name w:val="Numbered list"/>
    <w:basedOn w:val="BodyText"/>
    <w:uiPriority w:val="99"/>
    <w:rsid w:val="00A97702"/>
    <w:pPr>
      <w:numPr>
        <w:numId w:val="19"/>
      </w:numPr>
      <w:autoSpaceDE w:val="0"/>
      <w:autoSpaceDN w:val="0"/>
      <w:adjustRightInd w:val="0"/>
      <w:spacing w:before="60" w:line="280" w:lineRule="exact"/>
      <w:ind w:right="68"/>
      <w:jc w:val="both"/>
    </w:pPr>
    <w:rPr>
      <w:rFonts w:ascii="Arial" w:hAnsi="Arial" w:cs="Arial"/>
      <w:b w:val="0"/>
      <w:kern w:val="28"/>
      <w:sz w:val="22"/>
      <w:szCs w:val="22"/>
      <w:lang w:val="en-GB"/>
    </w:rPr>
  </w:style>
  <w:style w:type="paragraph" w:customStyle="1" w:styleId="StyleHeading4LatinBoldNotLatinItalic">
    <w:name w:val="Style Heading 4 + (Latin) Bold Not (Latin) Italic"/>
    <w:basedOn w:val="Heading4"/>
    <w:uiPriority w:val="99"/>
    <w:rsid w:val="00A97702"/>
  </w:style>
  <w:style w:type="character" w:styleId="Emphasis">
    <w:name w:val="Emphasis"/>
    <w:basedOn w:val="DefaultParagraphFont"/>
    <w:uiPriority w:val="99"/>
    <w:rsid w:val="00A97702"/>
    <w:rPr>
      <w:rFonts w:cs="Times New Roman"/>
      <w:i/>
    </w:rPr>
  </w:style>
  <w:style w:type="paragraph" w:styleId="PlainText">
    <w:name w:val="Plain Text"/>
    <w:basedOn w:val="Normal"/>
    <w:link w:val="PlainTextChar"/>
    <w:uiPriority w:val="99"/>
    <w:rsid w:val="00A97702"/>
    <w:pPr>
      <w:spacing w:before="120" w:after="120"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uiPriority w:val="99"/>
    <w:rsid w:val="00A97702"/>
    <w:rPr>
      <w:rFonts w:ascii="Courier New" w:eastAsia="Times New Roman" w:hAnsi="Courier New" w:cs="Courier New"/>
      <w:lang w:eastAsia="en-AU"/>
    </w:rPr>
  </w:style>
  <w:style w:type="table" w:styleId="TableClassic2">
    <w:name w:val="Table Classic 2"/>
    <w:basedOn w:val="TableNormal"/>
    <w:uiPriority w:val="99"/>
    <w:rsid w:val="00A97702"/>
    <w:pPr>
      <w:jc w:val="both"/>
    </w:pPr>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hapterHeading1">
    <w:name w:val="ChapterHeading1"/>
    <w:basedOn w:val="Heading1"/>
    <w:uiPriority w:val="99"/>
    <w:rsid w:val="00A97702"/>
  </w:style>
  <w:style w:type="paragraph" w:customStyle="1" w:styleId="ChapterHeading2">
    <w:name w:val="ChapterHeading2"/>
    <w:basedOn w:val="Heading2"/>
    <w:uiPriority w:val="99"/>
    <w:rsid w:val="00A97702"/>
    <w:pPr>
      <w:spacing w:after="240"/>
      <w:ind w:left="720" w:hanging="720"/>
    </w:pPr>
  </w:style>
  <w:style w:type="paragraph" w:customStyle="1" w:styleId="ChapterHeading3">
    <w:name w:val="ChapterHeading3"/>
    <w:basedOn w:val="Heading3"/>
    <w:uiPriority w:val="99"/>
    <w:rsid w:val="00A97702"/>
    <w:pPr>
      <w:spacing w:before="120" w:after="120"/>
    </w:pPr>
  </w:style>
  <w:style w:type="paragraph" w:customStyle="1" w:styleId="ChapterHeading4">
    <w:name w:val="ChapterHeading4"/>
    <w:basedOn w:val="Heading4"/>
    <w:uiPriority w:val="99"/>
    <w:rsid w:val="00A97702"/>
  </w:style>
  <w:style w:type="paragraph" w:customStyle="1" w:styleId="ChapterHeading5">
    <w:name w:val="ChapterHeading5"/>
    <w:basedOn w:val="Normal"/>
    <w:uiPriority w:val="99"/>
    <w:rsid w:val="00A97702"/>
    <w:pPr>
      <w:keepNext/>
      <w:spacing w:before="120" w:after="120" w:line="240" w:lineRule="auto"/>
      <w:jc w:val="both"/>
    </w:pPr>
    <w:rPr>
      <w:rFonts w:ascii="Book Antiqua" w:eastAsia="Times New Roman" w:hAnsi="Book Antiqua" w:cs="Times New Roman"/>
      <w:b/>
      <w:i/>
      <w:szCs w:val="22"/>
      <w:lang w:eastAsia="en-AU"/>
    </w:rPr>
  </w:style>
  <w:style w:type="paragraph" w:customStyle="1" w:styleId="BlockTitle">
    <w:name w:val="BlockTitle"/>
    <w:basedOn w:val="Normal"/>
    <w:uiPriority w:val="99"/>
    <w:rsid w:val="00A97702"/>
    <w:pPr>
      <w:keepNext/>
      <w:autoSpaceDE w:val="0"/>
      <w:autoSpaceDN w:val="0"/>
      <w:adjustRightInd w:val="0"/>
      <w:spacing w:before="60" w:after="60" w:line="240" w:lineRule="auto"/>
    </w:pPr>
    <w:rPr>
      <w:rFonts w:ascii="Book Antiqua" w:eastAsia="Times New Roman" w:hAnsi="Book Antiqua" w:cs="Times New Roman"/>
      <w:b/>
      <w:szCs w:val="22"/>
      <w:lang w:val="en-US"/>
    </w:rPr>
  </w:style>
  <w:style w:type="paragraph" w:customStyle="1" w:styleId="StyleBlockTitleBoxSinglesolidlineAuto05ptLinewidt">
    <w:name w:val="Style BlockTitle + Box: (Single solid line Auto  0.5 pt Line widt..."/>
    <w:basedOn w:val="BlockTitle"/>
    <w:uiPriority w:val="99"/>
    <w:rsid w:val="00A97702"/>
    <w:rPr>
      <w:bCs/>
      <w:szCs w:val="20"/>
    </w:rPr>
  </w:style>
  <w:style w:type="paragraph" w:customStyle="1" w:styleId="Numbered">
    <w:name w:val="Numbered"/>
    <w:basedOn w:val="text"/>
    <w:uiPriority w:val="99"/>
    <w:rsid w:val="00A97702"/>
    <w:pPr>
      <w:numPr>
        <w:numId w:val="25"/>
      </w:numPr>
      <w:tabs>
        <w:tab w:val="clear" w:pos="720"/>
        <w:tab w:val="num" w:pos="1080"/>
      </w:tabs>
      <w:spacing w:after="0"/>
      <w:ind w:left="360" w:hanging="360"/>
    </w:pPr>
    <w:rPr>
      <w:szCs w:val="22"/>
    </w:rPr>
  </w:style>
  <w:style w:type="paragraph" w:customStyle="1" w:styleId="StyletextAfter0ptBoxSinglesolidlineAuto05ptL">
    <w:name w:val="Style text + After:  0 pt Box: (Single solid line Auto  0.5 pt L..."/>
    <w:basedOn w:val="text"/>
    <w:uiPriority w:val="99"/>
    <w:rsid w:val="00A97702"/>
    <w:pPr>
      <w:spacing w:after="0"/>
    </w:pPr>
  </w:style>
  <w:style w:type="paragraph" w:customStyle="1" w:styleId="Footnote">
    <w:name w:val="Footnote"/>
    <w:basedOn w:val="StyletextAfter0ptBoxSinglesolidlineAuto05ptL"/>
    <w:uiPriority w:val="99"/>
    <w:rsid w:val="00A97702"/>
    <w:rPr>
      <w:szCs w:val="22"/>
      <w:vertAlign w:val="superscript"/>
    </w:rPr>
  </w:style>
  <w:style w:type="paragraph" w:customStyle="1" w:styleId="StyleCaptionLeft0cmHanging175cm">
    <w:name w:val="Style Caption + Left:  0 cm Hanging:  1.75 cm"/>
    <w:basedOn w:val="Caption"/>
    <w:autoRedefine/>
    <w:uiPriority w:val="99"/>
    <w:rsid w:val="00A97702"/>
    <w:pPr>
      <w:ind w:left="993" w:hanging="993"/>
    </w:pPr>
    <w:rPr>
      <w:bCs/>
    </w:rPr>
  </w:style>
  <w:style w:type="paragraph" w:customStyle="1" w:styleId="TableHeadingLeft">
    <w:name w:val="TableHeading Left"/>
    <w:basedOn w:val="text"/>
    <w:uiPriority w:val="99"/>
    <w:rsid w:val="00A97702"/>
    <w:rPr>
      <w:b/>
      <w:sz w:val="20"/>
      <w:lang w:val="en-GB"/>
    </w:rPr>
  </w:style>
  <w:style w:type="paragraph" w:customStyle="1" w:styleId="Ticks">
    <w:name w:val="Ticks"/>
    <w:basedOn w:val="text"/>
    <w:uiPriority w:val="99"/>
    <w:rsid w:val="00A97702"/>
    <w:pPr>
      <w:jc w:val="center"/>
    </w:pPr>
    <w:rPr>
      <w:sz w:val="32"/>
      <w:szCs w:val="32"/>
    </w:rPr>
  </w:style>
  <w:style w:type="paragraph" w:customStyle="1" w:styleId="AHeading">
    <w:name w:val="A Heading"/>
    <w:basedOn w:val="text"/>
    <w:uiPriority w:val="99"/>
    <w:rsid w:val="00A97702"/>
    <w:pPr>
      <w:keepNext/>
      <w:ind w:left="709" w:hanging="709"/>
    </w:pPr>
    <w:rPr>
      <w:b/>
      <w:bCs/>
    </w:rPr>
  </w:style>
  <w:style w:type="paragraph" w:customStyle="1" w:styleId="indentedunderAHeading">
    <w:name w:val="indented under A Heading"/>
    <w:basedOn w:val="text"/>
    <w:uiPriority w:val="99"/>
    <w:rsid w:val="00A97702"/>
    <w:pPr>
      <w:ind w:left="709"/>
    </w:pPr>
  </w:style>
  <w:style w:type="paragraph" w:customStyle="1" w:styleId="NumberedunderAHeading">
    <w:name w:val="Numbered under A Heading"/>
    <w:basedOn w:val="text"/>
    <w:uiPriority w:val="99"/>
    <w:rsid w:val="00A97702"/>
    <w:pPr>
      <w:numPr>
        <w:numId w:val="20"/>
      </w:numPr>
      <w:tabs>
        <w:tab w:val="clear" w:pos="360"/>
        <w:tab w:val="num" w:pos="926"/>
        <w:tab w:val="num" w:pos="1134"/>
      </w:tabs>
      <w:ind w:left="1134" w:hanging="425"/>
    </w:pPr>
  </w:style>
  <w:style w:type="paragraph" w:customStyle="1" w:styleId="BlockTitle1">
    <w:name w:val="BlockTitle1"/>
    <w:basedOn w:val="text"/>
    <w:uiPriority w:val="99"/>
    <w:rsid w:val="00A97702"/>
    <w:pPr>
      <w:shd w:val="clear" w:color="auto" w:fill="D9D9D9"/>
      <w:jc w:val="center"/>
    </w:pPr>
    <w:rPr>
      <w:b/>
      <w:szCs w:val="22"/>
      <w:lang w:val="en-US" w:eastAsia="en-US"/>
    </w:rPr>
  </w:style>
  <w:style w:type="paragraph" w:customStyle="1" w:styleId="Note">
    <w:name w:val="Note"/>
    <w:basedOn w:val="text"/>
    <w:uiPriority w:val="99"/>
    <w:rsid w:val="00A97702"/>
    <w:rPr>
      <w:noProof/>
      <w:sz w:val="20"/>
    </w:rPr>
  </w:style>
  <w:style w:type="paragraph" w:customStyle="1" w:styleId="NoteNumbered">
    <w:name w:val="Note Numbered"/>
    <w:basedOn w:val="Normal"/>
    <w:uiPriority w:val="99"/>
    <w:rsid w:val="00A97702"/>
    <w:pPr>
      <w:numPr>
        <w:numId w:val="23"/>
      </w:numPr>
      <w:spacing w:before="120" w:after="120" w:line="276" w:lineRule="auto"/>
      <w:jc w:val="both"/>
    </w:pPr>
    <w:rPr>
      <w:rFonts w:ascii="Book Antiqua" w:eastAsia="Times New Roman" w:hAnsi="Book Antiqua" w:cs="Arial"/>
      <w:sz w:val="18"/>
      <w:szCs w:val="18"/>
      <w:lang w:eastAsia="en-AU"/>
    </w:rPr>
  </w:style>
  <w:style w:type="paragraph" w:customStyle="1" w:styleId="StyleNote8ptBoldBlack">
    <w:name w:val="Style Note + 8 pt Bold Black"/>
    <w:basedOn w:val="Note"/>
    <w:uiPriority w:val="99"/>
    <w:rsid w:val="00A97702"/>
    <w:pPr>
      <w:spacing w:before="60" w:after="0"/>
    </w:pPr>
    <w:rPr>
      <w:b/>
      <w:bCs/>
      <w:color w:val="000000"/>
      <w:sz w:val="16"/>
    </w:rPr>
  </w:style>
  <w:style w:type="paragraph" w:customStyle="1" w:styleId="TableHeading1">
    <w:name w:val="TableHeading1"/>
    <w:basedOn w:val="Normal"/>
    <w:uiPriority w:val="99"/>
    <w:rsid w:val="00A97702"/>
    <w:pPr>
      <w:spacing w:before="120" w:after="120" w:line="240" w:lineRule="auto"/>
      <w:jc w:val="center"/>
    </w:pPr>
    <w:rPr>
      <w:rFonts w:ascii="Arial" w:eastAsia="Times New Roman" w:hAnsi="Arial" w:cs="Arial"/>
      <w:b/>
      <w:noProof/>
      <w:sz w:val="18"/>
      <w:szCs w:val="18"/>
      <w:lang w:val="en-GB" w:eastAsia="en-AU"/>
    </w:rPr>
  </w:style>
  <w:style w:type="paragraph" w:customStyle="1" w:styleId="font5">
    <w:name w:val="font5"/>
    <w:basedOn w:val="Normal"/>
    <w:uiPriority w:val="99"/>
    <w:rsid w:val="00A97702"/>
    <w:pPr>
      <w:spacing w:before="100" w:beforeAutospacing="1" w:after="100" w:afterAutospacing="1" w:line="240" w:lineRule="auto"/>
    </w:pPr>
    <w:rPr>
      <w:rFonts w:ascii="Arial" w:eastAsia="Times New Roman" w:hAnsi="Arial" w:cs="Arial"/>
      <w:color w:val="000000"/>
      <w:sz w:val="20"/>
      <w:lang w:eastAsia="en-AU"/>
    </w:rPr>
  </w:style>
  <w:style w:type="paragraph" w:customStyle="1" w:styleId="font6">
    <w:name w:val="font6"/>
    <w:basedOn w:val="Normal"/>
    <w:uiPriority w:val="99"/>
    <w:rsid w:val="00A97702"/>
    <w:pPr>
      <w:spacing w:before="100" w:beforeAutospacing="1" w:after="100" w:afterAutospacing="1" w:line="240" w:lineRule="auto"/>
    </w:pPr>
    <w:rPr>
      <w:rFonts w:ascii="Arial" w:eastAsia="Times New Roman" w:hAnsi="Arial" w:cs="Arial"/>
      <w:b/>
      <w:bCs/>
      <w:sz w:val="20"/>
      <w:lang w:eastAsia="en-AU"/>
    </w:rPr>
  </w:style>
  <w:style w:type="paragraph" w:customStyle="1" w:styleId="font7">
    <w:name w:val="font7"/>
    <w:basedOn w:val="Normal"/>
    <w:uiPriority w:val="99"/>
    <w:rsid w:val="00A97702"/>
    <w:pPr>
      <w:spacing w:before="100" w:beforeAutospacing="1" w:after="100" w:afterAutospacing="1" w:line="240" w:lineRule="auto"/>
    </w:pPr>
    <w:rPr>
      <w:rFonts w:ascii="Symbol" w:eastAsia="Times New Roman" w:hAnsi="Symbol" w:cs="Times New Roman"/>
      <w:b/>
      <w:bCs/>
      <w:sz w:val="20"/>
      <w:lang w:eastAsia="en-AU"/>
    </w:rPr>
  </w:style>
  <w:style w:type="paragraph" w:customStyle="1" w:styleId="font8">
    <w:name w:val="font8"/>
    <w:basedOn w:val="Normal"/>
    <w:uiPriority w:val="99"/>
    <w:rsid w:val="00A97702"/>
    <w:pPr>
      <w:spacing w:before="100" w:beforeAutospacing="1" w:after="100" w:afterAutospacing="1" w:line="240" w:lineRule="auto"/>
    </w:pPr>
    <w:rPr>
      <w:rFonts w:ascii="Arial" w:eastAsia="Times New Roman" w:hAnsi="Arial" w:cs="Arial"/>
      <w:color w:val="000000"/>
      <w:sz w:val="20"/>
      <w:lang w:eastAsia="en-AU"/>
    </w:rPr>
  </w:style>
  <w:style w:type="paragraph" w:customStyle="1" w:styleId="font9">
    <w:name w:val="font9"/>
    <w:basedOn w:val="Normal"/>
    <w:uiPriority w:val="99"/>
    <w:rsid w:val="00A97702"/>
    <w:pPr>
      <w:spacing w:before="100" w:beforeAutospacing="1" w:after="100" w:afterAutospacing="1" w:line="240" w:lineRule="auto"/>
    </w:pPr>
    <w:rPr>
      <w:rFonts w:ascii="Arial" w:eastAsia="Times New Roman" w:hAnsi="Arial" w:cs="Arial"/>
      <w:b/>
      <w:bCs/>
      <w:color w:val="000000"/>
      <w:sz w:val="20"/>
      <w:lang w:eastAsia="en-AU"/>
    </w:rPr>
  </w:style>
  <w:style w:type="paragraph" w:customStyle="1" w:styleId="font10">
    <w:name w:val="font10"/>
    <w:basedOn w:val="Normal"/>
    <w:uiPriority w:val="99"/>
    <w:rsid w:val="00A97702"/>
    <w:pPr>
      <w:spacing w:before="100" w:beforeAutospacing="1" w:after="100" w:afterAutospacing="1" w:line="240" w:lineRule="auto"/>
    </w:pPr>
    <w:rPr>
      <w:rFonts w:ascii="Arial" w:eastAsia="Times New Roman" w:hAnsi="Arial" w:cs="Arial"/>
      <w:color w:val="000000"/>
      <w:sz w:val="20"/>
      <w:lang w:eastAsia="en-AU"/>
    </w:rPr>
  </w:style>
  <w:style w:type="paragraph" w:customStyle="1" w:styleId="font11">
    <w:name w:val="font11"/>
    <w:basedOn w:val="Normal"/>
    <w:uiPriority w:val="99"/>
    <w:rsid w:val="00A97702"/>
    <w:pPr>
      <w:spacing w:before="100" w:beforeAutospacing="1" w:after="100" w:afterAutospacing="1" w:line="240" w:lineRule="auto"/>
    </w:pPr>
    <w:rPr>
      <w:rFonts w:ascii="Arial" w:eastAsia="Times New Roman" w:hAnsi="Arial" w:cs="Arial"/>
      <w:sz w:val="20"/>
      <w:lang w:eastAsia="en-AU"/>
    </w:rPr>
  </w:style>
  <w:style w:type="paragraph" w:customStyle="1" w:styleId="font12">
    <w:name w:val="font12"/>
    <w:basedOn w:val="Normal"/>
    <w:uiPriority w:val="99"/>
    <w:rsid w:val="00A97702"/>
    <w:pPr>
      <w:spacing w:before="100" w:beforeAutospacing="1" w:after="100" w:afterAutospacing="1" w:line="240" w:lineRule="auto"/>
    </w:pPr>
    <w:rPr>
      <w:rFonts w:ascii="Arial" w:eastAsia="Times New Roman" w:hAnsi="Arial" w:cs="Arial"/>
      <w:b/>
      <w:bCs/>
      <w:sz w:val="20"/>
      <w:lang w:eastAsia="en-AU"/>
    </w:rPr>
  </w:style>
  <w:style w:type="paragraph" w:customStyle="1" w:styleId="xl65">
    <w:name w:val="xl65"/>
    <w:basedOn w:val="Normal"/>
    <w:uiPriority w:val="99"/>
    <w:rsid w:val="00A97702"/>
    <w:pPr>
      <w:spacing w:before="100" w:beforeAutospacing="1" w:after="100" w:afterAutospacing="1" w:line="240" w:lineRule="auto"/>
    </w:pPr>
    <w:rPr>
      <w:rFonts w:eastAsia="Times New Roman" w:cs="Times New Roman"/>
      <w:szCs w:val="24"/>
      <w:lang w:eastAsia="en-AU"/>
    </w:rPr>
  </w:style>
  <w:style w:type="paragraph" w:customStyle="1" w:styleId="xl66">
    <w:name w:val="xl66"/>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Cs w:val="24"/>
      <w:lang w:eastAsia="en-AU"/>
    </w:rPr>
  </w:style>
  <w:style w:type="paragraph" w:customStyle="1" w:styleId="xl67">
    <w:name w:val="xl67"/>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68">
    <w:name w:val="xl68"/>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Cs w:val="24"/>
      <w:lang w:eastAsia="en-AU"/>
    </w:rPr>
  </w:style>
  <w:style w:type="paragraph" w:customStyle="1" w:styleId="xl69">
    <w:name w:val="xl69"/>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70">
    <w:name w:val="xl70"/>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Cs w:val="24"/>
      <w:lang w:eastAsia="en-AU"/>
    </w:rPr>
  </w:style>
  <w:style w:type="paragraph" w:customStyle="1" w:styleId="xl71">
    <w:name w:val="xl71"/>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Cs w:val="24"/>
      <w:lang w:eastAsia="en-AU"/>
    </w:rPr>
  </w:style>
  <w:style w:type="paragraph" w:customStyle="1" w:styleId="xl72">
    <w:name w:val="xl72"/>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73">
    <w:name w:val="xl73"/>
    <w:basedOn w:val="Normal"/>
    <w:uiPriority w:val="99"/>
    <w:rsid w:val="00A97702"/>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74">
    <w:name w:val="xl74"/>
    <w:basedOn w:val="Normal"/>
    <w:uiPriority w:val="99"/>
    <w:rsid w:val="00A97702"/>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75">
    <w:name w:val="xl75"/>
    <w:basedOn w:val="Normal"/>
    <w:uiPriority w:val="99"/>
    <w:rsid w:val="00A977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76">
    <w:name w:val="xl76"/>
    <w:basedOn w:val="Normal"/>
    <w:uiPriority w:val="99"/>
    <w:rsid w:val="00A97702"/>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77">
    <w:name w:val="xl77"/>
    <w:basedOn w:val="Normal"/>
    <w:uiPriority w:val="99"/>
    <w:rsid w:val="00A97702"/>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78">
    <w:name w:val="xl78"/>
    <w:basedOn w:val="Normal"/>
    <w:uiPriority w:val="99"/>
    <w:rsid w:val="00A977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79">
    <w:name w:val="xl79"/>
    <w:basedOn w:val="Normal"/>
    <w:uiPriority w:val="99"/>
    <w:rsid w:val="00A97702"/>
    <w:pPr>
      <w:pBdr>
        <w:top w:val="single" w:sz="4"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80">
    <w:name w:val="xl80"/>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81">
    <w:name w:val="xl81"/>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82">
    <w:name w:val="xl82"/>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Cs w:val="24"/>
      <w:lang w:eastAsia="en-AU"/>
    </w:rPr>
  </w:style>
  <w:style w:type="paragraph" w:customStyle="1" w:styleId="xl83">
    <w:name w:val="xl83"/>
    <w:basedOn w:val="Normal"/>
    <w:uiPriority w:val="99"/>
    <w:rsid w:val="00A97702"/>
    <w:pPr>
      <w:spacing w:before="100" w:beforeAutospacing="1" w:after="100" w:afterAutospacing="1" w:line="240" w:lineRule="auto"/>
      <w:textAlignment w:val="center"/>
    </w:pPr>
    <w:rPr>
      <w:rFonts w:ascii="Arial" w:eastAsia="Times New Roman" w:hAnsi="Arial" w:cs="Arial"/>
      <w:b/>
      <w:bCs/>
      <w:szCs w:val="24"/>
      <w:lang w:eastAsia="en-AU"/>
    </w:rPr>
  </w:style>
  <w:style w:type="paragraph" w:customStyle="1" w:styleId="xl84">
    <w:name w:val="xl84"/>
    <w:basedOn w:val="Normal"/>
    <w:uiPriority w:val="99"/>
    <w:rsid w:val="00A97702"/>
    <w:pPr>
      <w:spacing w:before="100" w:beforeAutospacing="1" w:after="100" w:afterAutospacing="1" w:line="240" w:lineRule="auto"/>
      <w:textAlignment w:val="center"/>
    </w:pPr>
    <w:rPr>
      <w:rFonts w:eastAsia="Times New Roman" w:cs="Times New Roman"/>
      <w:szCs w:val="24"/>
      <w:lang w:eastAsia="en-AU"/>
    </w:rPr>
  </w:style>
  <w:style w:type="paragraph" w:customStyle="1" w:styleId="xl85">
    <w:name w:val="xl85"/>
    <w:basedOn w:val="Normal"/>
    <w:uiPriority w:val="99"/>
    <w:rsid w:val="00A97702"/>
    <w:pPr>
      <w:spacing w:before="100" w:beforeAutospacing="1" w:after="100" w:afterAutospacing="1" w:line="240" w:lineRule="auto"/>
      <w:textAlignment w:val="center"/>
    </w:pPr>
    <w:rPr>
      <w:rFonts w:eastAsia="Times New Roman" w:cs="Times New Roman"/>
      <w:szCs w:val="24"/>
      <w:lang w:eastAsia="en-AU"/>
    </w:rPr>
  </w:style>
  <w:style w:type="paragraph" w:customStyle="1" w:styleId="xl86">
    <w:name w:val="xl86"/>
    <w:basedOn w:val="Normal"/>
    <w:uiPriority w:val="99"/>
    <w:rsid w:val="00A977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87">
    <w:name w:val="xl87"/>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88">
    <w:name w:val="xl88"/>
    <w:basedOn w:val="Normal"/>
    <w:uiPriority w:val="99"/>
    <w:rsid w:val="00A97702"/>
    <w:pPr>
      <w:pBdr>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89">
    <w:name w:val="xl89"/>
    <w:basedOn w:val="Normal"/>
    <w:uiPriority w:val="99"/>
    <w:rsid w:val="00A97702"/>
    <w:pPr>
      <w:pBdr>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0">
    <w:name w:val="xl90"/>
    <w:basedOn w:val="Normal"/>
    <w:uiPriority w:val="99"/>
    <w:rsid w:val="00A97702"/>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1">
    <w:name w:val="xl91"/>
    <w:basedOn w:val="Normal"/>
    <w:uiPriority w:val="99"/>
    <w:rsid w:val="00A977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2">
    <w:name w:val="xl92"/>
    <w:basedOn w:val="Normal"/>
    <w:uiPriority w:val="99"/>
    <w:rsid w:val="00A97702"/>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3">
    <w:name w:val="xl93"/>
    <w:basedOn w:val="Normal"/>
    <w:uiPriority w:val="99"/>
    <w:rsid w:val="00A97702"/>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4">
    <w:name w:val="xl94"/>
    <w:basedOn w:val="Normal"/>
    <w:uiPriority w:val="99"/>
    <w:rsid w:val="00A97702"/>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5">
    <w:name w:val="xl95"/>
    <w:basedOn w:val="Normal"/>
    <w:uiPriority w:val="99"/>
    <w:rsid w:val="00A977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6">
    <w:name w:val="xl96"/>
    <w:basedOn w:val="Normal"/>
    <w:uiPriority w:val="99"/>
    <w:rsid w:val="00A9770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97">
    <w:name w:val="xl97"/>
    <w:basedOn w:val="Normal"/>
    <w:uiPriority w:val="99"/>
    <w:rsid w:val="00A97702"/>
    <w:pPr>
      <w:pBdr>
        <w:top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8">
    <w:name w:val="xl98"/>
    <w:basedOn w:val="Normal"/>
    <w:uiPriority w:val="99"/>
    <w:rsid w:val="00A97702"/>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9">
    <w:name w:val="xl99"/>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100">
    <w:name w:val="xl100"/>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Cs w:val="24"/>
      <w:lang w:eastAsia="en-AU"/>
    </w:rPr>
  </w:style>
  <w:style w:type="paragraph" w:customStyle="1" w:styleId="xl101">
    <w:name w:val="xl101"/>
    <w:basedOn w:val="Normal"/>
    <w:uiPriority w:val="99"/>
    <w:rsid w:val="00A97702"/>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102">
    <w:name w:val="xl102"/>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103">
    <w:name w:val="xl103"/>
    <w:basedOn w:val="Normal"/>
    <w:uiPriority w:val="99"/>
    <w:rsid w:val="00A97702"/>
    <w:pPr>
      <w:pBdr>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104">
    <w:name w:val="xl104"/>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105">
    <w:name w:val="xl105"/>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Cs w:val="24"/>
      <w:lang w:eastAsia="en-AU"/>
    </w:rPr>
  </w:style>
  <w:style w:type="paragraph" w:customStyle="1" w:styleId="xl106">
    <w:name w:val="xl106"/>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Cs w:val="24"/>
      <w:lang w:eastAsia="en-AU"/>
    </w:rPr>
  </w:style>
  <w:style w:type="paragraph" w:customStyle="1" w:styleId="xl107">
    <w:name w:val="xl107"/>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Cs w:val="24"/>
      <w:lang w:eastAsia="en-AU"/>
    </w:rPr>
  </w:style>
  <w:style w:type="paragraph" w:customStyle="1" w:styleId="xl108">
    <w:name w:val="xl108"/>
    <w:basedOn w:val="Normal"/>
    <w:uiPriority w:val="99"/>
    <w:rsid w:val="00A97702"/>
    <w:pPr>
      <w:pBdr>
        <w:lef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09">
    <w:name w:val="xl109"/>
    <w:basedOn w:val="Normal"/>
    <w:uiPriority w:val="99"/>
    <w:rsid w:val="00A97702"/>
    <w:pPr>
      <w:pBdr>
        <w:righ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0">
    <w:name w:val="xl110"/>
    <w:basedOn w:val="Normal"/>
    <w:uiPriority w:val="99"/>
    <w:rsid w:val="00A97702"/>
    <w:pPr>
      <w:pBdr>
        <w:left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1">
    <w:name w:val="xl111"/>
    <w:basedOn w:val="Normal"/>
    <w:uiPriority w:val="99"/>
    <w:rsid w:val="00A97702"/>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2">
    <w:name w:val="xl112"/>
    <w:basedOn w:val="Normal"/>
    <w:uiPriority w:val="99"/>
    <w:rsid w:val="00A977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3">
    <w:name w:val="xl113"/>
    <w:basedOn w:val="Normal"/>
    <w:uiPriority w:val="99"/>
    <w:rsid w:val="00A977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4">
    <w:name w:val="xl114"/>
    <w:basedOn w:val="Normal"/>
    <w:uiPriority w:val="99"/>
    <w:rsid w:val="00A977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lang w:eastAsia="en-AU"/>
    </w:rPr>
  </w:style>
  <w:style w:type="paragraph" w:customStyle="1" w:styleId="xl115">
    <w:name w:val="xl115"/>
    <w:basedOn w:val="Normal"/>
    <w:uiPriority w:val="99"/>
    <w:rsid w:val="00A977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lang w:eastAsia="en-AU"/>
    </w:rPr>
  </w:style>
  <w:style w:type="paragraph" w:customStyle="1" w:styleId="xl116">
    <w:name w:val="xl116"/>
    <w:basedOn w:val="Normal"/>
    <w:uiPriority w:val="99"/>
    <w:rsid w:val="00A977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117">
    <w:name w:val="xl117"/>
    <w:basedOn w:val="Normal"/>
    <w:uiPriority w:val="99"/>
    <w:rsid w:val="00A977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118">
    <w:name w:val="xl118"/>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Cs w:val="24"/>
      <w:lang w:eastAsia="en-AU"/>
    </w:rPr>
  </w:style>
  <w:style w:type="paragraph" w:customStyle="1" w:styleId="xl119">
    <w:name w:val="xl119"/>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Times New Roman"/>
      <w:szCs w:val="22"/>
      <w:lang w:eastAsia="en-AU"/>
    </w:rPr>
  </w:style>
  <w:style w:type="paragraph" w:customStyle="1" w:styleId="xl120">
    <w:name w:val="xl120"/>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Times New Roman"/>
      <w:szCs w:val="22"/>
      <w:lang w:eastAsia="en-AU"/>
    </w:rPr>
  </w:style>
  <w:style w:type="paragraph" w:customStyle="1" w:styleId="xl121">
    <w:name w:val="xl121"/>
    <w:basedOn w:val="Normal"/>
    <w:uiPriority w:val="99"/>
    <w:rsid w:val="00A977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color w:val="000000"/>
      <w:szCs w:val="24"/>
      <w:lang w:eastAsia="en-AU"/>
    </w:rPr>
  </w:style>
  <w:style w:type="paragraph" w:customStyle="1" w:styleId="xl122">
    <w:name w:val="xl122"/>
    <w:basedOn w:val="Normal"/>
    <w:uiPriority w:val="99"/>
    <w:rsid w:val="00A977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Cs w:val="24"/>
      <w:lang w:eastAsia="en-AU"/>
    </w:rPr>
  </w:style>
  <w:style w:type="paragraph" w:customStyle="1" w:styleId="xl123">
    <w:name w:val="xl123"/>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Cs w:val="24"/>
      <w:lang w:eastAsia="en-AU"/>
    </w:rPr>
  </w:style>
  <w:style w:type="paragraph" w:customStyle="1" w:styleId="xl124">
    <w:name w:val="xl124"/>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Cs w:val="24"/>
      <w:lang w:eastAsia="en-AU"/>
    </w:rPr>
  </w:style>
  <w:style w:type="paragraph" w:customStyle="1" w:styleId="xl125">
    <w:name w:val="xl125"/>
    <w:basedOn w:val="Normal"/>
    <w:uiPriority w:val="99"/>
    <w:rsid w:val="00A97702"/>
    <w:pPr>
      <w:spacing w:before="100" w:beforeAutospacing="1" w:after="100" w:afterAutospacing="1" w:line="240" w:lineRule="auto"/>
      <w:textAlignment w:val="top"/>
    </w:pPr>
    <w:rPr>
      <w:rFonts w:ascii="Arial" w:eastAsia="Times New Roman" w:hAnsi="Arial" w:cs="Arial"/>
      <w:szCs w:val="24"/>
      <w:lang w:eastAsia="en-AU"/>
    </w:rPr>
  </w:style>
  <w:style w:type="paragraph" w:customStyle="1" w:styleId="xl126">
    <w:name w:val="xl126"/>
    <w:basedOn w:val="Normal"/>
    <w:uiPriority w:val="99"/>
    <w:rsid w:val="00A97702"/>
    <w:pPr>
      <w:spacing w:before="100" w:beforeAutospacing="1" w:after="100" w:afterAutospacing="1" w:line="240" w:lineRule="auto"/>
      <w:textAlignment w:val="top"/>
    </w:pPr>
    <w:rPr>
      <w:rFonts w:eastAsia="Times New Roman" w:cs="Times New Roman"/>
      <w:szCs w:val="24"/>
      <w:lang w:eastAsia="en-AU"/>
    </w:rPr>
  </w:style>
  <w:style w:type="paragraph" w:customStyle="1" w:styleId="TableHeading2">
    <w:name w:val="TableHeading2"/>
    <w:basedOn w:val="Normal"/>
    <w:uiPriority w:val="99"/>
    <w:rsid w:val="00A97702"/>
    <w:pPr>
      <w:spacing w:before="120" w:after="120" w:line="240" w:lineRule="auto"/>
    </w:pPr>
    <w:rPr>
      <w:rFonts w:ascii="Arial" w:eastAsia="Times New Roman" w:hAnsi="Arial" w:cs="Arial"/>
      <w:b/>
      <w:bCs/>
      <w:color w:val="3F3F3F"/>
      <w:sz w:val="20"/>
      <w:lang w:eastAsia="en-AU"/>
    </w:rPr>
  </w:style>
  <w:style w:type="paragraph" w:customStyle="1" w:styleId="TableText1">
    <w:name w:val="TableText"/>
    <w:basedOn w:val="text"/>
    <w:uiPriority w:val="99"/>
    <w:rsid w:val="00A97702"/>
    <w:pPr>
      <w:spacing w:before="60" w:after="60"/>
    </w:pPr>
    <w:rPr>
      <w:bCs/>
      <w:sz w:val="20"/>
    </w:rPr>
  </w:style>
  <w:style w:type="paragraph" w:customStyle="1" w:styleId="TableTextBold">
    <w:name w:val="TableTextBold"/>
    <w:basedOn w:val="TableText1"/>
    <w:uiPriority w:val="99"/>
    <w:rsid w:val="00A97702"/>
  </w:style>
  <w:style w:type="numbering" w:styleId="111111">
    <w:name w:val="Outline List 2"/>
    <w:basedOn w:val="NoList"/>
    <w:uiPriority w:val="99"/>
    <w:semiHidden/>
    <w:unhideWhenUsed/>
    <w:rsid w:val="00A97702"/>
    <w:pPr>
      <w:numPr>
        <w:numId w:val="24"/>
      </w:numPr>
    </w:pPr>
  </w:style>
  <w:style w:type="paragraph" w:styleId="ListParagraph">
    <w:name w:val="List Paragraph"/>
    <w:basedOn w:val="Normal"/>
    <w:uiPriority w:val="34"/>
    <w:rsid w:val="00A97702"/>
    <w:pPr>
      <w:spacing w:before="120" w:after="120" w:line="240" w:lineRule="auto"/>
      <w:ind w:left="720"/>
      <w:jc w:val="both"/>
    </w:pPr>
    <w:rPr>
      <w:rFonts w:ascii="Book Antiqua" w:eastAsia="Times New Roman" w:hAnsi="Book Antiqua" w:cs="Times New Roman"/>
      <w:lang w:eastAsia="en-AU"/>
    </w:rPr>
  </w:style>
  <w:style w:type="character" w:customStyle="1" w:styleId="st">
    <w:name w:val="st"/>
    <w:basedOn w:val="DefaultParagraphFont"/>
    <w:rsid w:val="00A97702"/>
  </w:style>
  <w:style w:type="paragraph" w:customStyle="1" w:styleId="StyleBlockTitle1Before0ptAfter0ptTopSinglesolid">
    <w:name w:val="Style BlockTitle1 + Before:  0 pt After:  0 pt Top: (Single solid..."/>
    <w:basedOn w:val="BlockTitle1"/>
    <w:rsid w:val="00A97702"/>
    <w:pPr>
      <w:pBdr>
        <w:top w:val="single" w:sz="4" w:space="6" w:color="auto"/>
        <w:left w:val="single" w:sz="4" w:space="4" w:color="auto"/>
        <w:bottom w:val="single" w:sz="4" w:space="6" w:color="auto"/>
        <w:right w:val="single" w:sz="4" w:space="4" w:color="auto"/>
      </w:pBdr>
      <w:shd w:val="clear" w:color="auto" w:fill="C6D9F1" w:themeFill="text2" w:themeFillTint="33"/>
      <w:spacing w:before="0" w:after="0"/>
    </w:pPr>
    <w:rPr>
      <w:bCs/>
      <w:szCs w:val="20"/>
    </w:rPr>
  </w:style>
  <w:style w:type="paragraph" w:customStyle="1" w:styleId="StyleBlockTitle1TopSinglesolidlineAuto05ptLinewid">
    <w:name w:val="Style BlockTitle1 + Top: (Single solid line Auto  0.5 pt Line wid..."/>
    <w:basedOn w:val="BlockTitle1"/>
    <w:autoRedefine/>
    <w:rsid w:val="00A97702"/>
    <w:pPr>
      <w:pBdr>
        <w:top w:val="single" w:sz="4" w:space="6" w:color="auto"/>
        <w:left w:val="single" w:sz="4" w:space="4" w:color="auto"/>
        <w:bottom w:val="single" w:sz="4" w:space="6" w:color="auto"/>
        <w:right w:val="single" w:sz="4" w:space="4" w:color="auto"/>
      </w:pBdr>
      <w:shd w:val="clear" w:color="auto" w:fill="C6D9F1" w:themeFill="text2" w:themeFillTint="33"/>
    </w:pPr>
    <w:rPr>
      <w:bCs/>
      <w:szCs w:val="20"/>
    </w:rPr>
  </w:style>
  <w:style w:type="paragraph" w:customStyle="1" w:styleId="StyletextLeft0cmHanging1cm">
    <w:name w:val="Style text + Left:  0 cm Hanging:  1 cm"/>
    <w:basedOn w:val="text"/>
    <w:autoRedefine/>
    <w:qFormat/>
    <w:rsid w:val="00A97702"/>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rsid w:val="001C69C4"/>
    <w:pPr>
      <w:spacing w:line="260" w:lineRule="atLeast"/>
    </w:pPr>
    <w:rPr>
      <w:sz w:val="22"/>
    </w:rPr>
  </w:style>
  <w:style w:type="paragraph" w:styleId="Heading1">
    <w:name w:val="heading 1"/>
    <w:aliases w:val="Chapter Heading,Main Heading,h1,H1,A MAJOR/BOLD,Para,Heading a,Head 1,Head 11,Head 12,Head 111,Head 13,Head 112,Head 14,Head 113,Head 15,Head 114,Head 16,Head 115,Head 17,Head 116,Head 18,Head 117,Head 19,Head 118,Head 121,Head 1111,Head 131"/>
    <w:basedOn w:val="text"/>
    <w:next w:val="text"/>
    <w:link w:val="Heading1Char"/>
    <w:autoRedefine/>
    <w:uiPriority w:val="99"/>
    <w:qFormat/>
    <w:rsid w:val="00A97702"/>
    <w:pPr>
      <w:keepNext/>
      <w:pageBreakBefore/>
      <w:numPr>
        <w:numId w:val="26"/>
      </w:numPr>
      <w:spacing w:before="0"/>
      <w:ind w:left="709" w:hanging="709"/>
      <w:outlineLvl w:val="0"/>
    </w:pPr>
    <w:rPr>
      <w:b/>
      <w:kern w:val="28"/>
      <w:sz w:val="32"/>
      <w:szCs w:val="32"/>
    </w:rPr>
  </w:style>
  <w:style w:type="paragraph" w:styleId="Heading2">
    <w:name w:val="heading 2"/>
    <w:aliases w:val="Major Heading,h2,H2,2,h2 main heading,B Sub/Bold,B Sub/Bold1,B Sub/Bold2,B Sub/Bold11,h2 main heading1,h2 main heading2,B Sub/Bold3,B Sub/Bold12,h2 main heading3,B Sub/Bold4,B Sub/Bold13,Para2,SubPara,Reset numbering,Major,Header 2,l2,2m,h21"/>
    <w:basedOn w:val="Heading1"/>
    <w:next w:val="Normal"/>
    <w:link w:val="Heading2Char"/>
    <w:autoRedefine/>
    <w:uiPriority w:val="99"/>
    <w:qFormat/>
    <w:rsid w:val="00A97702"/>
    <w:pPr>
      <w:pageBreakBefore w:val="0"/>
      <w:numPr>
        <w:ilvl w:val="1"/>
      </w:numPr>
      <w:tabs>
        <w:tab w:val="clear" w:pos="718"/>
        <w:tab w:val="num" w:pos="720"/>
      </w:tabs>
      <w:spacing w:before="240" w:after="0"/>
      <w:ind w:left="709" w:hanging="709"/>
      <w:outlineLvl w:val="1"/>
    </w:pPr>
    <w:rPr>
      <w:sz w:val="24"/>
      <w:lang w:eastAsia="en-US"/>
    </w:rPr>
  </w:style>
  <w:style w:type="paragraph" w:styleId="Heading3">
    <w:name w:val="heading 3"/>
    <w:aliases w:val="Sub-heading,Sub-heading1,Sub-heading2,Sub-heading3,Sub-heading4,Sub-heading5,Sub-heading6,Sub-heading11,Sub-heading21,Sub-heading31,Sub-heading7,Sub-heading12,Sub-heading22,Sub-heading32,Sub-heading8,Sub-heading13,Sub-heading23,Sub-heading33"/>
    <w:basedOn w:val="Heading2"/>
    <w:next w:val="Normal"/>
    <w:link w:val="Heading3Char"/>
    <w:autoRedefine/>
    <w:uiPriority w:val="99"/>
    <w:qFormat/>
    <w:rsid w:val="00A97702"/>
    <w:pPr>
      <w:numPr>
        <w:ilvl w:val="2"/>
      </w:numPr>
      <w:ind w:left="360" w:hanging="360"/>
      <w:outlineLvl w:val="2"/>
    </w:pPr>
    <w:rPr>
      <w:sz w:val="22"/>
    </w:rPr>
  </w:style>
  <w:style w:type="paragraph" w:styleId="Heading4">
    <w:name w:val="heading 4"/>
    <w:aliases w:val="Minor Heading,2nd sub-clause,h4,h41,h42,h411,h43,h412,h44,h413,h45,h414,h46,h415,h47,h416,h48,h417,h49,h418,h421,h4111,h431,h4121,h441,h4131,h451,h4141,h461,h4151,h422,h4112,h432,h4122,h442,h4132,h452,h4142,h462,h4152,h423,h4113,h433,h4123,D&amp;"/>
    <w:basedOn w:val="Normal"/>
    <w:next w:val="Normal"/>
    <w:link w:val="Heading4Char"/>
    <w:autoRedefine/>
    <w:uiPriority w:val="99"/>
    <w:qFormat/>
    <w:rsid w:val="00A97702"/>
    <w:pPr>
      <w:keepNext/>
      <w:numPr>
        <w:ilvl w:val="3"/>
        <w:numId w:val="26"/>
      </w:numPr>
      <w:spacing w:before="240" w:after="120" w:line="240" w:lineRule="auto"/>
      <w:ind w:left="862" w:hanging="862"/>
      <w:jc w:val="both"/>
      <w:outlineLvl w:val="3"/>
    </w:pPr>
    <w:rPr>
      <w:rFonts w:ascii="Book Antiqua" w:eastAsia="Times New Roman" w:hAnsi="Book Antiqua" w:cs="Times New Roman"/>
      <w:i/>
      <w:lang w:eastAsia="en-AU"/>
    </w:rPr>
  </w:style>
  <w:style w:type="paragraph" w:styleId="Heading5">
    <w:name w:val="heading 5"/>
    <w:aliases w:val="Further Points,3rd sub-clause,h5,Para5,h51,h52,H5,H51,Further Points1,Further Points2,Further Points3,Further Points11,Further Points4,Further Points5,Further Points12,Further Points21,Further Points111,Further Points6,Further Points13,headin"/>
    <w:basedOn w:val="Normal"/>
    <w:next w:val="Normal"/>
    <w:link w:val="Heading5Char"/>
    <w:uiPriority w:val="99"/>
    <w:rsid w:val="00A97702"/>
    <w:pPr>
      <w:keepNext/>
      <w:numPr>
        <w:ilvl w:val="4"/>
        <w:numId w:val="26"/>
      </w:numPr>
      <w:spacing w:before="120" w:after="120" w:line="240" w:lineRule="auto"/>
      <w:ind w:right="-2"/>
      <w:outlineLvl w:val="4"/>
    </w:pPr>
    <w:rPr>
      <w:rFonts w:ascii="Book Antiqua" w:eastAsia="Times New Roman" w:hAnsi="Book Antiqua" w:cs="Times New Roman"/>
      <w:b/>
      <w:sz w:val="20"/>
      <w:lang w:eastAsia="en-AU"/>
    </w:rPr>
  </w:style>
  <w:style w:type="paragraph" w:styleId="Heading6">
    <w:name w:val="heading 6"/>
    <w:aliases w:val="Points in Text,Points in Text1,Points in Text2,Points in Text3,Points in Text4,Points in Text5,Points in Text11,Points in Text21,Points in Text6,Points in Text12,Points in Text22,Points in Text7,Points in Text13,Points in Text23,not Kinhill,H"/>
    <w:basedOn w:val="Normal"/>
    <w:next w:val="Normal"/>
    <w:link w:val="Heading6Char"/>
    <w:uiPriority w:val="99"/>
    <w:rsid w:val="00A97702"/>
    <w:pPr>
      <w:numPr>
        <w:ilvl w:val="5"/>
        <w:numId w:val="26"/>
      </w:numPr>
      <w:spacing w:before="240" w:after="60" w:line="240" w:lineRule="auto"/>
      <w:jc w:val="both"/>
      <w:outlineLvl w:val="5"/>
    </w:pPr>
    <w:rPr>
      <w:rFonts w:eastAsia="Times New Roman" w:cs="Times New Roman"/>
      <w:i/>
      <w:lang w:eastAsia="en-AU"/>
    </w:rPr>
  </w:style>
  <w:style w:type="paragraph" w:styleId="Heading7">
    <w:name w:val="heading 7"/>
    <w:aliases w:val="DO NOT USE 7,DO NOT USE 71,H7,H71,H72,H711,DO NOT USE 72,DO NOT USE 711,H73,H712,DO NOT USE 73,DO NOT USE 712,H74,H713,DO NOT USE 74,DO NOT USE 713,H75,H714,DO NOT USE 75,DO NOT USE 714,H76,H715,DO NOT USE 76,DO NOT USE 715,H77,H716,H78,H717"/>
    <w:basedOn w:val="Normal"/>
    <w:next w:val="Normal"/>
    <w:link w:val="Heading7Char"/>
    <w:uiPriority w:val="99"/>
    <w:rsid w:val="00A97702"/>
    <w:pPr>
      <w:numPr>
        <w:ilvl w:val="6"/>
        <w:numId w:val="26"/>
      </w:numPr>
      <w:spacing w:before="240" w:after="60" w:line="240" w:lineRule="auto"/>
      <w:jc w:val="both"/>
      <w:outlineLvl w:val="6"/>
    </w:pPr>
    <w:rPr>
      <w:rFonts w:ascii="Arial" w:eastAsia="Times New Roman" w:hAnsi="Arial" w:cs="Times New Roman"/>
      <w:sz w:val="20"/>
      <w:lang w:eastAsia="en-AU"/>
    </w:rPr>
  </w:style>
  <w:style w:type="paragraph" w:styleId="Heading8">
    <w:name w:val="heading 8"/>
    <w:aliases w:val="Appendix Level 2,not Kinhill1,Appendix Level 21,Appendix Level 22,Appendix Level 23,Appendix Level 24,Appendix Level 25,Appendix Level 26,Appendix Level 27,DO NOT USE 8,Appendix Level 28,Appendix Level 211,Appendix Level 221"/>
    <w:basedOn w:val="Normal"/>
    <w:next w:val="Normal"/>
    <w:link w:val="Heading8Char"/>
    <w:uiPriority w:val="99"/>
    <w:rsid w:val="00A97702"/>
    <w:pPr>
      <w:numPr>
        <w:ilvl w:val="7"/>
        <w:numId w:val="26"/>
      </w:numPr>
      <w:spacing w:before="240" w:after="60" w:line="240" w:lineRule="auto"/>
      <w:jc w:val="both"/>
      <w:outlineLvl w:val="7"/>
    </w:pPr>
    <w:rPr>
      <w:rFonts w:ascii="Arial" w:eastAsia="Times New Roman" w:hAnsi="Arial" w:cs="Times New Roman"/>
      <w:i/>
      <w:sz w:val="20"/>
      <w:lang w:eastAsia="en-AU"/>
    </w:rPr>
  </w:style>
  <w:style w:type="paragraph" w:styleId="Heading9">
    <w:name w:val="heading 9"/>
    <w:aliases w:val="Appendix Level 3,Appendix Level 31,Appendix Level 32,Appendix Level 33,Appendix Level 34,Appendix Level 35,Appendix Level 36,Appendix Level 37,DO NOT USE 9,Appendix Level 38,Appendix Level 311,Appendix Level 321,Appendix Level 331,H9,H91,H92"/>
    <w:basedOn w:val="Normal"/>
    <w:next w:val="Normal"/>
    <w:link w:val="Heading9Char"/>
    <w:uiPriority w:val="99"/>
    <w:rsid w:val="00A97702"/>
    <w:pPr>
      <w:numPr>
        <w:ilvl w:val="8"/>
        <w:numId w:val="26"/>
      </w:numPr>
      <w:spacing w:before="240" w:after="60" w:line="240" w:lineRule="auto"/>
      <w:jc w:val="both"/>
      <w:outlineLvl w:val="8"/>
    </w:pPr>
    <w:rPr>
      <w:rFonts w:ascii="Arial" w:eastAsia="Times New Roman" w:hAnsi="Arial" w:cs="Times New Roman"/>
      <w:b/>
      <w:i/>
      <w:sz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A24C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1B0F61"/>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D134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54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54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754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0F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99"/>
    <w:semiHidden/>
    <w:unhideWhenUsed/>
    <w:rsid w:val="004116C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99"/>
    <w:semiHidden/>
    <w:unhideWhenUsed/>
    <w:rsid w:val="00CF0B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99"/>
    <w:semiHidden/>
    <w:unhideWhenUsed/>
    <w:rsid w:val="00CF0B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99"/>
    <w:semiHidden/>
    <w:unhideWhenUsed/>
    <w:rsid w:val="00CF0B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664C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664C63"/>
    <w:rPr>
      <w:rFonts w:eastAsia="Times New Roman" w:cs="Times New Roman"/>
      <w:sz w:val="22"/>
      <w:szCs w:val="24"/>
      <w:lang w:eastAsia="en-AU"/>
    </w:rPr>
  </w:style>
  <w:style w:type="character" w:styleId="LineNumber">
    <w:name w:val="line number"/>
    <w:basedOn w:val="OPCCharBase"/>
    <w:uiPriority w:val="99"/>
    <w:unhideWhenUsed/>
    <w:rsid w:val="001B0F61"/>
    <w:rPr>
      <w:sz w:val="16"/>
    </w:rPr>
  </w:style>
  <w:style w:type="table" w:customStyle="1" w:styleId="CFlag">
    <w:name w:val="CFlag"/>
    <w:basedOn w:val="TableNormal"/>
    <w:uiPriority w:val="99"/>
    <w:rsid w:val="0018435F"/>
    <w:rPr>
      <w:rFonts w:eastAsia="Times New Roman" w:cs="Times New Roman"/>
      <w:lang w:eastAsia="en-AU"/>
    </w:rPr>
    <w:tblPr>
      <w:tblInd w:w="0" w:type="dxa"/>
      <w:tblCellMar>
        <w:top w:w="0" w:type="dxa"/>
        <w:left w:w="108" w:type="dxa"/>
        <w:bottom w:w="0" w:type="dxa"/>
        <w:right w:w="108" w:type="dxa"/>
      </w:tblCellMar>
    </w:tblPr>
  </w:style>
  <w:style w:type="table" w:styleId="TableGrid">
    <w:name w:val="Table Grid"/>
    <w:basedOn w:val="TableNormal"/>
    <w:uiPriority w:val="99"/>
    <w:rsid w:val="00A6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PartCASA">
    <w:name w:val="SubPart(CASA)"/>
    <w:aliases w:val="csp"/>
    <w:basedOn w:val="OPCParaBase"/>
    <w:next w:val="ActHead3"/>
    <w:rsid w:val="007E335B"/>
    <w:pPr>
      <w:keepNext/>
      <w:keepLines/>
      <w:spacing w:before="280"/>
      <w:outlineLvl w:val="1"/>
    </w:pPr>
    <w:rPr>
      <w:b/>
      <w:kern w:val="28"/>
      <w:sz w:val="32"/>
    </w:rPr>
  </w:style>
  <w:style w:type="paragraph" w:customStyle="1" w:styleId="ENotesHeading1">
    <w:name w:val="ENotesHeading 1"/>
    <w:aliases w:val="Enh1"/>
    <w:basedOn w:val="OPCParaBase"/>
    <w:next w:val="Normal"/>
    <w:rsid w:val="00DF09AC"/>
    <w:pPr>
      <w:spacing w:before="120"/>
      <w:outlineLvl w:val="0"/>
    </w:pPr>
    <w:rPr>
      <w:b/>
      <w:sz w:val="28"/>
      <w:szCs w:val="28"/>
    </w:rPr>
  </w:style>
  <w:style w:type="paragraph" w:customStyle="1" w:styleId="ENotesHeading2">
    <w:name w:val="ENotesHeading 2"/>
    <w:aliases w:val="Enh2"/>
    <w:basedOn w:val="OPCParaBase"/>
    <w:next w:val="Normal"/>
    <w:rsid w:val="00DF09AC"/>
    <w:pPr>
      <w:spacing w:before="120" w:after="120"/>
      <w:outlineLvl w:val="6"/>
    </w:pPr>
    <w:rPr>
      <w:b/>
      <w:sz w:val="24"/>
      <w:szCs w:val="28"/>
    </w:rPr>
  </w:style>
  <w:style w:type="paragraph" w:customStyle="1" w:styleId="ENotesHeading3">
    <w:name w:val="ENotesHeading 3"/>
    <w:aliases w:val="Enh3"/>
    <w:basedOn w:val="OPCParaBase"/>
    <w:next w:val="Normal"/>
    <w:rsid w:val="00DF09AC"/>
    <w:pPr>
      <w:spacing w:before="120" w:line="240" w:lineRule="auto"/>
      <w:outlineLvl w:val="7"/>
    </w:pPr>
    <w:rPr>
      <w:b/>
      <w:szCs w:val="24"/>
    </w:rPr>
  </w:style>
  <w:style w:type="paragraph" w:customStyle="1" w:styleId="ENotesText">
    <w:name w:val="ENotesText"/>
    <w:aliases w:val="Ent"/>
    <w:basedOn w:val="OPCParaBase"/>
    <w:next w:val="Normal"/>
    <w:rsid w:val="00DF09AC"/>
    <w:pPr>
      <w:spacing w:before="120"/>
    </w:pPr>
  </w:style>
  <w:style w:type="paragraph" w:customStyle="1" w:styleId="CompiledActNo">
    <w:name w:val="CompiledActNo"/>
    <w:basedOn w:val="OPCParaBase"/>
    <w:next w:val="Normal"/>
    <w:rsid w:val="00C255AB"/>
    <w:rPr>
      <w:b/>
      <w:sz w:val="24"/>
      <w:szCs w:val="24"/>
    </w:rPr>
  </w:style>
  <w:style w:type="paragraph" w:customStyle="1" w:styleId="CompiledMadeUnder">
    <w:name w:val="CompiledMadeUnder"/>
    <w:basedOn w:val="OPCParaBase"/>
    <w:next w:val="Normal"/>
    <w:rsid w:val="00C255AB"/>
    <w:rPr>
      <w:i/>
      <w:sz w:val="24"/>
      <w:szCs w:val="24"/>
    </w:rPr>
  </w:style>
  <w:style w:type="paragraph" w:customStyle="1" w:styleId="Paragraphsub-sub-sub">
    <w:name w:val="Paragraph(sub-sub-sub)"/>
    <w:aliases w:val="aaaa"/>
    <w:basedOn w:val="OPCParaBase"/>
    <w:rsid w:val="00BD6B2E"/>
    <w:pPr>
      <w:tabs>
        <w:tab w:val="right" w:pos="3402"/>
      </w:tabs>
      <w:spacing w:before="40" w:line="240" w:lineRule="auto"/>
      <w:ind w:left="3402" w:hanging="3402"/>
    </w:pPr>
  </w:style>
  <w:style w:type="paragraph" w:customStyle="1" w:styleId="EndNotespara">
    <w:name w:val="EndNotes(para)"/>
    <w:aliases w:val="eta"/>
    <w:basedOn w:val="OPCParaBase"/>
    <w:next w:val="Normal"/>
    <w:rsid w:val="00DF09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09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F09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09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F09AC"/>
    <w:pPr>
      <w:spacing w:before="60" w:line="240" w:lineRule="auto"/>
    </w:pPr>
    <w:rPr>
      <w:rFonts w:cs="Arial"/>
      <w:sz w:val="20"/>
      <w:szCs w:val="22"/>
    </w:rPr>
  </w:style>
  <w:style w:type="paragraph" w:customStyle="1" w:styleId="TableHeading">
    <w:name w:val="TableHeading"/>
    <w:aliases w:val="th"/>
    <w:basedOn w:val="OPCParaBase"/>
    <w:next w:val="Tabletext"/>
    <w:uiPriority w:val="99"/>
    <w:rsid w:val="00F1779C"/>
    <w:pPr>
      <w:spacing w:before="60" w:line="240" w:lineRule="atLeast"/>
    </w:pPr>
    <w:rPr>
      <w:b/>
      <w:sz w:val="20"/>
    </w:rPr>
  </w:style>
  <w:style w:type="paragraph" w:customStyle="1" w:styleId="NoteToSubpara">
    <w:name w:val="NoteToSubpara"/>
    <w:aliases w:val="nts"/>
    <w:basedOn w:val="OPCParaBase"/>
    <w:rsid w:val="00E9136A"/>
    <w:pPr>
      <w:spacing w:before="40" w:line="198" w:lineRule="exact"/>
      <w:ind w:left="2835" w:hanging="709"/>
    </w:pPr>
    <w:rPr>
      <w:sz w:val="18"/>
    </w:rPr>
  </w:style>
  <w:style w:type="character" w:customStyle="1" w:styleId="Heading1Char">
    <w:name w:val="Heading 1 Char"/>
    <w:aliases w:val="Chapter Heading Char,Main Heading Char,h1 Char,H1 Char,A MAJOR/BOLD Char,Para Char,Heading a Char,Head 1 Char,Head 11 Char,Head 12 Char,Head 111 Char,Head 13 Char,Head 112 Char,Head 14 Char,Head 113 Char,Head 15 Char,Head 114 Char"/>
    <w:basedOn w:val="DefaultParagraphFont"/>
    <w:link w:val="Heading1"/>
    <w:uiPriority w:val="99"/>
    <w:rsid w:val="00A97702"/>
    <w:rPr>
      <w:rFonts w:ascii="Book Antiqua" w:eastAsia="Times New Roman" w:hAnsi="Book Antiqua" w:cs="Times New Roman"/>
      <w:b/>
      <w:kern w:val="28"/>
      <w:sz w:val="32"/>
      <w:szCs w:val="32"/>
      <w:lang w:eastAsia="en-AU"/>
    </w:rPr>
  </w:style>
  <w:style w:type="character" w:customStyle="1" w:styleId="Heading2Char">
    <w:name w:val="Heading 2 Char"/>
    <w:aliases w:val="Major Heading Char,h2 Char,H2 Char,2 Char,h2 main heading Char,B Sub/Bold Char,B Sub/Bold1 Char,B Sub/Bold2 Char,B Sub/Bold11 Char,h2 main heading1 Char,h2 main heading2 Char,B Sub/Bold3 Char,B Sub/Bold12 Char,h2 main heading3 Char"/>
    <w:basedOn w:val="DefaultParagraphFont"/>
    <w:link w:val="Heading2"/>
    <w:uiPriority w:val="99"/>
    <w:rsid w:val="00A97702"/>
    <w:rPr>
      <w:rFonts w:ascii="Book Antiqua" w:eastAsia="Times New Roman" w:hAnsi="Book Antiqua" w:cs="Times New Roman"/>
      <w:b/>
      <w:kern w:val="28"/>
      <w:sz w:val="24"/>
      <w:szCs w:val="32"/>
    </w:rPr>
  </w:style>
  <w:style w:type="character" w:customStyle="1" w:styleId="Heading3Char">
    <w:name w:val="Heading 3 Char"/>
    <w:aliases w:val="Sub-heading Char,Sub-heading1 Char,Sub-heading2 Char,Sub-heading3 Char,Sub-heading4 Char,Sub-heading5 Char,Sub-heading6 Char,Sub-heading11 Char,Sub-heading21 Char,Sub-heading31 Char,Sub-heading7 Char,Sub-heading12 Char,Sub-heading22 Char"/>
    <w:basedOn w:val="DefaultParagraphFont"/>
    <w:link w:val="Heading3"/>
    <w:uiPriority w:val="99"/>
    <w:rsid w:val="00A97702"/>
    <w:rPr>
      <w:rFonts w:ascii="Book Antiqua" w:eastAsia="Times New Roman" w:hAnsi="Book Antiqua" w:cs="Times New Roman"/>
      <w:b/>
      <w:kern w:val="28"/>
      <w:sz w:val="22"/>
      <w:szCs w:val="32"/>
    </w:rPr>
  </w:style>
  <w:style w:type="character" w:customStyle="1" w:styleId="Heading4Char">
    <w:name w:val="Heading 4 Char"/>
    <w:aliases w:val="Minor Heading Char,2nd sub-clause Char,h4 Char,h41 Char,h42 Char,h411 Char,h43 Char,h412 Char,h44 Char,h413 Char,h45 Char,h414 Char,h46 Char,h415 Char,h47 Char,h416 Char,h48 Char,h417 Char,h49 Char,h418 Char,h421 Char,h4111 Char,h431 Char"/>
    <w:basedOn w:val="DefaultParagraphFont"/>
    <w:link w:val="Heading4"/>
    <w:uiPriority w:val="99"/>
    <w:rsid w:val="00A97702"/>
    <w:rPr>
      <w:rFonts w:ascii="Book Antiqua" w:eastAsia="Times New Roman" w:hAnsi="Book Antiqua" w:cs="Times New Roman"/>
      <w:i/>
      <w:sz w:val="22"/>
      <w:lang w:eastAsia="en-AU"/>
    </w:rPr>
  </w:style>
  <w:style w:type="character" w:customStyle="1" w:styleId="Heading5Char">
    <w:name w:val="Heading 5 Char"/>
    <w:aliases w:val="Further Points Char,3rd sub-clause Char,h5 Char,Para5 Char,h51 Char,h52 Char,H5 Char,H51 Char,Further Points1 Char,Further Points2 Char,Further Points3 Char,Further Points11 Char,Further Points4 Char,Further Points5 Char,headin Char"/>
    <w:basedOn w:val="DefaultParagraphFont"/>
    <w:link w:val="Heading5"/>
    <w:uiPriority w:val="99"/>
    <w:rsid w:val="00A97702"/>
    <w:rPr>
      <w:rFonts w:ascii="Book Antiqua" w:eastAsia="Times New Roman" w:hAnsi="Book Antiqua" w:cs="Times New Roman"/>
      <w:b/>
      <w:lang w:eastAsia="en-AU"/>
    </w:rPr>
  </w:style>
  <w:style w:type="character" w:customStyle="1" w:styleId="Heading6Char">
    <w:name w:val="Heading 6 Char"/>
    <w:aliases w:val="Points in Text Char,Points in Text1 Char,Points in Text2 Char,Points in Text3 Char,Points in Text4 Char,Points in Text5 Char,Points in Text11 Char,Points in Text21 Char,Points in Text6 Char,Points in Text12 Char,Points in Text22 Char"/>
    <w:basedOn w:val="DefaultParagraphFont"/>
    <w:link w:val="Heading6"/>
    <w:uiPriority w:val="99"/>
    <w:rsid w:val="00A97702"/>
    <w:rPr>
      <w:rFonts w:eastAsia="Times New Roman" w:cs="Times New Roman"/>
      <w:i/>
      <w:sz w:val="22"/>
      <w:lang w:eastAsia="en-AU"/>
    </w:rPr>
  </w:style>
  <w:style w:type="character" w:customStyle="1" w:styleId="Heading7Char">
    <w:name w:val="Heading 7 Char"/>
    <w:aliases w:val="DO NOT USE 7 Char,DO NOT USE 71 Char,H7 Char,H71 Char,H72 Char,H711 Char,DO NOT USE 72 Char,DO NOT USE 711 Char,H73 Char,H712 Char,DO NOT USE 73 Char,DO NOT USE 712 Char,H74 Char,H713 Char,DO NOT USE 74 Char,DO NOT USE 713 Char,H75 Char"/>
    <w:basedOn w:val="DefaultParagraphFont"/>
    <w:link w:val="Heading7"/>
    <w:uiPriority w:val="99"/>
    <w:rsid w:val="00A97702"/>
    <w:rPr>
      <w:rFonts w:ascii="Arial" w:eastAsia="Times New Roman" w:hAnsi="Arial" w:cs="Times New Roman"/>
      <w:lang w:eastAsia="en-AU"/>
    </w:rPr>
  </w:style>
  <w:style w:type="character" w:customStyle="1" w:styleId="Heading8Char">
    <w:name w:val="Heading 8 Char"/>
    <w:aliases w:val="Appendix Level 2 Char,not Kinhill1 Char,Appendix Level 21 Char,Appendix Level 22 Char,Appendix Level 23 Char,Appendix Level 24 Char,Appendix Level 25 Char,Appendix Level 26 Char,Appendix Level 27 Char,DO NOT USE 8 Char"/>
    <w:basedOn w:val="DefaultParagraphFont"/>
    <w:link w:val="Heading8"/>
    <w:uiPriority w:val="99"/>
    <w:rsid w:val="00A97702"/>
    <w:rPr>
      <w:rFonts w:ascii="Arial" w:eastAsia="Times New Roman" w:hAnsi="Arial" w:cs="Times New Roman"/>
      <w:i/>
      <w:lang w:eastAsia="en-AU"/>
    </w:rPr>
  </w:style>
  <w:style w:type="character" w:customStyle="1" w:styleId="Heading9Char">
    <w:name w:val="Heading 9 Char"/>
    <w:aliases w:val="Appendix Level 3 Char,Appendix Level 31 Char,Appendix Level 32 Char,Appendix Level 33 Char,Appendix Level 34 Char,Appendix Level 35 Char,Appendix Level 36 Char,Appendix Level 37 Char,DO NOT USE 9 Char,Appendix Level 38 Char,H9 Char"/>
    <w:basedOn w:val="DefaultParagraphFont"/>
    <w:link w:val="Heading9"/>
    <w:uiPriority w:val="99"/>
    <w:rsid w:val="00A97702"/>
    <w:rPr>
      <w:rFonts w:ascii="Arial" w:eastAsia="Times New Roman" w:hAnsi="Arial" w:cs="Times New Roman"/>
      <w:b/>
      <w:i/>
      <w:sz w:val="18"/>
      <w:lang w:eastAsia="en-AU"/>
    </w:rPr>
  </w:style>
  <w:style w:type="paragraph" w:customStyle="1" w:styleId="text">
    <w:name w:val="text"/>
    <w:basedOn w:val="Normal"/>
    <w:link w:val="textChar"/>
    <w:rsid w:val="00A97702"/>
    <w:pPr>
      <w:keepLines/>
      <w:spacing w:before="120" w:after="120" w:line="240" w:lineRule="auto"/>
      <w:jc w:val="both"/>
    </w:pPr>
    <w:rPr>
      <w:rFonts w:ascii="Book Antiqua" w:eastAsia="Times New Roman" w:hAnsi="Book Antiqua" w:cs="Times New Roman"/>
      <w:lang w:eastAsia="en-AU"/>
    </w:rPr>
  </w:style>
  <w:style w:type="character" w:customStyle="1" w:styleId="textChar">
    <w:name w:val="text Char"/>
    <w:link w:val="text"/>
    <w:locked/>
    <w:rsid w:val="00A97702"/>
    <w:rPr>
      <w:rFonts w:ascii="Book Antiqua" w:eastAsia="Times New Roman" w:hAnsi="Book Antiqua" w:cs="Times New Roman"/>
      <w:sz w:val="22"/>
      <w:lang w:eastAsia="en-AU"/>
    </w:rPr>
  </w:style>
  <w:style w:type="paragraph" w:customStyle="1" w:styleId="DotpointCONSITES">
    <w:name w:val="Dotpoint CON SITES"/>
    <w:basedOn w:val="Normal"/>
    <w:next w:val="Normal"/>
    <w:autoRedefine/>
    <w:uiPriority w:val="99"/>
    <w:rsid w:val="00A97702"/>
    <w:pPr>
      <w:spacing w:before="120" w:after="120" w:line="240" w:lineRule="auto"/>
      <w:jc w:val="both"/>
    </w:pPr>
    <w:rPr>
      <w:rFonts w:ascii="Book Antiqua" w:eastAsia="Times New Roman" w:hAnsi="Book Antiqua" w:cs="Times New Roman"/>
      <w:b/>
      <w:lang w:eastAsia="en-AU"/>
    </w:rPr>
  </w:style>
  <w:style w:type="paragraph" w:customStyle="1" w:styleId="TableheadCONSITES">
    <w:name w:val="Tablehead CON SITES"/>
    <w:basedOn w:val="Normal"/>
    <w:next w:val="Normal"/>
    <w:uiPriority w:val="99"/>
    <w:rsid w:val="00A97702"/>
    <w:pPr>
      <w:spacing w:before="120" w:after="120" w:line="240" w:lineRule="auto"/>
      <w:jc w:val="center"/>
    </w:pPr>
    <w:rPr>
      <w:rFonts w:ascii="Book Antiqua" w:eastAsia="Times New Roman" w:hAnsi="Book Antiqua" w:cs="Times New Roman"/>
      <w:b/>
      <w:lang w:eastAsia="en-AU"/>
    </w:rPr>
  </w:style>
  <w:style w:type="character" w:styleId="PageNumber">
    <w:name w:val="page number"/>
    <w:basedOn w:val="DefaultParagraphFont"/>
    <w:uiPriority w:val="99"/>
    <w:rsid w:val="00A97702"/>
    <w:rPr>
      <w:rFonts w:cs="Times New Roman"/>
    </w:rPr>
  </w:style>
  <w:style w:type="paragraph" w:styleId="BlockText">
    <w:name w:val="Block Text"/>
    <w:basedOn w:val="Normal"/>
    <w:uiPriority w:val="99"/>
    <w:rsid w:val="00A97702"/>
    <w:pPr>
      <w:pBdr>
        <w:top w:val="thinThickSmallGap" w:sz="24" w:space="12" w:color="auto"/>
        <w:left w:val="thinThickSmallGap" w:sz="24" w:space="12" w:color="auto"/>
        <w:bottom w:val="thickThinSmallGap" w:sz="24" w:space="12" w:color="auto"/>
        <w:right w:val="thickThinSmallGap" w:sz="24" w:space="12" w:color="auto"/>
      </w:pBdr>
      <w:spacing w:before="120" w:after="120" w:line="480" w:lineRule="auto"/>
      <w:ind w:left="567" w:right="567"/>
      <w:jc w:val="both"/>
    </w:pPr>
    <w:rPr>
      <w:rFonts w:ascii="Book Antiqua" w:eastAsia="Times New Roman" w:hAnsi="Book Antiqua" w:cs="Times New Roman"/>
      <w:lang w:eastAsia="en-AU"/>
    </w:rPr>
  </w:style>
  <w:style w:type="paragraph" w:customStyle="1" w:styleId="Glossary">
    <w:name w:val="Glossary"/>
    <w:basedOn w:val="Normal"/>
    <w:rsid w:val="00A97702"/>
    <w:pPr>
      <w:keepLines/>
      <w:spacing w:before="120" w:after="120" w:line="240" w:lineRule="auto"/>
      <w:jc w:val="both"/>
    </w:pPr>
    <w:rPr>
      <w:rFonts w:ascii="Book Antiqua" w:eastAsia="Times New Roman" w:hAnsi="Book Antiqua" w:cs="Times New Roman"/>
      <w:lang w:eastAsia="en-AU"/>
    </w:rPr>
  </w:style>
  <w:style w:type="paragraph" w:customStyle="1" w:styleId="TableText0">
    <w:name w:val="Table Text"/>
    <w:basedOn w:val="Normal"/>
    <w:uiPriority w:val="99"/>
    <w:rsid w:val="00A97702"/>
    <w:pPr>
      <w:spacing w:before="60" w:after="60" w:line="240" w:lineRule="auto"/>
    </w:pPr>
    <w:rPr>
      <w:rFonts w:ascii="Book Antiqua" w:eastAsia="Times New Roman" w:hAnsi="Book Antiqua" w:cs="Times New Roman"/>
      <w:sz w:val="20"/>
      <w:lang w:eastAsia="en-AU"/>
    </w:rPr>
  </w:style>
  <w:style w:type="paragraph" w:customStyle="1" w:styleId="Dotpoint2ndCONSITES">
    <w:name w:val="Dotpoint 2ndCON SITES"/>
    <w:basedOn w:val="DotpointCONSITES"/>
    <w:uiPriority w:val="99"/>
    <w:rsid w:val="00A97702"/>
    <w:pPr>
      <w:numPr>
        <w:ilvl w:val="1"/>
        <w:numId w:val="13"/>
      </w:numPr>
      <w:tabs>
        <w:tab w:val="num" w:pos="851"/>
      </w:tabs>
      <w:ind w:left="851" w:hanging="284"/>
    </w:pPr>
  </w:style>
  <w:style w:type="paragraph" w:customStyle="1" w:styleId="DotpointiCONSITES">
    <w:name w:val="Dotpoint (i)CON SITES"/>
    <w:basedOn w:val="DotpointCONSITES"/>
    <w:uiPriority w:val="99"/>
    <w:rsid w:val="00A97702"/>
    <w:pPr>
      <w:numPr>
        <w:numId w:val="14"/>
      </w:numPr>
      <w:tabs>
        <w:tab w:val="num" w:pos="567"/>
      </w:tabs>
      <w:ind w:left="567" w:hanging="567"/>
    </w:pPr>
  </w:style>
  <w:style w:type="paragraph" w:customStyle="1" w:styleId="AppendixHeading">
    <w:name w:val="Appendix Heading"/>
    <w:basedOn w:val="Heading1"/>
    <w:uiPriority w:val="99"/>
    <w:rsid w:val="00A97702"/>
    <w:pPr>
      <w:numPr>
        <w:numId w:val="0"/>
      </w:numPr>
      <w:spacing w:after="0"/>
      <w:jc w:val="center"/>
    </w:pPr>
  </w:style>
  <w:style w:type="paragraph" w:customStyle="1" w:styleId="Dot-points">
    <w:name w:val="Dot-points"/>
    <w:basedOn w:val="text"/>
    <w:autoRedefine/>
    <w:uiPriority w:val="99"/>
    <w:qFormat/>
    <w:rsid w:val="00A97702"/>
    <w:pPr>
      <w:numPr>
        <w:numId w:val="15"/>
      </w:numPr>
      <w:tabs>
        <w:tab w:val="clear" w:pos="360"/>
        <w:tab w:val="num" w:pos="926"/>
      </w:tabs>
      <w:spacing w:before="0"/>
      <w:ind w:left="357" w:hanging="357"/>
    </w:pPr>
  </w:style>
  <w:style w:type="paragraph" w:customStyle="1" w:styleId="GlossaryHeading">
    <w:name w:val="Glossary Heading"/>
    <w:basedOn w:val="Heading1"/>
    <w:uiPriority w:val="99"/>
    <w:rsid w:val="00A97702"/>
    <w:pPr>
      <w:numPr>
        <w:numId w:val="0"/>
      </w:numPr>
      <w:spacing w:after="0"/>
      <w:jc w:val="center"/>
    </w:pPr>
  </w:style>
  <w:style w:type="character" w:customStyle="1" w:styleId="Highlight">
    <w:name w:val="Highlight"/>
    <w:uiPriority w:val="99"/>
    <w:rsid w:val="00A97702"/>
    <w:rPr>
      <w:rFonts w:ascii="Arial" w:hAnsi="Arial"/>
      <w:b/>
      <w:sz w:val="24"/>
    </w:rPr>
  </w:style>
  <w:style w:type="paragraph" w:customStyle="1" w:styleId="Level1">
    <w:name w:val="Level 1"/>
    <w:basedOn w:val="Heading2"/>
    <w:uiPriority w:val="99"/>
    <w:rsid w:val="00A97702"/>
    <w:pPr>
      <w:numPr>
        <w:ilvl w:val="0"/>
        <w:numId w:val="0"/>
      </w:numPr>
    </w:pPr>
  </w:style>
  <w:style w:type="paragraph" w:customStyle="1" w:styleId="Level2">
    <w:name w:val="Level 2"/>
    <w:basedOn w:val="Heading3"/>
    <w:uiPriority w:val="99"/>
    <w:rsid w:val="00A97702"/>
    <w:pPr>
      <w:numPr>
        <w:ilvl w:val="0"/>
        <w:numId w:val="0"/>
      </w:numPr>
    </w:pPr>
  </w:style>
  <w:style w:type="paragraph" w:customStyle="1" w:styleId="Level3">
    <w:name w:val="Level 3"/>
    <w:basedOn w:val="Heading4"/>
    <w:uiPriority w:val="99"/>
    <w:rsid w:val="00A97702"/>
    <w:pPr>
      <w:numPr>
        <w:ilvl w:val="0"/>
        <w:numId w:val="0"/>
      </w:numPr>
    </w:pPr>
  </w:style>
  <w:style w:type="paragraph" w:customStyle="1" w:styleId="TitleHeading">
    <w:name w:val="Title Heading"/>
    <w:basedOn w:val="text"/>
    <w:rsid w:val="00A97702"/>
    <w:pPr>
      <w:spacing w:before="20" w:after="20"/>
      <w:ind w:left="1985"/>
      <w:jc w:val="center"/>
    </w:pPr>
    <w:rPr>
      <w:rFonts w:ascii="Arial Bold" w:hAnsi="Arial Bold"/>
      <w:b/>
      <w:sz w:val="40"/>
    </w:rPr>
  </w:style>
  <w:style w:type="paragraph" w:customStyle="1" w:styleId="NationalHeading">
    <w:name w:val="National Heading"/>
    <w:basedOn w:val="TitleHeading"/>
    <w:uiPriority w:val="99"/>
    <w:rsid w:val="00A97702"/>
  </w:style>
  <w:style w:type="paragraph" w:styleId="FootnoteText">
    <w:name w:val="footnote text"/>
    <w:basedOn w:val="Normal"/>
    <w:link w:val="FootnoteTextChar"/>
    <w:uiPriority w:val="99"/>
    <w:semiHidden/>
    <w:rsid w:val="00A97702"/>
    <w:pPr>
      <w:spacing w:before="120" w:after="120" w:line="240" w:lineRule="auto"/>
      <w:ind w:left="142" w:hanging="142"/>
      <w:jc w:val="both"/>
    </w:pPr>
    <w:rPr>
      <w:rFonts w:ascii="Book Antiqua" w:eastAsia="Times New Roman" w:hAnsi="Book Antiqua" w:cs="Times New Roman"/>
      <w:sz w:val="14"/>
    </w:rPr>
  </w:style>
  <w:style w:type="character" w:customStyle="1" w:styleId="FootnoteTextChar">
    <w:name w:val="Footnote Text Char"/>
    <w:basedOn w:val="DefaultParagraphFont"/>
    <w:link w:val="FootnoteText"/>
    <w:uiPriority w:val="99"/>
    <w:semiHidden/>
    <w:rsid w:val="00A97702"/>
    <w:rPr>
      <w:rFonts w:ascii="Book Antiqua" w:eastAsia="Times New Roman" w:hAnsi="Book Antiqua" w:cs="Times New Roman"/>
      <w:sz w:val="14"/>
    </w:rPr>
  </w:style>
  <w:style w:type="paragraph" w:customStyle="1" w:styleId="OutlineLev1">
    <w:name w:val="Outline Lev 1"/>
    <w:basedOn w:val="Normal"/>
    <w:uiPriority w:val="99"/>
    <w:rsid w:val="00A97702"/>
    <w:pPr>
      <w:numPr>
        <w:numId w:val="16"/>
      </w:numPr>
      <w:spacing w:before="240" w:after="100" w:line="240" w:lineRule="auto"/>
      <w:jc w:val="both"/>
    </w:pPr>
    <w:rPr>
      <w:rFonts w:ascii="Book Antiqua" w:eastAsia="Times New Roman" w:hAnsi="Book Antiqua" w:cs="Times New Roman"/>
      <w:lang w:eastAsia="en-AU"/>
    </w:rPr>
  </w:style>
  <w:style w:type="paragraph" w:customStyle="1" w:styleId="OutlineLev2">
    <w:name w:val="Outline Lev 2"/>
    <w:basedOn w:val="Normal"/>
    <w:uiPriority w:val="99"/>
    <w:rsid w:val="00A97702"/>
    <w:pPr>
      <w:numPr>
        <w:ilvl w:val="1"/>
        <w:numId w:val="16"/>
      </w:numPr>
      <w:spacing w:before="20" w:after="20" w:line="240" w:lineRule="auto"/>
      <w:jc w:val="both"/>
    </w:pPr>
    <w:rPr>
      <w:rFonts w:ascii="Book Antiqua" w:eastAsia="Times New Roman" w:hAnsi="Book Antiqua" w:cs="Times New Roman"/>
      <w:lang w:eastAsia="en-AU"/>
    </w:rPr>
  </w:style>
  <w:style w:type="paragraph" w:styleId="TOCHeading">
    <w:name w:val="TOC Heading"/>
    <w:basedOn w:val="Heading2"/>
    <w:uiPriority w:val="99"/>
    <w:qFormat/>
    <w:rsid w:val="00A97702"/>
    <w:pPr>
      <w:numPr>
        <w:ilvl w:val="0"/>
        <w:numId w:val="0"/>
      </w:numPr>
      <w:spacing w:before="120"/>
      <w:jc w:val="center"/>
    </w:pPr>
    <w:rPr>
      <w:rFonts w:ascii="Arial" w:hAnsi="Arial"/>
      <w:sz w:val="32"/>
    </w:rPr>
  </w:style>
  <w:style w:type="paragraph" w:styleId="BalloonText">
    <w:name w:val="Balloon Text"/>
    <w:basedOn w:val="Normal"/>
    <w:link w:val="BalloonTextChar"/>
    <w:uiPriority w:val="99"/>
    <w:semiHidden/>
    <w:rsid w:val="00A97702"/>
    <w:pPr>
      <w:spacing w:before="120" w:after="120" w:line="240" w:lineRule="auto"/>
      <w:jc w:val="both"/>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A97702"/>
    <w:rPr>
      <w:rFonts w:ascii="Tahoma" w:eastAsia="Times New Roman" w:hAnsi="Tahoma" w:cs="Tahoma"/>
      <w:sz w:val="16"/>
      <w:szCs w:val="16"/>
      <w:lang w:eastAsia="en-AU"/>
    </w:rPr>
  </w:style>
  <w:style w:type="character" w:styleId="CommentReference">
    <w:name w:val="annotation reference"/>
    <w:basedOn w:val="DefaultParagraphFont"/>
    <w:uiPriority w:val="99"/>
    <w:rsid w:val="00A97702"/>
    <w:rPr>
      <w:rFonts w:cs="Times New Roman"/>
      <w:sz w:val="16"/>
    </w:rPr>
  </w:style>
  <w:style w:type="paragraph" w:styleId="CommentText">
    <w:name w:val="annotation text"/>
    <w:basedOn w:val="Normal"/>
    <w:link w:val="CommentTextChar"/>
    <w:uiPriority w:val="99"/>
    <w:rsid w:val="00A97702"/>
    <w:pPr>
      <w:spacing w:before="120" w:after="120" w:line="240" w:lineRule="auto"/>
      <w:jc w:val="both"/>
    </w:pPr>
    <w:rPr>
      <w:rFonts w:ascii="Book Antiqua" w:eastAsia="Times New Roman" w:hAnsi="Book Antiqua" w:cs="Times New Roman"/>
      <w:sz w:val="20"/>
      <w:lang w:eastAsia="en-AU"/>
    </w:rPr>
  </w:style>
  <w:style w:type="character" w:customStyle="1" w:styleId="CommentTextChar">
    <w:name w:val="Comment Text Char"/>
    <w:basedOn w:val="DefaultParagraphFont"/>
    <w:link w:val="CommentText"/>
    <w:uiPriority w:val="99"/>
    <w:rsid w:val="00A97702"/>
    <w:rPr>
      <w:rFonts w:ascii="Book Antiqua" w:eastAsia="Times New Roman" w:hAnsi="Book Antiqua" w:cs="Times New Roman"/>
      <w:lang w:eastAsia="en-AU"/>
    </w:rPr>
  </w:style>
  <w:style w:type="paragraph" w:styleId="CommentSubject">
    <w:name w:val="annotation subject"/>
    <w:basedOn w:val="CommentText"/>
    <w:next w:val="CommentText"/>
    <w:link w:val="CommentSubjectChar"/>
    <w:uiPriority w:val="99"/>
    <w:rsid w:val="00A97702"/>
    <w:rPr>
      <w:b/>
      <w:bCs/>
    </w:rPr>
  </w:style>
  <w:style w:type="character" w:customStyle="1" w:styleId="CommentSubjectChar">
    <w:name w:val="Comment Subject Char"/>
    <w:basedOn w:val="CommentTextChar"/>
    <w:link w:val="CommentSubject"/>
    <w:uiPriority w:val="99"/>
    <w:rsid w:val="00A97702"/>
    <w:rPr>
      <w:rFonts w:ascii="Book Antiqua" w:eastAsia="Times New Roman" w:hAnsi="Book Antiqua" w:cs="Times New Roman"/>
      <w:b/>
      <w:bCs/>
      <w:lang w:eastAsia="en-AU"/>
    </w:rPr>
  </w:style>
  <w:style w:type="character" w:styleId="FootnoteReference">
    <w:name w:val="footnote reference"/>
    <w:basedOn w:val="DefaultParagraphFont"/>
    <w:uiPriority w:val="99"/>
    <w:semiHidden/>
    <w:rsid w:val="00A97702"/>
    <w:rPr>
      <w:rFonts w:ascii="Book Antiqua" w:hAnsi="Book Antiqua" w:cs="Times New Roman"/>
      <w:vertAlign w:val="superscript"/>
    </w:rPr>
  </w:style>
  <w:style w:type="paragraph" w:styleId="BodyText3">
    <w:name w:val="Body Text 3"/>
    <w:basedOn w:val="Normal"/>
    <w:link w:val="BodyText3Char"/>
    <w:uiPriority w:val="99"/>
    <w:rsid w:val="00A97702"/>
    <w:pPr>
      <w:spacing w:before="120" w:after="120" w:line="240" w:lineRule="auto"/>
    </w:pPr>
    <w:rPr>
      <w:rFonts w:ascii="Book Antiqua" w:eastAsia="Times New Roman" w:hAnsi="Book Antiqua" w:cs="Times New Roman"/>
      <w:i/>
      <w:color w:val="FF0000"/>
    </w:rPr>
  </w:style>
  <w:style w:type="character" w:customStyle="1" w:styleId="BodyText3Char">
    <w:name w:val="Body Text 3 Char"/>
    <w:basedOn w:val="DefaultParagraphFont"/>
    <w:link w:val="BodyText3"/>
    <w:uiPriority w:val="99"/>
    <w:rsid w:val="00A97702"/>
    <w:rPr>
      <w:rFonts w:ascii="Book Antiqua" w:eastAsia="Times New Roman" w:hAnsi="Book Antiqua" w:cs="Times New Roman"/>
      <w:i/>
      <w:color w:val="FF0000"/>
      <w:sz w:val="22"/>
    </w:rPr>
  </w:style>
  <w:style w:type="paragraph" w:styleId="Revision">
    <w:name w:val="Revision"/>
    <w:hidden/>
    <w:uiPriority w:val="99"/>
    <w:semiHidden/>
    <w:rsid w:val="00A97702"/>
    <w:rPr>
      <w:rFonts w:ascii="Book Antiqua" w:eastAsia="Times New Roman" w:hAnsi="Book Antiqua" w:cs="Times New Roman"/>
      <w:sz w:val="24"/>
      <w:lang w:eastAsia="en-AU"/>
    </w:rPr>
  </w:style>
  <w:style w:type="character" w:styleId="Hyperlink">
    <w:name w:val="Hyperlink"/>
    <w:basedOn w:val="DefaultParagraphFont"/>
    <w:uiPriority w:val="99"/>
    <w:rsid w:val="00A97702"/>
    <w:rPr>
      <w:rFonts w:cs="Times New Roman"/>
      <w:color w:val="0000FF"/>
      <w:u w:val="single"/>
    </w:rPr>
  </w:style>
  <w:style w:type="paragraph" w:customStyle="1" w:styleId="Default">
    <w:name w:val="Default"/>
    <w:uiPriority w:val="99"/>
    <w:rsid w:val="00A97702"/>
    <w:pPr>
      <w:autoSpaceDE w:val="0"/>
      <w:autoSpaceDN w:val="0"/>
      <w:adjustRightInd w:val="0"/>
    </w:pPr>
    <w:rPr>
      <w:rFonts w:ascii="Arial" w:eastAsia="Times New Roman" w:hAnsi="Arial" w:cs="Arial"/>
      <w:color w:val="000000"/>
      <w:sz w:val="24"/>
      <w:szCs w:val="24"/>
      <w:lang w:val="en-US"/>
    </w:rPr>
  </w:style>
  <w:style w:type="paragraph" w:customStyle="1" w:styleId="Normal1">
    <w:name w:val="Normal+1"/>
    <w:basedOn w:val="Default"/>
    <w:next w:val="Default"/>
    <w:uiPriority w:val="99"/>
    <w:rsid w:val="00A97702"/>
    <w:rPr>
      <w:rFonts w:cs="Times New Roman"/>
      <w:color w:val="auto"/>
    </w:rPr>
  </w:style>
  <w:style w:type="paragraph" w:customStyle="1" w:styleId="glossary0">
    <w:name w:val="glossary"/>
    <w:basedOn w:val="Normal"/>
    <w:uiPriority w:val="99"/>
    <w:rsid w:val="00A97702"/>
    <w:pPr>
      <w:autoSpaceDE w:val="0"/>
      <w:autoSpaceDN w:val="0"/>
      <w:spacing w:before="100" w:after="100" w:line="240" w:lineRule="auto"/>
    </w:pPr>
    <w:rPr>
      <w:rFonts w:ascii="Book Antiqua" w:eastAsia="Times New Roman" w:hAnsi="Book Antiqua" w:cs="Times New Roman"/>
      <w:szCs w:val="24"/>
      <w:lang w:eastAsia="en-AU"/>
    </w:rPr>
  </w:style>
  <w:style w:type="paragraph" w:customStyle="1" w:styleId="Style1">
    <w:name w:val="Style1"/>
    <w:basedOn w:val="Heading2"/>
    <w:uiPriority w:val="99"/>
    <w:rsid w:val="00A97702"/>
    <w:rPr>
      <w:rFonts w:ascii="Arial" w:hAnsi="Arial"/>
    </w:rPr>
  </w:style>
  <w:style w:type="paragraph" w:customStyle="1" w:styleId="StyleTitleHeading22pt">
    <w:name w:val="Style Title Heading + 22 pt"/>
    <w:basedOn w:val="TitleHeading"/>
    <w:uiPriority w:val="99"/>
    <w:rsid w:val="00A97702"/>
    <w:rPr>
      <w:bCs/>
      <w:caps/>
    </w:rPr>
  </w:style>
  <w:style w:type="paragraph" w:customStyle="1" w:styleId="StyleglossaryJustified">
    <w:name w:val="Style glossary + Justified"/>
    <w:basedOn w:val="glossary0"/>
    <w:uiPriority w:val="99"/>
    <w:rsid w:val="00A97702"/>
    <w:pPr>
      <w:jc w:val="both"/>
    </w:pPr>
    <w:rPr>
      <w:szCs w:val="20"/>
    </w:rPr>
  </w:style>
  <w:style w:type="paragraph" w:customStyle="1" w:styleId="StyletextArialBold">
    <w:name w:val="Style text + Arial Bold"/>
    <w:basedOn w:val="text"/>
    <w:link w:val="StyletextArialBoldChar"/>
    <w:uiPriority w:val="99"/>
    <w:rsid w:val="00A97702"/>
    <w:rPr>
      <w:rFonts w:ascii="Arial" w:hAnsi="Arial"/>
      <w:b/>
    </w:rPr>
  </w:style>
  <w:style w:type="character" w:customStyle="1" w:styleId="StyletextArialBoldChar">
    <w:name w:val="Style text + Arial Bold Char"/>
    <w:link w:val="StyletextArialBold"/>
    <w:uiPriority w:val="99"/>
    <w:locked/>
    <w:rsid w:val="00A97702"/>
    <w:rPr>
      <w:rFonts w:ascii="Arial" w:eastAsia="Times New Roman" w:hAnsi="Arial" w:cs="Times New Roman"/>
      <w:b/>
      <w:sz w:val="22"/>
      <w:lang w:eastAsia="en-AU"/>
    </w:rPr>
  </w:style>
  <w:style w:type="character" w:styleId="Strong">
    <w:name w:val="Strong"/>
    <w:basedOn w:val="DefaultParagraphFont"/>
    <w:uiPriority w:val="99"/>
    <w:rsid w:val="00A97702"/>
    <w:rPr>
      <w:rFonts w:cs="Times New Roman"/>
      <w:b/>
    </w:rPr>
  </w:style>
  <w:style w:type="paragraph" w:styleId="DocumentMap">
    <w:name w:val="Document Map"/>
    <w:basedOn w:val="Normal"/>
    <w:link w:val="DocumentMapChar"/>
    <w:uiPriority w:val="99"/>
    <w:semiHidden/>
    <w:rsid w:val="00A97702"/>
    <w:pPr>
      <w:keepLines/>
      <w:shd w:val="clear" w:color="auto" w:fill="000080"/>
      <w:tabs>
        <w:tab w:val="left" w:pos="2943"/>
        <w:tab w:val="left" w:pos="9180"/>
      </w:tabs>
      <w:spacing w:before="20" w:after="20" w:line="240" w:lineRule="auto"/>
      <w:jc w:val="both"/>
    </w:pPr>
    <w:rPr>
      <w:rFonts w:ascii="Tahoma" w:eastAsia="Times New Roman" w:hAnsi="Tahoma" w:cs="Times New Roman"/>
      <w:lang w:eastAsia="en-AU"/>
    </w:rPr>
  </w:style>
  <w:style w:type="character" w:customStyle="1" w:styleId="DocumentMapChar">
    <w:name w:val="Document Map Char"/>
    <w:basedOn w:val="DefaultParagraphFont"/>
    <w:link w:val="DocumentMap"/>
    <w:uiPriority w:val="99"/>
    <w:semiHidden/>
    <w:rsid w:val="00A97702"/>
    <w:rPr>
      <w:rFonts w:ascii="Tahoma" w:eastAsia="Times New Roman" w:hAnsi="Tahoma" w:cs="Times New Roman"/>
      <w:sz w:val="22"/>
      <w:shd w:val="clear" w:color="auto" w:fill="000080"/>
      <w:lang w:eastAsia="en-AU"/>
    </w:rPr>
  </w:style>
  <w:style w:type="paragraph" w:styleId="BodyText">
    <w:name w:val="Body Text"/>
    <w:basedOn w:val="Normal"/>
    <w:link w:val="BodyTextChar"/>
    <w:uiPriority w:val="99"/>
    <w:rsid w:val="00A97702"/>
    <w:pPr>
      <w:spacing w:before="120" w:after="120" w:line="240" w:lineRule="auto"/>
      <w:jc w:val="center"/>
    </w:pPr>
    <w:rPr>
      <w:rFonts w:ascii="Book Antiqua" w:eastAsia="Times New Roman" w:hAnsi="Book Antiqua" w:cs="Times New Roman"/>
      <w:b/>
      <w:sz w:val="18"/>
      <w:lang w:eastAsia="en-AU"/>
    </w:rPr>
  </w:style>
  <w:style w:type="character" w:customStyle="1" w:styleId="BodyTextChar">
    <w:name w:val="Body Text Char"/>
    <w:basedOn w:val="DefaultParagraphFont"/>
    <w:link w:val="BodyText"/>
    <w:uiPriority w:val="99"/>
    <w:rsid w:val="00A97702"/>
    <w:rPr>
      <w:rFonts w:ascii="Book Antiqua" w:eastAsia="Times New Roman" w:hAnsi="Book Antiqua" w:cs="Times New Roman"/>
      <w:b/>
      <w:sz w:val="18"/>
      <w:lang w:eastAsia="en-AU"/>
    </w:rPr>
  </w:style>
  <w:style w:type="paragraph" w:styleId="Caption">
    <w:name w:val="caption"/>
    <w:basedOn w:val="Normal"/>
    <w:next w:val="Normal"/>
    <w:autoRedefine/>
    <w:uiPriority w:val="99"/>
    <w:qFormat/>
    <w:rsid w:val="00A97702"/>
    <w:pPr>
      <w:keepNext/>
      <w:spacing w:before="120" w:after="120" w:line="240" w:lineRule="auto"/>
    </w:pPr>
    <w:rPr>
      <w:rFonts w:ascii="Book Antiqua" w:eastAsia="Times New Roman" w:hAnsi="Book Antiqua" w:cs="Times New Roman"/>
      <w:b/>
      <w:szCs w:val="22"/>
      <w:lang w:eastAsia="en-AU"/>
    </w:rPr>
  </w:style>
  <w:style w:type="paragraph" w:styleId="BodyText2">
    <w:name w:val="Body Text 2"/>
    <w:basedOn w:val="Normal"/>
    <w:link w:val="BodyText2Char"/>
    <w:uiPriority w:val="99"/>
    <w:rsid w:val="00A97702"/>
    <w:pPr>
      <w:spacing w:before="20" w:after="20" w:line="240" w:lineRule="auto"/>
      <w:jc w:val="center"/>
    </w:pPr>
    <w:rPr>
      <w:rFonts w:ascii="Book Antiqua" w:eastAsia="Times New Roman" w:hAnsi="Book Antiqua" w:cs="Times New Roman"/>
      <w:sz w:val="16"/>
      <w:lang w:eastAsia="en-AU"/>
    </w:rPr>
  </w:style>
  <w:style w:type="character" w:customStyle="1" w:styleId="BodyText2Char">
    <w:name w:val="Body Text 2 Char"/>
    <w:basedOn w:val="DefaultParagraphFont"/>
    <w:link w:val="BodyText2"/>
    <w:uiPriority w:val="99"/>
    <w:rsid w:val="00A97702"/>
    <w:rPr>
      <w:rFonts w:ascii="Book Antiqua" w:eastAsia="Times New Roman" w:hAnsi="Book Antiqua" w:cs="Times New Roman"/>
      <w:sz w:val="16"/>
      <w:lang w:eastAsia="en-AU"/>
    </w:rPr>
  </w:style>
  <w:style w:type="character" w:styleId="FollowedHyperlink">
    <w:name w:val="FollowedHyperlink"/>
    <w:basedOn w:val="DefaultParagraphFont"/>
    <w:uiPriority w:val="99"/>
    <w:rsid w:val="00A97702"/>
    <w:rPr>
      <w:rFonts w:cs="Times New Roman"/>
      <w:color w:val="800080"/>
      <w:u w:val="single"/>
    </w:rPr>
  </w:style>
  <w:style w:type="paragraph" w:customStyle="1" w:styleId="CharCharChar">
    <w:name w:val="Char Char Char"/>
    <w:basedOn w:val="Normal"/>
    <w:uiPriority w:val="99"/>
    <w:rsid w:val="00A97702"/>
    <w:pPr>
      <w:spacing w:before="120" w:after="120" w:line="240" w:lineRule="auto"/>
    </w:pPr>
    <w:rPr>
      <w:rFonts w:ascii="Arial" w:eastAsia="Times New Roman" w:hAnsi="Arial" w:cs="Arial"/>
      <w:szCs w:val="22"/>
    </w:rPr>
  </w:style>
  <w:style w:type="paragraph" w:customStyle="1" w:styleId="Tablenumbers">
    <w:name w:val="Table numbers"/>
    <w:basedOn w:val="Normal"/>
    <w:link w:val="TablenumbersChar"/>
    <w:uiPriority w:val="99"/>
    <w:rsid w:val="00A97702"/>
    <w:pPr>
      <w:spacing w:before="80" w:after="120" w:line="240" w:lineRule="auto"/>
      <w:ind w:right="113"/>
      <w:jc w:val="right"/>
    </w:pPr>
    <w:rPr>
      <w:rFonts w:ascii="Arial" w:eastAsia="Times New Roman" w:hAnsi="Arial" w:cs="Times New Roman"/>
      <w:snapToGrid w:val="0"/>
      <w:sz w:val="18"/>
      <w:lang w:val="en-US"/>
    </w:rPr>
  </w:style>
  <w:style w:type="character" w:customStyle="1" w:styleId="TablenumbersChar">
    <w:name w:val="Table numbers Char"/>
    <w:link w:val="Tablenumbers"/>
    <w:uiPriority w:val="99"/>
    <w:locked/>
    <w:rsid w:val="00A97702"/>
    <w:rPr>
      <w:rFonts w:ascii="Arial" w:eastAsia="Times New Roman" w:hAnsi="Arial" w:cs="Times New Roman"/>
      <w:snapToGrid w:val="0"/>
      <w:sz w:val="18"/>
      <w:lang w:val="en-US"/>
    </w:rPr>
  </w:style>
  <w:style w:type="paragraph" w:customStyle="1" w:styleId="Table">
    <w:name w:val="Table"/>
    <w:basedOn w:val="Caption"/>
    <w:link w:val="TableChar"/>
    <w:uiPriority w:val="99"/>
    <w:rsid w:val="00A97702"/>
    <w:pPr>
      <w:spacing w:line="220" w:lineRule="exact"/>
      <w:jc w:val="both"/>
    </w:pPr>
    <w:rPr>
      <w:rFonts w:ascii="Arial" w:hAnsi="Arial"/>
      <w:b w:val="0"/>
      <w:kern w:val="28"/>
      <w:sz w:val="20"/>
      <w:szCs w:val="20"/>
    </w:rPr>
  </w:style>
  <w:style w:type="character" w:customStyle="1" w:styleId="TableChar">
    <w:name w:val="Table Char"/>
    <w:link w:val="Table"/>
    <w:uiPriority w:val="99"/>
    <w:locked/>
    <w:rsid w:val="00A97702"/>
    <w:rPr>
      <w:rFonts w:ascii="Arial" w:eastAsia="Times New Roman" w:hAnsi="Arial" w:cs="Times New Roman"/>
      <w:kern w:val="28"/>
      <w:lang w:eastAsia="en-AU"/>
    </w:rPr>
  </w:style>
  <w:style w:type="paragraph" w:styleId="NormalWeb">
    <w:name w:val="Normal (Web)"/>
    <w:basedOn w:val="Normal"/>
    <w:uiPriority w:val="99"/>
    <w:rsid w:val="00A97702"/>
    <w:pPr>
      <w:spacing w:before="100" w:beforeAutospacing="1" w:after="100" w:afterAutospacing="1" w:line="240" w:lineRule="auto"/>
    </w:pPr>
    <w:rPr>
      <w:rFonts w:eastAsia="Times New Roman" w:cs="Times New Roman"/>
      <w:szCs w:val="24"/>
      <w:lang w:val="en-US"/>
    </w:rPr>
  </w:style>
  <w:style w:type="paragraph" w:customStyle="1" w:styleId="Numberedlist">
    <w:name w:val="Numbered list"/>
    <w:basedOn w:val="BodyText"/>
    <w:uiPriority w:val="99"/>
    <w:rsid w:val="00A97702"/>
    <w:pPr>
      <w:numPr>
        <w:numId w:val="19"/>
      </w:numPr>
      <w:autoSpaceDE w:val="0"/>
      <w:autoSpaceDN w:val="0"/>
      <w:adjustRightInd w:val="0"/>
      <w:spacing w:before="60" w:line="280" w:lineRule="exact"/>
      <w:ind w:right="68"/>
      <w:jc w:val="both"/>
    </w:pPr>
    <w:rPr>
      <w:rFonts w:ascii="Arial" w:hAnsi="Arial" w:cs="Arial"/>
      <w:b w:val="0"/>
      <w:kern w:val="28"/>
      <w:sz w:val="22"/>
      <w:szCs w:val="22"/>
      <w:lang w:val="en-GB"/>
    </w:rPr>
  </w:style>
  <w:style w:type="paragraph" w:customStyle="1" w:styleId="StyleHeading4LatinBoldNotLatinItalic">
    <w:name w:val="Style Heading 4 + (Latin) Bold Not (Latin) Italic"/>
    <w:basedOn w:val="Heading4"/>
    <w:uiPriority w:val="99"/>
    <w:rsid w:val="00A97702"/>
  </w:style>
  <w:style w:type="character" w:styleId="Emphasis">
    <w:name w:val="Emphasis"/>
    <w:basedOn w:val="DefaultParagraphFont"/>
    <w:uiPriority w:val="99"/>
    <w:rsid w:val="00A97702"/>
    <w:rPr>
      <w:rFonts w:cs="Times New Roman"/>
      <w:i/>
    </w:rPr>
  </w:style>
  <w:style w:type="paragraph" w:styleId="PlainText">
    <w:name w:val="Plain Text"/>
    <w:basedOn w:val="Normal"/>
    <w:link w:val="PlainTextChar"/>
    <w:uiPriority w:val="99"/>
    <w:rsid w:val="00A97702"/>
    <w:pPr>
      <w:spacing w:before="120" w:after="120"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uiPriority w:val="99"/>
    <w:rsid w:val="00A97702"/>
    <w:rPr>
      <w:rFonts w:ascii="Courier New" w:eastAsia="Times New Roman" w:hAnsi="Courier New" w:cs="Courier New"/>
      <w:lang w:eastAsia="en-AU"/>
    </w:rPr>
  </w:style>
  <w:style w:type="table" w:styleId="TableClassic2">
    <w:name w:val="Table Classic 2"/>
    <w:basedOn w:val="TableNormal"/>
    <w:uiPriority w:val="99"/>
    <w:rsid w:val="00A97702"/>
    <w:pPr>
      <w:jc w:val="both"/>
    </w:pPr>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hapterHeading1">
    <w:name w:val="ChapterHeading1"/>
    <w:basedOn w:val="Heading1"/>
    <w:uiPriority w:val="99"/>
    <w:rsid w:val="00A97702"/>
  </w:style>
  <w:style w:type="paragraph" w:customStyle="1" w:styleId="ChapterHeading2">
    <w:name w:val="ChapterHeading2"/>
    <w:basedOn w:val="Heading2"/>
    <w:uiPriority w:val="99"/>
    <w:rsid w:val="00A97702"/>
    <w:pPr>
      <w:spacing w:after="240"/>
      <w:ind w:left="720" w:hanging="720"/>
    </w:pPr>
  </w:style>
  <w:style w:type="paragraph" w:customStyle="1" w:styleId="ChapterHeading3">
    <w:name w:val="ChapterHeading3"/>
    <w:basedOn w:val="Heading3"/>
    <w:uiPriority w:val="99"/>
    <w:rsid w:val="00A97702"/>
    <w:pPr>
      <w:spacing w:before="120" w:after="120"/>
    </w:pPr>
  </w:style>
  <w:style w:type="paragraph" w:customStyle="1" w:styleId="ChapterHeading4">
    <w:name w:val="ChapterHeading4"/>
    <w:basedOn w:val="Heading4"/>
    <w:uiPriority w:val="99"/>
    <w:rsid w:val="00A97702"/>
  </w:style>
  <w:style w:type="paragraph" w:customStyle="1" w:styleId="ChapterHeading5">
    <w:name w:val="ChapterHeading5"/>
    <w:basedOn w:val="Normal"/>
    <w:uiPriority w:val="99"/>
    <w:rsid w:val="00A97702"/>
    <w:pPr>
      <w:keepNext/>
      <w:spacing w:before="120" w:after="120" w:line="240" w:lineRule="auto"/>
      <w:jc w:val="both"/>
    </w:pPr>
    <w:rPr>
      <w:rFonts w:ascii="Book Antiqua" w:eastAsia="Times New Roman" w:hAnsi="Book Antiqua" w:cs="Times New Roman"/>
      <w:b/>
      <w:i/>
      <w:szCs w:val="22"/>
      <w:lang w:eastAsia="en-AU"/>
    </w:rPr>
  </w:style>
  <w:style w:type="paragraph" w:customStyle="1" w:styleId="BlockTitle">
    <w:name w:val="BlockTitle"/>
    <w:basedOn w:val="Normal"/>
    <w:uiPriority w:val="99"/>
    <w:rsid w:val="00A97702"/>
    <w:pPr>
      <w:keepNext/>
      <w:autoSpaceDE w:val="0"/>
      <w:autoSpaceDN w:val="0"/>
      <w:adjustRightInd w:val="0"/>
      <w:spacing w:before="60" w:after="60" w:line="240" w:lineRule="auto"/>
    </w:pPr>
    <w:rPr>
      <w:rFonts w:ascii="Book Antiqua" w:eastAsia="Times New Roman" w:hAnsi="Book Antiqua" w:cs="Times New Roman"/>
      <w:b/>
      <w:szCs w:val="22"/>
      <w:lang w:val="en-US"/>
    </w:rPr>
  </w:style>
  <w:style w:type="paragraph" w:customStyle="1" w:styleId="StyleBlockTitleBoxSinglesolidlineAuto05ptLinewidt">
    <w:name w:val="Style BlockTitle + Box: (Single solid line Auto  0.5 pt Line widt..."/>
    <w:basedOn w:val="BlockTitle"/>
    <w:uiPriority w:val="99"/>
    <w:rsid w:val="00A97702"/>
    <w:rPr>
      <w:bCs/>
      <w:szCs w:val="20"/>
    </w:rPr>
  </w:style>
  <w:style w:type="paragraph" w:customStyle="1" w:styleId="Numbered">
    <w:name w:val="Numbered"/>
    <w:basedOn w:val="text"/>
    <w:uiPriority w:val="99"/>
    <w:rsid w:val="00A97702"/>
    <w:pPr>
      <w:numPr>
        <w:numId w:val="25"/>
      </w:numPr>
      <w:tabs>
        <w:tab w:val="clear" w:pos="720"/>
        <w:tab w:val="num" w:pos="1080"/>
      </w:tabs>
      <w:spacing w:after="0"/>
      <w:ind w:left="360" w:hanging="360"/>
    </w:pPr>
    <w:rPr>
      <w:szCs w:val="22"/>
    </w:rPr>
  </w:style>
  <w:style w:type="paragraph" w:customStyle="1" w:styleId="StyletextAfter0ptBoxSinglesolidlineAuto05ptL">
    <w:name w:val="Style text + After:  0 pt Box: (Single solid line Auto  0.5 pt L..."/>
    <w:basedOn w:val="text"/>
    <w:uiPriority w:val="99"/>
    <w:rsid w:val="00A97702"/>
    <w:pPr>
      <w:spacing w:after="0"/>
    </w:pPr>
  </w:style>
  <w:style w:type="paragraph" w:customStyle="1" w:styleId="Footnote">
    <w:name w:val="Footnote"/>
    <w:basedOn w:val="StyletextAfter0ptBoxSinglesolidlineAuto05ptL"/>
    <w:uiPriority w:val="99"/>
    <w:rsid w:val="00A97702"/>
    <w:rPr>
      <w:szCs w:val="22"/>
      <w:vertAlign w:val="superscript"/>
    </w:rPr>
  </w:style>
  <w:style w:type="paragraph" w:customStyle="1" w:styleId="StyleCaptionLeft0cmHanging175cm">
    <w:name w:val="Style Caption + Left:  0 cm Hanging:  1.75 cm"/>
    <w:basedOn w:val="Caption"/>
    <w:autoRedefine/>
    <w:uiPriority w:val="99"/>
    <w:rsid w:val="00A97702"/>
    <w:pPr>
      <w:ind w:left="993" w:hanging="993"/>
    </w:pPr>
    <w:rPr>
      <w:bCs/>
    </w:rPr>
  </w:style>
  <w:style w:type="paragraph" w:customStyle="1" w:styleId="TableHeadingLeft">
    <w:name w:val="TableHeading Left"/>
    <w:basedOn w:val="text"/>
    <w:uiPriority w:val="99"/>
    <w:rsid w:val="00A97702"/>
    <w:rPr>
      <w:b/>
      <w:sz w:val="20"/>
      <w:lang w:val="en-GB"/>
    </w:rPr>
  </w:style>
  <w:style w:type="paragraph" w:customStyle="1" w:styleId="Ticks">
    <w:name w:val="Ticks"/>
    <w:basedOn w:val="text"/>
    <w:uiPriority w:val="99"/>
    <w:rsid w:val="00A97702"/>
    <w:pPr>
      <w:jc w:val="center"/>
    </w:pPr>
    <w:rPr>
      <w:sz w:val="32"/>
      <w:szCs w:val="32"/>
    </w:rPr>
  </w:style>
  <w:style w:type="paragraph" w:customStyle="1" w:styleId="AHeading">
    <w:name w:val="A Heading"/>
    <w:basedOn w:val="text"/>
    <w:uiPriority w:val="99"/>
    <w:rsid w:val="00A97702"/>
    <w:pPr>
      <w:keepNext/>
      <w:ind w:left="709" w:hanging="709"/>
    </w:pPr>
    <w:rPr>
      <w:b/>
      <w:bCs/>
    </w:rPr>
  </w:style>
  <w:style w:type="paragraph" w:customStyle="1" w:styleId="indentedunderAHeading">
    <w:name w:val="indented under A Heading"/>
    <w:basedOn w:val="text"/>
    <w:uiPriority w:val="99"/>
    <w:rsid w:val="00A97702"/>
    <w:pPr>
      <w:ind w:left="709"/>
    </w:pPr>
  </w:style>
  <w:style w:type="paragraph" w:customStyle="1" w:styleId="NumberedunderAHeading">
    <w:name w:val="Numbered under A Heading"/>
    <w:basedOn w:val="text"/>
    <w:uiPriority w:val="99"/>
    <w:rsid w:val="00A97702"/>
    <w:pPr>
      <w:numPr>
        <w:numId w:val="20"/>
      </w:numPr>
      <w:tabs>
        <w:tab w:val="clear" w:pos="360"/>
        <w:tab w:val="num" w:pos="926"/>
        <w:tab w:val="num" w:pos="1134"/>
      </w:tabs>
      <w:ind w:left="1134" w:hanging="425"/>
    </w:pPr>
  </w:style>
  <w:style w:type="paragraph" w:customStyle="1" w:styleId="BlockTitle1">
    <w:name w:val="BlockTitle1"/>
    <w:basedOn w:val="text"/>
    <w:uiPriority w:val="99"/>
    <w:rsid w:val="00A97702"/>
    <w:pPr>
      <w:shd w:val="clear" w:color="auto" w:fill="D9D9D9"/>
      <w:jc w:val="center"/>
    </w:pPr>
    <w:rPr>
      <w:b/>
      <w:szCs w:val="22"/>
      <w:lang w:val="en-US" w:eastAsia="en-US"/>
    </w:rPr>
  </w:style>
  <w:style w:type="paragraph" w:customStyle="1" w:styleId="Note">
    <w:name w:val="Note"/>
    <w:basedOn w:val="text"/>
    <w:uiPriority w:val="99"/>
    <w:rsid w:val="00A97702"/>
    <w:rPr>
      <w:noProof/>
      <w:sz w:val="20"/>
    </w:rPr>
  </w:style>
  <w:style w:type="paragraph" w:customStyle="1" w:styleId="NoteNumbered">
    <w:name w:val="Note Numbered"/>
    <w:basedOn w:val="Normal"/>
    <w:uiPriority w:val="99"/>
    <w:rsid w:val="00A97702"/>
    <w:pPr>
      <w:numPr>
        <w:numId w:val="23"/>
      </w:numPr>
      <w:spacing w:before="120" w:after="120" w:line="276" w:lineRule="auto"/>
      <w:jc w:val="both"/>
    </w:pPr>
    <w:rPr>
      <w:rFonts w:ascii="Book Antiqua" w:eastAsia="Times New Roman" w:hAnsi="Book Antiqua" w:cs="Arial"/>
      <w:sz w:val="18"/>
      <w:szCs w:val="18"/>
      <w:lang w:eastAsia="en-AU"/>
    </w:rPr>
  </w:style>
  <w:style w:type="paragraph" w:customStyle="1" w:styleId="StyleNote8ptBoldBlack">
    <w:name w:val="Style Note + 8 pt Bold Black"/>
    <w:basedOn w:val="Note"/>
    <w:uiPriority w:val="99"/>
    <w:rsid w:val="00A97702"/>
    <w:pPr>
      <w:spacing w:before="60" w:after="0"/>
    </w:pPr>
    <w:rPr>
      <w:b/>
      <w:bCs/>
      <w:color w:val="000000"/>
      <w:sz w:val="16"/>
    </w:rPr>
  </w:style>
  <w:style w:type="paragraph" w:customStyle="1" w:styleId="TableHeading1">
    <w:name w:val="TableHeading1"/>
    <w:basedOn w:val="Normal"/>
    <w:uiPriority w:val="99"/>
    <w:rsid w:val="00A97702"/>
    <w:pPr>
      <w:spacing w:before="120" w:after="120" w:line="240" w:lineRule="auto"/>
      <w:jc w:val="center"/>
    </w:pPr>
    <w:rPr>
      <w:rFonts w:ascii="Arial" w:eastAsia="Times New Roman" w:hAnsi="Arial" w:cs="Arial"/>
      <w:b/>
      <w:noProof/>
      <w:sz w:val="18"/>
      <w:szCs w:val="18"/>
      <w:lang w:val="en-GB" w:eastAsia="en-AU"/>
    </w:rPr>
  </w:style>
  <w:style w:type="paragraph" w:customStyle="1" w:styleId="font5">
    <w:name w:val="font5"/>
    <w:basedOn w:val="Normal"/>
    <w:uiPriority w:val="99"/>
    <w:rsid w:val="00A97702"/>
    <w:pPr>
      <w:spacing w:before="100" w:beforeAutospacing="1" w:after="100" w:afterAutospacing="1" w:line="240" w:lineRule="auto"/>
    </w:pPr>
    <w:rPr>
      <w:rFonts w:ascii="Arial" w:eastAsia="Times New Roman" w:hAnsi="Arial" w:cs="Arial"/>
      <w:color w:val="000000"/>
      <w:sz w:val="20"/>
      <w:lang w:eastAsia="en-AU"/>
    </w:rPr>
  </w:style>
  <w:style w:type="paragraph" w:customStyle="1" w:styleId="font6">
    <w:name w:val="font6"/>
    <w:basedOn w:val="Normal"/>
    <w:uiPriority w:val="99"/>
    <w:rsid w:val="00A97702"/>
    <w:pPr>
      <w:spacing w:before="100" w:beforeAutospacing="1" w:after="100" w:afterAutospacing="1" w:line="240" w:lineRule="auto"/>
    </w:pPr>
    <w:rPr>
      <w:rFonts w:ascii="Arial" w:eastAsia="Times New Roman" w:hAnsi="Arial" w:cs="Arial"/>
      <w:b/>
      <w:bCs/>
      <w:sz w:val="20"/>
      <w:lang w:eastAsia="en-AU"/>
    </w:rPr>
  </w:style>
  <w:style w:type="paragraph" w:customStyle="1" w:styleId="font7">
    <w:name w:val="font7"/>
    <w:basedOn w:val="Normal"/>
    <w:uiPriority w:val="99"/>
    <w:rsid w:val="00A97702"/>
    <w:pPr>
      <w:spacing w:before="100" w:beforeAutospacing="1" w:after="100" w:afterAutospacing="1" w:line="240" w:lineRule="auto"/>
    </w:pPr>
    <w:rPr>
      <w:rFonts w:ascii="Symbol" w:eastAsia="Times New Roman" w:hAnsi="Symbol" w:cs="Times New Roman"/>
      <w:b/>
      <w:bCs/>
      <w:sz w:val="20"/>
      <w:lang w:eastAsia="en-AU"/>
    </w:rPr>
  </w:style>
  <w:style w:type="paragraph" w:customStyle="1" w:styleId="font8">
    <w:name w:val="font8"/>
    <w:basedOn w:val="Normal"/>
    <w:uiPriority w:val="99"/>
    <w:rsid w:val="00A97702"/>
    <w:pPr>
      <w:spacing w:before="100" w:beforeAutospacing="1" w:after="100" w:afterAutospacing="1" w:line="240" w:lineRule="auto"/>
    </w:pPr>
    <w:rPr>
      <w:rFonts w:ascii="Arial" w:eastAsia="Times New Roman" w:hAnsi="Arial" w:cs="Arial"/>
      <w:color w:val="000000"/>
      <w:sz w:val="20"/>
      <w:lang w:eastAsia="en-AU"/>
    </w:rPr>
  </w:style>
  <w:style w:type="paragraph" w:customStyle="1" w:styleId="font9">
    <w:name w:val="font9"/>
    <w:basedOn w:val="Normal"/>
    <w:uiPriority w:val="99"/>
    <w:rsid w:val="00A97702"/>
    <w:pPr>
      <w:spacing w:before="100" w:beforeAutospacing="1" w:after="100" w:afterAutospacing="1" w:line="240" w:lineRule="auto"/>
    </w:pPr>
    <w:rPr>
      <w:rFonts w:ascii="Arial" w:eastAsia="Times New Roman" w:hAnsi="Arial" w:cs="Arial"/>
      <w:b/>
      <w:bCs/>
      <w:color w:val="000000"/>
      <w:sz w:val="20"/>
      <w:lang w:eastAsia="en-AU"/>
    </w:rPr>
  </w:style>
  <w:style w:type="paragraph" w:customStyle="1" w:styleId="font10">
    <w:name w:val="font10"/>
    <w:basedOn w:val="Normal"/>
    <w:uiPriority w:val="99"/>
    <w:rsid w:val="00A97702"/>
    <w:pPr>
      <w:spacing w:before="100" w:beforeAutospacing="1" w:after="100" w:afterAutospacing="1" w:line="240" w:lineRule="auto"/>
    </w:pPr>
    <w:rPr>
      <w:rFonts w:ascii="Arial" w:eastAsia="Times New Roman" w:hAnsi="Arial" w:cs="Arial"/>
      <w:color w:val="000000"/>
      <w:sz w:val="20"/>
      <w:lang w:eastAsia="en-AU"/>
    </w:rPr>
  </w:style>
  <w:style w:type="paragraph" w:customStyle="1" w:styleId="font11">
    <w:name w:val="font11"/>
    <w:basedOn w:val="Normal"/>
    <w:uiPriority w:val="99"/>
    <w:rsid w:val="00A97702"/>
    <w:pPr>
      <w:spacing w:before="100" w:beforeAutospacing="1" w:after="100" w:afterAutospacing="1" w:line="240" w:lineRule="auto"/>
    </w:pPr>
    <w:rPr>
      <w:rFonts w:ascii="Arial" w:eastAsia="Times New Roman" w:hAnsi="Arial" w:cs="Arial"/>
      <w:sz w:val="20"/>
      <w:lang w:eastAsia="en-AU"/>
    </w:rPr>
  </w:style>
  <w:style w:type="paragraph" w:customStyle="1" w:styleId="font12">
    <w:name w:val="font12"/>
    <w:basedOn w:val="Normal"/>
    <w:uiPriority w:val="99"/>
    <w:rsid w:val="00A97702"/>
    <w:pPr>
      <w:spacing w:before="100" w:beforeAutospacing="1" w:after="100" w:afterAutospacing="1" w:line="240" w:lineRule="auto"/>
    </w:pPr>
    <w:rPr>
      <w:rFonts w:ascii="Arial" w:eastAsia="Times New Roman" w:hAnsi="Arial" w:cs="Arial"/>
      <w:b/>
      <w:bCs/>
      <w:sz w:val="20"/>
      <w:lang w:eastAsia="en-AU"/>
    </w:rPr>
  </w:style>
  <w:style w:type="paragraph" w:customStyle="1" w:styleId="xl65">
    <w:name w:val="xl65"/>
    <w:basedOn w:val="Normal"/>
    <w:uiPriority w:val="99"/>
    <w:rsid w:val="00A97702"/>
    <w:pPr>
      <w:spacing w:before="100" w:beforeAutospacing="1" w:after="100" w:afterAutospacing="1" w:line="240" w:lineRule="auto"/>
    </w:pPr>
    <w:rPr>
      <w:rFonts w:eastAsia="Times New Roman" w:cs="Times New Roman"/>
      <w:szCs w:val="24"/>
      <w:lang w:eastAsia="en-AU"/>
    </w:rPr>
  </w:style>
  <w:style w:type="paragraph" w:customStyle="1" w:styleId="xl66">
    <w:name w:val="xl66"/>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Cs w:val="24"/>
      <w:lang w:eastAsia="en-AU"/>
    </w:rPr>
  </w:style>
  <w:style w:type="paragraph" w:customStyle="1" w:styleId="xl67">
    <w:name w:val="xl67"/>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68">
    <w:name w:val="xl68"/>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Cs w:val="24"/>
      <w:lang w:eastAsia="en-AU"/>
    </w:rPr>
  </w:style>
  <w:style w:type="paragraph" w:customStyle="1" w:styleId="xl69">
    <w:name w:val="xl69"/>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70">
    <w:name w:val="xl70"/>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Cs w:val="24"/>
      <w:lang w:eastAsia="en-AU"/>
    </w:rPr>
  </w:style>
  <w:style w:type="paragraph" w:customStyle="1" w:styleId="xl71">
    <w:name w:val="xl71"/>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Cs w:val="24"/>
      <w:lang w:eastAsia="en-AU"/>
    </w:rPr>
  </w:style>
  <w:style w:type="paragraph" w:customStyle="1" w:styleId="xl72">
    <w:name w:val="xl72"/>
    <w:basedOn w:val="Normal"/>
    <w:uiPriority w:val="99"/>
    <w:rsid w:val="00A9770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73">
    <w:name w:val="xl73"/>
    <w:basedOn w:val="Normal"/>
    <w:uiPriority w:val="99"/>
    <w:rsid w:val="00A97702"/>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74">
    <w:name w:val="xl74"/>
    <w:basedOn w:val="Normal"/>
    <w:uiPriority w:val="99"/>
    <w:rsid w:val="00A97702"/>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75">
    <w:name w:val="xl75"/>
    <w:basedOn w:val="Normal"/>
    <w:uiPriority w:val="99"/>
    <w:rsid w:val="00A977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76">
    <w:name w:val="xl76"/>
    <w:basedOn w:val="Normal"/>
    <w:uiPriority w:val="99"/>
    <w:rsid w:val="00A97702"/>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77">
    <w:name w:val="xl77"/>
    <w:basedOn w:val="Normal"/>
    <w:uiPriority w:val="99"/>
    <w:rsid w:val="00A97702"/>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78">
    <w:name w:val="xl78"/>
    <w:basedOn w:val="Normal"/>
    <w:uiPriority w:val="99"/>
    <w:rsid w:val="00A977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79">
    <w:name w:val="xl79"/>
    <w:basedOn w:val="Normal"/>
    <w:uiPriority w:val="99"/>
    <w:rsid w:val="00A97702"/>
    <w:pPr>
      <w:pBdr>
        <w:top w:val="single" w:sz="4"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80">
    <w:name w:val="xl80"/>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81">
    <w:name w:val="xl81"/>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82">
    <w:name w:val="xl82"/>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Cs w:val="24"/>
      <w:lang w:eastAsia="en-AU"/>
    </w:rPr>
  </w:style>
  <w:style w:type="paragraph" w:customStyle="1" w:styleId="xl83">
    <w:name w:val="xl83"/>
    <w:basedOn w:val="Normal"/>
    <w:uiPriority w:val="99"/>
    <w:rsid w:val="00A97702"/>
    <w:pPr>
      <w:spacing w:before="100" w:beforeAutospacing="1" w:after="100" w:afterAutospacing="1" w:line="240" w:lineRule="auto"/>
      <w:textAlignment w:val="center"/>
    </w:pPr>
    <w:rPr>
      <w:rFonts w:ascii="Arial" w:eastAsia="Times New Roman" w:hAnsi="Arial" w:cs="Arial"/>
      <w:b/>
      <w:bCs/>
      <w:szCs w:val="24"/>
      <w:lang w:eastAsia="en-AU"/>
    </w:rPr>
  </w:style>
  <w:style w:type="paragraph" w:customStyle="1" w:styleId="xl84">
    <w:name w:val="xl84"/>
    <w:basedOn w:val="Normal"/>
    <w:uiPriority w:val="99"/>
    <w:rsid w:val="00A97702"/>
    <w:pPr>
      <w:spacing w:before="100" w:beforeAutospacing="1" w:after="100" w:afterAutospacing="1" w:line="240" w:lineRule="auto"/>
      <w:textAlignment w:val="center"/>
    </w:pPr>
    <w:rPr>
      <w:rFonts w:eastAsia="Times New Roman" w:cs="Times New Roman"/>
      <w:szCs w:val="24"/>
      <w:lang w:eastAsia="en-AU"/>
    </w:rPr>
  </w:style>
  <w:style w:type="paragraph" w:customStyle="1" w:styleId="xl85">
    <w:name w:val="xl85"/>
    <w:basedOn w:val="Normal"/>
    <w:uiPriority w:val="99"/>
    <w:rsid w:val="00A97702"/>
    <w:pPr>
      <w:spacing w:before="100" w:beforeAutospacing="1" w:after="100" w:afterAutospacing="1" w:line="240" w:lineRule="auto"/>
      <w:textAlignment w:val="center"/>
    </w:pPr>
    <w:rPr>
      <w:rFonts w:eastAsia="Times New Roman" w:cs="Times New Roman"/>
      <w:szCs w:val="24"/>
      <w:lang w:eastAsia="en-AU"/>
    </w:rPr>
  </w:style>
  <w:style w:type="paragraph" w:customStyle="1" w:styleId="xl86">
    <w:name w:val="xl86"/>
    <w:basedOn w:val="Normal"/>
    <w:uiPriority w:val="99"/>
    <w:rsid w:val="00A977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87">
    <w:name w:val="xl87"/>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88">
    <w:name w:val="xl88"/>
    <w:basedOn w:val="Normal"/>
    <w:uiPriority w:val="99"/>
    <w:rsid w:val="00A97702"/>
    <w:pPr>
      <w:pBdr>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89">
    <w:name w:val="xl89"/>
    <w:basedOn w:val="Normal"/>
    <w:uiPriority w:val="99"/>
    <w:rsid w:val="00A97702"/>
    <w:pPr>
      <w:pBdr>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0">
    <w:name w:val="xl90"/>
    <w:basedOn w:val="Normal"/>
    <w:uiPriority w:val="99"/>
    <w:rsid w:val="00A97702"/>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1">
    <w:name w:val="xl91"/>
    <w:basedOn w:val="Normal"/>
    <w:uiPriority w:val="99"/>
    <w:rsid w:val="00A977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2">
    <w:name w:val="xl92"/>
    <w:basedOn w:val="Normal"/>
    <w:uiPriority w:val="99"/>
    <w:rsid w:val="00A97702"/>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3">
    <w:name w:val="xl93"/>
    <w:basedOn w:val="Normal"/>
    <w:uiPriority w:val="99"/>
    <w:rsid w:val="00A97702"/>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4">
    <w:name w:val="xl94"/>
    <w:basedOn w:val="Normal"/>
    <w:uiPriority w:val="99"/>
    <w:rsid w:val="00A97702"/>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5">
    <w:name w:val="xl95"/>
    <w:basedOn w:val="Normal"/>
    <w:uiPriority w:val="99"/>
    <w:rsid w:val="00A977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6">
    <w:name w:val="xl96"/>
    <w:basedOn w:val="Normal"/>
    <w:uiPriority w:val="99"/>
    <w:rsid w:val="00A9770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Cs w:val="24"/>
      <w:lang w:eastAsia="en-AU"/>
    </w:rPr>
  </w:style>
  <w:style w:type="paragraph" w:customStyle="1" w:styleId="xl97">
    <w:name w:val="xl97"/>
    <w:basedOn w:val="Normal"/>
    <w:uiPriority w:val="99"/>
    <w:rsid w:val="00A97702"/>
    <w:pPr>
      <w:pBdr>
        <w:top w:val="single" w:sz="8"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8">
    <w:name w:val="xl98"/>
    <w:basedOn w:val="Normal"/>
    <w:uiPriority w:val="99"/>
    <w:rsid w:val="00A97702"/>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99">
    <w:name w:val="xl99"/>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100">
    <w:name w:val="xl100"/>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Cs w:val="24"/>
      <w:lang w:eastAsia="en-AU"/>
    </w:rPr>
  </w:style>
  <w:style w:type="paragraph" w:customStyle="1" w:styleId="xl101">
    <w:name w:val="xl101"/>
    <w:basedOn w:val="Normal"/>
    <w:uiPriority w:val="99"/>
    <w:rsid w:val="00A97702"/>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102">
    <w:name w:val="xl102"/>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103">
    <w:name w:val="xl103"/>
    <w:basedOn w:val="Normal"/>
    <w:uiPriority w:val="99"/>
    <w:rsid w:val="00A97702"/>
    <w:pPr>
      <w:pBdr>
        <w:bottom w:val="single" w:sz="4" w:space="0" w:color="auto"/>
        <w:right w:val="single" w:sz="4" w:space="0" w:color="auto"/>
      </w:pBdr>
      <w:shd w:val="clear" w:color="000000" w:fill="F2F2F2"/>
      <w:spacing w:before="100" w:beforeAutospacing="1" w:after="100" w:afterAutospacing="1" w:line="240" w:lineRule="auto"/>
    </w:pPr>
    <w:rPr>
      <w:rFonts w:ascii="Calibri" w:eastAsia="Times New Roman" w:hAnsi="Calibri" w:cs="Times New Roman"/>
      <w:b/>
      <w:bCs/>
      <w:color w:val="3F3F3F"/>
      <w:szCs w:val="22"/>
      <w:lang w:eastAsia="en-AU"/>
    </w:rPr>
  </w:style>
  <w:style w:type="paragraph" w:customStyle="1" w:styleId="xl104">
    <w:name w:val="xl104"/>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AU"/>
    </w:rPr>
  </w:style>
  <w:style w:type="paragraph" w:customStyle="1" w:styleId="xl105">
    <w:name w:val="xl105"/>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Cs w:val="24"/>
      <w:lang w:eastAsia="en-AU"/>
    </w:rPr>
  </w:style>
  <w:style w:type="paragraph" w:customStyle="1" w:styleId="xl106">
    <w:name w:val="xl106"/>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Cs w:val="24"/>
      <w:lang w:eastAsia="en-AU"/>
    </w:rPr>
  </w:style>
  <w:style w:type="paragraph" w:customStyle="1" w:styleId="xl107">
    <w:name w:val="xl107"/>
    <w:basedOn w:val="Normal"/>
    <w:uiPriority w:val="99"/>
    <w:rsid w:val="00A977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Cs w:val="24"/>
      <w:lang w:eastAsia="en-AU"/>
    </w:rPr>
  </w:style>
  <w:style w:type="paragraph" w:customStyle="1" w:styleId="xl108">
    <w:name w:val="xl108"/>
    <w:basedOn w:val="Normal"/>
    <w:uiPriority w:val="99"/>
    <w:rsid w:val="00A97702"/>
    <w:pPr>
      <w:pBdr>
        <w:lef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09">
    <w:name w:val="xl109"/>
    <w:basedOn w:val="Normal"/>
    <w:uiPriority w:val="99"/>
    <w:rsid w:val="00A97702"/>
    <w:pPr>
      <w:pBdr>
        <w:righ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0">
    <w:name w:val="xl110"/>
    <w:basedOn w:val="Normal"/>
    <w:uiPriority w:val="99"/>
    <w:rsid w:val="00A97702"/>
    <w:pPr>
      <w:pBdr>
        <w:left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1">
    <w:name w:val="xl111"/>
    <w:basedOn w:val="Normal"/>
    <w:uiPriority w:val="99"/>
    <w:rsid w:val="00A97702"/>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2">
    <w:name w:val="xl112"/>
    <w:basedOn w:val="Normal"/>
    <w:uiPriority w:val="99"/>
    <w:rsid w:val="00A977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3">
    <w:name w:val="xl113"/>
    <w:basedOn w:val="Normal"/>
    <w:uiPriority w:val="99"/>
    <w:rsid w:val="00A977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Cs w:val="24"/>
      <w:lang w:eastAsia="en-AU"/>
    </w:rPr>
  </w:style>
  <w:style w:type="paragraph" w:customStyle="1" w:styleId="xl114">
    <w:name w:val="xl114"/>
    <w:basedOn w:val="Normal"/>
    <w:uiPriority w:val="99"/>
    <w:rsid w:val="00A977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lang w:eastAsia="en-AU"/>
    </w:rPr>
  </w:style>
  <w:style w:type="paragraph" w:customStyle="1" w:styleId="xl115">
    <w:name w:val="xl115"/>
    <w:basedOn w:val="Normal"/>
    <w:uiPriority w:val="99"/>
    <w:rsid w:val="00A977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Cs w:val="24"/>
      <w:lang w:eastAsia="en-AU"/>
    </w:rPr>
  </w:style>
  <w:style w:type="paragraph" w:customStyle="1" w:styleId="xl116">
    <w:name w:val="xl116"/>
    <w:basedOn w:val="Normal"/>
    <w:uiPriority w:val="99"/>
    <w:rsid w:val="00A977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117">
    <w:name w:val="xl117"/>
    <w:basedOn w:val="Normal"/>
    <w:uiPriority w:val="99"/>
    <w:rsid w:val="00A977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color w:val="000000"/>
      <w:szCs w:val="24"/>
      <w:lang w:eastAsia="en-AU"/>
    </w:rPr>
  </w:style>
  <w:style w:type="paragraph" w:customStyle="1" w:styleId="xl118">
    <w:name w:val="xl118"/>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Cs w:val="24"/>
      <w:lang w:eastAsia="en-AU"/>
    </w:rPr>
  </w:style>
  <w:style w:type="paragraph" w:customStyle="1" w:styleId="xl119">
    <w:name w:val="xl119"/>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Times New Roman"/>
      <w:szCs w:val="22"/>
      <w:lang w:eastAsia="en-AU"/>
    </w:rPr>
  </w:style>
  <w:style w:type="paragraph" w:customStyle="1" w:styleId="xl120">
    <w:name w:val="xl120"/>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Times New Roman"/>
      <w:szCs w:val="22"/>
      <w:lang w:eastAsia="en-AU"/>
    </w:rPr>
  </w:style>
  <w:style w:type="paragraph" w:customStyle="1" w:styleId="xl121">
    <w:name w:val="xl121"/>
    <w:basedOn w:val="Normal"/>
    <w:uiPriority w:val="99"/>
    <w:rsid w:val="00A977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color w:val="000000"/>
      <w:szCs w:val="24"/>
      <w:lang w:eastAsia="en-AU"/>
    </w:rPr>
  </w:style>
  <w:style w:type="paragraph" w:customStyle="1" w:styleId="xl122">
    <w:name w:val="xl122"/>
    <w:basedOn w:val="Normal"/>
    <w:uiPriority w:val="99"/>
    <w:rsid w:val="00A97702"/>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Cs w:val="24"/>
      <w:lang w:eastAsia="en-AU"/>
    </w:rPr>
  </w:style>
  <w:style w:type="paragraph" w:customStyle="1" w:styleId="xl123">
    <w:name w:val="xl123"/>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Cs w:val="24"/>
      <w:lang w:eastAsia="en-AU"/>
    </w:rPr>
  </w:style>
  <w:style w:type="paragraph" w:customStyle="1" w:styleId="xl124">
    <w:name w:val="xl124"/>
    <w:basedOn w:val="Normal"/>
    <w:uiPriority w:val="99"/>
    <w:rsid w:val="00A9770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Cs w:val="24"/>
      <w:lang w:eastAsia="en-AU"/>
    </w:rPr>
  </w:style>
  <w:style w:type="paragraph" w:customStyle="1" w:styleId="xl125">
    <w:name w:val="xl125"/>
    <w:basedOn w:val="Normal"/>
    <w:uiPriority w:val="99"/>
    <w:rsid w:val="00A97702"/>
    <w:pPr>
      <w:spacing w:before="100" w:beforeAutospacing="1" w:after="100" w:afterAutospacing="1" w:line="240" w:lineRule="auto"/>
      <w:textAlignment w:val="top"/>
    </w:pPr>
    <w:rPr>
      <w:rFonts w:ascii="Arial" w:eastAsia="Times New Roman" w:hAnsi="Arial" w:cs="Arial"/>
      <w:szCs w:val="24"/>
      <w:lang w:eastAsia="en-AU"/>
    </w:rPr>
  </w:style>
  <w:style w:type="paragraph" w:customStyle="1" w:styleId="xl126">
    <w:name w:val="xl126"/>
    <w:basedOn w:val="Normal"/>
    <w:uiPriority w:val="99"/>
    <w:rsid w:val="00A97702"/>
    <w:pPr>
      <w:spacing w:before="100" w:beforeAutospacing="1" w:after="100" w:afterAutospacing="1" w:line="240" w:lineRule="auto"/>
      <w:textAlignment w:val="top"/>
    </w:pPr>
    <w:rPr>
      <w:rFonts w:eastAsia="Times New Roman" w:cs="Times New Roman"/>
      <w:szCs w:val="24"/>
      <w:lang w:eastAsia="en-AU"/>
    </w:rPr>
  </w:style>
  <w:style w:type="paragraph" w:customStyle="1" w:styleId="TableHeading2">
    <w:name w:val="TableHeading2"/>
    <w:basedOn w:val="Normal"/>
    <w:uiPriority w:val="99"/>
    <w:rsid w:val="00A97702"/>
    <w:pPr>
      <w:spacing w:before="120" w:after="120" w:line="240" w:lineRule="auto"/>
    </w:pPr>
    <w:rPr>
      <w:rFonts w:ascii="Arial" w:eastAsia="Times New Roman" w:hAnsi="Arial" w:cs="Arial"/>
      <w:b/>
      <w:bCs/>
      <w:color w:val="3F3F3F"/>
      <w:sz w:val="20"/>
      <w:lang w:eastAsia="en-AU"/>
    </w:rPr>
  </w:style>
  <w:style w:type="paragraph" w:customStyle="1" w:styleId="TableText1">
    <w:name w:val="TableText"/>
    <w:basedOn w:val="text"/>
    <w:uiPriority w:val="99"/>
    <w:rsid w:val="00A97702"/>
    <w:pPr>
      <w:spacing w:before="60" w:after="60"/>
    </w:pPr>
    <w:rPr>
      <w:bCs/>
      <w:sz w:val="20"/>
    </w:rPr>
  </w:style>
  <w:style w:type="paragraph" w:customStyle="1" w:styleId="TableTextBold">
    <w:name w:val="TableTextBold"/>
    <w:basedOn w:val="TableText1"/>
    <w:uiPriority w:val="99"/>
    <w:rsid w:val="00A97702"/>
  </w:style>
  <w:style w:type="numbering" w:styleId="111111">
    <w:name w:val="Outline List 2"/>
    <w:basedOn w:val="NoList"/>
    <w:uiPriority w:val="99"/>
    <w:semiHidden/>
    <w:unhideWhenUsed/>
    <w:rsid w:val="00A97702"/>
    <w:pPr>
      <w:numPr>
        <w:numId w:val="24"/>
      </w:numPr>
    </w:pPr>
  </w:style>
  <w:style w:type="paragraph" w:styleId="ListParagraph">
    <w:name w:val="List Paragraph"/>
    <w:basedOn w:val="Normal"/>
    <w:uiPriority w:val="34"/>
    <w:rsid w:val="00A97702"/>
    <w:pPr>
      <w:spacing w:before="120" w:after="120" w:line="240" w:lineRule="auto"/>
      <w:ind w:left="720"/>
      <w:jc w:val="both"/>
    </w:pPr>
    <w:rPr>
      <w:rFonts w:ascii="Book Antiqua" w:eastAsia="Times New Roman" w:hAnsi="Book Antiqua" w:cs="Times New Roman"/>
      <w:lang w:eastAsia="en-AU"/>
    </w:rPr>
  </w:style>
  <w:style w:type="character" w:customStyle="1" w:styleId="st">
    <w:name w:val="st"/>
    <w:basedOn w:val="DefaultParagraphFont"/>
    <w:rsid w:val="00A97702"/>
  </w:style>
  <w:style w:type="paragraph" w:customStyle="1" w:styleId="StyleBlockTitle1Before0ptAfter0ptTopSinglesolid">
    <w:name w:val="Style BlockTitle1 + Before:  0 pt After:  0 pt Top: (Single solid..."/>
    <w:basedOn w:val="BlockTitle1"/>
    <w:rsid w:val="00A97702"/>
    <w:pPr>
      <w:pBdr>
        <w:top w:val="single" w:sz="4" w:space="6" w:color="auto"/>
        <w:left w:val="single" w:sz="4" w:space="4" w:color="auto"/>
        <w:bottom w:val="single" w:sz="4" w:space="6" w:color="auto"/>
        <w:right w:val="single" w:sz="4" w:space="4" w:color="auto"/>
      </w:pBdr>
      <w:shd w:val="clear" w:color="auto" w:fill="C6D9F1" w:themeFill="text2" w:themeFillTint="33"/>
      <w:spacing w:before="0" w:after="0"/>
    </w:pPr>
    <w:rPr>
      <w:bCs/>
      <w:szCs w:val="20"/>
    </w:rPr>
  </w:style>
  <w:style w:type="paragraph" w:customStyle="1" w:styleId="StyleBlockTitle1TopSinglesolidlineAuto05ptLinewid">
    <w:name w:val="Style BlockTitle1 + Top: (Single solid line Auto  0.5 pt Line wid..."/>
    <w:basedOn w:val="BlockTitle1"/>
    <w:autoRedefine/>
    <w:rsid w:val="00A97702"/>
    <w:pPr>
      <w:pBdr>
        <w:top w:val="single" w:sz="4" w:space="6" w:color="auto"/>
        <w:left w:val="single" w:sz="4" w:space="4" w:color="auto"/>
        <w:bottom w:val="single" w:sz="4" w:space="6" w:color="auto"/>
        <w:right w:val="single" w:sz="4" w:space="4" w:color="auto"/>
      </w:pBdr>
      <w:shd w:val="clear" w:color="auto" w:fill="C6D9F1" w:themeFill="text2" w:themeFillTint="33"/>
    </w:pPr>
    <w:rPr>
      <w:bCs/>
      <w:szCs w:val="20"/>
    </w:rPr>
  </w:style>
  <w:style w:type="paragraph" w:customStyle="1" w:styleId="StyletextLeft0cmHanging1cm">
    <w:name w:val="Style text + Left:  0 cm Hanging:  1 cm"/>
    <w:basedOn w:val="text"/>
    <w:autoRedefine/>
    <w:qFormat/>
    <w:rsid w:val="00A97702"/>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4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rccare.com/publications/technical_reports/hsl_tech_report.html"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cew.gov.au/nepms/assessment-of-site-contamination.html"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file:///C:\Users\Bruce\Documents\Documents\RobinsonTate\Assignments\NEPC\Edited%20Documents\Schedule%20B2\www.epa.gov\OSP\hstl\tsc\proucl-4-0-02-user.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2.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footer" Target="footer8.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4BE3-D7DE-4832-96D3-AF8C2D0A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INST_INS.DOTX</Template>
  <TotalTime>165</TotalTime>
  <Pages>87</Pages>
  <Words>30560</Words>
  <Characters>163196</Characters>
  <Application>Microsoft Office Word</Application>
  <DocSecurity>0</DocSecurity>
  <Lines>6276</Lines>
  <Paragraphs>4843</Paragraphs>
  <ScaleCrop>false</ScaleCrop>
  <HeadingPairs>
    <vt:vector size="2" baseType="variant">
      <vt:variant>
        <vt:lpstr>Title</vt:lpstr>
      </vt:variant>
      <vt:variant>
        <vt:i4>1</vt:i4>
      </vt:variant>
    </vt:vector>
  </HeadingPairs>
  <TitlesOfParts>
    <vt:vector size="1" baseType="lpstr">
      <vt:lpstr>National Environment Protection (Assessment of Site Contamination) Amendment Measure 2013 (No. A):Schedule B1</vt:lpstr>
    </vt:vector>
  </TitlesOfParts>
  <Company>Office of Parliamentary Counsel</Company>
  <LinksUpToDate>false</LinksUpToDate>
  <CharactersWithSpaces>188913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 Protection (Assessment of Site Contamination) Amendment Measure 2013 (No. A):Schedule B1</dc:title>
  <dc:creator>Larsen, Susan</dc:creator>
  <cp:lastModifiedBy>Anuj I. McFarland</cp:lastModifiedBy>
  <cp:revision>61</cp:revision>
  <cp:lastPrinted>2013-03-14T04:55:00Z</cp:lastPrinted>
  <dcterms:created xsi:type="dcterms:W3CDTF">2013-03-05T22:34:00Z</dcterms:created>
  <dcterms:modified xsi:type="dcterms:W3CDTF">2013-03-22T01:20:00Z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LI</vt:lpwstr>
  </property>
  <property fmtid="{D5CDD505-2E9C-101B-9397-08002B2CF9AE}" pid="3" name="ShortT">
    <vt:lpwstr>National Environment Protection (Assessment of Site Contamination) Amendment Measure 2013 (No. A):Schedule B1;</vt:lpwstr>
  </property>
  <property fmtid="{D5CDD505-2E9C-101B-9397-08002B2CF9AE}" pid="4" name="Class">
    <vt:lpwstr>By-Law</vt:lpwstr>
  </property>
  <property fmtid="{D5CDD505-2E9C-101B-9397-08002B2CF9AE}" pid="5" name="DocType">
    <vt:lpwstr>INS</vt:lpwstr>
  </property>
  <property fmtid="{D5CDD505-2E9C-101B-9397-08002B2CF9AE}" pid="6" name="ID">
    <vt:lpwstr>OPC50357</vt:lpwstr>
  </property>
  <property fmtid="{D5CDD505-2E9C-101B-9397-08002B2CF9AE}" pid="7" name="ActMadeUnder">
    <vt:lpwstr/>
  </property>
  <property fmtid="{D5CDD505-2E9C-101B-9397-08002B2CF9AE}" pid="8" name="NonLegInst">
    <vt:lpwstr>0</vt:lpwstr>
  </property>
  <property fmtid="{D5CDD505-2E9C-101B-9397-08002B2CF9AE}" pid="9" name="Classification">
    <vt:lpwstr>DRAFT-IN-CONFIDENCE</vt:lpwstr>
  </property>
</Properties>
</file>