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6B0" w:rsidRDefault="007636B0" w:rsidP="007C6B5D">
      <w:pPr>
        <w:ind w:left="-1134"/>
        <w:jc w:val="center"/>
      </w:pPr>
      <w:r>
        <w:rPr>
          <w:noProof/>
          <w:lang w:eastAsia="en-AU"/>
        </w:rPr>
        <mc:AlternateContent>
          <mc:Choice Requires="wps">
            <w:drawing>
              <wp:inline distT="0" distB="0" distL="0" distR="0">
                <wp:extent cx="6934200" cy="3924300"/>
                <wp:effectExtent l="0" t="0" r="0" b="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924300"/>
                        </a:xfrm>
                        <a:prstGeom prst="rect">
                          <a:avLst/>
                        </a:prstGeom>
                        <a:gradFill rotWithShape="1">
                          <a:gsLst>
                            <a:gs pos="0">
                              <a:srgbClr val="DDDDDD">
                                <a:alpha val="0"/>
                              </a:srgbClr>
                            </a:gs>
                            <a:gs pos="100000">
                              <a:srgbClr val="DDDDDD">
                                <a:gamma/>
                                <a:shade val="46275"/>
                                <a:invGamma/>
                                <a:alpha val="3400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97F" w:rsidRDefault="00A0097F" w:rsidP="007636B0">
                            <w:pPr>
                              <w:pStyle w:val="TitleHeading"/>
                              <w:ind w:left="0"/>
                              <w:jc w:val="both"/>
                              <w:rPr>
                                <w:rFonts w:ascii="Calibri" w:hAnsi="Calibri"/>
                                <w:color w:val="C0C0C0"/>
                                <w:sz w:val="30"/>
                                <w:szCs w:val="30"/>
                              </w:rPr>
                            </w:pP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National Environment Protection (Assessment of Site</w:t>
                            </w:r>
                            <w:r w:rsidRPr="00A76A0B">
                              <w:rPr>
                                <w:rFonts w:ascii="Calibri" w:hAnsi="Calibri"/>
                                <w:color w:val="C0C0C0"/>
                                <w:sz w:val="30"/>
                                <w:szCs w:val="30"/>
                              </w:rPr>
                              <w:t xml:space="preserve"> </w:t>
                            </w:r>
                            <w:r w:rsidRPr="00E70BF3">
                              <w:rPr>
                                <w:rFonts w:ascii="Calibri" w:hAnsi="Calibri"/>
                                <w:color w:val="C0C0C0"/>
                                <w:sz w:val="30"/>
                                <w:szCs w:val="30"/>
                              </w:rPr>
                              <w:t xml:space="preserve">Contamination) Measure </w:t>
                            </w:r>
                            <w:r w:rsidRPr="00F91573">
                              <w:rPr>
                                <w:rFonts w:ascii="Arial" w:hAnsi="Arial" w:cs="Arial"/>
                                <w:color w:val="C0C0C0"/>
                                <w:sz w:val="30"/>
                                <w:szCs w:val="30"/>
                              </w:rPr>
                              <w:t>1999</w:t>
                            </w:r>
                            <w:r>
                              <w:rPr>
                                <w:rFonts w:ascii="Calibri" w:hAnsi="Calibri"/>
                                <w:color w:val="C0C0C0"/>
                                <w:sz w:val="30"/>
                                <w:szCs w:val="30"/>
                              </w:rPr>
                              <w:t xml:space="preserve"> </w:t>
                            </w:r>
                            <w:r w:rsidRPr="00E70BF3">
                              <w:rPr>
                                <w:rFonts w:ascii="Book Antiqua" w:hAnsi="Book Antiqua"/>
                                <w:b w:val="0"/>
                                <w:bCs/>
                                <w:color w:val="C0C0C0"/>
                                <w:sz w:val="30"/>
                                <w:szCs w:val="30"/>
                              </w:rPr>
                              <w:t>National Environmen</w:t>
                            </w:r>
                            <w:r>
                              <w:rPr>
                                <w:rFonts w:ascii="Book Antiqua" w:hAnsi="Book Antiqua"/>
                                <w:b w:val="0"/>
                                <w:bCs/>
                                <w:color w:val="C0C0C0"/>
                                <w:sz w:val="30"/>
                                <w:szCs w:val="30"/>
                              </w:rPr>
                              <w:t>t Protection (Assessment of</w:t>
                            </w:r>
                            <w:r>
                              <w:rPr>
                                <w:rFonts w:ascii="Book Antiqua" w:hAnsi="Book Antiqua"/>
                                <w:b w:val="0"/>
                                <w:bCs/>
                                <w:color w:val="C0C0C0"/>
                                <w:sz w:val="30"/>
                                <w:szCs w:val="30"/>
                              </w:rPr>
                              <w:br/>
                            </w:r>
                          </w:p>
                          <w:p w:rsidR="00A0097F" w:rsidRPr="00E70BF3" w:rsidRDefault="00A0097F" w:rsidP="007636B0">
                            <w:pPr>
                              <w:pStyle w:val="TitleHeading"/>
                              <w:ind w:left="0"/>
                              <w:jc w:val="right"/>
                              <w:rPr>
                                <w:rFonts w:ascii="Calibri" w:hAnsi="Calibri"/>
                                <w:color w:val="C0C0C0"/>
                                <w:sz w:val="30"/>
                                <w:szCs w:val="30"/>
                              </w:rPr>
                            </w:pPr>
                            <w:r w:rsidRPr="000E0F3F">
                              <w:rPr>
                                <w:rFonts w:ascii="Georgia" w:eastAsia="Kozuka Mincho Pro B" w:hAnsi="Georgia"/>
                                <w:color w:val="000000"/>
                                <w:sz w:val="80"/>
                                <w:szCs w:val="80"/>
                              </w:rPr>
                              <w:t>Schedule B</w:t>
                            </w:r>
                            <w:r>
                              <w:rPr>
                                <w:rFonts w:ascii="Georgia" w:eastAsia="Kozuka Mincho Pro B" w:hAnsi="Georgia"/>
                                <w:color w:val="000000"/>
                                <w:sz w:val="80"/>
                                <w:szCs w:val="80"/>
                              </w:rPr>
                              <w:t>7</w:t>
                            </w:r>
                          </w:p>
                          <w:p w:rsidR="00A0097F" w:rsidRPr="00E70BF3" w:rsidRDefault="00A0097F" w:rsidP="007636B0">
                            <w:pPr>
                              <w:pStyle w:val="TitleHeading"/>
                              <w:ind w:left="0"/>
                              <w:jc w:val="both"/>
                              <w:rPr>
                                <w:rFonts w:ascii="Calibri" w:hAnsi="Calibri"/>
                                <w:color w:val="C0C0C0"/>
                                <w:sz w:val="30"/>
                                <w:szCs w:val="30"/>
                              </w:rPr>
                            </w:pPr>
                            <w:r w:rsidRPr="00E70BF3">
                              <w:rPr>
                                <w:rFonts w:ascii="Calibri" w:hAnsi="Calibri"/>
                                <w:color w:val="C0C0C0"/>
                                <w:sz w:val="30"/>
                                <w:szCs w:val="30"/>
                              </w:rPr>
                              <w:br/>
                            </w:r>
                          </w:p>
                          <w:p w:rsidR="00A0097F" w:rsidRPr="00E70BF3" w:rsidRDefault="00A0097F" w:rsidP="007636B0">
                            <w:pPr>
                              <w:pStyle w:val="TitleHeading"/>
                              <w:ind w:left="0"/>
                              <w:jc w:val="both"/>
                              <w:rPr>
                                <w:rFonts w:ascii="Calibri" w:hAnsi="Calibri"/>
                                <w:color w:val="C0C0C0"/>
                                <w:sz w:val="30"/>
                                <w:szCs w:val="30"/>
                              </w:rPr>
                            </w:pPr>
                          </w:p>
                          <w:p w:rsidR="00A0097F" w:rsidRPr="00E70BF3" w:rsidRDefault="00A0097F" w:rsidP="007636B0">
                            <w:pPr>
                              <w:pStyle w:val="TitleHeading"/>
                              <w:ind w:left="0"/>
                              <w:jc w:val="both"/>
                              <w:rPr>
                                <w:rFonts w:ascii="Calibri" w:hAnsi="Calibri"/>
                                <w:color w:val="C0C0C0"/>
                                <w:sz w:val="30"/>
                                <w:szCs w:val="30"/>
                              </w:rPr>
                            </w:pPr>
                          </w:p>
                          <w:p w:rsidR="00A0097F" w:rsidRPr="00E70BF3" w:rsidRDefault="00A0097F" w:rsidP="007636B0">
                            <w:pPr>
                              <w:rPr>
                                <w:color w:val="C0C0C0"/>
                                <w:sz w:val="30"/>
                                <w:szCs w:val="30"/>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546pt;height: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" fillcolor="#ddd" stroked="f">
                <v:fill opacity="0" color2="#666" o:opacity2="22282f" rotate="t" focus="100%" type="gradient"/>
                <v:textbox>
                  <w:txbxContent>
                    <w:p w:rsidR="009C6751" w:rsidRDefault="009C6751" w:rsidP="007636B0">
                      <w:pPr>
                        <w:pStyle w:val="TitleHeading"/>
                        <w:ind w:left="0"/>
                        <w:jc w:val="both"/>
                        <w:rPr>
                          <w:rFonts w:ascii="Calibri" w:hAnsi="Calibri"/>
                          <w:color w:val="C0C0C0"/>
                          <w:sz w:val="30"/>
                          <w:szCs w:val="30"/>
                        </w:rPr>
                      </w:pP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National Environment Protection (Assessment of Site</w:t>
                      </w:r>
                      <w:r w:rsidRPr="00A76A0B">
                        <w:rPr>
                          <w:rFonts w:ascii="Calibri" w:hAnsi="Calibri"/>
                          <w:color w:val="C0C0C0"/>
                          <w:sz w:val="30"/>
                          <w:szCs w:val="30"/>
                        </w:rPr>
                        <w:t xml:space="preserve"> </w:t>
                      </w:r>
                      <w:r w:rsidRPr="00E70BF3">
                        <w:rPr>
                          <w:rFonts w:ascii="Calibri" w:hAnsi="Calibri"/>
                          <w:color w:val="C0C0C0"/>
                          <w:sz w:val="30"/>
                          <w:szCs w:val="30"/>
                        </w:rPr>
                        <w:t xml:space="preserve">Contamination) Measure </w:t>
                      </w:r>
                      <w:r w:rsidRPr="00F91573">
                        <w:rPr>
                          <w:rFonts w:ascii="Arial" w:hAnsi="Arial" w:cs="Arial"/>
                          <w:color w:val="C0C0C0"/>
                          <w:sz w:val="30"/>
                          <w:szCs w:val="30"/>
                        </w:rPr>
                        <w:t>1999</w:t>
                      </w:r>
                      <w:r>
                        <w:rPr>
                          <w:rFonts w:ascii="Calibri" w:hAnsi="Calibri"/>
                          <w:color w:val="C0C0C0"/>
                          <w:sz w:val="30"/>
                          <w:szCs w:val="30"/>
                        </w:rPr>
                        <w:t xml:space="preserve"> </w:t>
                      </w:r>
                      <w:r w:rsidRPr="00E70BF3">
                        <w:rPr>
                          <w:rFonts w:ascii="Book Antiqua" w:hAnsi="Book Antiqua"/>
                          <w:b w:val="0"/>
                          <w:bCs/>
                          <w:color w:val="C0C0C0"/>
                          <w:sz w:val="30"/>
                          <w:szCs w:val="30"/>
                        </w:rPr>
                        <w:t>National Environmen</w:t>
                      </w:r>
                      <w:r>
                        <w:rPr>
                          <w:rFonts w:ascii="Book Antiqua" w:hAnsi="Book Antiqua"/>
                          <w:b w:val="0"/>
                          <w:bCs/>
                          <w:color w:val="C0C0C0"/>
                          <w:sz w:val="30"/>
                          <w:szCs w:val="30"/>
                        </w:rPr>
                        <w:t>t Protection (Assessment of</w:t>
                      </w:r>
                      <w:r>
                        <w:rPr>
                          <w:rFonts w:ascii="Book Antiqua" w:hAnsi="Book Antiqua"/>
                          <w:b w:val="0"/>
                          <w:bCs/>
                          <w:color w:val="C0C0C0"/>
                          <w:sz w:val="30"/>
                          <w:szCs w:val="30"/>
                        </w:rPr>
                        <w:br/>
                      </w:r>
                    </w:p>
                    <w:p w:rsidR="009C6751" w:rsidRPr="00E70BF3" w:rsidRDefault="009C6751" w:rsidP="007636B0">
                      <w:pPr>
                        <w:pStyle w:val="TitleHeading"/>
                        <w:ind w:left="0"/>
                        <w:jc w:val="right"/>
                        <w:rPr>
                          <w:rFonts w:ascii="Calibri" w:hAnsi="Calibri"/>
                          <w:color w:val="C0C0C0"/>
                          <w:sz w:val="30"/>
                          <w:szCs w:val="30"/>
                        </w:rPr>
                      </w:pPr>
                      <w:r w:rsidRPr="000E0F3F">
                        <w:rPr>
                          <w:rFonts w:ascii="Georgia" w:eastAsia="Kozuka Mincho Pro B" w:hAnsi="Georgia"/>
                          <w:color w:val="000000"/>
                          <w:sz w:val="80"/>
                          <w:szCs w:val="80"/>
                        </w:rPr>
                        <w:t>Schedule B</w:t>
                      </w:r>
                      <w:r>
                        <w:rPr>
                          <w:rFonts w:ascii="Georgia" w:eastAsia="Kozuka Mincho Pro B" w:hAnsi="Georgia"/>
                          <w:color w:val="000000"/>
                          <w:sz w:val="80"/>
                          <w:szCs w:val="80"/>
                        </w:rPr>
                        <w:t>7</w:t>
                      </w:r>
                    </w:p>
                    <w:p w:rsidR="009C6751" w:rsidRPr="00E70BF3" w:rsidRDefault="009C6751" w:rsidP="007636B0">
                      <w:pPr>
                        <w:pStyle w:val="TitleHeading"/>
                        <w:ind w:left="0"/>
                        <w:jc w:val="both"/>
                        <w:rPr>
                          <w:rFonts w:ascii="Calibri" w:hAnsi="Calibri"/>
                          <w:color w:val="C0C0C0"/>
                          <w:sz w:val="30"/>
                          <w:szCs w:val="30"/>
                        </w:rPr>
                      </w:pPr>
                      <w:r w:rsidRPr="00E70BF3">
                        <w:rPr>
                          <w:rFonts w:ascii="Calibri" w:hAnsi="Calibri"/>
                          <w:color w:val="C0C0C0"/>
                          <w:sz w:val="30"/>
                          <w:szCs w:val="30"/>
                        </w:rPr>
                        <w:br/>
                      </w:r>
                    </w:p>
                    <w:p w:rsidR="009C6751" w:rsidRPr="00E70BF3" w:rsidRDefault="009C6751" w:rsidP="007636B0">
                      <w:pPr>
                        <w:pStyle w:val="TitleHeading"/>
                        <w:ind w:left="0"/>
                        <w:jc w:val="both"/>
                        <w:rPr>
                          <w:rFonts w:ascii="Calibri" w:hAnsi="Calibri"/>
                          <w:color w:val="C0C0C0"/>
                          <w:sz w:val="30"/>
                          <w:szCs w:val="30"/>
                        </w:rPr>
                      </w:pPr>
                    </w:p>
                    <w:p w:rsidR="009C6751" w:rsidRPr="00E70BF3" w:rsidRDefault="009C6751" w:rsidP="007636B0">
                      <w:pPr>
                        <w:pStyle w:val="TitleHeading"/>
                        <w:ind w:left="0"/>
                        <w:jc w:val="both"/>
                        <w:rPr>
                          <w:rFonts w:ascii="Calibri" w:hAnsi="Calibri"/>
                          <w:color w:val="C0C0C0"/>
                          <w:sz w:val="30"/>
                          <w:szCs w:val="30"/>
                        </w:rPr>
                      </w:pPr>
                    </w:p>
                    <w:p w:rsidR="009C6751" w:rsidRPr="00E70BF3" w:rsidRDefault="009C6751" w:rsidP="007636B0">
                      <w:pPr>
                        <w:rPr>
                          <w:color w:val="C0C0C0"/>
                          <w:sz w:val="30"/>
                          <w:szCs w:val="30"/>
                        </w:rPr>
                      </w:pPr>
                    </w:p>
                  </w:txbxContent>
                </v:textbox>
                <w10:anchorlock/>
              </v:shape>
            </w:pict>
          </mc:Fallback>
        </mc:AlternateContent>
      </w:r>
    </w:p>
    <w:p w:rsidR="007636B0" w:rsidRPr="003F4DD3" w:rsidRDefault="007636B0" w:rsidP="009C6751">
      <w:pPr>
        <w:ind w:left="-1134" w:right="-285"/>
        <w:jc w:val="right"/>
      </w:pPr>
      <w:r>
        <w:rPr>
          <w:noProof/>
          <w:lang w:eastAsia="en-AU"/>
        </w:rPr>
        <mc:AlternateContent>
          <mc:Choice Requires="wps">
            <w:drawing>
              <wp:inline distT="0" distB="0" distL="0" distR="0" wp14:anchorId="356AEF47" wp14:editId="626A4C49">
                <wp:extent cx="0" cy="1828800"/>
                <wp:effectExtent l="38100" t="0" r="38100" b="0"/>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76200">
                          <a:solidFill>
                            <a:srgbClr val="808080"/>
                          </a:solidFill>
                          <a:prstDash val="dash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0,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" strokecolor="gray" strokeweight="6pt">
                <v:stroke dashstyle="dashDot"/>
                <w10:anchorlock/>
              </v:line>
            </w:pict>
          </mc:Fallback>
        </mc:AlternateContent>
      </w:r>
      <w:r w:rsidR="007C6B5D">
        <w:rPr>
          <w:noProof/>
          <w:lang w:eastAsia="en-AU"/>
        </w:rPr>
        <mc:AlternateContent>
          <mc:Choice Requires="wps">
            <w:drawing>
              <wp:inline distT="0" distB="0" distL="0" distR="0" wp14:anchorId="6FBF7868" wp14:editId="1F7B3302">
                <wp:extent cx="0" cy="504825"/>
                <wp:effectExtent l="38100" t="0" r="38100" b="0"/>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line">
                          <a:avLst/>
                        </a:prstGeom>
                        <a:noFill/>
                        <a:ln w="76200">
                          <a:solidFill>
                            <a:srgbClr val="808080"/>
                          </a:solidFill>
                          <a:prstDash val="dash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0,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" strokecolor="gray" strokeweight="6pt">
                <v:stroke dashstyle="dashDot"/>
                <w10:anchorlock/>
              </v:line>
            </w:pict>
          </mc:Fallback>
        </mc:AlternateContent>
      </w:r>
    </w:p>
    <w:p w:rsidR="007636B0" w:rsidRPr="003F4DD3" w:rsidRDefault="007636B0" w:rsidP="007C6B5D">
      <w:pPr>
        <w:ind w:left="-1560"/>
      </w:pPr>
      <w:r>
        <w:rPr>
          <w:noProof/>
          <w:lang w:eastAsia="en-AU"/>
        </w:rPr>
        <mc:AlternateContent>
          <mc:Choice Requires="wps">
            <w:drawing>
              <wp:inline distT="0" distB="0" distL="0" distR="0" wp14:anchorId="787CC41C" wp14:editId="657C51C4">
                <wp:extent cx="7429500" cy="2360930"/>
                <wp:effectExtent l="0" t="0" r="19050" b="2032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2360930"/>
                        </a:xfrm>
                        <a:prstGeom prst="rect">
                          <a:avLst/>
                        </a:prstGeom>
                        <a:solidFill>
                          <a:srgbClr val="FFFFFF"/>
                        </a:solidFill>
                        <a:ln w="9525">
                          <a:solidFill>
                            <a:srgbClr val="808080"/>
                          </a:solidFill>
                          <a:miter lim="800000"/>
                          <a:headEnd/>
                          <a:tailEnd/>
                        </a:ln>
                      </wps:spPr>
                      <wps:txbx>
                        <w:txbxContent>
                          <w:p w:rsidR="00A0097F" w:rsidRPr="000E0F3F" w:rsidRDefault="00A0097F" w:rsidP="007636B0">
                            <w:pPr>
                              <w:pStyle w:val="TitleHeading"/>
                              <w:spacing w:before="240"/>
                              <w:ind w:left="0" w:right="284"/>
                              <w:jc w:val="right"/>
                              <w:rPr>
                                <w:spacing w:val="60"/>
                                <w:sz w:val="50"/>
                                <w:szCs w:val="50"/>
                              </w:rPr>
                            </w:pPr>
                            <w:r>
                              <w:rPr>
                                <w:spacing w:val="60"/>
                                <w:sz w:val="50"/>
                                <w:szCs w:val="50"/>
                              </w:rPr>
                              <w:t>APPENDIX A4</w:t>
                            </w:r>
                          </w:p>
                          <w:p w:rsidR="00A0097F" w:rsidRDefault="00A0097F" w:rsidP="007636B0">
                            <w:pPr>
                              <w:pStyle w:val="TitleHeading"/>
                              <w:ind w:left="0" w:right="284"/>
                              <w:jc w:val="left"/>
                              <w:rPr>
                                <w:color w:val="CC0066"/>
                                <w:spacing w:val="60"/>
                                <w:sz w:val="50"/>
                                <w:szCs w:val="50"/>
                              </w:rPr>
                            </w:pPr>
                          </w:p>
                          <w:p w:rsidR="00A0097F" w:rsidRPr="003711A3" w:rsidRDefault="00A0097F" w:rsidP="007636B0">
                            <w:pPr>
                              <w:pStyle w:val="TitleHeading"/>
                              <w:ind w:left="0" w:right="284"/>
                              <w:jc w:val="right"/>
                              <w:rPr>
                                <w:color w:val="CC0066"/>
                                <w:spacing w:val="60"/>
                                <w:sz w:val="50"/>
                                <w:szCs w:val="50"/>
                              </w:rPr>
                            </w:pPr>
                            <w:r>
                              <w:rPr>
                                <w:color w:val="CC0066"/>
                                <w:spacing w:val="60"/>
                                <w:sz w:val="50"/>
                                <w:szCs w:val="50"/>
                              </w:rPr>
                              <w:t>The Derivation of HILs</w:t>
                            </w:r>
                            <w:r>
                              <w:rPr>
                                <w:color w:val="CC0066"/>
                                <w:spacing w:val="60"/>
                                <w:sz w:val="50"/>
                                <w:szCs w:val="50"/>
                              </w:rPr>
                              <w:br/>
                              <w:t>for Herbicides and Other Pesticides</w:t>
                            </w:r>
                          </w:p>
                          <w:p w:rsidR="00A0097F" w:rsidRPr="00B72F2E" w:rsidRDefault="00A0097F" w:rsidP="007636B0">
                            <w:pPr>
                              <w:jc w:val="right"/>
                              <w:rPr>
                                <w:sz w:val="60"/>
                                <w:szCs w:val="60"/>
                              </w:rPr>
                            </w:pPr>
                          </w:p>
                          <w:p w:rsidR="00A0097F" w:rsidRPr="002830CA" w:rsidRDefault="00A0097F" w:rsidP="007636B0">
                            <w:pPr>
                              <w:rPr>
                                <w:szCs w:val="60"/>
                              </w:rPr>
                            </w:pPr>
                          </w:p>
                        </w:txbxContent>
                      </wps:txbx>
                      <wps:bodyPr rot="0" vert="horz" wrap="square" lIns="91440" tIns="45720" rIns="91440" bIns="45720" anchor="t" anchorCtr="0" upright="1">
                        <a:noAutofit/>
                      </wps:bodyPr>
                    </wps:wsp>
                  </a:graphicData>
                </a:graphic>
              </wp:inline>
            </w:drawing>
          </mc:Choice>
          <mc:Fallback>
            <w:pict>
              <v:shape id="Text Box 12" o:spid="_x0000_s1027" type="#_x0000_t202" style="width:585pt;height:1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" strokecolor="gray">
                <v:textbox>
                  <w:txbxContent>
                    <w:p w:rsidR="009C6751" w:rsidRPr="000E0F3F" w:rsidRDefault="009C6751" w:rsidP="007636B0">
                      <w:pPr>
                        <w:pStyle w:val="TitleHeading"/>
                        <w:spacing w:before="240"/>
                        <w:ind w:left="0" w:right="284"/>
                        <w:jc w:val="right"/>
                        <w:rPr>
                          <w:spacing w:val="60"/>
                          <w:sz w:val="50"/>
                          <w:szCs w:val="50"/>
                        </w:rPr>
                      </w:pPr>
                      <w:r>
                        <w:rPr>
                          <w:spacing w:val="60"/>
                          <w:sz w:val="50"/>
                          <w:szCs w:val="50"/>
                        </w:rPr>
                        <w:t>APPENDIX A4</w:t>
                      </w:r>
                    </w:p>
                    <w:p w:rsidR="009C6751" w:rsidRDefault="009C6751" w:rsidP="007636B0">
                      <w:pPr>
                        <w:pStyle w:val="TitleHeading"/>
                        <w:ind w:left="0" w:right="284"/>
                        <w:jc w:val="left"/>
                        <w:rPr>
                          <w:color w:val="CC0066"/>
                          <w:spacing w:val="60"/>
                          <w:sz w:val="50"/>
                          <w:szCs w:val="50"/>
                        </w:rPr>
                      </w:pPr>
                    </w:p>
                    <w:p w:rsidR="009C6751" w:rsidRPr="003711A3" w:rsidRDefault="009C6751" w:rsidP="007636B0">
                      <w:pPr>
                        <w:pStyle w:val="TitleHeading"/>
                        <w:ind w:left="0" w:right="284"/>
                        <w:jc w:val="right"/>
                        <w:rPr>
                          <w:color w:val="CC0066"/>
                          <w:spacing w:val="60"/>
                          <w:sz w:val="50"/>
                          <w:szCs w:val="50"/>
                        </w:rPr>
                      </w:pPr>
                      <w:r>
                        <w:rPr>
                          <w:color w:val="CC0066"/>
                          <w:spacing w:val="60"/>
                          <w:sz w:val="50"/>
                          <w:szCs w:val="50"/>
                        </w:rPr>
                        <w:t>The Derivation of HILs</w:t>
                      </w:r>
                      <w:r>
                        <w:rPr>
                          <w:color w:val="CC0066"/>
                          <w:spacing w:val="60"/>
                          <w:sz w:val="50"/>
                          <w:szCs w:val="50"/>
                        </w:rPr>
                        <w:br/>
                        <w:t>for Herbicides and Other Pesticides</w:t>
                      </w:r>
                    </w:p>
                    <w:p w:rsidR="009C6751" w:rsidRPr="00B72F2E" w:rsidRDefault="009C6751" w:rsidP="007636B0">
                      <w:pPr>
                        <w:jc w:val="right"/>
                        <w:rPr>
                          <w:sz w:val="60"/>
                          <w:szCs w:val="60"/>
                        </w:rPr>
                      </w:pPr>
                    </w:p>
                    <w:p w:rsidR="009C6751" w:rsidRPr="002830CA" w:rsidRDefault="009C6751" w:rsidP="007636B0">
                      <w:pPr>
                        <w:rPr>
                          <w:szCs w:val="60"/>
                        </w:rPr>
                      </w:pPr>
                    </w:p>
                  </w:txbxContent>
                </v:textbox>
                <w10:anchorlock/>
              </v:shape>
            </w:pict>
          </mc:Fallback>
        </mc:AlternateContent>
      </w:r>
    </w:p>
    <w:p w:rsidR="007636B0" w:rsidRPr="003F4DD3" w:rsidRDefault="007636B0" w:rsidP="007C6B5D">
      <w:pPr>
        <w:ind w:left="-1560"/>
      </w:pPr>
    </w:p>
    <w:p w:rsidR="007636B0" w:rsidRPr="003F4DD3" w:rsidRDefault="007636B0" w:rsidP="007636B0"/>
    <w:p w:rsidR="007636B0" w:rsidRPr="003F4DD3" w:rsidRDefault="007636B0" w:rsidP="007636B0">
      <w:pPr>
        <w:pStyle w:val="text"/>
      </w:pPr>
    </w:p>
    <w:p w:rsidR="007636B0" w:rsidRPr="003F4DD3" w:rsidRDefault="007636B0" w:rsidP="007636B0">
      <w:pPr>
        <w:pStyle w:val="text"/>
        <w:rPr>
          <w:rFonts w:ascii="Arial" w:hAnsi="Arial" w:cs="Arial"/>
        </w:rPr>
      </w:pPr>
    </w:p>
    <w:p w:rsidR="007636B0" w:rsidRPr="003F4DD3" w:rsidRDefault="007636B0" w:rsidP="007636B0">
      <w:pPr>
        <w:sectPr w:rsidR="007636B0" w:rsidRPr="003F4DD3" w:rsidSect="007636B0">
          <w:footerReference w:type="even" r:id="rId9"/>
          <w:footerReference w:type="default" r:id="rId10"/>
          <w:headerReference w:type="first" r:id="rId11"/>
          <w:pgSz w:w="11906" w:h="16838" w:code="9"/>
          <w:pgMar w:top="1134" w:right="1418" w:bottom="1134" w:left="1701" w:header="720" w:footer="720" w:gutter="0"/>
          <w:cols w:space="720"/>
        </w:sectPr>
      </w:pPr>
    </w:p>
    <w:p w:rsidR="007636B0" w:rsidRPr="003F4DD3" w:rsidRDefault="007636B0" w:rsidP="0006666F">
      <w:pPr>
        <w:pStyle w:val="TOC1"/>
      </w:pPr>
      <w:r>
        <w:rPr>
          <w:noProof/>
        </w:rPr>
        <w:lastRenderedPageBreak/>
        <mc:AlternateContent>
          <mc:Choice Requires="wps">
            <w:drawing>
              <wp:anchor distT="0" distB="0" distL="114300" distR="114300" simplePos="0" relativeHeight="251661312" behindDoc="0" locked="0" layoutInCell="0" allowOverlap="1">
                <wp:simplePos x="0" y="0"/>
                <wp:positionH relativeFrom="page">
                  <wp:posOffset>914400</wp:posOffset>
                </wp:positionH>
                <wp:positionV relativeFrom="page">
                  <wp:posOffset>833755</wp:posOffset>
                </wp:positionV>
                <wp:extent cx="6126480" cy="1328420"/>
                <wp:effectExtent l="0" t="0" r="26670" b="2413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328420"/>
                        </a:xfrm>
                        <a:prstGeom prst="rect">
                          <a:avLst/>
                        </a:prstGeom>
                        <a:noFill/>
                        <a:ln w="9525">
                          <a:solidFill>
                            <a:srgbClr val="000000"/>
                          </a:solidFill>
                          <a:miter lim="800000"/>
                          <a:headEnd/>
                          <a:tailEnd/>
                        </a:ln>
                        <a:extLst>
                          <a:ext uri="{909E8E84-426E-40DD-AFC4-6F175D3DCCD1}">
                            <a14:hiddenFill xmlns:a14="http://schemas.microsoft.com/office/drawing/2010/main">
                              <a:gradFill rotWithShape="0">
                                <a:gsLst>
                                  <a:gs pos="0">
                                    <a:srgbClr val="FFFFFF">
                                      <a:gamma/>
                                      <a:shade val="46275"/>
                                      <a:invGamma/>
                                    </a:srgbClr>
                                  </a:gs>
                                  <a:gs pos="100000">
                                    <a:srgbClr val="FFFFFF"/>
                                  </a:gs>
                                </a:gsLst>
                                <a:lin ang="5400000" scaled="1"/>
                              </a:gradFill>
                            </a14:hiddenFill>
                          </a:ext>
                        </a:extLst>
                      </wps:spPr>
                      <wps:txbx>
                        <w:txbxContent>
                          <w:p w:rsidR="00A0097F" w:rsidRPr="00E025E6" w:rsidRDefault="00A0097F" w:rsidP="007636B0">
                            <w:pPr>
                              <w:jc w:val="center"/>
                              <w:rPr>
                                <w:rFonts w:ascii="Arial" w:hAnsi="Arial" w:cs="Arial"/>
                                <w:b/>
                                <w:sz w:val="32"/>
                                <w:szCs w:val="32"/>
                              </w:rPr>
                            </w:pPr>
                            <w:r w:rsidRPr="00E025E6">
                              <w:rPr>
                                <w:rFonts w:ascii="Arial" w:hAnsi="Arial" w:cs="Arial"/>
                                <w:b/>
                                <w:sz w:val="32"/>
                                <w:szCs w:val="32"/>
                              </w:rPr>
                              <w:t>Contents</w:t>
                            </w:r>
                          </w:p>
                          <w:p w:rsidR="00A0097F" w:rsidRPr="00E025E6" w:rsidRDefault="00A0097F" w:rsidP="007636B0">
                            <w:pPr>
                              <w:jc w:val="center"/>
                              <w:rPr>
                                <w:rFonts w:ascii="Arial" w:hAnsi="Arial" w:cs="Arial"/>
                                <w:b/>
                                <w:sz w:val="32"/>
                                <w:szCs w:val="32"/>
                              </w:rPr>
                            </w:pPr>
                            <w:r>
                              <w:rPr>
                                <w:rFonts w:ascii="Arial" w:hAnsi="Arial" w:cs="Arial"/>
                                <w:b/>
                                <w:sz w:val="32"/>
                                <w:szCs w:val="32"/>
                              </w:rPr>
                              <w:t>The derivation of HILs for herbicides and other pesticides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1in;margin-top:65.65pt;width:482.4pt;height:104.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" o:allowincell="f" filled="f" fillcolor="#767676">
                <v:fill focus="100%" type="gradient"/>
                <v:textbox>
                  <w:txbxContent>
                    <w:p w:rsidR="00A0097F" w:rsidRPr="00E025E6" w:rsidRDefault="00A0097F" w:rsidP="007636B0">
                      <w:pPr>
                        <w:jc w:val="center"/>
                        <w:rPr>
                          <w:rFonts w:ascii="Arial" w:hAnsi="Arial" w:cs="Arial"/>
                          <w:b/>
                          <w:sz w:val="32"/>
                          <w:szCs w:val="32"/>
                        </w:rPr>
                      </w:pPr>
                      <w:r w:rsidRPr="00E025E6">
                        <w:rPr>
                          <w:rFonts w:ascii="Arial" w:hAnsi="Arial" w:cs="Arial"/>
                          <w:b/>
                          <w:sz w:val="32"/>
                          <w:szCs w:val="32"/>
                        </w:rPr>
                        <w:t>Contents</w:t>
                      </w:r>
                    </w:p>
                    <w:p w:rsidR="00A0097F" w:rsidRPr="00E025E6" w:rsidRDefault="00A0097F" w:rsidP="007636B0">
                      <w:pPr>
                        <w:jc w:val="center"/>
                        <w:rPr>
                          <w:rFonts w:ascii="Arial" w:hAnsi="Arial" w:cs="Arial"/>
                          <w:b/>
                          <w:sz w:val="32"/>
                          <w:szCs w:val="32"/>
                        </w:rPr>
                      </w:pPr>
                      <w:r>
                        <w:rPr>
                          <w:rFonts w:ascii="Arial" w:hAnsi="Arial" w:cs="Arial"/>
                          <w:b/>
                          <w:sz w:val="32"/>
                          <w:szCs w:val="32"/>
                        </w:rPr>
                        <w:t>The derivation of HILs for herbicides and other pesticides</w:t>
                      </w:r>
                    </w:p>
                  </w:txbxContent>
                </v:textbox>
                <w10:wrap type="square" anchorx="page" anchory="page"/>
              </v:shape>
            </w:pict>
          </mc:Fallback>
        </mc:AlternateContent>
      </w:r>
      <w:r w:rsidR="0006666F">
        <w:tab/>
      </w:r>
      <w:r w:rsidR="0006666F">
        <w:tab/>
      </w:r>
      <w:r w:rsidRPr="003F4DD3">
        <w:t>Page</w:t>
      </w:r>
    </w:p>
    <w:p w:rsidR="00297258" w:rsidRDefault="0006666F" w:rsidP="00297258">
      <w:pPr>
        <w:pStyle w:val="TOC1"/>
        <w:keepNext w:val="0"/>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297258">
        <w:rPr>
          <w:noProof/>
        </w:rPr>
        <w:t>1</w:t>
      </w:r>
      <w:r w:rsidR="00297258">
        <w:rPr>
          <w:rFonts w:asciiTheme="minorHAnsi" w:eastAsiaTheme="minorEastAsia" w:hAnsiTheme="minorHAnsi" w:cstheme="minorBidi"/>
          <w:b w:val="0"/>
          <w:noProof/>
          <w:kern w:val="0"/>
          <w:sz w:val="22"/>
          <w:szCs w:val="22"/>
        </w:rPr>
        <w:tab/>
      </w:r>
      <w:r w:rsidR="00297258">
        <w:rPr>
          <w:noProof/>
        </w:rPr>
        <w:t>2,4,5-T</w:t>
      </w:r>
      <w:r w:rsidR="00297258">
        <w:rPr>
          <w:noProof/>
        </w:rPr>
        <w:tab/>
      </w:r>
      <w:r w:rsidR="00297258">
        <w:rPr>
          <w:noProof/>
        </w:rPr>
        <w:fldChar w:fldCharType="begin"/>
      </w:r>
      <w:r w:rsidR="00297258">
        <w:rPr>
          <w:noProof/>
        </w:rPr>
        <w:instrText xml:space="preserve"> PAGEREF _Toc351714241 \h </w:instrText>
      </w:r>
      <w:r w:rsidR="00297258">
        <w:rPr>
          <w:noProof/>
        </w:rPr>
      </w:r>
      <w:r w:rsidR="00297258">
        <w:rPr>
          <w:noProof/>
        </w:rPr>
        <w:fldChar w:fldCharType="separate"/>
      </w:r>
      <w:r w:rsidR="00F46106">
        <w:rPr>
          <w:noProof/>
        </w:rPr>
        <w:t>1</w:t>
      </w:r>
      <w:r w:rsidR="00297258">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1.1</w:t>
      </w:r>
      <w:r>
        <w:rPr>
          <w:rFonts w:asciiTheme="minorHAnsi" w:eastAsiaTheme="minorEastAsia" w:hAnsiTheme="minorHAnsi" w:cstheme="minorBidi"/>
          <w:b w:val="0"/>
          <w:noProof/>
          <w:kern w:val="0"/>
          <w:sz w:val="22"/>
          <w:szCs w:val="22"/>
        </w:rPr>
        <w:tab/>
      </w:r>
      <w:r>
        <w:rPr>
          <w:noProof/>
        </w:rPr>
        <w:t>General</w:t>
      </w:r>
      <w:r>
        <w:rPr>
          <w:noProof/>
        </w:rPr>
        <w:tab/>
      </w:r>
      <w:r>
        <w:rPr>
          <w:noProof/>
        </w:rPr>
        <w:fldChar w:fldCharType="begin"/>
      </w:r>
      <w:r>
        <w:rPr>
          <w:noProof/>
        </w:rPr>
        <w:instrText xml:space="preserve"> PAGEREF _Toc351714242 \h </w:instrText>
      </w:r>
      <w:r>
        <w:rPr>
          <w:noProof/>
        </w:rPr>
      </w:r>
      <w:r>
        <w:rPr>
          <w:noProof/>
        </w:rPr>
        <w:fldChar w:fldCharType="separate"/>
      </w:r>
      <w:r w:rsidR="00F46106">
        <w:rPr>
          <w:noProof/>
        </w:rPr>
        <w:t>1</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1.2</w:t>
      </w:r>
      <w:r>
        <w:rPr>
          <w:rFonts w:asciiTheme="minorHAnsi" w:eastAsiaTheme="minorEastAsia" w:hAnsiTheme="minorHAnsi" w:cstheme="minorBidi"/>
          <w:b w:val="0"/>
          <w:noProof/>
          <w:kern w:val="0"/>
          <w:sz w:val="22"/>
          <w:szCs w:val="22"/>
        </w:rPr>
        <w:tab/>
      </w:r>
      <w:r>
        <w:rPr>
          <w:noProof/>
        </w:rPr>
        <w:t>Previous HIL</w:t>
      </w:r>
      <w:r>
        <w:rPr>
          <w:noProof/>
        </w:rPr>
        <w:tab/>
      </w:r>
      <w:r>
        <w:rPr>
          <w:noProof/>
        </w:rPr>
        <w:fldChar w:fldCharType="begin"/>
      </w:r>
      <w:r>
        <w:rPr>
          <w:noProof/>
        </w:rPr>
        <w:instrText xml:space="preserve"> PAGEREF _Toc351714243 \h </w:instrText>
      </w:r>
      <w:r>
        <w:rPr>
          <w:noProof/>
        </w:rPr>
      </w:r>
      <w:r>
        <w:rPr>
          <w:noProof/>
        </w:rPr>
        <w:fldChar w:fldCharType="separate"/>
      </w:r>
      <w:r w:rsidR="00F46106">
        <w:rPr>
          <w:noProof/>
        </w:rPr>
        <w:t>1</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1.3</w:t>
      </w:r>
      <w:r>
        <w:rPr>
          <w:rFonts w:asciiTheme="minorHAnsi" w:eastAsiaTheme="minorEastAsia" w:hAnsiTheme="minorHAnsi" w:cstheme="minorBidi"/>
          <w:b w:val="0"/>
          <w:noProof/>
          <w:kern w:val="0"/>
          <w:sz w:val="22"/>
          <w:szCs w:val="22"/>
        </w:rPr>
        <w:tab/>
      </w:r>
      <w:r>
        <w:rPr>
          <w:noProof/>
        </w:rPr>
        <w:t>Significance of Exposure Pathways</w:t>
      </w:r>
      <w:r>
        <w:rPr>
          <w:noProof/>
        </w:rPr>
        <w:tab/>
      </w:r>
      <w:r>
        <w:rPr>
          <w:noProof/>
        </w:rPr>
        <w:fldChar w:fldCharType="begin"/>
      </w:r>
      <w:r>
        <w:rPr>
          <w:noProof/>
        </w:rPr>
        <w:instrText xml:space="preserve"> PAGEREF _Toc351714244 \h </w:instrText>
      </w:r>
      <w:r>
        <w:rPr>
          <w:noProof/>
        </w:rPr>
      </w:r>
      <w:r>
        <w:rPr>
          <w:noProof/>
        </w:rPr>
        <w:fldChar w:fldCharType="separate"/>
      </w:r>
      <w:r w:rsidR="00F46106">
        <w:rPr>
          <w:noProof/>
        </w:rPr>
        <w:t>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1.3.1</w:t>
      </w:r>
      <w:r>
        <w:rPr>
          <w:rFonts w:asciiTheme="minorHAnsi" w:eastAsiaTheme="minorEastAsia" w:hAnsiTheme="minorHAnsi" w:cstheme="minorBidi"/>
          <w:b w:val="0"/>
          <w:noProof/>
          <w:kern w:val="0"/>
          <w:szCs w:val="22"/>
        </w:rPr>
        <w:tab/>
      </w:r>
      <w:r>
        <w:rPr>
          <w:noProof/>
        </w:rPr>
        <w:t>Oral Bioavailability</w:t>
      </w:r>
      <w:r>
        <w:rPr>
          <w:noProof/>
        </w:rPr>
        <w:tab/>
      </w:r>
      <w:r>
        <w:rPr>
          <w:noProof/>
        </w:rPr>
        <w:fldChar w:fldCharType="begin"/>
      </w:r>
      <w:r>
        <w:rPr>
          <w:noProof/>
        </w:rPr>
        <w:instrText xml:space="preserve"> PAGEREF _Toc351714245 \h </w:instrText>
      </w:r>
      <w:r>
        <w:rPr>
          <w:noProof/>
        </w:rPr>
      </w:r>
      <w:r>
        <w:rPr>
          <w:noProof/>
        </w:rPr>
        <w:fldChar w:fldCharType="separate"/>
      </w:r>
      <w:r w:rsidR="00F46106">
        <w:rPr>
          <w:noProof/>
        </w:rPr>
        <w:t>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1.3.2</w:t>
      </w:r>
      <w:r>
        <w:rPr>
          <w:rFonts w:asciiTheme="minorHAnsi" w:eastAsiaTheme="minorEastAsia" w:hAnsiTheme="minorHAnsi" w:cstheme="minorBidi"/>
          <w:b w:val="0"/>
          <w:noProof/>
          <w:kern w:val="0"/>
          <w:szCs w:val="22"/>
        </w:rPr>
        <w:tab/>
      </w:r>
      <w:r>
        <w:rPr>
          <w:noProof/>
        </w:rPr>
        <w:t>Dermal absorption</w:t>
      </w:r>
      <w:r>
        <w:rPr>
          <w:noProof/>
        </w:rPr>
        <w:tab/>
      </w:r>
      <w:r>
        <w:rPr>
          <w:noProof/>
        </w:rPr>
        <w:fldChar w:fldCharType="begin"/>
      </w:r>
      <w:r>
        <w:rPr>
          <w:noProof/>
        </w:rPr>
        <w:instrText xml:space="preserve"> PAGEREF _Toc351714246 \h </w:instrText>
      </w:r>
      <w:r>
        <w:rPr>
          <w:noProof/>
        </w:rPr>
      </w:r>
      <w:r>
        <w:rPr>
          <w:noProof/>
        </w:rPr>
        <w:fldChar w:fldCharType="separate"/>
      </w:r>
      <w:r w:rsidR="00F46106">
        <w:rPr>
          <w:noProof/>
        </w:rPr>
        <w:t>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1.3.3</w:t>
      </w:r>
      <w:r>
        <w:rPr>
          <w:rFonts w:asciiTheme="minorHAnsi" w:eastAsiaTheme="minorEastAsia" w:hAnsiTheme="minorHAnsi" w:cstheme="minorBidi"/>
          <w:b w:val="0"/>
          <w:noProof/>
          <w:kern w:val="0"/>
          <w:szCs w:val="22"/>
        </w:rPr>
        <w:tab/>
      </w:r>
      <w:r>
        <w:rPr>
          <w:noProof/>
        </w:rPr>
        <w:t>Inhalation of Dust</w:t>
      </w:r>
      <w:r>
        <w:rPr>
          <w:noProof/>
        </w:rPr>
        <w:tab/>
      </w:r>
      <w:r>
        <w:rPr>
          <w:noProof/>
        </w:rPr>
        <w:fldChar w:fldCharType="begin"/>
      </w:r>
      <w:r>
        <w:rPr>
          <w:noProof/>
        </w:rPr>
        <w:instrText xml:space="preserve"> PAGEREF _Toc351714247 \h </w:instrText>
      </w:r>
      <w:r>
        <w:rPr>
          <w:noProof/>
        </w:rPr>
      </w:r>
      <w:r>
        <w:rPr>
          <w:noProof/>
        </w:rPr>
        <w:fldChar w:fldCharType="separate"/>
      </w:r>
      <w:r w:rsidR="00F46106">
        <w:rPr>
          <w:noProof/>
        </w:rPr>
        <w:t>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1.3.4</w:t>
      </w:r>
      <w:r>
        <w:rPr>
          <w:rFonts w:asciiTheme="minorHAnsi" w:eastAsiaTheme="minorEastAsia" w:hAnsiTheme="minorHAnsi" w:cstheme="minorBidi"/>
          <w:b w:val="0"/>
          <w:noProof/>
          <w:kern w:val="0"/>
          <w:szCs w:val="22"/>
        </w:rPr>
        <w:tab/>
      </w:r>
      <w:r>
        <w:rPr>
          <w:noProof/>
        </w:rPr>
        <w:t>Plant Uptake</w:t>
      </w:r>
      <w:r>
        <w:rPr>
          <w:noProof/>
        </w:rPr>
        <w:tab/>
      </w:r>
      <w:r>
        <w:rPr>
          <w:noProof/>
        </w:rPr>
        <w:fldChar w:fldCharType="begin"/>
      </w:r>
      <w:r>
        <w:rPr>
          <w:noProof/>
        </w:rPr>
        <w:instrText xml:space="preserve"> PAGEREF _Toc351714248 \h </w:instrText>
      </w:r>
      <w:r>
        <w:rPr>
          <w:noProof/>
        </w:rPr>
      </w:r>
      <w:r>
        <w:rPr>
          <w:noProof/>
        </w:rPr>
        <w:fldChar w:fldCharType="separate"/>
      </w:r>
      <w:r w:rsidR="00F46106">
        <w:rPr>
          <w:noProof/>
        </w:rPr>
        <w:t>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1.3.5</w:t>
      </w:r>
      <w:r>
        <w:rPr>
          <w:rFonts w:asciiTheme="minorHAnsi" w:eastAsiaTheme="minorEastAsia" w:hAnsiTheme="minorHAnsi" w:cstheme="minorBidi"/>
          <w:b w:val="0"/>
          <w:noProof/>
          <w:kern w:val="0"/>
          <w:szCs w:val="22"/>
        </w:rPr>
        <w:tab/>
      </w:r>
      <w:r>
        <w:rPr>
          <w:noProof/>
        </w:rPr>
        <w:t>Intakes from Other Sources – Background</w:t>
      </w:r>
      <w:r>
        <w:rPr>
          <w:noProof/>
        </w:rPr>
        <w:tab/>
      </w:r>
      <w:r>
        <w:rPr>
          <w:noProof/>
        </w:rPr>
        <w:fldChar w:fldCharType="begin"/>
      </w:r>
      <w:r>
        <w:rPr>
          <w:noProof/>
        </w:rPr>
        <w:instrText xml:space="preserve"> PAGEREF _Toc351714249 \h </w:instrText>
      </w:r>
      <w:r>
        <w:rPr>
          <w:noProof/>
        </w:rPr>
      </w:r>
      <w:r>
        <w:rPr>
          <w:noProof/>
        </w:rPr>
        <w:fldChar w:fldCharType="separate"/>
      </w:r>
      <w:r w:rsidR="00F46106">
        <w:rPr>
          <w:noProof/>
        </w:rPr>
        <w:t>2</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1.4</w:t>
      </w:r>
      <w:r>
        <w:rPr>
          <w:rFonts w:asciiTheme="minorHAnsi" w:eastAsiaTheme="minorEastAsia" w:hAnsiTheme="minorHAnsi" w:cstheme="minorBidi"/>
          <w:b w:val="0"/>
          <w:noProof/>
          <w:kern w:val="0"/>
          <w:sz w:val="22"/>
          <w:szCs w:val="22"/>
        </w:rPr>
        <w:tab/>
      </w:r>
      <w:r>
        <w:rPr>
          <w:noProof/>
        </w:rPr>
        <w:t>Identification of Toxicity Reference Values</w:t>
      </w:r>
      <w:r>
        <w:rPr>
          <w:noProof/>
        </w:rPr>
        <w:tab/>
      </w:r>
      <w:r>
        <w:rPr>
          <w:noProof/>
        </w:rPr>
        <w:fldChar w:fldCharType="begin"/>
      </w:r>
      <w:r>
        <w:rPr>
          <w:noProof/>
        </w:rPr>
        <w:instrText xml:space="preserve"> PAGEREF _Toc351714250 \h </w:instrText>
      </w:r>
      <w:r>
        <w:rPr>
          <w:noProof/>
        </w:rPr>
      </w:r>
      <w:r>
        <w:rPr>
          <w:noProof/>
        </w:rPr>
        <w:fldChar w:fldCharType="separate"/>
      </w:r>
      <w:r w:rsidR="00F46106">
        <w:rPr>
          <w:noProof/>
        </w:rPr>
        <w:t>2</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1.4.1</w:t>
      </w:r>
      <w:r>
        <w:rPr>
          <w:rFonts w:asciiTheme="minorHAnsi" w:eastAsiaTheme="minorEastAsia" w:hAnsiTheme="minorHAnsi" w:cstheme="minorBidi"/>
          <w:b w:val="0"/>
          <w:noProof/>
          <w:kern w:val="0"/>
          <w:szCs w:val="22"/>
        </w:rPr>
        <w:tab/>
      </w:r>
      <w:r>
        <w:rPr>
          <w:noProof/>
        </w:rPr>
        <w:t>Classification</w:t>
      </w:r>
      <w:r>
        <w:rPr>
          <w:noProof/>
        </w:rPr>
        <w:tab/>
      </w:r>
      <w:r>
        <w:rPr>
          <w:noProof/>
        </w:rPr>
        <w:fldChar w:fldCharType="begin"/>
      </w:r>
      <w:r>
        <w:rPr>
          <w:noProof/>
        </w:rPr>
        <w:instrText xml:space="preserve"> PAGEREF _Toc351714251 \h </w:instrText>
      </w:r>
      <w:r>
        <w:rPr>
          <w:noProof/>
        </w:rPr>
      </w:r>
      <w:r>
        <w:rPr>
          <w:noProof/>
        </w:rPr>
        <w:fldChar w:fldCharType="separate"/>
      </w:r>
      <w:r w:rsidR="00F46106">
        <w:rPr>
          <w:noProof/>
        </w:rPr>
        <w:t>2</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1.4.2</w:t>
      </w:r>
      <w:r>
        <w:rPr>
          <w:rFonts w:asciiTheme="minorHAnsi" w:eastAsiaTheme="minorEastAsia" w:hAnsiTheme="minorHAnsi" w:cstheme="minorBidi"/>
          <w:b w:val="0"/>
          <w:noProof/>
          <w:kern w:val="0"/>
          <w:szCs w:val="22"/>
        </w:rPr>
        <w:tab/>
      </w:r>
      <w:r>
        <w:rPr>
          <w:noProof/>
        </w:rPr>
        <w:t>Review of Available Values/Information</w:t>
      </w:r>
      <w:r>
        <w:rPr>
          <w:noProof/>
        </w:rPr>
        <w:tab/>
      </w:r>
      <w:r>
        <w:rPr>
          <w:noProof/>
        </w:rPr>
        <w:fldChar w:fldCharType="begin"/>
      </w:r>
      <w:r>
        <w:rPr>
          <w:noProof/>
        </w:rPr>
        <w:instrText xml:space="preserve"> PAGEREF _Toc351714252 \h </w:instrText>
      </w:r>
      <w:r>
        <w:rPr>
          <w:noProof/>
        </w:rPr>
      </w:r>
      <w:r>
        <w:rPr>
          <w:noProof/>
        </w:rPr>
        <w:fldChar w:fldCharType="separate"/>
      </w:r>
      <w:r w:rsidR="00F46106">
        <w:rPr>
          <w:noProof/>
        </w:rPr>
        <w:t>2</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1.4.3</w:t>
      </w:r>
      <w:r>
        <w:rPr>
          <w:rFonts w:asciiTheme="minorHAnsi" w:eastAsiaTheme="minorEastAsia" w:hAnsiTheme="minorHAnsi" w:cstheme="minorBidi"/>
          <w:b w:val="0"/>
          <w:noProof/>
          <w:kern w:val="0"/>
          <w:szCs w:val="22"/>
        </w:rPr>
        <w:tab/>
      </w:r>
      <w:r>
        <w:rPr>
          <w:noProof/>
        </w:rPr>
        <w:t>Recommendation</w:t>
      </w:r>
      <w:r>
        <w:rPr>
          <w:noProof/>
        </w:rPr>
        <w:tab/>
      </w:r>
      <w:r>
        <w:rPr>
          <w:noProof/>
        </w:rPr>
        <w:fldChar w:fldCharType="begin"/>
      </w:r>
      <w:r>
        <w:rPr>
          <w:noProof/>
        </w:rPr>
        <w:instrText xml:space="preserve"> PAGEREF _Toc351714253 \h </w:instrText>
      </w:r>
      <w:r>
        <w:rPr>
          <w:noProof/>
        </w:rPr>
      </w:r>
      <w:r>
        <w:rPr>
          <w:noProof/>
        </w:rPr>
        <w:fldChar w:fldCharType="separate"/>
      </w:r>
      <w:r w:rsidR="00F46106">
        <w:rPr>
          <w:noProof/>
        </w:rPr>
        <w:t>3</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1.5</w:t>
      </w:r>
      <w:r>
        <w:rPr>
          <w:rFonts w:asciiTheme="minorHAnsi" w:eastAsiaTheme="minorEastAsia" w:hAnsiTheme="minorHAnsi" w:cstheme="minorBidi"/>
          <w:b w:val="0"/>
          <w:noProof/>
          <w:kern w:val="0"/>
          <w:sz w:val="22"/>
          <w:szCs w:val="22"/>
        </w:rPr>
        <w:tab/>
      </w:r>
      <w:r>
        <w:rPr>
          <w:noProof/>
        </w:rPr>
        <w:t>Calculated HILs</w:t>
      </w:r>
      <w:r>
        <w:rPr>
          <w:noProof/>
        </w:rPr>
        <w:tab/>
      </w:r>
      <w:r>
        <w:rPr>
          <w:noProof/>
        </w:rPr>
        <w:fldChar w:fldCharType="begin"/>
      </w:r>
      <w:r>
        <w:rPr>
          <w:noProof/>
        </w:rPr>
        <w:instrText xml:space="preserve"> PAGEREF _Toc351714254 \h </w:instrText>
      </w:r>
      <w:r>
        <w:rPr>
          <w:noProof/>
        </w:rPr>
      </w:r>
      <w:r>
        <w:rPr>
          <w:noProof/>
        </w:rPr>
        <w:fldChar w:fldCharType="separate"/>
      </w:r>
      <w:r w:rsidR="00F46106">
        <w:rPr>
          <w:noProof/>
        </w:rPr>
        <w:t>4</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1.6</w:t>
      </w:r>
      <w:r>
        <w:rPr>
          <w:rFonts w:asciiTheme="minorHAnsi" w:eastAsiaTheme="minorEastAsia" w:hAnsiTheme="minorHAnsi" w:cstheme="minorBidi"/>
          <w:b w:val="0"/>
          <w:noProof/>
          <w:kern w:val="0"/>
          <w:sz w:val="22"/>
          <w:szCs w:val="22"/>
        </w:rPr>
        <w:tab/>
      </w:r>
      <w:r>
        <w:rPr>
          <w:noProof/>
        </w:rPr>
        <w:t>References</w:t>
      </w:r>
      <w:r>
        <w:rPr>
          <w:noProof/>
        </w:rPr>
        <w:tab/>
      </w:r>
      <w:r>
        <w:rPr>
          <w:noProof/>
        </w:rPr>
        <w:fldChar w:fldCharType="begin"/>
      </w:r>
      <w:r>
        <w:rPr>
          <w:noProof/>
        </w:rPr>
        <w:instrText xml:space="preserve"> PAGEREF _Toc351714255 \h </w:instrText>
      </w:r>
      <w:r>
        <w:rPr>
          <w:noProof/>
        </w:rPr>
      </w:r>
      <w:r>
        <w:rPr>
          <w:noProof/>
        </w:rPr>
        <w:fldChar w:fldCharType="separate"/>
      </w:r>
      <w:r w:rsidR="00F46106">
        <w:rPr>
          <w:noProof/>
        </w:rPr>
        <w:t>4</w:t>
      </w:r>
      <w:r>
        <w:rPr>
          <w:noProof/>
        </w:rPr>
        <w:fldChar w:fldCharType="end"/>
      </w:r>
    </w:p>
    <w:p w:rsidR="00297258" w:rsidRDefault="00297258" w:rsidP="00297258">
      <w:pPr>
        <w:pStyle w:val="TOC1"/>
        <w:keepNext w:val="0"/>
        <w:rPr>
          <w:rFonts w:asciiTheme="minorHAnsi" w:eastAsiaTheme="minorEastAsia" w:hAnsiTheme="minorHAnsi" w:cstheme="minorBidi"/>
          <w:b w:val="0"/>
          <w:noProof/>
          <w:kern w:val="0"/>
          <w:sz w:val="22"/>
          <w:szCs w:val="22"/>
        </w:rPr>
      </w:pPr>
      <w:r>
        <w:rPr>
          <w:noProof/>
        </w:rPr>
        <w:t>2</w:t>
      </w:r>
      <w:r>
        <w:rPr>
          <w:rFonts w:asciiTheme="minorHAnsi" w:eastAsiaTheme="minorEastAsia" w:hAnsiTheme="minorHAnsi" w:cstheme="minorBidi"/>
          <w:b w:val="0"/>
          <w:noProof/>
          <w:kern w:val="0"/>
          <w:sz w:val="22"/>
          <w:szCs w:val="22"/>
        </w:rPr>
        <w:tab/>
      </w:r>
      <w:r>
        <w:rPr>
          <w:noProof/>
        </w:rPr>
        <w:t>2,4-D</w:t>
      </w:r>
      <w:r>
        <w:rPr>
          <w:noProof/>
        </w:rPr>
        <w:tab/>
      </w:r>
      <w:r>
        <w:rPr>
          <w:noProof/>
        </w:rPr>
        <w:fldChar w:fldCharType="begin"/>
      </w:r>
      <w:r>
        <w:rPr>
          <w:noProof/>
        </w:rPr>
        <w:instrText xml:space="preserve"> PAGEREF _Toc351714256 \h </w:instrText>
      </w:r>
      <w:r>
        <w:rPr>
          <w:noProof/>
        </w:rPr>
      </w:r>
      <w:r>
        <w:rPr>
          <w:noProof/>
        </w:rPr>
        <w:fldChar w:fldCharType="separate"/>
      </w:r>
      <w:r w:rsidR="00F46106">
        <w:rPr>
          <w:noProof/>
        </w:rPr>
        <w:t>6</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2.1</w:t>
      </w:r>
      <w:r>
        <w:rPr>
          <w:rFonts w:asciiTheme="minorHAnsi" w:eastAsiaTheme="minorEastAsia" w:hAnsiTheme="minorHAnsi" w:cstheme="minorBidi"/>
          <w:b w:val="0"/>
          <w:noProof/>
          <w:kern w:val="0"/>
          <w:sz w:val="22"/>
          <w:szCs w:val="22"/>
        </w:rPr>
        <w:tab/>
      </w:r>
      <w:r>
        <w:rPr>
          <w:noProof/>
        </w:rPr>
        <w:t>General</w:t>
      </w:r>
      <w:r>
        <w:rPr>
          <w:noProof/>
        </w:rPr>
        <w:tab/>
      </w:r>
      <w:r>
        <w:rPr>
          <w:noProof/>
        </w:rPr>
        <w:fldChar w:fldCharType="begin"/>
      </w:r>
      <w:r>
        <w:rPr>
          <w:noProof/>
        </w:rPr>
        <w:instrText xml:space="preserve"> PAGEREF _Toc351714257 \h </w:instrText>
      </w:r>
      <w:r>
        <w:rPr>
          <w:noProof/>
        </w:rPr>
      </w:r>
      <w:r>
        <w:rPr>
          <w:noProof/>
        </w:rPr>
        <w:fldChar w:fldCharType="separate"/>
      </w:r>
      <w:r w:rsidR="00F46106">
        <w:rPr>
          <w:noProof/>
        </w:rPr>
        <w:t>6</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2.2</w:t>
      </w:r>
      <w:r>
        <w:rPr>
          <w:rFonts w:asciiTheme="minorHAnsi" w:eastAsiaTheme="minorEastAsia" w:hAnsiTheme="minorHAnsi" w:cstheme="minorBidi"/>
          <w:b w:val="0"/>
          <w:noProof/>
          <w:kern w:val="0"/>
          <w:sz w:val="22"/>
          <w:szCs w:val="22"/>
        </w:rPr>
        <w:tab/>
      </w:r>
      <w:r>
        <w:rPr>
          <w:noProof/>
        </w:rPr>
        <w:t>Previous HIL</w:t>
      </w:r>
      <w:r>
        <w:rPr>
          <w:noProof/>
        </w:rPr>
        <w:tab/>
      </w:r>
      <w:r>
        <w:rPr>
          <w:noProof/>
        </w:rPr>
        <w:fldChar w:fldCharType="begin"/>
      </w:r>
      <w:r>
        <w:rPr>
          <w:noProof/>
        </w:rPr>
        <w:instrText xml:space="preserve"> PAGEREF _Toc351714258 \h </w:instrText>
      </w:r>
      <w:r>
        <w:rPr>
          <w:noProof/>
        </w:rPr>
      </w:r>
      <w:r>
        <w:rPr>
          <w:noProof/>
        </w:rPr>
        <w:fldChar w:fldCharType="separate"/>
      </w:r>
      <w:r w:rsidR="00F46106">
        <w:rPr>
          <w:noProof/>
        </w:rPr>
        <w:t>6</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2.3</w:t>
      </w:r>
      <w:r>
        <w:rPr>
          <w:rFonts w:asciiTheme="minorHAnsi" w:eastAsiaTheme="minorEastAsia" w:hAnsiTheme="minorHAnsi" w:cstheme="minorBidi"/>
          <w:b w:val="0"/>
          <w:noProof/>
          <w:kern w:val="0"/>
          <w:sz w:val="22"/>
          <w:szCs w:val="22"/>
        </w:rPr>
        <w:tab/>
      </w:r>
      <w:r>
        <w:rPr>
          <w:noProof/>
        </w:rPr>
        <w:t>Significance of Exposure Pathways</w:t>
      </w:r>
      <w:r>
        <w:rPr>
          <w:noProof/>
        </w:rPr>
        <w:tab/>
      </w:r>
      <w:r>
        <w:rPr>
          <w:noProof/>
        </w:rPr>
        <w:fldChar w:fldCharType="begin"/>
      </w:r>
      <w:r>
        <w:rPr>
          <w:noProof/>
        </w:rPr>
        <w:instrText xml:space="preserve"> PAGEREF _Toc351714259 \h </w:instrText>
      </w:r>
      <w:r>
        <w:rPr>
          <w:noProof/>
        </w:rPr>
      </w:r>
      <w:r>
        <w:rPr>
          <w:noProof/>
        </w:rPr>
        <w:fldChar w:fldCharType="separate"/>
      </w:r>
      <w:r w:rsidR="00F46106">
        <w:rPr>
          <w:noProof/>
        </w:rPr>
        <w:t>6</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2.3.1</w:t>
      </w:r>
      <w:r>
        <w:rPr>
          <w:rFonts w:asciiTheme="minorHAnsi" w:eastAsiaTheme="minorEastAsia" w:hAnsiTheme="minorHAnsi" w:cstheme="minorBidi"/>
          <w:b w:val="0"/>
          <w:noProof/>
          <w:kern w:val="0"/>
          <w:szCs w:val="22"/>
        </w:rPr>
        <w:tab/>
      </w:r>
      <w:r>
        <w:rPr>
          <w:noProof/>
        </w:rPr>
        <w:t>Oral Bioavailability</w:t>
      </w:r>
      <w:r>
        <w:rPr>
          <w:noProof/>
        </w:rPr>
        <w:tab/>
      </w:r>
      <w:r>
        <w:rPr>
          <w:noProof/>
        </w:rPr>
        <w:fldChar w:fldCharType="begin"/>
      </w:r>
      <w:r>
        <w:rPr>
          <w:noProof/>
        </w:rPr>
        <w:instrText xml:space="preserve"> PAGEREF _Toc351714260 \h </w:instrText>
      </w:r>
      <w:r>
        <w:rPr>
          <w:noProof/>
        </w:rPr>
      </w:r>
      <w:r>
        <w:rPr>
          <w:noProof/>
        </w:rPr>
        <w:fldChar w:fldCharType="separate"/>
      </w:r>
      <w:r w:rsidR="00F46106">
        <w:rPr>
          <w:noProof/>
        </w:rPr>
        <w:t>6</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2.3.2</w:t>
      </w:r>
      <w:r>
        <w:rPr>
          <w:rFonts w:asciiTheme="minorHAnsi" w:eastAsiaTheme="minorEastAsia" w:hAnsiTheme="minorHAnsi" w:cstheme="minorBidi"/>
          <w:b w:val="0"/>
          <w:noProof/>
          <w:kern w:val="0"/>
          <w:szCs w:val="22"/>
        </w:rPr>
        <w:tab/>
      </w:r>
      <w:r>
        <w:rPr>
          <w:noProof/>
        </w:rPr>
        <w:t>Dermal absorption</w:t>
      </w:r>
      <w:r>
        <w:rPr>
          <w:noProof/>
        </w:rPr>
        <w:tab/>
      </w:r>
      <w:r>
        <w:rPr>
          <w:noProof/>
        </w:rPr>
        <w:fldChar w:fldCharType="begin"/>
      </w:r>
      <w:r>
        <w:rPr>
          <w:noProof/>
        </w:rPr>
        <w:instrText xml:space="preserve"> PAGEREF _Toc351714261 \h </w:instrText>
      </w:r>
      <w:r>
        <w:rPr>
          <w:noProof/>
        </w:rPr>
      </w:r>
      <w:r>
        <w:rPr>
          <w:noProof/>
        </w:rPr>
        <w:fldChar w:fldCharType="separate"/>
      </w:r>
      <w:r w:rsidR="00F46106">
        <w:rPr>
          <w:noProof/>
        </w:rPr>
        <w:t>6</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2.3.3</w:t>
      </w:r>
      <w:r>
        <w:rPr>
          <w:rFonts w:asciiTheme="minorHAnsi" w:eastAsiaTheme="minorEastAsia" w:hAnsiTheme="minorHAnsi" w:cstheme="minorBidi"/>
          <w:b w:val="0"/>
          <w:noProof/>
          <w:kern w:val="0"/>
          <w:szCs w:val="22"/>
        </w:rPr>
        <w:tab/>
      </w:r>
      <w:r>
        <w:rPr>
          <w:noProof/>
        </w:rPr>
        <w:t>Inhalation of Dust</w:t>
      </w:r>
      <w:r>
        <w:rPr>
          <w:noProof/>
        </w:rPr>
        <w:tab/>
      </w:r>
      <w:r>
        <w:rPr>
          <w:noProof/>
        </w:rPr>
        <w:fldChar w:fldCharType="begin"/>
      </w:r>
      <w:r>
        <w:rPr>
          <w:noProof/>
        </w:rPr>
        <w:instrText xml:space="preserve"> PAGEREF _Toc351714262 \h </w:instrText>
      </w:r>
      <w:r>
        <w:rPr>
          <w:noProof/>
        </w:rPr>
      </w:r>
      <w:r>
        <w:rPr>
          <w:noProof/>
        </w:rPr>
        <w:fldChar w:fldCharType="separate"/>
      </w:r>
      <w:r w:rsidR="00F46106">
        <w:rPr>
          <w:noProof/>
        </w:rPr>
        <w:t>7</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2.3.4</w:t>
      </w:r>
      <w:r>
        <w:rPr>
          <w:rFonts w:asciiTheme="minorHAnsi" w:eastAsiaTheme="minorEastAsia" w:hAnsiTheme="minorHAnsi" w:cstheme="minorBidi"/>
          <w:b w:val="0"/>
          <w:noProof/>
          <w:kern w:val="0"/>
          <w:szCs w:val="22"/>
        </w:rPr>
        <w:tab/>
      </w:r>
      <w:r>
        <w:rPr>
          <w:noProof/>
        </w:rPr>
        <w:t>Pl</w:t>
      </w:r>
      <w:bookmarkStart w:id="0" w:name="_GoBack"/>
      <w:bookmarkEnd w:id="0"/>
      <w:r>
        <w:rPr>
          <w:noProof/>
        </w:rPr>
        <w:t>ant Uptake</w:t>
      </w:r>
      <w:r>
        <w:rPr>
          <w:noProof/>
        </w:rPr>
        <w:tab/>
      </w:r>
      <w:r>
        <w:rPr>
          <w:noProof/>
        </w:rPr>
        <w:fldChar w:fldCharType="begin"/>
      </w:r>
      <w:r>
        <w:rPr>
          <w:noProof/>
        </w:rPr>
        <w:instrText xml:space="preserve"> PAGEREF _Toc351714263 \h </w:instrText>
      </w:r>
      <w:r>
        <w:rPr>
          <w:noProof/>
        </w:rPr>
      </w:r>
      <w:r>
        <w:rPr>
          <w:noProof/>
        </w:rPr>
        <w:fldChar w:fldCharType="separate"/>
      </w:r>
      <w:r w:rsidR="00F46106">
        <w:rPr>
          <w:noProof/>
        </w:rPr>
        <w:t>7</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2.3.5</w:t>
      </w:r>
      <w:r>
        <w:rPr>
          <w:rFonts w:asciiTheme="minorHAnsi" w:eastAsiaTheme="minorEastAsia" w:hAnsiTheme="minorHAnsi" w:cstheme="minorBidi"/>
          <w:b w:val="0"/>
          <w:noProof/>
          <w:kern w:val="0"/>
          <w:szCs w:val="22"/>
        </w:rPr>
        <w:tab/>
      </w:r>
      <w:r>
        <w:rPr>
          <w:noProof/>
        </w:rPr>
        <w:t>Intakes from Other Sources – Background</w:t>
      </w:r>
      <w:r>
        <w:rPr>
          <w:noProof/>
        </w:rPr>
        <w:tab/>
      </w:r>
      <w:r>
        <w:rPr>
          <w:noProof/>
        </w:rPr>
        <w:fldChar w:fldCharType="begin"/>
      </w:r>
      <w:r>
        <w:rPr>
          <w:noProof/>
        </w:rPr>
        <w:instrText xml:space="preserve"> PAGEREF _Toc351714264 \h </w:instrText>
      </w:r>
      <w:r>
        <w:rPr>
          <w:noProof/>
        </w:rPr>
      </w:r>
      <w:r>
        <w:rPr>
          <w:noProof/>
        </w:rPr>
        <w:fldChar w:fldCharType="separate"/>
      </w:r>
      <w:r w:rsidR="00F46106">
        <w:rPr>
          <w:noProof/>
        </w:rPr>
        <w:t>7</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2.4</w:t>
      </w:r>
      <w:r>
        <w:rPr>
          <w:rFonts w:asciiTheme="minorHAnsi" w:eastAsiaTheme="minorEastAsia" w:hAnsiTheme="minorHAnsi" w:cstheme="minorBidi"/>
          <w:b w:val="0"/>
          <w:noProof/>
          <w:kern w:val="0"/>
          <w:sz w:val="22"/>
          <w:szCs w:val="22"/>
        </w:rPr>
        <w:tab/>
      </w:r>
      <w:r>
        <w:rPr>
          <w:noProof/>
        </w:rPr>
        <w:t>Identification of Toxicity Reference Values</w:t>
      </w:r>
      <w:r>
        <w:rPr>
          <w:noProof/>
        </w:rPr>
        <w:tab/>
      </w:r>
      <w:r>
        <w:rPr>
          <w:noProof/>
        </w:rPr>
        <w:fldChar w:fldCharType="begin"/>
      </w:r>
      <w:r>
        <w:rPr>
          <w:noProof/>
        </w:rPr>
        <w:instrText xml:space="preserve"> PAGEREF _Toc351714265 \h </w:instrText>
      </w:r>
      <w:r>
        <w:rPr>
          <w:noProof/>
        </w:rPr>
      </w:r>
      <w:r>
        <w:rPr>
          <w:noProof/>
        </w:rPr>
        <w:fldChar w:fldCharType="separate"/>
      </w:r>
      <w:r w:rsidR="00F46106">
        <w:rPr>
          <w:noProof/>
        </w:rPr>
        <w:t>7</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2.4.1</w:t>
      </w:r>
      <w:r>
        <w:rPr>
          <w:rFonts w:asciiTheme="minorHAnsi" w:eastAsiaTheme="minorEastAsia" w:hAnsiTheme="minorHAnsi" w:cstheme="minorBidi"/>
          <w:b w:val="0"/>
          <w:noProof/>
          <w:kern w:val="0"/>
          <w:szCs w:val="22"/>
        </w:rPr>
        <w:tab/>
      </w:r>
      <w:r>
        <w:rPr>
          <w:noProof/>
        </w:rPr>
        <w:t>Classification</w:t>
      </w:r>
      <w:r>
        <w:rPr>
          <w:noProof/>
        </w:rPr>
        <w:tab/>
      </w:r>
      <w:r>
        <w:rPr>
          <w:noProof/>
        </w:rPr>
        <w:fldChar w:fldCharType="begin"/>
      </w:r>
      <w:r>
        <w:rPr>
          <w:noProof/>
        </w:rPr>
        <w:instrText xml:space="preserve"> PAGEREF _Toc351714266 \h </w:instrText>
      </w:r>
      <w:r>
        <w:rPr>
          <w:noProof/>
        </w:rPr>
      </w:r>
      <w:r>
        <w:rPr>
          <w:noProof/>
        </w:rPr>
        <w:fldChar w:fldCharType="separate"/>
      </w:r>
      <w:r w:rsidR="00F46106">
        <w:rPr>
          <w:noProof/>
        </w:rPr>
        <w:t>7</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2.4.2</w:t>
      </w:r>
      <w:r>
        <w:rPr>
          <w:rFonts w:asciiTheme="minorHAnsi" w:eastAsiaTheme="minorEastAsia" w:hAnsiTheme="minorHAnsi" w:cstheme="minorBidi"/>
          <w:b w:val="0"/>
          <w:noProof/>
          <w:kern w:val="0"/>
          <w:szCs w:val="22"/>
        </w:rPr>
        <w:tab/>
      </w:r>
      <w:r>
        <w:rPr>
          <w:noProof/>
        </w:rPr>
        <w:t>Review of Available Values/Information</w:t>
      </w:r>
      <w:r>
        <w:rPr>
          <w:noProof/>
        </w:rPr>
        <w:tab/>
      </w:r>
      <w:r>
        <w:rPr>
          <w:noProof/>
        </w:rPr>
        <w:fldChar w:fldCharType="begin"/>
      </w:r>
      <w:r>
        <w:rPr>
          <w:noProof/>
        </w:rPr>
        <w:instrText xml:space="preserve"> PAGEREF _Toc351714267 \h </w:instrText>
      </w:r>
      <w:r>
        <w:rPr>
          <w:noProof/>
        </w:rPr>
      </w:r>
      <w:r>
        <w:rPr>
          <w:noProof/>
        </w:rPr>
        <w:fldChar w:fldCharType="separate"/>
      </w:r>
      <w:r w:rsidR="00F46106">
        <w:rPr>
          <w:noProof/>
        </w:rPr>
        <w:t>7</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2.4.3</w:t>
      </w:r>
      <w:r>
        <w:rPr>
          <w:rFonts w:asciiTheme="minorHAnsi" w:eastAsiaTheme="minorEastAsia" w:hAnsiTheme="minorHAnsi" w:cstheme="minorBidi"/>
          <w:b w:val="0"/>
          <w:noProof/>
          <w:kern w:val="0"/>
          <w:szCs w:val="22"/>
        </w:rPr>
        <w:tab/>
      </w:r>
      <w:r>
        <w:rPr>
          <w:noProof/>
        </w:rPr>
        <w:t>Recommendation</w:t>
      </w:r>
      <w:r>
        <w:rPr>
          <w:noProof/>
        </w:rPr>
        <w:tab/>
      </w:r>
      <w:r>
        <w:rPr>
          <w:noProof/>
        </w:rPr>
        <w:fldChar w:fldCharType="begin"/>
      </w:r>
      <w:r>
        <w:rPr>
          <w:noProof/>
        </w:rPr>
        <w:instrText xml:space="preserve"> PAGEREF _Toc351714268 \h </w:instrText>
      </w:r>
      <w:r>
        <w:rPr>
          <w:noProof/>
        </w:rPr>
      </w:r>
      <w:r>
        <w:rPr>
          <w:noProof/>
        </w:rPr>
        <w:fldChar w:fldCharType="separate"/>
      </w:r>
      <w:r w:rsidR="00F46106">
        <w:rPr>
          <w:noProof/>
        </w:rPr>
        <w:t>8</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2.5</w:t>
      </w:r>
      <w:r>
        <w:rPr>
          <w:rFonts w:asciiTheme="minorHAnsi" w:eastAsiaTheme="minorEastAsia" w:hAnsiTheme="minorHAnsi" w:cstheme="minorBidi"/>
          <w:b w:val="0"/>
          <w:noProof/>
          <w:kern w:val="0"/>
          <w:sz w:val="22"/>
          <w:szCs w:val="22"/>
        </w:rPr>
        <w:tab/>
      </w:r>
      <w:r>
        <w:rPr>
          <w:noProof/>
        </w:rPr>
        <w:t>Calculated HILs</w:t>
      </w:r>
      <w:r>
        <w:rPr>
          <w:noProof/>
        </w:rPr>
        <w:tab/>
      </w:r>
      <w:r>
        <w:rPr>
          <w:noProof/>
        </w:rPr>
        <w:fldChar w:fldCharType="begin"/>
      </w:r>
      <w:r>
        <w:rPr>
          <w:noProof/>
        </w:rPr>
        <w:instrText xml:space="preserve"> PAGEREF _Toc351714269 \h </w:instrText>
      </w:r>
      <w:r>
        <w:rPr>
          <w:noProof/>
        </w:rPr>
      </w:r>
      <w:r>
        <w:rPr>
          <w:noProof/>
        </w:rPr>
        <w:fldChar w:fldCharType="separate"/>
      </w:r>
      <w:r w:rsidR="00F46106">
        <w:rPr>
          <w:noProof/>
        </w:rPr>
        <w:t>9</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2.6</w:t>
      </w:r>
      <w:r>
        <w:rPr>
          <w:rFonts w:asciiTheme="minorHAnsi" w:eastAsiaTheme="minorEastAsia" w:hAnsiTheme="minorHAnsi" w:cstheme="minorBidi"/>
          <w:b w:val="0"/>
          <w:noProof/>
          <w:kern w:val="0"/>
          <w:sz w:val="22"/>
          <w:szCs w:val="22"/>
        </w:rPr>
        <w:tab/>
      </w:r>
      <w:r>
        <w:rPr>
          <w:noProof/>
        </w:rPr>
        <w:t>References</w:t>
      </w:r>
      <w:r>
        <w:rPr>
          <w:noProof/>
        </w:rPr>
        <w:tab/>
      </w:r>
      <w:r>
        <w:rPr>
          <w:noProof/>
        </w:rPr>
        <w:fldChar w:fldCharType="begin"/>
      </w:r>
      <w:r>
        <w:rPr>
          <w:noProof/>
        </w:rPr>
        <w:instrText xml:space="preserve"> PAGEREF _Toc351714270 \h </w:instrText>
      </w:r>
      <w:r>
        <w:rPr>
          <w:noProof/>
        </w:rPr>
      </w:r>
      <w:r>
        <w:rPr>
          <w:noProof/>
        </w:rPr>
        <w:fldChar w:fldCharType="separate"/>
      </w:r>
      <w:r w:rsidR="00F46106">
        <w:rPr>
          <w:noProof/>
        </w:rPr>
        <w:t>9</w:t>
      </w:r>
      <w:r>
        <w:rPr>
          <w:noProof/>
        </w:rPr>
        <w:fldChar w:fldCharType="end"/>
      </w:r>
    </w:p>
    <w:p w:rsidR="00297258" w:rsidRDefault="00297258" w:rsidP="00297258">
      <w:pPr>
        <w:pStyle w:val="TOC1"/>
        <w:keepNext w:val="0"/>
        <w:rPr>
          <w:rFonts w:asciiTheme="minorHAnsi" w:eastAsiaTheme="minorEastAsia" w:hAnsiTheme="minorHAnsi" w:cstheme="minorBidi"/>
          <w:b w:val="0"/>
          <w:noProof/>
          <w:kern w:val="0"/>
          <w:sz w:val="22"/>
          <w:szCs w:val="22"/>
        </w:rPr>
      </w:pPr>
      <w:r>
        <w:rPr>
          <w:noProof/>
        </w:rPr>
        <w:t>3</w:t>
      </w:r>
      <w:r>
        <w:rPr>
          <w:rFonts w:asciiTheme="minorHAnsi" w:eastAsiaTheme="minorEastAsia" w:hAnsiTheme="minorHAnsi" w:cstheme="minorBidi"/>
          <w:b w:val="0"/>
          <w:noProof/>
          <w:kern w:val="0"/>
          <w:sz w:val="22"/>
          <w:szCs w:val="22"/>
        </w:rPr>
        <w:tab/>
      </w:r>
      <w:r>
        <w:rPr>
          <w:noProof/>
        </w:rPr>
        <w:t>MCPA, MCPB and Mecoprop</w:t>
      </w:r>
      <w:r>
        <w:rPr>
          <w:noProof/>
        </w:rPr>
        <w:tab/>
      </w:r>
      <w:r>
        <w:rPr>
          <w:noProof/>
        </w:rPr>
        <w:fldChar w:fldCharType="begin"/>
      </w:r>
      <w:r>
        <w:rPr>
          <w:noProof/>
        </w:rPr>
        <w:instrText xml:space="preserve"> PAGEREF _Toc351714271 \h </w:instrText>
      </w:r>
      <w:r>
        <w:rPr>
          <w:noProof/>
        </w:rPr>
      </w:r>
      <w:r>
        <w:rPr>
          <w:noProof/>
        </w:rPr>
        <w:fldChar w:fldCharType="separate"/>
      </w:r>
      <w:r w:rsidR="00F46106">
        <w:rPr>
          <w:noProof/>
        </w:rPr>
        <w:t>11</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3.1</w:t>
      </w:r>
      <w:r>
        <w:rPr>
          <w:rFonts w:asciiTheme="minorHAnsi" w:eastAsiaTheme="minorEastAsia" w:hAnsiTheme="minorHAnsi" w:cstheme="minorBidi"/>
          <w:b w:val="0"/>
          <w:noProof/>
          <w:kern w:val="0"/>
          <w:sz w:val="22"/>
          <w:szCs w:val="22"/>
        </w:rPr>
        <w:tab/>
      </w:r>
      <w:r>
        <w:rPr>
          <w:noProof/>
        </w:rPr>
        <w:t>General</w:t>
      </w:r>
      <w:r>
        <w:rPr>
          <w:noProof/>
        </w:rPr>
        <w:tab/>
      </w:r>
      <w:r>
        <w:rPr>
          <w:noProof/>
        </w:rPr>
        <w:fldChar w:fldCharType="begin"/>
      </w:r>
      <w:r>
        <w:rPr>
          <w:noProof/>
        </w:rPr>
        <w:instrText xml:space="preserve"> PAGEREF _Toc351714272 \h </w:instrText>
      </w:r>
      <w:r>
        <w:rPr>
          <w:noProof/>
        </w:rPr>
      </w:r>
      <w:r>
        <w:rPr>
          <w:noProof/>
        </w:rPr>
        <w:fldChar w:fldCharType="separate"/>
      </w:r>
      <w:r w:rsidR="00F46106">
        <w:rPr>
          <w:noProof/>
        </w:rPr>
        <w:t>11</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lastRenderedPageBreak/>
        <w:t>3.2</w:t>
      </w:r>
      <w:r>
        <w:rPr>
          <w:rFonts w:asciiTheme="minorHAnsi" w:eastAsiaTheme="minorEastAsia" w:hAnsiTheme="minorHAnsi" w:cstheme="minorBidi"/>
          <w:b w:val="0"/>
          <w:noProof/>
          <w:kern w:val="0"/>
          <w:sz w:val="22"/>
          <w:szCs w:val="22"/>
        </w:rPr>
        <w:tab/>
      </w:r>
      <w:r>
        <w:rPr>
          <w:noProof/>
        </w:rPr>
        <w:t>Previous HIL</w:t>
      </w:r>
      <w:r>
        <w:rPr>
          <w:noProof/>
        </w:rPr>
        <w:tab/>
      </w:r>
      <w:r>
        <w:rPr>
          <w:noProof/>
        </w:rPr>
        <w:fldChar w:fldCharType="begin"/>
      </w:r>
      <w:r>
        <w:rPr>
          <w:noProof/>
        </w:rPr>
        <w:instrText xml:space="preserve"> PAGEREF _Toc351714273 \h </w:instrText>
      </w:r>
      <w:r>
        <w:rPr>
          <w:noProof/>
        </w:rPr>
      </w:r>
      <w:r>
        <w:rPr>
          <w:noProof/>
        </w:rPr>
        <w:fldChar w:fldCharType="separate"/>
      </w:r>
      <w:r w:rsidR="00F46106">
        <w:rPr>
          <w:noProof/>
        </w:rPr>
        <w:t>11</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3.3</w:t>
      </w:r>
      <w:r>
        <w:rPr>
          <w:rFonts w:asciiTheme="minorHAnsi" w:eastAsiaTheme="minorEastAsia" w:hAnsiTheme="minorHAnsi" w:cstheme="minorBidi"/>
          <w:b w:val="0"/>
          <w:noProof/>
          <w:kern w:val="0"/>
          <w:sz w:val="22"/>
          <w:szCs w:val="22"/>
        </w:rPr>
        <w:tab/>
      </w:r>
      <w:r>
        <w:rPr>
          <w:noProof/>
        </w:rPr>
        <w:t>Significance of Exposure Pathways</w:t>
      </w:r>
      <w:r>
        <w:rPr>
          <w:noProof/>
        </w:rPr>
        <w:tab/>
      </w:r>
      <w:r>
        <w:rPr>
          <w:noProof/>
        </w:rPr>
        <w:fldChar w:fldCharType="begin"/>
      </w:r>
      <w:r>
        <w:rPr>
          <w:noProof/>
        </w:rPr>
        <w:instrText xml:space="preserve"> PAGEREF _Toc351714274 \h </w:instrText>
      </w:r>
      <w:r>
        <w:rPr>
          <w:noProof/>
        </w:rPr>
      </w:r>
      <w:r>
        <w:rPr>
          <w:noProof/>
        </w:rPr>
        <w:fldChar w:fldCharType="separate"/>
      </w:r>
      <w:r w:rsidR="00F46106">
        <w:rPr>
          <w:noProof/>
        </w:rPr>
        <w:t>11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3.3.1</w:t>
      </w:r>
      <w:r>
        <w:rPr>
          <w:rFonts w:asciiTheme="minorHAnsi" w:eastAsiaTheme="minorEastAsia" w:hAnsiTheme="minorHAnsi" w:cstheme="minorBidi"/>
          <w:b w:val="0"/>
          <w:noProof/>
          <w:kern w:val="0"/>
          <w:szCs w:val="22"/>
        </w:rPr>
        <w:tab/>
      </w:r>
      <w:r>
        <w:rPr>
          <w:noProof/>
        </w:rPr>
        <w:t>Oral Bioavailability</w:t>
      </w:r>
      <w:r>
        <w:rPr>
          <w:noProof/>
        </w:rPr>
        <w:tab/>
      </w:r>
      <w:r>
        <w:rPr>
          <w:noProof/>
        </w:rPr>
        <w:fldChar w:fldCharType="begin"/>
      </w:r>
      <w:r>
        <w:rPr>
          <w:noProof/>
        </w:rPr>
        <w:instrText xml:space="preserve"> PAGEREF _Toc351714275 \h </w:instrText>
      </w:r>
      <w:r>
        <w:rPr>
          <w:noProof/>
        </w:rPr>
      </w:r>
      <w:r>
        <w:rPr>
          <w:noProof/>
        </w:rPr>
        <w:fldChar w:fldCharType="separate"/>
      </w:r>
      <w:r w:rsidR="00F46106">
        <w:rPr>
          <w:noProof/>
        </w:rPr>
        <w:t>11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3.3.2</w:t>
      </w:r>
      <w:r>
        <w:rPr>
          <w:rFonts w:asciiTheme="minorHAnsi" w:eastAsiaTheme="minorEastAsia" w:hAnsiTheme="minorHAnsi" w:cstheme="minorBidi"/>
          <w:b w:val="0"/>
          <w:noProof/>
          <w:kern w:val="0"/>
          <w:szCs w:val="22"/>
        </w:rPr>
        <w:tab/>
      </w:r>
      <w:r>
        <w:rPr>
          <w:noProof/>
        </w:rPr>
        <w:t>Dermal absorption</w:t>
      </w:r>
      <w:r>
        <w:rPr>
          <w:noProof/>
        </w:rPr>
        <w:tab/>
      </w:r>
      <w:r>
        <w:rPr>
          <w:noProof/>
        </w:rPr>
        <w:fldChar w:fldCharType="begin"/>
      </w:r>
      <w:r>
        <w:rPr>
          <w:noProof/>
        </w:rPr>
        <w:instrText xml:space="preserve"> PAGEREF _Toc351714276 \h </w:instrText>
      </w:r>
      <w:r>
        <w:rPr>
          <w:noProof/>
        </w:rPr>
      </w:r>
      <w:r>
        <w:rPr>
          <w:noProof/>
        </w:rPr>
        <w:fldChar w:fldCharType="separate"/>
      </w:r>
      <w:r w:rsidR="00F46106">
        <w:rPr>
          <w:noProof/>
        </w:rPr>
        <w:t>11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3.3.3</w:t>
      </w:r>
      <w:r>
        <w:rPr>
          <w:rFonts w:asciiTheme="minorHAnsi" w:eastAsiaTheme="minorEastAsia" w:hAnsiTheme="minorHAnsi" w:cstheme="minorBidi"/>
          <w:b w:val="0"/>
          <w:noProof/>
          <w:kern w:val="0"/>
          <w:szCs w:val="22"/>
        </w:rPr>
        <w:tab/>
      </w:r>
      <w:r>
        <w:rPr>
          <w:noProof/>
        </w:rPr>
        <w:t>Inhalation of Dust</w:t>
      </w:r>
      <w:r>
        <w:rPr>
          <w:noProof/>
        </w:rPr>
        <w:tab/>
      </w:r>
      <w:r>
        <w:rPr>
          <w:noProof/>
        </w:rPr>
        <w:fldChar w:fldCharType="begin"/>
      </w:r>
      <w:r>
        <w:rPr>
          <w:noProof/>
        </w:rPr>
        <w:instrText xml:space="preserve"> PAGEREF _Toc351714277 \h </w:instrText>
      </w:r>
      <w:r>
        <w:rPr>
          <w:noProof/>
        </w:rPr>
      </w:r>
      <w:r>
        <w:rPr>
          <w:noProof/>
        </w:rPr>
        <w:fldChar w:fldCharType="separate"/>
      </w:r>
      <w:r w:rsidR="00F46106">
        <w:rPr>
          <w:noProof/>
        </w:rPr>
        <w:t>11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3.3.4</w:t>
      </w:r>
      <w:r>
        <w:rPr>
          <w:rFonts w:asciiTheme="minorHAnsi" w:eastAsiaTheme="minorEastAsia" w:hAnsiTheme="minorHAnsi" w:cstheme="minorBidi"/>
          <w:b w:val="0"/>
          <w:noProof/>
          <w:kern w:val="0"/>
          <w:szCs w:val="22"/>
        </w:rPr>
        <w:tab/>
      </w:r>
      <w:r>
        <w:rPr>
          <w:noProof/>
        </w:rPr>
        <w:t>Plant Uptake</w:t>
      </w:r>
      <w:r>
        <w:rPr>
          <w:noProof/>
        </w:rPr>
        <w:tab/>
      </w:r>
      <w:r>
        <w:rPr>
          <w:noProof/>
        </w:rPr>
        <w:fldChar w:fldCharType="begin"/>
      </w:r>
      <w:r>
        <w:rPr>
          <w:noProof/>
        </w:rPr>
        <w:instrText xml:space="preserve"> PAGEREF _Toc351714278 \h </w:instrText>
      </w:r>
      <w:r>
        <w:rPr>
          <w:noProof/>
        </w:rPr>
      </w:r>
      <w:r>
        <w:rPr>
          <w:noProof/>
        </w:rPr>
        <w:fldChar w:fldCharType="separate"/>
      </w:r>
      <w:r w:rsidR="00F46106">
        <w:rPr>
          <w:noProof/>
        </w:rPr>
        <w:t>11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3.3.5</w:t>
      </w:r>
      <w:r>
        <w:rPr>
          <w:rFonts w:asciiTheme="minorHAnsi" w:eastAsiaTheme="minorEastAsia" w:hAnsiTheme="minorHAnsi" w:cstheme="minorBidi"/>
          <w:b w:val="0"/>
          <w:noProof/>
          <w:kern w:val="0"/>
          <w:szCs w:val="22"/>
        </w:rPr>
        <w:tab/>
      </w:r>
      <w:r>
        <w:rPr>
          <w:noProof/>
        </w:rPr>
        <w:t>Intakes from Other Sources – Background</w:t>
      </w:r>
      <w:r>
        <w:rPr>
          <w:noProof/>
        </w:rPr>
        <w:tab/>
      </w:r>
      <w:r>
        <w:rPr>
          <w:noProof/>
        </w:rPr>
        <w:fldChar w:fldCharType="begin"/>
      </w:r>
      <w:r>
        <w:rPr>
          <w:noProof/>
        </w:rPr>
        <w:instrText xml:space="preserve"> PAGEREF _Toc351714279 \h </w:instrText>
      </w:r>
      <w:r>
        <w:rPr>
          <w:noProof/>
        </w:rPr>
      </w:r>
      <w:r>
        <w:rPr>
          <w:noProof/>
        </w:rPr>
        <w:fldChar w:fldCharType="separate"/>
      </w:r>
      <w:r w:rsidR="00F46106">
        <w:rPr>
          <w:noProof/>
        </w:rPr>
        <w:t>12</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3.4</w:t>
      </w:r>
      <w:r>
        <w:rPr>
          <w:rFonts w:asciiTheme="minorHAnsi" w:eastAsiaTheme="minorEastAsia" w:hAnsiTheme="minorHAnsi" w:cstheme="minorBidi"/>
          <w:b w:val="0"/>
          <w:noProof/>
          <w:kern w:val="0"/>
          <w:sz w:val="22"/>
          <w:szCs w:val="22"/>
        </w:rPr>
        <w:tab/>
      </w:r>
      <w:r>
        <w:rPr>
          <w:noProof/>
        </w:rPr>
        <w:t>Identification of Toxicity Reference Values</w:t>
      </w:r>
      <w:r>
        <w:rPr>
          <w:noProof/>
        </w:rPr>
        <w:tab/>
      </w:r>
      <w:r>
        <w:rPr>
          <w:noProof/>
        </w:rPr>
        <w:fldChar w:fldCharType="begin"/>
      </w:r>
      <w:r>
        <w:rPr>
          <w:noProof/>
        </w:rPr>
        <w:instrText xml:space="preserve"> PAGEREF _Toc351714280 \h </w:instrText>
      </w:r>
      <w:r>
        <w:rPr>
          <w:noProof/>
        </w:rPr>
      </w:r>
      <w:r>
        <w:rPr>
          <w:noProof/>
        </w:rPr>
        <w:fldChar w:fldCharType="separate"/>
      </w:r>
      <w:r w:rsidR="00F46106">
        <w:rPr>
          <w:noProof/>
        </w:rPr>
        <w:t>12</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3.4.1</w:t>
      </w:r>
      <w:r>
        <w:rPr>
          <w:rFonts w:asciiTheme="minorHAnsi" w:eastAsiaTheme="minorEastAsia" w:hAnsiTheme="minorHAnsi" w:cstheme="minorBidi"/>
          <w:b w:val="0"/>
          <w:noProof/>
          <w:kern w:val="0"/>
          <w:szCs w:val="22"/>
        </w:rPr>
        <w:tab/>
      </w:r>
      <w:r>
        <w:rPr>
          <w:noProof/>
        </w:rPr>
        <w:t>Classification</w:t>
      </w:r>
      <w:r>
        <w:rPr>
          <w:noProof/>
        </w:rPr>
        <w:tab/>
      </w:r>
      <w:r>
        <w:rPr>
          <w:noProof/>
        </w:rPr>
        <w:fldChar w:fldCharType="begin"/>
      </w:r>
      <w:r>
        <w:rPr>
          <w:noProof/>
        </w:rPr>
        <w:instrText xml:space="preserve"> PAGEREF _Toc351714281 \h </w:instrText>
      </w:r>
      <w:r>
        <w:rPr>
          <w:noProof/>
        </w:rPr>
      </w:r>
      <w:r>
        <w:rPr>
          <w:noProof/>
        </w:rPr>
        <w:fldChar w:fldCharType="separate"/>
      </w:r>
      <w:r w:rsidR="00F46106">
        <w:rPr>
          <w:noProof/>
        </w:rPr>
        <w:t>12</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3.4.2</w:t>
      </w:r>
      <w:r>
        <w:rPr>
          <w:rFonts w:asciiTheme="minorHAnsi" w:eastAsiaTheme="minorEastAsia" w:hAnsiTheme="minorHAnsi" w:cstheme="minorBidi"/>
          <w:b w:val="0"/>
          <w:noProof/>
          <w:kern w:val="0"/>
          <w:szCs w:val="22"/>
        </w:rPr>
        <w:tab/>
      </w:r>
      <w:r>
        <w:rPr>
          <w:noProof/>
        </w:rPr>
        <w:t>Review of Available Values/Information</w:t>
      </w:r>
      <w:r>
        <w:rPr>
          <w:noProof/>
        </w:rPr>
        <w:tab/>
      </w:r>
      <w:r>
        <w:rPr>
          <w:noProof/>
        </w:rPr>
        <w:fldChar w:fldCharType="begin"/>
      </w:r>
      <w:r>
        <w:rPr>
          <w:noProof/>
        </w:rPr>
        <w:instrText xml:space="preserve"> PAGEREF _Toc351714282 \h </w:instrText>
      </w:r>
      <w:r>
        <w:rPr>
          <w:noProof/>
        </w:rPr>
      </w:r>
      <w:r>
        <w:rPr>
          <w:noProof/>
        </w:rPr>
        <w:fldChar w:fldCharType="separate"/>
      </w:r>
      <w:r w:rsidR="00F46106">
        <w:rPr>
          <w:noProof/>
        </w:rPr>
        <w:t>12</w:t>
      </w:r>
      <w:r>
        <w:rPr>
          <w:noProof/>
        </w:rPr>
        <w:fldChar w:fldCharType="end"/>
      </w:r>
    </w:p>
    <w:p w:rsidR="00297258" w:rsidRDefault="00297258" w:rsidP="00297258">
      <w:pPr>
        <w:pStyle w:val="TOC4"/>
        <w:tabs>
          <w:tab w:val="left" w:pos="2183"/>
        </w:tabs>
        <w:rPr>
          <w:rFonts w:asciiTheme="minorHAnsi" w:eastAsiaTheme="minorEastAsia" w:hAnsiTheme="minorHAnsi" w:cstheme="minorBidi"/>
          <w:b w:val="0"/>
          <w:noProof/>
          <w:kern w:val="0"/>
          <w:sz w:val="22"/>
          <w:szCs w:val="22"/>
        </w:rPr>
      </w:pPr>
      <w:r>
        <w:rPr>
          <w:noProof/>
        </w:rPr>
        <w:t>3.4.2.1</w:t>
      </w:r>
      <w:r>
        <w:rPr>
          <w:rFonts w:asciiTheme="minorHAnsi" w:eastAsiaTheme="minorEastAsia" w:hAnsiTheme="minorHAnsi" w:cstheme="minorBidi"/>
          <w:b w:val="0"/>
          <w:noProof/>
          <w:kern w:val="0"/>
          <w:sz w:val="22"/>
          <w:szCs w:val="22"/>
        </w:rPr>
        <w:tab/>
      </w:r>
      <w:r>
        <w:rPr>
          <w:noProof/>
        </w:rPr>
        <w:t>MCPA</w:t>
      </w:r>
      <w:r>
        <w:rPr>
          <w:noProof/>
        </w:rPr>
        <w:tab/>
      </w:r>
      <w:r>
        <w:rPr>
          <w:noProof/>
        </w:rPr>
        <w:fldChar w:fldCharType="begin"/>
      </w:r>
      <w:r>
        <w:rPr>
          <w:noProof/>
        </w:rPr>
        <w:instrText xml:space="preserve"> PAGEREF _Toc351714283 \h </w:instrText>
      </w:r>
      <w:r>
        <w:rPr>
          <w:noProof/>
        </w:rPr>
      </w:r>
      <w:r>
        <w:rPr>
          <w:noProof/>
        </w:rPr>
        <w:fldChar w:fldCharType="separate"/>
      </w:r>
      <w:r w:rsidR="00F46106">
        <w:rPr>
          <w:noProof/>
        </w:rPr>
        <w:t>12</w:t>
      </w:r>
      <w:r>
        <w:rPr>
          <w:noProof/>
        </w:rPr>
        <w:fldChar w:fldCharType="end"/>
      </w:r>
    </w:p>
    <w:p w:rsidR="00297258" w:rsidRDefault="00297258" w:rsidP="00297258">
      <w:pPr>
        <w:pStyle w:val="TOC4"/>
        <w:tabs>
          <w:tab w:val="left" w:pos="2183"/>
        </w:tabs>
        <w:rPr>
          <w:rFonts w:asciiTheme="minorHAnsi" w:eastAsiaTheme="minorEastAsia" w:hAnsiTheme="minorHAnsi" w:cstheme="minorBidi"/>
          <w:b w:val="0"/>
          <w:noProof/>
          <w:kern w:val="0"/>
          <w:sz w:val="22"/>
          <w:szCs w:val="22"/>
        </w:rPr>
      </w:pPr>
      <w:r>
        <w:rPr>
          <w:noProof/>
        </w:rPr>
        <w:t>3.4.2.2</w:t>
      </w:r>
      <w:r>
        <w:rPr>
          <w:rFonts w:asciiTheme="minorHAnsi" w:eastAsiaTheme="minorEastAsia" w:hAnsiTheme="minorHAnsi" w:cstheme="minorBidi"/>
          <w:b w:val="0"/>
          <w:noProof/>
          <w:kern w:val="0"/>
          <w:sz w:val="22"/>
          <w:szCs w:val="22"/>
        </w:rPr>
        <w:tab/>
      </w:r>
      <w:r>
        <w:rPr>
          <w:noProof/>
        </w:rPr>
        <w:t>MCPB</w:t>
      </w:r>
      <w:r>
        <w:rPr>
          <w:noProof/>
        </w:rPr>
        <w:tab/>
      </w:r>
      <w:r>
        <w:rPr>
          <w:noProof/>
        </w:rPr>
        <w:fldChar w:fldCharType="begin"/>
      </w:r>
      <w:r>
        <w:rPr>
          <w:noProof/>
        </w:rPr>
        <w:instrText xml:space="preserve"> PAGEREF _Toc351714284 \h </w:instrText>
      </w:r>
      <w:r>
        <w:rPr>
          <w:noProof/>
        </w:rPr>
      </w:r>
      <w:r>
        <w:rPr>
          <w:noProof/>
        </w:rPr>
        <w:fldChar w:fldCharType="separate"/>
      </w:r>
      <w:r w:rsidR="00F46106">
        <w:rPr>
          <w:noProof/>
        </w:rPr>
        <w:t>13</w:t>
      </w:r>
      <w:r>
        <w:rPr>
          <w:noProof/>
        </w:rPr>
        <w:fldChar w:fldCharType="end"/>
      </w:r>
    </w:p>
    <w:p w:rsidR="00297258" w:rsidRDefault="00297258" w:rsidP="00297258">
      <w:pPr>
        <w:pStyle w:val="TOC4"/>
        <w:tabs>
          <w:tab w:val="left" w:pos="2183"/>
        </w:tabs>
        <w:rPr>
          <w:rFonts w:asciiTheme="minorHAnsi" w:eastAsiaTheme="minorEastAsia" w:hAnsiTheme="minorHAnsi" w:cstheme="minorBidi"/>
          <w:b w:val="0"/>
          <w:noProof/>
          <w:kern w:val="0"/>
          <w:sz w:val="22"/>
          <w:szCs w:val="22"/>
        </w:rPr>
      </w:pPr>
      <w:r>
        <w:rPr>
          <w:noProof/>
        </w:rPr>
        <w:t>3.4.2.3</w:t>
      </w:r>
      <w:r>
        <w:rPr>
          <w:rFonts w:asciiTheme="minorHAnsi" w:eastAsiaTheme="minorEastAsia" w:hAnsiTheme="minorHAnsi" w:cstheme="minorBidi"/>
          <w:b w:val="0"/>
          <w:noProof/>
          <w:kern w:val="0"/>
          <w:sz w:val="22"/>
          <w:szCs w:val="22"/>
        </w:rPr>
        <w:tab/>
      </w:r>
      <w:r>
        <w:rPr>
          <w:noProof/>
        </w:rPr>
        <w:t>Mecoprop (MCPP)</w:t>
      </w:r>
      <w:r>
        <w:rPr>
          <w:noProof/>
        </w:rPr>
        <w:tab/>
      </w:r>
      <w:r>
        <w:rPr>
          <w:noProof/>
        </w:rPr>
        <w:fldChar w:fldCharType="begin"/>
      </w:r>
      <w:r>
        <w:rPr>
          <w:noProof/>
        </w:rPr>
        <w:instrText xml:space="preserve"> PAGEREF _Toc351714285 \h </w:instrText>
      </w:r>
      <w:r>
        <w:rPr>
          <w:noProof/>
        </w:rPr>
      </w:r>
      <w:r>
        <w:rPr>
          <w:noProof/>
        </w:rPr>
        <w:fldChar w:fldCharType="separate"/>
      </w:r>
      <w:r w:rsidR="00F46106">
        <w:rPr>
          <w:noProof/>
        </w:rPr>
        <w:t>13</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3.4.3</w:t>
      </w:r>
      <w:r>
        <w:rPr>
          <w:rFonts w:asciiTheme="minorHAnsi" w:eastAsiaTheme="minorEastAsia" w:hAnsiTheme="minorHAnsi" w:cstheme="minorBidi"/>
          <w:b w:val="0"/>
          <w:noProof/>
          <w:kern w:val="0"/>
          <w:szCs w:val="22"/>
        </w:rPr>
        <w:tab/>
      </w:r>
      <w:r>
        <w:rPr>
          <w:noProof/>
        </w:rPr>
        <w:t>Recommendation</w:t>
      </w:r>
      <w:r>
        <w:rPr>
          <w:noProof/>
        </w:rPr>
        <w:tab/>
      </w:r>
      <w:r>
        <w:rPr>
          <w:noProof/>
        </w:rPr>
        <w:fldChar w:fldCharType="begin"/>
      </w:r>
      <w:r>
        <w:rPr>
          <w:noProof/>
        </w:rPr>
        <w:instrText xml:space="preserve"> PAGEREF _Toc351714286 \h </w:instrText>
      </w:r>
      <w:r>
        <w:rPr>
          <w:noProof/>
        </w:rPr>
      </w:r>
      <w:r>
        <w:rPr>
          <w:noProof/>
        </w:rPr>
        <w:fldChar w:fldCharType="separate"/>
      </w:r>
      <w:r w:rsidR="00F46106">
        <w:rPr>
          <w:noProof/>
        </w:rPr>
        <w:t>14</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3.5</w:t>
      </w:r>
      <w:r>
        <w:rPr>
          <w:rFonts w:asciiTheme="minorHAnsi" w:eastAsiaTheme="minorEastAsia" w:hAnsiTheme="minorHAnsi" w:cstheme="minorBidi"/>
          <w:b w:val="0"/>
          <w:noProof/>
          <w:kern w:val="0"/>
          <w:sz w:val="22"/>
          <w:szCs w:val="22"/>
        </w:rPr>
        <w:tab/>
      </w:r>
      <w:r>
        <w:rPr>
          <w:noProof/>
        </w:rPr>
        <w:t>Calculated HILs</w:t>
      </w:r>
      <w:r>
        <w:rPr>
          <w:noProof/>
        </w:rPr>
        <w:tab/>
      </w:r>
      <w:r>
        <w:rPr>
          <w:noProof/>
        </w:rPr>
        <w:fldChar w:fldCharType="begin"/>
      </w:r>
      <w:r>
        <w:rPr>
          <w:noProof/>
        </w:rPr>
        <w:instrText xml:space="preserve"> PAGEREF _Toc351714287 \h </w:instrText>
      </w:r>
      <w:r>
        <w:rPr>
          <w:noProof/>
        </w:rPr>
      </w:r>
      <w:r>
        <w:rPr>
          <w:noProof/>
        </w:rPr>
        <w:fldChar w:fldCharType="separate"/>
      </w:r>
      <w:r w:rsidR="00F46106">
        <w:rPr>
          <w:noProof/>
        </w:rPr>
        <w:t>14</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3.6</w:t>
      </w:r>
      <w:r>
        <w:rPr>
          <w:rFonts w:asciiTheme="minorHAnsi" w:eastAsiaTheme="minorEastAsia" w:hAnsiTheme="minorHAnsi" w:cstheme="minorBidi"/>
          <w:b w:val="0"/>
          <w:noProof/>
          <w:kern w:val="0"/>
          <w:sz w:val="22"/>
          <w:szCs w:val="22"/>
        </w:rPr>
        <w:tab/>
      </w:r>
      <w:r>
        <w:rPr>
          <w:noProof/>
        </w:rPr>
        <w:t>References</w:t>
      </w:r>
      <w:r>
        <w:rPr>
          <w:noProof/>
        </w:rPr>
        <w:tab/>
      </w:r>
      <w:r>
        <w:rPr>
          <w:noProof/>
        </w:rPr>
        <w:fldChar w:fldCharType="begin"/>
      </w:r>
      <w:r>
        <w:rPr>
          <w:noProof/>
        </w:rPr>
        <w:instrText xml:space="preserve"> PAGEREF _Toc351714288 \h </w:instrText>
      </w:r>
      <w:r>
        <w:rPr>
          <w:noProof/>
        </w:rPr>
      </w:r>
      <w:r>
        <w:rPr>
          <w:noProof/>
        </w:rPr>
        <w:fldChar w:fldCharType="separate"/>
      </w:r>
      <w:r w:rsidR="00F46106">
        <w:rPr>
          <w:noProof/>
        </w:rPr>
        <w:t>14</w:t>
      </w:r>
      <w:r>
        <w:rPr>
          <w:noProof/>
        </w:rPr>
        <w:fldChar w:fldCharType="end"/>
      </w:r>
    </w:p>
    <w:p w:rsidR="00297258" w:rsidRDefault="00297258" w:rsidP="00297258">
      <w:pPr>
        <w:pStyle w:val="TOC1"/>
        <w:keepNext w:val="0"/>
        <w:rPr>
          <w:rFonts w:asciiTheme="minorHAnsi" w:eastAsiaTheme="minorEastAsia" w:hAnsiTheme="minorHAnsi" w:cstheme="minorBidi"/>
          <w:b w:val="0"/>
          <w:noProof/>
          <w:kern w:val="0"/>
          <w:sz w:val="22"/>
          <w:szCs w:val="22"/>
        </w:rPr>
      </w:pPr>
      <w:r>
        <w:rPr>
          <w:noProof/>
        </w:rPr>
        <w:t>4</w:t>
      </w:r>
      <w:r>
        <w:rPr>
          <w:rFonts w:asciiTheme="minorHAnsi" w:eastAsiaTheme="minorEastAsia" w:hAnsiTheme="minorHAnsi" w:cstheme="minorBidi"/>
          <w:b w:val="0"/>
          <w:noProof/>
          <w:kern w:val="0"/>
          <w:sz w:val="22"/>
          <w:szCs w:val="22"/>
        </w:rPr>
        <w:tab/>
      </w:r>
      <w:r>
        <w:rPr>
          <w:noProof/>
        </w:rPr>
        <w:t>Picloram</w:t>
      </w:r>
      <w:r>
        <w:rPr>
          <w:noProof/>
        </w:rPr>
        <w:tab/>
      </w:r>
      <w:r>
        <w:rPr>
          <w:noProof/>
        </w:rPr>
        <w:fldChar w:fldCharType="begin"/>
      </w:r>
      <w:r>
        <w:rPr>
          <w:noProof/>
        </w:rPr>
        <w:instrText xml:space="preserve"> PAGEREF _Toc351714289 \h </w:instrText>
      </w:r>
      <w:r>
        <w:rPr>
          <w:noProof/>
        </w:rPr>
      </w:r>
      <w:r>
        <w:rPr>
          <w:noProof/>
        </w:rPr>
        <w:fldChar w:fldCharType="separate"/>
      </w:r>
      <w:r w:rsidR="00F46106">
        <w:rPr>
          <w:noProof/>
        </w:rPr>
        <w:t>16</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4.1</w:t>
      </w:r>
      <w:r>
        <w:rPr>
          <w:rFonts w:asciiTheme="minorHAnsi" w:eastAsiaTheme="minorEastAsia" w:hAnsiTheme="minorHAnsi" w:cstheme="minorBidi"/>
          <w:b w:val="0"/>
          <w:noProof/>
          <w:kern w:val="0"/>
          <w:sz w:val="22"/>
          <w:szCs w:val="22"/>
        </w:rPr>
        <w:tab/>
      </w:r>
      <w:r>
        <w:rPr>
          <w:noProof/>
        </w:rPr>
        <w:t>General</w:t>
      </w:r>
      <w:r>
        <w:rPr>
          <w:noProof/>
        </w:rPr>
        <w:tab/>
      </w:r>
      <w:r>
        <w:rPr>
          <w:noProof/>
        </w:rPr>
        <w:fldChar w:fldCharType="begin"/>
      </w:r>
      <w:r>
        <w:rPr>
          <w:noProof/>
        </w:rPr>
        <w:instrText xml:space="preserve"> PAGEREF _Toc351714290 \h </w:instrText>
      </w:r>
      <w:r>
        <w:rPr>
          <w:noProof/>
        </w:rPr>
      </w:r>
      <w:r>
        <w:rPr>
          <w:noProof/>
        </w:rPr>
        <w:fldChar w:fldCharType="separate"/>
      </w:r>
      <w:r w:rsidR="00F46106">
        <w:rPr>
          <w:noProof/>
        </w:rPr>
        <w:t>16</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4.2</w:t>
      </w:r>
      <w:r>
        <w:rPr>
          <w:rFonts w:asciiTheme="minorHAnsi" w:eastAsiaTheme="minorEastAsia" w:hAnsiTheme="minorHAnsi" w:cstheme="minorBidi"/>
          <w:b w:val="0"/>
          <w:noProof/>
          <w:kern w:val="0"/>
          <w:sz w:val="22"/>
          <w:szCs w:val="22"/>
        </w:rPr>
        <w:tab/>
      </w:r>
      <w:r>
        <w:rPr>
          <w:noProof/>
        </w:rPr>
        <w:t>Previous HIL</w:t>
      </w:r>
      <w:r>
        <w:rPr>
          <w:noProof/>
        </w:rPr>
        <w:tab/>
      </w:r>
      <w:r>
        <w:rPr>
          <w:noProof/>
        </w:rPr>
        <w:fldChar w:fldCharType="begin"/>
      </w:r>
      <w:r>
        <w:rPr>
          <w:noProof/>
        </w:rPr>
        <w:instrText xml:space="preserve"> PAGEREF _Toc351714291 \h </w:instrText>
      </w:r>
      <w:r>
        <w:rPr>
          <w:noProof/>
        </w:rPr>
      </w:r>
      <w:r>
        <w:rPr>
          <w:noProof/>
        </w:rPr>
        <w:fldChar w:fldCharType="separate"/>
      </w:r>
      <w:r w:rsidR="00F46106">
        <w:rPr>
          <w:noProof/>
        </w:rPr>
        <w:t>16</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4.3</w:t>
      </w:r>
      <w:r>
        <w:rPr>
          <w:rFonts w:asciiTheme="minorHAnsi" w:eastAsiaTheme="minorEastAsia" w:hAnsiTheme="minorHAnsi" w:cstheme="minorBidi"/>
          <w:b w:val="0"/>
          <w:noProof/>
          <w:kern w:val="0"/>
          <w:sz w:val="22"/>
          <w:szCs w:val="22"/>
        </w:rPr>
        <w:tab/>
      </w:r>
      <w:r>
        <w:rPr>
          <w:noProof/>
        </w:rPr>
        <w:t>Significance of Exposure Pathways</w:t>
      </w:r>
      <w:r>
        <w:rPr>
          <w:noProof/>
        </w:rPr>
        <w:tab/>
      </w:r>
      <w:r>
        <w:rPr>
          <w:noProof/>
        </w:rPr>
        <w:fldChar w:fldCharType="begin"/>
      </w:r>
      <w:r>
        <w:rPr>
          <w:noProof/>
        </w:rPr>
        <w:instrText xml:space="preserve"> PAGEREF _Toc351714292 \h </w:instrText>
      </w:r>
      <w:r>
        <w:rPr>
          <w:noProof/>
        </w:rPr>
      </w:r>
      <w:r>
        <w:rPr>
          <w:noProof/>
        </w:rPr>
        <w:fldChar w:fldCharType="separate"/>
      </w:r>
      <w:r w:rsidR="00F46106">
        <w:rPr>
          <w:noProof/>
        </w:rPr>
        <w:t>16</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4.3.1</w:t>
      </w:r>
      <w:r>
        <w:rPr>
          <w:rFonts w:asciiTheme="minorHAnsi" w:eastAsiaTheme="minorEastAsia" w:hAnsiTheme="minorHAnsi" w:cstheme="minorBidi"/>
          <w:b w:val="0"/>
          <w:noProof/>
          <w:kern w:val="0"/>
          <w:szCs w:val="22"/>
        </w:rPr>
        <w:tab/>
      </w:r>
      <w:r>
        <w:rPr>
          <w:noProof/>
        </w:rPr>
        <w:t>Oral Bioavailability</w:t>
      </w:r>
      <w:r>
        <w:rPr>
          <w:noProof/>
        </w:rPr>
        <w:tab/>
      </w:r>
      <w:r>
        <w:rPr>
          <w:noProof/>
        </w:rPr>
        <w:fldChar w:fldCharType="begin"/>
      </w:r>
      <w:r>
        <w:rPr>
          <w:noProof/>
        </w:rPr>
        <w:instrText xml:space="preserve"> PAGEREF _Toc351714293 \h </w:instrText>
      </w:r>
      <w:r>
        <w:rPr>
          <w:noProof/>
        </w:rPr>
      </w:r>
      <w:r>
        <w:rPr>
          <w:noProof/>
        </w:rPr>
        <w:fldChar w:fldCharType="separate"/>
      </w:r>
      <w:r w:rsidR="00F46106">
        <w:rPr>
          <w:noProof/>
        </w:rPr>
        <w:t>16</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4.3.2</w:t>
      </w:r>
      <w:r>
        <w:rPr>
          <w:rFonts w:asciiTheme="minorHAnsi" w:eastAsiaTheme="minorEastAsia" w:hAnsiTheme="minorHAnsi" w:cstheme="minorBidi"/>
          <w:b w:val="0"/>
          <w:noProof/>
          <w:kern w:val="0"/>
          <w:szCs w:val="22"/>
        </w:rPr>
        <w:tab/>
      </w:r>
      <w:r>
        <w:rPr>
          <w:noProof/>
        </w:rPr>
        <w:t>Dermal absorption</w:t>
      </w:r>
      <w:r>
        <w:rPr>
          <w:noProof/>
        </w:rPr>
        <w:tab/>
      </w:r>
      <w:r>
        <w:rPr>
          <w:noProof/>
        </w:rPr>
        <w:fldChar w:fldCharType="begin"/>
      </w:r>
      <w:r>
        <w:rPr>
          <w:noProof/>
        </w:rPr>
        <w:instrText xml:space="preserve"> PAGEREF _Toc351714294 \h </w:instrText>
      </w:r>
      <w:r>
        <w:rPr>
          <w:noProof/>
        </w:rPr>
      </w:r>
      <w:r>
        <w:rPr>
          <w:noProof/>
        </w:rPr>
        <w:fldChar w:fldCharType="separate"/>
      </w:r>
      <w:r w:rsidR="00F46106">
        <w:rPr>
          <w:noProof/>
        </w:rPr>
        <w:t>16</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4.3.3</w:t>
      </w:r>
      <w:r>
        <w:rPr>
          <w:rFonts w:asciiTheme="minorHAnsi" w:eastAsiaTheme="minorEastAsia" w:hAnsiTheme="minorHAnsi" w:cstheme="minorBidi"/>
          <w:b w:val="0"/>
          <w:noProof/>
          <w:kern w:val="0"/>
          <w:szCs w:val="22"/>
        </w:rPr>
        <w:tab/>
      </w:r>
      <w:r>
        <w:rPr>
          <w:noProof/>
        </w:rPr>
        <w:t>Inhalation of Dust</w:t>
      </w:r>
      <w:r>
        <w:rPr>
          <w:noProof/>
        </w:rPr>
        <w:tab/>
      </w:r>
      <w:r>
        <w:rPr>
          <w:noProof/>
        </w:rPr>
        <w:fldChar w:fldCharType="begin"/>
      </w:r>
      <w:r>
        <w:rPr>
          <w:noProof/>
        </w:rPr>
        <w:instrText xml:space="preserve"> PAGEREF _Toc351714295 \h </w:instrText>
      </w:r>
      <w:r>
        <w:rPr>
          <w:noProof/>
        </w:rPr>
      </w:r>
      <w:r>
        <w:rPr>
          <w:noProof/>
        </w:rPr>
        <w:fldChar w:fldCharType="separate"/>
      </w:r>
      <w:r w:rsidR="00F46106">
        <w:rPr>
          <w:noProof/>
        </w:rPr>
        <w:t>16</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4.3.4</w:t>
      </w:r>
      <w:r>
        <w:rPr>
          <w:rFonts w:asciiTheme="minorHAnsi" w:eastAsiaTheme="minorEastAsia" w:hAnsiTheme="minorHAnsi" w:cstheme="minorBidi"/>
          <w:b w:val="0"/>
          <w:noProof/>
          <w:kern w:val="0"/>
          <w:szCs w:val="22"/>
        </w:rPr>
        <w:tab/>
      </w:r>
      <w:r>
        <w:rPr>
          <w:noProof/>
        </w:rPr>
        <w:t>Plant Uptake</w:t>
      </w:r>
      <w:r>
        <w:rPr>
          <w:noProof/>
        </w:rPr>
        <w:tab/>
      </w:r>
      <w:r>
        <w:rPr>
          <w:noProof/>
        </w:rPr>
        <w:fldChar w:fldCharType="begin"/>
      </w:r>
      <w:r>
        <w:rPr>
          <w:noProof/>
        </w:rPr>
        <w:instrText xml:space="preserve"> PAGEREF _Toc351714296 \h </w:instrText>
      </w:r>
      <w:r>
        <w:rPr>
          <w:noProof/>
        </w:rPr>
      </w:r>
      <w:r>
        <w:rPr>
          <w:noProof/>
        </w:rPr>
        <w:fldChar w:fldCharType="separate"/>
      </w:r>
      <w:r w:rsidR="00F46106">
        <w:rPr>
          <w:noProof/>
        </w:rPr>
        <w:t>16</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4.3.5</w:t>
      </w:r>
      <w:r>
        <w:rPr>
          <w:rFonts w:asciiTheme="minorHAnsi" w:eastAsiaTheme="minorEastAsia" w:hAnsiTheme="minorHAnsi" w:cstheme="minorBidi"/>
          <w:b w:val="0"/>
          <w:noProof/>
          <w:kern w:val="0"/>
          <w:szCs w:val="22"/>
        </w:rPr>
        <w:tab/>
      </w:r>
      <w:r>
        <w:rPr>
          <w:noProof/>
        </w:rPr>
        <w:t>Intakes from Other Sources – Background</w:t>
      </w:r>
      <w:r>
        <w:rPr>
          <w:noProof/>
        </w:rPr>
        <w:tab/>
      </w:r>
      <w:r>
        <w:rPr>
          <w:noProof/>
        </w:rPr>
        <w:fldChar w:fldCharType="begin"/>
      </w:r>
      <w:r>
        <w:rPr>
          <w:noProof/>
        </w:rPr>
        <w:instrText xml:space="preserve"> PAGEREF _Toc351714297 \h </w:instrText>
      </w:r>
      <w:r>
        <w:rPr>
          <w:noProof/>
        </w:rPr>
      </w:r>
      <w:r>
        <w:rPr>
          <w:noProof/>
        </w:rPr>
        <w:fldChar w:fldCharType="separate"/>
      </w:r>
      <w:r w:rsidR="00F46106">
        <w:rPr>
          <w:noProof/>
        </w:rPr>
        <w:t>17</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4.4</w:t>
      </w:r>
      <w:r>
        <w:rPr>
          <w:rFonts w:asciiTheme="minorHAnsi" w:eastAsiaTheme="minorEastAsia" w:hAnsiTheme="minorHAnsi" w:cstheme="minorBidi"/>
          <w:b w:val="0"/>
          <w:noProof/>
          <w:kern w:val="0"/>
          <w:sz w:val="22"/>
          <w:szCs w:val="22"/>
        </w:rPr>
        <w:tab/>
      </w:r>
      <w:r>
        <w:rPr>
          <w:noProof/>
        </w:rPr>
        <w:t>Identification of Toxicity Reference Values</w:t>
      </w:r>
      <w:r>
        <w:rPr>
          <w:noProof/>
        </w:rPr>
        <w:tab/>
      </w:r>
      <w:r>
        <w:rPr>
          <w:noProof/>
        </w:rPr>
        <w:fldChar w:fldCharType="begin"/>
      </w:r>
      <w:r>
        <w:rPr>
          <w:noProof/>
        </w:rPr>
        <w:instrText xml:space="preserve"> PAGEREF _Toc351714298 \h </w:instrText>
      </w:r>
      <w:r>
        <w:rPr>
          <w:noProof/>
        </w:rPr>
      </w:r>
      <w:r>
        <w:rPr>
          <w:noProof/>
        </w:rPr>
        <w:fldChar w:fldCharType="separate"/>
      </w:r>
      <w:r w:rsidR="00F46106">
        <w:rPr>
          <w:noProof/>
        </w:rPr>
        <w:t>17</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4.4.1</w:t>
      </w:r>
      <w:r>
        <w:rPr>
          <w:rFonts w:asciiTheme="minorHAnsi" w:eastAsiaTheme="minorEastAsia" w:hAnsiTheme="minorHAnsi" w:cstheme="minorBidi"/>
          <w:b w:val="0"/>
          <w:noProof/>
          <w:kern w:val="0"/>
          <w:szCs w:val="22"/>
        </w:rPr>
        <w:tab/>
      </w:r>
      <w:r>
        <w:rPr>
          <w:noProof/>
        </w:rPr>
        <w:t>Classification</w:t>
      </w:r>
      <w:r>
        <w:rPr>
          <w:noProof/>
        </w:rPr>
        <w:tab/>
      </w:r>
      <w:r>
        <w:rPr>
          <w:noProof/>
        </w:rPr>
        <w:fldChar w:fldCharType="begin"/>
      </w:r>
      <w:r>
        <w:rPr>
          <w:noProof/>
        </w:rPr>
        <w:instrText xml:space="preserve"> PAGEREF _Toc351714299 \h </w:instrText>
      </w:r>
      <w:r>
        <w:rPr>
          <w:noProof/>
        </w:rPr>
      </w:r>
      <w:r>
        <w:rPr>
          <w:noProof/>
        </w:rPr>
        <w:fldChar w:fldCharType="separate"/>
      </w:r>
      <w:r w:rsidR="00F46106">
        <w:rPr>
          <w:noProof/>
        </w:rPr>
        <w:t>17</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4.4.2</w:t>
      </w:r>
      <w:r>
        <w:rPr>
          <w:rFonts w:asciiTheme="minorHAnsi" w:eastAsiaTheme="minorEastAsia" w:hAnsiTheme="minorHAnsi" w:cstheme="minorBidi"/>
          <w:b w:val="0"/>
          <w:noProof/>
          <w:kern w:val="0"/>
          <w:szCs w:val="22"/>
        </w:rPr>
        <w:tab/>
      </w:r>
      <w:r>
        <w:rPr>
          <w:noProof/>
        </w:rPr>
        <w:t>Review of Available Values/Information</w:t>
      </w:r>
      <w:r>
        <w:rPr>
          <w:noProof/>
        </w:rPr>
        <w:tab/>
      </w:r>
      <w:r>
        <w:rPr>
          <w:noProof/>
        </w:rPr>
        <w:fldChar w:fldCharType="begin"/>
      </w:r>
      <w:r>
        <w:rPr>
          <w:noProof/>
        </w:rPr>
        <w:instrText xml:space="preserve"> PAGEREF _Toc351714300 \h </w:instrText>
      </w:r>
      <w:r>
        <w:rPr>
          <w:noProof/>
        </w:rPr>
      </w:r>
      <w:r>
        <w:rPr>
          <w:noProof/>
        </w:rPr>
        <w:fldChar w:fldCharType="separate"/>
      </w:r>
      <w:r w:rsidR="00F46106">
        <w:rPr>
          <w:noProof/>
        </w:rPr>
        <w:t>17</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4.4.3</w:t>
      </w:r>
      <w:r>
        <w:rPr>
          <w:rFonts w:asciiTheme="minorHAnsi" w:eastAsiaTheme="minorEastAsia" w:hAnsiTheme="minorHAnsi" w:cstheme="minorBidi"/>
          <w:b w:val="0"/>
          <w:noProof/>
          <w:kern w:val="0"/>
          <w:szCs w:val="22"/>
        </w:rPr>
        <w:tab/>
      </w:r>
      <w:r>
        <w:rPr>
          <w:noProof/>
        </w:rPr>
        <w:t>Recommendation</w:t>
      </w:r>
      <w:r>
        <w:rPr>
          <w:noProof/>
        </w:rPr>
        <w:tab/>
      </w:r>
      <w:r>
        <w:rPr>
          <w:noProof/>
        </w:rPr>
        <w:fldChar w:fldCharType="begin"/>
      </w:r>
      <w:r>
        <w:rPr>
          <w:noProof/>
        </w:rPr>
        <w:instrText xml:space="preserve"> PAGEREF _Toc351714301 \h </w:instrText>
      </w:r>
      <w:r>
        <w:rPr>
          <w:noProof/>
        </w:rPr>
      </w:r>
      <w:r>
        <w:rPr>
          <w:noProof/>
        </w:rPr>
        <w:fldChar w:fldCharType="separate"/>
      </w:r>
      <w:r w:rsidR="00F46106">
        <w:rPr>
          <w:noProof/>
        </w:rPr>
        <w:t>18</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4.5</w:t>
      </w:r>
      <w:r>
        <w:rPr>
          <w:rFonts w:asciiTheme="minorHAnsi" w:eastAsiaTheme="minorEastAsia" w:hAnsiTheme="minorHAnsi" w:cstheme="minorBidi"/>
          <w:b w:val="0"/>
          <w:noProof/>
          <w:kern w:val="0"/>
          <w:sz w:val="22"/>
          <w:szCs w:val="22"/>
        </w:rPr>
        <w:tab/>
      </w:r>
      <w:r>
        <w:rPr>
          <w:noProof/>
        </w:rPr>
        <w:t>Calculated HILs</w:t>
      </w:r>
      <w:r>
        <w:rPr>
          <w:noProof/>
        </w:rPr>
        <w:tab/>
      </w:r>
      <w:r>
        <w:rPr>
          <w:noProof/>
        </w:rPr>
        <w:fldChar w:fldCharType="begin"/>
      </w:r>
      <w:r>
        <w:rPr>
          <w:noProof/>
        </w:rPr>
        <w:instrText xml:space="preserve"> PAGEREF _Toc351714302 \h </w:instrText>
      </w:r>
      <w:r>
        <w:rPr>
          <w:noProof/>
        </w:rPr>
      </w:r>
      <w:r>
        <w:rPr>
          <w:noProof/>
        </w:rPr>
        <w:fldChar w:fldCharType="separate"/>
      </w:r>
      <w:r w:rsidR="00F46106">
        <w:rPr>
          <w:noProof/>
        </w:rPr>
        <w:t>18</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4.6</w:t>
      </w:r>
      <w:r>
        <w:rPr>
          <w:rFonts w:asciiTheme="minorHAnsi" w:eastAsiaTheme="minorEastAsia" w:hAnsiTheme="minorHAnsi" w:cstheme="minorBidi"/>
          <w:b w:val="0"/>
          <w:noProof/>
          <w:kern w:val="0"/>
          <w:sz w:val="22"/>
          <w:szCs w:val="22"/>
        </w:rPr>
        <w:tab/>
      </w:r>
      <w:r>
        <w:rPr>
          <w:noProof/>
        </w:rPr>
        <w:t>References</w:t>
      </w:r>
      <w:r>
        <w:rPr>
          <w:noProof/>
        </w:rPr>
        <w:tab/>
      </w:r>
      <w:r>
        <w:rPr>
          <w:noProof/>
        </w:rPr>
        <w:fldChar w:fldCharType="begin"/>
      </w:r>
      <w:r>
        <w:rPr>
          <w:noProof/>
        </w:rPr>
        <w:instrText xml:space="preserve"> PAGEREF _Toc351714303 \h </w:instrText>
      </w:r>
      <w:r>
        <w:rPr>
          <w:noProof/>
        </w:rPr>
      </w:r>
      <w:r>
        <w:rPr>
          <w:noProof/>
        </w:rPr>
        <w:fldChar w:fldCharType="separate"/>
      </w:r>
      <w:r w:rsidR="00F46106">
        <w:rPr>
          <w:noProof/>
        </w:rPr>
        <w:t>19</w:t>
      </w:r>
      <w:r>
        <w:rPr>
          <w:noProof/>
        </w:rPr>
        <w:fldChar w:fldCharType="end"/>
      </w:r>
    </w:p>
    <w:p w:rsidR="00297258" w:rsidRDefault="00297258" w:rsidP="00297258">
      <w:pPr>
        <w:pStyle w:val="TOC1"/>
        <w:keepNext w:val="0"/>
        <w:rPr>
          <w:rFonts w:asciiTheme="minorHAnsi" w:eastAsiaTheme="minorEastAsia" w:hAnsiTheme="minorHAnsi" w:cstheme="minorBidi"/>
          <w:b w:val="0"/>
          <w:noProof/>
          <w:kern w:val="0"/>
          <w:sz w:val="22"/>
          <w:szCs w:val="22"/>
        </w:rPr>
      </w:pPr>
      <w:r>
        <w:rPr>
          <w:noProof/>
        </w:rPr>
        <w:t>5</w:t>
      </w:r>
      <w:r>
        <w:rPr>
          <w:rFonts w:asciiTheme="minorHAnsi" w:eastAsiaTheme="minorEastAsia" w:hAnsiTheme="minorHAnsi" w:cstheme="minorBidi"/>
          <w:b w:val="0"/>
          <w:noProof/>
          <w:kern w:val="0"/>
          <w:sz w:val="22"/>
          <w:szCs w:val="22"/>
        </w:rPr>
        <w:tab/>
      </w:r>
      <w:r>
        <w:rPr>
          <w:noProof/>
        </w:rPr>
        <w:t>Atrazine</w:t>
      </w:r>
      <w:r>
        <w:rPr>
          <w:noProof/>
        </w:rPr>
        <w:tab/>
      </w:r>
      <w:r>
        <w:rPr>
          <w:noProof/>
        </w:rPr>
        <w:fldChar w:fldCharType="begin"/>
      </w:r>
      <w:r>
        <w:rPr>
          <w:noProof/>
        </w:rPr>
        <w:instrText xml:space="preserve"> PAGEREF _Toc351714304 \h </w:instrText>
      </w:r>
      <w:r>
        <w:rPr>
          <w:noProof/>
        </w:rPr>
      </w:r>
      <w:r>
        <w:rPr>
          <w:noProof/>
        </w:rPr>
        <w:fldChar w:fldCharType="separate"/>
      </w:r>
      <w:r w:rsidR="00F46106">
        <w:rPr>
          <w:noProof/>
        </w:rPr>
        <w:t>20</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5.1</w:t>
      </w:r>
      <w:r>
        <w:rPr>
          <w:rFonts w:asciiTheme="minorHAnsi" w:eastAsiaTheme="minorEastAsia" w:hAnsiTheme="minorHAnsi" w:cstheme="minorBidi"/>
          <w:b w:val="0"/>
          <w:noProof/>
          <w:kern w:val="0"/>
          <w:sz w:val="22"/>
          <w:szCs w:val="22"/>
        </w:rPr>
        <w:tab/>
      </w:r>
      <w:r>
        <w:rPr>
          <w:noProof/>
        </w:rPr>
        <w:t>General</w:t>
      </w:r>
      <w:r>
        <w:rPr>
          <w:noProof/>
        </w:rPr>
        <w:tab/>
      </w:r>
      <w:r>
        <w:rPr>
          <w:noProof/>
        </w:rPr>
        <w:fldChar w:fldCharType="begin"/>
      </w:r>
      <w:r>
        <w:rPr>
          <w:noProof/>
        </w:rPr>
        <w:instrText xml:space="preserve"> PAGEREF _Toc351714305 \h </w:instrText>
      </w:r>
      <w:r>
        <w:rPr>
          <w:noProof/>
        </w:rPr>
      </w:r>
      <w:r>
        <w:rPr>
          <w:noProof/>
        </w:rPr>
        <w:fldChar w:fldCharType="separate"/>
      </w:r>
      <w:r w:rsidR="00F46106">
        <w:rPr>
          <w:noProof/>
        </w:rPr>
        <w:t>20</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5.2</w:t>
      </w:r>
      <w:r>
        <w:rPr>
          <w:rFonts w:asciiTheme="minorHAnsi" w:eastAsiaTheme="minorEastAsia" w:hAnsiTheme="minorHAnsi" w:cstheme="minorBidi"/>
          <w:b w:val="0"/>
          <w:noProof/>
          <w:kern w:val="0"/>
          <w:sz w:val="22"/>
          <w:szCs w:val="22"/>
        </w:rPr>
        <w:tab/>
      </w:r>
      <w:r>
        <w:rPr>
          <w:noProof/>
        </w:rPr>
        <w:t>Previous HIL</w:t>
      </w:r>
      <w:r>
        <w:rPr>
          <w:noProof/>
        </w:rPr>
        <w:tab/>
      </w:r>
      <w:r>
        <w:rPr>
          <w:noProof/>
        </w:rPr>
        <w:fldChar w:fldCharType="begin"/>
      </w:r>
      <w:r>
        <w:rPr>
          <w:noProof/>
        </w:rPr>
        <w:instrText xml:space="preserve"> PAGEREF _Toc351714306 \h </w:instrText>
      </w:r>
      <w:r>
        <w:rPr>
          <w:noProof/>
        </w:rPr>
      </w:r>
      <w:r>
        <w:rPr>
          <w:noProof/>
        </w:rPr>
        <w:fldChar w:fldCharType="separate"/>
      </w:r>
      <w:r w:rsidR="00F46106">
        <w:rPr>
          <w:noProof/>
        </w:rPr>
        <w:t>21</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5.3</w:t>
      </w:r>
      <w:r>
        <w:rPr>
          <w:rFonts w:asciiTheme="minorHAnsi" w:eastAsiaTheme="minorEastAsia" w:hAnsiTheme="minorHAnsi" w:cstheme="minorBidi"/>
          <w:b w:val="0"/>
          <w:noProof/>
          <w:kern w:val="0"/>
          <w:sz w:val="22"/>
          <w:szCs w:val="22"/>
        </w:rPr>
        <w:tab/>
      </w:r>
      <w:r>
        <w:rPr>
          <w:noProof/>
        </w:rPr>
        <w:t>Significance of Exposure Pathways</w:t>
      </w:r>
      <w:r>
        <w:rPr>
          <w:noProof/>
        </w:rPr>
        <w:tab/>
      </w:r>
      <w:r>
        <w:rPr>
          <w:noProof/>
        </w:rPr>
        <w:fldChar w:fldCharType="begin"/>
      </w:r>
      <w:r>
        <w:rPr>
          <w:noProof/>
        </w:rPr>
        <w:instrText xml:space="preserve"> PAGEREF _Toc351714307 \h </w:instrText>
      </w:r>
      <w:r>
        <w:rPr>
          <w:noProof/>
        </w:rPr>
      </w:r>
      <w:r>
        <w:rPr>
          <w:noProof/>
        </w:rPr>
        <w:fldChar w:fldCharType="separate"/>
      </w:r>
      <w:r w:rsidR="00F46106">
        <w:rPr>
          <w:noProof/>
        </w:rPr>
        <w:t>21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5.3.1</w:t>
      </w:r>
      <w:r>
        <w:rPr>
          <w:rFonts w:asciiTheme="minorHAnsi" w:eastAsiaTheme="minorEastAsia" w:hAnsiTheme="minorHAnsi" w:cstheme="minorBidi"/>
          <w:b w:val="0"/>
          <w:noProof/>
          <w:kern w:val="0"/>
          <w:szCs w:val="22"/>
        </w:rPr>
        <w:tab/>
      </w:r>
      <w:r>
        <w:rPr>
          <w:noProof/>
        </w:rPr>
        <w:t>Oral Bioavailability</w:t>
      </w:r>
      <w:r>
        <w:rPr>
          <w:noProof/>
        </w:rPr>
        <w:tab/>
      </w:r>
      <w:r>
        <w:rPr>
          <w:noProof/>
        </w:rPr>
        <w:fldChar w:fldCharType="begin"/>
      </w:r>
      <w:r>
        <w:rPr>
          <w:noProof/>
        </w:rPr>
        <w:instrText xml:space="preserve"> PAGEREF _Toc351714308 \h </w:instrText>
      </w:r>
      <w:r>
        <w:rPr>
          <w:noProof/>
        </w:rPr>
      </w:r>
      <w:r>
        <w:rPr>
          <w:noProof/>
        </w:rPr>
        <w:fldChar w:fldCharType="separate"/>
      </w:r>
      <w:r w:rsidR="00F46106">
        <w:rPr>
          <w:noProof/>
        </w:rPr>
        <w:t>21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5.3.2</w:t>
      </w:r>
      <w:r>
        <w:rPr>
          <w:rFonts w:asciiTheme="minorHAnsi" w:eastAsiaTheme="minorEastAsia" w:hAnsiTheme="minorHAnsi" w:cstheme="minorBidi"/>
          <w:b w:val="0"/>
          <w:noProof/>
          <w:kern w:val="0"/>
          <w:szCs w:val="22"/>
        </w:rPr>
        <w:tab/>
      </w:r>
      <w:r>
        <w:rPr>
          <w:noProof/>
        </w:rPr>
        <w:t>Dermal absorption</w:t>
      </w:r>
      <w:r>
        <w:rPr>
          <w:noProof/>
        </w:rPr>
        <w:tab/>
      </w:r>
      <w:r>
        <w:rPr>
          <w:noProof/>
        </w:rPr>
        <w:fldChar w:fldCharType="begin"/>
      </w:r>
      <w:r>
        <w:rPr>
          <w:noProof/>
        </w:rPr>
        <w:instrText xml:space="preserve"> PAGEREF _Toc351714309 \h </w:instrText>
      </w:r>
      <w:r>
        <w:rPr>
          <w:noProof/>
        </w:rPr>
      </w:r>
      <w:r>
        <w:rPr>
          <w:noProof/>
        </w:rPr>
        <w:fldChar w:fldCharType="separate"/>
      </w:r>
      <w:r w:rsidR="00F46106">
        <w:rPr>
          <w:noProof/>
        </w:rPr>
        <w:t>21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5.3.3</w:t>
      </w:r>
      <w:r>
        <w:rPr>
          <w:rFonts w:asciiTheme="minorHAnsi" w:eastAsiaTheme="minorEastAsia" w:hAnsiTheme="minorHAnsi" w:cstheme="minorBidi"/>
          <w:b w:val="0"/>
          <w:noProof/>
          <w:kern w:val="0"/>
          <w:szCs w:val="22"/>
        </w:rPr>
        <w:tab/>
      </w:r>
      <w:r>
        <w:rPr>
          <w:noProof/>
        </w:rPr>
        <w:t>Inhalation of Dust</w:t>
      </w:r>
      <w:r>
        <w:rPr>
          <w:noProof/>
        </w:rPr>
        <w:tab/>
      </w:r>
      <w:r>
        <w:rPr>
          <w:noProof/>
        </w:rPr>
        <w:fldChar w:fldCharType="begin"/>
      </w:r>
      <w:r>
        <w:rPr>
          <w:noProof/>
        </w:rPr>
        <w:instrText xml:space="preserve"> PAGEREF _Toc351714310 \h </w:instrText>
      </w:r>
      <w:r>
        <w:rPr>
          <w:noProof/>
        </w:rPr>
      </w:r>
      <w:r>
        <w:rPr>
          <w:noProof/>
        </w:rPr>
        <w:fldChar w:fldCharType="separate"/>
      </w:r>
      <w:r w:rsidR="00F46106">
        <w:rPr>
          <w:noProof/>
        </w:rPr>
        <w:t>21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5.3.4</w:t>
      </w:r>
      <w:r>
        <w:rPr>
          <w:rFonts w:asciiTheme="minorHAnsi" w:eastAsiaTheme="minorEastAsia" w:hAnsiTheme="minorHAnsi" w:cstheme="minorBidi"/>
          <w:b w:val="0"/>
          <w:noProof/>
          <w:kern w:val="0"/>
          <w:szCs w:val="22"/>
        </w:rPr>
        <w:tab/>
      </w:r>
      <w:r>
        <w:rPr>
          <w:noProof/>
        </w:rPr>
        <w:t>Plant Uptake</w:t>
      </w:r>
      <w:r>
        <w:rPr>
          <w:noProof/>
        </w:rPr>
        <w:tab/>
      </w:r>
      <w:r>
        <w:rPr>
          <w:noProof/>
        </w:rPr>
        <w:fldChar w:fldCharType="begin"/>
      </w:r>
      <w:r>
        <w:rPr>
          <w:noProof/>
        </w:rPr>
        <w:instrText xml:space="preserve"> PAGEREF _Toc351714311 \h </w:instrText>
      </w:r>
      <w:r>
        <w:rPr>
          <w:noProof/>
        </w:rPr>
      </w:r>
      <w:r>
        <w:rPr>
          <w:noProof/>
        </w:rPr>
        <w:fldChar w:fldCharType="separate"/>
      </w:r>
      <w:r w:rsidR="00F46106">
        <w:rPr>
          <w:noProof/>
        </w:rPr>
        <w:t>21</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5.3.5</w:t>
      </w:r>
      <w:r>
        <w:rPr>
          <w:rFonts w:asciiTheme="minorHAnsi" w:eastAsiaTheme="minorEastAsia" w:hAnsiTheme="minorHAnsi" w:cstheme="minorBidi"/>
          <w:b w:val="0"/>
          <w:noProof/>
          <w:kern w:val="0"/>
          <w:szCs w:val="22"/>
        </w:rPr>
        <w:tab/>
      </w:r>
      <w:r>
        <w:rPr>
          <w:noProof/>
        </w:rPr>
        <w:t>Intakes from Other Sources – Background</w:t>
      </w:r>
      <w:r>
        <w:rPr>
          <w:noProof/>
        </w:rPr>
        <w:tab/>
      </w:r>
      <w:r>
        <w:rPr>
          <w:noProof/>
        </w:rPr>
        <w:fldChar w:fldCharType="begin"/>
      </w:r>
      <w:r>
        <w:rPr>
          <w:noProof/>
        </w:rPr>
        <w:instrText xml:space="preserve"> PAGEREF _Toc351714312 \h </w:instrText>
      </w:r>
      <w:r>
        <w:rPr>
          <w:noProof/>
        </w:rPr>
      </w:r>
      <w:r>
        <w:rPr>
          <w:noProof/>
        </w:rPr>
        <w:fldChar w:fldCharType="separate"/>
      </w:r>
      <w:r w:rsidR="00F46106">
        <w:rPr>
          <w:noProof/>
        </w:rPr>
        <w:t>21</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lastRenderedPageBreak/>
        <w:t>5.4</w:t>
      </w:r>
      <w:r>
        <w:rPr>
          <w:rFonts w:asciiTheme="minorHAnsi" w:eastAsiaTheme="minorEastAsia" w:hAnsiTheme="minorHAnsi" w:cstheme="minorBidi"/>
          <w:b w:val="0"/>
          <w:noProof/>
          <w:kern w:val="0"/>
          <w:sz w:val="22"/>
          <w:szCs w:val="22"/>
        </w:rPr>
        <w:tab/>
      </w:r>
      <w:r>
        <w:rPr>
          <w:noProof/>
        </w:rPr>
        <w:t>Identification of Toxicity Reference Values</w:t>
      </w:r>
      <w:r>
        <w:rPr>
          <w:noProof/>
        </w:rPr>
        <w:tab/>
      </w:r>
      <w:r>
        <w:rPr>
          <w:noProof/>
        </w:rPr>
        <w:fldChar w:fldCharType="begin"/>
      </w:r>
      <w:r>
        <w:rPr>
          <w:noProof/>
        </w:rPr>
        <w:instrText xml:space="preserve"> PAGEREF _Toc351714313 \h </w:instrText>
      </w:r>
      <w:r>
        <w:rPr>
          <w:noProof/>
        </w:rPr>
      </w:r>
      <w:r>
        <w:rPr>
          <w:noProof/>
        </w:rPr>
        <w:fldChar w:fldCharType="separate"/>
      </w:r>
      <w:r w:rsidR="00F46106">
        <w:rPr>
          <w:noProof/>
        </w:rPr>
        <w:t>22</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5.4.1</w:t>
      </w:r>
      <w:r>
        <w:rPr>
          <w:rFonts w:asciiTheme="minorHAnsi" w:eastAsiaTheme="minorEastAsia" w:hAnsiTheme="minorHAnsi" w:cstheme="minorBidi"/>
          <w:b w:val="0"/>
          <w:noProof/>
          <w:kern w:val="0"/>
          <w:szCs w:val="22"/>
        </w:rPr>
        <w:tab/>
      </w:r>
      <w:r>
        <w:rPr>
          <w:noProof/>
        </w:rPr>
        <w:t>Classification</w:t>
      </w:r>
      <w:r>
        <w:rPr>
          <w:noProof/>
        </w:rPr>
        <w:tab/>
      </w:r>
      <w:r>
        <w:rPr>
          <w:noProof/>
        </w:rPr>
        <w:fldChar w:fldCharType="begin"/>
      </w:r>
      <w:r>
        <w:rPr>
          <w:noProof/>
        </w:rPr>
        <w:instrText xml:space="preserve"> PAGEREF _Toc351714314 \h </w:instrText>
      </w:r>
      <w:r>
        <w:rPr>
          <w:noProof/>
        </w:rPr>
      </w:r>
      <w:r>
        <w:rPr>
          <w:noProof/>
        </w:rPr>
        <w:fldChar w:fldCharType="separate"/>
      </w:r>
      <w:r w:rsidR="00F46106">
        <w:rPr>
          <w:noProof/>
        </w:rPr>
        <w:t>22</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5.4.2</w:t>
      </w:r>
      <w:r>
        <w:rPr>
          <w:rFonts w:asciiTheme="minorHAnsi" w:eastAsiaTheme="minorEastAsia" w:hAnsiTheme="minorHAnsi" w:cstheme="minorBidi"/>
          <w:b w:val="0"/>
          <w:noProof/>
          <w:kern w:val="0"/>
          <w:szCs w:val="22"/>
        </w:rPr>
        <w:tab/>
      </w:r>
      <w:r>
        <w:rPr>
          <w:noProof/>
        </w:rPr>
        <w:t>Review of Available Values/Information</w:t>
      </w:r>
      <w:r>
        <w:rPr>
          <w:noProof/>
        </w:rPr>
        <w:tab/>
      </w:r>
      <w:r>
        <w:rPr>
          <w:noProof/>
        </w:rPr>
        <w:fldChar w:fldCharType="begin"/>
      </w:r>
      <w:r>
        <w:rPr>
          <w:noProof/>
        </w:rPr>
        <w:instrText xml:space="preserve"> PAGEREF _Toc351714315 \h </w:instrText>
      </w:r>
      <w:r>
        <w:rPr>
          <w:noProof/>
        </w:rPr>
      </w:r>
      <w:r>
        <w:rPr>
          <w:noProof/>
        </w:rPr>
        <w:fldChar w:fldCharType="separate"/>
      </w:r>
      <w:r w:rsidR="00F46106">
        <w:rPr>
          <w:noProof/>
        </w:rPr>
        <w:t>22</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5.4.3</w:t>
      </w:r>
      <w:r>
        <w:rPr>
          <w:rFonts w:asciiTheme="minorHAnsi" w:eastAsiaTheme="minorEastAsia" w:hAnsiTheme="minorHAnsi" w:cstheme="minorBidi"/>
          <w:b w:val="0"/>
          <w:noProof/>
          <w:kern w:val="0"/>
          <w:szCs w:val="22"/>
        </w:rPr>
        <w:tab/>
      </w:r>
      <w:r>
        <w:rPr>
          <w:noProof/>
        </w:rPr>
        <w:t>Recommendation</w:t>
      </w:r>
      <w:r>
        <w:rPr>
          <w:noProof/>
        </w:rPr>
        <w:tab/>
      </w:r>
      <w:r>
        <w:rPr>
          <w:noProof/>
        </w:rPr>
        <w:fldChar w:fldCharType="begin"/>
      </w:r>
      <w:r>
        <w:rPr>
          <w:noProof/>
        </w:rPr>
        <w:instrText xml:space="preserve"> PAGEREF _Toc351714316 \h </w:instrText>
      </w:r>
      <w:r>
        <w:rPr>
          <w:noProof/>
        </w:rPr>
      </w:r>
      <w:r>
        <w:rPr>
          <w:noProof/>
        </w:rPr>
        <w:fldChar w:fldCharType="separate"/>
      </w:r>
      <w:r w:rsidR="00F46106">
        <w:rPr>
          <w:noProof/>
        </w:rPr>
        <w:t>23</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5.5</w:t>
      </w:r>
      <w:r>
        <w:rPr>
          <w:rFonts w:asciiTheme="minorHAnsi" w:eastAsiaTheme="minorEastAsia" w:hAnsiTheme="minorHAnsi" w:cstheme="minorBidi"/>
          <w:b w:val="0"/>
          <w:noProof/>
          <w:kern w:val="0"/>
          <w:sz w:val="22"/>
          <w:szCs w:val="22"/>
        </w:rPr>
        <w:tab/>
      </w:r>
      <w:r>
        <w:rPr>
          <w:noProof/>
        </w:rPr>
        <w:t>Calculated HILs</w:t>
      </w:r>
      <w:r>
        <w:rPr>
          <w:noProof/>
        </w:rPr>
        <w:tab/>
      </w:r>
      <w:r>
        <w:rPr>
          <w:noProof/>
        </w:rPr>
        <w:fldChar w:fldCharType="begin"/>
      </w:r>
      <w:r>
        <w:rPr>
          <w:noProof/>
        </w:rPr>
        <w:instrText xml:space="preserve"> PAGEREF _Toc351714317 \h </w:instrText>
      </w:r>
      <w:r>
        <w:rPr>
          <w:noProof/>
        </w:rPr>
      </w:r>
      <w:r>
        <w:rPr>
          <w:noProof/>
        </w:rPr>
        <w:fldChar w:fldCharType="separate"/>
      </w:r>
      <w:r w:rsidR="00F46106">
        <w:rPr>
          <w:noProof/>
        </w:rPr>
        <w:t>24</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5.6</w:t>
      </w:r>
      <w:r>
        <w:rPr>
          <w:rFonts w:asciiTheme="minorHAnsi" w:eastAsiaTheme="minorEastAsia" w:hAnsiTheme="minorHAnsi" w:cstheme="minorBidi"/>
          <w:b w:val="0"/>
          <w:noProof/>
          <w:kern w:val="0"/>
          <w:sz w:val="22"/>
          <w:szCs w:val="22"/>
        </w:rPr>
        <w:tab/>
      </w:r>
      <w:r>
        <w:rPr>
          <w:noProof/>
        </w:rPr>
        <w:t>References</w:t>
      </w:r>
      <w:r>
        <w:rPr>
          <w:noProof/>
        </w:rPr>
        <w:tab/>
      </w:r>
      <w:r>
        <w:rPr>
          <w:noProof/>
        </w:rPr>
        <w:fldChar w:fldCharType="begin"/>
      </w:r>
      <w:r>
        <w:rPr>
          <w:noProof/>
        </w:rPr>
        <w:instrText xml:space="preserve"> PAGEREF _Toc351714318 \h </w:instrText>
      </w:r>
      <w:r>
        <w:rPr>
          <w:noProof/>
        </w:rPr>
      </w:r>
      <w:r>
        <w:rPr>
          <w:noProof/>
        </w:rPr>
        <w:fldChar w:fldCharType="separate"/>
      </w:r>
      <w:r w:rsidR="00F46106">
        <w:rPr>
          <w:noProof/>
        </w:rPr>
        <w:t>24</w:t>
      </w:r>
      <w:r>
        <w:rPr>
          <w:noProof/>
        </w:rPr>
        <w:fldChar w:fldCharType="end"/>
      </w:r>
    </w:p>
    <w:p w:rsidR="00297258" w:rsidRDefault="00297258" w:rsidP="00297258">
      <w:pPr>
        <w:pStyle w:val="TOC1"/>
        <w:keepNext w:val="0"/>
        <w:rPr>
          <w:rFonts w:asciiTheme="minorHAnsi" w:eastAsiaTheme="minorEastAsia" w:hAnsiTheme="minorHAnsi" w:cstheme="minorBidi"/>
          <w:b w:val="0"/>
          <w:noProof/>
          <w:kern w:val="0"/>
          <w:sz w:val="22"/>
          <w:szCs w:val="22"/>
        </w:rPr>
      </w:pPr>
      <w:r>
        <w:rPr>
          <w:noProof/>
        </w:rPr>
        <w:t>6</w:t>
      </w:r>
      <w:r>
        <w:rPr>
          <w:rFonts w:asciiTheme="minorHAnsi" w:eastAsiaTheme="minorEastAsia" w:hAnsiTheme="minorHAnsi" w:cstheme="minorBidi"/>
          <w:b w:val="0"/>
          <w:noProof/>
          <w:kern w:val="0"/>
          <w:sz w:val="22"/>
          <w:szCs w:val="22"/>
        </w:rPr>
        <w:tab/>
      </w:r>
      <w:r>
        <w:rPr>
          <w:noProof/>
        </w:rPr>
        <w:t>Chlorpyrifos</w:t>
      </w:r>
      <w:r>
        <w:rPr>
          <w:noProof/>
        </w:rPr>
        <w:tab/>
      </w:r>
      <w:r>
        <w:rPr>
          <w:noProof/>
        </w:rPr>
        <w:fldChar w:fldCharType="begin"/>
      </w:r>
      <w:r>
        <w:rPr>
          <w:noProof/>
        </w:rPr>
        <w:instrText xml:space="preserve"> PAGEREF _Toc351714319 \h </w:instrText>
      </w:r>
      <w:r>
        <w:rPr>
          <w:noProof/>
        </w:rPr>
      </w:r>
      <w:r>
        <w:rPr>
          <w:noProof/>
        </w:rPr>
        <w:fldChar w:fldCharType="separate"/>
      </w:r>
      <w:r w:rsidR="00F46106">
        <w:rPr>
          <w:noProof/>
        </w:rPr>
        <w:t>26</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6.1</w:t>
      </w:r>
      <w:r>
        <w:rPr>
          <w:rFonts w:asciiTheme="minorHAnsi" w:eastAsiaTheme="minorEastAsia" w:hAnsiTheme="minorHAnsi" w:cstheme="minorBidi"/>
          <w:b w:val="0"/>
          <w:noProof/>
          <w:kern w:val="0"/>
          <w:sz w:val="22"/>
          <w:szCs w:val="22"/>
        </w:rPr>
        <w:tab/>
      </w:r>
      <w:r>
        <w:rPr>
          <w:noProof/>
        </w:rPr>
        <w:t>General</w:t>
      </w:r>
      <w:r>
        <w:rPr>
          <w:noProof/>
        </w:rPr>
        <w:tab/>
      </w:r>
      <w:r>
        <w:rPr>
          <w:noProof/>
        </w:rPr>
        <w:fldChar w:fldCharType="begin"/>
      </w:r>
      <w:r>
        <w:rPr>
          <w:noProof/>
        </w:rPr>
        <w:instrText xml:space="preserve"> PAGEREF _Toc351714320 \h </w:instrText>
      </w:r>
      <w:r>
        <w:rPr>
          <w:noProof/>
        </w:rPr>
      </w:r>
      <w:r>
        <w:rPr>
          <w:noProof/>
        </w:rPr>
        <w:fldChar w:fldCharType="separate"/>
      </w:r>
      <w:r w:rsidR="00F46106">
        <w:rPr>
          <w:noProof/>
        </w:rPr>
        <w:t>26</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6.2</w:t>
      </w:r>
      <w:r>
        <w:rPr>
          <w:rFonts w:asciiTheme="minorHAnsi" w:eastAsiaTheme="minorEastAsia" w:hAnsiTheme="minorHAnsi" w:cstheme="minorBidi"/>
          <w:b w:val="0"/>
          <w:noProof/>
          <w:kern w:val="0"/>
          <w:sz w:val="22"/>
          <w:szCs w:val="22"/>
        </w:rPr>
        <w:tab/>
      </w:r>
      <w:r>
        <w:rPr>
          <w:noProof/>
        </w:rPr>
        <w:t>Previous HIL</w:t>
      </w:r>
      <w:r>
        <w:rPr>
          <w:noProof/>
        </w:rPr>
        <w:tab/>
      </w:r>
      <w:r>
        <w:rPr>
          <w:noProof/>
        </w:rPr>
        <w:fldChar w:fldCharType="begin"/>
      </w:r>
      <w:r>
        <w:rPr>
          <w:noProof/>
        </w:rPr>
        <w:instrText xml:space="preserve"> PAGEREF _Toc351714321 \h </w:instrText>
      </w:r>
      <w:r>
        <w:rPr>
          <w:noProof/>
        </w:rPr>
      </w:r>
      <w:r>
        <w:rPr>
          <w:noProof/>
        </w:rPr>
        <w:fldChar w:fldCharType="separate"/>
      </w:r>
      <w:r w:rsidR="00F46106">
        <w:rPr>
          <w:noProof/>
        </w:rPr>
        <w:t>26</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6.3</w:t>
      </w:r>
      <w:r>
        <w:rPr>
          <w:rFonts w:asciiTheme="minorHAnsi" w:eastAsiaTheme="minorEastAsia" w:hAnsiTheme="minorHAnsi" w:cstheme="minorBidi"/>
          <w:b w:val="0"/>
          <w:noProof/>
          <w:kern w:val="0"/>
          <w:sz w:val="22"/>
          <w:szCs w:val="22"/>
        </w:rPr>
        <w:tab/>
      </w:r>
      <w:r>
        <w:rPr>
          <w:noProof/>
        </w:rPr>
        <w:t>Significance of Exposure Pathways</w:t>
      </w:r>
      <w:r>
        <w:rPr>
          <w:noProof/>
        </w:rPr>
        <w:tab/>
      </w:r>
      <w:r>
        <w:rPr>
          <w:noProof/>
        </w:rPr>
        <w:fldChar w:fldCharType="begin"/>
      </w:r>
      <w:r>
        <w:rPr>
          <w:noProof/>
        </w:rPr>
        <w:instrText xml:space="preserve"> PAGEREF _Toc351714322 \h </w:instrText>
      </w:r>
      <w:r>
        <w:rPr>
          <w:noProof/>
        </w:rPr>
      </w:r>
      <w:r>
        <w:rPr>
          <w:noProof/>
        </w:rPr>
        <w:fldChar w:fldCharType="separate"/>
      </w:r>
      <w:r w:rsidR="00F46106">
        <w:rPr>
          <w:noProof/>
        </w:rPr>
        <w:t>27</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6.3.1</w:t>
      </w:r>
      <w:r>
        <w:rPr>
          <w:rFonts w:asciiTheme="minorHAnsi" w:eastAsiaTheme="minorEastAsia" w:hAnsiTheme="minorHAnsi" w:cstheme="minorBidi"/>
          <w:b w:val="0"/>
          <w:noProof/>
          <w:kern w:val="0"/>
          <w:szCs w:val="22"/>
        </w:rPr>
        <w:tab/>
      </w:r>
      <w:r>
        <w:rPr>
          <w:noProof/>
        </w:rPr>
        <w:t>Oral Bioavailability</w:t>
      </w:r>
      <w:r>
        <w:rPr>
          <w:noProof/>
        </w:rPr>
        <w:tab/>
      </w:r>
      <w:r>
        <w:rPr>
          <w:noProof/>
        </w:rPr>
        <w:fldChar w:fldCharType="begin"/>
      </w:r>
      <w:r>
        <w:rPr>
          <w:noProof/>
        </w:rPr>
        <w:instrText xml:space="preserve"> PAGEREF _Toc351714323 \h </w:instrText>
      </w:r>
      <w:r>
        <w:rPr>
          <w:noProof/>
        </w:rPr>
      </w:r>
      <w:r>
        <w:rPr>
          <w:noProof/>
        </w:rPr>
        <w:fldChar w:fldCharType="separate"/>
      </w:r>
      <w:r w:rsidR="00F46106">
        <w:rPr>
          <w:noProof/>
        </w:rPr>
        <w:t>27</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6.3.2</w:t>
      </w:r>
      <w:r>
        <w:rPr>
          <w:rFonts w:asciiTheme="minorHAnsi" w:eastAsiaTheme="minorEastAsia" w:hAnsiTheme="minorHAnsi" w:cstheme="minorBidi"/>
          <w:b w:val="0"/>
          <w:noProof/>
          <w:kern w:val="0"/>
          <w:szCs w:val="22"/>
        </w:rPr>
        <w:tab/>
      </w:r>
      <w:r>
        <w:rPr>
          <w:noProof/>
        </w:rPr>
        <w:t>Dermal absorption</w:t>
      </w:r>
      <w:r>
        <w:rPr>
          <w:noProof/>
        </w:rPr>
        <w:tab/>
      </w:r>
      <w:r>
        <w:rPr>
          <w:noProof/>
        </w:rPr>
        <w:fldChar w:fldCharType="begin"/>
      </w:r>
      <w:r>
        <w:rPr>
          <w:noProof/>
        </w:rPr>
        <w:instrText xml:space="preserve"> PAGEREF _Toc351714324 \h </w:instrText>
      </w:r>
      <w:r>
        <w:rPr>
          <w:noProof/>
        </w:rPr>
      </w:r>
      <w:r>
        <w:rPr>
          <w:noProof/>
        </w:rPr>
        <w:fldChar w:fldCharType="separate"/>
      </w:r>
      <w:r w:rsidR="00F46106">
        <w:rPr>
          <w:noProof/>
        </w:rPr>
        <w:t>27</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6.3.3</w:t>
      </w:r>
      <w:r>
        <w:rPr>
          <w:rFonts w:asciiTheme="minorHAnsi" w:eastAsiaTheme="minorEastAsia" w:hAnsiTheme="minorHAnsi" w:cstheme="minorBidi"/>
          <w:b w:val="0"/>
          <w:noProof/>
          <w:kern w:val="0"/>
          <w:szCs w:val="22"/>
        </w:rPr>
        <w:tab/>
      </w:r>
      <w:r>
        <w:rPr>
          <w:noProof/>
        </w:rPr>
        <w:t>Inhalation of Dust</w:t>
      </w:r>
      <w:r>
        <w:rPr>
          <w:noProof/>
        </w:rPr>
        <w:tab/>
      </w:r>
      <w:r>
        <w:rPr>
          <w:noProof/>
        </w:rPr>
        <w:fldChar w:fldCharType="begin"/>
      </w:r>
      <w:r>
        <w:rPr>
          <w:noProof/>
        </w:rPr>
        <w:instrText xml:space="preserve"> PAGEREF _Toc351714325 \h </w:instrText>
      </w:r>
      <w:r>
        <w:rPr>
          <w:noProof/>
        </w:rPr>
      </w:r>
      <w:r>
        <w:rPr>
          <w:noProof/>
        </w:rPr>
        <w:fldChar w:fldCharType="separate"/>
      </w:r>
      <w:r w:rsidR="00F46106">
        <w:rPr>
          <w:noProof/>
        </w:rPr>
        <w:t>27</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6.3.4</w:t>
      </w:r>
      <w:r>
        <w:rPr>
          <w:rFonts w:asciiTheme="minorHAnsi" w:eastAsiaTheme="minorEastAsia" w:hAnsiTheme="minorHAnsi" w:cstheme="minorBidi"/>
          <w:b w:val="0"/>
          <w:noProof/>
          <w:kern w:val="0"/>
          <w:szCs w:val="22"/>
        </w:rPr>
        <w:tab/>
      </w:r>
      <w:r>
        <w:rPr>
          <w:noProof/>
        </w:rPr>
        <w:t>Plant Uptake</w:t>
      </w:r>
      <w:r>
        <w:rPr>
          <w:noProof/>
        </w:rPr>
        <w:tab/>
      </w:r>
      <w:r>
        <w:rPr>
          <w:noProof/>
        </w:rPr>
        <w:fldChar w:fldCharType="begin"/>
      </w:r>
      <w:r>
        <w:rPr>
          <w:noProof/>
        </w:rPr>
        <w:instrText xml:space="preserve"> PAGEREF _Toc351714326 \h </w:instrText>
      </w:r>
      <w:r>
        <w:rPr>
          <w:noProof/>
        </w:rPr>
      </w:r>
      <w:r>
        <w:rPr>
          <w:noProof/>
        </w:rPr>
        <w:fldChar w:fldCharType="separate"/>
      </w:r>
      <w:r w:rsidR="00F46106">
        <w:rPr>
          <w:noProof/>
        </w:rPr>
        <w:t>27</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6.3.5</w:t>
      </w:r>
      <w:r>
        <w:rPr>
          <w:rFonts w:asciiTheme="minorHAnsi" w:eastAsiaTheme="minorEastAsia" w:hAnsiTheme="minorHAnsi" w:cstheme="minorBidi"/>
          <w:b w:val="0"/>
          <w:noProof/>
          <w:kern w:val="0"/>
          <w:szCs w:val="22"/>
        </w:rPr>
        <w:tab/>
      </w:r>
      <w:r>
        <w:rPr>
          <w:noProof/>
        </w:rPr>
        <w:t>Intakes from Other Sources – Background</w:t>
      </w:r>
      <w:r>
        <w:rPr>
          <w:noProof/>
        </w:rPr>
        <w:tab/>
      </w:r>
      <w:r>
        <w:rPr>
          <w:noProof/>
        </w:rPr>
        <w:fldChar w:fldCharType="begin"/>
      </w:r>
      <w:r>
        <w:rPr>
          <w:noProof/>
        </w:rPr>
        <w:instrText xml:space="preserve"> PAGEREF _Toc351714327 \h </w:instrText>
      </w:r>
      <w:r>
        <w:rPr>
          <w:noProof/>
        </w:rPr>
      </w:r>
      <w:r>
        <w:rPr>
          <w:noProof/>
        </w:rPr>
        <w:fldChar w:fldCharType="separate"/>
      </w:r>
      <w:r w:rsidR="00F46106">
        <w:rPr>
          <w:noProof/>
        </w:rPr>
        <w:t>27</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6.4</w:t>
      </w:r>
      <w:r>
        <w:rPr>
          <w:rFonts w:asciiTheme="minorHAnsi" w:eastAsiaTheme="minorEastAsia" w:hAnsiTheme="minorHAnsi" w:cstheme="minorBidi"/>
          <w:b w:val="0"/>
          <w:noProof/>
          <w:kern w:val="0"/>
          <w:sz w:val="22"/>
          <w:szCs w:val="22"/>
        </w:rPr>
        <w:tab/>
      </w:r>
      <w:r>
        <w:rPr>
          <w:noProof/>
        </w:rPr>
        <w:t>Identification of Toxicity Reference Values</w:t>
      </w:r>
      <w:r>
        <w:rPr>
          <w:noProof/>
        </w:rPr>
        <w:tab/>
      </w:r>
      <w:r>
        <w:rPr>
          <w:noProof/>
        </w:rPr>
        <w:fldChar w:fldCharType="begin"/>
      </w:r>
      <w:r>
        <w:rPr>
          <w:noProof/>
        </w:rPr>
        <w:instrText xml:space="preserve"> PAGEREF _Toc351714328 \h </w:instrText>
      </w:r>
      <w:r>
        <w:rPr>
          <w:noProof/>
        </w:rPr>
      </w:r>
      <w:r>
        <w:rPr>
          <w:noProof/>
        </w:rPr>
        <w:fldChar w:fldCharType="separate"/>
      </w:r>
      <w:r w:rsidR="00F46106">
        <w:rPr>
          <w:noProof/>
        </w:rPr>
        <w:t>28</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6.4.1</w:t>
      </w:r>
      <w:r>
        <w:rPr>
          <w:rFonts w:asciiTheme="minorHAnsi" w:eastAsiaTheme="minorEastAsia" w:hAnsiTheme="minorHAnsi" w:cstheme="minorBidi"/>
          <w:b w:val="0"/>
          <w:noProof/>
          <w:kern w:val="0"/>
          <w:szCs w:val="22"/>
        </w:rPr>
        <w:tab/>
      </w:r>
      <w:r>
        <w:rPr>
          <w:noProof/>
        </w:rPr>
        <w:t>Classification</w:t>
      </w:r>
      <w:r>
        <w:rPr>
          <w:noProof/>
        </w:rPr>
        <w:tab/>
      </w:r>
      <w:r>
        <w:rPr>
          <w:noProof/>
        </w:rPr>
        <w:fldChar w:fldCharType="begin"/>
      </w:r>
      <w:r>
        <w:rPr>
          <w:noProof/>
        </w:rPr>
        <w:instrText xml:space="preserve"> PAGEREF _Toc351714329 \h </w:instrText>
      </w:r>
      <w:r>
        <w:rPr>
          <w:noProof/>
        </w:rPr>
      </w:r>
      <w:r>
        <w:rPr>
          <w:noProof/>
        </w:rPr>
        <w:fldChar w:fldCharType="separate"/>
      </w:r>
      <w:r w:rsidR="00F46106">
        <w:rPr>
          <w:noProof/>
        </w:rPr>
        <w:t>28</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6.4.2</w:t>
      </w:r>
      <w:r>
        <w:rPr>
          <w:rFonts w:asciiTheme="minorHAnsi" w:eastAsiaTheme="minorEastAsia" w:hAnsiTheme="minorHAnsi" w:cstheme="minorBidi"/>
          <w:b w:val="0"/>
          <w:noProof/>
          <w:kern w:val="0"/>
          <w:szCs w:val="22"/>
        </w:rPr>
        <w:tab/>
      </w:r>
      <w:r>
        <w:rPr>
          <w:noProof/>
        </w:rPr>
        <w:t>Review of Available Values/Information</w:t>
      </w:r>
      <w:r>
        <w:rPr>
          <w:noProof/>
        </w:rPr>
        <w:tab/>
      </w:r>
      <w:r>
        <w:rPr>
          <w:noProof/>
        </w:rPr>
        <w:fldChar w:fldCharType="begin"/>
      </w:r>
      <w:r>
        <w:rPr>
          <w:noProof/>
        </w:rPr>
        <w:instrText xml:space="preserve"> PAGEREF _Toc351714330 \h </w:instrText>
      </w:r>
      <w:r>
        <w:rPr>
          <w:noProof/>
        </w:rPr>
      </w:r>
      <w:r>
        <w:rPr>
          <w:noProof/>
        </w:rPr>
        <w:fldChar w:fldCharType="separate"/>
      </w:r>
      <w:r w:rsidR="00F46106">
        <w:rPr>
          <w:noProof/>
        </w:rPr>
        <w:t>28</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6.4.3</w:t>
      </w:r>
      <w:r>
        <w:rPr>
          <w:rFonts w:asciiTheme="minorHAnsi" w:eastAsiaTheme="minorEastAsia" w:hAnsiTheme="minorHAnsi" w:cstheme="minorBidi"/>
          <w:b w:val="0"/>
          <w:noProof/>
          <w:kern w:val="0"/>
          <w:szCs w:val="22"/>
        </w:rPr>
        <w:tab/>
      </w:r>
      <w:r>
        <w:rPr>
          <w:noProof/>
        </w:rPr>
        <w:t>Recommendation</w:t>
      </w:r>
      <w:r>
        <w:rPr>
          <w:noProof/>
        </w:rPr>
        <w:tab/>
      </w:r>
      <w:r>
        <w:rPr>
          <w:noProof/>
        </w:rPr>
        <w:fldChar w:fldCharType="begin"/>
      </w:r>
      <w:r>
        <w:rPr>
          <w:noProof/>
        </w:rPr>
        <w:instrText xml:space="preserve"> PAGEREF _Toc351714331 \h </w:instrText>
      </w:r>
      <w:r>
        <w:rPr>
          <w:noProof/>
        </w:rPr>
      </w:r>
      <w:r>
        <w:rPr>
          <w:noProof/>
        </w:rPr>
        <w:fldChar w:fldCharType="separate"/>
      </w:r>
      <w:r w:rsidR="00F46106">
        <w:rPr>
          <w:noProof/>
        </w:rPr>
        <w:t>30</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6.5</w:t>
      </w:r>
      <w:r>
        <w:rPr>
          <w:rFonts w:asciiTheme="minorHAnsi" w:eastAsiaTheme="minorEastAsia" w:hAnsiTheme="minorHAnsi" w:cstheme="minorBidi"/>
          <w:b w:val="0"/>
          <w:noProof/>
          <w:kern w:val="0"/>
          <w:sz w:val="22"/>
          <w:szCs w:val="22"/>
        </w:rPr>
        <w:tab/>
      </w:r>
      <w:r>
        <w:rPr>
          <w:noProof/>
        </w:rPr>
        <w:t>Calculated HILs</w:t>
      </w:r>
      <w:r>
        <w:rPr>
          <w:noProof/>
        </w:rPr>
        <w:tab/>
      </w:r>
      <w:r>
        <w:rPr>
          <w:noProof/>
        </w:rPr>
        <w:fldChar w:fldCharType="begin"/>
      </w:r>
      <w:r>
        <w:rPr>
          <w:noProof/>
        </w:rPr>
        <w:instrText xml:space="preserve"> PAGEREF _Toc351714332 \h </w:instrText>
      </w:r>
      <w:r>
        <w:rPr>
          <w:noProof/>
        </w:rPr>
      </w:r>
      <w:r>
        <w:rPr>
          <w:noProof/>
        </w:rPr>
        <w:fldChar w:fldCharType="separate"/>
      </w:r>
      <w:r w:rsidR="00F46106">
        <w:rPr>
          <w:noProof/>
        </w:rPr>
        <w:t>30</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6.6</w:t>
      </w:r>
      <w:r>
        <w:rPr>
          <w:rFonts w:asciiTheme="minorHAnsi" w:eastAsiaTheme="minorEastAsia" w:hAnsiTheme="minorHAnsi" w:cstheme="minorBidi"/>
          <w:b w:val="0"/>
          <w:noProof/>
          <w:kern w:val="0"/>
          <w:sz w:val="22"/>
          <w:szCs w:val="22"/>
        </w:rPr>
        <w:tab/>
      </w:r>
      <w:r>
        <w:rPr>
          <w:noProof/>
        </w:rPr>
        <w:t>References</w:t>
      </w:r>
      <w:r>
        <w:rPr>
          <w:noProof/>
        </w:rPr>
        <w:tab/>
      </w:r>
      <w:r>
        <w:rPr>
          <w:noProof/>
        </w:rPr>
        <w:fldChar w:fldCharType="begin"/>
      </w:r>
      <w:r>
        <w:rPr>
          <w:noProof/>
        </w:rPr>
        <w:instrText xml:space="preserve"> PAGEREF _Toc351714333 \h </w:instrText>
      </w:r>
      <w:r>
        <w:rPr>
          <w:noProof/>
        </w:rPr>
      </w:r>
      <w:r>
        <w:rPr>
          <w:noProof/>
        </w:rPr>
        <w:fldChar w:fldCharType="separate"/>
      </w:r>
      <w:r w:rsidR="00F46106">
        <w:rPr>
          <w:noProof/>
        </w:rPr>
        <w:t>31</w:t>
      </w:r>
      <w:r>
        <w:rPr>
          <w:noProof/>
        </w:rPr>
        <w:fldChar w:fldCharType="end"/>
      </w:r>
    </w:p>
    <w:p w:rsidR="00297258" w:rsidRDefault="00297258" w:rsidP="00297258">
      <w:pPr>
        <w:pStyle w:val="TOC1"/>
        <w:keepNext w:val="0"/>
        <w:rPr>
          <w:rFonts w:asciiTheme="minorHAnsi" w:eastAsiaTheme="minorEastAsia" w:hAnsiTheme="minorHAnsi" w:cstheme="minorBidi"/>
          <w:b w:val="0"/>
          <w:noProof/>
          <w:kern w:val="0"/>
          <w:sz w:val="22"/>
          <w:szCs w:val="22"/>
        </w:rPr>
      </w:pPr>
      <w:r>
        <w:rPr>
          <w:noProof/>
        </w:rPr>
        <w:t>7</w:t>
      </w:r>
      <w:r>
        <w:rPr>
          <w:rFonts w:asciiTheme="minorHAnsi" w:eastAsiaTheme="minorEastAsia" w:hAnsiTheme="minorHAnsi" w:cstheme="minorBidi"/>
          <w:b w:val="0"/>
          <w:noProof/>
          <w:kern w:val="0"/>
          <w:sz w:val="22"/>
          <w:szCs w:val="22"/>
        </w:rPr>
        <w:tab/>
      </w:r>
      <w:r>
        <w:rPr>
          <w:noProof/>
        </w:rPr>
        <w:t>Bifenthrin</w:t>
      </w:r>
      <w:r>
        <w:rPr>
          <w:noProof/>
        </w:rPr>
        <w:tab/>
      </w:r>
      <w:r>
        <w:rPr>
          <w:noProof/>
        </w:rPr>
        <w:fldChar w:fldCharType="begin"/>
      </w:r>
      <w:r>
        <w:rPr>
          <w:noProof/>
        </w:rPr>
        <w:instrText xml:space="preserve"> PAGEREF _Toc351714334 \h </w:instrText>
      </w:r>
      <w:r>
        <w:rPr>
          <w:noProof/>
        </w:rPr>
      </w:r>
      <w:r>
        <w:rPr>
          <w:noProof/>
        </w:rPr>
        <w:fldChar w:fldCharType="separate"/>
      </w:r>
      <w:r w:rsidR="00F46106">
        <w:rPr>
          <w:noProof/>
        </w:rPr>
        <w:t>33</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7.1</w:t>
      </w:r>
      <w:r>
        <w:rPr>
          <w:rFonts w:asciiTheme="minorHAnsi" w:eastAsiaTheme="minorEastAsia" w:hAnsiTheme="minorHAnsi" w:cstheme="minorBidi"/>
          <w:b w:val="0"/>
          <w:noProof/>
          <w:kern w:val="0"/>
          <w:sz w:val="22"/>
          <w:szCs w:val="22"/>
        </w:rPr>
        <w:tab/>
      </w:r>
      <w:r>
        <w:rPr>
          <w:noProof/>
        </w:rPr>
        <w:t>General</w:t>
      </w:r>
      <w:r>
        <w:rPr>
          <w:noProof/>
        </w:rPr>
        <w:tab/>
      </w:r>
      <w:r>
        <w:rPr>
          <w:noProof/>
        </w:rPr>
        <w:fldChar w:fldCharType="begin"/>
      </w:r>
      <w:r>
        <w:rPr>
          <w:noProof/>
        </w:rPr>
        <w:instrText xml:space="preserve"> PAGEREF _Toc351714335 \h </w:instrText>
      </w:r>
      <w:r>
        <w:rPr>
          <w:noProof/>
        </w:rPr>
      </w:r>
      <w:r>
        <w:rPr>
          <w:noProof/>
        </w:rPr>
        <w:fldChar w:fldCharType="separate"/>
      </w:r>
      <w:r w:rsidR="00F46106">
        <w:rPr>
          <w:noProof/>
        </w:rPr>
        <w:t>33</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7.2</w:t>
      </w:r>
      <w:r>
        <w:rPr>
          <w:rFonts w:asciiTheme="minorHAnsi" w:eastAsiaTheme="minorEastAsia" w:hAnsiTheme="minorHAnsi" w:cstheme="minorBidi"/>
          <w:b w:val="0"/>
          <w:noProof/>
          <w:kern w:val="0"/>
          <w:sz w:val="22"/>
          <w:szCs w:val="22"/>
        </w:rPr>
        <w:tab/>
      </w:r>
      <w:r>
        <w:rPr>
          <w:noProof/>
        </w:rPr>
        <w:t>Previous HIL</w:t>
      </w:r>
      <w:r>
        <w:rPr>
          <w:noProof/>
        </w:rPr>
        <w:tab/>
      </w:r>
      <w:r>
        <w:rPr>
          <w:noProof/>
        </w:rPr>
        <w:fldChar w:fldCharType="begin"/>
      </w:r>
      <w:r>
        <w:rPr>
          <w:noProof/>
        </w:rPr>
        <w:instrText xml:space="preserve"> PAGEREF _Toc351714336 \h </w:instrText>
      </w:r>
      <w:r>
        <w:rPr>
          <w:noProof/>
        </w:rPr>
      </w:r>
      <w:r>
        <w:rPr>
          <w:noProof/>
        </w:rPr>
        <w:fldChar w:fldCharType="separate"/>
      </w:r>
      <w:r w:rsidR="00F46106">
        <w:rPr>
          <w:noProof/>
        </w:rPr>
        <w:t>33</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7.3</w:t>
      </w:r>
      <w:r>
        <w:rPr>
          <w:rFonts w:asciiTheme="minorHAnsi" w:eastAsiaTheme="minorEastAsia" w:hAnsiTheme="minorHAnsi" w:cstheme="minorBidi"/>
          <w:b w:val="0"/>
          <w:noProof/>
          <w:kern w:val="0"/>
          <w:sz w:val="22"/>
          <w:szCs w:val="22"/>
        </w:rPr>
        <w:tab/>
      </w:r>
      <w:r>
        <w:rPr>
          <w:noProof/>
        </w:rPr>
        <w:t>Significance of Exposure Pathways</w:t>
      </w:r>
      <w:r>
        <w:rPr>
          <w:noProof/>
        </w:rPr>
        <w:tab/>
      </w:r>
      <w:r>
        <w:rPr>
          <w:noProof/>
        </w:rPr>
        <w:fldChar w:fldCharType="begin"/>
      </w:r>
      <w:r>
        <w:rPr>
          <w:noProof/>
        </w:rPr>
        <w:instrText xml:space="preserve"> PAGEREF _Toc351714337 \h </w:instrText>
      </w:r>
      <w:r>
        <w:rPr>
          <w:noProof/>
        </w:rPr>
      </w:r>
      <w:r>
        <w:rPr>
          <w:noProof/>
        </w:rPr>
        <w:fldChar w:fldCharType="separate"/>
      </w:r>
      <w:r w:rsidR="00F46106">
        <w:rPr>
          <w:noProof/>
        </w:rPr>
        <w:t>33</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7.3.1</w:t>
      </w:r>
      <w:r>
        <w:rPr>
          <w:rFonts w:asciiTheme="minorHAnsi" w:eastAsiaTheme="minorEastAsia" w:hAnsiTheme="minorHAnsi" w:cstheme="minorBidi"/>
          <w:b w:val="0"/>
          <w:noProof/>
          <w:kern w:val="0"/>
          <w:szCs w:val="22"/>
        </w:rPr>
        <w:tab/>
      </w:r>
      <w:r>
        <w:rPr>
          <w:noProof/>
        </w:rPr>
        <w:t>Oral Bioavailability</w:t>
      </w:r>
      <w:r>
        <w:rPr>
          <w:noProof/>
        </w:rPr>
        <w:tab/>
      </w:r>
      <w:r>
        <w:rPr>
          <w:noProof/>
        </w:rPr>
        <w:fldChar w:fldCharType="begin"/>
      </w:r>
      <w:r>
        <w:rPr>
          <w:noProof/>
        </w:rPr>
        <w:instrText xml:space="preserve"> PAGEREF _Toc351714338 \h </w:instrText>
      </w:r>
      <w:r>
        <w:rPr>
          <w:noProof/>
        </w:rPr>
      </w:r>
      <w:r>
        <w:rPr>
          <w:noProof/>
        </w:rPr>
        <w:fldChar w:fldCharType="separate"/>
      </w:r>
      <w:r w:rsidR="00F46106">
        <w:rPr>
          <w:noProof/>
        </w:rPr>
        <w:t>33</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7.3.2</w:t>
      </w:r>
      <w:r>
        <w:rPr>
          <w:rFonts w:asciiTheme="minorHAnsi" w:eastAsiaTheme="minorEastAsia" w:hAnsiTheme="minorHAnsi" w:cstheme="minorBidi"/>
          <w:b w:val="0"/>
          <w:noProof/>
          <w:kern w:val="0"/>
          <w:szCs w:val="22"/>
        </w:rPr>
        <w:tab/>
      </w:r>
      <w:r>
        <w:rPr>
          <w:noProof/>
        </w:rPr>
        <w:t>Dermal absorption</w:t>
      </w:r>
      <w:r>
        <w:rPr>
          <w:noProof/>
        </w:rPr>
        <w:tab/>
      </w:r>
      <w:r>
        <w:rPr>
          <w:noProof/>
        </w:rPr>
        <w:fldChar w:fldCharType="begin"/>
      </w:r>
      <w:r>
        <w:rPr>
          <w:noProof/>
        </w:rPr>
        <w:instrText xml:space="preserve"> PAGEREF _Toc351714339 \h </w:instrText>
      </w:r>
      <w:r>
        <w:rPr>
          <w:noProof/>
        </w:rPr>
      </w:r>
      <w:r>
        <w:rPr>
          <w:noProof/>
        </w:rPr>
        <w:fldChar w:fldCharType="separate"/>
      </w:r>
      <w:r w:rsidR="00F46106">
        <w:rPr>
          <w:noProof/>
        </w:rPr>
        <w:t>33</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7.3.3</w:t>
      </w:r>
      <w:r>
        <w:rPr>
          <w:rFonts w:asciiTheme="minorHAnsi" w:eastAsiaTheme="minorEastAsia" w:hAnsiTheme="minorHAnsi" w:cstheme="minorBidi"/>
          <w:b w:val="0"/>
          <w:noProof/>
          <w:kern w:val="0"/>
          <w:szCs w:val="22"/>
        </w:rPr>
        <w:tab/>
      </w:r>
      <w:r>
        <w:rPr>
          <w:noProof/>
        </w:rPr>
        <w:t>Inhalation of Dust</w:t>
      </w:r>
      <w:r>
        <w:rPr>
          <w:noProof/>
        </w:rPr>
        <w:tab/>
      </w:r>
      <w:r>
        <w:rPr>
          <w:noProof/>
        </w:rPr>
        <w:fldChar w:fldCharType="begin"/>
      </w:r>
      <w:r>
        <w:rPr>
          <w:noProof/>
        </w:rPr>
        <w:instrText xml:space="preserve"> PAGEREF _Toc351714340 \h </w:instrText>
      </w:r>
      <w:r>
        <w:rPr>
          <w:noProof/>
        </w:rPr>
      </w:r>
      <w:r>
        <w:rPr>
          <w:noProof/>
        </w:rPr>
        <w:fldChar w:fldCharType="separate"/>
      </w:r>
      <w:r w:rsidR="00F46106">
        <w:rPr>
          <w:noProof/>
        </w:rPr>
        <w:t>33</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7.3.4</w:t>
      </w:r>
      <w:r>
        <w:rPr>
          <w:rFonts w:asciiTheme="minorHAnsi" w:eastAsiaTheme="minorEastAsia" w:hAnsiTheme="minorHAnsi" w:cstheme="minorBidi"/>
          <w:b w:val="0"/>
          <w:noProof/>
          <w:kern w:val="0"/>
          <w:szCs w:val="22"/>
        </w:rPr>
        <w:tab/>
      </w:r>
      <w:r>
        <w:rPr>
          <w:noProof/>
        </w:rPr>
        <w:t>Plant Uptake</w:t>
      </w:r>
      <w:r>
        <w:rPr>
          <w:noProof/>
        </w:rPr>
        <w:tab/>
      </w:r>
      <w:r>
        <w:rPr>
          <w:noProof/>
        </w:rPr>
        <w:fldChar w:fldCharType="begin"/>
      </w:r>
      <w:r>
        <w:rPr>
          <w:noProof/>
        </w:rPr>
        <w:instrText xml:space="preserve"> PAGEREF _Toc351714341 \h </w:instrText>
      </w:r>
      <w:r>
        <w:rPr>
          <w:noProof/>
        </w:rPr>
      </w:r>
      <w:r>
        <w:rPr>
          <w:noProof/>
        </w:rPr>
        <w:fldChar w:fldCharType="separate"/>
      </w:r>
      <w:r w:rsidR="00F46106">
        <w:rPr>
          <w:noProof/>
        </w:rPr>
        <w:t>33</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7.3.5</w:t>
      </w:r>
      <w:r>
        <w:rPr>
          <w:rFonts w:asciiTheme="minorHAnsi" w:eastAsiaTheme="minorEastAsia" w:hAnsiTheme="minorHAnsi" w:cstheme="minorBidi"/>
          <w:b w:val="0"/>
          <w:noProof/>
          <w:kern w:val="0"/>
          <w:szCs w:val="22"/>
        </w:rPr>
        <w:tab/>
      </w:r>
      <w:r>
        <w:rPr>
          <w:noProof/>
        </w:rPr>
        <w:t>Intakes from Other Sources – Background</w:t>
      </w:r>
      <w:r>
        <w:rPr>
          <w:noProof/>
        </w:rPr>
        <w:tab/>
      </w:r>
      <w:r>
        <w:rPr>
          <w:noProof/>
        </w:rPr>
        <w:fldChar w:fldCharType="begin"/>
      </w:r>
      <w:r>
        <w:rPr>
          <w:noProof/>
        </w:rPr>
        <w:instrText xml:space="preserve"> PAGEREF _Toc351714342 \h </w:instrText>
      </w:r>
      <w:r>
        <w:rPr>
          <w:noProof/>
        </w:rPr>
      </w:r>
      <w:r>
        <w:rPr>
          <w:noProof/>
        </w:rPr>
        <w:fldChar w:fldCharType="separate"/>
      </w:r>
      <w:r w:rsidR="00F46106">
        <w:rPr>
          <w:noProof/>
        </w:rPr>
        <w:t>34</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7.4</w:t>
      </w:r>
      <w:r>
        <w:rPr>
          <w:rFonts w:asciiTheme="minorHAnsi" w:eastAsiaTheme="minorEastAsia" w:hAnsiTheme="minorHAnsi" w:cstheme="minorBidi"/>
          <w:b w:val="0"/>
          <w:noProof/>
          <w:kern w:val="0"/>
          <w:sz w:val="22"/>
          <w:szCs w:val="22"/>
        </w:rPr>
        <w:tab/>
      </w:r>
      <w:r>
        <w:rPr>
          <w:noProof/>
        </w:rPr>
        <w:t>Identification of Toxicity Reference Values</w:t>
      </w:r>
      <w:r>
        <w:rPr>
          <w:noProof/>
        </w:rPr>
        <w:tab/>
      </w:r>
      <w:r>
        <w:rPr>
          <w:noProof/>
        </w:rPr>
        <w:fldChar w:fldCharType="begin"/>
      </w:r>
      <w:r>
        <w:rPr>
          <w:noProof/>
        </w:rPr>
        <w:instrText xml:space="preserve"> PAGEREF _Toc351714343 \h </w:instrText>
      </w:r>
      <w:r>
        <w:rPr>
          <w:noProof/>
        </w:rPr>
      </w:r>
      <w:r>
        <w:rPr>
          <w:noProof/>
        </w:rPr>
        <w:fldChar w:fldCharType="separate"/>
      </w:r>
      <w:r w:rsidR="00F46106">
        <w:rPr>
          <w:noProof/>
        </w:rPr>
        <w:t>34</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7.4.1</w:t>
      </w:r>
      <w:r>
        <w:rPr>
          <w:rFonts w:asciiTheme="minorHAnsi" w:eastAsiaTheme="minorEastAsia" w:hAnsiTheme="minorHAnsi" w:cstheme="minorBidi"/>
          <w:b w:val="0"/>
          <w:noProof/>
          <w:kern w:val="0"/>
          <w:szCs w:val="22"/>
        </w:rPr>
        <w:tab/>
      </w:r>
      <w:r>
        <w:rPr>
          <w:noProof/>
        </w:rPr>
        <w:t>Classification</w:t>
      </w:r>
      <w:r>
        <w:rPr>
          <w:noProof/>
        </w:rPr>
        <w:tab/>
      </w:r>
      <w:r>
        <w:rPr>
          <w:noProof/>
        </w:rPr>
        <w:fldChar w:fldCharType="begin"/>
      </w:r>
      <w:r>
        <w:rPr>
          <w:noProof/>
        </w:rPr>
        <w:instrText xml:space="preserve"> PAGEREF _Toc351714344 \h </w:instrText>
      </w:r>
      <w:r>
        <w:rPr>
          <w:noProof/>
        </w:rPr>
      </w:r>
      <w:r>
        <w:rPr>
          <w:noProof/>
        </w:rPr>
        <w:fldChar w:fldCharType="separate"/>
      </w:r>
      <w:r w:rsidR="00F46106">
        <w:rPr>
          <w:noProof/>
        </w:rPr>
        <w:t>34</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7.4.2</w:t>
      </w:r>
      <w:r>
        <w:rPr>
          <w:rFonts w:asciiTheme="minorHAnsi" w:eastAsiaTheme="minorEastAsia" w:hAnsiTheme="minorHAnsi" w:cstheme="minorBidi"/>
          <w:b w:val="0"/>
          <w:noProof/>
          <w:kern w:val="0"/>
          <w:szCs w:val="22"/>
        </w:rPr>
        <w:tab/>
      </w:r>
      <w:r>
        <w:rPr>
          <w:noProof/>
        </w:rPr>
        <w:t>Review of Available Values/Information</w:t>
      </w:r>
      <w:r>
        <w:rPr>
          <w:noProof/>
        </w:rPr>
        <w:tab/>
      </w:r>
      <w:r>
        <w:rPr>
          <w:noProof/>
        </w:rPr>
        <w:fldChar w:fldCharType="begin"/>
      </w:r>
      <w:r>
        <w:rPr>
          <w:noProof/>
        </w:rPr>
        <w:instrText xml:space="preserve"> PAGEREF _Toc351714345 \h </w:instrText>
      </w:r>
      <w:r>
        <w:rPr>
          <w:noProof/>
        </w:rPr>
      </w:r>
      <w:r>
        <w:rPr>
          <w:noProof/>
        </w:rPr>
        <w:fldChar w:fldCharType="separate"/>
      </w:r>
      <w:r w:rsidR="00F46106">
        <w:rPr>
          <w:noProof/>
        </w:rPr>
        <w:t>34</w:t>
      </w:r>
      <w:r>
        <w:rPr>
          <w:noProof/>
        </w:rPr>
        <w:fldChar w:fldCharType="end"/>
      </w:r>
    </w:p>
    <w:p w:rsidR="00297258" w:rsidRDefault="00297258" w:rsidP="00297258">
      <w:pPr>
        <w:pStyle w:val="TOC3"/>
        <w:keepNext w:val="0"/>
        <w:rPr>
          <w:rFonts w:asciiTheme="minorHAnsi" w:eastAsiaTheme="minorEastAsia" w:hAnsiTheme="minorHAnsi" w:cstheme="minorBidi"/>
          <w:b w:val="0"/>
          <w:noProof/>
          <w:kern w:val="0"/>
          <w:szCs w:val="22"/>
        </w:rPr>
      </w:pPr>
      <w:r>
        <w:rPr>
          <w:noProof/>
        </w:rPr>
        <w:t>7.4.3</w:t>
      </w:r>
      <w:r>
        <w:rPr>
          <w:rFonts w:asciiTheme="minorHAnsi" w:eastAsiaTheme="minorEastAsia" w:hAnsiTheme="minorHAnsi" w:cstheme="minorBidi"/>
          <w:b w:val="0"/>
          <w:noProof/>
          <w:kern w:val="0"/>
          <w:szCs w:val="22"/>
        </w:rPr>
        <w:tab/>
      </w:r>
      <w:r>
        <w:rPr>
          <w:noProof/>
        </w:rPr>
        <w:t>Recommendation</w:t>
      </w:r>
      <w:r>
        <w:rPr>
          <w:noProof/>
        </w:rPr>
        <w:tab/>
      </w:r>
      <w:r>
        <w:rPr>
          <w:noProof/>
        </w:rPr>
        <w:fldChar w:fldCharType="begin"/>
      </w:r>
      <w:r>
        <w:rPr>
          <w:noProof/>
        </w:rPr>
        <w:instrText xml:space="preserve"> PAGEREF _Toc351714346 \h </w:instrText>
      </w:r>
      <w:r>
        <w:rPr>
          <w:noProof/>
        </w:rPr>
      </w:r>
      <w:r>
        <w:rPr>
          <w:noProof/>
        </w:rPr>
        <w:fldChar w:fldCharType="separate"/>
      </w:r>
      <w:r w:rsidR="00F46106">
        <w:rPr>
          <w:noProof/>
        </w:rPr>
        <w:t>35</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7.5</w:t>
      </w:r>
      <w:r>
        <w:rPr>
          <w:rFonts w:asciiTheme="minorHAnsi" w:eastAsiaTheme="minorEastAsia" w:hAnsiTheme="minorHAnsi" w:cstheme="minorBidi"/>
          <w:b w:val="0"/>
          <w:noProof/>
          <w:kern w:val="0"/>
          <w:sz w:val="22"/>
          <w:szCs w:val="22"/>
        </w:rPr>
        <w:tab/>
      </w:r>
      <w:r>
        <w:rPr>
          <w:noProof/>
        </w:rPr>
        <w:t>Calculated HILs</w:t>
      </w:r>
      <w:r>
        <w:rPr>
          <w:noProof/>
        </w:rPr>
        <w:tab/>
      </w:r>
      <w:r>
        <w:rPr>
          <w:noProof/>
        </w:rPr>
        <w:fldChar w:fldCharType="begin"/>
      </w:r>
      <w:r>
        <w:rPr>
          <w:noProof/>
        </w:rPr>
        <w:instrText xml:space="preserve"> PAGEREF _Toc351714347 \h </w:instrText>
      </w:r>
      <w:r>
        <w:rPr>
          <w:noProof/>
        </w:rPr>
      </w:r>
      <w:r>
        <w:rPr>
          <w:noProof/>
        </w:rPr>
        <w:fldChar w:fldCharType="separate"/>
      </w:r>
      <w:r w:rsidR="00F46106">
        <w:rPr>
          <w:noProof/>
        </w:rPr>
        <w:t>35</w:t>
      </w:r>
      <w:r>
        <w:rPr>
          <w:noProof/>
        </w:rPr>
        <w:fldChar w:fldCharType="end"/>
      </w:r>
    </w:p>
    <w:p w:rsidR="00297258" w:rsidRDefault="00297258" w:rsidP="00297258">
      <w:pPr>
        <w:pStyle w:val="TOC2"/>
        <w:keepNext w:val="0"/>
        <w:rPr>
          <w:rFonts w:asciiTheme="minorHAnsi" w:eastAsiaTheme="minorEastAsia" w:hAnsiTheme="minorHAnsi" w:cstheme="minorBidi"/>
          <w:b w:val="0"/>
          <w:noProof/>
          <w:kern w:val="0"/>
          <w:sz w:val="22"/>
          <w:szCs w:val="22"/>
        </w:rPr>
      </w:pPr>
      <w:r>
        <w:rPr>
          <w:noProof/>
        </w:rPr>
        <w:t>7.6</w:t>
      </w:r>
      <w:r>
        <w:rPr>
          <w:rFonts w:asciiTheme="minorHAnsi" w:eastAsiaTheme="minorEastAsia" w:hAnsiTheme="minorHAnsi" w:cstheme="minorBidi"/>
          <w:b w:val="0"/>
          <w:noProof/>
          <w:kern w:val="0"/>
          <w:sz w:val="22"/>
          <w:szCs w:val="22"/>
        </w:rPr>
        <w:tab/>
      </w:r>
      <w:r>
        <w:rPr>
          <w:noProof/>
        </w:rPr>
        <w:t>References</w:t>
      </w:r>
      <w:r>
        <w:rPr>
          <w:noProof/>
        </w:rPr>
        <w:tab/>
      </w:r>
      <w:r>
        <w:rPr>
          <w:noProof/>
        </w:rPr>
        <w:fldChar w:fldCharType="begin"/>
      </w:r>
      <w:r>
        <w:rPr>
          <w:noProof/>
        </w:rPr>
        <w:instrText xml:space="preserve"> PAGEREF _Toc351714348 \h </w:instrText>
      </w:r>
      <w:r>
        <w:rPr>
          <w:noProof/>
        </w:rPr>
      </w:r>
      <w:r>
        <w:rPr>
          <w:noProof/>
        </w:rPr>
        <w:fldChar w:fldCharType="separate"/>
      </w:r>
      <w:r w:rsidR="00F46106">
        <w:rPr>
          <w:noProof/>
        </w:rPr>
        <w:t>36</w:t>
      </w:r>
      <w:r>
        <w:rPr>
          <w:noProof/>
        </w:rPr>
        <w:fldChar w:fldCharType="end"/>
      </w:r>
    </w:p>
    <w:p w:rsidR="00297258" w:rsidRDefault="00297258" w:rsidP="00297258">
      <w:pPr>
        <w:pStyle w:val="TOC1"/>
        <w:keepNext w:val="0"/>
        <w:rPr>
          <w:rFonts w:asciiTheme="minorHAnsi" w:eastAsiaTheme="minorEastAsia" w:hAnsiTheme="minorHAnsi" w:cstheme="minorBidi"/>
          <w:b w:val="0"/>
          <w:noProof/>
          <w:kern w:val="0"/>
          <w:sz w:val="22"/>
          <w:szCs w:val="22"/>
        </w:rPr>
      </w:pPr>
      <w:r>
        <w:rPr>
          <w:noProof/>
        </w:rPr>
        <w:t>8</w:t>
      </w:r>
      <w:r>
        <w:rPr>
          <w:rFonts w:asciiTheme="minorHAnsi" w:eastAsiaTheme="minorEastAsia" w:hAnsiTheme="minorHAnsi" w:cstheme="minorBidi"/>
          <w:b w:val="0"/>
          <w:noProof/>
          <w:kern w:val="0"/>
          <w:sz w:val="22"/>
          <w:szCs w:val="22"/>
        </w:rPr>
        <w:tab/>
      </w:r>
      <w:r>
        <w:rPr>
          <w:noProof/>
        </w:rPr>
        <w:t>Shortened forms</w:t>
      </w:r>
      <w:r>
        <w:rPr>
          <w:noProof/>
        </w:rPr>
        <w:tab/>
      </w:r>
      <w:r>
        <w:rPr>
          <w:noProof/>
        </w:rPr>
        <w:fldChar w:fldCharType="begin"/>
      </w:r>
      <w:r>
        <w:rPr>
          <w:noProof/>
        </w:rPr>
        <w:instrText xml:space="preserve"> PAGEREF _Toc351714349 \h </w:instrText>
      </w:r>
      <w:r>
        <w:rPr>
          <w:noProof/>
        </w:rPr>
      </w:r>
      <w:r>
        <w:rPr>
          <w:noProof/>
        </w:rPr>
        <w:fldChar w:fldCharType="separate"/>
      </w:r>
      <w:r w:rsidR="00F46106">
        <w:rPr>
          <w:noProof/>
        </w:rPr>
        <w:t>37</w:t>
      </w:r>
      <w:r>
        <w:rPr>
          <w:noProof/>
        </w:rPr>
        <w:fldChar w:fldCharType="end"/>
      </w:r>
    </w:p>
    <w:p w:rsidR="007636B0" w:rsidRPr="003F4DD3" w:rsidRDefault="0006666F" w:rsidP="00297258">
      <w:pPr>
        <w:sectPr w:rsidR="007636B0" w:rsidRPr="003F4DD3" w:rsidSect="00B45DD6">
          <w:headerReference w:type="even" r:id="rId12"/>
          <w:headerReference w:type="default" r:id="rId13"/>
          <w:footerReference w:type="default" r:id="rId14"/>
          <w:headerReference w:type="first" r:id="rId15"/>
          <w:footerReference w:type="first" r:id="rId16"/>
          <w:pgSz w:w="11906" w:h="16838" w:code="9"/>
          <w:pgMar w:top="1134" w:right="1418" w:bottom="1134" w:left="1701" w:header="720" w:footer="567" w:gutter="0"/>
          <w:pgNumType w:start="1"/>
          <w:cols w:space="720"/>
          <w:titlePg/>
        </w:sectPr>
      </w:pPr>
      <w:r>
        <w:fldChar w:fldCharType="end"/>
      </w:r>
    </w:p>
    <w:p w:rsidR="007636B0" w:rsidRDefault="007636B0" w:rsidP="007636B0">
      <w:pPr>
        <w:pStyle w:val="Heading1"/>
        <w:tabs>
          <w:tab w:val="clear" w:pos="1209"/>
          <w:tab w:val="num" w:pos="720"/>
        </w:tabs>
      </w:pPr>
      <w:bookmarkStart w:id="1" w:name="_Toc351714241"/>
      <w:r>
        <w:lastRenderedPageBreak/>
        <w:t>2,4,5-T</w:t>
      </w:r>
      <w:bookmarkEnd w:id="1"/>
    </w:p>
    <w:p w:rsidR="007636B0" w:rsidRDefault="007636B0" w:rsidP="007636B0">
      <w:pPr>
        <w:pStyle w:val="Heading2"/>
        <w:tabs>
          <w:tab w:val="clear" w:pos="1209"/>
        </w:tabs>
      </w:pPr>
      <w:bookmarkStart w:id="2" w:name="_Toc351714242"/>
      <w:r>
        <w:t>General</w:t>
      </w:r>
      <w:bookmarkEnd w:id="2"/>
    </w:p>
    <w:p w:rsidR="007636B0" w:rsidRDefault="007636B0" w:rsidP="007636B0">
      <w:r w:rsidRPr="00A35E24">
        <w:t>2,4,5-T is the common name for 2,4,5-trichlorophenoxyacetic acid (</w:t>
      </w:r>
      <w:r>
        <w:t>or</w:t>
      </w:r>
      <w:r w:rsidRPr="00A35E24">
        <w:t xml:space="preserve"> 2,4,5-triphenoxyacetic acid), a chlorophenoxy herbicide.</w:t>
      </w:r>
    </w:p>
    <w:p w:rsidR="0021528E" w:rsidRPr="00A35E24" w:rsidRDefault="0021528E" w:rsidP="007636B0"/>
    <w:p w:rsidR="007636B0" w:rsidRDefault="007636B0" w:rsidP="007636B0">
      <w:r>
        <w:t xml:space="preserve">Several comprehensive reviews of </w:t>
      </w:r>
      <w:r w:rsidRPr="00A35E24">
        <w:rPr>
          <w:rFonts w:cs="Arial"/>
        </w:rPr>
        <w:t>2,4,5-T</w:t>
      </w:r>
      <w:r>
        <w:t xml:space="preserve"> in the environment and its toxicity to humans are available and should be consulted for more detailed information not presented in this summary ( OCS 2004; HSDB 2010). The following provides a summary of the key aspects of </w:t>
      </w:r>
      <w:r w:rsidRPr="00A35E24">
        <w:rPr>
          <w:rFonts w:cs="Arial"/>
        </w:rPr>
        <w:t>2,4,5-T</w:t>
      </w:r>
      <w:r>
        <w:t xml:space="preserve"> that are relevant to the derivation of a soil HIL.</w:t>
      </w:r>
    </w:p>
    <w:p w:rsidR="0021528E" w:rsidRDefault="0021528E" w:rsidP="007636B0"/>
    <w:p w:rsidR="007636B0" w:rsidRDefault="007636B0" w:rsidP="007636B0">
      <w:r w:rsidRPr="00A35E24">
        <w:t>The herbicide was also commercially produced as an amine salt, alkali metal salt and ester derivative of 2,4,5-T. Pure 2,4,5-T is a white to light tan solid. It is slightly soluble in water whereas the amine and alkali metal salt derivatives are highly soluble. The ester</w:t>
      </w:r>
      <w:r>
        <w:t>,</w:t>
      </w:r>
      <w:r w:rsidRPr="00A35E24">
        <w:t xml:space="preserve"> howe</w:t>
      </w:r>
      <w:r>
        <w:t>ver, is insoluble in water</w:t>
      </w:r>
      <w:r w:rsidRPr="00A35E24">
        <w:t>.</w:t>
      </w:r>
      <w:r>
        <w:t xml:space="preserve"> </w:t>
      </w:r>
      <w:r w:rsidRPr="00A35E24">
        <w:t>2,3,7,8-tetrachlorodibenzo</w:t>
      </w:r>
      <w:r w:rsidRPr="00A35E24">
        <w:rPr>
          <w:i/>
          <w:iCs/>
        </w:rPr>
        <w:t>p</w:t>
      </w:r>
      <w:r w:rsidRPr="00A35E24">
        <w:t>-dioxin (TCDD), a known human carcinogen, was a common contaminant in the manufacture of 2,4,5-T and its derivatives and was typically present in the l</w:t>
      </w:r>
      <w:r>
        <w:t>ow mg/kg to high mg/kg level (OCS 2004)</w:t>
      </w:r>
      <w:r w:rsidRPr="00A35E24">
        <w:t xml:space="preserve">. 2,4,5-T with TCDD contamination is now controlled in international trade through the 'Rotterdam Convention’ </w:t>
      </w:r>
      <w:r>
        <w:t>(</w:t>
      </w:r>
      <w:r w:rsidRPr="009974B0">
        <w:t>Joint FAO/UNEP 2005).</w:t>
      </w:r>
      <w:r>
        <w:t xml:space="preserve"> It is noted that 2,4,5-T is not expected to persist in the environment for any significant period of time but TCDD will remain and should be considered in a site-specific assessment where a 2,4,5-T source may have been present.</w:t>
      </w:r>
    </w:p>
    <w:p w:rsidR="0021528E" w:rsidRPr="009974B0" w:rsidRDefault="0021528E" w:rsidP="007636B0"/>
    <w:p w:rsidR="007636B0" w:rsidRDefault="007636B0" w:rsidP="007636B0">
      <w:r w:rsidRPr="00A35E24">
        <w:t xml:space="preserve">2,4,5-T and its derivatives were introduced in the 1960s and were used as herbicides for broad-leaved wood plants such as blackberries. 2,4,5-T was also combined with the compound 2,4-D to form the </w:t>
      </w:r>
      <w:r>
        <w:t>‘</w:t>
      </w:r>
      <w:r w:rsidRPr="00A35E24">
        <w:t>agent orange</w:t>
      </w:r>
      <w:r>
        <w:t>’</w:t>
      </w:r>
      <w:r w:rsidRPr="00A35E24">
        <w:t xml:space="preserve"> herbicide which was widely used by the US </w:t>
      </w:r>
      <w:r>
        <w:t>m</w:t>
      </w:r>
      <w:r w:rsidRPr="00A35E24">
        <w:t>ilitary in the V</w:t>
      </w:r>
      <w:r>
        <w:t>ietnam war (OCS 2004)</w:t>
      </w:r>
      <w:r w:rsidRPr="00A35E24">
        <w:t xml:space="preserve">. 2,4,5-T and its derivatives were withdrawn from use in the late 1980s and are no longer approved for </w:t>
      </w:r>
      <w:r>
        <w:t>use or marketed in Australia</w:t>
      </w:r>
      <w:r w:rsidRPr="00A35E24">
        <w:t>.</w:t>
      </w:r>
    </w:p>
    <w:p w:rsidR="007636B0" w:rsidRDefault="007636B0" w:rsidP="007636B0">
      <w:pPr>
        <w:pStyle w:val="Heading2"/>
        <w:tabs>
          <w:tab w:val="clear" w:pos="1209"/>
        </w:tabs>
      </w:pPr>
      <w:bookmarkStart w:id="3" w:name="_Toc351714243"/>
      <w:r w:rsidRPr="00775D98">
        <w:t>Previous</w:t>
      </w:r>
      <w:r>
        <w:t xml:space="preserve"> HIL</w:t>
      </w:r>
      <w:bookmarkEnd w:id="3"/>
    </w:p>
    <w:p w:rsidR="007636B0" w:rsidRDefault="007636B0" w:rsidP="007636B0">
      <w:r>
        <w:t xml:space="preserve">No previous HIL is available for </w:t>
      </w:r>
      <w:r w:rsidRPr="00A35E24">
        <w:t>2,4,5-T</w:t>
      </w:r>
      <w:r>
        <w:t xml:space="preserve"> (NEPC 1999).</w:t>
      </w:r>
    </w:p>
    <w:p w:rsidR="007636B0" w:rsidRDefault="007636B0" w:rsidP="007636B0">
      <w:pPr>
        <w:pStyle w:val="Heading2"/>
        <w:tabs>
          <w:tab w:val="clear" w:pos="1209"/>
        </w:tabs>
      </w:pPr>
      <w:bookmarkStart w:id="4" w:name="_Toc351714244"/>
      <w:r>
        <w:t>Significance of Exposure Pathways</w:t>
      </w:r>
      <w:bookmarkEnd w:id="4"/>
    </w:p>
    <w:p w:rsidR="007636B0" w:rsidRPr="00E00A6A" w:rsidRDefault="007636B0" w:rsidP="007636B0">
      <w:pPr>
        <w:pStyle w:val="Heading3"/>
      </w:pPr>
      <w:bookmarkStart w:id="5" w:name="_Toc351714245"/>
      <w:r>
        <w:t xml:space="preserve">Oral </w:t>
      </w:r>
      <w:r w:rsidRPr="00E00A6A">
        <w:t>Bioavailability</w:t>
      </w:r>
      <w:bookmarkEnd w:id="5"/>
    </w:p>
    <w:p w:rsidR="007636B0" w:rsidRDefault="007636B0" w:rsidP="007636B0">
      <w:r>
        <w:t xml:space="preserve">Insufficient data is available to adequately define the bioavailability of </w:t>
      </w:r>
      <w:r w:rsidRPr="00A35E24">
        <w:t>2,4,5-T</w:t>
      </w:r>
      <w:r>
        <w:t>, hence a default approach of assuming 100% oral bioavailability has been adopted in the derivation of an HIL. It is noted that a site-specific assessment of bioavailability can be undertaken where required.</w:t>
      </w:r>
    </w:p>
    <w:p w:rsidR="007636B0" w:rsidRPr="002D7B71" w:rsidRDefault="007636B0" w:rsidP="007636B0">
      <w:pPr>
        <w:pStyle w:val="Heading3"/>
      </w:pPr>
      <w:bookmarkStart w:id="6" w:name="_Toc351714246"/>
      <w:r w:rsidRPr="002D7B71">
        <w:t>Dermal absorption</w:t>
      </w:r>
      <w:bookmarkEnd w:id="6"/>
    </w:p>
    <w:p w:rsidR="007636B0" w:rsidRDefault="007636B0" w:rsidP="007636B0">
      <w:r>
        <w:t xml:space="preserve">Insufficient data is available on the dermal absorption of </w:t>
      </w:r>
      <w:r w:rsidRPr="00A35E24">
        <w:t>2,4,5-T</w:t>
      </w:r>
      <w:r>
        <w:t xml:space="preserve"> from soil. Hence the default value of 0.1 (10%) suggested by US EPA (1995) for pesticides has been adopted in the derivation of HILs.</w:t>
      </w:r>
    </w:p>
    <w:p w:rsidR="007636B0" w:rsidRPr="009338FB" w:rsidRDefault="007636B0" w:rsidP="007636B0">
      <w:pPr>
        <w:pStyle w:val="Heading3"/>
      </w:pPr>
      <w:bookmarkStart w:id="7" w:name="_Toc351714247"/>
      <w:r w:rsidRPr="009338FB">
        <w:t>Inhalation of Dust</w:t>
      </w:r>
      <w:bookmarkEnd w:id="7"/>
    </w:p>
    <w:p w:rsidR="007636B0" w:rsidRDefault="007636B0" w:rsidP="007636B0">
      <w:r w:rsidRPr="00A35E24">
        <w:t>2,4,5-T</w:t>
      </w:r>
      <w:r>
        <w:t xml:space="preserve"> is not considered sufficiently volatile to be of significance and inhalation exposures associated with particulates outdoors and indoors are expected to be of less significance than ingestion of soil. While likely to be negligible, potential inhalation exposures associated with dust have been considered in the HIL derived.</w:t>
      </w:r>
    </w:p>
    <w:p w:rsidR="007636B0" w:rsidRPr="009338FB" w:rsidRDefault="007636B0" w:rsidP="007636B0">
      <w:pPr>
        <w:pStyle w:val="Heading3"/>
      </w:pPr>
      <w:bookmarkStart w:id="8" w:name="_Toc351714248"/>
      <w:r w:rsidRPr="009338FB">
        <w:t>Plant Uptake</w:t>
      </w:r>
      <w:bookmarkEnd w:id="8"/>
    </w:p>
    <w:p w:rsidR="007636B0" w:rsidRDefault="007636B0" w:rsidP="007636B0">
      <w:r>
        <w:t xml:space="preserve">Most </w:t>
      </w:r>
      <w:r w:rsidRPr="00A35E24">
        <w:rPr>
          <w:rFonts w:cs="Arial"/>
        </w:rPr>
        <w:t>chlorophenoxy herbicide</w:t>
      </w:r>
      <w:r>
        <w:t xml:space="preserve">s are toxic to plants and, as such, will be phytotoxic to almost all broadleaf crops including tomatoes, grapes and fruit trees, well before plant uptake into edible portions </w:t>
      </w:r>
      <w:r>
        <w:lastRenderedPageBreak/>
        <w:t>of fruit and vegetable crops is of significance. Hence the uptake of these compounds into home-grown produce has not been considered in the derivation of HIL A.</w:t>
      </w:r>
    </w:p>
    <w:p w:rsidR="0021528E" w:rsidRDefault="0021528E" w:rsidP="007636B0"/>
    <w:p w:rsidR="007636B0" w:rsidRDefault="007636B0" w:rsidP="007636B0">
      <w:r>
        <w:t>Note that the phytotoxic effects of these compounds may need to be addressed on a site-specific basis if detected in soil.</w:t>
      </w:r>
    </w:p>
    <w:p w:rsidR="007636B0" w:rsidRPr="0089652E" w:rsidRDefault="007636B0" w:rsidP="007636B0">
      <w:pPr>
        <w:pStyle w:val="Heading3"/>
      </w:pPr>
      <w:bookmarkStart w:id="9" w:name="_Toc351714249"/>
      <w:r w:rsidRPr="0089652E">
        <w:t xml:space="preserve">Intakes from Other Sources </w:t>
      </w:r>
      <w:r>
        <w:t>–</w:t>
      </w:r>
      <w:r w:rsidRPr="0089652E">
        <w:t xml:space="preserve"> Background</w:t>
      </w:r>
      <w:bookmarkEnd w:id="9"/>
    </w:p>
    <w:p w:rsidR="007636B0" w:rsidRDefault="007636B0" w:rsidP="007636B0">
      <w:r>
        <w:t>Review of available publications suggests that very little data is available for Australia. Based on the available information on 2,4,5-T and 2,4-D in the environment, it is likely that background intakes by the general public will be similar to those considered for 2,4-D, which can be considered to be essentially negligible (0%).</w:t>
      </w:r>
    </w:p>
    <w:p w:rsidR="007636B0" w:rsidRDefault="007636B0" w:rsidP="007636B0">
      <w:pPr>
        <w:pStyle w:val="Heading2"/>
        <w:tabs>
          <w:tab w:val="clear" w:pos="1209"/>
        </w:tabs>
      </w:pPr>
      <w:bookmarkStart w:id="10" w:name="_Toc351714250"/>
      <w:r>
        <w:t>Identification of Toxicity Reference Values</w:t>
      </w:r>
      <w:bookmarkEnd w:id="10"/>
    </w:p>
    <w:p w:rsidR="007636B0" w:rsidRPr="00983A79" w:rsidRDefault="007636B0" w:rsidP="007636B0">
      <w:pPr>
        <w:pStyle w:val="Heading3"/>
      </w:pPr>
      <w:bookmarkStart w:id="11" w:name="_Toc351714251"/>
      <w:r w:rsidRPr="00983A79">
        <w:t>Classification</w:t>
      </w:r>
      <w:bookmarkEnd w:id="11"/>
    </w:p>
    <w:p w:rsidR="007636B0" w:rsidRDefault="007636B0" w:rsidP="007636B0">
      <w:r w:rsidRPr="00C259C1">
        <w:t>The International Agency for Research on Cancer (IARC</w:t>
      </w:r>
      <w:r>
        <w:t xml:space="preserve"> 1987) has classified </w:t>
      </w:r>
      <w:r w:rsidRPr="00A35E24">
        <w:t>chlor</w:t>
      </w:r>
      <w:r>
        <w:t>ophenoxy herbicides as Group 2B—possibly carcinogenic to humans.</w:t>
      </w:r>
    </w:p>
    <w:p w:rsidR="0021528E" w:rsidRDefault="0021528E" w:rsidP="007636B0"/>
    <w:p w:rsidR="007636B0" w:rsidRDefault="007636B0" w:rsidP="007636B0">
      <w:r>
        <w:t>US EPA has not classified 2,4,5-T.</w:t>
      </w:r>
    </w:p>
    <w:p w:rsidR="007636B0" w:rsidRPr="00907E92" w:rsidRDefault="007636B0" w:rsidP="007636B0">
      <w:pPr>
        <w:pStyle w:val="Heading3"/>
      </w:pPr>
      <w:bookmarkStart w:id="12" w:name="_Toc351714252"/>
      <w:r w:rsidRPr="00907E92">
        <w:t>Review of Available Values</w:t>
      </w:r>
      <w:r>
        <w:t>/Information</w:t>
      </w:r>
      <w:bookmarkEnd w:id="12"/>
    </w:p>
    <w:p w:rsidR="007636B0" w:rsidRDefault="007636B0" w:rsidP="007636B0">
      <w:r>
        <w:t xml:space="preserve">Limited data is available on the assessment of carcinogenicity and genotoxicity for 2,4,5-T. Available information on 2,4,5-T is often confounded with the presence of dioxin (TCDD) which was a common </w:t>
      </w:r>
      <w:r w:rsidRPr="009974B0">
        <w:t>contaminant in 2,4,5-T herbicides</w:t>
      </w:r>
      <w:r>
        <w:t xml:space="preserve">. </w:t>
      </w:r>
      <w:r w:rsidRPr="009974B0">
        <w:t>2,4,5-T alone has not been found to be carcinogenic (Joint FAO/UNEP 2005)</w:t>
      </w:r>
      <w:r>
        <w:t>.</w:t>
      </w:r>
    </w:p>
    <w:p w:rsidR="0021528E" w:rsidRPr="009974B0" w:rsidRDefault="0021528E" w:rsidP="007636B0"/>
    <w:p w:rsidR="007636B0" w:rsidRDefault="007636B0" w:rsidP="007636B0">
      <w:r>
        <w:t>On the basis of the available information, it is considered appropriate that a threshold dose-response approach be adopted for 2,4-5-T. The following are available from Level 1 Australian and International sources: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
        <w:gridCol w:w="2238"/>
        <w:gridCol w:w="5537"/>
      </w:tblGrid>
      <w:tr w:rsidR="007636B0" w:rsidRPr="00775D98" w:rsidTr="00B45DD6">
        <w:trPr>
          <w:cantSplit/>
          <w:tblHeader/>
        </w:trPr>
        <w:tc>
          <w:tcPr>
            <w:tcW w:w="1384" w:type="dxa"/>
            <w:shd w:val="clear" w:color="auto" w:fill="C6D9F1" w:themeFill="text2" w:themeFillTint="33"/>
          </w:tcPr>
          <w:p w:rsidR="007636B0" w:rsidRPr="00775D98" w:rsidRDefault="007636B0" w:rsidP="00B45DD6">
            <w:pPr>
              <w:spacing w:before="20"/>
              <w:jc w:val="center"/>
              <w:rPr>
                <w:b/>
                <w:szCs w:val="22"/>
              </w:rPr>
            </w:pPr>
            <w:r w:rsidRPr="00775D98">
              <w:rPr>
                <w:b/>
                <w:szCs w:val="22"/>
              </w:rPr>
              <w:t>Source</w:t>
            </w:r>
          </w:p>
        </w:tc>
        <w:tc>
          <w:tcPr>
            <w:tcW w:w="2410" w:type="dxa"/>
            <w:shd w:val="clear" w:color="auto" w:fill="C6D9F1" w:themeFill="text2" w:themeFillTint="33"/>
          </w:tcPr>
          <w:p w:rsidR="007636B0" w:rsidRPr="00775D98" w:rsidRDefault="007636B0" w:rsidP="00B45DD6">
            <w:pPr>
              <w:spacing w:before="20"/>
              <w:jc w:val="center"/>
              <w:rPr>
                <w:b/>
                <w:szCs w:val="22"/>
              </w:rPr>
            </w:pPr>
            <w:r w:rsidRPr="00775D98">
              <w:rPr>
                <w:b/>
                <w:szCs w:val="22"/>
              </w:rPr>
              <w:t>Value</w:t>
            </w:r>
          </w:p>
        </w:tc>
        <w:tc>
          <w:tcPr>
            <w:tcW w:w="6169" w:type="dxa"/>
            <w:shd w:val="clear" w:color="auto" w:fill="C6D9F1" w:themeFill="text2" w:themeFillTint="33"/>
          </w:tcPr>
          <w:p w:rsidR="007636B0" w:rsidRPr="00775D98" w:rsidRDefault="007636B0" w:rsidP="00B45DD6">
            <w:pPr>
              <w:spacing w:before="20"/>
              <w:jc w:val="center"/>
              <w:rPr>
                <w:b/>
                <w:szCs w:val="22"/>
              </w:rPr>
            </w:pPr>
            <w:r w:rsidRPr="00775D98">
              <w:rPr>
                <w:b/>
                <w:szCs w:val="22"/>
              </w:rPr>
              <w:t>Basis/Comments</w:t>
            </w:r>
          </w:p>
        </w:tc>
      </w:tr>
      <w:tr w:rsidR="007636B0" w:rsidRPr="00775D98" w:rsidTr="00B45DD6">
        <w:trPr>
          <w:cantSplit/>
        </w:trPr>
        <w:tc>
          <w:tcPr>
            <w:tcW w:w="9963" w:type="dxa"/>
            <w:gridSpan w:val="3"/>
          </w:tcPr>
          <w:p w:rsidR="007636B0" w:rsidRPr="00775D98" w:rsidRDefault="007636B0" w:rsidP="00B45DD6">
            <w:pPr>
              <w:spacing w:before="20"/>
              <w:jc w:val="center"/>
              <w:rPr>
                <w:b/>
                <w:szCs w:val="22"/>
              </w:rPr>
            </w:pPr>
            <w:r w:rsidRPr="00775D98">
              <w:rPr>
                <w:b/>
                <w:szCs w:val="22"/>
              </w:rPr>
              <w:t>Australian</w:t>
            </w:r>
          </w:p>
        </w:tc>
      </w:tr>
      <w:tr w:rsidR="007636B0" w:rsidRPr="00775D98" w:rsidTr="00B45DD6">
        <w:trPr>
          <w:cantSplit/>
        </w:trPr>
        <w:tc>
          <w:tcPr>
            <w:tcW w:w="1384" w:type="dxa"/>
          </w:tcPr>
          <w:p w:rsidR="007636B0" w:rsidRPr="00775D98" w:rsidRDefault="007636B0" w:rsidP="00B45DD6">
            <w:pPr>
              <w:spacing w:before="20"/>
              <w:rPr>
                <w:szCs w:val="22"/>
              </w:rPr>
            </w:pPr>
            <w:r w:rsidRPr="00775D98">
              <w:rPr>
                <w:szCs w:val="22"/>
              </w:rPr>
              <w:t xml:space="preserve">ADWG (NHMRC 2011) </w:t>
            </w:r>
          </w:p>
        </w:tc>
        <w:tc>
          <w:tcPr>
            <w:tcW w:w="2410" w:type="dxa"/>
          </w:tcPr>
          <w:p w:rsidR="007636B0" w:rsidRPr="00775D98" w:rsidRDefault="007636B0" w:rsidP="00B45DD6">
            <w:pPr>
              <w:spacing w:before="20"/>
              <w:rPr>
                <w:szCs w:val="22"/>
              </w:rPr>
            </w:pPr>
            <w:r w:rsidRPr="00775D98">
              <w:rPr>
                <w:szCs w:val="22"/>
              </w:rPr>
              <w:t>TDI = 0.03 mg/kg/day</w:t>
            </w:r>
          </w:p>
        </w:tc>
        <w:tc>
          <w:tcPr>
            <w:tcW w:w="6169" w:type="dxa"/>
          </w:tcPr>
          <w:p w:rsidR="007636B0" w:rsidRPr="00775D98" w:rsidRDefault="007636B0" w:rsidP="00B45DD6">
            <w:pPr>
              <w:spacing w:before="20"/>
              <w:rPr>
                <w:szCs w:val="22"/>
              </w:rPr>
            </w:pPr>
            <w:r w:rsidRPr="00775D98">
              <w:rPr>
                <w:szCs w:val="22"/>
              </w:rPr>
              <w:t>Current drinking water guideline of 0.1 mg/L based on 10% intake from drinking water. Based on equations presented in the ADWG (NHMRC 2011), the TDI considered in this derivation is equal to 0.029 mg/kg/day, essentially equivalent to the ADI available from the Joint FAO/WHO. No further information on the basis for this value is available.</w:t>
            </w:r>
          </w:p>
        </w:tc>
      </w:tr>
      <w:tr w:rsidR="007636B0" w:rsidRPr="00775D98" w:rsidTr="00B45DD6">
        <w:trPr>
          <w:cantSplit/>
        </w:trPr>
        <w:tc>
          <w:tcPr>
            <w:tcW w:w="1384" w:type="dxa"/>
          </w:tcPr>
          <w:p w:rsidR="007636B0" w:rsidRPr="00775D98" w:rsidRDefault="007636B0" w:rsidP="00B45DD6">
            <w:pPr>
              <w:spacing w:before="20"/>
              <w:rPr>
                <w:szCs w:val="22"/>
              </w:rPr>
            </w:pPr>
            <w:r w:rsidRPr="00775D98">
              <w:rPr>
                <w:szCs w:val="22"/>
              </w:rPr>
              <w:t>OCS (2012)</w:t>
            </w:r>
          </w:p>
        </w:tc>
        <w:tc>
          <w:tcPr>
            <w:tcW w:w="2410" w:type="dxa"/>
          </w:tcPr>
          <w:p w:rsidR="007636B0" w:rsidRPr="00775D98" w:rsidRDefault="007636B0" w:rsidP="00B45DD6">
            <w:pPr>
              <w:spacing w:before="20"/>
              <w:rPr>
                <w:szCs w:val="22"/>
              </w:rPr>
            </w:pPr>
            <w:r w:rsidRPr="00775D98">
              <w:rPr>
                <w:szCs w:val="22"/>
              </w:rPr>
              <w:t>Deleted from current list in 2003. Prior to this, the ADI was listed as 0.03 mg/kg/day.</w:t>
            </w:r>
          </w:p>
        </w:tc>
        <w:tc>
          <w:tcPr>
            <w:tcW w:w="6169" w:type="dxa"/>
          </w:tcPr>
          <w:p w:rsidR="007636B0" w:rsidRPr="00775D98" w:rsidRDefault="007636B0" w:rsidP="00B45DD6">
            <w:pPr>
              <w:spacing w:before="20"/>
              <w:rPr>
                <w:szCs w:val="22"/>
              </w:rPr>
            </w:pPr>
            <w:r w:rsidRPr="00775D98">
              <w:rPr>
                <w:szCs w:val="22"/>
              </w:rPr>
              <w:t>Previous ADI referenced from Joint FAO/WHO evaluation from 1981.</w:t>
            </w:r>
          </w:p>
        </w:tc>
      </w:tr>
      <w:tr w:rsidR="007636B0" w:rsidRPr="00775D98" w:rsidTr="00B45DD6">
        <w:trPr>
          <w:cantSplit/>
        </w:trPr>
        <w:tc>
          <w:tcPr>
            <w:tcW w:w="9963" w:type="dxa"/>
            <w:gridSpan w:val="3"/>
          </w:tcPr>
          <w:p w:rsidR="007636B0" w:rsidRPr="00775D98" w:rsidRDefault="007636B0" w:rsidP="00B45DD6">
            <w:pPr>
              <w:spacing w:before="20"/>
              <w:jc w:val="center"/>
              <w:rPr>
                <w:b/>
                <w:szCs w:val="22"/>
              </w:rPr>
            </w:pPr>
            <w:r w:rsidRPr="00775D98">
              <w:rPr>
                <w:b/>
                <w:szCs w:val="22"/>
              </w:rPr>
              <w:t>International</w:t>
            </w:r>
          </w:p>
        </w:tc>
      </w:tr>
      <w:tr w:rsidR="007636B0" w:rsidRPr="00775D98" w:rsidTr="00B45DD6">
        <w:trPr>
          <w:cantSplit/>
        </w:trPr>
        <w:tc>
          <w:tcPr>
            <w:tcW w:w="1384" w:type="dxa"/>
          </w:tcPr>
          <w:p w:rsidR="007636B0" w:rsidRPr="00775D98" w:rsidRDefault="007636B0" w:rsidP="00B45DD6">
            <w:pPr>
              <w:spacing w:before="20"/>
              <w:rPr>
                <w:szCs w:val="22"/>
              </w:rPr>
            </w:pPr>
            <w:r w:rsidRPr="00775D98">
              <w:rPr>
                <w:szCs w:val="22"/>
              </w:rPr>
              <w:t>WHO (1981)</w:t>
            </w:r>
          </w:p>
        </w:tc>
        <w:tc>
          <w:tcPr>
            <w:tcW w:w="2410" w:type="dxa"/>
          </w:tcPr>
          <w:p w:rsidR="007636B0" w:rsidRPr="00775D98" w:rsidRDefault="007636B0" w:rsidP="00B45DD6">
            <w:pPr>
              <w:spacing w:before="20"/>
              <w:rPr>
                <w:szCs w:val="22"/>
              </w:rPr>
            </w:pPr>
            <w:r w:rsidRPr="00775D98">
              <w:rPr>
                <w:szCs w:val="22"/>
              </w:rPr>
              <w:t>Temporary ADI of 0-0.03 mg/kg/day</w:t>
            </w:r>
          </w:p>
        </w:tc>
        <w:tc>
          <w:tcPr>
            <w:tcW w:w="6169" w:type="dxa"/>
          </w:tcPr>
          <w:p w:rsidR="007636B0" w:rsidRPr="00775D98" w:rsidRDefault="007636B0" w:rsidP="00B45DD6">
            <w:pPr>
              <w:spacing w:before="20"/>
              <w:rPr>
                <w:szCs w:val="22"/>
              </w:rPr>
            </w:pPr>
            <w:r w:rsidRPr="00775D98">
              <w:rPr>
                <w:szCs w:val="22"/>
              </w:rPr>
              <w:t>Temporary ADI based on a NOEL of 3 mg/kg/day from a rat carcinogenicity study with 2,4,5-T containing 0.05 ppm TCDD.</w:t>
            </w:r>
          </w:p>
        </w:tc>
      </w:tr>
      <w:tr w:rsidR="007636B0" w:rsidRPr="00775D98" w:rsidTr="00B45DD6">
        <w:trPr>
          <w:cantSplit/>
        </w:trPr>
        <w:tc>
          <w:tcPr>
            <w:tcW w:w="1384" w:type="dxa"/>
          </w:tcPr>
          <w:p w:rsidR="007636B0" w:rsidRPr="00775D98" w:rsidRDefault="007636B0" w:rsidP="00B45DD6">
            <w:pPr>
              <w:spacing w:before="20"/>
              <w:rPr>
                <w:szCs w:val="22"/>
              </w:rPr>
            </w:pPr>
            <w:r w:rsidRPr="00775D98">
              <w:rPr>
                <w:szCs w:val="22"/>
              </w:rPr>
              <w:lastRenderedPageBreak/>
              <w:t>WHO (2011)</w:t>
            </w:r>
          </w:p>
        </w:tc>
        <w:tc>
          <w:tcPr>
            <w:tcW w:w="2410" w:type="dxa"/>
          </w:tcPr>
          <w:p w:rsidR="007636B0" w:rsidRPr="00775D98" w:rsidRDefault="007636B0" w:rsidP="00B45DD6">
            <w:pPr>
              <w:spacing w:before="20"/>
              <w:rPr>
                <w:szCs w:val="22"/>
              </w:rPr>
            </w:pPr>
            <w:r w:rsidRPr="00775D98">
              <w:rPr>
                <w:szCs w:val="22"/>
              </w:rPr>
              <w:t>TDI = 0.003 mg/kg/day</w:t>
            </w:r>
          </w:p>
        </w:tc>
        <w:tc>
          <w:tcPr>
            <w:tcW w:w="6169" w:type="dxa"/>
          </w:tcPr>
          <w:p w:rsidR="007636B0" w:rsidRDefault="007636B0" w:rsidP="00B45DD6">
            <w:pPr>
              <w:spacing w:before="20"/>
              <w:rPr>
                <w:szCs w:val="22"/>
              </w:rPr>
            </w:pPr>
            <w:r w:rsidRPr="00775D98">
              <w:rPr>
                <w:szCs w:val="22"/>
              </w:rPr>
              <w:t>2,4,5-T has been reviewed in the WHO DWG (originally reviewed and established in 1996,) with a TDI of 0.003 mg/kg/day derived based on a NOAEL for reduced body weight gain, increased liver and kidney weights and renal toxicity in a 2 -year rat study. The same NOAEL was derived for reproductive effects from a three-generation rat study. It is noted that the derivation of the TDI included an additional 10 fold factor to address a suggested association between 2,4,5-T and soft-tissue sarcoma and non-Hodgkin lymphoma (not noted in other reviews available).</w:t>
            </w:r>
          </w:p>
          <w:p w:rsidR="00E80517" w:rsidRPr="00775D98" w:rsidRDefault="00E80517" w:rsidP="00B45DD6">
            <w:pPr>
              <w:spacing w:before="20"/>
              <w:rPr>
                <w:szCs w:val="22"/>
              </w:rPr>
            </w:pPr>
          </w:p>
          <w:p w:rsidR="007636B0" w:rsidRPr="00775D98" w:rsidRDefault="007636B0" w:rsidP="00B45DD6">
            <w:pPr>
              <w:spacing w:before="20"/>
              <w:rPr>
                <w:szCs w:val="22"/>
              </w:rPr>
            </w:pPr>
            <w:r w:rsidRPr="00775D98">
              <w:rPr>
                <w:szCs w:val="22"/>
              </w:rPr>
              <w:t>2,4,5-T is included in the WHO plan for rolling revisions to the drinking water guidelines. No reviews with respect to this chemical are currently available.</w:t>
            </w:r>
          </w:p>
        </w:tc>
      </w:tr>
      <w:tr w:rsidR="007636B0" w:rsidRPr="00775D98" w:rsidTr="00B45DD6">
        <w:trPr>
          <w:cantSplit/>
        </w:trPr>
        <w:tc>
          <w:tcPr>
            <w:tcW w:w="1384" w:type="dxa"/>
          </w:tcPr>
          <w:p w:rsidR="007636B0" w:rsidRPr="00775D98" w:rsidRDefault="007636B0" w:rsidP="00B45DD6">
            <w:pPr>
              <w:spacing w:before="20"/>
              <w:rPr>
                <w:szCs w:val="22"/>
              </w:rPr>
            </w:pPr>
            <w:r w:rsidRPr="00775D98">
              <w:rPr>
                <w:szCs w:val="22"/>
              </w:rPr>
              <w:t>ATSDR</w:t>
            </w:r>
          </w:p>
        </w:tc>
        <w:tc>
          <w:tcPr>
            <w:tcW w:w="2410" w:type="dxa"/>
          </w:tcPr>
          <w:p w:rsidR="007636B0" w:rsidRPr="00775D98" w:rsidRDefault="007636B0" w:rsidP="00B45DD6">
            <w:pPr>
              <w:spacing w:before="20"/>
              <w:rPr>
                <w:szCs w:val="22"/>
              </w:rPr>
            </w:pPr>
            <w:r w:rsidRPr="00775D98">
              <w:rPr>
                <w:szCs w:val="22"/>
              </w:rPr>
              <w:t>No evaluation available</w:t>
            </w:r>
          </w:p>
        </w:tc>
        <w:tc>
          <w:tcPr>
            <w:tcW w:w="6169" w:type="dxa"/>
          </w:tcPr>
          <w:p w:rsidR="007636B0" w:rsidRPr="00775D98" w:rsidRDefault="007636B0" w:rsidP="00B45DD6">
            <w:pPr>
              <w:spacing w:before="20"/>
              <w:rPr>
                <w:szCs w:val="22"/>
              </w:rPr>
            </w:pPr>
          </w:p>
        </w:tc>
      </w:tr>
      <w:tr w:rsidR="007636B0" w:rsidRPr="00775D98" w:rsidTr="00B45DD6">
        <w:trPr>
          <w:cantSplit/>
        </w:trPr>
        <w:tc>
          <w:tcPr>
            <w:tcW w:w="1384" w:type="dxa"/>
          </w:tcPr>
          <w:p w:rsidR="007636B0" w:rsidRPr="00775D98" w:rsidRDefault="007636B0" w:rsidP="00B45DD6">
            <w:pPr>
              <w:spacing w:before="20"/>
              <w:rPr>
                <w:szCs w:val="22"/>
              </w:rPr>
            </w:pPr>
            <w:r w:rsidRPr="00775D98">
              <w:rPr>
                <w:szCs w:val="22"/>
              </w:rPr>
              <w:t>US EPA (IRIS 2012)</w:t>
            </w:r>
          </w:p>
        </w:tc>
        <w:tc>
          <w:tcPr>
            <w:tcW w:w="2410" w:type="dxa"/>
          </w:tcPr>
          <w:p w:rsidR="007636B0" w:rsidRPr="00775D98" w:rsidRDefault="007636B0" w:rsidP="00B45DD6">
            <w:pPr>
              <w:spacing w:before="20"/>
              <w:rPr>
                <w:szCs w:val="22"/>
              </w:rPr>
            </w:pPr>
            <w:r w:rsidRPr="00775D98">
              <w:rPr>
                <w:szCs w:val="22"/>
              </w:rPr>
              <w:t>RfD = 0.01 mg/kg/day</w:t>
            </w:r>
          </w:p>
          <w:p w:rsidR="007636B0" w:rsidRPr="00775D98" w:rsidRDefault="007636B0" w:rsidP="00B45DD6">
            <w:pPr>
              <w:spacing w:before="20"/>
              <w:rPr>
                <w:szCs w:val="22"/>
              </w:rPr>
            </w:pPr>
          </w:p>
        </w:tc>
        <w:tc>
          <w:tcPr>
            <w:tcW w:w="6169" w:type="dxa"/>
          </w:tcPr>
          <w:p w:rsidR="007636B0" w:rsidRDefault="007636B0" w:rsidP="00B45DD6">
            <w:pPr>
              <w:spacing w:before="20"/>
              <w:rPr>
                <w:szCs w:val="22"/>
              </w:rPr>
            </w:pPr>
            <w:r w:rsidRPr="00775D98">
              <w:rPr>
                <w:szCs w:val="22"/>
              </w:rPr>
              <w:t>The US EPA evaluation was established in 1982 and last reviewed in 1988 and provides an oral RfD of 0.01 mg/kg/day, based on a NOAEL of 3 mg/kg/day based on kidney effects in rats, and a 300-fold uncertainty factor.</w:t>
            </w:r>
          </w:p>
          <w:p w:rsidR="00E80517" w:rsidRPr="00775D98" w:rsidRDefault="00E80517" w:rsidP="00B45DD6">
            <w:pPr>
              <w:spacing w:before="20"/>
              <w:rPr>
                <w:szCs w:val="22"/>
              </w:rPr>
            </w:pPr>
          </w:p>
          <w:p w:rsidR="007636B0" w:rsidRPr="00775D98" w:rsidRDefault="007636B0" w:rsidP="00B45DD6">
            <w:pPr>
              <w:spacing w:before="20"/>
              <w:rPr>
                <w:szCs w:val="22"/>
              </w:rPr>
            </w:pPr>
            <w:r w:rsidRPr="00775D98">
              <w:rPr>
                <w:szCs w:val="22"/>
              </w:rPr>
              <w:t xml:space="preserve">The value derived is considered protective of reproductive end points. </w:t>
            </w:r>
          </w:p>
        </w:tc>
      </w:tr>
    </w:tbl>
    <w:p w:rsidR="007636B0" w:rsidRDefault="007636B0" w:rsidP="007636B0"/>
    <w:p w:rsidR="007636B0" w:rsidRDefault="007636B0" w:rsidP="007636B0">
      <w:r>
        <w:t>The available information from all the above sources is dated. There are some issues with the temporary ADI derived by the Joint FAO/WHO (1981) in that the study considered for the derivation of the ADI included the dioxin (TCDD) contaminant and addressed an end point not associated with 2,4,5-T alone. This value has subsequently been adopted in the derivation of the current ADWG without further review.</w:t>
      </w:r>
    </w:p>
    <w:p w:rsidR="0021528E" w:rsidRDefault="0021528E" w:rsidP="007636B0"/>
    <w:p w:rsidR="007636B0" w:rsidRDefault="007636B0" w:rsidP="007636B0">
      <w:r>
        <w:t>The value has been deleted from the current ADI list (OCS 2012). The TDI available in the current WHO DWG (2011) is based on the same studies as considered in 1981, though an additional uncertainty factor has been incorporated to address uncertainties in the database, including potential carcinogenic effects. The basis for this additional factor is not clear, as the carcinogenic effects noted have not been identified in other studies. On this basis, the most appropriate threshold reference value for 2,4,5-T is from US EPA, which is similar to the previous ADI from WHO (and is considered in the current ADWG (NHMRC 2011)).</w:t>
      </w:r>
    </w:p>
    <w:p w:rsidR="0021528E" w:rsidRDefault="0021528E" w:rsidP="007636B0"/>
    <w:p w:rsidR="007636B0" w:rsidRDefault="007636B0" w:rsidP="007636B0">
      <w:r>
        <w:t>No dermal or inhalation specific studies or data are available. For the presence of 2,4,5-T in soil, it is considered appropriate to consider use of the available US EPA RfD as a TRV for all pathways of exposures.</w:t>
      </w:r>
    </w:p>
    <w:p w:rsidR="007636B0" w:rsidRPr="00921D7B" w:rsidRDefault="007636B0" w:rsidP="007636B0">
      <w:pPr>
        <w:pStyle w:val="Heading3"/>
      </w:pPr>
      <w:bookmarkStart w:id="13" w:name="_Toc351714253"/>
      <w:r w:rsidRPr="00921D7B">
        <w:t>Recommendation</w:t>
      </w:r>
      <w:bookmarkEnd w:id="13"/>
    </w:p>
    <w:p w:rsidR="007636B0" w:rsidRPr="00191EC8" w:rsidRDefault="007636B0" w:rsidP="007636B0">
      <w:r>
        <w:t>On the basis of the discussion above, the following toxicity reference values (TRVs) have been adopted for 2,4,5-T in the derivation of HILs:</w:t>
      </w:r>
    </w:p>
    <w:p w:rsidR="007636B0" w:rsidRDefault="007636B0" w:rsidP="007636B0">
      <w:r>
        <w:rPr>
          <w:noProof/>
          <w:lang w:eastAsia="en-AU"/>
        </w:rPr>
        <w:lastRenderedPageBreak/>
        <mc:AlternateContent>
          <mc:Choice Requires="wps">
            <w:drawing>
              <wp:inline distT="0" distB="0" distL="0" distR="0">
                <wp:extent cx="5640705" cy="1819275"/>
                <wp:effectExtent l="13335" t="5715" r="13335" b="133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1819275"/>
                        </a:xfrm>
                        <a:prstGeom prst="rect">
                          <a:avLst/>
                        </a:prstGeom>
                        <a:solidFill>
                          <a:srgbClr val="D8D8D8"/>
                        </a:solidFill>
                        <a:ln w="9525">
                          <a:solidFill>
                            <a:srgbClr val="000000"/>
                          </a:solidFill>
                          <a:miter lim="800000"/>
                          <a:headEnd/>
                          <a:tailEnd/>
                        </a:ln>
                      </wps:spPr>
                      <wps:txbx>
                        <w:txbxContent>
                          <w:p w:rsidR="00A0097F" w:rsidRPr="00742163" w:rsidRDefault="00A0097F" w:rsidP="007636B0">
                            <w:pPr>
                              <w:spacing w:after="40"/>
                              <w:rPr>
                                <w:b/>
                                <w:u w:val="single"/>
                              </w:rPr>
                            </w:pPr>
                            <w:r w:rsidRPr="00742163">
                              <w:rPr>
                                <w:b/>
                                <w:u w:val="single"/>
                              </w:rPr>
                              <w:t>Recommendation for 2,4</w:t>
                            </w:r>
                            <w:r>
                              <w:rPr>
                                <w:b/>
                                <w:u w:val="single"/>
                              </w:rPr>
                              <w:t>,5-T</w:t>
                            </w:r>
                          </w:p>
                          <w:p w:rsidR="00A0097F" w:rsidRDefault="00A0097F" w:rsidP="007636B0">
                            <w:pPr>
                              <w:spacing w:after="40"/>
                            </w:pPr>
                            <w:r>
                              <w:t>Oral TRV (TRV</w:t>
                            </w:r>
                            <w:r w:rsidRPr="00A54613">
                              <w:rPr>
                                <w:vertAlign w:val="subscript"/>
                              </w:rPr>
                              <w:t>O</w:t>
                            </w:r>
                            <w:r>
                              <w:t>) = 0.01 mg/kg/day (RfD from US EPA (IRIS 2012) relevant to all pathways of exposure</w:t>
                            </w:r>
                          </w:p>
                          <w:p w:rsidR="00A0097F" w:rsidRDefault="00A0097F" w:rsidP="007636B0">
                            <w:pPr>
                              <w:spacing w:after="40"/>
                            </w:pPr>
                            <w:r>
                              <w:t>Dermal absorption factor (DAF) = 0.1 (or 10%) (US EPA 1995)</w:t>
                            </w:r>
                          </w:p>
                          <w:p w:rsidR="00A0097F" w:rsidRDefault="00A0097F" w:rsidP="007636B0">
                            <w:pPr>
                              <w:spacing w:after="40"/>
                            </w:pPr>
                            <w:r>
                              <w:t>Background intakes from other sources (as % of TRV):</w:t>
                            </w:r>
                          </w:p>
                          <w:p w:rsidR="00A0097F" w:rsidRDefault="00A0097F" w:rsidP="007636B0">
                            <w:pPr>
                              <w:spacing w:after="40"/>
                              <w:ind w:left="720"/>
                            </w:pPr>
                            <w:r>
                              <w:t>BI</w:t>
                            </w:r>
                            <w:r w:rsidRPr="002049F5">
                              <w:rPr>
                                <w:vertAlign w:val="subscript"/>
                              </w:rPr>
                              <w:t>O</w:t>
                            </w:r>
                            <w:r>
                              <w:t xml:space="preserve"> = 0% for oral and dermal intakes</w:t>
                            </w:r>
                          </w:p>
                          <w:p w:rsidR="00A0097F" w:rsidRDefault="00A0097F" w:rsidP="007636B0">
                            <w:pPr>
                              <w:spacing w:after="40"/>
                              <w:ind w:left="720"/>
                            </w:pPr>
                            <w:r>
                              <w:t>BIi = 0% for inhalation</w:t>
                            </w:r>
                            <w:r w:rsidDel="00C81411">
                              <w:t xml:space="preserve"> </w:t>
                            </w:r>
                          </w:p>
                        </w:txbxContent>
                      </wps:txbx>
                      <wps:bodyPr rot="0" vert="horz" wrap="square" lIns="91440" tIns="45720" rIns="91440" bIns="45720" anchor="t" anchorCtr="0" upright="1">
                        <a:noAutofit/>
                      </wps:bodyPr>
                    </wps:wsp>
                  </a:graphicData>
                </a:graphic>
              </wp:inline>
            </w:drawing>
          </mc:Choice>
          <mc:Fallback>
            <w:pict>
              <v:shape id="Text Box 9" o:spid="_x0000_s1029" type="#_x0000_t202" style="width:444.15pt;height:1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" fillcolor="#d8d8d8">
                <v:textbox>
                  <w:txbxContent>
                    <w:p w:rsidR="009C6751" w:rsidRPr="00742163" w:rsidRDefault="009C6751" w:rsidP="007636B0">
                      <w:pPr>
                        <w:spacing w:after="40"/>
                        <w:rPr>
                          <w:b/>
                          <w:u w:val="single"/>
                        </w:rPr>
                      </w:pPr>
                      <w:r w:rsidRPr="00742163">
                        <w:rPr>
                          <w:b/>
                          <w:u w:val="single"/>
                        </w:rPr>
                        <w:t>Recommendation for 2,4</w:t>
                      </w:r>
                      <w:r>
                        <w:rPr>
                          <w:b/>
                          <w:u w:val="single"/>
                        </w:rPr>
                        <w:t>,5-T</w:t>
                      </w:r>
                    </w:p>
                    <w:p w:rsidR="009C6751" w:rsidRDefault="009C6751" w:rsidP="007636B0">
                      <w:pPr>
                        <w:spacing w:after="40"/>
                      </w:pPr>
                      <w:r>
                        <w:t>Oral TRV (TRV</w:t>
                      </w:r>
                      <w:r w:rsidRPr="00A54613">
                        <w:rPr>
                          <w:vertAlign w:val="subscript"/>
                        </w:rPr>
                        <w:t>O</w:t>
                      </w:r>
                      <w:r>
                        <w:t>) = 0.01 mg/kg/day (RfD from US EPA (IRIS 2012) relevant to all pathways of exposure</w:t>
                      </w:r>
                    </w:p>
                    <w:p w:rsidR="009C6751" w:rsidRDefault="009C6751" w:rsidP="007636B0">
                      <w:pPr>
                        <w:spacing w:after="40"/>
                      </w:pPr>
                      <w:r>
                        <w:t>Dermal absorption factor (DAF) = 0.1 (or 10%) (US EPA 1995)</w:t>
                      </w:r>
                    </w:p>
                    <w:p w:rsidR="009C6751" w:rsidRDefault="009C6751" w:rsidP="007636B0">
                      <w:pPr>
                        <w:spacing w:after="40"/>
                      </w:pPr>
                      <w:r>
                        <w:t>Background intakes from other sources (as % of TRV):</w:t>
                      </w:r>
                    </w:p>
                    <w:p w:rsidR="009C6751" w:rsidRDefault="009C6751" w:rsidP="007636B0">
                      <w:pPr>
                        <w:spacing w:after="40"/>
                        <w:ind w:left="720"/>
                      </w:pPr>
                      <w:r>
                        <w:t>BI</w:t>
                      </w:r>
                      <w:r w:rsidRPr="002049F5">
                        <w:rPr>
                          <w:vertAlign w:val="subscript"/>
                        </w:rPr>
                        <w:t>O</w:t>
                      </w:r>
                      <w:r>
                        <w:t xml:space="preserve"> = 0% for oral and dermal intakes</w:t>
                      </w:r>
                    </w:p>
                    <w:p w:rsidR="009C6751" w:rsidRDefault="009C6751" w:rsidP="007636B0">
                      <w:pPr>
                        <w:spacing w:after="40"/>
                        <w:ind w:left="720"/>
                      </w:pPr>
                      <w:r>
                        <w:t>BIi = 0% for inhalation</w:t>
                      </w:r>
                      <w:r w:rsidDel="00C81411">
                        <w:t xml:space="preserve"> </w:t>
                      </w:r>
                    </w:p>
                  </w:txbxContent>
                </v:textbox>
                <w10:anchorlock/>
              </v:shape>
            </w:pict>
          </mc:Fallback>
        </mc:AlternateContent>
      </w:r>
    </w:p>
    <w:p w:rsidR="007636B0" w:rsidRDefault="007636B0" w:rsidP="007636B0">
      <w:pPr>
        <w:pStyle w:val="Heading2"/>
        <w:tabs>
          <w:tab w:val="clear" w:pos="1209"/>
        </w:tabs>
      </w:pPr>
      <w:bookmarkStart w:id="14" w:name="_Toc351714254"/>
      <w:r w:rsidRPr="00775D98">
        <w:t>Calculated</w:t>
      </w:r>
      <w:r>
        <w:t xml:space="preserve"> HILs</w:t>
      </w:r>
      <w:bookmarkEnd w:id="14"/>
    </w:p>
    <w:p w:rsidR="007636B0" w:rsidRDefault="007636B0" w:rsidP="007636B0">
      <w:r>
        <w:t>On the basis of the above, the following HILs have been derived for 2,4,5-T (refer to Appendix B for equations used to calculate the HILs and Appendix C for calculations):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9"/>
        <w:gridCol w:w="1287"/>
        <w:gridCol w:w="1445"/>
        <w:gridCol w:w="1517"/>
        <w:gridCol w:w="1553"/>
        <w:gridCol w:w="1392"/>
      </w:tblGrid>
      <w:tr w:rsidR="007636B0" w:rsidRPr="00775D98" w:rsidTr="00B45DD6">
        <w:tc>
          <w:tcPr>
            <w:tcW w:w="1639" w:type="dxa"/>
            <w:vMerge w:val="restart"/>
            <w:shd w:val="clear" w:color="auto" w:fill="C6D9F1" w:themeFill="text2" w:themeFillTint="33"/>
          </w:tcPr>
          <w:p w:rsidR="007636B0" w:rsidRPr="00775D98" w:rsidRDefault="007636B0" w:rsidP="00B45DD6">
            <w:pPr>
              <w:spacing w:after="40"/>
              <w:rPr>
                <w:b/>
                <w:szCs w:val="22"/>
              </w:rPr>
            </w:pPr>
            <w:r w:rsidRPr="00775D98">
              <w:rPr>
                <w:b/>
                <w:szCs w:val="22"/>
              </w:rPr>
              <w:t>HIL Scenario</w:t>
            </w:r>
          </w:p>
        </w:tc>
        <w:tc>
          <w:tcPr>
            <w:tcW w:w="1287" w:type="dxa"/>
            <w:vMerge w:val="restart"/>
            <w:shd w:val="clear" w:color="auto" w:fill="C6D9F1" w:themeFill="text2" w:themeFillTint="33"/>
          </w:tcPr>
          <w:p w:rsidR="007636B0" w:rsidRPr="00775D98" w:rsidRDefault="007636B0" w:rsidP="00B45DD6">
            <w:pPr>
              <w:spacing w:after="40"/>
              <w:jc w:val="center"/>
              <w:rPr>
                <w:b/>
                <w:szCs w:val="22"/>
              </w:rPr>
            </w:pPr>
            <w:r w:rsidRPr="00775D98">
              <w:rPr>
                <w:b/>
                <w:szCs w:val="22"/>
              </w:rPr>
              <w:t>HIL (mg/kg)</w:t>
            </w:r>
          </w:p>
        </w:tc>
        <w:tc>
          <w:tcPr>
            <w:tcW w:w="5907" w:type="dxa"/>
            <w:gridSpan w:val="4"/>
            <w:shd w:val="clear" w:color="auto" w:fill="C6D9F1" w:themeFill="text2" w:themeFillTint="33"/>
          </w:tcPr>
          <w:p w:rsidR="007636B0" w:rsidRPr="00775D98" w:rsidRDefault="007636B0" w:rsidP="00B45DD6">
            <w:pPr>
              <w:spacing w:after="40"/>
              <w:jc w:val="center"/>
              <w:rPr>
                <w:b/>
                <w:szCs w:val="22"/>
              </w:rPr>
            </w:pPr>
            <w:r w:rsidRPr="00775D98">
              <w:rPr>
                <w:b/>
                <w:szCs w:val="22"/>
              </w:rPr>
              <w:t>Percentage Contribution from Exposure Pathways</w:t>
            </w:r>
          </w:p>
        </w:tc>
      </w:tr>
      <w:tr w:rsidR="007636B0" w:rsidRPr="00775D98" w:rsidTr="00B45DD6">
        <w:trPr>
          <w:trHeight w:val="427"/>
        </w:trPr>
        <w:tc>
          <w:tcPr>
            <w:tcW w:w="1639" w:type="dxa"/>
            <w:vMerge/>
            <w:shd w:val="clear" w:color="auto" w:fill="C6D9F1" w:themeFill="text2" w:themeFillTint="33"/>
          </w:tcPr>
          <w:p w:rsidR="007636B0" w:rsidRPr="00775D98" w:rsidRDefault="007636B0" w:rsidP="00B45DD6">
            <w:pPr>
              <w:spacing w:after="40"/>
              <w:rPr>
                <w:szCs w:val="22"/>
              </w:rPr>
            </w:pPr>
          </w:p>
        </w:tc>
        <w:tc>
          <w:tcPr>
            <w:tcW w:w="1287" w:type="dxa"/>
            <w:vMerge/>
            <w:shd w:val="clear" w:color="auto" w:fill="C6D9F1" w:themeFill="text2" w:themeFillTint="33"/>
          </w:tcPr>
          <w:p w:rsidR="007636B0" w:rsidRPr="00775D98" w:rsidRDefault="007636B0" w:rsidP="00B45DD6">
            <w:pPr>
              <w:spacing w:after="40"/>
              <w:jc w:val="center"/>
              <w:rPr>
                <w:szCs w:val="22"/>
              </w:rPr>
            </w:pPr>
          </w:p>
        </w:tc>
        <w:tc>
          <w:tcPr>
            <w:tcW w:w="1445" w:type="dxa"/>
            <w:shd w:val="clear" w:color="auto" w:fill="C6D9F1" w:themeFill="text2" w:themeFillTint="33"/>
          </w:tcPr>
          <w:p w:rsidR="007636B0" w:rsidRPr="00775D98" w:rsidRDefault="007636B0" w:rsidP="00B45DD6">
            <w:pPr>
              <w:spacing w:after="40"/>
              <w:jc w:val="center"/>
              <w:rPr>
                <w:b/>
                <w:szCs w:val="22"/>
              </w:rPr>
            </w:pPr>
            <w:r w:rsidRPr="00775D98">
              <w:rPr>
                <w:b/>
                <w:szCs w:val="22"/>
              </w:rPr>
              <w:t>Ingestion of Soil/Dust</w:t>
            </w:r>
          </w:p>
        </w:tc>
        <w:tc>
          <w:tcPr>
            <w:tcW w:w="1517" w:type="dxa"/>
            <w:shd w:val="clear" w:color="auto" w:fill="C6D9F1" w:themeFill="text2" w:themeFillTint="33"/>
          </w:tcPr>
          <w:p w:rsidR="007636B0" w:rsidRPr="00775D98" w:rsidRDefault="007636B0" w:rsidP="00B45DD6">
            <w:pPr>
              <w:spacing w:after="40"/>
              <w:jc w:val="center"/>
              <w:rPr>
                <w:b/>
                <w:szCs w:val="22"/>
              </w:rPr>
            </w:pPr>
            <w:r w:rsidRPr="00775D98">
              <w:rPr>
                <w:b/>
                <w:szCs w:val="22"/>
              </w:rPr>
              <w:t>Ingestion of Home-grown Produce</w:t>
            </w:r>
          </w:p>
        </w:tc>
        <w:tc>
          <w:tcPr>
            <w:tcW w:w="1553" w:type="dxa"/>
            <w:shd w:val="clear" w:color="auto" w:fill="C6D9F1" w:themeFill="text2" w:themeFillTint="33"/>
          </w:tcPr>
          <w:p w:rsidR="007636B0" w:rsidRPr="00775D98" w:rsidRDefault="007636B0" w:rsidP="00B45DD6">
            <w:pPr>
              <w:spacing w:after="40"/>
              <w:jc w:val="center"/>
              <w:rPr>
                <w:b/>
                <w:szCs w:val="22"/>
              </w:rPr>
            </w:pPr>
            <w:r w:rsidRPr="00775D98">
              <w:rPr>
                <w:b/>
                <w:szCs w:val="22"/>
              </w:rPr>
              <w:t>Dermal Absorption of Soil/Dust</w:t>
            </w:r>
          </w:p>
        </w:tc>
        <w:tc>
          <w:tcPr>
            <w:tcW w:w="1392" w:type="dxa"/>
            <w:shd w:val="clear" w:color="auto" w:fill="C6D9F1" w:themeFill="text2" w:themeFillTint="33"/>
          </w:tcPr>
          <w:p w:rsidR="007636B0" w:rsidRPr="00775D98" w:rsidRDefault="007636B0" w:rsidP="00B45DD6">
            <w:pPr>
              <w:spacing w:after="40"/>
              <w:jc w:val="center"/>
              <w:rPr>
                <w:b/>
                <w:szCs w:val="22"/>
              </w:rPr>
            </w:pPr>
            <w:r w:rsidRPr="00775D98">
              <w:rPr>
                <w:b/>
                <w:szCs w:val="22"/>
              </w:rPr>
              <w:t>Inhalation (dust)</w:t>
            </w:r>
          </w:p>
        </w:tc>
      </w:tr>
      <w:tr w:rsidR="007636B0" w:rsidRPr="00775D98" w:rsidTr="00B45DD6">
        <w:tc>
          <w:tcPr>
            <w:tcW w:w="1639" w:type="dxa"/>
          </w:tcPr>
          <w:p w:rsidR="007636B0" w:rsidRPr="00775D98" w:rsidRDefault="007636B0" w:rsidP="00B45DD6">
            <w:pPr>
              <w:spacing w:after="40"/>
              <w:rPr>
                <w:szCs w:val="22"/>
              </w:rPr>
            </w:pPr>
            <w:r w:rsidRPr="00775D98">
              <w:rPr>
                <w:szCs w:val="22"/>
              </w:rPr>
              <w:t>Residential A</w:t>
            </w:r>
          </w:p>
        </w:tc>
        <w:tc>
          <w:tcPr>
            <w:tcW w:w="1287" w:type="dxa"/>
            <w:tcMar>
              <w:right w:w="397" w:type="dxa"/>
            </w:tcMar>
          </w:tcPr>
          <w:p w:rsidR="007636B0" w:rsidRPr="00775D98" w:rsidRDefault="007636B0" w:rsidP="00B45DD6">
            <w:pPr>
              <w:spacing w:after="40"/>
              <w:jc w:val="right"/>
              <w:rPr>
                <w:szCs w:val="22"/>
              </w:rPr>
            </w:pPr>
            <w:r w:rsidRPr="00775D98">
              <w:rPr>
                <w:szCs w:val="22"/>
              </w:rPr>
              <w:t>600</w:t>
            </w:r>
          </w:p>
        </w:tc>
        <w:tc>
          <w:tcPr>
            <w:tcW w:w="1445" w:type="dxa"/>
          </w:tcPr>
          <w:p w:rsidR="007636B0" w:rsidRPr="00775D98" w:rsidRDefault="007636B0" w:rsidP="00B45DD6">
            <w:pPr>
              <w:spacing w:after="40"/>
              <w:jc w:val="center"/>
              <w:rPr>
                <w:szCs w:val="22"/>
              </w:rPr>
            </w:pPr>
            <w:r w:rsidRPr="00775D98">
              <w:rPr>
                <w:szCs w:val="22"/>
              </w:rPr>
              <w:t>43</w:t>
            </w:r>
          </w:p>
        </w:tc>
        <w:tc>
          <w:tcPr>
            <w:tcW w:w="1517" w:type="dxa"/>
          </w:tcPr>
          <w:p w:rsidR="007636B0" w:rsidRPr="00775D98" w:rsidRDefault="007636B0" w:rsidP="00B45DD6">
            <w:pPr>
              <w:spacing w:after="40"/>
              <w:jc w:val="center"/>
              <w:rPr>
                <w:szCs w:val="22"/>
              </w:rPr>
            </w:pPr>
            <w:r w:rsidRPr="00775D98">
              <w:rPr>
                <w:szCs w:val="22"/>
              </w:rPr>
              <w:t>--</w:t>
            </w:r>
          </w:p>
        </w:tc>
        <w:tc>
          <w:tcPr>
            <w:tcW w:w="1553" w:type="dxa"/>
          </w:tcPr>
          <w:p w:rsidR="007636B0" w:rsidRPr="00775D98" w:rsidRDefault="007636B0" w:rsidP="00B45DD6">
            <w:pPr>
              <w:spacing w:after="40"/>
              <w:jc w:val="center"/>
              <w:rPr>
                <w:szCs w:val="22"/>
              </w:rPr>
            </w:pPr>
            <w:r w:rsidRPr="00775D98">
              <w:rPr>
                <w:szCs w:val="22"/>
              </w:rPr>
              <w:t>57</w:t>
            </w:r>
          </w:p>
        </w:tc>
        <w:tc>
          <w:tcPr>
            <w:tcW w:w="1392" w:type="dxa"/>
          </w:tcPr>
          <w:p w:rsidR="007636B0" w:rsidRPr="00775D98" w:rsidRDefault="007636B0" w:rsidP="00B45DD6">
            <w:pPr>
              <w:spacing w:after="40"/>
              <w:jc w:val="center"/>
              <w:rPr>
                <w:szCs w:val="22"/>
              </w:rPr>
            </w:pPr>
            <w:r w:rsidRPr="00775D98">
              <w:rPr>
                <w:szCs w:val="22"/>
              </w:rPr>
              <w:t>&lt;1</w:t>
            </w:r>
          </w:p>
        </w:tc>
      </w:tr>
      <w:tr w:rsidR="007636B0" w:rsidRPr="00775D98" w:rsidTr="00B45DD6">
        <w:tc>
          <w:tcPr>
            <w:tcW w:w="1639" w:type="dxa"/>
          </w:tcPr>
          <w:p w:rsidR="007636B0" w:rsidRPr="00775D98" w:rsidRDefault="007636B0" w:rsidP="00B45DD6">
            <w:pPr>
              <w:spacing w:after="40"/>
              <w:rPr>
                <w:szCs w:val="22"/>
              </w:rPr>
            </w:pPr>
            <w:r w:rsidRPr="00775D98">
              <w:rPr>
                <w:szCs w:val="22"/>
              </w:rPr>
              <w:t>Residential B</w:t>
            </w:r>
          </w:p>
        </w:tc>
        <w:tc>
          <w:tcPr>
            <w:tcW w:w="1287" w:type="dxa"/>
            <w:tcMar>
              <w:right w:w="397" w:type="dxa"/>
            </w:tcMar>
          </w:tcPr>
          <w:p w:rsidR="007636B0" w:rsidRPr="00775D98" w:rsidRDefault="007636B0" w:rsidP="00B45DD6">
            <w:pPr>
              <w:spacing w:after="40"/>
              <w:jc w:val="right"/>
              <w:rPr>
                <w:szCs w:val="22"/>
              </w:rPr>
            </w:pPr>
            <w:r w:rsidRPr="00775D98">
              <w:rPr>
                <w:szCs w:val="22"/>
              </w:rPr>
              <w:t>900</w:t>
            </w:r>
          </w:p>
        </w:tc>
        <w:tc>
          <w:tcPr>
            <w:tcW w:w="1445" w:type="dxa"/>
          </w:tcPr>
          <w:p w:rsidR="007636B0" w:rsidRPr="00775D98" w:rsidRDefault="007636B0" w:rsidP="00B45DD6">
            <w:pPr>
              <w:spacing w:after="40"/>
              <w:jc w:val="center"/>
              <w:rPr>
                <w:szCs w:val="22"/>
              </w:rPr>
            </w:pPr>
            <w:r w:rsidRPr="00775D98">
              <w:rPr>
                <w:szCs w:val="22"/>
              </w:rPr>
              <w:t>16</w:t>
            </w:r>
          </w:p>
        </w:tc>
        <w:tc>
          <w:tcPr>
            <w:tcW w:w="1517" w:type="dxa"/>
          </w:tcPr>
          <w:p w:rsidR="007636B0" w:rsidRPr="00775D98" w:rsidRDefault="007636B0" w:rsidP="00B45DD6">
            <w:pPr>
              <w:spacing w:after="40"/>
              <w:jc w:val="center"/>
              <w:rPr>
                <w:szCs w:val="22"/>
              </w:rPr>
            </w:pPr>
            <w:r w:rsidRPr="00775D98">
              <w:rPr>
                <w:szCs w:val="22"/>
              </w:rPr>
              <w:t>--</w:t>
            </w:r>
          </w:p>
        </w:tc>
        <w:tc>
          <w:tcPr>
            <w:tcW w:w="1553" w:type="dxa"/>
          </w:tcPr>
          <w:p w:rsidR="007636B0" w:rsidRPr="00775D98" w:rsidRDefault="007636B0" w:rsidP="00B45DD6">
            <w:pPr>
              <w:spacing w:after="40"/>
              <w:jc w:val="center"/>
              <w:rPr>
                <w:szCs w:val="22"/>
              </w:rPr>
            </w:pPr>
            <w:r w:rsidRPr="00775D98">
              <w:rPr>
                <w:szCs w:val="22"/>
              </w:rPr>
              <w:t>84</w:t>
            </w:r>
          </w:p>
        </w:tc>
        <w:tc>
          <w:tcPr>
            <w:tcW w:w="1392" w:type="dxa"/>
          </w:tcPr>
          <w:p w:rsidR="007636B0" w:rsidRPr="00775D98" w:rsidRDefault="007636B0" w:rsidP="00B45DD6">
            <w:pPr>
              <w:spacing w:after="40"/>
              <w:jc w:val="center"/>
              <w:rPr>
                <w:szCs w:val="22"/>
              </w:rPr>
            </w:pPr>
            <w:r w:rsidRPr="00775D98">
              <w:rPr>
                <w:szCs w:val="22"/>
              </w:rPr>
              <w:t>&lt;1</w:t>
            </w:r>
          </w:p>
        </w:tc>
      </w:tr>
      <w:tr w:rsidR="007636B0" w:rsidRPr="00775D98" w:rsidTr="00B45DD6">
        <w:tc>
          <w:tcPr>
            <w:tcW w:w="1639" w:type="dxa"/>
          </w:tcPr>
          <w:p w:rsidR="007636B0" w:rsidRPr="00775D98" w:rsidRDefault="007636B0" w:rsidP="00B45DD6">
            <w:pPr>
              <w:spacing w:after="40"/>
              <w:rPr>
                <w:szCs w:val="22"/>
              </w:rPr>
            </w:pPr>
            <w:r w:rsidRPr="00775D98">
              <w:rPr>
                <w:szCs w:val="22"/>
              </w:rPr>
              <w:t>Recreational C</w:t>
            </w:r>
          </w:p>
        </w:tc>
        <w:tc>
          <w:tcPr>
            <w:tcW w:w="1287" w:type="dxa"/>
            <w:tcMar>
              <w:right w:w="397" w:type="dxa"/>
            </w:tcMar>
          </w:tcPr>
          <w:p w:rsidR="007636B0" w:rsidRPr="00775D98" w:rsidRDefault="007636B0" w:rsidP="00B45DD6">
            <w:pPr>
              <w:spacing w:after="40"/>
              <w:jc w:val="right"/>
              <w:rPr>
                <w:szCs w:val="22"/>
              </w:rPr>
            </w:pPr>
            <w:r w:rsidRPr="00775D98">
              <w:rPr>
                <w:szCs w:val="22"/>
              </w:rPr>
              <w:t>800</w:t>
            </w:r>
          </w:p>
        </w:tc>
        <w:tc>
          <w:tcPr>
            <w:tcW w:w="1445" w:type="dxa"/>
          </w:tcPr>
          <w:p w:rsidR="007636B0" w:rsidRPr="00775D98" w:rsidRDefault="007636B0" w:rsidP="00B45DD6">
            <w:pPr>
              <w:spacing w:after="40"/>
              <w:jc w:val="center"/>
              <w:rPr>
                <w:szCs w:val="22"/>
              </w:rPr>
            </w:pPr>
            <w:r w:rsidRPr="00775D98">
              <w:rPr>
                <w:szCs w:val="22"/>
              </w:rPr>
              <w:t>27</w:t>
            </w:r>
          </w:p>
        </w:tc>
        <w:tc>
          <w:tcPr>
            <w:tcW w:w="1517" w:type="dxa"/>
          </w:tcPr>
          <w:p w:rsidR="007636B0" w:rsidRPr="00775D98" w:rsidRDefault="007636B0" w:rsidP="00B45DD6">
            <w:pPr>
              <w:spacing w:after="40"/>
              <w:jc w:val="center"/>
              <w:rPr>
                <w:szCs w:val="22"/>
              </w:rPr>
            </w:pPr>
            <w:r w:rsidRPr="00775D98">
              <w:rPr>
                <w:szCs w:val="22"/>
              </w:rPr>
              <w:t>--</w:t>
            </w:r>
          </w:p>
        </w:tc>
        <w:tc>
          <w:tcPr>
            <w:tcW w:w="1553" w:type="dxa"/>
          </w:tcPr>
          <w:p w:rsidR="007636B0" w:rsidRPr="00775D98" w:rsidRDefault="007636B0" w:rsidP="00B45DD6">
            <w:pPr>
              <w:spacing w:after="40"/>
              <w:jc w:val="center"/>
              <w:rPr>
                <w:szCs w:val="22"/>
              </w:rPr>
            </w:pPr>
            <w:r w:rsidRPr="00775D98">
              <w:rPr>
                <w:szCs w:val="22"/>
              </w:rPr>
              <w:t>73</w:t>
            </w:r>
          </w:p>
        </w:tc>
        <w:tc>
          <w:tcPr>
            <w:tcW w:w="1392" w:type="dxa"/>
          </w:tcPr>
          <w:p w:rsidR="007636B0" w:rsidRPr="00775D98" w:rsidRDefault="007636B0" w:rsidP="00B45DD6">
            <w:pPr>
              <w:spacing w:after="40"/>
              <w:jc w:val="center"/>
              <w:rPr>
                <w:szCs w:val="22"/>
              </w:rPr>
            </w:pPr>
            <w:r w:rsidRPr="00775D98">
              <w:rPr>
                <w:szCs w:val="22"/>
              </w:rPr>
              <w:t>&lt;1</w:t>
            </w:r>
          </w:p>
        </w:tc>
      </w:tr>
      <w:tr w:rsidR="007636B0" w:rsidRPr="00775D98" w:rsidTr="00B45DD6">
        <w:tc>
          <w:tcPr>
            <w:tcW w:w="1639" w:type="dxa"/>
          </w:tcPr>
          <w:p w:rsidR="007636B0" w:rsidRPr="00775D98" w:rsidRDefault="007636B0" w:rsidP="00B45DD6">
            <w:pPr>
              <w:spacing w:after="40"/>
              <w:rPr>
                <w:szCs w:val="22"/>
              </w:rPr>
            </w:pPr>
            <w:r w:rsidRPr="00775D98">
              <w:rPr>
                <w:szCs w:val="22"/>
              </w:rPr>
              <w:t>Commercial D</w:t>
            </w:r>
          </w:p>
        </w:tc>
        <w:tc>
          <w:tcPr>
            <w:tcW w:w="1287" w:type="dxa"/>
            <w:tcMar>
              <w:right w:w="397" w:type="dxa"/>
            </w:tcMar>
          </w:tcPr>
          <w:p w:rsidR="007636B0" w:rsidRPr="00775D98" w:rsidRDefault="007636B0" w:rsidP="00B45DD6">
            <w:pPr>
              <w:spacing w:after="40"/>
              <w:jc w:val="right"/>
              <w:rPr>
                <w:szCs w:val="22"/>
              </w:rPr>
            </w:pPr>
            <w:r w:rsidRPr="00775D98">
              <w:rPr>
                <w:szCs w:val="22"/>
              </w:rPr>
              <w:t>5000</w:t>
            </w:r>
          </w:p>
        </w:tc>
        <w:tc>
          <w:tcPr>
            <w:tcW w:w="1445" w:type="dxa"/>
          </w:tcPr>
          <w:p w:rsidR="007636B0" w:rsidRPr="00775D98" w:rsidRDefault="007636B0" w:rsidP="00B45DD6">
            <w:pPr>
              <w:spacing w:after="40"/>
              <w:jc w:val="center"/>
              <w:rPr>
                <w:szCs w:val="22"/>
              </w:rPr>
            </w:pPr>
            <w:r w:rsidRPr="00775D98">
              <w:rPr>
                <w:szCs w:val="22"/>
              </w:rPr>
              <w:t>12</w:t>
            </w:r>
          </w:p>
        </w:tc>
        <w:tc>
          <w:tcPr>
            <w:tcW w:w="1517" w:type="dxa"/>
          </w:tcPr>
          <w:p w:rsidR="007636B0" w:rsidRPr="00775D98" w:rsidRDefault="007636B0" w:rsidP="00B45DD6">
            <w:pPr>
              <w:spacing w:after="40"/>
              <w:jc w:val="center"/>
              <w:rPr>
                <w:szCs w:val="22"/>
              </w:rPr>
            </w:pPr>
            <w:r w:rsidRPr="00775D98">
              <w:rPr>
                <w:szCs w:val="22"/>
              </w:rPr>
              <w:t>--</w:t>
            </w:r>
          </w:p>
        </w:tc>
        <w:tc>
          <w:tcPr>
            <w:tcW w:w="1553" w:type="dxa"/>
          </w:tcPr>
          <w:p w:rsidR="007636B0" w:rsidRPr="00775D98" w:rsidRDefault="007636B0" w:rsidP="00B45DD6">
            <w:pPr>
              <w:spacing w:after="40"/>
              <w:jc w:val="center"/>
              <w:rPr>
                <w:szCs w:val="22"/>
              </w:rPr>
            </w:pPr>
            <w:r w:rsidRPr="00775D98">
              <w:rPr>
                <w:szCs w:val="22"/>
              </w:rPr>
              <w:t>88</w:t>
            </w:r>
          </w:p>
        </w:tc>
        <w:tc>
          <w:tcPr>
            <w:tcW w:w="1392" w:type="dxa"/>
          </w:tcPr>
          <w:p w:rsidR="007636B0" w:rsidRPr="00775D98" w:rsidRDefault="007636B0" w:rsidP="00B45DD6">
            <w:pPr>
              <w:spacing w:after="40"/>
              <w:jc w:val="center"/>
              <w:rPr>
                <w:szCs w:val="22"/>
              </w:rPr>
            </w:pPr>
            <w:r w:rsidRPr="00775D98">
              <w:rPr>
                <w:szCs w:val="22"/>
              </w:rPr>
              <w:t>&lt;1</w:t>
            </w:r>
          </w:p>
        </w:tc>
      </w:tr>
    </w:tbl>
    <w:p w:rsidR="007636B0" w:rsidRPr="00775D98" w:rsidRDefault="007636B0" w:rsidP="007636B0">
      <w:pPr>
        <w:rPr>
          <w:sz w:val="18"/>
          <w:szCs w:val="18"/>
        </w:rPr>
      </w:pPr>
      <w:r w:rsidRPr="00775D98">
        <w:rPr>
          <w:sz w:val="18"/>
          <w:szCs w:val="18"/>
        </w:rPr>
        <w:t>-- Pathway not included in derivation of HIL</w:t>
      </w:r>
    </w:p>
    <w:p w:rsidR="007636B0" w:rsidRDefault="007636B0" w:rsidP="007636B0">
      <w:pPr>
        <w:pStyle w:val="Heading2"/>
        <w:tabs>
          <w:tab w:val="clear" w:pos="1209"/>
        </w:tabs>
      </w:pPr>
      <w:bookmarkStart w:id="15" w:name="_Toc351714255"/>
      <w:r w:rsidRPr="00775D98">
        <w:t>References</w:t>
      </w:r>
      <w:bookmarkEnd w:id="15"/>
    </w:p>
    <w:p w:rsidR="007636B0" w:rsidRPr="00775D98" w:rsidRDefault="007636B0" w:rsidP="007636B0">
      <w:pPr>
        <w:pStyle w:val="StyletextLeft0cmHanging1cm"/>
      </w:pPr>
      <w:r w:rsidRPr="00775D98">
        <w:t xml:space="preserve">HSDB 2010, </w:t>
      </w:r>
      <w:r w:rsidRPr="00775D98">
        <w:rPr>
          <w:i/>
        </w:rPr>
        <w:t>Hazardous Substances Data Bank</w:t>
      </w:r>
      <w:r w:rsidRPr="00775D98">
        <w:t xml:space="preserve">, online database available from: </w:t>
      </w:r>
      <w:hyperlink r:id="rId17" w:history="1">
        <w:r w:rsidRPr="00775D98">
          <w:rPr>
            <w:rStyle w:val="Hyperlink"/>
            <w:szCs w:val="22"/>
          </w:rPr>
          <w:t>http://toxnet.nlm.nih.gov/cgi-bin/sis/htmlgen?HSDB</w:t>
        </w:r>
      </w:hyperlink>
      <w:r w:rsidRPr="00775D98">
        <w:t>.</w:t>
      </w:r>
    </w:p>
    <w:p w:rsidR="007636B0" w:rsidRPr="00775D98" w:rsidRDefault="007636B0" w:rsidP="007636B0">
      <w:pPr>
        <w:pStyle w:val="StyletextLeft0cmHanging1cm"/>
      </w:pPr>
      <w:r w:rsidRPr="00775D98">
        <w:t xml:space="preserve">IARC 1987, </w:t>
      </w:r>
      <w:r w:rsidRPr="00775D98">
        <w:rPr>
          <w:i/>
        </w:rPr>
        <w:t>Summaries and Evaluations, Chlorophenoxy herbicides,</w:t>
      </w:r>
      <w:r w:rsidRPr="00775D98">
        <w:t xml:space="preserve"> Supplement 7: (1987), p.256, International Agency for Research on Cancer.</w:t>
      </w:r>
    </w:p>
    <w:p w:rsidR="007636B0" w:rsidRPr="00775D98" w:rsidRDefault="007636B0" w:rsidP="007636B0">
      <w:pPr>
        <w:pStyle w:val="StyletextLeft0cmHanging1cm"/>
      </w:pPr>
      <w:r w:rsidRPr="00775D98">
        <w:t xml:space="preserve">NEPC 1999, </w:t>
      </w:r>
      <w:r w:rsidRPr="00775D98">
        <w:rPr>
          <w:i/>
        </w:rPr>
        <w:t>Schedule B (7a), Guideline on Health-Based Investigation Levels, National Environment Protection (Assessment of Site Contamination) Measure,</w:t>
      </w:r>
      <w:r w:rsidRPr="00775D98">
        <w:t xml:space="preserve"> National Environment Protection Council, Australia.</w:t>
      </w:r>
    </w:p>
    <w:p w:rsidR="007636B0" w:rsidRPr="00775D98" w:rsidRDefault="007636B0" w:rsidP="007636B0">
      <w:pPr>
        <w:pStyle w:val="StyletextLeft0cmHanging1cm"/>
        <w:rPr>
          <w:rFonts w:cs="Arial"/>
          <w:noProof/>
        </w:rPr>
      </w:pPr>
      <w:r w:rsidRPr="00775D98">
        <w:t xml:space="preserve">NHMRC 2011, </w:t>
      </w:r>
      <w:r w:rsidRPr="00775D98">
        <w:rPr>
          <w:i/>
          <w:iCs/>
        </w:rPr>
        <w:t>National water quality management strategy, Australian drinking water guidelines</w:t>
      </w:r>
      <w:r w:rsidRPr="00775D98">
        <w:t>, National Health and Medical Research Council, Australia.</w:t>
      </w:r>
      <w:r w:rsidRPr="00775D98" w:rsidDel="007C2C25">
        <w:rPr>
          <w:rFonts w:cs="Arial"/>
          <w:noProof/>
        </w:rPr>
        <w:t xml:space="preserve"> </w:t>
      </w:r>
    </w:p>
    <w:p w:rsidR="007636B0" w:rsidRPr="00775D98" w:rsidRDefault="007636B0" w:rsidP="007636B0">
      <w:pPr>
        <w:pStyle w:val="StyletextLeft0cmHanging1cm"/>
        <w:rPr>
          <w:rFonts w:cs="Arial"/>
          <w:noProof/>
        </w:rPr>
      </w:pPr>
      <w:r w:rsidRPr="00775D98">
        <w:rPr>
          <w:rFonts w:cs="Arial"/>
        </w:rPr>
        <w:t xml:space="preserve">OCS 2004, </w:t>
      </w:r>
      <w:r w:rsidRPr="00775D98">
        <w:rPr>
          <w:rFonts w:cs="Arial"/>
          <w:i/>
          <w:iCs/>
        </w:rPr>
        <w:t>Human Health Risk Assessment of Dioxins in Australia, National Dioxins Program, Technical Report No. 12</w:t>
      </w:r>
      <w:r w:rsidRPr="00775D98">
        <w:rPr>
          <w:rFonts w:cs="Arial"/>
        </w:rPr>
        <w:t>, Department of the Environment and Heritage, Australian Government, Canberra, Australia.</w:t>
      </w:r>
    </w:p>
    <w:p w:rsidR="007636B0" w:rsidRPr="00775D98" w:rsidRDefault="007636B0" w:rsidP="007636B0">
      <w:pPr>
        <w:pStyle w:val="StyletextLeft0cmHanging1cm"/>
        <w:rPr>
          <w:rFonts w:cs="Arial"/>
          <w:noProof/>
        </w:rPr>
      </w:pPr>
      <w:r w:rsidRPr="00775D98">
        <w:rPr>
          <w:rFonts w:cs="Arial"/>
          <w:noProof/>
        </w:rPr>
        <w:t xml:space="preserve">OCS 2012, </w:t>
      </w:r>
      <w:r w:rsidRPr="00775D98">
        <w:rPr>
          <w:rFonts w:cs="Arial"/>
          <w:i/>
          <w:noProof/>
        </w:rPr>
        <w:t>ADI List, Acceptable Daily Intakes for Agricultural and Veterinary Chemicals</w:t>
      </w:r>
      <w:r w:rsidRPr="00775D98">
        <w:rPr>
          <w:rFonts w:cs="Arial"/>
          <w:noProof/>
        </w:rPr>
        <w:t xml:space="preserve">, current to 31 March 2012, Australian Government, Department of Health and Ageing, Office of Chemical Safety (OCS), available from: </w:t>
      </w:r>
      <w:r w:rsidRPr="00775D98">
        <w:rPr>
          <w:rFonts w:cs="Arial"/>
        </w:rPr>
        <w:t>http://www.health.gov.au/internet/main/publishing.nsf/content/E8F4D2F95D616584CA2573D700770C2A/$File/ADI-apr12.pdf.</w:t>
      </w:r>
    </w:p>
    <w:p w:rsidR="007636B0" w:rsidRPr="00775D98" w:rsidRDefault="007636B0" w:rsidP="007636B0">
      <w:pPr>
        <w:pStyle w:val="StyletextLeft0cmHanging1cm"/>
        <w:rPr>
          <w:rFonts w:cs="Arial"/>
        </w:rPr>
      </w:pPr>
      <w:r w:rsidRPr="00775D98">
        <w:rPr>
          <w:rFonts w:cs="Arial"/>
        </w:rPr>
        <w:t xml:space="preserve">Joint FAO/UNEP 2005, Rotterdam Convention on the Prior Informed Consent Procedure for Certain Hazardous Chemicals and Pesticides in International Trade, 2005, </w:t>
      </w:r>
      <w:r w:rsidRPr="00775D98">
        <w:rPr>
          <w:rFonts w:cs="Arial"/>
          <w:i/>
          <w:iCs/>
        </w:rPr>
        <w:t>Decision Guidance Document: 2,4,5-T and its Salts and Esters</w:t>
      </w:r>
      <w:r w:rsidRPr="00775D98">
        <w:rPr>
          <w:rFonts w:cs="Arial"/>
        </w:rPr>
        <w:t>, Joint Food and Agriculture Organisation of the United Nations and United Nations Environment Programme for the Operation of the Operation of the Prior Informed Consent, Geneva.</w:t>
      </w:r>
    </w:p>
    <w:p w:rsidR="007636B0" w:rsidRPr="00775D98" w:rsidRDefault="007636B0" w:rsidP="007636B0">
      <w:pPr>
        <w:pStyle w:val="StyletextLeft0cmHanging1cm"/>
      </w:pPr>
      <w:r w:rsidRPr="00775D98">
        <w:lastRenderedPageBreak/>
        <w:t xml:space="preserve">US EPA 1995, </w:t>
      </w:r>
      <w:r w:rsidRPr="00775D98">
        <w:rPr>
          <w:i/>
        </w:rPr>
        <w:t>Technical Guidance Manual, Assessing Dermal Exposure from Soil</w:t>
      </w:r>
      <w:r w:rsidRPr="00775D98">
        <w:t xml:space="preserve">, US EPA Region 3, December 1995, available from: </w:t>
      </w:r>
      <w:hyperlink r:id="rId18" w:history="1">
        <w:r w:rsidRPr="00775D98">
          <w:rPr>
            <w:rStyle w:val="Hyperlink"/>
            <w:szCs w:val="22"/>
          </w:rPr>
          <w:t>http://www.epa.gov/reg3hwmd/risk/human/info/solabsg2.htm</w:t>
        </w:r>
      </w:hyperlink>
      <w:r w:rsidRPr="00775D98">
        <w:t>.</w:t>
      </w:r>
    </w:p>
    <w:p w:rsidR="007636B0" w:rsidRPr="00775D98" w:rsidRDefault="007636B0" w:rsidP="007636B0">
      <w:pPr>
        <w:pStyle w:val="StyletextLeft0cmHanging1cm"/>
        <w:rPr>
          <w:rFonts w:cs="Arial"/>
        </w:rPr>
      </w:pPr>
      <w:r w:rsidRPr="00775D98">
        <w:rPr>
          <w:rFonts w:cs="Arial"/>
        </w:rPr>
        <w:t xml:space="preserve">US EPA (IRIS 2012), data and information available from the </w:t>
      </w:r>
      <w:r w:rsidRPr="00775D98">
        <w:rPr>
          <w:rFonts w:cs="Arial"/>
          <w:i/>
        </w:rPr>
        <w:t>Integrated Risk Information System</w:t>
      </w:r>
      <w:r w:rsidRPr="00775D98">
        <w:rPr>
          <w:rFonts w:cs="Arial"/>
        </w:rPr>
        <w:t xml:space="preserve">, an online database, available from </w:t>
      </w:r>
      <w:hyperlink r:id="rId19" w:history="1">
        <w:r w:rsidRPr="00775D98">
          <w:rPr>
            <w:rStyle w:val="Hyperlink"/>
            <w:rFonts w:cs="Arial"/>
            <w:szCs w:val="22"/>
          </w:rPr>
          <w:t>http://www.epa.gov/iris/</w:t>
        </w:r>
      </w:hyperlink>
      <w:r w:rsidRPr="00775D98">
        <w:rPr>
          <w:rFonts w:cs="Arial"/>
        </w:rPr>
        <w:t>.</w:t>
      </w:r>
    </w:p>
    <w:p w:rsidR="007636B0" w:rsidRPr="00775D98" w:rsidRDefault="007636B0" w:rsidP="007636B0">
      <w:pPr>
        <w:pStyle w:val="StyletextLeft0cmHanging1cm"/>
        <w:rPr>
          <w:rFonts w:cs="Arial"/>
        </w:rPr>
      </w:pPr>
      <w:r w:rsidRPr="00775D98">
        <w:rPr>
          <w:rFonts w:cs="Arial"/>
        </w:rPr>
        <w:t xml:space="preserve">WHO 1981, </w:t>
      </w:r>
      <w:r w:rsidRPr="00775D98">
        <w:rPr>
          <w:rFonts w:cs="Arial"/>
          <w:i/>
        </w:rPr>
        <w:t>Pesticide Residues in Food, Evaluations 1981</w:t>
      </w:r>
      <w:r w:rsidRPr="00775D98">
        <w:rPr>
          <w:rFonts w:cs="Arial"/>
        </w:rPr>
        <w:t>, FAO Plant Production and Protection Paper 42, Joint FAO/WHO review.</w:t>
      </w:r>
    </w:p>
    <w:p w:rsidR="007636B0" w:rsidRPr="00775D98" w:rsidRDefault="007636B0" w:rsidP="007636B0">
      <w:pPr>
        <w:pStyle w:val="StyletextLeft0cmHanging1cm"/>
        <w:rPr>
          <w:rFonts w:cs="Arial"/>
        </w:rPr>
      </w:pPr>
      <w:r w:rsidRPr="00775D98">
        <w:t xml:space="preserve">WHO 2011, </w:t>
      </w:r>
      <w:r w:rsidRPr="00775D98">
        <w:rPr>
          <w:i/>
        </w:rPr>
        <w:t>Guidelines for drinking-water quality, 4</w:t>
      </w:r>
      <w:r w:rsidRPr="00775D98">
        <w:rPr>
          <w:i/>
          <w:vertAlign w:val="superscript"/>
        </w:rPr>
        <w:t>th</w:t>
      </w:r>
      <w:r w:rsidRPr="00775D98">
        <w:rPr>
          <w:i/>
        </w:rPr>
        <w:t xml:space="preserve"> edn</w:t>
      </w:r>
      <w:r w:rsidRPr="00775D98">
        <w:t xml:space="preserve">, World Health Organization, Geneva, available from </w:t>
      </w:r>
      <w:hyperlink r:id="rId20" w:history="1">
        <w:r w:rsidRPr="00775D98">
          <w:rPr>
            <w:rStyle w:val="Hyperlink"/>
            <w:szCs w:val="22"/>
          </w:rPr>
          <w:t>http://www.who.int/water_sanitation_health/dwq/chemicals/en/index.html</w:t>
        </w:r>
      </w:hyperlink>
      <w:r w:rsidRPr="00775D98">
        <w:rPr>
          <w:rFonts w:cs="Arial"/>
        </w:rPr>
        <w:t>.</w:t>
      </w:r>
    </w:p>
    <w:p w:rsidR="007636B0" w:rsidRDefault="007636B0" w:rsidP="007636B0"/>
    <w:p w:rsidR="007636B0" w:rsidRDefault="007636B0" w:rsidP="007636B0">
      <w:pPr>
        <w:pStyle w:val="Heading1"/>
        <w:tabs>
          <w:tab w:val="clear" w:pos="1209"/>
          <w:tab w:val="num" w:pos="720"/>
        </w:tabs>
      </w:pPr>
      <w:bookmarkStart w:id="16" w:name="_Toc351714256"/>
      <w:r>
        <w:lastRenderedPageBreak/>
        <w:t>2,4-D</w:t>
      </w:r>
      <w:bookmarkEnd w:id="16"/>
    </w:p>
    <w:p w:rsidR="007636B0" w:rsidRDefault="007636B0" w:rsidP="007636B0">
      <w:pPr>
        <w:pStyle w:val="Heading2"/>
        <w:tabs>
          <w:tab w:val="clear" w:pos="1209"/>
        </w:tabs>
      </w:pPr>
      <w:bookmarkStart w:id="17" w:name="_Toc351714257"/>
      <w:r>
        <w:t>General</w:t>
      </w:r>
      <w:bookmarkEnd w:id="17"/>
    </w:p>
    <w:p w:rsidR="007636B0" w:rsidRDefault="007636B0" w:rsidP="007636B0">
      <w:r w:rsidRPr="008103C1">
        <w:t xml:space="preserve">2,4-D is the common name for the chlorophenoxy herbicide 2,4-dichlophenoxy acetic acid. </w:t>
      </w:r>
    </w:p>
    <w:p w:rsidR="0021528E" w:rsidRDefault="0021528E" w:rsidP="007636B0"/>
    <w:p w:rsidR="007636B0" w:rsidRDefault="007636B0" w:rsidP="007636B0">
      <w:r>
        <w:t xml:space="preserve">Several comprehensive reviews of </w:t>
      </w:r>
      <w:r w:rsidRPr="008103C1">
        <w:t>2,4-D</w:t>
      </w:r>
      <w:r>
        <w:t xml:space="preserve"> in the environment and its toxicity to humans are available and should be consulted for more detailed information not presented in this summary (APVMA 2006; WHO 1984; WHO 1987). The following provides a summary of the key aspects of </w:t>
      </w:r>
      <w:r w:rsidRPr="008103C1">
        <w:t>2,4-D</w:t>
      </w:r>
      <w:r>
        <w:t xml:space="preserve"> that are relevant to the derivation of a soil HIL.</w:t>
      </w:r>
    </w:p>
    <w:p w:rsidR="0021528E" w:rsidRDefault="0021528E" w:rsidP="007636B0"/>
    <w:p w:rsidR="007636B0" w:rsidRDefault="007636B0" w:rsidP="007636B0">
      <w:r w:rsidRPr="008103C1">
        <w:t>The herbicide is also formulated as an amine salt, alkali metal salt and ester derivative of 2,4-D</w:t>
      </w:r>
      <w:r>
        <w:t xml:space="preserve"> (WHO 1984)</w:t>
      </w:r>
      <w:r w:rsidRPr="008103C1">
        <w:t>. Pure 2,4-D is a white to off</w:t>
      </w:r>
      <w:r>
        <w:t>-</w:t>
      </w:r>
      <w:r w:rsidRPr="008103C1">
        <w:t>white crystalline powder with a slight phenolic odour</w:t>
      </w:r>
      <w:r>
        <w:t xml:space="preserve"> (APVMA 2006)</w:t>
      </w:r>
      <w:r w:rsidRPr="008103C1">
        <w:t xml:space="preserve">. The commercial grade herbicide is often combined with solvents or surfactants and sold as granules, dust, emulsions and liquid concentrates </w:t>
      </w:r>
      <w:r>
        <w:t>(WHO 1984)</w:t>
      </w:r>
      <w:r w:rsidRPr="008103C1">
        <w:t>. 2,4-D is slightly soluble in water whereas the amine and alkali metal salt derivatives are highly</w:t>
      </w:r>
      <w:r>
        <w:t xml:space="preserve"> </w:t>
      </w:r>
      <w:r w:rsidRPr="008103C1">
        <w:t xml:space="preserve">soluble. The ester derivate is insoluble in water </w:t>
      </w:r>
      <w:r>
        <w:t>(WHO 1984)</w:t>
      </w:r>
      <w:r w:rsidRPr="008103C1">
        <w:t>. 2,4-D esters with short chain alcohols are highly volatile whereas 2,4-D and its salt and amine derivatives have a low volatility</w:t>
      </w:r>
      <w:r>
        <w:t xml:space="preserve"> (APVMA 2006)</w:t>
      </w:r>
      <w:r w:rsidRPr="008103C1">
        <w:t>.</w:t>
      </w:r>
    </w:p>
    <w:p w:rsidR="0021528E" w:rsidRPr="008103C1" w:rsidRDefault="0021528E" w:rsidP="007636B0"/>
    <w:p w:rsidR="007636B0" w:rsidRDefault="007636B0" w:rsidP="007636B0">
      <w:r w:rsidRPr="008103C1">
        <w:t xml:space="preserve">Some chlorinated by-products produced during manufacture of 2,4-D and its derivatives such as 2,7- dichlorodibenzo-p-dioxin, 1,3,6,8- and 1,3,7,9-tetrachlorodibenzo-p-dioxins and 1,3,7-trichlorodibenzo-p-dioxin have been associated with enhanced toxicity findings </w:t>
      </w:r>
      <w:r>
        <w:t>(WHO 1984)</w:t>
      </w:r>
      <w:r w:rsidRPr="008103C1">
        <w:t>.</w:t>
      </w:r>
    </w:p>
    <w:p w:rsidR="0021528E" w:rsidRPr="008103C1" w:rsidRDefault="0021528E" w:rsidP="007636B0"/>
    <w:p w:rsidR="007636B0" w:rsidRPr="00775D98" w:rsidRDefault="007636B0" w:rsidP="007636B0">
      <w:r w:rsidRPr="008103C1">
        <w:t>2,4-D and its derivatives are systemic herbicides commonly used in Australia to control</w:t>
      </w:r>
      <w:r>
        <w:t xml:space="preserve"> broadleaf and aquatic weeds (NHMRC 2004)</w:t>
      </w:r>
      <w:r w:rsidRPr="008103C1">
        <w:t>. At least 122 separate products containing these compounds were reg</w:t>
      </w:r>
      <w:r>
        <w:t>istered in Australia in 2003 (APVMA 2006)</w:t>
      </w:r>
      <w:r w:rsidRPr="008103C1">
        <w:t>. They were registered to control weeds in agricultural crops such as cereals, sugar cane and rice and in pastures and turf. 2,4-D herbicides were also applied at very low application rates to citrus and pears to reduce premature fruit drop and increase fruit storage life</w:t>
      </w:r>
      <w:r>
        <w:t xml:space="preserve"> (WHO 1984; APVMA 2006)</w:t>
      </w:r>
      <w:r w:rsidRPr="008103C1">
        <w:t>. In addition</w:t>
      </w:r>
      <w:r>
        <w:t>,</w:t>
      </w:r>
      <w:r w:rsidRPr="008103C1">
        <w:t xml:space="preserve"> 2,4-D is used to increase the proportion of medium</w:t>
      </w:r>
      <w:r>
        <w:t>-</w:t>
      </w:r>
      <w:r w:rsidRPr="008103C1">
        <w:t>sized potato tubers and the intensity of colour in red</w:t>
      </w:r>
      <w:r>
        <w:t>-</w:t>
      </w:r>
      <w:r w:rsidRPr="008103C1">
        <w:t>skinned varieties</w:t>
      </w:r>
      <w:r>
        <w:t xml:space="preserve"> (APVMA 2006)</w:t>
      </w:r>
      <w:r w:rsidRPr="008103C1">
        <w:t>. In 2006</w:t>
      </w:r>
      <w:r>
        <w:t>,</w:t>
      </w:r>
      <w:r w:rsidRPr="008103C1">
        <w:t xml:space="preserve"> the Australian Pesticides and </w:t>
      </w:r>
      <w:r w:rsidRPr="00775D98">
        <w:t>Veterinary Medicines Authority conducted a review of the environmental fate and ecotoxicity of volatile 2,4-D esters and concluded that the registration of these compounds should be suspended (APVMA 2006). This review process is ongoing and the APVMA website (</w:t>
      </w:r>
      <w:hyperlink r:id="rId21" w:history="1">
        <w:r w:rsidRPr="00775D98">
          <w:rPr>
            <w:rStyle w:val="Hyperlink"/>
          </w:rPr>
          <w:t>www.apvma.gov.au</w:t>
        </w:r>
      </w:hyperlink>
      <w:r w:rsidRPr="00775D98">
        <w:t>) should be checked for any updates on which products are currently registered.</w:t>
      </w:r>
    </w:p>
    <w:p w:rsidR="007636B0" w:rsidRDefault="007636B0" w:rsidP="007636B0">
      <w:pPr>
        <w:pStyle w:val="Heading2"/>
        <w:tabs>
          <w:tab w:val="clear" w:pos="1209"/>
        </w:tabs>
      </w:pPr>
      <w:bookmarkStart w:id="18" w:name="_Toc351714258"/>
      <w:r>
        <w:t>Previous HIL</w:t>
      </w:r>
      <w:bookmarkEnd w:id="18"/>
    </w:p>
    <w:p w:rsidR="007636B0" w:rsidRDefault="007636B0" w:rsidP="007636B0">
      <w:r>
        <w:t xml:space="preserve">No previous HIL is available for </w:t>
      </w:r>
      <w:r w:rsidRPr="008103C1">
        <w:t xml:space="preserve">2,4-D </w:t>
      </w:r>
      <w:r>
        <w:t>(NEPC 1999).</w:t>
      </w:r>
    </w:p>
    <w:p w:rsidR="007636B0" w:rsidRDefault="007636B0" w:rsidP="007636B0">
      <w:pPr>
        <w:pStyle w:val="Heading2"/>
        <w:tabs>
          <w:tab w:val="clear" w:pos="1209"/>
        </w:tabs>
      </w:pPr>
      <w:bookmarkStart w:id="19" w:name="_Toc351714259"/>
      <w:r>
        <w:t>Significance of Exposure Pathways</w:t>
      </w:r>
      <w:bookmarkEnd w:id="19"/>
    </w:p>
    <w:p w:rsidR="007636B0" w:rsidRPr="00E00A6A" w:rsidRDefault="007636B0" w:rsidP="007636B0">
      <w:pPr>
        <w:pStyle w:val="Heading3"/>
      </w:pPr>
      <w:bookmarkStart w:id="20" w:name="_Toc351714260"/>
      <w:r>
        <w:t xml:space="preserve">Oral </w:t>
      </w:r>
      <w:r w:rsidRPr="00E00A6A">
        <w:t>Bioavailability</w:t>
      </w:r>
      <w:bookmarkEnd w:id="20"/>
    </w:p>
    <w:p w:rsidR="007636B0" w:rsidRDefault="007636B0" w:rsidP="007636B0">
      <w:r>
        <w:t xml:space="preserve">Insufficient data is available to adequately define the bioavailability of </w:t>
      </w:r>
      <w:r w:rsidRPr="008103C1">
        <w:t>2,4-D</w:t>
      </w:r>
      <w:r>
        <w:t>,</w:t>
      </w:r>
      <w:r w:rsidRPr="008103C1">
        <w:t xml:space="preserve"> </w:t>
      </w:r>
      <w:r>
        <w:t>hence a default approach of assuming 100% oral bioavailability has been adopted in the derivation of an HIL. It is noted that a site-specific assessment of bioavailability can be undertaken where required.</w:t>
      </w:r>
    </w:p>
    <w:p w:rsidR="007636B0" w:rsidRPr="002D7B71" w:rsidRDefault="007636B0" w:rsidP="007636B0">
      <w:pPr>
        <w:pStyle w:val="Heading3"/>
      </w:pPr>
      <w:bookmarkStart w:id="21" w:name="_Toc351714261"/>
      <w:r w:rsidRPr="002D7B71">
        <w:t>Dermal absorption</w:t>
      </w:r>
      <w:bookmarkEnd w:id="21"/>
    </w:p>
    <w:p w:rsidR="007636B0" w:rsidRDefault="007636B0" w:rsidP="007636B0">
      <w:r>
        <w:t>A dermal absorption value of 0.05 (5%) is available from US EPA (2004) based on a study by Wester et al. (1996). This study evaluated potential dermal absorption of 2,4-D from soil, where absorption over time changed over time (noted to be not-linear). Data from the study showed low absorption over 8 hours (0.03-0.05%) with slightly higher absorption over 16 hours (2.2%). Limited other data is available on the dermal absorption of 2,4-D from soil, hence the value of 0.05 (5%) has been adopted.</w:t>
      </w:r>
    </w:p>
    <w:p w:rsidR="007636B0" w:rsidRPr="009338FB" w:rsidRDefault="007636B0" w:rsidP="007636B0">
      <w:pPr>
        <w:pStyle w:val="Heading3"/>
      </w:pPr>
      <w:bookmarkStart w:id="22" w:name="_Toc351714262"/>
      <w:r w:rsidRPr="009338FB">
        <w:lastRenderedPageBreak/>
        <w:t>Inhalation of Dust</w:t>
      </w:r>
      <w:bookmarkEnd w:id="22"/>
    </w:p>
    <w:p w:rsidR="007636B0" w:rsidRDefault="007636B0" w:rsidP="007636B0">
      <w:r w:rsidRPr="00A35E24">
        <w:t>2,4</w:t>
      </w:r>
      <w:r>
        <w:t>-D is not considered sufficiently volatile to be of significance and inhalation exposures associated with particulates outdoors and indoors are expected to be of less significance than ingestion of soil. While likely to be negligible, potential inhalation exposures associated with dust have been considered in the HIL derived.</w:t>
      </w:r>
    </w:p>
    <w:p w:rsidR="007636B0" w:rsidRPr="009338FB" w:rsidRDefault="007636B0" w:rsidP="007636B0">
      <w:pPr>
        <w:pStyle w:val="Heading3"/>
      </w:pPr>
      <w:bookmarkStart w:id="23" w:name="_Toc351714263"/>
      <w:r w:rsidRPr="009338FB">
        <w:t>Plant Uptake</w:t>
      </w:r>
      <w:bookmarkEnd w:id="23"/>
    </w:p>
    <w:p w:rsidR="007636B0" w:rsidRDefault="007636B0" w:rsidP="007636B0">
      <w:r>
        <w:t xml:space="preserve">Most </w:t>
      </w:r>
      <w:r w:rsidRPr="00A35E24">
        <w:rPr>
          <w:rFonts w:cs="Arial"/>
        </w:rPr>
        <w:t>chlorophenoxy herbicide</w:t>
      </w:r>
      <w:r>
        <w:t>s are toxic to plants and, as such, will be phytotoxic to almost all broadleaf crops including tomatoes, grapes and fruit trees well before plant uptake into edible portions of fruit and vegetable crops is of significance. Hence the uptake of these compounds into home-grown produce has not been considered in the derivation of an HIL A.</w:t>
      </w:r>
    </w:p>
    <w:p w:rsidR="0021528E" w:rsidRDefault="0021528E" w:rsidP="007636B0"/>
    <w:p w:rsidR="007636B0" w:rsidRDefault="007636B0" w:rsidP="007636B0">
      <w:r>
        <w:t>Note that the phytotoxic effects of these compounds may need to be addressed on a site-specific basis if detected in soil.</w:t>
      </w:r>
    </w:p>
    <w:p w:rsidR="007636B0" w:rsidRPr="0089652E" w:rsidRDefault="007636B0" w:rsidP="007636B0">
      <w:pPr>
        <w:pStyle w:val="Heading3"/>
      </w:pPr>
      <w:bookmarkStart w:id="24" w:name="_Toc351714264"/>
      <w:r w:rsidRPr="0089652E">
        <w:t xml:space="preserve">Intakes from Other Sources </w:t>
      </w:r>
      <w:r>
        <w:t>–</w:t>
      </w:r>
      <w:r w:rsidRPr="0089652E">
        <w:t xml:space="preserve"> Background</w:t>
      </w:r>
      <w:bookmarkEnd w:id="24"/>
    </w:p>
    <w:p w:rsidR="007636B0" w:rsidRDefault="007636B0" w:rsidP="007636B0">
      <w:r>
        <w:t>Exposure concentrations provided by WHO (1984, 1987) (as well as noted in APVMA (2006)) are derived from areas where 2,4-D is used and is not expected from the presence of 2,4-D contamination in soil. The intakes, however, may be of concern if the HILs were being applied to an area where products containing 2,4-D are used (or have been used in the recent past).</w:t>
      </w:r>
    </w:p>
    <w:p w:rsidR="0021528E" w:rsidRDefault="0021528E" w:rsidP="007636B0"/>
    <w:p w:rsidR="007636B0" w:rsidRDefault="007636B0" w:rsidP="007636B0">
      <w:r>
        <w:t>With respect to background intakes of 2,4-D, the following is noted from WHO (1987):</w:t>
      </w:r>
    </w:p>
    <w:p w:rsidR="007636B0" w:rsidRDefault="007636B0" w:rsidP="007636B0">
      <w:pPr>
        <w:pStyle w:val="Dot-points"/>
        <w:tabs>
          <w:tab w:val="clear" w:pos="926"/>
          <w:tab w:val="num" w:pos="360"/>
        </w:tabs>
      </w:pPr>
      <w:r>
        <w:t>It is expected background intakes for the general population will be associated with the presence of residues in food and water.</w:t>
      </w:r>
    </w:p>
    <w:p w:rsidR="007636B0" w:rsidRDefault="007636B0" w:rsidP="007636B0">
      <w:pPr>
        <w:pStyle w:val="Dot-points"/>
        <w:tabs>
          <w:tab w:val="clear" w:pos="926"/>
          <w:tab w:val="num" w:pos="360"/>
        </w:tabs>
      </w:pPr>
      <w:r>
        <w:t>Intakes from air is considered negligible.</w:t>
      </w:r>
    </w:p>
    <w:p w:rsidR="007636B0" w:rsidRDefault="007636B0" w:rsidP="007636B0">
      <w:pPr>
        <w:pStyle w:val="Dot-points"/>
        <w:tabs>
          <w:tab w:val="clear" w:pos="926"/>
          <w:tab w:val="num" w:pos="360"/>
        </w:tabs>
      </w:pPr>
      <w:r>
        <w:t>Where 2,4-D is not used, intakes by the general population are considered negligible.</w:t>
      </w:r>
    </w:p>
    <w:p w:rsidR="007636B0" w:rsidRDefault="007636B0" w:rsidP="007636B0">
      <w:pPr>
        <w:pStyle w:val="Dot-points"/>
        <w:tabs>
          <w:tab w:val="clear" w:pos="926"/>
          <w:tab w:val="num" w:pos="360"/>
        </w:tabs>
      </w:pPr>
      <w:r>
        <w:t xml:space="preserve">In areas where 2,4-D is used, background intakes from air, food and water are estimated to be 0.3–2 </w:t>
      </w:r>
      <w:r>
        <w:rPr>
          <w:rFonts w:cs="Arial"/>
        </w:rPr>
        <w:t>µ</w:t>
      </w:r>
      <w:r>
        <w:t>g/kg/day.</w:t>
      </w:r>
    </w:p>
    <w:p w:rsidR="007636B0" w:rsidRDefault="007636B0" w:rsidP="007636B0">
      <w:r>
        <w:t>FSANZ (2011) has estimated that the 90</w:t>
      </w:r>
      <w:r w:rsidRPr="00A54613">
        <w:rPr>
          <w:vertAlign w:val="superscript"/>
        </w:rPr>
        <w:t>th</w:t>
      </w:r>
      <w:r>
        <w:t xml:space="preserve"> percentile intake of 2,4-D by young children aged 2</w:t>
      </w:r>
      <w:r>
        <w:sym w:font="Symbol" w:char="F02D"/>
      </w:r>
      <w:r>
        <w:t xml:space="preserve">5 years (most sensitive) is 0.014 </w:t>
      </w:r>
      <w:r>
        <w:rPr>
          <w:rFonts w:ascii="Calibri" w:hAnsi="Calibri" w:cs="Calibri"/>
        </w:rPr>
        <w:t>µ</w:t>
      </w:r>
      <w:r>
        <w:t>g/kg/day or 0.000014 mg/kg/day. This intake is negligible in comparison with the adopted TRV of 0.01 mg/kg/day.</w:t>
      </w:r>
    </w:p>
    <w:p w:rsidR="0021528E" w:rsidRDefault="0021528E" w:rsidP="007636B0"/>
    <w:p w:rsidR="007636B0" w:rsidRDefault="007636B0" w:rsidP="007636B0">
      <w:r>
        <w:t xml:space="preserve">On the basis of the above, background intakes of 2,4-D have been assumed to be essentially negligible (where 2,4-D is not used). </w:t>
      </w:r>
    </w:p>
    <w:p w:rsidR="007636B0" w:rsidRDefault="007636B0" w:rsidP="007636B0">
      <w:pPr>
        <w:pStyle w:val="Heading2"/>
        <w:tabs>
          <w:tab w:val="clear" w:pos="1209"/>
        </w:tabs>
      </w:pPr>
      <w:bookmarkStart w:id="25" w:name="_Toc351714265"/>
      <w:r>
        <w:t>Identification of Toxicity Reference Values</w:t>
      </w:r>
      <w:bookmarkEnd w:id="25"/>
    </w:p>
    <w:p w:rsidR="007636B0" w:rsidRPr="00983A79" w:rsidRDefault="007636B0" w:rsidP="007636B0">
      <w:pPr>
        <w:pStyle w:val="Heading3"/>
      </w:pPr>
      <w:bookmarkStart w:id="26" w:name="_Toc351714266"/>
      <w:r w:rsidRPr="00983A79">
        <w:t>Classification</w:t>
      </w:r>
      <w:bookmarkEnd w:id="26"/>
    </w:p>
    <w:p w:rsidR="007636B0" w:rsidRDefault="007636B0" w:rsidP="007636B0">
      <w:r w:rsidRPr="00C259C1">
        <w:t>The International Agency for Research on Cancer (IARC</w:t>
      </w:r>
      <w:r>
        <w:t xml:space="preserve"> 1987) has classified </w:t>
      </w:r>
      <w:r w:rsidRPr="00A35E24">
        <w:t>chlor</w:t>
      </w:r>
      <w:r>
        <w:t>ophenoxy herbicides as Group 2B—possibly carcinogenic to humans.</w:t>
      </w:r>
    </w:p>
    <w:p w:rsidR="0021528E" w:rsidRDefault="0021528E" w:rsidP="007636B0"/>
    <w:p w:rsidR="007636B0" w:rsidRDefault="007636B0" w:rsidP="007636B0">
      <w:r>
        <w:t>US EPA has not classified 2,4-D.</w:t>
      </w:r>
    </w:p>
    <w:p w:rsidR="007636B0" w:rsidRPr="00907E92" w:rsidRDefault="007636B0" w:rsidP="007636B0">
      <w:pPr>
        <w:pStyle w:val="Heading3"/>
      </w:pPr>
      <w:bookmarkStart w:id="27" w:name="_Toc351714267"/>
      <w:r w:rsidRPr="00907E92">
        <w:t>Review of Available Values</w:t>
      </w:r>
      <w:r>
        <w:t>/Information</w:t>
      </w:r>
      <w:bookmarkEnd w:id="27"/>
    </w:p>
    <w:p w:rsidR="007636B0" w:rsidRDefault="007636B0" w:rsidP="007636B0">
      <w:r>
        <w:t xml:space="preserve">There is limited information on the assessment of carcinogenicity and genotoxicity for 2,4-D from IARC and US EPA. Ibrahim et al. (1991) provided a summary of a review of carcinogenicity of 2,4-D following review by a panel of 13 scientists. Based on a weight-of-evidence approach 2,4-D was considered unlikely to be a genotoxic carcinogen because it has not been shown to be mutagenic in </w:t>
      </w:r>
      <w:r w:rsidRPr="000E167C">
        <w:t>most in vitro and in vivo systems</w:t>
      </w:r>
      <w:r>
        <w:t>. The predominant opinion from the panel was that the weight of evidence indicates that it is possible that exposure to 2,4-D may cause cancer in humans.</w:t>
      </w:r>
    </w:p>
    <w:p w:rsidR="0021528E" w:rsidRDefault="0021528E" w:rsidP="007636B0"/>
    <w:p w:rsidR="007636B0" w:rsidRDefault="007636B0" w:rsidP="007636B0">
      <w:r>
        <w:t>On the basis of the available information, it is considered appropriate that a threshold dose-response approach be adopted for 2,4-D. The following are available from Level 1 Australian and International sources: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3"/>
        <w:gridCol w:w="2231"/>
        <w:gridCol w:w="5543"/>
      </w:tblGrid>
      <w:tr w:rsidR="007636B0" w:rsidRPr="00775D98" w:rsidTr="00B45DD6">
        <w:trPr>
          <w:tblHeader/>
        </w:trPr>
        <w:tc>
          <w:tcPr>
            <w:tcW w:w="1384" w:type="dxa"/>
            <w:shd w:val="clear" w:color="auto" w:fill="C6D9F1" w:themeFill="text2" w:themeFillTint="33"/>
          </w:tcPr>
          <w:p w:rsidR="007636B0" w:rsidRPr="00775D98" w:rsidRDefault="007636B0" w:rsidP="00B45DD6">
            <w:pPr>
              <w:spacing w:before="20"/>
              <w:jc w:val="center"/>
              <w:rPr>
                <w:b/>
                <w:szCs w:val="22"/>
              </w:rPr>
            </w:pPr>
            <w:r w:rsidRPr="00775D98">
              <w:rPr>
                <w:b/>
                <w:szCs w:val="22"/>
              </w:rPr>
              <w:t>Source</w:t>
            </w:r>
          </w:p>
        </w:tc>
        <w:tc>
          <w:tcPr>
            <w:tcW w:w="2410" w:type="dxa"/>
            <w:shd w:val="clear" w:color="auto" w:fill="C6D9F1" w:themeFill="text2" w:themeFillTint="33"/>
          </w:tcPr>
          <w:p w:rsidR="007636B0" w:rsidRPr="00775D98" w:rsidRDefault="007636B0" w:rsidP="00B45DD6">
            <w:pPr>
              <w:spacing w:before="20"/>
              <w:jc w:val="center"/>
              <w:rPr>
                <w:b/>
                <w:szCs w:val="22"/>
              </w:rPr>
            </w:pPr>
            <w:r w:rsidRPr="00775D98">
              <w:rPr>
                <w:b/>
                <w:szCs w:val="22"/>
              </w:rPr>
              <w:t>Value</w:t>
            </w:r>
          </w:p>
        </w:tc>
        <w:tc>
          <w:tcPr>
            <w:tcW w:w="6169" w:type="dxa"/>
            <w:shd w:val="clear" w:color="auto" w:fill="C6D9F1" w:themeFill="text2" w:themeFillTint="33"/>
          </w:tcPr>
          <w:p w:rsidR="007636B0" w:rsidRPr="00775D98" w:rsidRDefault="007636B0" w:rsidP="00B45DD6">
            <w:pPr>
              <w:spacing w:before="20"/>
              <w:jc w:val="center"/>
              <w:rPr>
                <w:b/>
                <w:szCs w:val="22"/>
              </w:rPr>
            </w:pPr>
            <w:r w:rsidRPr="00775D98">
              <w:rPr>
                <w:b/>
                <w:szCs w:val="22"/>
              </w:rPr>
              <w:t>Basis/Comments</w:t>
            </w:r>
          </w:p>
        </w:tc>
      </w:tr>
      <w:tr w:rsidR="007636B0" w:rsidRPr="00775D98" w:rsidTr="00B45DD6">
        <w:tc>
          <w:tcPr>
            <w:tcW w:w="9963" w:type="dxa"/>
            <w:gridSpan w:val="3"/>
          </w:tcPr>
          <w:p w:rsidR="007636B0" w:rsidRPr="00775D98" w:rsidRDefault="007636B0" w:rsidP="00B45DD6">
            <w:pPr>
              <w:spacing w:before="20"/>
              <w:jc w:val="center"/>
              <w:rPr>
                <w:b/>
                <w:szCs w:val="22"/>
              </w:rPr>
            </w:pPr>
            <w:r w:rsidRPr="00775D98">
              <w:rPr>
                <w:b/>
                <w:szCs w:val="22"/>
              </w:rPr>
              <w:t>Australian</w:t>
            </w:r>
          </w:p>
        </w:tc>
      </w:tr>
      <w:tr w:rsidR="007636B0" w:rsidRPr="00775D98" w:rsidTr="00B45DD6">
        <w:tc>
          <w:tcPr>
            <w:tcW w:w="1384" w:type="dxa"/>
          </w:tcPr>
          <w:p w:rsidR="007636B0" w:rsidRPr="00775D98" w:rsidRDefault="007636B0" w:rsidP="00B45DD6">
            <w:pPr>
              <w:spacing w:before="20"/>
              <w:rPr>
                <w:szCs w:val="22"/>
              </w:rPr>
            </w:pPr>
            <w:r w:rsidRPr="00775D98">
              <w:rPr>
                <w:szCs w:val="22"/>
              </w:rPr>
              <w:t xml:space="preserve">ADWG (NHMRC 2011) </w:t>
            </w:r>
          </w:p>
        </w:tc>
        <w:tc>
          <w:tcPr>
            <w:tcW w:w="2410" w:type="dxa"/>
          </w:tcPr>
          <w:p w:rsidR="007636B0" w:rsidRPr="00775D98" w:rsidRDefault="007636B0" w:rsidP="00B45DD6">
            <w:pPr>
              <w:spacing w:before="20"/>
              <w:rPr>
                <w:szCs w:val="22"/>
              </w:rPr>
            </w:pPr>
            <w:r w:rsidRPr="00775D98">
              <w:rPr>
                <w:szCs w:val="22"/>
              </w:rPr>
              <w:t>TDI = 0.01 mg/kg/day</w:t>
            </w:r>
          </w:p>
        </w:tc>
        <w:tc>
          <w:tcPr>
            <w:tcW w:w="6169" w:type="dxa"/>
          </w:tcPr>
          <w:p w:rsidR="007636B0" w:rsidRPr="00775D98" w:rsidRDefault="007636B0" w:rsidP="00B45DD6">
            <w:pPr>
              <w:spacing w:before="20"/>
              <w:rPr>
                <w:szCs w:val="22"/>
              </w:rPr>
            </w:pPr>
            <w:r w:rsidRPr="00775D98">
              <w:rPr>
                <w:szCs w:val="22"/>
              </w:rPr>
              <w:t xml:space="preserve">Current ADWG (NHMRC 2011) of 0.03 mg/L based on 10% intake from drinking water. Based on equations presented in the ADWG, the TDI considered in this derivation is equal to 0.009 mg/kg/day, which can be rounded to 0.01 mg/kg/day, essentially equivalent to the ADI available from the OCS. </w:t>
            </w:r>
          </w:p>
        </w:tc>
      </w:tr>
      <w:tr w:rsidR="007636B0" w:rsidRPr="00775D98" w:rsidTr="00B45DD6">
        <w:tc>
          <w:tcPr>
            <w:tcW w:w="1384" w:type="dxa"/>
          </w:tcPr>
          <w:p w:rsidR="007636B0" w:rsidRPr="00775D98" w:rsidRDefault="007636B0" w:rsidP="00B45DD6">
            <w:pPr>
              <w:spacing w:before="20"/>
              <w:rPr>
                <w:szCs w:val="22"/>
              </w:rPr>
            </w:pPr>
            <w:r w:rsidRPr="00775D98">
              <w:rPr>
                <w:szCs w:val="22"/>
              </w:rPr>
              <w:t>OCS (2012)</w:t>
            </w:r>
          </w:p>
        </w:tc>
        <w:tc>
          <w:tcPr>
            <w:tcW w:w="2410" w:type="dxa"/>
          </w:tcPr>
          <w:p w:rsidR="007636B0" w:rsidRPr="00775D98" w:rsidRDefault="007636B0" w:rsidP="00B45DD6">
            <w:pPr>
              <w:spacing w:before="20"/>
              <w:rPr>
                <w:szCs w:val="22"/>
              </w:rPr>
            </w:pPr>
            <w:r w:rsidRPr="00775D98">
              <w:rPr>
                <w:szCs w:val="22"/>
              </w:rPr>
              <w:t>ADI = 0.01 mg/kg/day</w:t>
            </w:r>
          </w:p>
        </w:tc>
        <w:tc>
          <w:tcPr>
            <w:tcW w:w="6169" w:type="dxa"/>
          </w:tcPr>
          <w:p w:rsidR="007636B0" w:rsidRPr="00775D98" w:rsidRDefault="007636B0" w:rsidP="00B45DD6">
            <w:pPr>
              <w:spacing w:before="20"/>
              <w:rPr>
                <w:szCs w:val="22"/>
              </w:rPr>
            </w:pPr>
            <w:r w:rsidRPr="00775D98">
              <w:rPr>
                <w:szCs w:val="22"/>
              </w:rPr>
              <w:t>The ADI is noted to have been last reviewed in June 2006 and is based on a NOEL of 1 mg/kg/day associated with abnormal renal morphology in a 2-year rat study, supported by the same NOELs (based on kidney effects) in a 2-year mouse and 1-year dog study.</w:t>
            </w:r>
          </w:p>
        </w:tc>
      </w:tr>
      <w:tr w:rsidR="007636B0" w:rsidRPr="00775D98" w:rsidTr="00B45DD6">
        <w:tc>
          <w:tcPr>
            <w:tcW w:w="9963" w:type="dxa"/>
            <w:gridSpan w:val="3"/>
          </w:tcPr>
          <w:p w:rsidR="007636B0" w:rsidRPr="00775D98" w:rsidRDefault="007636B0" w:rsidP="00B45DD6">
            <w:pPr>
              <w:spacing w:before="20"/>
              <w:jc w:val="center"/>
              <w:rPr>
                <w:b/>
                <w:szCs w:val="22"/>
              </w:rPr>
            </w:pPr>
            <w:r w:rsidRPr="00775D98">
              <w:rPr>
                <w:b/>
                <w:szCs w:val="22"/>
              </w:rPr>
              <w:t>International</w:t>
            </w:r>
          </w:p>
        </w:tc>
      </w:tr>
      <w:tr w:rsidR="007636B0" w:rsidRPr="00775D98" w:rsidTr="00B45DD6">
        <w:tc>
          <w:tcPr>
            <w:tcW w:w="1384" w:type="dxa"/>
          </w:tcPr>
          <w:p w:rsidR="007636B0" w:rsidRPr="00775D98" w:rsidRDefault="007636B0" w:rsidP="00B45DD6">
            <w:pPr>
              <w:spacing w:before="20"/>
              <w:rPr>
                <w:szCs w:val="22"/>
              </w:rPr>
            </w:pPr>
            <w:r w:rsidRPr="00775D98">
              <w:rPr>
                <w:szCs w:val="22"/>
              </w:rPr>
              <w:t>WHO (2011)</w:t>
            </w:r>
          </w:p>
        </w:tc>
        <w:tc>
          <w:tcPr>
            <w:tcW w:w="2410" w:type="dxa"/>
          </w:tcPr>
          <w:p w:rsidR="007636B0" w:rsidRPr="00775D98" w:rsidRDefault="007636B0" w:rsidP="00B45DD6">
            <w:pPr>
              <w:spacing w:before="20"/>
              <w:rPr>
                <w:szCs w:val="22"/>
              </w:rPr>
            </w:pPr>
            <w:r w:rsidRPr="00775D98">
              <w:rPr>
                <w:szCs w:val="22"/>
              </w:rPr>
              <w:t>ADI = 0.01 mg/kg/day</w:t>
            </w:r>
          </w:p>
        </w:tc>
        <w:tc>
          <w:tcPr>
            <w:tcW w:w="6169" w:type="dxa"/>
          </w:tcPr>
          <w:p w:rsidR="007636B0" w:rsidRPr="00775D98" w:rsidRDefault="007636B0" w:rsidP="00B45DD6">
            <w:pPr>
              <w:spacing w:before="20"/>
              <w:rPr>
                <w:szCs w:val="22"/>
              </w:rPr>
            </w:pPr>
            <w:r w:rsidRPr="00775D98">
              <w:rPr>
                <w:szCs w:val="22"/>
              </w:rPr>
              <w:t>ADI, used in the derivation of the current WHO DWG (2011), was established by JMPR (FAO/WHO 1997) for 2,4-D and its salts and esters on the basis of a NOAEL of 1 mg/kg/day in a 1-year toxicity study in dogs and 2-year study in rats, and an uncertainty factor of 100-fold.</w:t>
            </w:r>
          </w:p>
        </w:tc>
      </w:tr>
      <w:tr w:rsidR="007636B0" w:rsidRPr="00775D98" w:rsidTr="00B45DD6">
        <w:tc>
          <w:tcPr>
            <w:tcW w:w="1384" w:type="dxa"/>
          </w:tcPr>
          <w:p w:rsidR="007636B0" w:rsidRPr="00775D98" w:rsidRDefault="007636B0" w:rsidP="00B45DD6">
            <w:pPr>
              <w:spacing w:before="20"/>
              <w:rPr>
                <w:szCs w:val="22"/>
              </w:rPr>
            </w:pPr>
            <w:r w:rsidRPr="00775D98">
              <w:rPr>
                <w:szCs w:val="22"/>
              </w:rPr>
              <w:t>ATSDR</w:t>
            </w:r>
          </w:p>
        </w:tc>
        <w:tc>
          <w:tcPr>
            <w:tcW w:w="2410" w:type="dxa"/>
          </w:tcPr>
          <w:p w:rsidR="007636B0" w:rsidRPr="00775D98" w:rsidRDefault="007636B0" w:rsidP="00B45DD6">
            <w:pPr>
              <w:spacing w:before="20"/>
              <w:rPr>
                <w:szCs w:val="22"/>
              </w:rPr>
            </w:pPr>
            <w:r w:rsidRPr="00775D98">
              <w:rPr>
                <w:szCs w:val="22"/>
              </w:rPr>
              <w:t>No evaluation available</w:t>
            </w:r>
          </w:p>
        </w:tc>
        <w:tc>
          <w:tcPr>
            <w:tcW w:w="6169" w:type="dxa"/>
          </w:tcPr>
          <w:p w:rsidR="007636B0" w:rsidRPr="00775D98" w:rsidRDefault="007636B0" w:rsidP="00B45DD6">
            <w:pPr>
              <w:spacing w:before="20"/>
              <w:rPr>
                <w:szCs w:val="22"/>
              </w:rPr>
            </w:pPr>
          </w:p>
        </w:tc>
      </w:tr>
      <w:tr w:rsidR="007636B0" w:rsidRPr="00775D98" w:rsidTr="00B45DD6">
        <w:tc>
          <w:tcPr>
            <w:tcW w:w="1384" w:type="dxa"/>
          </w:tcPr>
          <w:p w:rsidR="007636B0" w:rsidRPr="00775D98" w:rsidRDefault="007636B0" w:rsidP="00B45DD6">
            <w:pPr>
              <w:spacing w:before="20"/>
              <w:rPr>
                <w:szCs w:val="22"/>
              </w:rPr>
            </w:pPr>
            <w:r w:rsidRPr="00775D98">
              <w:rPr>
                <w:szCs w:val="22"/>
              </w:rPr>
              <w:t>US EPA (IRIS 2012)</w:t>
            </w:r>
          </w:p>
        </w:tc>
        <w:tc>
          <w:tcPr>
            <w:tcW w:w="2410" w:type="dxa"/>
          </w:tcPr>
          <w:p w:rsidR="007636B0" w:rsidRPr="00775D98" w:rsidRDefault="007636B0" w:rsidP="00B45DD6">
            <w:pPr>
              <w:spacing w:before="20"/>
              <w:rPr>
                <w:szCs w:val="22"/>
              </w:rPr>
            </w:pPr>
            <w:r w:rsidRPr="00775D98">
              <w:rPr>
                <w:szCs w:val="22"/>
              </w:rPr>
              <w:t>RfD = 0.01 mg/kg/day</w:t>
            </w:r>
          </w:p>
          <w:p w:rsidR="007636B0" w:rsidRPr="00775D98" w:rsidRDefault="007636B0" w:rsidP="00B45DD6">
            <w:pPr>
              <w:spacing w:before="20"/>
              <w:rPr>
                <w:szCs w:val="22"/>
              </w:rPr>
            </w:pPr>
          </w:p>
        </w:tc>
        <w:tc>
          <w:tcPr>
            <w:tcW w:w="6169" w:type="dxa"/>
          </w:tcPr>
          <w:p w:rsidR="007636B0" w:rsidRPr="00775D98" w:rsidRDefault="007636B0" w:rsidP="00B45DD6">
            <w:pPr>
              <w:spacing w:before="20"/>
              <w:rPr>
                <w:szCs w:val="22"/>
              </w:rPr>
            </w:pPr>
            <w:r w:rsidRPr="00775D98">
              <w:rPr>
                <w:szCs w:val="22"/>
              </w:rPr>
              <w:t>US EPA has derived an oral RfD of 0.01 mg/kg/day. The value was last reviewed in 1986 and is derived based on a LOAEL of 1 mg/kg/day associated with abnormal renal morphology from a 90-day rat bioassay and a 1-year interim report from a 2 year rat study, and an uncertainty factor of 100.</w:t>
            </w:r>
          </w:p>
        </w:tc>
      </w:tr>
    </w:tbl>
    <w:p w:rsidR="007636B0" w:rsidRDefault="007636B0" w:rsidP="007636B0"/>
    <w:p w:rsidR="007636B0" w:rsidRDefault="007636B0" w:rsidP="007636B0">
      <w:r>
        <w:t>Based on the available data above, there is general agreement from Australian and international sources on the consideration of an oral toxicity reference value of 0.01 mg/kg/day.</w:t>
      </w:r>
    </w:p>
    <w:p w:rsidR="00E80517" w:rsidRDefault="00E80517" w:rsidP="007636B0"/>
    <w:p w:rsidR="007636B0" w:rsidRDefault="007636B0" w:rsidP="007636B0">
      <w:r>
        <w:t>No dermal or inhalation specific studies or data are available. For the presence of 2,4-D in soil (not during use), it is considered appropriate to consider the use of the available ADI for all pathways of exposures.</w:t>
      </w:r>
    </w:p>
    <w:p w:rsidR="007636B0" w:rsidRPr="00921D7B" w:rsidRDefault="007636B0" w:rsidP="007636B0">
      <w:pPr>
        <w:pStyle w:val="Heading3"/>
      </w:pPr>
      <w:bookmarkStart w:id="28" w:name="_Toc351714268"/>
      <w:r w:rsidRPr="00921D7B">
        <w:t>Recommendation</w:t>
      </w:r>
      <w:bookmarkEnd w:id="28"/>
    </w:p>
    <w:p w:rsidR="007636B0" w:rsidRPr="00191EC8" w:rsidRDefault="007636B0" w:rsidP="007636B0">
      <w:r>
        <w:t>On the basis of the discussion above, the following toxicity reference values (TRVs) have been adopted for 2,4-D in the d</w:t>
      </w:r>
      <w:r w:rsidRPr="00775D98">
        <w:t>e</w:t>
      </w:r>
      <w:r>
        <w:t>rivation of HILs:</w:t>
      </w:r>
    </w:p>
    <w:p w:rsidR="007636B0" w:rsidRDefault="007636B0" w:rsidP="007636B0">
      <w:r>
        <w:rPr>
          <w:noProof/>
          <w:lang w:eastAsia="en-AU"/>
        </w:rPr>
        <mc:AlternateContent>
          <mc:Choice Requires="wps">
            <w:drawing>
              <wp:inline distT="0" distB="0" distL="0" distR="0">
                <wp:extent cx="5638165" cy="1755140"/>
                <wp:effectExtent l="13335" t="6985" r="6350" b="952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1755140"/>
                        </a:xfrm>
                        <a:prstGeom prst="rect">
                          <a:avLst/>
                        </a:prstGeom>
                        <a:solidFill>
                          <a:srgbClr val="D8D8D8"/>
                        </a:solidFill>
                        <a:ln w="9525">
                          <a:solidFill>
                            <a:srgbClr val="000000"/>
                          </a:solidFill>
                          <a:miter lim="800000"/>
                          <a:headEnd/>
                          <a:tailEnd/>
                        </a:ln>
                      </wps:spPr>
                      <wps:txbx>
                        <w:txbxContent>
                          <w:p w:rsidR="00A0097F" w:rsidRPr="00742163" w:rsidRDefault="00A0097F" w:rsidP="007636B0">
                            <w:pPr>
                              <w:spacing w:after="40"/>
                              <w:rPr>
                                <w:b/>
                                <w:u w:val="single"/>
                              </w:rPr>
                            </w:pPr>
                            <w:r w:rsidRPr="00742163">
                              <w:rPr>
                                <w:b/>
                                <w:u w:val="single"/>
                              </w:rPr>
                              <w:t>Recommendation for 2,4-D</w:t>
                            </w:r>
                          </w:p>
                          <w:p w:rsidR="00A0097F" w:rsidRDefault="00A0097F" w:rsidP="007636B0">
                            <w:pPr>
                              <w:spacing w:after="40"/>
                            </w:pPr>
                            <w:r>
                              <w:t>Oral TRV (TRV</w:t>
                            </w:r>
                            <w:r w:rsidRPr="00A54613">
                              <w:rPr>
                                <w:vertAlign w:val="subscript"/>
                              </w:rPr>
                              <w:t>O</w:t>
                            </w:r>
                            <w:r>
                              <w:t>) = 0.01 mg/kg/day (OCS 2012) for all pathways of exposure</w:t>
                            </w:r>
                          </w:p>
                          <w:p w:rsidR="00A0097F" w:rsidRDefault="00A0097F" w:rsidP="007636B0">
                            <w:pPr>
                              <w:spacing w:after="40"/>
                            </w:pPr>
                            <w:r>
                              <w:t>Dermal absorption factor (DAF) = 0.05 (or 5%) (US EPA 2004)</w:t>
                            </w:r>
                          </w:p>
                          <w:p w:rsidR="00A0097F" w:rsidRDefault="00A0097F" w:rsidP="007636B0">
                            <w:pPr>
                              <w:spacing w:after="40"/>
                            </w:pPr>
                            <w:r>
                              <w:t>Background intakes from other sources (as % of TRV):</w:t>
                            </w:r>
                          </w:p>
                          <w:p w:rsidR="00A0097F" w:rsidRDefault="00A0097F" w:rsidP="007636B0">
                            <w:pPr>
                              <w:spacing w:after="40"/>
                              <w:ind w:left="720"/>
                            </w:pPr>
                            <w:r>
                              <w:t>BI</w:t>
                            </w:r>
                            <w:r w:rsidRPr="002049F5">
                              <w:rPr>
                                <w:vertAlign w:val="subscript"/>
                              </w:rPr>
                              <w:t>O</w:t>
                            </w:r>
                            <w:r>
                              <w:t xml:space="preserve"> = 0% for oral and dermal intakes</w:t>
                            </w:r>
                          </w:p>
                          <w:p w:rsidR="00A0097F" w:rsidRDefault="00A0097F" w:rsidP="007636B0">
                            <w:pPr>
                              <w:spacing w:after="40"/>
                              <w:ind w:left="720"/>
                            </w:pPr>
                            <w:r>
                              <w:t>BIi = 0% for inhalation</w:t>
                            </w:r>
                            <w:r w:rsidDel="00C81411">
                              <w:t xml:space="preserve"> </w:t>
                            </w:r>
                          </w:p>
                        </w:txbxContent>
                      </wps:txbx>
                      <wps:bodyPr rot="0" vert="horz" wrap="square" lIns="91440" tIns="45720" rIns="91440" bIns="45720" anchor="t" anchorCtr="0" upright="1">
                        <a:noAutofit/>
                      </wps:bodyPr>
                    </wps:wsp>
                  </a:graphicData>
                </a:graphic>
              </wp:inline>
            </w:drawing>
          </mc:Choice>
          <mc:Fallback>
            <w:pict>
              <v:shape id="Text Box 8" o:spid="_x0000_s1030" type="#_x0000_t202" style="width:443.95pt;height:13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" fillcolor="#d8d8d8">
                <v:textbox>
                  <w:txbxContent>
                    <w:p w:rsidR="009C6751" w:rsidRPr="00742163" w:rsidRDefault="009C6751" w:rsidP="007636B0">
                      <w:pPr>
                        <w:spacing w:after="40"/>
                        <w:rPr>
                          <w:b/>
                          <w:u w:val="single"/>
                        </w:rPr>
                      </w:pPr>
                      <w:r w:rsidRPr="00742163">
                        <w:rPr>
                          <w:b/>
                          <w:u w:val="single"/>
                        </w:rPr>
                        <w:t>Recommendation for 2,4-D</w:t>
                      </w:r>
                    </w:p>
                    <w:p w:rsidR="009C6751" w:rsidRDefault="009C6751" w:rsidP="007636B0">
                      <w:pPr>
                        <w:spacing w:after="40"/>
                      </w:pPr>
                      <w:r>
                        <w:t>Oral TRV (TRV</w:t>
                      </w:r>
                      <w:r w:rsidRPr="00A54613">
                        <w:rPr>
                          <w:vertAlign w:val="subscript"/>
                        </w:rPr>
                        <w:t>O</w:t>
                      </w:r>
                      <w:r>
                        <w:t>) = 0.01 mg/kg/day (OCS 2012) for all pathways of exposure</w:t>
                      </w:r>
                    </w:p>
                    <w:p w:rsidR="009C6751" w:rsidRDefault="009C6751" w:rsidP="007636B0">
                      <w:pPr>
                        <w:spacing w:after="40"/>
                      </w:pPr>
                      <w:r>
                        <w:t>Dermal absorption factor (DAF) = 0.05 (or 5%) (US EPA 2004)</w:t>
                      </w:r>
                    </w:p>
                    <w:p w:rsidR="009C6751" w:rsidRDefault="009C6751" w:rsidP="007636B0">
                      <w:pPr>
                        <w:spacing w:after="40"/>
                      </w:pPr>
                      <w:r>
                        <w:t>Background intakes from other sources (as % of TRV):</w:t>
                      </w:r>
                    </w:p>
                    <w:p w:rsidR="009C6751" w:rsidRDefault="009C6751" w:rsidP="007636B0">
                      <w:pPr>
                        <w:spacing w:after="40"/>
                        <w:ind w:left="720"/>
                      </w:pPr>
                      <w:r>
                        <w:t>BI</w:t>
                      </w:r>
                      <w:r w:rsidRPr="002049F5">
                        <w:rPr>
                          <w:vertAlign w:val="subscript"/>
                        </w:rPr>
                        <w:t>O</w:t>
                      </w:r>
                      <w:r>
                        <w:t xml:space="preserve"> = 0% for oral and dermal intakes</w:t>
                      </w:r>
                    </w:p>
                    <w:p w:rsidR="009C6751" w:rsidRDefault="009C6751" w:rsidP="007636B0">
                      <w:pPr>
                        <w:spacing w:after="40"/>
                        <w:ind w:left="720"/>
                      </w:pPr>
                      <w:r>
                        <w:t>BIi = 0% for inhalation</w:t>
                      </w:r>
                      <w:r w:rsidDel="00C81411">
                        <w:t xml:space="preserve"> </w:t>
                      </w:r>
                    </w:p>
                  </w:txbxContent>
                </v:textbox>
                <w10:anchorlock/>
              </v:shape>
            </w:pict>
          </mc:Fallback>
        </mc:AlternateContent>
      </w:r>
    </w:p>
    <w:p w:rsidR="007636B0" w:rsidRDefault="007636B0" w:rsidP="007636B0"/>
    <w:p w:rsidR="007636B0" w:rsidRDefault="007636B0" w:rsidP="007636B0">
      <w:pPr>
        <w:pStyle w:val="Heading2"/>
        <w:tabs>
          <w:tab w:val="clear" w:pos="1209"/>
        </w:tabs>
      </w:pPr>
      <w:bookmarkStart w:id="29" w:name="_Toc351714269"/>
      <w:r>
        <w:t>Calculated HILs</w:t>
      </w:r>
      <w:bookmarkEnd w:id="29"/>
    </w:p>
    <w:p w:rsidR="007636B0" w:rsidRDefault="007636B0" w:rsidP="007636B0">
      <w:r>
        <w:t>On the basis of the above, the following HILs have been derived for 2,4-D (refer to Appendix B for equations used to calculate the HILs and Appendix C for calculations):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9"/>
        <w:gridCol w:w="1287"/>
        <w:gridCol w:w="1445"/>
        <w:gridCol w:w="1517"/>
        <w:gridCol w:w="1553"/>
        <w:gridCol w:w="1392"/>
      </w:tblGrid>
      <w:tr w:rsidR="007636B0" w:rsidRPr="00775D98" w:rsidTr="00B45DD6">
        <w:tc>
          <w:tcPr>
            <w:tcW w:w="1639" w:type="dxa"/>
            <w:vMerge w:val="restart"/>
            <w:shd w:val="clear" w:color="auto" w:fill="C6D9F1" w:themeFill="text2" w:themeFillTint="33"/>
          </w:tcPr>
          <w:p w:rsidR="007636B0" w:rsidRPr="00775D98" w:rsidRDefault="007636B0" w:rsidP="00B45DD6">
            <w:pPr>
              <w:spacing w:after="40"/>
              <w:rPr>
                <w:b/>
                <w:szCs w:val="22"/>
              </w:rPr>
            </w:pPr>
            <w:r w:rsidRPr="00775D98">
              <w:rPr>
                <w:b/>
                <w:szCs w:val="22"/>
              </w:rPr>
              <w:t>HIL Scenario</w:t>
            </w:r>
          </w:p>
        </w:tc>
        <w:tc>
          <w:tcPr>
            <w:tcW w:w="1287" w:type="dxa"/>
            <w:vMerge w:val="restart"/>
            <w:shd w:val="clear" w:color="auto" w:fill="C6D9F1" w:themeFill="text2" w:themeFillTint="33"/>
          </w:tcPr>
          <w:p w:rsidR="007636B0" w:rsidRPr="00775D98" w:rsidRDefault="007636B0" w:rsidP="00B45DD6">
            <w:pPr>
              <w:spacing w:after="40"/>
              <w:jc w:val="center"/>
              <w:rPr>
                <w:b/>
                <w:szCs w:val="22"/>
              </w:rPr>
            </w:pPr>
            <w:r w:rsidRPr="00775D98">
              <w:rPr>
                <w:b/>
                <w:szCs w:val="22"/>
              </w:rPr>
              <w:t>HIL (mg/kg)</w:t>
            </w:r>
          </w:p>
        </w:tc>
        <w:tc>
          <w:tcPr>
            <w:tcW w:w="5907" w:type="dxa"/>
            <w:gridSpan w:val="4"/>
            <w:shd w:val="clear" w:color="auto" w:fill="C6D9F1" w:themeFill="text2" w:themeFillTint="33"/>
          </w:tcPr>
          <w:p w:rsidR="007636B0" w:rsidRPr="00775D98" w:rsidRDefault="007636B0" w:rsidP="00B45DD6">
            <w:pPr>
              <w:spacing w:after="40"/>
              <w:jc w:val="center"/>
              <w:rPr>
                <w:b/>
                <w:szCs w:val="22"/>
              </w:rPr>
            </w:pPr>
            <w:r w:rsidRPr="00775D98">
              <w:rPr>
                <w:b/>
                <w:szCs w:val="22"/>
              </w:rPr>
              <w:t>Percentage Contribution from Exposure Pathways</w:t>
            </w:r>
          </w:p>
        </w:tc>
      </w:tr>
      <w:tr w:rsidR="007636B0" w:rsidRPr="00775D98" w:rsidTr="00B45DD6">
        <w:trPr>
          <w:trHeight w:val="427"/>
        </w:trPr>
        <w:tc>
          <w:tcPr>
            <w:tcW w:w="1639" w:type="dxa"/>
            <w:vMerge/>
            <w:shd w:val="clear" w:color="auto" w:fill="C6D9F1" w:themeFill="text2" w:themeFillTint="33"/>
          </w:tcPr>
          <w:p w:rsidR="007636B0" w:rsidRPr="00775D98" w:rsidRDefault="007636B0" w:rsidP="00B45DD6">
            <w:pPr>
              <w:spacing w:after="40"/>
              <w:rPr>
                <w:szCs w:val="22"/>
              </w:rPr>
            </w:pPr>
          </w:p>
        </w:tc>
        <w:tc>
          <w:tcPr>
            <w:tcW w:w="1287" w:type="dxa"/>
            <w:vMerge/>
            <w:shd w:val="clear" w:color="auto" w:fill="C6D9F1" w:themeFill="text2" w:themeFillTint="33"/>
          </w:tcPr>
          <w:p w:rsidR="007636B0" w:rsidRPr="00775D98" w:rsidRDefault="007636B0" w:rsidP="00B45DD6">
            <w:pPr>
              <w:spacing w:after="40"/>
              <w:jc w:val="center"/>
              <w:rPr>
                <w:szCs w:val="22"/>
              </w:rPr>
            </w:pPr>
          </w:p>
        </w:tc>
        <w:tc>
          <w:tcPr>
            <w:tcW w:w="1445" w:type="dxa"/>
            <w:shd w:val="clear" w:color="auto" w:fill="C6D9F1" w:themeFill="text2" w:themeFillTint="33"/>
          </w:tcPr>
          <w:p w:rsidR="007636B0" w:rsidRPr="00775D98" w:rsidRDefault="007636B0" w:rsidP="00B45DD6">
            <w:pPr>
              <w:spacing w:after="40"/>
              <w:jc w:val="center"/>
              <w:rPr>
                <w:b/>
                <w:szCs w:val="22"/>
              </w:rPr>
            </w:pPr>
            <w:r w:rsidRPr="00775D98">
              <w:rPr>
                <w:b/>
                <w:szCs w:val="22"/>
              </w:rPr>
              <w:t>Ingestion of Soil/Dust</w:t>
            </w:r>
          </w:p>
        </w:tc>
        <w:tc>
          <w:tcPr>
            <w:tcW w:w="1517" w:type="dxa"/>
            <w:shd w:val="clear" w:color="auto" w:fill="C6D9F1" w:themeFill="text2" w:themeFillTint="33"/>
          </w:tcPr>
          <w:p w:rsidR="007636B0" w:rsidRPr="00775D98" w:rsidRDefault="007636B0" w:rsidP="00B45DD6">
            <w:pPr>
              <w:spacing w:after="40"/>
              <w:jc w:val="center"/>
              <w:rPr>
                <w:b/>
                <w:szCs w:val="22"/>
              </w:rPr>
            </w:pPr>
            <w:r w:rsidRPr="00775D98">
              <w:rPr>
                <w:b/>
                <w:szCs w:val="22"/>
              </w:rPr>
              <w:t>Ingestion of Home-grown Produce</w:t>
            </w:r>
          </w:p>
        </w:tc>
        <w:tc>
          <w:tcPr>
            <w:tcW w:w="1553" w:type="dxa"/>
            <w:shd w:val="clear" w:color="auto" w:fill="C6D9F1" w:themeFill="text2" w:themeFillTint="33"/>
          </w:tcPr>
          <w:p w:rsidR="007636B0" w:rsidRPr="00775D98" w:rsidRDefault="007636B0" w:rsidP="00B45DD6">
            <w:pPr>
              <w:spacing w:after="40"/>
              <w:jc w:val="center"/>
              <w:rPr>
                <w:b/>
                <w:szCs w:val="22"/>
              </w:rPr>
            </w:pPr>
            <w:r w:rsidRPr="00775D98">
              <w:rPr>
                <w:b/>
                <w:szCs w:val="22"/>
              </w:rPr>
              <w:t>Dermal Absorption of Soil/Dust</w:t>
            </w:r>
          </w:p>
        </w:tc>
        <w:tc>
          <w:tcPr>
            <w:tcW w:w="1392" w:type="dxa"/>
            <w:shd w:val="clear" w:color="auto" w:fill="C6D9F1" w:themeFill="text2" w:themeFillTint="33"/>
          </w:tcPr>
          <w:p w:rsidR="007636B0" w:rsidRPr="00775D98" w:rsidRDefault="007636B0" w:rsidP="00B45DD6">
            <w:pPr>
              <w:spacing w:after="40"/>
              <w:jc w:val="center"/>
              <w:rPr>
                <w:b/>
                <w:szCs w:val="22"/>
              </w:rPr>
            </w:pPr>
            <w:r w:rsidRPr="00775D98">
              <w:rPr>
                <w:b/>
                <w:szCs w:val="22"/>
              </w:rPr>
              <w:t>Inhalation (dust)</w:t>
            </w:r>
          </w:p>
        </w:tc>
      </w:tr>
      <w:tr w:rsidR="007636B0" w:rsidRPr="00775D98" w:rsidTr="00B45DD6">
        <w:tc>
          <w:tcPr>
            <w:tcW w:w="1639" w:type="dxa"/>
          </w:tcPr>
          <w:p w:rsidR="007636B0" w:rsidRPr="00775D98" w:rsidRDefault="007636B0" w:rsidP="00B45DD6">
            <w:pPr>
              <w:spacing w:after="40"/>
              <w:rPr>
                <w:szCs w:val="22"/>
              </w:rPr>
            </w:pPr>
            <w:r w:rsidRPr="00775D98">
              <w:rPr>
                <w:szCs w:val="22"/>
              </w:rPr>
              <w:t>Residential A</w:t>
            </w:r>
          </w:p>
        </w:tc>
        <w:tc>
          <w:tcPr>
            <w:tcW w:w="1287" w:type="dxa"/>
            <w:tcMar>
              <w:right w:w="397" w:type="dxa"/>
            </w:tcMar>
          </w:tcPr>
          <w:p w:rsidR="007636B0" w:rsidRPr="00775D98" w:rsidRDefault="007636B0" w:rsidP="00B45DD6">
            <w:pPr>
              <w:spacing w:after="40"/>
              <w:jc w:val="right"/>
              <w:rPr>
                <w:szCs w:val="22"/>
              </w:rPr>
            </w:pPr>
            <w:r w:rsidRPr="00775D98">
              <w:rPr>
                <w:szCs w:val="22"/>
              </w:rPr>
              <w:t>900</w:t>
            </w:r>
          </w:p>
        </w:tc>
        <w:tc>
          <w:tcPr>
            <w:tcW w:w="1445" w:type="dxa"/>
          </w:tcPr>
          <w:p w:rsidR="007636B0" w:rsidRPr="00775D98" w:rsidRDefault="007636B0" w:rsidP="00B45DD6">
            <w:pPr>
              <w:spacing w:after="40"/>
              <w:jc w:val="center"/>
              <w:rPr>
                <w:szCs w:val="22"/>
              </w:rPr>
            </w:pPr>
            <w:r w:rsidRPr="00775D98">
              <w:rPr>
                <w:szCs w:val="22"/>
              </w:rPr>
              <w:t>59</w:t>
            </w:r>
          </w:p>
        </w:tc>
        <w:tc>
          <w:tcPr>
            <w:tcW w:w="1517" w:type="dxa"/>
          </w:tcPr>
          <w:p w:rsidR="007636B0" w:rsidRPr="00775D98" w:rsidRDefault="007636B0" w:rsidP="00B45DD6">
            <w:pPr>
              <w:spacing w:after="40"/>
              <w:jc w:val="center"/>
              <w:rPr>
                <w:szCs w:val="22"/>
              </w:rPr>
            </w:pPr>
            <w:r w:rsidRPr="00775D98">
              <w:rPr>
                <w:szCs w:val="22"/>
              </w:rPr>
              <w:t>--</w:t>
            </w:r>
          </w:p>
        </w:tc>
        <w:tc>
          <w:tcPr>
            <w:tcW w:w="1553" w:type="dxa"/>
          </w:tcPr>
          <w:p w:rsidR="007636B0" w:rsidRPr="00775D98" w:rsidRDefault="007636B0" w:rsidP="00B45DD6">
            <w:pPr>
              <w:spacing w:after="40"/>
              <w:jc w:val="center"/>
              <w:rPr>
                <w:szCs w:val="22"/>
              </w:rPr>
            </w:pPr>
            <w:r w:rsidRPr="00775D98">
              <w:rPr>
                <w:szCs w:val="22"/>
              </w:rPr>
              <w:t>41</w:t>
            </w:r>
          </w:p>
        </w:tc>
        <w:tc>
          <w:tcPr>
            <w:tcW w:w="1392" w:type="dxa"/>
          </w:tcPr>
          <w:p w:rsidR="007636B0" w:rsidRPr="00775D98" w:rsidRDefault="007636B0" w:rsidP="00B45DD6">
            <w:pPr>
              <w:spacing w:after="40"/>
              <w:jc w:val="center"/>
              <w:rPr>
                <w:szCs w:val="22"/>
              </w:rPr>
            </w:pPr>
            <w:r w:rsidRPr="00775D98">
              <w:rPr>
                <w:szCs w:val="22"/>
              </w:rPr>
              <w:t>&lt;1</w:t>
            </w:r>
          </w:p>
        </w:tc>
      </w:tr>
      <w:tr w:rsidR="007636B0" w:rsidRPr="00775D98" w:rsidTr="00B45DD6">
        <w:tc>
          <w:tcPr>
            <w:tcW w:w="1639" w:type="dxa"/>
          </w:tcPr>
          <w:p w:rsidR="007636B0" w:rsidRPr="00775D98" w:rsidRDefault="007636B0" w:rsidP="00B45DD6">
            <w:pPr>
              <w:spacing w:after="40"/>
              <w:rPr>
                <w:szCs w:val="22"/>
              </w:rPr>
            </w:pPr>
            <w:r w:rsidRPr="00775D98">
              <w:rPr>
                <w:szCs w:val="22"/>
              </w:rPr>
              <w:t>Residential B</w:t>
            </w:r>
          </w:p>
        </w:tc>
        <w:tc>
          <w:tcPr>
            <w:tcW w:w="1287" w:type="dxa"/>
            <w:tcMar>
              <w:right w:w="397" w:type="dxa"/>
            </w:tcMar>
          </w:tcPr>
          <w:p w:rsidR="007636B0" w:rsidRPr="00775D98" w:rsidRDefault="007636B0" w:rsidP="00B45DD6">
            <w:pPr>
              <w:spacing w:after="40"/>
              <w:jc w:val="right"/>
              <w:rPr>
                <w:szCs w:val="22"/>
              </w:rPr>
            </w:pPr>
            <w:r w:rsidRPr="00775D98">
              <w:rPr>
                <w:szCs w:val="22"/>
              </w:rPr>
              <w:t>1600</w:t>
            </w:r>
          </w:p>
        </w:tc>
        <w:tc>
          <w:tcPr>
            <w:tcW w:w="1445" w:type="dxa"/>
          </w:tcPr>
          <w:p w:rsidR="007636B0" w:rsidRPr="00775D98" w:rsidRDefault="007636B0" w:rsidP="00B45DD6">
            <w:pPr>
              <w:spacing w:after="40"/>
              <w:jc w:val="center"/>
              <w:rPr>
                <w:szCs w:val="22"/>
              </w:rPr>
            </w:pPr>
            <w:r w:rsidRPr="00775D98">
              <w:rPr>
                <w:szCs w:val="22"/>
              </w:rPr>
              <w:t>27</w:t>
            </w:r>
          </w:p>
        </w:tc>
        <w:tc>
          <w:tcPr>
            <w:tcW w:w="1517" w:type="dxa"/>
          </w:tcPr>
          <w:p w:rsidR="007636B0" w:rsidRPr="00775D98" w:rsidRDefault="007636B0" w:rsidP="00B45DD6">
            <w:pPr>
              <w:spacing w:after="40"/>
              <w:jc w:val="center"/>
              <w:rPr>
                <w:szCs w:val="22"/>
              </w:rPr>
            </w:pPr>
            <w:r w:rsidRPr="00775D98">
              <w:rPr>
                <w:szCs w:val="22"/>
              </w:rPr>
              <w:t>--</w:t>
            </w:r>
          </w:p>
        </w:tc>
        <w:tc>
          <w:tcPr>
            <w:tcW w:w="1553" w:type="dxa"/>
          </w:tcPr>
          <w:p w:rsidR="007636B0" w:rsidRPr="00775D98" w:rsidRDefault="007636B0" w:rsidP="00B45DD6">
            <w:pPr>
              <w:spacing w:after="40"/>
              <w:jc w:val="center"/>
              <w:rPr>
                <w:szCs w:val="22"/>
              </w:rPr>
            </w:pPr>
            <w:r w:rsidRPr="00775D98">
              <w:rPr>
                <w:szCs w:val="22"/>
              </w:rPr>
              <w:t>73</w:t>
            </w:r>
          </w:p>
        </w:tc>
        <w:tc>
          <w:tcPr>
            <w:tcW w:w="1392" w:type="dxa"/>
          </w:tcPr>
          <w:p w:rsidR="007636B0" w:rsidRPr="00775D98" w:rsidRDefault="007636B0" w:rsidP="00B45DD6">
            <w:pPr>
              <w:spacing w:after="40"/>
              <w:jc w:val="center"/>
              <w:rPr>
                <w:szCs w:val="22"/>
              </w:rPr>
            </w:pPr>
            <w:r w:rsidRPr="00775D98">
              <w:rPr>
                <w:szCs w:val="22"/>
              </w:rPr>
              <w:t>&lt;1</w:t>
            </w:r>
          </w:p>
        </w:tc>
      </w:tr>
      <w:tr w:rsidR="007636B0" w:rsidRPr="00775D98" w:rsidTr="00B45DD6">
        <w:tc>
          <w:tcPr>
            <w:tcW w:w="1639" w:type="dxa"/>
          </w:tcPr>
          <w:p w:rsidR="007636B0" w:rsidRPr="00775D98" w:rsidRDefault="007636B0" w:rsidP="00B45DD6">
            <w:pPr>
              <w:spacing w:after="40"/>
              <w:rPr>
                <w:szCs w:val="22"/>
              </w:rPr>
            </w:pPr>
            <w:r w:rsidRPr="00775D98">
              <w:rPr>
                <w:szCs w:val="22"/>
              </w:rPr>
              <w:t>Recreational C</w:t>
            </w:r>
          </w:p>
        </w:tc>
        <w:tc>
          <w:tcPr>
            <w:tcW w:w="1287" w:type="dxa"/>
            <w:tcMar>
              <w:right w:w="397" w:type="dxa"/>
            </w:tcMar>
          </w:tcPr>
          <w:p w:rsidR="007636B0" w:rsidRPr="00775D98" w:rsidRDefault="007636B0" w:rsidP="00B45DD6">
            <w:pPr>
              <w:spacing w:after="40"/>
              <w:jc w:val="right"/>
              <w:rPr>
                <w:szCs w:val="22"/>
              </w:rPr>
            </w:pPr>
            <w:r w:rsidRPr="00775D98">
              <w:rPr>
                <w:szCs w:val="22"/>
              </w:rPr>
              <w:t>1300</w:t>
            </w:r>
          </w:p>
        </w:tc>
        <w:tc>
          <w:tcPr>
            <w:tcW w:w="1445" w:type="dxa"/>
          </w:tcPr>
          <w:p w:rsidR="007636B0" w:rsidRPr="00775D98" w:rsidRDefault="007636B0" w:rsidP="00B45DD6">
            <w:pPr>
              <w:spacing w:after="40"/>
              <w:jc w:val="center"/>
              <w:rPr>
                <w:szCs w:val="22"/>
              </w:rPr>
            </w:pPr>
            <w:r w:rsidRPr="00775D98">
              <w:rPr>
                <w:szCs w:val="22"/>
              </w:rPr>
              <w:t>43</w:t>
            </w:r>
          </w:p>
        </w:tc>
        <w:tc>
          <w:tcPr>
            <w:tcW w:w="1517" w:type="dxa"/>
          </w:tcPr>
          <w:p w:rsidR="007636B0" w:rsidRPr="00775D98" w:rsidRDefault="007636B0" w:rsidP="00B45DD6">
            <w:pPr>
              <w:spacing w:after="40"/>
              <w:jc w:val="center"/>
              <w:rPr>
                <w:szCs w:val="22"/>
              </w:rPr>
            </w:pPr>
            <w:r w:rsidRPr="00775D98">
              <w:rPr>
                <w:szCs w:val="22"/>
              </w:rPr>
              <w:t>--</w:t>
            </w:r>
          </w:p>
        </w:tc>
        <w:tc>
          <w:tcPr>
            <w:tcW w:w="1553" w:type="dxa"/>
          </w:tcPr>
          <w:p w:rsidR="007636B0" w:rsidRPr="00775D98" w:rsidRDefault="007636B0" w:rsidP="00B45DD6">
            <w:pPr>
              <w:spacing w:after="40"/>
              <w:jc w:val="center"/>
              <w:rPr>
                <w:szCs w:val="22"/>
              </w:rPr>
            </w:pPr>
            <w:r w:rsidRPr="00775D98">
              <w:rPr>
                <w:szCs w:val="22"/>
              </w:rPr>
              <w:t>57</w:t>
            </w:r>
          </w:p>
        </w:tc>
        <w:tc>
          <w:tcPr>
            <w:tcW w:w="1392" w:type="dxa"/>
          </w:tcPr>
          <w:p w:rsidR="007636B0" w:rsidRPr="00775D98" w:rsidRDefault="007636B0" w:rsidP="00B45DD6">
            <w:pPr>
              <w:spacing w:after="40"/>
              <w:jc w:val="center"/>
              <w:rPr>
                <w:szCs w:val="22"/>
              </w:rPr>
            </w:pPr>
            <w:r w:rsidRPr="00775D98">
              <w:rPr>
                <w:szCs w:val="22"/>
              </w:rPr>
              <w:t>&lt;1</w:t>
            </w:r>
          </w:p>
        </w:tc>
      </w:tr>
      <w:tr w:rsidR="007636B0" w:rsidRPr="00775D98" w:rsidTr="00B45DD6">
        <w:tc>
          <w:tcPr>
            <w:tcW w:w="1639" w:type="dxa"/>
          </w:tcPr>
          <w:p w:rsidR="007636B0" w:rsidRPr="00775D98" w:rsidRDefault="007636B0" w:rsidP="00B45DD6">
            <w:pPr>
              <w:spacing w:after="40"/>
              <w:rPr>
                <w:szCs w:val="22"/>
              </w:rPr>
            </w:pPr>
            <w:r w:rsidRPr="00775D98">
              <w:rPr>
                <w:szCs w:val="22"/>
              </w:rPr>
              <w:t>Commercial D</w:t>
            </w:r>
          </w:p>
        </w:tc>
        <w:tc>
          <w:tcPr>
            <w:tcW w:w="1287" w:type="dxa"/>
            <w:tcMar>
              <w:right w:w="397" w:type="dxa"/>
            </w:tcMar>
          </w:tcPr>
          <w:p w:rsidR="007636B0" w:rsidRPr="00775D98" w:rsidRDefault="007636B0" w:rsidP="00B45DD6">
            <w:pPr>
              <w:spacing w:after="40"/>
              <w:jc w:val="right"/>
              <w:rPr>
                <w:szCs w:val="22"/>
              </w:rPr>
            </w:pPr>
            <w:r w:rsidRPr="00775D98">
              <w:rPr>
                <w:szCs w:val="22"/>
              </w:rPr>
              <w:t>9000</w:t>
            </w:r>
          </w:p>
        </w:tc>
        <w:tc>
          <w:tcPr>
            <w:tcW w:w="1445" w:type="dxa"/>
          </w:tcPr>
          <w:p w:rsidR="007636B0" w:rsidRPr="00775D98" w:rsidRDefault="007636B0" w:rsidP="00B45DD6">
            <w:pPr>
              <w:spacing w:after="40"/>
              <w:jc w:val="center"/>
              <w:rPr>
                <w:szCs w:val="22"/>
              </w:rPr>
            </w:pPr>
            <w:r w:rsidRPr="00775D98">
              <w:rPr>
                <w:szCs w:val="22"/>
              </w:rPr>
              <w:t>21</w:t>
            </w:r>
          </w:p>
        </w:tc>
        <w:tc>
          <w:tcPr>
            <w:tcW w:w="1517" w:type="dxa"/>
          </w:tcPr>
          <w:p w:rsidR="007636B0" w:rsidRPr="00775D98" w:rsidRDefault="007636B0" w:rsidP="00B45DD6">
            <w:pPr>
              <w:spacing w:after="40"/>
              <w:jc w:val="center"/>
              <w:rPr>
                <w:szCs w:val="22"/>
              </w:rPr>
            </w:pPr>
            <w:r w:rsidRPr="00775D98">
              <w:rPr>
                <w:szCs w:val="22"/>
              </w:rPr>
              <w:t>--</w:t>
            </w:r>
          </w:p>
        </w:tc>
        <w:tc>
          <w:tcPr>
            <w:tcW w:w="1553" w:type="dxa"/>
          </w:tcPr>
          <w:p w:rsidR="007636B0" w:rsidRPr="00775D98" w:rsidRDefault="007636B0" w:rsidP="00B45DD6">
            <w:pPr>
              <w:spacing w:after="40"/>
              <w:jc w:val="center"/>
              <w:rPr>
                <w:szCs w:val="22"/>
              </w:rPr>
            </w:pPr>
            <w:r w:rsidRPr="00775D98">
              <w:rPr>
                <w:szCs w:val="22"/>
              </w:rPr>
              <w:t>79</w:t>
            </w:r>
          </w:p>
        </w:tc>
        <w:tc>
          <w:tcPr>
            <w:tcW w:w="1392" w:type="dxa"/>
          </w:tcPr>
          <w:p w:rsidR="007636B0" w:rsidRPr="00775D98" w:rsidRDefault="007636B0" w:rsidP="00B45DD6">
            <w:pPr>
              <w:spacing w:after="40"/>
              <w:jc w:val="center"/>
              <w:rPr>
                <w:szCs w:val="22"/>
              </w:rPr>
            </w:pPr>
            <w:r w:rsidRPr="00775D98">
              <w:rPr>
                <w:szCs w:val="22"/>
              </w:rPr>
              <w:t>&lt;1</w:t>
            </w:r>
          </w:p>
        </w:tc>
      </w:tr>
    </w:tbl>
    <w:p w:rsidR="007636B0" w:rsidRPr="00775D98" w:rsidRDefault="007636B0" w:rsidP="007636B0">
      <w:pPr>
        <w:rPr>
          <w:sz w:val="18"/>
          <w:szCs w:val="18"/>
        </w:rPr>
      </w:pPr>
      <w:r w:rsidRPr="00775D98">
        <w:rPr>
          <w:sz w:val="18"/>
          <w:szCs w:val="18"/>
        </w:rPr>
        <w:t>-- Pathway not included in derivation of HIL</w:t>
      </w:r>
    </w:p>
    <w:p w:rsidR="007636B0" w:rsidRDefault="007636B0" w:rsidP="007636B0">
      <w:pPr>
        <w:pStyle w:val="Heading2"/>
        <w:tabs>
          <w:tab w:val="clear" w:pos="1209"/>
        </w:tabs>
      </w:pPr>
      <w:bookmarkStart w:id="30" w:name="_Toc351714270"/>
      <w:r>
        <w:t>References</w:t>
      </w:r>
      <w:bookmarkEnd w:id="30"/>
    </w:p>
    <w:p w:rsidR="007636B0" w:rsidRPr="00775D98" w:rsidRDefault="007636B0" w:rsidP="007636B0">
      <w:pPr>
        <w:pStyle w:val="StyletextLeft0cmHanging1cm"/>
      </w:pPr>
      <w:r w:rsidRPr="00775D98">
        <w:t>APVMA 2006, Preliminary Review Finding (Environment) Part 1: 2,4-D Esters. The Reconsideration of Approvals of the Active Constituents 2,4-D, Registrations of Products Containing 2,4-D and their Associated Labels, Australian Pesticides and Veterinary Medicines Authority, Canberra, Australia.</w:t>
      </w:r>
    </w:p>
    <w:p w:rsidR="007636B0" w:rsidRPr="00775D98" w:rsidRDefault="007636B0" w:rsidP="007636B0">
      <w:pPr>
        <w:pStyle w:val="StyletextLeft0cmHanging1cm"/>
      </w:pPr>
      <w:r w:rsidRPr="00775D98">
        <w:t>IARC 1987, Summaries and Evaluations, Chlorophenoxy herbicides, Supplement 7: (1987), p.256, International Agency for Research on Cancer.</w:t>
      </w:r>
    </w:p>
    <w:p w:rsidR="007636B0" w:rsidRPr="00775D98" w:rsidRDefault="007636B0" w:rsidP="007636B0">
      <w:pPr>
        <w:pStyle w:val="StyletextLeft0cmHanging1cm"/>
      </w:pPr>
      <w:r w:rsidRPr="00775D98">
        <w:t>Ibrahim ,MA, Bond, GG, Burke, TA, Cole, P, Dost, FN, Enterline, PE, Gough, M, Greenberg, RS, Halperin, WE, McConnell, E, Munro, IC, Swenberg, JA, Zahm, SH &amp; Graham, JD 1991, ‘Weight of the Evidence on the Human Carcinogenicity of 2,4-D’, Environmental Health Perspectives, vol. 96, pp. 213</w:t>
      </w:r>
      <w:r w:rsidRPr="00775D98">
        <w:sym w:font="Symbol" w:char="F02D"/>
      </w:r>
      <w:r w:rsidRPr="00775D98">
        <w:t>222.</w:t>
      </w:r>
    </w:p>
    <w:p w:rsidR="007636B0" w:rsidRPr="00775D98" w:rsidRDefault="007636B0" w:rsidP="007636B0">
      <w:pPr>
        <w:pStyle w:val="StyletextLeft0cmHanging1cm"/>
        <w:rPr>
          <w:lang w:eastAsia="en-US"/>
        </w:rPr>
      </w:pPr>
      <w:r w:rsidRPr="00775D98">
        <w:t xml:space="preserve">FAO/WHO (1997), Pesticide residues in food — 1996, Evaluations 1996, Part II — Toxicological, </w:t>
      </w:r>
      <w:r w:rsidRPr="00775D98">
        <w:rPr>
          <w:lang w:eastAsia="en-US"/>
        </w:rPr>
        <w:t>World Health Organization, International Programme on Chemical Safety, Joint FAO/WHO Meeting on Pesticide Residues (WHO/PCS/97.1), Geneva.</w:t>
      </w:r>
    </w:p>
    <w:p w:rsidR="007636B0" w:rsidRPr="00775D98" w:rsidRDefault="007636B0" w:rsidP="007636B0">
      <w:pPr>
        <w:pStyle w:val="StyletextLeft0cmHanging1cm"/>
        <w:rPr>
          <w:lang w:eastAsia="en-US"/>
        </w:rPr>
      </w:pPr>
      <w:r w:rsidRPr="00775D98">
        <w:rPr>
          <w:lang w:eastAsia="en-US"/>
        </w:rPr>
        <w:t>FSANZ 2011, The 23</w:t>
      </w:r>
      <w:r w:rsidRPr="00775D98">
        <w:rPr>
          <w:vertAlign w:val="superscript"/>
          <w:lang w:eastAsia="en-US"/>
        </w:rPr>
        <w:t>rd</w:t>
      </w:r>
      <w:r w:rsidRPr="00775D98">
        <w:rPr>
          <w:lang w:eastAsia="en-US"/>
        </w:rPr>
        <w:t xml:space="preserve"> Australian Total Diet Study, Food Standards Australia and New Zealand.</w:t>
      </w:r>
    </w:p>
    <w:p w:rsidR="007636B0" w:rsidRPr="00775D98" w:rsidRDefault="007636B0" w:rsidP="007636B0">
      <w:pPr>
        <w:pStyle w:val="StyletextLeft0cmHanging1cm"/>
      </w:pPr>
      <w:r w:rsidRPr="00775D98">
        <w:t>NEPC 1999, Schedule B (7a), Guideline on Health-Based Investigation Levels, National Environment Protection (Assessment of Site Contamination) Measure, National Environment Protection Council, Australia.</w:t>
      </w:r>
    </w:p>
    <w:p w:rsidR="007636B0" w:rsidRPr="00775D98" w:rsidRDefault="007636B0" w:rsidP="007636B0">
      <w:pPr>
        <w:pStyle w:val="StyletextLeft0cmHanging1cm"/>
        <w:rPr>
          <w:noProof/>
        </w:rPr>
      </w:pPr>
      <w:r w:rsidRPr="00775D98">
        <w:t>NHMRC 2011, National water quality management strategy, Australian drinking water guidelines, National Health and Medical Research Council, Australia</w:t>
      </w:r>
      <w:r w:rsidRPr="00775D98">
        <w:rPr>
          <w:noProof/>
        </w:rPr>
        <w:t>.</w:t>
      </w:r>
    </w:p>
    <w:p w:rsidR="007636B0" w:rsidRPr="00775D98" w:rsidRDefault="007636B0" w:rsidP="007636B0">
      <w:pPr>
        <w:pStyle w:val="StyletextLeft0cmHanging1cm"/>
        <w:rPr>
          <w:noProof/>
        </w:rPr>
      </w:pPr>
      <w:r w:rsidRPr="00775D98">
        <w:rPr>
          <w:noProof/>
        </w:rPr>
        <w:t xml:space="preserve">OCS 2012, ADI List, Acceptable Daily Intakes for Agricultural and Veterinary Chemicals, current to 31 March 2012, Australian Government, Department of Health and Ageing, Office of Chemical Safety (OCS), available from: </w:t>
      </w:r>
      <w:r w:rsidRPr="00775D98">
        <w:t>http://www.health.gov.au/internet/main/publishing.nsf/content/E8F4D2F95D616584CA2573D700770C2A/$File/ADI-apr12.pdf.</w:t>
      </w:r>
    </w:p>
    <w:p w:rsidR="007636B0" w:rsidRPr="00775D98" w:rsidRDefault="007636B0" w:rsidP="007636B0">
      <w:pPr>
        <w:pStyle w:val="StyletextLeft0cmHanging1cm"/>
      </w:pPr>
      <w:r w:rsidRPr="00775D98">
        <w:t>US EPA 2004, Risk Assessment Guidance for Superfund, Volume I: Human Health Evaluation Manual (Part E, Supplemental Guidance for Dermal Risk Assessment), Final, EPA/540/R/99/005, OSWER 9285.7-02EP, July 2004.</w:t>
      </w:r>
    </w:p>
    <w:p w:rsidR="007636B0" w:rsidRPr="00775D98" w:rsidRDefault="007636B0" w:rsidP="007636B0">
      <w:pPr>
        <w:pStyle w:val="StyletextLeft0cmHanging1cm"/>
      </w:pPr>
      <w:r w:rsidRPr="00775D98">
        <w:t xml:space="preserve">US EPA (IRIS 2012), data and information available from the Integrated Risk Information System, an online database, available from </w:t>
      </w:r>
      <w:hyperlink r:id="rId22" w:history="1">
        <w:r w:rsidRPr="00775D98">
          <w:rPr>
            <w:rStyle w:val="Hyperlink"/>
            <w:szCs w:val="22"/>
          </w:rPr>
          <w:t>http://www.epa.gov/iris/</w:t>
        </w:r>
      </w:hyperlink>
      <w:r w:rsidRPr="00775D98">
        <w:t>.</w:t>
      </w:r>
    </w:p>
    <w:p w:rsidR="007636B0" w:rsidRPr="00775D98" w:rsidRDefault="007636B0" w:rsidP="007636B0">
      <w:pPr>
        <w:pStyle w:val="StyletextLeft0cmHanging1cm"/>
      </w:pPr>
      <w:r w:rsidRPr="00775D98">
        <w:lastRenderedPageBreak/>
        <w:t>Wester, RC, Melendres, J, Logan, F, Hui, X, &amp; Maibach, HI 1996, ‘Percutaneous Absorption of 2,4-Dichlorophenoxyacetic Acid from Soil with Respect to the Soil Load and Skin Contact Time: In-vivo Absorption in Rhesus Monkey and in Vitro Absorption in Human Skin’, J. Toxicol. Environ. Health, vol.</w:t>
      </w:r>
      <w:r w:rsidRPr="00775D98">
        <w:rPr>
          <w:rFonts w:ascii="IIHGN H+ Times" w:hAnsi="IIHGN H+ Times" w:cs="IIHGN H+ Times"/>
        </w:rPr>
        <w:t xml:space="preserve"> </w:t>
      </w:r>
      <w:r w:rsidRPr="00775D98">
        <w:t>47, pp. 335</w:t>
      </w:r>
      <w:r w:rsidRPr="00775D98">
        <w:sym w:font="Symbol" w:char="F02D"/>
      </w:r>
      <w:r w:rsidRPr="00775D98">
        <w:t>344.</w:t>
      </w:r>
    </w:p>
    <w:p w:rsidR="007636B0" w:rsidRPr="00775D98" w:rsidRDefault="007636B0" w:rsidP="007636B0">
      <w:pPr>
        <w:pStyle w:val="StyletextLeft0cmHanging1cm"/>
      </w:pPr>
      <w:r w:rsidRPr="00775D98">
        <w:t>WHO 1984, Environmental Health Criteria No 29 2,4- Dichlorophenoxy Acetic Acid (2,4-D), World Health Organization, Geneva.</w:t>
      </w:r>
    </w:p>
    <w:p w:rsidR="007636B0" w:rsidRPr="00775D98" w:rsidRDefault="007636B0" w:rsidP="007636B0">
      <w:pPr>
        <w:pStyle w:val="StyletextLeft0cmHanging1cm"/>
      </w:pPr>
      <w:r w:rsidRPr="00775D98">
        <w:t>WHO 1987, Health and Safety Guide No. 5, 2,4-Dichlorophenoxyacetic (2,4-D), IPCS International Programme on Chemical Safety.</w:t>
      </w:r>
    </w:p>
    <w:p w:rsidR="007636B0" w:rsidRPr="00775D98" w:rsidRDefault="007636B0" w:rsidP="007636B0">
      <w:pPr>
        <w:pStyle w:val="StyletextLeft0cmHanging1cm"/>
      </w:pPr>
      <w:r w:rsidRPr="00775D98">
        <w:t>WHO 2011, Guidelines for drinking-water quality, 4</w:t>
      </w:r>
      <w:r w:rsidRPr="00775D98">
        <w:rPr>
          <w:vertAlign w:val="superscript"/>
        </w:rPr>
        <w:t>th</w:t>
      </w:r>
      <w:r w:rsidRPr="00775D98">
        <w:t xml:space="preserve"> edn, World Health Organization, Geneva</w:t>
      </w:r>
      <w:r>
        <w:t>,</w:t>
      </w:r>
      <w:r w:rsidRPr="00775D98">
        <w:t xml:space="preserve"> available from </w:t>
      </w:r>
      <w:hyperlink r:id="rId23" w:history="1">
        <w:r w:rsidRPr="00775D98">
          <w:rPr>
            <w:rStyle w:val="Hyperlink"/>
            <w:szCs w:val="22"/>
          </w:rPr>
          <w:t>http://www.who.int/water_sanitation_health/dwq/chemicals/en/index.html</w:t>
        </w:r>
      </w:hyperlink>
      <w:r w:rsidRPr="00775D98">
        <w:t>.</w:t>
      </w:r>
    </w:p>
    <w:p w:rsidR="007636B0" w:rsidRDefault="007636B0" w:rsidP="007636B0"/>
    <w:p w:rsidR="007636B0" w:rsidRPr="002F14A0" w:rsidRDefault="007636B0" w:rsidP="007636B0">
      <w:pPr>
        <w:rPr>
          <w:rFonts w:ascii="Courier New" w:hAnsi="Courier New" w:cs="Courier New"/>
        </w:rPr>
      </w:pPr>
      <w:r>
        <w:rPr>
          <w:rFonts w:ascii="Courier New" w:hAnsi="Courier New" w:cs="Courier New"/>
        </w:rPr>
        <w:t xml:space="preserve">  </w:t>
      </w:r>
    </w:p>
    <w:p w:rsidR="007636B0" w:rsidRDefault="007636B0" w:rsidP="007636B0">
      <w:pPr>
        <w:pStyle w:val="Heading1"/>
        <w:tabs>
          <w:tab w:val="clear" w:pos="1209"/>
          <w:tab w:val="num" w:pos="720"/>
        </w:tabs>
      </w:pPr>
      <w:bookmarkStart w:id="31" w:name="_Toc351714271"/>
      <w:r>
        <w:lastRenderedPageBreak/>
        <w:t>MCPA, MCPB and Mecoprop</w:t>
      </w:r>
      <w:bookmarkEnd w:id="31"/>
    </w:p>
    <w:p w:rsidR="007636B0" w:rsidRDefault="007636B0" w:rsidP="007636B0">
      <w:pPr>
        <w:pStyle w:val="Heading2"/>
        <w:tabs>
          <w:tab w:val="clear" w:pos="1209"/>
        </w:tabs>
      </w:pPr>
      <w:bookmarkStart w:id="32" w:name="_Toc351714272"/>
      <w:r>
        <w:t>General</w:t>
      </w:r>
      <w:bookmarkEnd w:id="32"/>
    </w:p>
    <w:p w:rsidR="007636B0" w:rsidRDefault="007636B0" w:rsidP="007636B0">
      <w:r w:rsidRPr="0008608D">
        <w:t>The</w:t>
      </w:r>
      <w:r>
        <w:t xml:space="preserve"> following information on</w:t>
      </w:r>
      <w:r w:rsidRPr="0008608D">
        <w:t xml:space="preserve"> MCPA (4-chloro-2-methylphenoxyacetic acid), MCPB (4-(2-methyl-4-chlorophenoxy)butyric acid) and mecoprop (also referenced as MCPP) are grouped together as they are structurally similar chlorophenoxy herbicides. </w:t>
      </w:r>
    </w:p>
    <w:p w:rsidR="0021528E" w:rsidRDefault="0021528E" w:rsidP="007636B0"/>
    <w:p w:rsidR="007636B0" w:rsidRDefault="007636B0" w:rsidP="007636B0">
      <w:r>
        <w:t>While limited data is available, reviews of these compounds in the environment and their toxicity to humans are available and should be consulted for more detailed information not presented in this summary (WHO 2011; HSDB 2010). The following provides a summary of the key aspects of these compounds that are relevant to the derivation of a soil HIL.</w:t>
      </w:r>
    </w:p>
    <w:p w:rsidR="0021528E" w:rsidRDefault="0021528E" w:rsidP="007636B0"/>
    <w:p w:rsidR="007636B0" w:rsidRPr="0008608D" w:rsidRDefault="007636B0" w:rsidP="007636B0">
      <w:r w:rsidRPr="0008608D">
        <w:t>In their pure form the three compounds are white crystalline solids</w:t>
      </w:r>
      <w:r>
        <w:t>,</w:t>
      </w:r>
      <w:r w:rsidRPr="0008608D">
        <w:t xml:space="preserve"> </w:t>
      </w:r>
      <w:r>
        <w:t>though</w:t>
      </w:r>
      <w:r w:rsidRPr="0008608D">
        <w:t xml:space="preserve"> technical grade products can be white to light brow</w:t>
      </w:r>
      <w:r>
        <w:t>n crystal powders or liquids</w:t>
      </w:r>
      <w:r w:rsidRPr="0008608D">
        <w:t>. The compounds are often formulated as salts (e.g. potassium or</w:t>
      </w:r>
      <w:r>
        <w:t xml:space="preserve"> </w:t>
      </w:r>
      <w:r w:rsidRPr="0008608D">
        <w:t>diethylamine salts) or esters (e.g. iso</w:t>
      </w:r>
      <w:r>
        <w:t>-</w:t>
      </w:r>
      <w:r w:rsidRPr="0008608D">
        <w:t>octyl esters).</w:t>
      </w:r>
      <w:r>
        <w:t xml:space="preserve"> </w:t>
      </w:r>
      <w:r w:rsidRPr="0008608D">
        <w:t>The three compounds are the active ingredients in post emergence herbicides used to control annual and perennial weeds in agricultural, commercial/industrial and domestic environments. In Australia all three compounds are registered for agricultural application on wheat, barley, oats, sorghum, rice, linseed, peas, grass pastures, turf, clover, corn/maize and oilseed poppies</w:t>
      </w:r>
      <w:r>
        <w:t>, and for</w:t>
      </w:r>
      <w:r w:rsidRPr="0008608D">
        <w:t xml:space="preserve"> the home garden to contr</w:t>
      </w:r>
      <w:r>
        <w:t>ol broadleaf weeds (WHO 2011)</w:t>
      </w:r>
      <w:r w:rsidRPr="0008608D">
        <w:t>.</w:t>
      </w:r>
    </w:p>
    <w:p w:rsidR="007636B0" w:rsidRDefault="007636B0" w:rsidP="007636B0">
      <w:pPr>
        <w:pStyle w:val="Heading2"/>
        <w:tabs>
          <w:tab w:val="clear" w:pos="1209"/>
        </w:tabs>
      </w:pPr>
      <w:bookmarkStart w:id="33" w:name="_Toc351714273"/>
      <w:r>
        <w:t>Previous HIL</w:t>
      </w:r>
      <w:bookmarkEnd w:id="33"/>
    </w:p>
    <w:p w:rsidR="007636B0" w:rsidRDefault="007636B0" w:rsidP="007636B0">
      <w:r>
        <w:t>No previous HIL is available for MCPA, MCPB or mecoprop (NEPC 1999).</w:t>
      </w:r>
    </w:p>
    <w:p w:rsidR="007636B0" w:rsidRDefault="007636B0" w:rsidP="007636B0">
      <w:pPr>
        <w:pStyle w:val="Heading2"/>
        <w:tabs>
          <w:tab w:val="clear" w:pos="1209"/>
        </w:tabs>
      </w:pPr>
      <w:bookmarkStart w:id="34" w:name="_Toc351714274"/>
      <w:r>
        <w:t>Significance of Exposure Pathways</w:t>
      </w:r>
      <w:bookmarkEnd w:id="34"/>
    </w:p>
    <w:p w:rsidR="007636B0" w:rsidRPr="00E00A6A" w:rsidRDefault="007636B0" w:rsidP="007636B0">
      <w:pPr>
        <w:pStyle w:val="Heading3"/>
      </w:pPr>
      <w:bookmarkStart w:id="35" w:name="_Toc351714275"/>
      <w:r>
        <w:t xml:space="preserve">Oral </w:t>
      </w:r>
      <w:r w:rsidRPr="00E00A6A">
        <w:t>Bioavailability</w:t>
      </w:r>
      <w:bookmarkEnd w:id="35"/>
    </w:p>
    <w:p w:rsidR="007636B0" w:rsidRDefault="007636B0" w:rsidP="007636B0">
      <w:r>
        <w:t>Insufficient data is available to adequately define the bioavailability of MCPA, MCPB or mecoprop, hence a default approach of assuming 100% oral bioavailability has been adopted in the derivation of an HIL. It is noted that a site-specific assessment of bioavailability can be undertaken where required.</w:t>
      </w:r>
    </w:p>
    <w:p w:rsidR="007636B0" w:rsidRPr="002D7B71" w:rsidRDefault="007636B0" w:rsidP="007636B0">
      <w:pPr>
        <w:pStyle w:val="Heading3"/>
      </w:pPr>
      <w:bookmarkStart w:id="36" w:name="_Toc351714276"/>
      <w:r w:rsidRPr="002D7B71">
        <w:t>Dermal absorption</w:t>
      </w:r>
      <w:bookmarkEnd w:id="36"/>
    </w:p>
    <w:p w:rsidR="007636B0" w:rsidRDefault="007636B0" w:rsidP="007636B0">
      <w:r>
        <w:t>Insufficient data is available on the dermal absorption of MCPA, MCPB or mecoprop from soil. Hence the default value of 0.1 (10%) suggested by US EPA (1995) for pesticides has been adopted in the derivation of HILs.</w:t>
      </w:r>
    </w:p>
    <w:p w:rsidR="007636B0" w:rsidRPr="009338FB" w:rsidRDefault="007636B0" w:rsidP="007636B0">
      <w:pPr>
        <w:pStyle w:val="Heading3"/>
      </w:pPr>
      <w:bookmarkStart w:id="37" w:name="_Toc351714277"/>
      <w:r w:rsidRPr="009338FB">
        <w:t>Inhalation of Dust</w:t>
      </w:r>
      <w:bookmarkEnd w:id="37"/>
    </w:p>
    <w:p w:rsidR="007636B0" w:rsidRDefault="007636B0" w:rsidP="007636B0">
      <w:r>
        <w:t>MCPA, MCPB and mecoprop are not considered sufficiently volatile to be of significance and inhalation exposures associated with particulates outdoors and indoors are expected to be of less significance than ingestion of soil. While likely to be negligible, potential inhalation exposures associated with dust have been considered in the HIL derived.</w:t>
      </w:r>
    </w:p>
    <w:p w:rsidR="007636B0" w:rsidRPr="009338FB" w:rsidRDefault="007636B0" w:rsidP="007636B0">
      <w:pPr>
        <w:pStyle w:val="Heading3"/>
      </w:pPr>
      <w:bookmarkStart w:id="38" w:name="_Toc351714278"/>
      <w:r w:rsidRPr="009338FB">
        <w:t>Plant Uptake</w:t>
      </w:r>
      <w:bookmarkEnd w:id="38"/>
    </w:p>
    <w:p w:rsidR="007636B0" w:rsidRDefault="007636B0" w:rsidP="007636B0">
      <w:r>
        <w:t xml:space="preserve">Most </w:t>
      </w:r>
      <w:r w:rsidRPr="00A35E24">
        <w:rPr>
          <w:rFonts w:cs="Arial"/>
        </w:rPr>
        <w:t>chlorophenoxy herbicide</w:t>
      </w:r>
      <w:r>
        <w:t>s are toxic to plants and, as such, will be phytotoxic to almost all broadleaf crops including tomatoes, grapes and fruit trees well before plant uptake into edible portions of fruit and vegetable crops is of significance. Hence the uptake of these compounds into home-grown produce has not been considered in the derivation of HIL A.</w:t>
      </w:r>
    </w:p>
    <w:p w:rsidR="0021528E" w:rsidRDefault="0021528E" w:rsidP="007636B0"/>
    <w:p w:rsidR="007636B0" w:rsidRDefault="007636B0" w:rsidP="007636B0">
      <w:r>
        <w:t>Note that the phytotoxic effects of these compounds may need to be addressed on a site-specific basis if detected in soil.</w:t>
      </w:r>
    </w:p>
    <w:p w:rsidR="007636B0" w:rsidRPr="0089652E" w:rsidRDefault="007636B0" w:rsidP="007636B0">
      <w:pPr>
        <w:pStyle w:val="Heading3"/>
      </w:pPr>
      <w:bookmarkStart w:id="39" w:name="_Toc351714279"/>
      <w:r w:rsidRPr="0089652E">
        <w:lastRenderedPageBreak/>
        <w:t xml:space="preserve">Intakes from Other Sources </w:t>
      </w:r>
      <w:r>
        <w:t>–</w:t>
      </w:r>
      <w:r w:rsidRPr="0089652E">
        <w:t xml:space="preserve"> Background</w:t>
      </w:r>
      <w:bookmarkEnd w:id="39"/>
    </w:p>
    <w:p w:rsidR="007636B0" w:rsidRDefault="007636B0" w:rsidP="007636B0">
      <w:r>
        <w:t>Limited data is available for the assessment of background intakes of MCPA, MCPB and mecoprop. These compounds are currently registered for use in Australia (while some areas are only allowed controlled use of MCPA) and they are generally not considered persistent in the environment. The compounds are not included in the Australian Total Diet Surveys (FSANZ 2003; FSANZ 2011) and there is no data regarding concentrations in drinking water or air in Australia. Away from areas where these herbicides are used, exposure by the general public is expected to be low. In the USA, MCPA was detected up to 0.54 µg/L in surface waters and up to 5.5 µg/L in groundwater (WHO 2011). Background intakes may be similar to those considered for 2,4-D, which is essentially negligible (where these products are not used).</w:t>
      </w:r>
    </w:p>
    <w:p w:rsidR="007636B0" w:rsidRDefault="007636B0" w:rsidP="007636B0">
      <w:pPr>
        <w:pStyle w:val="Heading2"/>
        <w:tabs>
          <w:tab w:val="clear" w:pos="1209"/>
        </w:tabs>
      </w:pPr>
      <w:bookmarkStart w:id="40" w:name="_Toc351714280"/>
      <w:r>
        <w:t>Identification of Toxicity Reference Values</w:t>
      </w:r>
      <w:bookmarkEnd w:id="40"/>
    </w:p>
    <w:p w:rsidR="007636B0" w:rsidRPr="00983A79" w:rsidRDefault="007636B0" w:rsidP="007636B0">
      <w:pPr>
        <w:pStyle w:val="Heading3"/>
      </w:pPr>
      <w:bookmarkStart w:id="41" w:name="_Toc351714281"/>
      <w:r w:rsidRPr="00983A79">
        <w:t>Classification</w:t>
      </w:r>
      <w:bookmarkEnd w:id="41"/>
    </w:p>
    <w:p w:rsidR="007636B0" w:rsidRDefault="007636B0" w:rsidP="007636B0">
      <w:pPr>
        <w:rPr>
          <w:rFonts w:cs="Arial"/>
        </w:rPr>
      </w:pPr>
      <w:r w:rsidRPr="00C259C1">
        <w:t>The International Agency for Research on Cancer (IARC</w:t>
      </w:r>
      <w:r>
        <w:t xml:space="preserve"> 1987) has classified </w:t>
      </w:r>
      <w:r w:rsidRPr="00A35E24">
        <w:rPr>
          <w:rFonts w:cs="Arial"/>
        </w:rPr>
        <w:t>chlor</w:t>
      </w:r>
      <w:r>
        <w:rPr>
          <w:rFonts w:cs="Arial"/>
        </w:rPr>
        <w:t xml:space="preserve">ophenoxy herbicides as Group 2B—possibly carcinogenic to humans. Information provided in the IARC evaluation relates more specifically to </w:t>
      </w:r>
      <w:r w:rsidRPr="0008608D">
        <w:rPr>
          <w:rFonts w:cs="Arial"/>
        </w:rPr>
        <w:t xml:space="preserve">MCPA and </w:t>
      </w:r>
      <w:r>
        <w:rPr>
          <w:rFonts w:cs="Arial"/>
        </w:rPr>
        <w:t xml:space="preserve">mecoprop. </w:t>
      </w:r>
      <w:r w:rsidRPr="0008608D">
        <w:rPr>
          <w:rFonts w:cs="Arial"/>
        </w:rPr>
        <w:t>No evaluation is available for MCPB</w:t>
      </w:r>
      <w:r>
        <w:rPr>
          <w:rFonts w:cs="Arial"/>
        </w:rPr>
        <w:t>.</w:t>
      </w:r>
    </w:p>
    <w:p w:rsidR="0021528E" w:rsidRDefault="0021528E" w:rsidP="007636B0">
      <w:pPr>
        <w:rPr>
          <w:rFonts w:cs="Arial"/>
        </w:rPr>
      </w:pPr>
    </w:p>
    <w:p w:rsidR="007636B0" w:rsidRDefault="007636B0" w:rsidP="007636B0">
      <w:pPr>
        <w:rPr>
          <w:rFonts w:cs="Arial"/>
        </w:rPr>
      </w:pPr>
      <w:r>
        <w:rPr>
          <w:rFonts w:cs="Arial"/>
        </w:rPr>
        <w:t xml:space="preserve">US EPA has not classified </w:t>
      </w:r>
      <w:r>
        <w:t>MCPA, MCPB or mecoprop</w:t>
      </w:r>
      <w:r>
        <w:rPr>
          <w:rFonts w:cs="Arial"/>
        </w:rPr>
        <w:t>.</w:t>
      </w:r>
    </w:p>
    <w:p w:rsidR="007636B0" w:rsidRPr="00907E92" w:rsidRDefault="007636B0" w:rsidP="007636B0">
      <w:pPr>
        <w:pStyle w:val="Heading3"/>
      </w:pPr>
      <w:bookmarkStart w:id="42" w:name="_Toc351714282"/>
      <w:r w:rsidRPr="00907E92">
        <w:t>Review of Available Values</w:t>
      </w:r>
      <w:r>
        <w:t>/Information</w:t>
      </w:r>
      <w:bookmarkEnd w:id="42"/>
    </w:p>
    <w:p w:rsidR="007636B0" w:rsidRDefault="007636B0" w:rsidP="007636B0">
      <w:r>
        <w:t>There is limited information on the assessment of carcinogenicity and genotoxicity for these compounds. WHO (2011) notes that recent studies on rats and mice do not indicate that MCPA was carcinogenic and there is only limited and inconclusive data on the genotoxicity of MCPA. Limited studies available on MCPB and mecoprop were negative with respect to genotoxicity. On the basis of the available information, it is considered appropriate that a threshold dose</w:t>
      </w:r>
      <w:r>
        <w:sym w:font="Symbol" w:char="F02D"/>
      </w:r>
      <w:r>
        <w:t>response approach be adopted for these herbicides. The following are available from Level 1 Australian and International sources:</w:t>
      </w:r>
    </w:p>
    <w:p w:rsidR="007636B0" w:rsidRPr="00D33179" w:rsidRDefault="007636B0" w:rsidP="007636B0">
      <w:pPr>
        <w:pStyle w:val="Heading4"/>
      </w:pPr>
      <w:bookmarkStart w:id="43" w:name="_Toc351714283"/>
      <w:r w:rsidRPr="00D33179">
        <w:t>MCPA</w:t>
      </w:r>
      <w:bookmarkEnd w:id="43"/>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0"/>
        <w:gridCol w:w="1717"/>
        <w:gridCol w:w="5776"/>
      </w:tblGrid>
      <w:tr w:rsidR="007636B0" w:rsidRPr="00775D98" w:rsidTr="00B45DD6">
        <w:trPr>
          <w:tblHeader/>
        </w:trPr>
        <w:tc>
          <w:tcPr>
            <w:tcW w:w="1340" w:type="dxa"/>
            <w:shd w:val="clear" w:color="auto" w:fill="C6D9F1" w:themeFill="text2" w:themeFillTint="33"/>
          </w:tcPr>
          <w:p w:rsidR="007636B0" w:rsidRPr="00775D98" w:rsidRDefault="007636B0" w:rsidP="00B45DD6">
            <w:pPr>
              <w:spacing w:before="20"/>
              <w:jc w:val="center"/>
              <w:rPr>
                <w:b/>
                <w:szCs w:val="22"/>
              </w:rPr>
            </w:pPr>
            <w:r w:rsidRPr="00775D98">
              <w:rPr>
                <w:b/>
                <w:szCs w:val="22"/>
              </w:rPr>
              <w:t>Source</w:t>
            </w:r>
          </w:p>
        </w:tc>
        <w:tc>
          <w:tcPr>
            <w:tcW w:w="1717" w:type="dxa"/>
            <w:shd w:val="clear" w:color="auto" w:fill="C6D9F1" w:themeFill="text2" w:themeFillTint="33"/>
          </w:tcPr>
          <w:p w:rsidR="007636B0" w:rsidRPr="00775D98" w:rsidRDefault="007636B0" w:rsidP="00B45DD6">
            <w:pPr>
              <w:spacing w:before="20"/>
              <w:jc w:val="center"/>
              <w:rPr>
                <w:b/>
                <w:szCs w:val="22"/>
              </w:rPr>
            </w:pPr>
            <w:r w:rsidRPr="00775D98">
              <w:rPr>
                <w:b/>
                <w:szCs w:val="22"/>
              </w:rPr>
              <w:t>Value</w:t>
            </w:r>
          </w:p>
        </w:tc>
        <w:tc>
          <w:tcPr>
            <w:tcW w:w="5776" w:type="dxa"/>
            <w:shd w:val="clear" w:color="auto" w:fill="C6D9F1" w:themeFill="text2" w:themeFillTint="33"/>
          </w:tcPr>
          <w:p w:rsidR="007636B0" w:rsidRPr="00775D98" w:rsidRDefault="007636B0" w:rsidP="00B45DD6">
            <w:pPr>
              <w:spacing w:before="20"/>
              <w:jc w:val="center"/>
              <w:rPr>
                <w:b/>
                <w:szCs w:val="22"/>
              </w:rPr>
            </w:pPr>
            <w:r w:rsidRPr="00775D98">
              <w:rPr>
                <w:b/>
                <w:szCs w:val="22"/>
              </w:rPr>
              <w:t>Basis/Comments</w:t>
            </w:r>
          </w:p>
        </w:tc>
      </w:tr>
      <w:tr w:rsidR="007636B0" w:rsidRPr="00775D98" w:rsidTr="00B45DD6">
        <w:tc>
          <w:tcPr>
            <w:tcW w:w="8833" w:type="dxa"/>
            <w:gridSpan w:val="3"/>
          </w:tcPr>
          <w:p w:rsidR="007636B0" w:rsidRPr="00775D98" w:rsidRDefault="007636B0" w:rsidP="00B45DD6">
            <w:pPr>
              <w:spacing w:before="20"/>
              <w:jc w:val="center"/>
              <w:rPr>
                <w:b/>
                <w:szCs w:val="22"/>
              </w:rPr>
            </w:pPr>
            <w:r w:rsidRPr="00775D98">
              <w:rPr>
                <w:b/>
                <w:szCs w:val="22"/>
              </w:rPr>
              <w:t>Australian</w:t>
            </w:r>
          </w:p>
        </w:tc>
      </w:tr>
      <w:tr w:rsidR="007636B0" w:rsidRPr="00775D98" w:rsidTr="00B45DD6">
        <w:tc>
          <w:tcPr>
            <w:tcW w:w="1340" w:type="dxa"/>
          </w:tcPr>
          <w:p w:rsidR="007636B0" w:rsidRPr="00775D98" w:rsidRDefault="007636B0" w:rsidP="00B45DD6">
            <w:pPr>
              <w:spacing w:before="20"/>
              <w:rPr>
                <w:szCs w:val="22"/>
              </w:rPr>
            </w:pPr>
            <w:r w:rsidRPr="00775D98">
              <w:rPr>
                <w:szCs w:val="22"/>
              </w:rPr>
              <w:t>ADWG (NHMRC 2011)</w:t>
            </w:r>
          </w:p>
        </w:tc>
        <w:tc>
          <w:tcPr>
            <w:tcW w:w="1717" w:type="dxa"/>
          </w:tcPr>
          <w:p w:rsidR="007636B0" w:rsidRPr="00775D98" w:rsidRDefault="007636B0" w:rsidP="00B45DD6">
            <w:pPr>
              <w:spacing w:before="20"/>
              <w:rPr>
                <w:szCs w:val="22"/>
              </w:rPr>
            </w:pPr>
            <w:r w:rsidRPr="00775D98">
              <w:rPr>
                <w:szCs w:val="22"/>
              </w:rPr>
              <w:t>TDI = 0.011 mg/kg/day</w:t>
            </w:r>
          </w:p>
        </w:tc>
        <w:tc>
          <w:tcPr>
            <w:tcW w:w="5776" w:type="dxa"/>
          </w:tcPr>
          <w:p w:rsidR="007636B0" w:rsidRPr="00C64237" w:rsidRDefault="007636B0" w:rsidP="00B45DD6">
            <w:pPr>
              <w:spacing w:before="20"/>
              <w:rPr>
                <w:szCs w:val="22"/>
              </w:rPr>
            </w:pPr>
            <w:r w:rsidRPr="00C64237">
              <w:rPr>
                <w:szCs w:val="22"/>
              </w:rPr>
              <w:t>MCPA has been assessed with a health-based guideline of 0.04 mg/L based on a TDI of 0.011 mg/kg/day based on a NOEL of 1.1 mg/kg/day from a 2-year study in rats, and an uncertainty factor of 100</w:t>
            </w:r>
          </w:p>
        </w:tc>
      </w:tr>
      <w:tr w:rsidR="007636B0" w:rsidRPr="00775D98" w:rsidTr="00B45DD6">
        <w:tc>
          <w:tcPr>
            <w:tcW w:w="1340" w:type="dxa"/>
          </w:tcPr>
          <w:p w:rsidR="007636B0" w:rsidRPr="00775D98" w:rsidRDefault="007636B0" w:rsidP="00B45DD6">
            <w:pPr>
              <w:spacing w:before="20"/>
              <w:rPr>
                <w:szCs w:val="22"/>
              </w:rPr>
            </w:pPr>
            <w:r w:rsidRPr="00775D98">
              <w:rPr>
                <w:szCs w:val="22"/>
              </w:rPr>
              <w:t>OCS (2012)</w:t>
            </w:r>
          </w:p>
        </w:tc>
        <w:tc>
          <w:tcPr>
            <w:tcW w:w="1717" w:type="dxa"/>
          </w:tcPr>
          <w:p w:rsidR="007636B0" w:rsidRPr="00775D98" w:rsidRDefault="007636B0" w:rsidP="00B45DD6">
            <w:pPr>
              <w:spacing w:before="20"/>
              <w:rPr>
                <w:szCs w:val="22"/>
              </w:rPr>
            </w:pPr>
            <w:r w:rsidRPr="00775D98">
              <w:rPr>
                <w:szCs w:val="22"/>
              </w:rPr>
              <w:t>ADI = 0.01 mg/kg/day</w:t>
            </w:r>
          </w:p>
        </w:tc>
        <w:tc>
          <w:tcPr>
            <w:tcW w:w="5776" w:type="dxa"/>
          </w:tcPr>
          <w:p w:rsidR="007636B0" w:rsidRPr="00C64237" w:rsidRDefault="007636B0" w:rsidP="00B45DD6">
            <w:pPr>
              <w:spacing w:before="20"/>
              <w:rPr>
                <w:szCs w:val="22"/>
              </w:rPr>
            </w:pPr>
            <w:r w:rsidRPr="00C64237">
              <w:rPr>
                <w:szCs w:val="22"/>
              </w:rPr>
              <w:t>The ADI is noted to have been set in April 1994 and is based on a NOEL of 1.1 mg/kg/day (as considered in the ADWG (NHMRC 2011)).</w:t>
            </w:r>
          </w:p>
        </w:tc>
      </w:tr>
      <w:tr w:rsidR="007636B0" w:rsidRPr="00775D98" w:rsidTr="00B45DD6">
        <w:tc>
          <w:tcPr>
            <w:tcW w:w="8833" w:type="dxa"/>
            <w:gridSpan w:val="3"/>
          </w:tcPr>
          <w:p w:rsidR="007636B0" w:rsidRPr="00C64237" w:rsidRDefault="007636B0" w:rsidP="00B45DD6">
            <w:pPr>
              <w:spacing w:before="20"/>
              <w:jc w:val="center"/>
              <w:rPr>
                <w:b/>
                <w:szCs w:val="22"/>
              </w:rPr>
            </w:pPr>
            <w:r w:rsidRPr="00C64237">
              <w:rPr>
                <w:b/>
                <w:szCs w:val="22"/>
              </w:rPr>
              <w:t>International</w:t>
            </w:r>
          </w:p>
        </w:tc>
      </w:tr>
      <w:tr w:rsidR="007636B0" w:rsidRPr="00775D98" w:rsidTr="00B45DD6">
        <w:tc>
          <w:tcPr>
            <w:tcW w:w="1340" w:type="dxa"/>
          </w:tcPr>
          <w:p w:rsidR="007636B0" w:rsidRPr="00775D98" w:rsidRDefault="007636B0" w:rsidP="00B45DD6">
            <w:pPr>
              <w:spacing w:before="20"/>
              <w:rPr>
                <w:szCs w:val="22"/>
              </w:rPr>
            </w:pPr>
            <w:r w:rsidRPr="00775D98">
              <w:rPr>
                <w:szCs w:val="22"/>
              </w:rPr>
              <w:t>WHO (2011)</w:t>
            </w:r>
          </w:p>
        </w:tc>
        <w:tc>
          <w:tcPr>
            <w:tcW w:w="1717" w:type="dxa"/>
          </w:tcPr>
          <w:p w:rsidR="007636B0" w:rsidRPr="00775D98" w:rsidRDefault="007636B0" w:rsidP="00B45DD6">
            <w:pPr>
              <w:spacing w:before="20"/>
              <w:rPr>
                <w:szCs w:val="22"/>
              </w:rPr>
            </w:pPr>
            <w:r w:rsidRPr="00775D98">
              <w:rPr>
                <w:szCs w:val="22"/>
              </w:rPr>
              <w:t>TDI = 0.0005 mg/kg/day</w:t>
            </w:r>
          </w:p>
        </w:tc>
        <w:tc>
          <w:tcPr>
            <w:tcW w:w="5776" w:type="dxa"/>
          </w:tcPr>
          <w:p w:rsidR="007636B0" w:rsidRPr="00C64237" w:rsidRDefault="007636B0" w:rsidP="00B45DD6">
            <w:pPr>
              <w:spacing w:before="20" w:line="220" w:lineRule="exact"/>
              <w:rPr>
                <w:szCs w:val="22"/>
              </w:rPr>
            </w:pPr>
            <w:r w:rsidRPr="00C64237">
              <w:rPr>
                <w:szCs w:val="22"/>
              </w:rPr>
              <w:t>The TDI was derived on the basis of a NOAEL of 0.15 mg/kg/day associated with renal and liver toxicity observed in a 1-year feeding study in dogs, and an uncertainty factor of 300. It is noted that the current guideline has remained unchanged since first derived in 1993. MCPA is included in the rolling revisions to the WHO DWG (2011) with no significant revisions issued to date.</w:t>
            </w:r>
          </w:p>
        </w:tc>
      </w:tr>
      <w:tr w:rsidR="007636B0" w:rsidRPr="00775D98" w:rsidTr="00B45DD6">
        <w:tc>
          <w:tcPr>
            <w:tcW w:w="1340" w:type="dxa"/>
          </w:tcPr>
          <w:p w:rsidR="007636B0" w:rsidRPr="00775D98" w:rsidRDefault="007636B0" w:rsidP="00B45DD6">
            <w:pPr>
              <w:spacing w:before="20"/>
              <w:rPr>
                <w:szCs w:val="22"/>
              </w:rPr>
            </w:pPr>
            <w:r w:rsidRPr="00775D98">
              <w:rPr>
                <w:szCs w:val="22"/>
              </w:rPr>
              <w:t>ATSDR</w:t>
            </w:r>
          </w:p>
        </w:tc>
        <w:tc>
          <w:tcPr>
            <w:tcW w:w="1717" w:type="dxa"/>
          </w:tcPr>
          <w:p w:rsidR="007636B0" w:rsidRPr="00775D98" w:rsidRDefault="007636B0" w:rsidP="00B45DD6">
            <w:pPr>
              <w:spacing w:before="20"/>
              <w:rPr>
                <w:sz w:val="20"/>
              </w:rPr>
            </w:pPr>
            <w:r w:rsidRPr="00775D98">
              <w:rPr>
                <w:sz w:val="20"/>
              </w:rPr>
              <w:t>No evaluation available</w:t>
            </w:r>
          </w:p>
        </w:tc>
        <w:tc>
          <w:tcPr>
            <w:tcW w:w="5776" w:type="dxa"/>
          </w:tcPr>
          <w:p w:rsidR="007636B0" w:rsidRPr="00775D98" w:rsidRDefault="007636B0" w:rsidP="00B45DD6">
            <w:pPr>
              <w:spacing w:before="20"/>
              <w:rPr>
                <w:szCs w:val="22"/>
              </w:rPr>
            </w:pPr>
          </w:p>
        </w:tc>
      </w:tr>
      <w:tr w:rsidR="007636B0" w:rsidRPr="00775D98" w:rsidTr="00B45DD6">
        <w:tc>
          <w:tcPr>
            <w:tcW w:w="1340" w:type="dxa"/>
          </w:tcPr>
          <w:p w:rsidR="007636B0" w:rsidRPr="00775D98" w:rsidRDefault="007636B0" w:rsidP="00B45DD6">
            <w:pPr>
              <w:spacing w:before="20"/>
              <w:rPr>
                <w:szCs w:val="22"/>
              </w:rPr>
            </w:pPr>
            <w:r w:rsidRPr="00775D98">
              <w:rPr>
                <w:szCs w:val="22"/>
              </w:rPr>
              <w:t>US EPA (IRIS 2012)</w:t>
            </w:r>
          </w:p>
        </w:tc>
        <w:tc>
          <w:tcPr>
            <w:tcW w:w="1717" w:type="dxa"/>
          </w:tcPr>
          <w:p w:rsidR="007636B0" w:rsidRPr="00775D98" w:rsidRDefault="007636B0" w:rsidP="00B45DD6">
            <w:pPr>
              <w:spacing w:before="20"/>
              <w:rPr>
                <w:szCs w:val="22"/>
              </w:rPr>
            </w:pPr>
            <w:r w:rsidRPr="00775D98">
              <w:rPr>
                <w:szCs w:val="22"/>
              </w:rPr>
              <w:t>RfD = 0.0005 mg/kg/day</w:t>
            </w:r>
          </w:p>
          <w:p w:rsidR="007636B0" w:rsidRPr="00775D98" w:rsidRDefault="007636B0" w:rsidP="00B45DD6">
            <w:pPr>
              <w:spacing w:before="20"/>
              <w:rPr>
                <w:szCs w:val="22"/>
              </w:rPr>
            </w:pPr>
          </w:p>
        </w:tc>
        <w:tc>
          <w:tcPr>
            <w:tcW w:w="5776" w:type="dxa"/>
          </w:tcPr>
          <w:p w:rsidR="007636B0" w:rsidRPr="00775D98" w:rsidRDefault="007636B0" w:rsidP="00B45DD6">
            <w:pPr>
              <w:spacing w:before="20"/>
              <w:rPr>
                <w:szCs w:val="22"/>
              </w:rPr>
            </w:pPr>
            <w:r w:rsidRPr="00775D98">
              <w:rPr>
                <w:szCs w:val="22"/>
              </w:rPr>
              <w:t>The RfD (last reviewed in 1987) is derived based on the same study and evaluation provided in the WHO DWG (2011).</w:t>
            </w:r>
          </w:p>
        </w:tc>
      </w:tr>
    </w:tbl>
    <w:p w:rsidR="007636B0" w:rsidRPr="00D33179" w:rsidRDefault="007636B0" w:rsidP="007636B0">
      <w:pPr>
        <w:pStyle w:val="Heading4"/>
      </w:pPr>
      <w:bookmarkStart w:id="44" w:name="_Toc351714284"/>
      <w:r>
        <w:lastRenderedPageBreak/>
        <w:t>MCPB</w:t>
      </w:r>
      <w:bookmarkEnd w:id="44"/>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3"/>
        <w:gridCol w:w="2242"/>
        <w:gridCol w:w="5532"/>
      </w:tblGrid>
      <w:tr w:rsidR="007636B0" w:rsidRPr="00775D98" w:rsidTr="00B45DD6">
        <w:trPr>
          <w:tblHeader/>
        </w:trPr>
        <w:tc>
          <w:tcPr>
            <w:tcW w:w="1384" w:type="dxa"/>
            <w:shd w:val="clear" w:color="auto" w:fill="C6D9F1" w:themeFill="text2" w:themeFillTint="33"/>
          </w:tcPr>
          <w:p w:rsidR="007636B0" w:rsidRPr="00775D98" w:rsidRDefault="007636B0" w:rsidP="00B45DD6">
            <w:pPr>
              <w:spacing w:before="20"/>
              <w:jc w:val="center"/>
              <w:rPr>
                <w:b/>
                <w:szCs w:val="22"/>
              </w:rPr>
            </w:pPr>
            <w:r w:rsidRPr="00775D98">
              <w:rPr>
                <w:b/>
                <w:szCs w:val="22"/>
              </w:rPr>
              <w:t>Source</w:t>
            </w:r>
          </w:p>
        </w:tc>
        <w:tc>
          <w:tcPr>
            <w:tcW w:w="2410" w:type="dxa"/>
            <w:shd w:val="clear" w:color="auto" w:fill="C6D9F1" w:themeFill="text2" w:themeFillTint="33"/>
          </w:tcPr>
          <w:p w:rsidR="007636B0" w:rsidRPr="00775D98" w:rsidRDefault="007636B0" w:rsidP="00B45DD6">
            <w:pPr>
              <w:spacing w:before="20"/>
              <w:jc w:val="center"/>
              <w:rPr>
                <w:b/>
                <w:szCs w:val="22"/>
              </w:rPr>
            </w:pPr>
            <w:r w:rsidRPr="00775D98">
              <w:rPr>
                <w:b/>
                <w:szCs w:val="22"/>
              </w:rPr>
              <w:t>Value</w:t>
            </w:r>
          </w:p>
        </w:tc>
        <w:tc>
          <w:tcPr>
            <w:tcW w:w="6169" w:type="dxa"/>
            <w:shd w:val="clear" w:color="auto" w:fill="C6D9F1" w:themeFill="text2" w:themeFillTint="33"/>
          </w:tcPr>
          <w:p w:rsidR="007636B0" w:rsidRPr="00775D98" w:rsidRDefault="007636B0" w:rsidP="00B45DD6">
            <w:pPr>
              <w:spacing w:before="20"/>
              <w:jc w:val="center"/>
              <w:rPr>
                <w:b/>
                <w:szCs w:val="22"/>
              </w:rPr>
            </w:pPr>
            <w:r w:rsidRPr="00775D98">
              <w:rPr>
                <w:b/>
                <w:szCs w:val="22"/>
              </w:rPr>
              <w:t>Basis/Comments</w:t>
            </w:r>
          </w:p>
        </w:tc>
      </w:tr>
      <w:tr w:rsidR="007636B0" w:rsidRPr="00775D98" w:rsidTr="00B45DD6">
        <w:tc>
          <w:tcPr>
            <w:tcW w:w="9963" w:type="dxa"/>
            <w:gridSpan w:val="3"/>
          </w:tcPr>
          <w:p w:rsidR="007636B0" w:rsidRPr="00775D98" w:rsidRDefault="007636B0" w:rsidP="00B45DD6">
            <w:pPr>
              <w:spacing w:before="20"/>
              <w:jc w:val="center"/>
              <w:rPr>
                <w:b/>
                <w:szCs w:val="22"/>
              </w:rPr>
            </w:pPr>
            <w:r w:rsidRPr="00775D98">
              <w:rPr>
                <w:b/>
                <w:szCs w:val="22"/>
              </w:rPr>
              <w:t>Australian</w:t>
            </w:r>
          </w:p>
        </w:tc>
      </w:tr>
      <w:tr w:rsidR="007636B0" w:rsidRPr="00775D98" w:rsidTr="00B45DD6">
        <w:tc>
          <w:tcPr>
            <w:tcW w:w="1384" w:type="dxa"/>
          </w:tcPr>
          <w:p w:rsidR="007636B0" w:rsidRPr="00775D98" w:rsidRDefault="007636B0" w:rsidP="00B45DD6">
            <w:pPr>
              <w:spacing w:before="20"/>
              <w:rPr>
                <w:szCs w:val="22"/>
              </w:rPr>
            </w:pPr>
            <w:r w:rsidRPr="00775D98">
              <w:rPr>
                <w:szCs w:val="22"/>
              </w:rPr>
              <w:t>ADWG (NHMRC 2011)</w:t>
            </w:r>
          </w:p>
        </w:tc>
        <w:tc>
          <w:tcPr>
            <w:tcW w:w="2410" w:type="dxa"/>
          </w:tcPr>
          <w:p w:rsidR="007636B0" w:rsidRPr="00775D98" w:rsidRDefault="007636B0" w:rsidP="00B45DD6">
            <w:pPr>
              <w:spacing w:before="20"/>
              <w:rPr>
                <w:szCs w:val="22"/>
              </w:rPr>
            </w:pPr>
            <w:r w:rsidRPr="00775D98">
              <w:rPr>
                <w:szCs w:val="22"/>
              </w:rPr>
              <w:t>No evaluation available</w:t>
            </w:r>
          </w:p>
        </w:tc>
        <w:tc>
          <w:tcPr>
            <w:tcW w:w="6169" w:type="dxa"/>
          </w:tcPr>
          <w:p w:rsidR="007636B0" w:rsidRPr="00775D98" w:rsidRDefault="007636B0" w:rsidP="00B45DD6">
            <w:pPr>
              <w:spacing w:before="20"/>
              <w:rPr>
                <w:szCs w:val="22"/>
              </w:rPr>
            </w:pPr>
          </w:p>
        </w:tc>
      </w:tr>
      <w:tr w:rsidR="007636B0" w:rsidRPr="00775D98" w:rsidTr="00B45DD6">
        <w:tc>
          <w:tcPr>
            <w:tcW w:w="1384" w:type="dxa"/>
          </w:tcPr>
          <w:p w:rsidR="007636B0" w:rsidRPr="00775D98" w:rsidRDefault="007636B0" w:rsidP="00B45DD6">
            <w:pPr>
              <w:spacing w:before="20"/>
              <w:rPr>
                <w:szCs w:val="22"/>
              </w:rPr>
            </w:pPr>
            <w:r w:rsidRPr="00775D98">
              <w:rPr>
                <w:szCs w:val="22"/>
              </w:rPr>
              <w:t>OCS (2012)</w:t>
            </w:r>
          </w:p>
        </w:tc>
        <w:tc>
          <w:tcPr>
            <w:tcW w:w="2410" w:type="dxa"/>
          </w:tcPr>
          <w:p w:rsidR="007636B0" w:rsidRPr="00775D98" w:rsidRDefault="007636B0" w:rsidP="00B45DD6">
            <w:pPr>
              <w:spacing w:before="20"/>
              <w:rPr>
                <w:szCs w:val="22"/>
              </w:rPr>
            </w:pPr>
            <w:r w:rsidRPr="00775D98">
              <w:rPr>
                <w:szCs w:val="22"/>
              </w:rPr>
              <w:t>ADI = 0.01 mg/kg/day</w:t>
            </w:r>
          </w:p>
        </w:tc>
        <w:tc>
          <w:tcPr>
            <w:tcW w:w="6169" w:type="dxa"/>
          </w:tcPr>
          <w:p w:rsidR="007636B0" w:rsidRPr="00775D98" w:rsidRDefault="007636B0" w:rsidP="00B45DD6">
            <w:pPr>
              <w:spacing w:before="20"/>
              <w:rPr>
                <w:szCs w:val="22"/>
              </w:rPr>
            </w:pPr>
            <w:r w:rsidRPr="00775D98">
              <w:rPr>
                <w:szCs w:val="22"/>
              </w:rPr>
              <w:t>The ADI is noted to have been set in May 1994 and is based on a NOEL of 1.1 mg/kg/day.</w:t>
            </w:r>
          </w:p>
        </w:tc>
      </w:tr>
      <w:tr w:rsidR="007636B0" w:rsidRPr="00775D98" w:rsidTr="00B45DD6">
        <w:tc>
          <w:tcPr>
            <w:tcW w:w="9963" w:type="dxa"/>
            <w:gridSpan w:val="3"/>
          </w:tcPr>
          <w:p w:rsidR="007636B0" w:rsidRPr="00775D98" w:rsidRDefault="007636B0" w:rsidP="00B45DD6">
            <w:pPr>
              <w:spacing w:before="20"/>
              <w:jc w:val="center"/>
              <w:rPr>
                <w:b/>
                <w:szCs w:val="22"/>
              </w:rPr>
            </w:pPr>
            <w:r w:rsidRPr="00775D98">
              <w:rPr>
                <w:b/>
                <w:szCs w:val="22"/>
              </w:rPr>
              <w:t>International</w:t>
            </w:r>
          </w:p>
        </w:tc>
      </w:tr>
      <w:tr w:rsidR="007636B0" w:rsidRPr="00775D98" w:rsidTr="00B45DD6">
        <w:tc>
          <w:tcPr>
            <w:tcW w:w="1384" w:type="dxa"/>
          </w:tcPr>
          <w:p w:rsidR="007636B0" w:rsidRPr="00775D98" w:rsidRDefault="007636B0" w:rsidP="00B45DD6">
            <w:pPr>
              <w:spacing w:before="20"/>
              <w:rPr>
                <w:szCs w:val="22"/>
              </w:rPr>
            </w:pPr>
            <w:r w:rsidRPr="00775D98">
              <w:rPr>
                <w:szCs w:val="22"/>
              </w:rPr>
              <w:t>WHO (2011)</w:t>
            </w:r>
          </w:p>
        </w:tc>
        <w:tc>
          <w:tcPr>
            <w:tcW w:w="2410" w:type="dxa"/>
          </w:tcPr>
          <w:p w:rsidR="007636B0" w:rsidRPr="00775D98" w:rsidRDefault="007636B0" w:rsidP="00B45DD6">
            <w:pPr>
              <w:spacing w:before="20"/>
              <w:rPr>
                <w:szCs w:val="22"/>
              </w:rPr>
            </w:pPr>
            <w:r w:rsidRPr="00775D98">
              <w:rPr>
                <w:szCs w:val="22"/>
              </w:rPr>
              <w:t>No quantitative value available</w:t>
            </w:r>
          </w:p>
        </w:tc>
        <w:tc>
          <w:tcPr>
            <w:tcW w:w="6169" w:type="dxa"/>
          </w:tcPr>
          <w:p w:rsidR="007636B0" w:rsidRPr="00775D98" w:rsidRDefault="007636B0" w:rsidP="00B45DD6">
            <w:pPr>
              <w:spacing w:before="20"/>
              <w:rPr>
                <w:szCs w:val="22"/>
              </w:rPr>
            </w:pPr>
            <w:r w:rsidRPr="00775D98">
              <w:rPr>
                <w:szCs w:val="22"/>
              </w:rPr>
              <w:t>Insufficient data was available to establish a guideline value for MCPB in drinking water.</w:t>
            </w:r>
          </w:p>
        </w:tc>
      </w:tr>
      <w:tr w:rsidR="007636B0" w:rsidRPr="00775D98" w:rsidTr="00B45DD6">
        <w:tc>
          <w:tcPr>
            <w:tcW w:w="1384" w:type="dxa"/>
          </w:tcPr>
          <w:p w:rsidR="007636B0" w:rsidRPr="00775D98" w:rsidRDefault="007636B0" w:rsidP="00B45DD6">
            <w:pPr>
              <w:spacing w:before="20"/>
              <w:rPr>
                <w:szCs w:val="22"/>
              </w:rPr>
            </w:pPr>
            <w:r w:rsidRPr="00775D98">
              <w:rPr>
                <w:szCs w:val="22"/>
              </w:rPr>
              <w:t>ATSDR</w:t>
            </w:r>
          </w:p>
        </w:tc>
        <w:tc>
          <w:tcPr>
            <w:tcW w:w="2410" w:type="dxa"/>
          </w:tcPr>
          <w:p w:rsidR="007636B0" w:rsidRPr="00775D98" w:rsidRDefault="007636B0" w:rsidP="00B45DD6">
            <w:pPr>
              <w:spacing w:before="20"/>
              <w:rPr>
                <w:szCs w:val="22"/>
              </w:rPr>
            </w:pPr>
            <w:r w:rsidRPr="00775D98">
              <w:rPr>
                <w:szCs w:val="22"/>
              </w:rPr>
              <w:t>No evaluation available</w:t>
            </w:r>
          </w:p>
        </w:tc>
        <w:tc>
          <w:tcPr>
            <w:tcW w:w="6169" w:type="dxa"/>
          </w:tcPr>
          <w:p w:rsidR="007636B0" w:rsidRPr="00775D98" w:rsidRDefault="007636B0" w:rsidP="00B45DD6">
            <w:pPr>
              <w:spacing w:before="20"/>
              <w:rPr>
                <w:szCs w:val="22"/>
              </w:rPr>
            </w:pPr>
          </w:p>
        </w:tc>
      </w:tr>
      <w:tr w:rsidR="007636B0" w:rsidRPr="00775D98" w:rsidTr="00B45DD6">
        <w:tc>
          <w:tcPr>
            <w:tcW w:w="1384" w:type="dxa"/>
          </w:tcPr>
          <w:p w:rsidR="007636B0" w:rsidRPr="00775D98" w:rsidRDefault="007636B0" w:rsidP="00B45DD6">
            <w:pPr>
              <w:spacing w:before="20"/>
              <w:rPr>
                <w:szCs w:val="22"/>
              </w:rPr>
            </w:pPr>
            <w:r w:rsidRPr="00775D98">
              <w:rPr>
                <w:szCs w:val="22"/>
              </w:rPr>
              <w:t>US EPA (IRIS 2012)</w:t>
            </w:r>
          </w:p>
        </w:tc>
        <w:tc>
          <w:tcPr>
            <w:tcW w:w="2410" w:type="dxa"/>
          </w:tcPr>
          <w:p w:rsidR="007636B0" w:rsidRPr="00775D98" w:rsidRDefault="007636B0" w:rsidP="00B45DD6">
            <w:pPr>
              <w:spacing w:before="20"/>
              <w:rPr>
                <w:szCs w:val="22"/>
              </w:rPr>
            </w:pPr>
            <w:r w:rsidRPr="00775D98">
              <w:rPr>
                <w:szCs w:val="22"/>
              </w:rPr>
              <w:t>RfD = 0.01 mg/kg/day</w:t>
            </w:r>
          </w:p>
          <w:p w:rsidR="007636B0" w:rsidRPr="00775D98" w:rsidRDefault="007636B0" w:rsidP="00B45DD6">
            <w:pPr>
              <w:spacing w:before="20"/>
              <w:rPr>
                <w:szCs w:val="22"/>
              </w:rPr>
            </w:pPr>
          </w:p>
        </w:tc>
        <w:tc>
          <w:tcPr>
            <w:tcW w:w="6169" w:type="dxa"/>
          </w:tcPr>
          <w:p w:rsidR="007636B0" w:rsidRPr="00775D98" w:rsidRDefault="007636B0" w:rsidP="00B45DD6">
            <w:pPr>
              <w:spacing w:before="20"/>
              <w:rPr>
                <w:szCs w:val="22"/>
              </w:rPr>
            </w:pPr>
            <w:r w:rsidRPr="00775D98">
              <w:rPr>
                <w:szCs w:val="22"/>
              </w:rPr>
              <w:t xml:space="preserve">The RfD (last reviewed in 1991) is derived based on a NOEL of 12 mg/kg/day associated with reproductive effects in a 13-week feeding study with dogs, and an uncertainty factor of 1000. </w:t>
            </w:r>
          </w:p>
        </w:tc>
      </w:tr>
    </w:tbl>
    <w:p w:rsidR="007636B0" w:rsidRPr="00D33179" w:rsidRDefault="007636B0" w:rsidP="007636B0">
      <w:pPr>
        <w:pStyle w:val="Heading4"/>
      </w:pPr>
      <w:bookmarkStart w:id="45" w:name="_Toc351714285"/>
      <w:r>
        <w:t>Mecoprop (MCPP)</w:t>
      </w:r>
      <w:bookmarkEnd w:id="45"/>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3"/>
        <w:gridCol w:w="2231"/>
        <w:gridCol w:w="5543"/>
      </w:tblGrid>
      <w:tr w:rsidR="007636B0" w:rsidRPr="00775D98" w:rsidTr="00B45DD6">
        <w:trPr>
          <w:tblHeader/>
        </w:trPr>
        <w:tc>
          <w:tcPr>
            <w:tcW w:w="1384" w:type="dxa"/>
            <w:shd w:val="clear" w:color="auto" w:fill="C6D9F1" w:themeFill="text2" w:themeFillTint="33"/>
          </w:tcPr>
          <w:p w:rsidR="007636B0" w:rsidRPr="00775D98" w:rsidRDefault="007636B0" w:rsidP="00B45DD6">
            <w:pPr>
              <w:spacing w:before="20"/>
              <w:jc w:val="center"/>
              <w:rPr>
                <w:b/>
                <w:szCs w:val="22"/>
              </w:rPr>
            </w:pPr>
            <w:r w:rsidRPr="00775D98">
              <w:rPr>
                <w:b/>
                <w:szCs w:val="22"/>
              </w:rPr>
              <w:t>Source</w:t>
            </w:r>
          </w:p>
        </w:tc>
        <w:tc>
          <w:tcPr>
            <w:tcW w:w="2410" w:type="dxa"/>
            <w:shd w:val="clear" w:color="auto" w:fill="C6D9F1" w:themeFill="text2" w:themeFillTint="33"/>
          </w:tcPr>
          <w:p w:rsidR="007636B0" w:rsidRPr="00775D98" w:rsidRDefault="007636B0" w:rsidP="00B45DD6">
            <w:pPr>
              <w:spacing w:before="20"/>
              <w:jc w:val="center"/>
              <w:rPr>
                <w:b/>
                <w:szCs w:val="22"/>
              </w:rPr>
            </w:pPr>
            <w:r w:rsidRPr="00775D98">
              <w:rPr>
                <w:b/>
                <w:szCs w:val="22"/>
              </w:rPr>
              <w:t>Value</w:t>
            </w:r>
          </w:p>
        </w:tc>
        <w:tc>
          <w:tcPr>
            <w:tcW w:w="6169" w:type="dxa"/>
            <w:shd w:val="clear" w:color="auto" w:fill="C6D9F1" w:themeFill="text2" w:themeFillTint="33"/>
          </w:tcPr>
          <w:p w:rsidR="007636B0" w:rsidRPr="00775D98" w:rsidRDefault="007636B0" w:rsidP="00B45DD6">
            <w:pPr>
              <w:spacing w:before="20"/>
              <w:jc w:val="center"/>
              <w:rPr>
                <w:b/>
                <w:szCs w:val="22"/>
              </w:rPr>
            </w:pPr>
            <w:r w:rsidRPr="00775D98">
              <w:rPr>
                <w:b/>
                <w:szCs w:val="22"/>
              </w:rPr>
              <w:t>Basis/Comments</w:t>
            </w:r>
          </w:p>
        </w:tc>
      </w:tr>
      <w:tr w:rsidR="007636B0" w:rsidRPr="00775D98" w:rsidTr="00B45DD6">
        <w:tc>
          <w:tcPr>
            <w:tcW w:w="9963" w:type="dxa"/>
            <w:gridSpan w:val="3"/>
          </w:tcPr>
          <w:p w:rsidR="007636B0" w:rsidRPr="00775D98" w:rsidRDefault="007636B0" w:rsidP="00B45DD6">
            <w:pPr>
              <w:spacing w:before="20"/>
              <w:jc w:val="center"/>
              <w:rPr>
                <w:b/>
                <w:szCs w:val="22"/>
              </w:rPr>
            </w:pPr>
            <w:r w:rsidRPr="00775D98">
              <w:rPr>
                <w:b/>
                <w:szCs w:val="22"/>
              </w:rPr>
              <w:t>Australian</w:t>
            </w:r>
          </w:p>
        </w:tc>
      </w:tr>
      <w:tr w:rsidR="007636B0" w:rsidRPr="00775D98" w:rsidTr="00B45DD6">
        <w:tc>
          <w:tcPr>
            <w:tcW w:w="1384" w:type="dxa"/>
          </w:tcPr>
          <w:p w:rsidR="007636B0" w:rsidRPr="00775D98" w:rsidRDefault="007636B0" w:rsidP="00B45DD6">
            <w:pPr>
              <w:spacing w:before="20"/>
              <w:rPr>
                <w:szCs w:val="22"/>
              </w:rPr>
            </w:pPr>
            <w:r w:rsidRPr="00775D98">
              <w:rPr>
                <w:szCs w:val="22"/>
              </w:rPr>
              <w:t>ADWG (NHMRC 2011)</w:t>
            </w:r>
          </w:p>
        </w:tc>
        <w:tc>
          <w:tcPr>
            <w:tcW w:w="2410" w:type="dxa"/>
          </w:tcPr>
          <w:p w:rsidR="007636B0" w:rsidRPr="00775D98" w:rsidRDefault="007636B0" w:rsidP="00B45DD6">
            <w:pPr>
              <w:spacing w:before="20"/>
              <w:rPr>
                <w:szCs w:val="22"/>
              </w:rPr>
            </w:pPr>
            <w:r w:rsidRPr="00775D98">
              <w:rPr>
                <w:szCs w:val="22"/>
              </w:rPr>
              <w:t>No evaluation available</w:t>
            </w:r>
          </w:p>
        </w:tc>
        <w:tc>
          <w:tcPr>
            <w:tcW w:w="6169" w:type="dxa"/>
          </w:tcPr>
          <w:p w:rsidR="007636B0" w:rsidRPr="00775D98" w:rsidRDefault="007636B0" w:rsidP="00B45DD6">
            <w:pPr>
              <w:spacing w:before="20"/>
              <w:rPr>
                <w:szCs w:val="22"/>
              </w:rPr>
            </w:pPr>
          </w:p>
        </w:tc>
      </w:tr>
      <w:tr w:rsidR="007636B0" w:rsidRPr="00775D98" w:rsidTr="00B45DD6">
        <w:tc>
          <w:tcPr>
            <w:tcW w:w="1384" w:type="dxa"/>
          </w:tcPr>
          <w:p w:rsidR="007636B0" w:rsidRPr="00775D98" w:rsidRDefault="007636B0" w:rsidP="00B45DD6">
            <w:pPr>
              <w:spacing w:before="20"/>
              <w:rPr>
                <w:szCs w:val="22"/>
              </w:rPr>
            </w:pPr>
            <w:r w:rsidRPr="00775D98">
              <w:rPr>
                <w:szCs w:val="22"/>
              </w:rPr>
              <w:t>OCS (2012)</w:t>
            </w:r>
          </w:p>
        </w:tc>
        <w:tc>
          <w:tcPr>
            <w:tcW w:w="2410" w:type="dxa"/>
          </w:tcPr>
          <w:p w:rsidR="007636B0" w:rsidRPr="00775D98" w:rsidRDefault="007636B0" w:rsidP="00B45DD6">
            <w:pPr>
              <w:spacing w:before="20"/>
              <w:rPr>
                <w:szCs w:val="22"/>
              </w:rPr>
            </w:pPr>
            <w:r w:rsidRPr="00775D98">
              <w:rPr>
                <w:szCs w:val="22"/>
              </w:rPr>
              <w:t>ADI = 0.01 mg/kg/day</w:t>
            </w:r>
          </w:p>
        </w:tc>
        <w:tc>
          <w:tcPr>
            <w:tcW w:w="6169" w:type="dxa"/>
          </w:tcPr>
          <w:p w:rsidR="007636B0" w:rsidRPr="00775D98" w:rsidRDefault="007636B0" w:rsidP="00B45DD6">
            <w:pPr>
              <w:spacing w:before="20"/>
              <w:rPr>
                <w:szCs w:val="22"/>
              </w:rPr>
            </w:pPr>
            <w:r w:rsidRPr="00775D98">
              <w:rPr>
                <w:szCs w:val="22"/>
              </w:rPr>
              <w:t>The ADI is noted to have been set in July 1998 and is based on a NOEL of 1 mg/kg/day, and an uncertainty factor of 100.</w:t>
            </w:r>
          </w:p>
        </w:tc>
      </w:tr>
      <w:tr w:rsidR="007636B0" w:rsidRPr="00775D98" w:rsidTr="00B45DD6">
        <w:tc>
          <w:tcPr>
            <w:tcW w:w="9963" w:type="dxa"/>
            <w:gridSpan w:val="3"/>
          </w:tcPr>
          <w:p w:rsidR="007636B0" w:rsidRPr="00775D98" w:rsidRDefault="007636B0" w:rsidP="00B45DD6">
            <w:pPr>
              <w:spacing w:before="20"/>
              <w:jc w:val="center"/>
              <w:rPr>
                <w:b/>
                <w:szCs w:val="22"/>
              </w:rPr>
            </w:pPr>
            <w:r w:rsidRPr="00775D98">
              <w:rPr>
                <w:b/>
                <w:szCs w:val="22"/>
              </w:rPr>
              <w:t>International</w:t>
            </w:r>
          </w:p>
        </w:tc>
      </w:tr>
      <w:tr w:rsidR="007636B0" w:rsidRPr="00775D98" w:rsidTr="00B45DD6">
        <w:tc>
          <w:tcPr>
            <w:tcW w:w="1384" w:type="dxa"/>
          </w:tcPr>
          <w:p w:rsidR="007636B0" w:rsidRPr="00775D98" w:rsidRDefault="007636B0" w:rsidP="00B45DD6">
            <w:pPr>
              <w:spacing w:before="20"/>
              <w:rPr>
                <w:szCs w:val="22"/>
              </w:rPr>
            </w:pPr>
            <w:r w:rsidRPr="00775D98">
              <w:rPr>
                <w:szCs w:val="22"/>
              </w:rPr>
              <w:t>WHO (2011)</w:t>
            </w:r>
          </w:p>
        </w:tc>
        <w:tc>
          <w:tcPr>
            <w:tcW w:w="2410" w:type="dxa"/>
          </w:tcPr>
          <w:p w:rsidR="007636B0" w:rsidRPr="00775D98" w:rsidRDefault="007636B0" w:rsidP="00B45DD6">
            <w:pPr>
              <w:spacing w:before="20"/>
              <w:rPr>
                <w:szCs w:val="22"/>
              </w:rPr>
            </w:pPr>
            <w:r w:rsidRPr="00775D98">
              <w:rPr>
                <w:szCs w:val="22"/>
              </w:rPr>
              <w:t>TDI = 0.0033 mg/kg/day</w:t>
            </w:r>
          </w:p>
        </w:tc>
        <w:tc>
          <w:tcPr>
            <w:tcW w:w="6169" w:type="dxa"/>
          </w:tcPr>
          <w:p w:rsidR="007636B0" w:rsidRPr="00775D98" w:rsidRDefault="007636B0" w:rsidP="00B45DD6">
            <w:pPr>
              <w:spacing w:before="20"/>
              <w:rPr>
                <w:szCs w:val="22"/>
              </w:rPr>
            </w:pPr>
            <w:r w:rsidRPr="00775D98">
              <w:rPr>
                <w:szCs w:val="22"/>
              </w:rPr>
              <w:t>The TDI was derived on the basis of a NOAEL of 1 mg/kg/day associated with kidney effects in 1- and 2-year studies in rats, and an uncertainty factor of 300. It is noted that the current guideline has remained unchanged since first published in 1996. Mecoprop is included in the rolling revisions to the WHO DWG (2011) with no significant revisions issued to date.</w:t>
            </w:r>
          </w:p>
        </w:tc>
      </w:tr>
      <w:tr w:rsidR="007636B0" w:rsidRPr="00775D98" w:rsidTr="00B45DD6">
        <w:tc>
          <w:tcPr>
            <w:tcW w:w="1384" w:type="dxa"/>
          </w:tcPr>
          <w:p w:rsidR="007636B0" w:rsidRPr="00775D98" w:rsidRDefault="007636B0" w:rsidP="00B45DD6">
            <w:pPr>
              <w:spacing w:before="20"/>
              <w:rPr>
                <w:szCs w:val="22"/>
              </w:rPr>
            </w:pPr>
            <w:r w:rsidRPr="00775D98">
              <w:rPr>
                <w:szCs w:val="22"/>
              </w:rPr>
              <w:t>ATSDR</w:t>
            </w:r>
          </w:p>
        </w:tc>
        <w:tc>
          <w:tcPr>
            <w:tcW w:w="2410" w:type="dxa"/>
          </w:tcPr>
          <w:p w:rsidR="007636B0" w:rsidRPr="00775D98" w:rsidRDefault="007636B0" w:rsidP="00B45DD6">
            <w:pPr>
              <w:spacing w:before="20"/>
              <w:rPr>
                <w:sz w:val="20"/>
              </w:rPr>
            </w:pPr>
            <w:r w:rsidRPr="00775D98">
              <w:rPr>
                <w:sz w:val="20"/>
              </w:rPr>
              <w:t>No evaluation available</w:t>
            </w:r>
          </w:p>
        </w:tc>
        <w:tc>
          <w:tcPr>
            <w:tcW w:w="6169" w:type="dxa"/>
          </w:tcPr>
          <w:p w:rsidR="007636B0" w:rsidRPr="00775D98" w:rsidRDefault="007636B0" w:rsidP="00B45DD6">
            <w:pPr>
              <w:spacing w:before="20"/>
              <w:rPr>
                <w:szCs w:val="22"/>
              </w:rPr>
            </w:pPr>
          </w:p>
        </w:tc>
      </w:tr>
      <w:tr w:rsidR="007636B0" w:rsidRPr="00775D98" w:rsidTr="00B45DD6">
        <w:tc>
          <w:tcPr>
            <w:tcW w:w="1384" w:type="dxa"/>
          </w:tcPr>
          <w:p w:rsidR="007636B0" w:rsidRPr="00775D98" w:rsidRDefault="007636B0" w:rsidP="00B45DD6">
            <w:pPr>
              <w:spacing w:before="20"/>
              <w:rPr>
                <w:szCs w:val="22"/>
              </w:rPr>
            </w:pPr>
            <w:r w:rsidRPr="00775D98">
              <w:rPr>
                <w:szCs w:val="22"/>
              </w:rPr>
              <w:t>US EPA (IRIS 2012)</w:t>
            </w:r>
          </w:p>
        </w:tc>
        <w:tc>
          <w:tcPr>
            <w:tcW w:w="2410" w:type="dxa"/>
          </w:tcPr>
          <w:p w:rsidR="007636B0" w:rsidRPr="00775D98" w:rsidRDefault="007636B0" w:rsidP="00B45DD6">
            <w:pPr>
              <w:spacing w:before="20"/>
              <w:rPr>
                <w:szCs w:val="22"/>
              </w:rPr>
            </w:pPr>
            <w:r w:rsidRPr="00775D98">
              <w:rPr>
                <w:szCs w:val="22"/>
              </w:rPr>
              <w:t>RfD = 0.001 mg/kg/day</w:t>
            </w:r>
          </w:p>
          <w:p w:rsidR="007636B0" w:rsidRPr="00775D98" w:rsidRDefault="007636B0" w:rsidP="00B45DD6">
            <w:pPr>
              <w:spacing w:before="20"/>
              <w:rPr>
                <w:szCs w:val="22"/>
              </w:rPr>
            </w:pPr>
          </w:p>
        </w:tc>
        <w:tc>
          <w:tcPr>
            <w:tcW w:w="6169" w:type="dxa"/>
          </w:tcPr>
          <w:p w:rsidR="007636B0" w:rsidRPr="00775D98" w:rsidRDefault="007636B0" w:rsidP="00B45DD6">
            <w:pPr>
              <w:spacing w:before="20"/>
              <w:rPr>
                <w:szCs w:val="22"/>
              </w:rPr>
            </w:pPr>
            <w:r w:rsidRPr="00775D98">
              <w:rPr>
                <w:szCs w:val="22"/>
              </w:rPr>
              <w:t xml:space="preserve">The RfD (last reviewed in 1990) is derived based on a NOEL of 3 mg/kg/day associated with kidney effects in a 90-day rat feeding study, and an uncertainty factor of 3000. </w:t>
            </w:r>
          </w:p>
        </w:tc>
      </w:tr>
    </w:tbl>
    <w:p w:rsidR="007636B0" w:rsidRDefault="007636B0" w:rsidP="007636B0"/>
    <w:p w:rsidR="007636B0" w:rsidRDefault="007636B0" w:rsidP="007636B0">
      <w:r>
        <w:t xml:space="preserve">The available evaluations in relation to MCPA, MCPB and mecoprop are all dated (none more recent than 1996) and are based on limited databases of studies. In relation to MCPB, the evaluations available from OCS (2012) and US EPA are consistent. In relation to MCPA and mecoprop, the critical studies identified for the determination of the point of departure differ between the OCS and WHO/US EPA evaluations. The subsequent application of uncertainty factors (with WHO/US EPA more conservative) also differs. Insufficient data is available to support any one evaluation, hence preference has been given to the Australian values adopted by OCS (2012), which have also been adopted in the derivation of the Australian Drinking Water Guidelines (NHMRC 2011). On this basis, the current Australian ADIs (as presented by OCS (2012)) have been adopted for the derivation of soil HILs. </w:t>
      </w:r>
    </w:p>
    <w:p w:rsidR="0021528E" w:rsidRDefault="0021528E" w:rsidP="007636B0"/>
    <w:p w:rsidR="007636B0" w:rsidRDefault="007636B0" w:rsidP="007636B0">
      <w:r>
        <w:lastRenderedPageBreak/>
        <w:t>No dermal or inhalation-specific studies or data are available. For the presence of MCPA, MCPB and mecoprop in soil (not during use) it is considered appropriate to consider use of the available ADI for all pathways of exposures.</w:t>
      </w:r>
    </w:p>
    <w:p w:rsidR="007636B0" w:rsidRPr="00921D7B" w:rsidRDefault="007636B0" w:rsidP="007636B0">
      <w:pPr>
        <w:pStyle w:val="Heading3"/>
      </w:pPr>
      <w:bookmarkStart w:id="46" w:name="_Toc351714286"/>
      <w:r w:rsidRPr="00921D7B">
        <w:t>Recommendation</w:t>
      </w:r>
      <w:bookmarkEnd w:id="46"/>
    </w:p>
    <w:p w:rsidR="007636B0" w:rsidRPr="00191EC8" w:rsidRDefault="007636B0" w:rsidP="007636B0">
      <w:r>
        <w:t>On the basis of the discussion above, the following toxicity reference values (TRVs) have been adopted for MCPA, MCPB and mecoprop in the derivation of HILs:</w:t>
      </w:r>
    </w:p>
    <w:p w:rsidR="009C6751" w:rsidRDefault="007636B0" w:rsidP="009C6751">
      <w:r>
        <w:rPr>
          <w:noProof/>
          <w:lang w:eastAsia="en-AU"/>
        </w:rPr>
        <mc:AlternateContent>
          <mc:Choice Requires="wps">
            <w:drawing>
              <wp:inline distT="0" distB="0" distL="0" distR="0" wp14:anchorId="3763C463" wp14:editId="0971E6F4">
                <wp:extent cx="5614035" cy="2285365"/>
                <wp:effectExtent l="13335" t="8255" r="11430"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035" cy="2285365"/>
                        </a:xfrm>
                        <a:prstGeom prst="rect">
                          <a:avLst/>
                        </a:prstGeom>
                        <a:solidFill>
                          <a:srgbClr val="D8D8D8"/>
                        </a:solidFill>
                        <a:ln w="9525">
                          <a:solidFill>
                            <a:srgbClr val="000000"/>
                          </a:solidFill>
                          <a:miter lim="800000"/>
                          <a:headEnd/>
                          <a:tailEnd/>
                        </a:ln>
                      </wps:spPr>
                      <wps:txbx>
                        <w:txbxContent>
                          <w:p w:rsidR="00A0097F" w:rsidRPr="00742163" w:rsidRDefault="00A0097F" w:rsidP="007636B0">
                            <w:pPr>
                              <w:spacing w:after="40"/>
                              <w:rPr>
                                <w:b/>
                                <w:u w:val="single"/>
                              </w:rPr>
                            </w:pPr>
                            <w:r w:rsidRPr="00742163">
                              <w:rPr>
                                <w:b/>
                                <w:u w:val="single"/>
                              </w:rPr>
                              <w:t xml:space="preserve">Recommendation for </w:t>
                            </w:r>
                            <w:r>
                              <w:rPr>
                                <w:b/>
                                <w:u w:val="single"/>
                              </w:rPr>
                              <w:t>MCPA, MCPB and Mecoprop</w:t>
                            </w:r>
                          </w:p>
                          <w:p w:rsidR="00A0097F" w:rsidRDefault="00A0097F" w:rsidP="007636B0">
                            <w:pPr>
                              <w:spacing w:after="40"/>
                            </w:pPr>
                            <w:r>
                              <w:t>Oral TRV (TRV</w:t>
                            </w:r>
                            <w:r w:rsidRPr="00A54613">
                              <w:rPr>
                                <w:vertAlign w:val="subscript"/>
                              </w:rPr>
                              <w:t>O</w:t>
                            </w:r>
                            <w:r>
                              <w:t>) = 0.01 mg/kg/day (OCS 2012) for each compound, for all pathways of exposure</w:t>
                            </w:r>
                          </w:p>
                          <w:p w:rsidR="00A0097F" w:rsidRDefault="00A0097F" w:rsidP="007636B0">
                            <w:pPr>
                              <w:spacing w:after="40"/>
                            </w:pPr>
                            <w:r>
                              <w:t>Dermal absorption factor (DAF) = 0.1 (or 10%) (US EPA 1995)</w:t>
                            </w:r>
                          </w:p>
                          <w:p w:rsidR="00A0097F" w:rsidRDefault="00A0097F" w:rsidP="007636B0">
                            <w:pPr>
                              <w:spacing w:after="40"/>
                            </w:pPr>
                            <w:r>
                              <w:t>Background intakes from other sources (as % of TRV):</w:t>
                            </w:r>
                          </w:p>
                          <w:p w:rsidR="00A0097F" w:rsidRDefault="00A0097F" w:rsidP="007636B0">
                            <w:pPr>
                              <w:spacing w:after="40"/>
                              <w:ind w:left="720"/>
                            </w:pPr>
                            <w:r>
                              <w:t>BI</w:t>
                            </w:r>
                            <w:r w:rsidRPr="002049F5">
                              <w:rPr>
                                <w:vertAlign w:val="subscript"/>
                              </w:rPr>
                              <w:t>O</w:t>
                            </w:r>
                            <w:r>
                              <w:t xml:space="preserve"> = 0% for oral and dermal intakes</w:t>
                            </w:r>
                          </w:p>
                          <w:p w:rsidR="00A0097F" w:rsidRDefault="00A0097F" w:rsidP="007636B0">
                            <w:pPr>
                              <w:spacing w:after="40"/>
                              <w:ind w:left="720"/>
                            </w:pPr>
                            <w:r>
                              <w:t>BIi = 0% for inhalation</w:t>
                            </w:r>
                            <w:r w:rsidDel="00C81411">
                              <w:t xml:space="preserve"> </w:t>
                            </w:r>
                          </w:p>
                          <w:p w:rsidR="00A0097F" w:rsidRDefault="00A0097F" w:rsidP="007636B0">
                            <w:pPr>
                              <w:spacing w:after="40"/>
                            </w:pPr>
                            <w:r>
                              <w:t>Note that background intakes in areas where herbicides are used need to be considered on a site-specific basis.</w:t>
                            </w:r>
                          </w:p>
                        </w:txbxContent>
                      </wps:txbx>
                      <wps:bodyPr rot="0" vert="horz" wrap="square" lIns="91440" tIns="45720" rIns="91440" bIns="45720" anchor="t" anchorCtr="0" upright="1">
                        <a:noAutofit/>
                      </wps:bodyPr>
                    </wps:wsp>
                  </a:graphicData>
                </a:graphic>
              </wp:inline>
            </w:drawing>
          </mc:Choice>
          <mc:Fallback>
            <w:pict>
              <v:shape id="Text Box 7" o:spid="_x0000_s1031" type="#_x0000_t202" style="width:442.05pt;height:17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" fillcolor="#d8d8d8">
                <v:textbox>
                  <w:txbxContent>
                    <w:p w:rsidR="009C6751" w:rsidRPr="00742163" w:rsidRDefault="009C6751" w:rsidP="007636B0">
                      <w:pPr>
                        <w:spacing w:after="40"/>
                        <w:rPr>
                          <w:b/>
                          <w:u w:val="single"/>
                        </w:rPr>
                      </w:pPr>
                      <w:r w:rsidRPr="00742163">
                        <w:rPr>
                          <w:b/>
                          <w:u w:val="single"/>
                        </w:rPr>
                        <w:t xml:space="preserve">Recommendation for </w:t>
                      </w:r>
                      <w:r>
                        <w:rPr>
                          <w:b/>
                          <w:u w:val="single"/>
                        </w:rPr>
                        <w:t>MCPA, MCPB and Mecoprop</w:t>
                      </w:r>
                    </w:p>
                    <w:p w:rsidR="009C6751" w:rsidRDefault="009C6751" w:rsidP="007636B0">
                      <w:pPr>
                        <w:spacing w:after="40"/>
                      </w:pPr>
                      <w:r>
                        <w:t>Oral TRV (TRV</w:t>
                      </w:r>
                      <w:r w:rsidRPr="00A54613">
                        <w:rPr>
                          <w:vertAlign w:val="subscript"/>
                        </w:rPr>
                        <w:t>O</w:t>
                      </w:r>
                      <w:r>
                        <w:t>) = 0.01 mg/kg/day (OCS 2012) for each compound, for all pathways of exposure</w:t>
                      </w:r>
                    </w:p>
                    <w:p w:rsidR="009C6751" w:rsidRDefault="009C6751" w:rsidP="007636B0">
                      <w:pPr>
                        <w:spacing w:after="40"/>
                      </w:pPr>
                      <w:r>
                        <w:t>Dermal absorption factor (DAF) = 0.1 (or 10%) (US EPA 1995)</w:t>
                      </w:r>
                    </w:p>
                    <w:p w:rsidR="009C6751" w:rsidRDefault="009C6751" w:rsidP="007636B0">
                      <w:pPr>
                        <w:spacing w:after="40"/>
                      </w:pPr>
                      <w:r>
                        <w:t>Background intakes from other sources (as % of TRV):</w:t>
                      </w:r>
                    </w:p>
                    <w:p w:rsidR="009C6751" w:rsidRDefault="009C6751" w:rsidP="007636B0">
                      <w:pPr>
                        <w:spacing w:after="40"/>
                        <w:ind w:left="720"/>
                      </w:pPr>
                      <w:r>
                        <w:t>BI</w:t>
                      </w:r>
                      <w:r w:rsidRPr="002049F5">
                        <w:rPr>
                          <w:vertAlign w:val="subscript"/>
                        </w:rPr>
                        <w:t>O</w:t>
                      </w:r>
                      <w:r>
                        <w:t xml:space="preserve"> = 0% for oral and dermal intakes</w:t>
                      </w:r>
                    </w:p>
                    <w:p w:rsidR="009C6751" w:rsidRDefault="009C6751" w:rsidP="007636B0">
                      <w:pPr>
                        <w:spacing w:after="40"/>
                        <w:ind w:left="720"/>
                      </w:pPr>
                      <w:r>
                        <w:t>BIi = 0% for inhalation</w:t>
                      </w:r>
                      <w:r w:rsidDel="00C81411">
                        <w:t xml:space="preserve"> </w:t>
                      </w:r>
                    </w:p>
                    <w:p w:rsidR="009C6751" w:rsidRDefault="009C6751" w:rsidP="007636B0">
                      <w:pPr>
                        <w:spacing w:after="40"/>
                      </w:pPr>
                      <w:r>
                        <w:t>Note that background intakes in areas where herbicides are used need to be considered on a site-specific basis.</w:t>
                      </w:r>
                    </w:p>
                  </w:txbxContent>
                </v:textbox>
                <w10:anchorlock/>
              </v:shape>
            </w:pict>
          </mc:Fallback>
        </mc:AlternateContent>
      </w:r>
    </w:p>
    <w:p w:rsidR="009C6751" w:rsidRDefault="009C6751" w:rsidP="009C6751"/>
    <w:p w:rsidR="007636B0" w:rsidRPr="00E37595" w:rsidRDefault="007636B0" w:rsidP="00E37595">
      <w:pPr>
        <w:pStyle w:val="Heading2"/>
      </w:pPr>
      <w:bookmarkStart w:id="47" w:name="_Toc351714287"/>
      <w:r w:rsidRPr="00E37595">
        <w:t>Calculated HILs</w:t>
      </w:r>
      <w:bookmarkEnd w:id="47"/>
    </w:p>
    <w:p w:rsidR="007636B0" w:rsidRDefault="007636B0" w:rsidP="007636B0">
      <w:r>
        <w:t>On the basis of the above, the following HILs have been derived for MCPA, MCPB and mecoprop (as individual compounds) (refer to Appendix B for equations used to calculate the HILs and Appendix C for calculations):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9"/>
        <w:gridCol w:w="1287"/>
        <w:gridCol w:w="1445"/>
        <w:gridCol w:w="1517"/>
        <w:gridCol w:w="1553"/>
        <w:gridCol w:w="1392"/>
      </w:tblGrid>
      <w:tr w:rsidR="007636B0" w:rsidRPr="00C64237" w:rsidTr="00B45DD6">
        <w:tc>
          <w:tcPr>
            <w:tcW w:w="1639" w:type="dxa"/>
            <w:vMerge w:val="restart"/>
            <w:shd w:val="clear" w:color="auto" w:fill="C6D9F1" w:themeFill="text2" w:themeFillTint="33"/>
          </w:tcPr>
          <w:p w:rsidR="007636B0" w:rsidRPr="00C64237" w:rsidRDefault="007636B0" w:rsidP="00B45DD6">
            <w:pPr>
              <w:spacing w:after="40"/>
              <w:rPr>
                <w:b/>
                <w:szCs w:val="22"/>
              </w:rPr>
            </w:pPr>
            <w:r w:rsidRPr="00C64237">
              <w:rPr>
                <w:b/>
                <w:szCs w:val="22"/>
              </w:rPr>
              <w:t>HIL Scenario</w:t>
            </w:r>
          </w:p>
        </w:tc>
        <w:tc>
          <w:tcPr>
            <w:tcW w:w="1287" w:type="dxa"/>
            <w:vMerge w:val="restart"/>
            <w:shd w:val="clear" w:color="auto" w:fill="C6D9F1" w:themeFill="text2" w:themeFillTint="33"/>
          </w:tcPr>
          <w:p w:rsidR="007636B0" w:rsidRPr="00C64237" w:rsidRDefault="007636B0" w:rsidP="00B45DD6">
            <w:pPr>
              <w:spacing w:after="40"/>
              <w:jc w:val="center"/>
              <w:rPr>
                <w:b/>
                <w:szCs w:val="22"/>
              </w:rPr>
            </w:pPr>
            <w:r w:rsidRPr="00C64237">
              <w:rPr>
                <w:b/>
                <w:szCs w:val="22"/>
              </w:rPr>
              <w:t>HIL (mg/kg)</w:t>
            </w:r>
          </w:p>
        </w:tc>
        <w:tc>
          <w:tcPr>
            <w:tcW w:w="5907" w:type="dxa"/>
            <w:gridSpan w:val="4"/>
            <w:shd w:val="clear" w:color="auto" w:fill="C6D9F1" w:themeFill="text2" w:themeFillTint="33"/>
          </w:tcPr>
          <w:p w:rsidR="007636B0" w:rsidRPr="00C64237" w:rsidRDefault="007636B0" w:rsidP="00B45DD6">
            <w:pPr>
              <w:spacing w:after="40"/>
              <w:jc w:val="center"/>
              <w:rPr>
                <w:b/>
                <w:szCs w:val="22"/>
              </w:rPr>
            </w:pPr>
            <w:r w:rsidRPr="00C64237">
              <w:rPr>
                <w:b/>
                <w:szCs w:val="22"/>
              </w:rPr>
              <w:t>Percentage Contribution from Exposure Pathways</w:t>
            </w:r>
          </w:p>
        </w:tc>
      </w:tr>
      <w:tr w:rsidR="007636B0" w:rsidRPr="00C64237" w:rsidTr="00B45DD6">
        <w:trPr>
          <w:trHeight w:val="427"/>
        </w:trPr>
        <w:tc>
          <w:tcPr>
            <w:tcW w:w="1639" w:type="dxa"/>
            <w:vMerge/>
            <w:shd w:val="clear" w:color="auto" w:fill="C6D9F1" w:themeFill="text2" w:themeFillTint="33"/>
          </w:tcPr>
          <w:p w:rsidR="007636B0" w:rsidRPr="00C64237" w:rsidRDefault="007636B0" w:rsidP="00B45DD6">
            <w:pPr>
              <w:spacing w:after="40"/>
              <w:rPr>
                <w:szCs w:val="22"/>
              </w:rPr>
            </w:pPr>
          </w:p>
        </w:tc>
        <w:tc>
          <w:tcPr>
            <w:tcW w:w="1287" w:type="dxa"/>
            <w:vMerge/>
            <w:shd w:val="clear" w:color="auto" w:fill="C6D9F1" w:themeFill="text2" w:themeFillTint="33"/>
          </w:tcPr>
          <w:p w:rsidR="007636B0" w:rsidRPr="00C64237" w:rsidRDefault="007636B0" w:rsidP="00B45DD6">
            <w:pPr>
              <w:spacing w:after="40"/>
              <w:jc w:val="center"/>
              <w:rPr>
                <w:szCs w:val="22"/>
              </w:rPr>
            </w:pPr>
          </w:p>
        </w:tc>
        <w:tc>
          <w:tcPr>
            <w:tcW w:w="1445" w:type="dxa"/>
            <w:shd w:val="clear" w:color="auto" w:fill="C6D9F1" w:themeFill="text2" w:themeFillTint="33"/>
          </w:tcPr>
          <w:p w:rsidR="007636B0" w:rsidRPr="00C64237" w:rsidRDefault="007636B0" w:rsidP="00B45DD6">
            <w:pPr>
              <w:spacing w:after="40"/>
              <w:jc w:val="center"/>
              <w:rPr>
                <w:b/>
                <w:szCs w:val="22"/>
              </w:rPr>
            </w:pPr>
            <w:r w:rsidRPr="00C64237">
              <w:rPr>
                <w:b/>
                <w:szCs w:val="22"/>
              </w:rPr>
              <w:t>Ingestion of Soil/Dust</w:t>
            </w:r>
          </w:p>
        </w:tc>
        <w:tc>
          <w:tcPr>
            <w:tcW w:w="1517" w:type="dxa"/>
            <w:shd w:val="clear" w:color="auto" w:fill="C6D9F1" w:themeFill="text2" w:themeFillTint="33"/>
          </w:tcPr>
          <w:p w:rsidR="007636B0" w:rsidRPr="00C64237" w:rsidRDefault="007636B0" w:rsidP="00B45DD6">
            <w:pPr>
              <w:spacing w:after="40"/>
              <w:jc w:val="center"/>
              <w:rPr>
                <w:b/>
                <w:szCs w:val="22"/>
              </w:rPr>
            </w:pPr>
            <w:r w:rsidRPr="00C64237">
              <w:rPr>
                <w:b/>
                <w:szCs w:val="22"/>
              </w:rPr>
              <w:t>Ingestion of Home-grown Produce</w:t>
            </w:r>
          </w:p>
        </w:tc>
        <w:tc>
          <w:tcPr>
            <w:tcW w:w="1553" w:type="dxa"/>
            <w:shd w:val="clear" w:color="auto" w:fill="C6D9F1" w:themeFill="text2" w:themeFillTint="33"/>
          </w:tcPr>
          <w:p w:rsidR="007636B0" w:rsidRPr="00C64237" w:rsidRDefault="007636B0" w:rsidP="00B45DD6">
            <w:pPr>
              <w:spacing w:after="40"/>
              <w:jc w:val="center"/>
              <w:rPr>
                <w:b/>
                <w:szCs w:val="22"/>
              </w:rPr>
            </w:pPr>
            <w:r w:rsidRPr="00C64237">
              <w:rPr>
                <w:b/>
                <w:szCs w:val="22"/>
              </w:rPr>
              <w:t>Dermal Absorption of Soil/Dust</w:t>
            </w:r>
          </w:p>
        </w:tc>
        <w:tc>
          <w:tcPr>
            <w:tcW w:w="1392" w:type="dxa"/>
            <w:shd w:val="clear" w:color="auto" w:fill="C6D9F1" w:themeFill="text2" w:themeFillTint="33"/>
          </w:tcPr>
          <w:p w:rsidR="007636B0" w:rsidRPr="00C64237" w:rsidRDefault="007636B0" w:rsidP="00B45DD6">
            <w:pPr>
              <w:spacing w:after="40"/>
              <w:jc w:val="center"/>
              <w:rPr>
                <w:b/>
                <w:szCs w:val="22"/>
              </w:rPr>
            </w:pPr>
            <w:r w:rsidRPr="00C64237">
              <w:rPr>
                <w:b/>
                <w:szCs w:val="22"/>
              </w:rPr>
              <w:t>Inhalation (dust)</w:t>
            </w:r>
          </w:p>
        </w:tc>
      </w:tr>
      <w:tr w:rsidR="007636B0" w:rsidRPr="00C64237" w:rsidTr="00B45DD6">
        <w:tc>
          <w:tcPr>
            <w:tcW w:w="1639" w:type="dxa"/>
          </w:tcPr>
          <w:p w:rsidR="007636B0" w:rsidRPr="00C64237" w:rsidRDefault="007636B0" w:rsidP="00B45DD6">
            <w:pPr>
              <w:spacing w:after="40"/>
              <w:rPr>
                <w:szCs w:val="22"/>
              </w:rPr>
            </w:pPr>
            <w:r w:rsidRPr="00C64237">
              <w:rPr>
                <w:szCs w:val="22"/>
              </w:rPr>
              <w:t>Residential A</w:t>
            </w:r>
          </w:p>
        </w:tc>
        <w:tc>
          <w:tcPr>
            <w:tcW w:w="1287" w:type="dxa"/>
            <w:tcMar>
              <w:right w:w="397" w:type="dxa"/>
            </w:tcMar>
          </w:tcPr>
          <w:p w:rsidR="007636B0" w:rsidRPr="00C64237" w:rsidRDefault="007636B0" w:rsidP="00B45DD6">
            <w:pPr>
              <w:spacing w:after="40"/>
              <w:jc w:val="right"/>
              <w:rPr>
                <w:szCs w:val="22"/>
              </w:rPr>
            </w:pPr>
            <w:r w:rsidRPr="00C64237">
              <w:rPr>
                <w:szCs w:val="22"/>
              </w:rPr>
              <w:t>600</w:t>
            </w:r>
          </w:p>
        </w:tc>
        <w:tc>
          <w:tcPr>
            <w:tcW w:w="1445" w:type="dxa"/>
          </w:tcPr>
          <w:p w:rsidR="007636B0" w:rsidRPr="00C64237" w:rsidRDefault="007636B0" w:rsidP="00B45DD6">
            <w:pPr>
              <w:spacing w:after="40"/>
              <w:jc w:val="center"/>
              <w:rPr>
                <w:szCs w:val="22"/>
              </w:rPr>
            </w:pPr>
            <w:r w:rsidRPr="00C64237">
              <w:rPr>
                <w:szCs w:val="22"/>
              </w:rPr>
              <w:t>43</w:t>
            </w:r>
          </w:p>
        </w:tc>
        <w:tc>
          <w:tcPr>
            <w:tcW w:w="1517" w:type="dxa"/>
          </w:tcPr>
          <w:p w:rsidR="007636B0" w:rsidRPr="00C64237" w:rsidRDefault="007636B0" w:rsidP="00B45DD6">
            <w:pPr>
              <w:spacing w:after="40"/>
              <w:jc w:val="center"/>
              <w:rPr>
                <w:szCs w:val="22"/>
              </w:rPr>
            </w:pPr>
            <w:r w:rsidRPr="00C64237">
              <w:rPr>
                <w:szCs w:val="22"/>
              </w:rPr>
              <w:t>--</w:t>
            </w:r>
          </w:p>
        </w:tc>
        <w:tc>
          <w:tcPr>
            <w:tcW w:w="1553" w:type="dxa"/>
          </w:tcPr>
          <w:p w:rsidR="007636B0" w:rsidRPr="00C64237" w:rsidRDefault="007636B0" w:rsidP="00B45DD6">
            <w:pPr>
              <w:spacing w:after="40"/>
              <w:jc w:val="center"/>
              <w:rPr>
                <w:szCs w:val="22"/>
              </w:rPr>
            </w:pPr>
            <w:r w:rsidRPr="00C64237">
              <w:rPr>
                <w:szCs w:val="22"/>
              </w:rPr>
              <w:t>57</w:t>
            </w:r>
          </w:p>
        </w:tc>
        <w:tc>
          <w:tcPr>
            <w:tcW w:w="1392" w:type="dxa"/>
          </w:tcPr>
          <w:p w:rsidR="007636B0" w:rsidRPr="00C64237" w:rsidRDefault="007636B0" w:rsidP="00B45DD6">
            <w:pPr>
              <w:spacing w:after="40"/>
              <w:jc w:val="center"/>
              <w:rPr>
                <w:szCs w:val="22"/>
              </w:rPr>
            </w:pPr>
            <w:r w:rsidRPr="00C64237">
              <w:rPr>
                <w:szCs w:val="22"/>
              </w:rPr>
              <w:t>&lt;1</w:t>
            </w:r>
          </w:p>
        </w:tc>
      </w:tr>
      <w:tr w:rsidR="007636B0" w:rsidRPr="00C64237" w:rsidTr="00B45DD6">
        <w:tc>
          <w:tcPr>
            <w:tcW w:w="1639" w:type="dxa"/>
          </w:tcPr>
          <w:p w:rsidR="007636B0" w:rsidRPr="00C64237" w:rsidRDefault="007636B0" w:rsidP="00B45DD6">
            <w:pPr>
              <w:spacing w:after="40"/>
              <w:rPr>
                <w:szCs w:val="22"/>
              </w:rPr>
            </w:pPr>
            <w:r w:rsidRPr="00C64237">
              <w:rPr>
                <w:szCs w:val="22"/>
              </w:rPr>
              <w:t>Residential B</w:t>
            </w:r>
          </w:p>
        </w:tc>
        <w:tc>
          <w:tcPr>
            <w:tcW w:w="1287" w:type="dxa"/>
            <w:tcMar>
              <w:right w:w="397" w:type="dxa"/>
            </w:tcMar>
          </w:tcPr>
          <w:p w:rsidR="007636B0" w:rsidRPr="00C64237" w:rsidRDefault="007636B0" w:rsidP="00B45DD6">
            <w:pPr>
              <w:spacing w:after="40"/>
              <w:jc w:val="right"/>
              <w:rPr>
                <w:szCs w:val="22"/>
              </w:rPr>
            </w:pPr>
            <w:r w:rsidRPr="00C64237">
              <w:rPr>
                <w:szCs w:val="22"/>
              </w:rPr>
              <w:t>900</w:t>
            </w:r>
          </w:p>
        </w:tc>
        <w:tc>
          <w:tcPr>
            <w:tcW w:w="1445" w:type="dxa"/>
          </w:tcPr>
          <w:p w:rsidR="007636B0" w:rsidRPr="00C64237" w:rsidRDefault="007636B0" w:rsidP="00B45DD6">
            <w:pPr>
              <w:spacing w:after="40"/>
              <w:jc w:val="center"/>
              <w:rPr>
                <w:szCs w:val="22"/>
              </w:rPr>
            </w:pPr>
            <w:r w:rsidRPr="00C64237">
              <w:rPr>
                <w:szCs w:val="22"/>
              </w:rPr>
              <w:t>16</w:t>
            </w:r>
          </w:p>
        </w:tc>
        <w:tc>
          <w:tcPr>
            <w:tcW w:w="1517" w:type="dxa"/>
          </w:tcPr>
          <w:p w:rsidR="007636B0" w:rsidRPr="00C64237" w:rsidRDefault="007636B0" w:rsidP="00B45DD6">
            <w:pPr>
              <w:spacing w:after="40"/>
              <w:jc w:val="center"/>
              <w:rPr>
                <w:szCs w:val="22"/>
              </w:rPr>
            </w:pPr>
            <w:r w:rsidRPr="00C64237">
              <w:rPr>
                <w:szCs w:val="22"/>
              </w:rPr>
              <w:t>--</w:t>
            </w:r>
          </w:p>
        </w:tc>
        <w:tc>
          <w:tcPr>
            <w:tcW w:w="1553" w:type="dxa"/>
          </w:tcPr>
          <w:p w:rsidR="007636B0" w:rsidRPr="00C64237" w:rsidRDefault="007636B0" w:rsidP="00B45DD6">
            <w:pPr>
              <w:spacing w:after="40"/>
              <w:jc w:val="center"/>
              <w:rPr>
                <w:szCs w:val="22"/>
              </w:rPr>
            </w:pPr>
            <w:r w:rsidRPr="00C64237">
              <w:rPr>
                <w:szCs w:val="22"/>
              </w:rPr>
              <w:t>84</w:t>
            </w:r>
          </w:p>
        </w:tc>
        <w:tc>
          <w:tcPr>
            <w:tcW w:w="1392" w:type="dxa"/>
          </w:tcPr>
          <w:p w:rsidR="007636B0" w:rsidRPr="00C64237" w:rsidRDefault="007636B0" w:rsidP="00B45DD6">
            <w:pPr>
              <w:spacing w:after="40"/>
              <w:jc w:val="center"/>
              <w:rPr>
                <w:szCs w:val="22"/>
              </w:rPr>
            </w:pPr>
            <w:r w:rsidRPr="00C64237">
              <w:rPr>
                <w:szCs w:val="22"/>
              </w:rPr>
              <w:t>&lt;1</w:t>
            </w:r>
          </w:p>
        </w:tc>
      </w:tr>
      <w:tr w:rsidR="007636B0" w:rsidRPr="00C64237" w:rsidTr="00B45DD6">
        <w:tc>
          <w:tcPr>
            <w:tcW w:w="1639" w:type="dxa"/>
          </w:tcPr>
          <w:p w:rsidR="007636B0" w:rsidRPr="00C64237" w:rsidRDefault="007636B0" w:rsidP="00B45DD6">
            <w:pPr>
              <w:spacing w:after="40"/>
              <w:rPr>
                <w:szCs w:val="22"/>
              </w:rPr>
            </w:pPr>
            <w:r w:rsidRPr="00C64237">
              <w:rPr>
                <w:szCs w:val="22"/>
              </w:rPr>
              <w:t>Recreational C</w:t>
            </w:r>
          </w:p>
        </w:tc>
        <w:tc>
          <w:tcPr>
            <w:tcW w:w="1287" w:type="dxa"/>
            <w:tcMar>
              <w:right w:w="397" w:type="dxa"/>
            </w:tcMar>
          </w:tcPr>
          <w:p w:rsidR="007636B0" w:rsidRPr="00C64237" w:rsidRDefault="007636B0" w:rsidP="00B45DD6">
            <w:pPr>
              <w:spacing w:after="40"/>
              <w:jc w:val="right"/>
              <w:rPr>
                <w:szCs w:val="22"/>
              </w:rPr>
            </w:pPr>
            <w:r w:rsidRPr="00C64237">
              <w:rPr>
                <w:szCs w:val="22"/>
              </w:rPr>
              <w:t>800</w:t>
            </w:r>
          </w:p>
        </w:tc>
        <w:tc>
          <w:tcPr>
            <w:tcW w:w="1445" w:type="dxa"/>
          </w:tcPr>
          <w:p w:rsidR="007636B0" w:rsidRPr="00C64237" w:rsidRDefault="007636B0" w:rsidP="00B45DD6">
            <w:pPr>
              <w:spacing w:after="40"/>
              <w:jc w:val="center"/>
              <w:rPr>
                <w:szCs w:val="22"/>
              </w:rPr>
            </w:pPr>
            <w:r w:rsidRPr="00C64237">
              <w:rPr>
                <w:szCs w:val="22"/>
              </w:rPr>
              <w:t>27</w:t>
            </w:r>
          </w:p>
        </w:tc>
        <w:tc>
          <w:tcPr>
            <w:tcW w:w="1517" w:type="dxa"/>
          </w:tcPr>
          <w:p w:rsidR="007636B0" w:rsidRPr="00C64237" w:rsidRDefault="007636B0" w:rsidP="00B45DD6">
            <w:pPr>
              <w:spacing w:after="40"/>
              <w:jc w:val="center"/>
              <w:rPr>
                <w:szCs w:val="22"/>
              </w:rPr>
            </w:pPr>
            <w:r w:rsidRPr="00C64237">
              <w:rPr>
                <w:szCs w:val="22"/>
              </w:rPr>
              <w:t>--</w:t>
            </w:r>
          </w:p>
        </w:tc>
        <w:tc>
          <w:tcPr>
            <w:tcW w:w="1553" w:type="dxa"/>
          </w:tcPr>
          <w:p w:rsidR="007636B0" w:rsidRPr="00C64237" w:rsidRDefault="007636B0" w:rsidP="00B45DD6">
            <w:pPr>
              <w:spacing w:after="40"/>
              <w:jc w:val="center"/>
              <w:rPr>
                <w:szCs w:val="22"/>
              </w:rPr>
            </w:pPr>
            <w:r w:rsidRPr="00C64237">
              <w:rPr>
                <w:szCs w:val="22"/>
              </w:rPr>
              <w:t>73</w:t>
            </w:r>
          </w:p>
        </w:tc>
        <w:tc>
          <w:tcPr>
            <w:tcW w:w="1392" w:type="dxa"/>
          </w:tcPr>
          <w:p w:rsidR="007636B0" w:rsidRPr="00C64237" w:rsidRDefault="007636B0" w:rsidP="00B45DD6">
            <w:pPr>
              <w:spacing w:after="40"/>
              <w:jc w:val="center"/>
              <w:rPr>
                <w:szCs w:val="22"/>
              </w:rPr>
            </w:pPr>
            <w:r w:rsidRPr="00C64237">
              <w:rPr>
                <w:szCs w:val="22"/>
              </w:rPr>
              <w:t>&lt;1</w:t>
            </w:r>
          </w:p>
        </w:tc>
      </w:tr>
      <w:tr w:rsidR="007636B0" w:rsidRPr="00C64237" w:rsidTr="00B45DD6">
        <w:tc>
          <w:tcPr>
            <w:tcW w:w="1639" w:type="dxa"/>
          </w:tcPr>
          <w:p w:rsidR="007636B0" w:rsidRPr="00C64237" w:rsidRDefault="007636B0" w:rsidP="00B45DD6">
            <w:pPr>
              <w:spacing w:after="40"/>
              <w:rPr>
                <w:szCs w:val="22"/>
              </w:rPr>
            </w:pPr>
            <w:r w:rsidRPr="00C64237">
              <w:rPr>
                <w:szCs w:val="22"/>
              </w:rPr>
              <w:t>Commercial D</w:t>
            </w:r>
          </w:p>
        </w:tc>
        <w:tc>
          <w:tcPr>
            <w:tcW w:w="1287" w:type="dxa"/>
            <w:tcMar>
              <w:right w:w="397" w:type="dxa"/>
            </w:tcMar>
          </w:tcPr>
          <w:p w:rsidR="007636B0" w:rsidRPr="00C64237" w:rsidRDefault="007636B0" w:rsidP="00B45DD6">
            <w:pPr>
              <w:spacing w:after="40"/>
              <w:jc w:val="right"/>
              <w:rPr>
                <w:szCs w:val="22"/>
              </w:rPr>
            </w:pPr>
            <w:r w:rsidRPr="00C64237">
              <w:rPr>
                <w:szCs w:val="22"/>
              </w:rPr>
              <w:t>5000</w:t>
            </w:r>
          </w:p>
        </w:tc>
        <w:tc>
          <w:tcPr>
            <w:tcW w:w="1445" w:type="dxa"/>
          </w:tcPr>
          <w:p w:rsidR="007636B0" w:rsidRPr="00C64237" w:rsidRDefault="007636B0" w:rsidP="00B45DD6">
            <w:pPr>
              <w:spacing w:after="40"/>
              <w:jc w:val="center"/>
              <w:rPr>
                <w:szCs w:val="22"/>
              </w:rPr>
            </w:pPr>
            <w:r w:rsidRPr="00C64237">
              <w:rPr>
                <w:szCs w:val="22"/>
              </w:rPr>
              <w:t>12</w:t>
            </w:r>
          </w:p>
        </w:tc>
        <w:tc>
          <w:tcPr>
            <w:tcW w:w="1517" w:type="dxa"/>
          </w:tcPr>
          <w:p w:rsidR="007636B0" w:rsidRPr="00C64237" w:rsidRDefault="007636B0" w:rsidP="00B45DD6">
            <w:pPr>
              <w:spacing w:after="40"/>
              <w:jc w:val="center"/>
              <w:rPr>
                <w:szCs w:val="22"/>
              </w:rPr>
            </w:pPr>
            <w:r w:rsidRPr="00C64237">
              <w:rPr>
                <w:szCs w:val="22"/>
              </w:rPr>
              <w:t>--</w:t>
            </w:r>
          </w:p>
        </w:tc>
        <w:tc>
          <w:tcPr>
            <w:tcW w:w="1553" w:type="dxa"/>
          </w:tcPr>
          <w:p w:rsidR="007636B0" w:rsidRPr="00C64237" w:rsidRDefault="007636B0" w:rsidP="00B45DD6">
            <w:pPr>
              <w:spacing w:after="40"/>
              <w:jc w:val="center"/>
              <w:rPr>
                <w:szCs w:val="22"/>
              </w:rPr>
            </w:pPr>
            <w:r w:rsidRPr="00C64237">
              <w:rPr>
                <w:szCs w:val="22"/>
              </w:rPr>
              <w:t>88</w:t>
            </w:r>
          </w:p>
        </w:tc>
        <w:tc>
          <w:tcPr>
            <w:tcW w:w="1392" w:type="dxa"/>
          </w:tcPr>
          <w:p w:rsidR="007636B0" w:rsidRPr="00C64237" w:rsidRDefault="007636B0" w:rsidP="00B45DD6">
            <w:pPr>
              <w:spacing w:after="40"/>
              <w:jc w:val="center"/>
              <w:rPr>
                <w:szCs w:val="22"/>
              </w:rPr>
            </w:pPr>
            <w:r w:rsidRPr="00C64237">
              <w:rPr>
                <w:szCs w:val="22"/>
              </w:rPr>
              <w:t>&lt;1</w:t>
            </w:r>
          </w:p>
        </w:tc>
      </w:tr>
    </w:tbl>
    <w:p w:rsidR="007636B0" w:rsidRPr="00C64237" w:rsidRDefault="007636B0" w:rsidP="007636B0">
      <w:pPr>
        <w:rPr>
          <w:sz w:val="18"/>
          <w:szCs w:val="18"/>
        </w:rPr>
      </w:pPr>
      <w:r w:rsidRPr="00C64237">
        <w:rPr>
          <w:sz w:val="18"/>
          <w:szCs w:val="18"/>
        </w:rPr>
        <w:t>-- Pathway not included in derivation of HIL</w:t>
      </w:r>
    </w:p>
    <w:p w:rsidR="007636B0" w:rsidRDefault="007636B0" w:rsidP="007636B0"/>
    <w:p w:rsidR="007636B0" w:rsidRDefault="007636B0" w:rsidP="007636B0">
      <w:pPr>
        <w:pStyle w:val="Heading2"/>
        <w:tabs>
          <w:tab w:val="clear" w:pos="1209"/>
        </w:tabs>
      </w:pPr>
      <w:bookmarkStart w:id="48" w:name="_Toc351714288"/>
      <w:r>
        <w:t>References</w:t>
      </w:r>
      <w:bookmarkEnd w:id="48"/>
    </w:p>
    <w:p w:rsidR="007636B0" w:rsidRPr="00C64237" w:rsidRDefault="007636B0" w:rsidP="007636B0">
      <w:pPr>
        <w:pStyle w:val="StyletextLeft0cmHanging1cm"/>
      </w:pPr>
      <w:r w:rsidRPr="00C64237">
        <w:t xml:space="preserve">FSANZ 2003, </w:t>
      </w:r>
      <w:r w:rsidRPr="00C64237">
        <w:rPr>
          <w:i/>
        </w:rPr>
        <w:t>The 20th Australian Total Diet Survey</w:t>
      </w:r>
      <w:r w:rsidRPr="00C64237">
        <w:t xml:space="preserve">, a total diet survey of pesticide residues and contaminants, website: </w:t>
      </w:r>
      <w:hyperlink r:id="rId24" w:history="1">
        <w:r w:rsidRPr="00C64237">
          <w:rPr>
            <w:rStyle w:val="Hyperlink"/>
            <w:i/>
            <w:iCs/>
            <w:szCs w:val="22"/>
          </w:rPr>
          <w:t>http://www.anzfa.gov.au/</w:t>
        </w:r>
      </w:hyperlink>
      <w:r w:rsidRPr="00C64237">
        <w:t>.</w:t>
      </w:r>
    </w:p>
    <w:p w:rsidR="007636B0" w:rsidRPr="00C64237" w:rsidRDefault="007636B0" w:rsidP="007636B0">
      <w:pPr>
        <w:pStyle w:val="StyletextLeft0cmHanging1cm"/>
        <w:rPr>
          <w:lang w:eastAsia="en-US"/>
        </w:rPr>
      </w:pPr>
      <w:r w:rsidRPr="00C64237">
        <w:rPr>
          <w:lang w:eastAsia="en-US"/>
        </w:rPr>
        <w:t xml:space="preserve">FSANZ 2011, </w:t>
      </w:r>
      <w:r w:rsidRPr="00C64237">
        <w:rPr>
          <w:i/>
          <w:lang w:eastAsia="en-US"/>
        </w:rPr>
        <w:t>The 23</w:t>
      </w:r>
      <w:r w:rsidRPr="00C64237">
        <w:rPr>
          <w:i/>
          <w:vertAlign w:val="superscript"/>
          <w:lang w:eastAsia="en-US"/>
        </w:rPr>
        <w:t>rd</w:t>
      </w:r>
      <w:r w:rsidRPr="00C64237">
        <w:rPr>
          <w:i/>
          <w:lang w:eastAsia="en-US"/>
        </w:rPr>
        <w:t xml:space="preserve"> Australian Total Diet Study</w:t>
      </w:r>
      <w:r w:rsidRPr="00C64237">
        <w:rPr>
          <w:lang w:eastAsia="en-US"/>
        </w:rPr>
        <w:t>, Food Standards Australia and New Zealand.</w:t>
      </w:r>
    </w:p>
    <w:p w:rsidR="007636B0" w:rsidRPr="00C64237" w:rsidRDefault="007636B0" w:rsidP="007636B0">
      <w:pPr>
        <w:pStyle w:val="StyletextLeft0cmHanging1cm"/>
      </w:pPr>
      <w:r w:rsidRPr="00C64237">
        <w:t xml:space="preserve">HSDB (2010), </w:t>
      </w:r>
      <w:r w:rsidRPr="00C64237">
        <w:rPr>
          <w:i/>
        </w:rPr>
        <w:t>Hazardous Substances Data Bank</w:t>
      </w:r>
      <w:r w:rsidRPr="00C64237">
        <w:t xml:space="preserve">, online database available from: </w:t>
      </w:r>
      <w:hyperlink r:id="rId25" w:history="1">
        <w:r w:rsidRPr="00C64237">
          <w:rPr>
            <w:rStyle w:val="Hyperlink"/>
            <w:szCs w:val="22"/>
          </w:rPr>
          <w:t>http://toxnet.nlm.nih.gov/cgi-bin/sis/htmlgen?HSDB</w:t>
        </w:r>
      </w:hyperlink>
      <w:r w:rsidRPr="00C64237">
        <w:t>.</w:t>
      </w:r>
    </w:p>
    <w:p w:rsidR="007636B0" w:rsidRPr="00C64237" w:rsidRDefault="007636B0" w:rsidP="007636B0">
      <w:pPr>
        <w:pStyle w:val="StyletextLeft0cmHanging1cm"/>
      </w:pPr>
      <w:r w:rsidRPr="00C64237">
        <w:t xml:space="preserve">IARC 1987, </w:t>
      </w:r>
      <w:r w:rsidRPr="00C64237">
        <w:rPr>
          <w:i/>
        </w:rPr>
        <w:t>Summaries and Evaluations, Chlorophenoxy herbicides</w:t>
      </w:r>
      <w:r w:rsidRPr="00C64237">
        <w:t>, Supplement 7, (1987), p.256, International Agency for Research on Cancer.</w:t>
      </w:r>
    </w:p>
    <w:p w:rsidR="007636B0" w:rsidRPr="00C64237" w:rsidRDefault="007636B0" w:rsidP="007636B0">
      <w:pPr>
        <w:pStyle w:val="StyletextLeft0cmHanging1cm"/>
      </w:pPr>
      <w:r w:rsidRPr="00C64237">
        <w:lastRenderedPageBreak/>
        <w:t xml:space="preserve">NEPC 1999, </w:t>
      </w:r>
      <w:r w:rsidRPr="00C64237">
        <w:rPr>
          <w:i/>
        </w:rPr>
        <w:t>Schedule B (7a), Guideline on Health-Based Investigation Levels, National Environment Protection (Assessment of Site Contamination) Measure</w:t>
      </w:r>
      <w:r w:rsidRPr="00C64237">
        <w:t>, National Environment Protection Council, Australia.</w:t>
      </w:r>
    </w:p>
    <w:p w:rsidR="007636B0" w:rsidRPr="00C64237" w:rsidRDefault="007636B0" w:rsidP="007636B0">
      <w:pPr>
        <w:pStyle w:val="StyletextLeft0cmHanging1cm"/>
        <w:rPr>
          <w:noProof/>
        </w:rPr>
      </w:pPr>
      <w:r w:rsidRPr="00C64237">
        <w:t xml:space="preserve">NHMRC 2011, </w:t>
      </w:r>
      <w:r w:rsidRPr="00C64237">
        <w:rPr>
          <w:i/>
          <w:iCs/>
        </w:rPr>
        <w:t>National water quality management strategy, Australian drinking water guidelines</w:t>
      </w:r>
      <w:r w:rsidRPr="00C64237">
        <w:t>, National Health and Medical Research Council, Australia</w:t>
      </w:r>
      <w:r w:rsidRPr="00C64237">
        <w:rPr>
          <w:noProof/>
        </w:rPr>
        <w:t>.</w:t>
      </w:r>
    </w:p>
    <w:p w:rsidR="007636B0" w:rsidRPr="00C64237" w:rsidRDefault="007636B0" w:rsidP="007636B0">
      <w:pPr>
        <w:pStyle w:val="StyletextLeft0cmHanging1cm"/>
        <w:rPr>
          <w:rFonts w:cs="Arial"/>
          <w:noProof/>
        </w:rPr>
      </w:pPr>
      <w:r w:rsidRPr="00C64237">
        <w:rPr>
          <w:rFonts w:cs="Arial"/>
          <w:noProof/>
        </w:rPr>
        <w:t xml:space="preserve">OCS 2012, </w:t>
      </w:r>
      <w:r w:rsidRPr="00C64237">
        <w:rPr>
          <w:rFonts w:cs="Arial"/>
          <w:i/>
          <w:noProof/>
        </w:rPr>
        <w:t>ADI List, Acceptable Daily Intakes for Agricultural and Veterinary Chemicals</w:t>
      </w:r>
      <w:r w:rsidRPr="00C64237">
        <w:rPr>
          <w:rFonts w:cs="Arial"/>
          <w:noProof/>
        </w:rPr>
        <w:t xml:space="preserve">, current to 31 March 2012, Australian Government, Department of Health and Ageing, Office of Chemical Safety (OCS), available from: </w:t>
      </w:r>
      <w:r w:rsidRPr="00C64237">
        <w:rPr>
          <w:rFonts w:cs="Arial"/>
        </w:rPr>
        <w:t>http://www.health.gov.au/internet/main/publishing.nsf/content/E8F4D2F95D616584CA2573D700770C2A/$File/ADI-apr12.pdf.</w:t>
      </w:r>
    </w:p>
    <w:p w:rsidR="007636B0" w:rsidRPr="00C64237" w:rsidRDefault="007636B0" w:rsidP="007636B0">
      <w:pPr>
        <w:pStyle w:val="StyletextLeft0cmHanging1cm"/>
      </w:pPr>
      <w:r w:rsidRPr="00C64237">
        <w:t xml:space="preserve">US EPA 1995, </w:t>
      </w:r>
      <w:r w:rsidRPr="00C64237">
        <w:rPr>
          <w:i/>
        </w:rPr>
        <w:t>Technical Guidance Manual, Assessing Dermal Exposure from Soil</w:t>
      </w:r>
      <w:r w:rsidRPr="00C64237">
        <w:t xml:space="preserve">, US EPA Region 3, December 1995, available from: </w:t>
      </w:r>
      <w:hyperlink r:id="rId26" w:history="1">
        <w:r w:rsidRPr="00C64237">
          <w:rPr>
            <w:rStyle w:val="Hyperlink"/>
            <w:szCs w:val="22"/>
          </w:rPr>
          <w:t>http://www.epa.gov/reg3hwmd/risk/human/info/solabsg2.htm</w:t>
        </w:r>
      </w:hyperlink>
      <w:r w:rsidRPr="00C64237">
        <w:t xml:space="preserve">. </w:t>
      </w:r>
    </w:p>
    <w:p w:rsidR="007636B0" w:rsidRPr="00C64237" w:rsidRDefault="007636B0" w:rsidP="007636B0">
      <w:pPr>
        <w:pStyle w:val="StyletextLeft0cmHanging1cm"/>
        <w:rPr>
          <w:rFonts w:cs="Arial"/>
        </w:rPr>
      </w:pPr>
      <w:r w:rsidRPr="00C64237">
        <w:t xml:space="preserve">US EPA (IRIS 2012), data and information available from the </w:t>
      </w:r>
      <w:r w:rsidRPr="00C64237">
        <w:rPr>
          <w:i/>
        </w:rPr>
        <w:t>Integrated Risk Information System</w:t>
      </w:r>
      <w:r w:rsidRPr="00C64237">
        <w:t xml:space="preserve">, an online database, available from </w:t>
      </w:r>
      <w:hyperlink r:id="rId27" w:history="1">
        <w:r w:rsidRPr="00C64237">
          <w:rPr>
            <w:rStyle w:val="Hyperlink"/>
            <w:szCs w:val="22"/>
          </w:rPr>
          <w:t>http://www.epa.gov/iris/</w:t>
        </w:r>
      </w:hyperlink>
      <w:r w:rsidRPr="00C64237">
        <w:t>.</w:t>
      </w:r>
    </w:p>
    <w:p w:rsidR="007636B0" w:rsidRPr="00C64237" w:rsidRDefault="007636B0" w:rsidP="007636B0">
      <w:pPr>
        <w:pStyle w:val="StyletextLeft0cmHanging1cm"/>
      </w:pPr>
      <w:r w:rsidRPr="00C64237">
        <w:t xml:space="preserve">WHO 2011, </w:t>
      </w:r>
      <w:r w:rsidRPr="00C64237">
        <w:rPr>
          <w:i/>
        </w:rPr>
        <w:t>Guidelines for drinking-water quality, 4</w:t>
      </w:r>
      <w:r w:rsidRPr="00C64237">
        <w:rPr>
          <w:i/>
          <w:vertAlign w:val="subscript"/>
        </w:rPr>
        <w:t>th</w:t>
      </w:r>
      <w:r w:rsidRPr="00C64237">
        <w:rPr>
          <w:i/>
        </w:rPr>
        <w:t xml:space="preserve"> edition</w:t>
      </w:r>
      <w:r w:rsidRPr="00C64237">
        <w:t>, World Health Organization, Geneva</w:t>
      </w:r>
      <w:r>
        <w:t>,</w:t>
      </w:r>
      <w:r w:rsidRPr="00C64237">
        <w:t xml:space="preserve"> available from </w:t>
      </w:r>
      <w:hyperlink r:id="rId28" w:history="1">
        <w:r w:rsidRPr="00C64237">
          <w:rPr>
            <w:rStyle w:val="Hyperlink"/>
            <w:szCs w:val="22"/>
          </w:rPr>
          <w:t>http://www.who.int/water_sanitation_health/dwq/chemicals/en/index.html</w:t>
        </w:r>
      </w:hyperlink>
      <w:r w:rsidRPr="00C64237">
        <w:t xml:space="preserve"> </w:t>
      </w:r>
    </w:p>
    <w:p w:rsidR="007636B0" w:rsidRDefault="007636B0" w:rsidP="007636B0">
      <w:pPr>
        <w:pStyle w:val="Heading1"/>
        <w:tabs>
          <w:tab w:val="clear" w:pos="1209"/>
          <w:tab w:val="num" w:pos="720"/>
        </w:tabs>
      </w:pPr>
      <w:bookmarkStart w:id="49" w:name="_Toc351714289"/>
      <w:r>
        <w:lastRenderedPageBreak/>
        <w:t>Picloram</w:t>
      </w:r>
      <w:bookmarkEnd w:id="49"/>
    </w:p>
    <w:p w:rsidR="007636B0" w:rsidRDefault="007636B0" w:rsidP="007636B0">
      <w:pPr>
        <w:pStyle w:val="Heading2"/>
        <w:tabs>
          <w:tab w:val="clear" w:pos="1209"/>
        </w:tabs>
      </w:pPr>
      <w:bookmarkStart w:id="50" w:name="_Toc351714290"/>
      <w:r>
        <w:t>General</w:t>
      </w:r>
      <w:bookmarkEnd w:id="50"/>
    </w:p>
    <w:p w:rsidR="007636B0" w:rsidRDefault="007636B0" w:rsidP="007636B0">
      <w:r>
        <w:t>Limited data is available on picloram, however reviews of this compound in the environment and its toxicity to humans are available and should be consulted for more detailed information not presented in this summary (Health Canada 1988; US EPA 1995a; OEHHA 1997). The following provides a summary of the key aspects of picloram that are relevant to the derivation of a soil HIL.</w:t>
      </w:r>
    </w:p>
    <w:p w:rsidR="0021528E" w:rsidRDefault="0021528E" w:rsidP="007636B0"/>
    <w:p w:rsidR="007636B0" w:rsidRDefault="007636B0" w:rsidP="007636B0">
      <w:r>
        <w:t>Picloram is a member of the pyridine carboxylic acid group and is manufactured in a number of forms. Picloram acid is only manufactured as an intermediate product in the production of herbicides whereas the amine salt, potassium salt and ester derivatives of picloram are produced as commercial herbicides. Technical grade picloram acid is an off-white to brown powder. It is slightly soluble in water and the amine and potassium salt derivatives are highly soluble. The ester derivative, however, is insoluble in water (US EPA 1995a).</w:t>
      </w:r>
    </w:p>
    <w:p w:rsidR="0021528E" w:rsidRDefault="0021528E" w:rsidP="007636B0"/>
    <w:p w:rsidR="007636B0" w:rsidRDefault="007636B0" w:rsidP="007636B0">
      <w:r w:rsidRPr="00F04F15">
        <w:t>Picloram</w:t>
      </w:r>
      <w:r>
        <w:t xml:space="preserve"> acid and its derivatives have been used since the 1960s as a systemic herbicide to control woody plants and broadleaf weeds in rights of way, forestry, rangeland and pasture. In Australia, picloram derivatives are used to control weeds in winter cereals and linseed crops and to control a number of environmental and noxious weeds (APVMA 2009).</w:t>
      </w:r>
    </w:p>
    <w:p w:rsidR="0021528E" w:rsidRDefault="0021528E" w:rsidP="007636B0"/>
    <w:p w:rsidR="007636B0" w:rsidRDefault="007636B0" w:rsidP="007636B0">
      <w:pPr>
        <w:rPr>
          <w:rFonts w:ascii="AGaramond-Regular" w:hAnsi="AGaramond-Regular" w:cs="AGaramond-Regular"/>
          <w:szCs w:val="22"/>
        </w:rPr>
      </w:pPr>
      <w:r>
        <w:t xml:space="preserve">Picloram products are commonly contaminated with hexachlorobenzene (HCB). The presence of HCB in picloram affects the assessment of toxicity in a number of studies. </w:t>
      </w:r>
      <w:r w:rsidRPr="008A1452">
        <w:t>Limited data is available for picloram alone</w:t>
      </w:r>
      <w:r>
        <w:t xml:space="preserve">. </w:t>
      </w:r>
      <w:r w:rsidRPr="008A1452">
        <w:t>Available data also show that picloram is synergistic with several common herbicides (in particular 2,4-D, atrazine and alachlor) with respect to its toxicity to mammals and fish</w:t>
      </w:r>
      <w:r>
        <w:t xml:space="preserve"> (NCAP 1998). </w:t>
      </w:r>
    </w:p>
    <w:p w:rsidR="007636B0" w:rsidRDefault="007636B0" w:rsidP="007636B0">
      <w:pPr>
        <w:pStyle w:val="Heading2"/>
        <w:tabs>
          <w:tab w:val="clear" w:pos="1209"/>
        </w:tabs>
      </w:pPr>
      <w:bookmarkStart w:id="51" w:name="_Toc351714291"/>
      <w:r>
        <w:t>Previous HIL</w:t>
      </w:r>
      <w:bookmarkEnd w:id="51"/>
    </w:p>
    <w:p w:rsidR="007636B0" w:rsidRDefault="007636B0" w:rsidP="007636B0">
      <w:r>
        <w:t xml:space="preserve">No previous HIL is available for </w:t>
      </w:r>
      <w:r w:rsidRPr="008A1452">
        <w:t>picloram</w:t>
      </w:r>
      <w:r>
        <w:t xml:space="preserve"> (NEPC 1999).</w:t>
      </w:r>
    </w:p>
    <w:p w:rsidR="007636B0" w:rsidRDefault="007636B0" w:rsidP="007636B0">
      <w:pPr>
        <w:pStyle w:val="Heading2"/>
        <w:tabs>
          <w:tab w:val="clear" w:pos="1209"/>
        </w:tabs>
      </w:pPr>
      <w:bookmarkStart w:id="52" w:name="_Toc351714292"/>
      <w:r>
        <w:t>Significance of Exposure Pathways</w:t>
      </w:r>
      <w:bookmarkEnd w:id="52"/>
    </w:p>
    <w:p w:rsidR="007636B0" w:rsidRPr="00E00A6A" w:rsidRDefault="007636B0" w:rsidP="007636B0">
      <w:pPr>
        <w:pStyle w:val="Heading3"/>
      </w:pPr>
      <w:bookmarkStart w:id="53" w:name="_Toc351714293"/>
      <w:r>
        <w:t xml:space="preserve">Oral </w:t>
      </w:r>
      <w:r w:rsidRPr="00E00A6A">
        <w:t>Bioavailability</w:t>
      </w:r>
      <w:bookmarkEnd w:id="53"/>
    </w:p>
    <w:p w:rsidR="007636B0" w:rsidRDefault="007636B0" w:rsidP="007636B0">
      <w:r>
        <w:t xml:space="preserve">Insufficient data is available to adequately define the bioavailability of </w:t>
      </w:r>
      <w:r w:rsidRPr="008A1452">
        <w:t>picloram</w:t>
      </w:r>
      <w:r>
        <w:t>, hence a default approach of assuming 100% oral bioavailability has been adopted in the derivation of an HIL. It is noted that a site-specific assessment of bioavailability can be undertaken where required.</w:t>
      </w:r>
    </w:p>
    <w:p w:rsidR="007636B0" w:rsidRPr="002D7B71" w:rsidRDefault="007636B0" w:rsidP="007636B0">
      <w:pPr>
        <w:pStyle w:val="Heading3"/>
      </w:pPr>
      <w:bookmarkStart w:id="54" w:name="_Toc351714294"/>
      <w:r w:rsidRPr="002D7B71">
        <w:t>Dermal absorption</w:t>
      </w:r>
      <w:bookmarkEnd w:id="54"/>
    </w:p>
    <w:p w:rsidR="007636B0" w:rsidRDefault="007636B0" w:rsidP="007636B0">
      <w:r>
        <w:t xml:space="preserve">Insufficient data is available on the dermal absorption of </w:t>
      </w:r>
      <w:r w:rsidRPr="008A1452">
        <w:t>picloram</w:t>
      </w:r>
      <w:r>
        <w:t xml:space="preserve"> from soil. Hence the default value of 0.1 (10%) suggested by US EPA (1995b) for pesticides has been adopted in the derivation of HILs.</w:t>
      </w:r>
    </w:p>
    <w:p w:rsidR="007636B0" w:rsidRPr="009338FB" w:rsidRDefault="007636B0" w:rsidP="007636B0">
      <w:pPr>
        <w:pStyle w:val="Heading3"/>
      </w:pPr>
      <w:bookmarkStart w:id="55" w:name="_Toc351714295"/>
      <w:r w:rsidRPr="009338FB">
        <w:t>Inhalation of Dust</w:t>
      </w:r>
      <w:bookmarkEnd w:id="55"/>
    </w:p>
    <w:p w:rsidR="007636B0" w:rsidRDefault="007636B0" w:rsidP="007636B0">
      <w:r>
        <w:t>P</w:t>
      </w:r>
      <w:r w:rsidRPr="008A1452">
        <w:t>icloram</w:t>
      </w:r>
      <w:r>
        <w:t xml:space="preserve"> is not considered sufficiently volatile to be of significance and inhalation exposures associated with particulates outdoors and indoors are expected to be of less significance than ingestion of soil. While likely to be negligible, potential inhalation exposures associated with dust have been considered in the HIL derived.</w:t>
      </w:r>
    </w:p>
    <w:p w:rsidR="007636B0" w:rsidRPr="009338FB" w:rsidRDefault="007636B0" w:rsidP="007636B0">
      <w:pPr>
        <w:pStyle w:val="Heading3"/>
      </w:pPr>
      <w:bookmarkStart w:id="56" w:name="_Toc351714296"/>
      <w:r w:rsidRPr="009338FB">
        <w:t>Plant Uptake</w:t>
      </w:r>
      <w:bookmarkEnd w:id="56"/>
    </w:p>
    <w:p w:rsidR="007636B0" w:rsidRDefault="007636B0" w:rsidP="007636B0">
      <w:r>
        <w:t>Most carboxylic</w:t>
      </w:r>
      <w:r w:rsidRPr="00A35E24" w:rsidDel="0038671B">
        <w:rPr>
          <w:rFonts w:cs="Arial"/>
        </w:rPr>
        <w:t xml:space="preserve"> </w:t>
      </w:r>
      <w:r w:rsidRPr="00A35E24">
        <w:rPr>
          <w:rFonts w:cs="Arial"/>
        </w:rPr>
        <w:t>herbicide</w:t>
      </w:r>
      <w:r>
        <w:t>s are toxic to plants and, as such, will be phytotoxic to almost all broadleaf crops including tomatoes, grapes and fruit trees well before plant uptake into edible portions of fruit and vegetable crops is of significance. Hence the uptake of these compounds into home-grown produce has not been considered in the derivation of HIL A.</w:t>
      </w:r>
    </w:p>
    <w:p w:rsidR="00E80517" w:rsidRDefault="00E80517" w:rsidP="007636B0"/>
    <w:p w:rsidR="007636B0" w:rsidRDefault="007636B0" w:rsidP="007636B0">
      <w:r>
        <w:t>Note that the phytotoxic effects of these compounds may need to be addressed on a site-specific basis if detected in soil.</w:t>
      </w:r>
    </w:p>
    <w:p w:rsidR="007636B0" w:rsidRPr="0089652E" w:rsidRDefault="007636B0" w:rsidP="007636B0">
      <w:pPr>
        <w:pStyle w:val="Heading3"/>
      </w:pPr>
      <w:bookmarkStart w:id="57" w:name="_Toc351714297"/>
      <w:r w:rsidRPr="0089652E">
        <w:t xml:space="preserve">Intakes from Other Sources </w:t>
      </w:r>
      <w:r>
        <w:t>–</w:t>
      </w:r>
      <w:r w:rsidRPr="0089652E">
        <w:t xml:space="preserve"> Background</w:t>
      </w:r>
      <w:bookmarkEnd w:id="57"/>
    </w:p>
    <w:p w:rsidR="007636B0" w:rsidRDefault="007636B0" w:rsidP="007636B0">
      <w:r>
        <w:t>Limited data is available for the assessment of background intakes of picloram. Picloram products are currently registered for use in Australia and the compound is considered persistent in the environment. Picloram is not included in the Australian Total Diet Surveys (FSANZ 2003; FSANZ 2011) and there is no data regarding concentrations in drinking water or air in Australia. Away from areas where picloram products are used, exposure by the general public is expected to be low. Review by US EPA (1995b) suggests that dietary intakes comprise only 0.5% of the threshold reference value (RfD) adopted (0.2 mg/kg/day) for most of the US population, with intakes from non-nursing infants highest at 1.9% of the RfD adopted. Review by Health Canada (1988) also noted the maximum dietary intake of picloram is estimated to be negligible, based on available data in Canada and the USA. On this basis, intakes from other sources have been assumed to be negligible in the derivation of HILs.</w:t>
      </w:r>
    </w:p>
    <w:p w:rsidR="007636B0" w:rsidRDefault="007636B0" w:rsidP="007636B0">
      <w:pPr>
        <w:pStyle w:val="Heading2"/>
        <w:tabs>
          <w:tab w:val="clear" w:pos="1209"/>
        </w:tabs>
      </w:pPr>
      <w:bookmarkStart w:id="58" w:name="_Toc351714298"/>
      <w:r>
        <w:t>Identification of Toxicity Reference Values</w:t>
      </w:r>
      <w:bookmarkEnd w:id="58"/>
    </w:p>
    <w:p w:rsidR="007636B0" w:rsidRPr="00983A79" w:rsidRDefault="007636B0" w:rsidP="007636B0">
      <w:pPr>
        <w:pStyle w:val="Heading3"/>
      </w:pPr>
      <w:bookmarkStart w:id="59" w:name="_Toc351714299"/>
      <w:r w:rsidRPr="00983A79">
        <w:t>Classification</w:t>
      </w:r>
      <w:bookmarkEnd w:id="59"/>
    </w:p>
    <w:p w:rsidR="007636B0" w:rsidRDefault="007636B0" w:rsidP="007636B0">
      <w:r w:rsidRPr="00C259C1">
        <w:t>The International Agency for Research on Cancer (IARC</w:t>
      </w:r>
      <w:r>
        <w:t xml:space="preserve"> 1991) has classified</w:t>
      </w:r>
      <w:r w:rsidRPr="008A1452">
        <w:t xml:space="preserve"> </w:t>
      </w:r>
      <w:r>
        <w:t>picloram as Group 3</w:t>
      </w:r>
      <w:r>
        <w:rPr>
          <w:rFonts w:cs="Arial"/>
        </w:rPr>
        <w:t>—</w:t>
      </w:r>
      <w:r>
        <w:t xml:space="preserve">not classifiable. </w:t>
      </w:r>
    </w:p>
    <w:p w:rsidR="0021528E" w:rsidRDefault="0021528E" w:rsidP="007636B0"/>
    <w:p w:rsidR="007636B0" w:rsidRDefault="007636B0" w:rsidP="007636B0">
      <w:r>
        <w:t>US EPA has not classified picloram.</w:t>
      </w:r>
    </w:p>
    <w:p w:rsidR="007636B0" w:rsidRPr="00907E92" w:rsidRDefault="007636B0" w:rsidP="007636B0">
      <w:pPr>
        <w:pStyle w:val="Heading3"/>
      </w:pPr>
      <w:bookmarkStart w:id="60" w:name="_Toc351714300"/>
      <w:r w:rsidRPr="00907E92">
        <w:t>Review of Available Values</w:t>
      </w:r>
      <w:r>
        <w:t>/Information</w:t>
      </w:r>
      <w:bookmarkEnd w:id="60"/>
    </w:p>
    <w:p w:rsidR="007636B0" w:rsidRDefault="007636B0" w:rsidP="007636B0">
      <w:r>
        <w:t>Studies associated with the assessment of carcinogenicity of picloram are noted to be affected by the presence of HCB as a contaminant/impurity. Hence a number of reviews of carcinogenicity are conflicting. The review by IARC noted limited evidence of carcinogenicity for technical grade picloram in experimental animals. In general, the available data suggests the picloram is not genotoxic (Health Canada 1988; US EPA 1995) or at most weakly mutagenic (OEHHA 1997). On the basis of the limited available information, it is considered appropriate that a threshold dose</w:t>
      </w:r>
      <w:r>
        <w:sym w:font="Symbol" w:char="F02D"/>
      </w:r>
      <w:r>
        <w:t>response approach be adopted for picloram. The following are available from Level 1 Australian and International sources: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2224"/>
        <w:gridCol w:w="5517"/>
      </w:tblGrid>
      <w:tr w:rsidR="007636B0" w:rsidRPr="00C64237" w:rsidTr="00B45DD6">
        <w:trPr>
          <w:tblHeader/>
        </w:trPr>
        <w:tc>
          <w:tcPr>
            <w:tcW w:w="1384" w:type="dxa"/>
            <w:shd w:val="clear" w:color="auto" w:fill="C6D9F1" w:themeFill="text2" w:themeFillTint="33"/>
          </w:tcPr>
          <w:p w:rsidR="007636B0" w:rsidRPr="00C64237" w:rsidRDefault="007636B0" w:rsidP="00B45DD6">
            <w:pPr>
              <w:spacing w:before="20"/>
              <w:jc w:val="center"/>
              <w:rPr>
                <w:b/>
                <w:szCs w:val="22"/>
              </w:rPr>
            </w:pPr>
            <w:r w:rsidRPr="00C64237">
              <w:rPr>
                <w:b/>
                <w:szCs w:val="22"/>
              </w:rPr>
              <w:t>Source</w:t>
            </w:r>
          </w:p>
        </w:tc>
        <w:tc>
          <w:tcPr>
            <w:tcW w:w="2410" w:type="dxa"/>
            <w:shd w:val="clear" w:color="auto" w:fill="C6D9F1" w:themeFill="text2" w:themeFillTint="33"/>
          </w:tcPr>
          <w:p w:rsidR="007636B0" w:rsidRPr="00C64237" w:rsidRDefault="007636B0" w:rsidP="00B45DD6">
            <w:pPr>
              <w:spacing w:before="20"/>
              <w:jc w:val="center"/>
              <w:rPr>
                <w:b/>
                <w:szCs w:val="22"/>
              </w:rPr>
            </w:pPr>
            <w:r w:rsidRPr="00C64237">
              <w:rPr>
                <w:b/>
                <w:szCs w:val="22"/>
              </w:rPr>
              <w:t>Value</w:t>
            </w:r>
          </w:p>
        </w:tc>
        <w:tc>
          <w:tcPr>
            <w:tcW w:w="6169" w:type="dxa"/>
            <w:shd w:val="clear" w:color="auto" w:fill="C6D9F1" w:themeFill="text2" w:themeFillTint="33"/>
          </w:tcPr>
          <w:p w:rsidR="007636B0" w:rsidRPr="00C64237" w:rsidRDefault="007636B0" w:rsidP="00B45DD6">
            <w:pPr>
              <w:spacing w:before="20"/>
              <w:jc w:val="center"/>
              <w:rPr>
                <w:b/>
                <w:szCs w:val="22"/>
              </w:rPr>
            </w:pPr>
            <w:r w:rsidRPr="00C64237">
              <w:rPr>
                <w:b/>
                <w:szCs w:val="22"/>
              </w:rPr>
              <w:t>Basis/Comments</w:t>
            </w:r>
          </w:p>
        </w:tc>
      </w:tr>
      <w:tr w:rsidR="007636B0" w:rsidRPr="00C64237" w:rsidTr="00B45DD6">
        <w:tc>
          <w:tcPr>
            <w:tcW w:w="9963" w:type="dxa"/>
            <w:gridSpan w:val="3"/>
          </w:tcPr>
          <w:p w:rsidR="007636B0" w:rsidRPr="00C64237" w:rsidRDefault="007636B0" w:rsidP="00B45DD6">
            <w:pPr>
              <w:spacing w:before="20"/>
              <w:jc w:val="center"/>
              <w:rPr>
                <w:b/>
                <w:szCs w:val="22"/>
              </w:rPr>
            </w:pPr>
            <w:r w:rsidRPr="00C64237">
              <w:rPr>
                <w:b/>
                <w:szCs w:val="22"/>
              </w:rPr>
              <w:t>Australian</w:t>
            </w:r>
          </w:p>
        </w:tc>
      </w:tr>
      <w:tr w:rsidR="007636B0" w:rsidRPr="00C64237" w:rsidTr="00B45DD6">
        <w:tc>
          <w:tcPr>
            <w:tcW w:w="1384" w:type="dxa"/>
          </w:tcPr>
          <w:p w:rsidR="007636B0" w:rsidRPr="00C64237" w:rsidRDefault="007636B0" w:rsidP="00B45DD6">
            <w:pPr>
              <w:spacing w:before="20"/>
              <w:rPr>
                <w:szCs w:val="22"/>
              </w:rPr>
            </w:pPr>
            <w:r w:rsidRPr="00C64237">
              <w:rPr>
                <w:szCs w:val="22"/>
              </w:rPr>
              <w:t>ADWG (NHMRC 2011)</w:t>
            </w:r>
          </w:p>
        </w:tc>
        <w:tc>
          <w:tcPr>
            <w:tcW w:w="2410" w:type="dxa"/>
          </w:tcPr>
          <w:p w:rsidR="007636B0" w:rsidRPr="00C64237" w:rsidRDefault="007636B0" w:rsidP="00B45DD6">
            <w:pPr>
              <w:spacing w:before="20"/>
              <w:rPr>
                <w:szCs w:val="22"/>
              </w:rPr>
            </w:pPr>
            <w:r w:rsidRPr="00C64237">
              <w:rPr>
                <w:szCs w:val="22"/>
              </w:rPr>
              <w:t>TDI = 0.07 mg/kg/day</w:t>
            </w:r>
          </w:p>
        </w:tc>
        <w:tc>
          <w:tcPr>
            <w:tcW w:w="6169" w:type="dxa"/>
          </w:tcPr>
          <w:p w:rsidR="007636B0" w:rsidRPr="00C64237" w:rsidRDefault="007636B0" w:rsidP="00B45DD6">
            <w:pPr>
              <w:spacing w:before="20"/>
              <w:rPr>
                <w:szCs w:val="22"/>
              </w:rPr>
            </w:pPr>
            <w:r w:rsidRPr="00C64237">
              <w:rPr>
                <w:szCs w:val="22"/>
              </w:rPr>
              <w:t>The current ADWG (NHMRC 2011) derive a guideline of 0.3 mg/L derived from a NOEL of 7 mg/kg/day associated with increased liver weights in a short-term dietary study in rats, and an uncertainty factor of 100.</w:t>
            </w:r>
          </w:p>
        </w:tc>
      </w:tr>
      <w:tr w:rsidR="007636B0" w:rsidRPr="00C64237" w:rsidTr="00B45DD6">
        <w:tc>
          <w:tcPr>
            <w:tcW w:w="1384" w:type="dxa"/>
          </w:tcPr>
          <w:p w:rsidR="007636B0" w:rsidRPr="00C64237" w:rsidRDefault="007636B0" w:rsidP="00B45DD6">
            <w:pPr>
              <w:spacing w:before="20"/>
              <w:rPr>
                <w:szCs w:val="22"/>
              </w:rPr>
            </w:pPr>
            <w:r w:rsidRPr="00C64237">
              <w:rPr>
                <w:szCs w:val="22"/>
              </w:rPr>
              <w:t>OCS (2012)</w:t>
            </w:r>
          </w:p>
        </w:tc>
        <w:tc>
          <w:tcPr>
            <w:tcW w:w="2410" w:type="dxa"/>
          </w:tcPr>
          <w:p w:rsidR="007636B0" w:rsidRPr="00C64237" w:rsidRDefault="007636B0" w:rsidP="00B45DD6">
            <w:pPr>
              <w:spacing w:before="20"/>
              <w:rPr>
                <w:szCs w:val="22"/>
              </w:rPr>
            </w:pPr>
            <w:r w:rsidRPr="00C64237">
              <w:rPr>
                <w:szCs w:val="22"/>
              </w:rPr>
              <w:t>ADI = 0.07 mg/kg/day</w:t>
            </w:r>
          </w:p>
        </w:tc>
        <w:tc>
          <w:tcPr>
            <w:tcW w:w="6169" w:type="dxa"/>
          </w:tcPr>
          <w:p w:rsidR="007636B0" w:rsidRPr="00C64237" w:rsidRDefault="007636B0" w:rsidP="00B45DD6">
            <w:pPr>
              <w:spacing w:before="20"/>
              <w:rPr>
                <w:szCs w:val="22"/>
              </w:rPr>
            </w:pPr>
            <w:r w:rsidRPr="00C64237">
              <w:rPr>
                <w:szCs w:val="22"/>
              </w:rPr>
              <w:t>The ADI is noted to have been set in February 1987 and is based on a NOEL of 7 mg/kg/day (as considered in the ADWG, noted above).</w:t>
            </w:r>
          </w:p>
        </w:tc>
      </w:tr>
      <w:tr w:rsidR="007636B0" w:rsidRPr="00C64237" w:rsidTr="00B45DD6">
        <w:tc>
          <w:tcPr>
            <w:tcW w:w="9963" w:type="dxa"/>
            <w:gridSpan w:val="3"/>
          </w:tcPr>
          <w:p w:rsidR="007636B0" w:rsidRPr="00C64237" w:rsidRDefault="007636B0" w:rsidP="00B45DD6">
            <w:pPr>
              <w:spacing w:before="20"/>
              <w:jc w:val="center"/>
              <w:rPr>
                <w:b/>
                <w:szCs w:val="22"/>
              </w:rPr>
            </w:pPr>
            <w:r w:rsidRPr="00C64237">
              <w:rPr>
                <w:b/>
                <w:szCs w:val="22"/>
              </w:rPr>
              <w:t>International</w:t>
            </w:r>
          </w:p>
        </w:tc>
      </w:tr>
      <w:tr w:rsidR="007636B0" w:rsidRPr="00C64237" w:rsidTr="00B45DD6">
        <w:tc>
          <w:tcPr>
            <w:tcW w:w="1384" w:type="dxa"/>
          </w:tcPr>
          <w:p w:rsidR="007636B0" w:rsidRPr="00C64237" w:rsidRDefault="007636B0" w:rsidP="00B45DD6">
            <w:pPr>
              <w:spacing w:before="20"/>
              <w:rPr>
                <w:szCs w:val="22"/>
              </w:rPr>
            </w:pPr>
            <w:r w:rsidRPr="00C64237">
              <w:rPr>
                <w:szCs w:val="22"/>
              </w:rPr>
              <w:t>WHO(2011)</w:t>
            </w:r>
          </w:p>
        </w:tc>
        <w:tc>
          <w:tcPr>
            <w:tcW w:w="2410" w:type="dxa"/>
          </w:tcPr>
          <w:p w:rsidR="007636B0" w:rsidRPr="00C64237" w:rsidRDefault="007636B0" w:rsidP="00B45DD6">
            <w:pPr>
              <w:spacing w:before="20"/>
              <w:rPr>
                <w:szCs w:val="22"/>
              </w:rPr>
            </w:pPr>
            <w:r w:rsidRPr="00C64237">
              <w:rPr>
                <w:szCs w:val="22"/>
              </w:rPr>
              <w:t>No evaluation available</w:t>
            </w:r>
          </w:p>
        </w:tc>
        <w:tc>
          <w:tcPr>
            <w:tcW w:w="6169" w:type="dxa"/>
          </w:tcPr>
          <w:p w:rsidR="007636B0" w:rsidRPr="00C64237" w:rsidRDefault="007636B0" w:rsidP="00B45DD6">
            <w:pPr>
              <w:spacing w:before="20"/>
              <w:rPr>
                <w:szCs w:val="22"/>
              </w:rPr>
            </w:pPr>
          </w:p>
        </w:tc>
      </w:tr>
      <w:tr w:rsidR="007636B0" w:rsidRPr="00C64237" w:rsidTr="00B45DD6">
        <w:tc>
          <w:tcPr>
            <w:tcW w:w="1384" w:type="dxa"/>
          </w:tcPr>
          <w:p w:rsidR="007636B0" w:rsidRPr="00C64237" w:rsidRDefault="007636B0" w:rsidP="00B45DD6">
            <w:pPr>
              <w:spacing w:before="20"/>
              <w:rPr>
                <w:szCs w:val="22"/>
              </w:rPr>
            </w:pPr>
            <w:r w:rsidRPr="00C64237">
              <w:rPr>
                <w:szCs w:val="22"/>
              </w:rPr>
              <w:t>ATSDR</w:t>
            </w:r>
          </w:p>
        </w:tc>
        <w:tc>
          <w:tcPr>
            <w:tcW w:w="2410" w:type="dxa"/>
          </w:tcPr>
          <w:p w:rsidR="007636B0" w:rsidRPr="00C64237" w:rsidRDefault="007636B0" w:rsidP="00B45DD6">
            <w:pPr>
              <w:spacing w:before="20"/>
              <w:rPr>
                <w:szCs w:val="22"/>
              </w:rPr>
            </w:pPr>
            <w:r w:rsidRPr="00C64237">
              <w:rPr>
                <w:szCs w:val="22"/>
              </w:rPr>
              <w:t>No evaluation available</w:t>
            </w:r>
          </w:p>
        </w:tc>
        <w:tc>
          <w:tcPr>
            <w:tcW w:w="6169" w:type="dxa"/>
          </w:tcPr>
          <w:p w:rsidR="007636B0" w:rsidRPr="00C64237" w:rsidRDefault="007636B0" w:rsidP="00B45DD6">
            <w:pPr>
              <w:spacing w:before="20"/>
              <w:rPr>
                <w:szCs w:val="22"/>
              </w:rPr>
            </w:pPr>
          </w:p>
        </w:tc>
      </w:tr>
      <w:tr w:rsidR="007636B0" w:rsidRPr="00C64237" w:rsidTr="00B45DD6">
        <w:tc>
          <w:tcPr>
            <w:tcW w:w="1384" w:type="dxa"/>
          </w:tcPr>
          <w:p w:rsidR="007636B0" w:rsidRPr="00C64237" w:rsidRDefault="007636B0" w:rsidP="00B45DD6">
            <w:pPr>
              <w:spacing w:before="20"/>
              <w:rPr>
                <w:szCs w:val="22"/>
              </w:rPr>
            </w:pPr>
            <w:r w:rsidRPr="00C64237">
              <w:rPr>
                <w:szCs w:val="22"/>
              </w:rPr>
              <w:t>Health Canada (1988)</w:t>
            </w:r>
          </w:p>
        </w:tc>
        <w:tc>
          <w:tcPr>
            <w:tcW w:w="2410" w:type="dxa"/>
          </w:tcPr>
          <w:p w:rsidR="007636B0" w:rsidRPr="00C64237" w:rsidRDefault="007636B0" w:rsidP="00B45DD6">
            <w:pPr>
              <w:spacing w:before="20"/>
              <w:rPr>
                <w:szCs w:val="22"/>
              </w:rPr>
            </w:pPr>
            <w:r w:rsidRPr="00C64237">
              <w:rPr>
                <w:szCs w:val="22"/>
              </w:rPr>
              <w:t>NDI = 0.02 mg/kg/day</w:t>
            </w:r>
          </w:p>
        </w:tc>
        <w:tc>
          <w:tcPr>
            <w:tcW w:w="6169" w:type="dxa"/>
          </w:tcPr>
          <w:p w:rsidR="007636B0" w:rsidRPr="00C64237" w:rsidRDefault="007636B0" w:rsidP="00B45DD6">
            <w:pPr>
              <w:spacing w:before="20"/>
              <w:rPr>
                <w:szCs w:val="22"/>
              </w:rPr>
            </w:pPr>
            <w:r w:rsidRPr="00C64237">
              <w:rPr>
                <w:szCs w:val="22"/>
              </w:rPr>
              <w:t>Negligible daily intake (NDI) derived on the basis of a NOAEL of 20 mg/kg/day associated with liver and kidney changes in rat and mouse studies, and an uncertainty factor of 1000.</w:t>
            </w:r>
          </w:p>
        </w:tc>
      </w:tr>
      <w:tr w:rsidR="007636B0" w:rsidRPr="00C64237" w:rsidTr="00B45DD6">
        <w:tc>
          <w:tcPr>
            <w:tcW w:w="1384" w:type="dxa"/>
          </w:tcPr>
          <w:p w:rsidR="007636B0" w:rsidRPr="00C64237" w:rsidRDefault="007636B0" w:rsidP="00B45DD6">
            <w:pPr>
              <w:spacing w:before="20"/>
              <w:rPr>
                <w:szCs w:val="22"/>
              </w:rPr>
            </w:pPr>
            <w:r w:rsidRPr="00C64237">
              <w:rPr>
                <w:szCs w:val="22"/>
              </w:rPr>
              <w:t xml:space="preserve">US EPA </w:t>
            </w:r>
            <w:r w:rsidRPr="00C64237">
              <w:rPr>
                <w:szCs w:val="22"/>
              </w:rPr>
              <w:lastRenderedPageBreak/>
              <w:t>(IRIS 2012)</w:t>
            </w:r>
          </w:p>
        </w:tc>
        <w:tc>
          <w:tcPr>
            <w:tcW w:w="2410" w:type="dxa"/>
          </w:tcPr>
          <w:p w:rsidR="007636B0" w:rsidRPr="00C64237" w:rsidRDefault="007636B0" w:rsidP="00B45DD6">
            <w:pPr>
              <w:spacing w:before="20"/>
              <w:rPr>
                <w:szCs w:val="22"/>
              </w:rPr>
            </w:pPr>
            <w:r w:rsidRPr="00C64237">
              <w:rPr>
                <w:szCs w:val="22"/>
              </w:rPr>
              <w:lastRenderedPageBreak/>
              <w:t>RfD = 0.07 mg/kg/day</w:t>
            </w:r>
          </w:p>
          <w:p w:rsidR="007636B0" w:rsidRPr="00C64237" w:rsidRDefault="007636B0" w:rsidP="00B45DD6">
            <w:pPr>
              <w:spacing w:before="20"/>
              <w:rPr>
                <w:szCs w:val="22"/>
              </w:rPr>
            </w:pPr>
          </w:p>
        </w:tc>
        <w:tc>
          <w:tcPr>
            <w:tcW w:w="6169" w:type="dxa"/>
          </w:tcPr>
          <w:p w:rsidR="007636B0" w:rsidRPr="00C64237" w:rsidRDefault="007636B0" w:rsidP="00B45DD6">
            <w:pPr>
              <w:spacing w:before="20"/>
              <w:rPr>
                <w:szCs w:val="22"/>
              </w:rPr>
            </w:pPr>
            <w:r w:rsidRPr="00C64237">
              <w:rPr>
                <w:szCs w:val="22"/>
              </w:rPr>
              <w:lastRenderedPageBreak/>
              <w:t xml:space="preserve">The RfD (last reviewed in 1987) is derived based on the </w:t>
            </w:r>
            <w:r w:rsidRPr="00C64237">
              <w:rPr>
                <w:szCs w:val="22"/>
              </w:rPr>
              <w:lastRenderedPageBreak/>
              <w:t>same study and evaluation provided in the ADWG (NHMRC 2004). Value also derived by OEHHA (1997).</w:t>
            </w:r>
          </w:p>
        </w:tc>
      </w:tr>
      <w:tr w:rsidR="007636B0" w:rsidRPr="00C64237" w:rsidTr="00B45DD6">
        <w:tc>
          <w:tcPr>
            <w:tcW w:w="1384" w:type="dxa"/>
          </w:tcPr>
          <w:p w:rsidR="007636B0" w:rsidRPr="00C64237" w:rsidRDefault="007636B0" w:rsidP="00B45DD6">
            <w:pPr>
              <w:spacing w:before="20"/>
              <w:rPr>
                <w:szCs w:val="22"/>
              </w:rPr>
            </w:pPr>
            <w:r w:rsidRPr="00C64237">
              <w:rPr>
                <w:szCs w:val="22"/>
              </w:rPr>
              <w:lastRenderedPageBreak/>
              <w:t>US EPA (1995)</w:t>
            </w:r>
          </w:p>
        </w:tc>
        <w:tc>
          <w:tcPr>
            <w:tcW w:w="2410" w:type="dxa"/>
          </w:tcPr>
          <w:p w:rsidR="007636B0" w:rsidRPr="00C64237" w:rsidRDefault="007636B0" w:rsidP="00B45DD6">
            <w:pPr>
              <w:spacing w:before="20"/>
              <w:rPr>
                <w:szCs w:val="22"/>
              </w:rPr>
            </w:pPr>
            <w:r w:rsidRPr="00C64237">
              <w:rPr>
                <w:szCs w:val="22"/>
              </w:rPr>
              <w:t>RfD = 0.2 mg/kg/day</w:t>
            </w:r>
          </w:p>
        </w:tc>
        <w:tc>
          <w:tcPr>
            <w:tcW w:w="6169" w:type="dxa"/>
          </w:tcPr>
          <w:p w:rsidR="007636B0" w:rsidRPr="00C64237" w:rsidRDefault="007636B0" w:rsidP="00B45DD6">
            <w:pPr>
              <w:spacing w:before="20"/>
              <w:rPr>
                <w:szCs w:val="22"/>
              </w:rPr>
            </w:pPr>
            <w:r w:rsidRPr="00C64237">
              <w:rPr>
                <w:szCs w:val="22"/>
              </w:rPr>
              <w:t>RfD calculated based on a NOEL of 20 mg/kg/day from a 2-year chronic rat feeding study, and an uncertainty factor of 100.</w:t>
            </w:r>
          </w:p>
        </w:tc>
      </w:tr>
    </w:tbl>
    <w:p w:rsidR="007636B0" w:rsidRDefault="007636B0" w:rsidP="007636B0"/>
    <w:p w:rsidR="007636B0" w:rsidRDefault="007636B0" w:rsidP="007636B0">
      <w:r>
        <w:t xml:space="preserve">Limited quantitative data is available for picloram, however it is recommended that the current Australian ADI/TDI be adopted for the derivation of a soil HIL. </w:t>
      </w:r>
    </w:p>
    <w:p w:rsidR="0021528E" w:rsidRDefault="0021528E" w:rsidP="007636B0"/>
    <w:p w:rsidR="007636B0" w:rsidRDefault="007636B0" w:rsidP="007636B0">
      <w:r>
        <w:t>No dermal or inhalation-specific studies or data are available. For the presence of picloram in soil (not during use), it is considered appropriate to consider use of the available ADI for all pathways of exposures.</w:t>
      </w:r>
    </w:p>
    <w:p w:rsidR="007636B0" w:rsidRPr="00921D7B" w:rsidRDefault="007636B0" w:rsidP="007636B0">
      <w:pPr>
        <w:pStyle w:val="Heading3"/>
      </w:pPr>
      <w:bookmarkStart w:id="61" w:name="_Toc351714301"/>
      <w:r w:rsidRPr="00921D7B">
        <w:t>Recommendation</w:t>
      </w:r>
      <w:bookmarkEnd w:id="61"/>
    </w:p>
    <w:p w:rsidR="007636B0" w:rsidRDefault="007636B0" w:rsidP="007636B0">
      <w:r>
        <w:t>On the basis of the discussion above, the following toxicity reference values (TRVs) have been adopted for picloram in the derivation of HILs:</w:t>
      </w:r>
    </w:p>
    <w:p w:rsidR="007636B0" w:rsidRDefault="007636B0" w:rsidP="007636B0">
      <w:r>
        <w:rPr>
          <w:noProof/>
          <w:lang w:eastAsia="en-AU"/>
        </w:rPr>
        <mc:AlternateContent>
          <mc:Choice Requires="wps">
            <w:drawing>
              <wp:inline distT="0" distB="0" distL="0" distR="0">
                <wp:extent cx="5622290" cy="2357120"/>
                <wp:effectExtent l="13335" t="5080" r="12700" b="952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2357120"/>
                        </a:xfrm>
                        <a:prstGeom prst="rect">
                          <a:avLst/>
                        </a:prstGeom>
                        <a:solidFill>
                          <a:srgbClr val="D8D8D8"/>
                        </a:solidFill>
                        <a:ln w="9525">
                          <a:solidFill>
                            <a:srgbClr val="000000"/>
                          </a:solidFill>
                          <a:miter lim="800000"/>
                          <a:headEnd/>
                          <a:tailEnd/>
                        </a:ln>
                      </wps:spPr>
                      <wps:txbx>
                        <w:txbxContent>
                          <w:p w:rsidR="00A0097F" w:rsidRPr="00742163" w:rsidRDefault="00A0097F" w:rsidP="007636B0">
                            <w:pPr>
                              <w:spacing w:after="40"/>
                              <w:rPr>
                                <w:b/>
                                <w:u w:val="single"/>
                              </w:rPr>
                            </w:pPr>
                            <w:r w:rsidRPr="00742163">
                              <w:rPr>
                                <w:b/>
                                <w:u w:val="single"/>
                              </w:rPr>
                              <w:t xml:space="preserve">Recommendation for </w:t>
                            </w:r>
                            <w:r>
                              <w:rPr>
                                <w:b/>
                                <w:u w:val="single"/>
                              </w:rPr>
                              <w:t>Picloram</w:t>
                            </w:r>
                          </w:p>
                          <w:p w:rsidR="00A0097F" w:rsidRDefault="00A0097F" w:rsidP="007636B0">
                            <w:pPr>
                              <w:spacing w:after="40"/>
                            </w:pPr>
                            <w:r>
                              <w:t>Oral TRV (TRV</w:t>
                            </w:r>
                            <w:r w:rsidRPr="00A54613">
                              <w:rPr>
                                <w:vertAlign w:val="subscript"/>
                              </w:rPr>
                              <w:t>O</w:t>
                            </w:r>
                            <w:r>
                              <w:t>) = 0.07 mg/kg/day (OCS 2008; NHMRC 2004; NHMRC 2009) for all pathways of exposure</w:t>
                            </w:r>
                          </w:p>
                          <w:p w:rsidR="00A0097F" w:rsidRDefault="00A0097F" w:rsidP="007636B0">
                            <w:pPr>
                              <w:spacing w:after="40"/>
                            </w:pPr>
                            <w:r>
                              <w:t>Dermal absorption factor (DAF) = 0.1 (or 10%) (US EPA 1995)</w:t>
                            </w:r>
                          </w:p>
                          <w:p w:rsidR="00A0097F" w:rsidRDefault="00A0097F" w:rsidP="007636B0">
                            <w:pPr>
                              <w:spacing w:after="40"/>
                            </w:pPr>
                            <w:r>
                              <w:t>Background intakes from other sources (as % of TRV):</w:t>
                            </w:r>
                          </w:p>
                          <w:p w:rsidR="00A0097F" w:rsidRDefault="00A0097F" w:rsidP="007636B0">
                            <w:pPr>
                              <w:spacing w:after="40"/>
                              <w:ind w:left="720"/>
                            </w:pPr>
                            <w:r>
                              <w:t>BI</w:t>
                            </w:r>
                            <w:r w:rsidRPr="002049F5">
                              <w:rPr>
                                <w:vertAlign w:val="subscript"/>
                              </w:rPr>
                              <w:t>O</w:t>
                            </w:r>
                            <w:r>
                              <w:t xml:space="preserve"> = 0% for oral and dermal intakes</w:t>
                            </w:r>
                          </w:p>
                          <w:p w:rsidR="00A0097F" w:rsidRDefault="00A0097F" w:rsidP="007636B0">
                            <w:pPr>
                              <w:spacing w:after="40"/>
                              <w:ind w:left="720"/>
                            </w:pPr>
                            <w:r>
                              <w:t>BIi = 0% for inhalation</w:t>
                            </w:r>
                            <w:r w:rsidDel="00C81411">
                              <w:t xml:space="preserve"> </w:t>
                            </w:r>
                          </w:p>
                          <w:p w:rsidR="00A0097F" w:rsidRDefault="00A0097F" w:rsidP="007636B0">
                            <w:pPr>
                              <w:spacing w:after="40"/>
                            </w:pPr>
                            <w:r>
                              <w:t>Note that background intakes in areas where herbicides are used need to be considered on a site-specific basis.</w:t>
                            </w:r>
                          </w:p>
                          <w:p w:rsidR="00A0097F" w:rsidRDefault="00A0097F" w:rsidP="007636B0">
                            <w:pPr>
                              <w:spacing w:after="40"/>
                            </w:pPr>
                          </w:p>
                        </w:txbxContent>
                      </wps:txbx>
                      <wps:bodyPr rot="0" vert="horz" wrap="square" lIns="91440" tIns="45720" rIns="91440" bIns="45720" anchor="t" anchorCtr="0" upright="1">
                        <a:noAutofit/>
                      </wps:bodyPr>
                    </wps:wsp>
                  </a:graphicData>
                </a:graphic>
              </wp:inline>
            </w:drawing>
          </mc:Choice>
          <mc:Fallback>
            <w:pict>
              <v:shape id="Text Box 6" o:spid="_x0000_s1032" type="#_x0000_t202" style="width:442.7pt;height:18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" fillcolor="#d8d8d8">
                <v:textbox>
                  <w:txbxContent>
                    <w:p w:rsidR="009C6751" w:rsidRPr="00742163" w:rsidRDefault="009C6751" w:rsidP="007636B0">
                      <w:pPr>
                        <w:spacing w:after="40"/>
                        <w:rPr>
                          <w:b/>
                          <w:u w:val="single"/>
                        </w:rPr>
                      </w:pPr>
                      <w:r w:rsidRPr="00742163">
                        <w:rPr>
                          <w:b/>
                          <w:u w:val="single"/>
                        </w:rPr>
                        <w:t xml:space="preserve">Recommendation for </w:t>
                      </w:r>
                      <w:r>
                        <w:rPr>
                          <w:b/>
                          <w:u w:val="single"/>
                        </w:rPr>
                        <w:t>Picloram</w:t>
                      </w:r>
                    </w:p>
                    <w:p w:rsidR="009C6751" w:rsidRDefault="009C6751" w:rsidP="007636B0">
                      <w:pPr>
                        <w:spacing w:after="40"/>
                      </w:pPr>
                      <w:r>
                        <w:t>Oral TRV (TRV</w:t>
                      </w:r>
                      <w:r w:rsidRPr="00A54613">
                        <w:rPr>
                          <w:vertAlign w:val="subscript"/>
                        </w:rPr>
                        <w:t>O</w:t>
                      </w:r>
                      <w:r>
                        <w:t>) = 0.07 mg/kg/day (OCS 2008; NHMRC 2004; NHMRC 2009) for all pathways of exposure</w:t>
                      </w:r>
                    </w:p>
                    <w:p w:rsidR="009C6751" w:rsidRDefault="009C6751" w:rsidP="007636B0">
                      <w:pPr>
                        <w:spacing w:after="40"/>
                      </w:pPr>
                      <w:r>
                        <w:t>Dermal absorption factor (DAF) = 0.1 (or 10%) (US EPA 1995)</w:t>
                      </w:r>
                    </w:p>
                    <w:p w:rsidR="009C6751" w:rsidRDefault="009C6751" w:rsidP="007636B0">
                      <w:pPr>
                        <w:spacing w:after="40"/>
                      </w:pPr>
                      <w:r>
                        <w:t>Background intakes from other sources (as % of TRV):</w:t>
                      </w:r>
                    </w:p>
                    <w:p w:rsidR="009C6751" w:rsidRDefault="009C6751" w:rsidP="007636B0">
                      <w:pPr>
                        <w:spacing w:after="40"/>
                        <w:ind w:left="720"/>
                      </w:pPr>
                      <w:r>
                        <w:t>BI</w:t>
                      </w:r>
                      <w:r w:rsidRPr="002049F5">
                        <w:rPr>
                          <w:vertAlign w:val="subscript"/>
                        </w:rPr>
                        <w:t>O</w:t>
                      </w:r>
                      <w:r>
                        <w:t xml:space="preserve"> = 0% for oral and dermal intakes</w:t>
                      </w:r>
                    </w:p>
                    <w:p w:rsidR="009C6751" w:rsidRDefault="009C6751" w:rsidP="007636B0">
                      <w:pPr>
                        <w:spacing w:after="40"/>
                        <w:ind w:left="720"/>
                      </w:pPr>
                      <w:r>
                        <w:t>BIi = 0% for inhalation</w:t>
                      </w:r>
                      <w:r w:rsidDel="00C81411">
                        <w:t xml:space="preserve"> </w:t>
                      </w:r>
                    </w:p>
                    <w:p w:rsidR="009C6751" w:rsidRDefault="009C6751" w:rsidP="007636B0">
                      <w:pPr>
                        <w:spacing w:after="40"/>
                      </w:pPr>
                      <w:r>
                        <w:t>Note that background intakes in areas where herbicides are used need to be considered on a site-specific basis.</w:t>
                      </w:r>
                    </w:p>
                    <w:p w:rsidR="009C6751" w:rsidRDefault="009C6751" w:rsidP="007636B0">
                      <w:pPr>
                        <w:spacing w:after="40"/>
                      </w:pPr>
                    </w:p>
                  </w:txbxContent>
                </v:textbox>
                <w10:anchorlock/>
              </v:shape>
            </w:pict>
          </mc:Fallback>
        </mc:AlternateContent>
      </w:r>
    </w:p>
    <w:p w:rsidR="007636B0" w:rsidRDefault="007636B0" w:rsidP="007636B0"/>
    <w:p w:rsidR="007636B0" w:rsidRDefault="007636B0" w:rsidP="007636B0">
      <w:pPr>
        <w:pStyle w:val="Heading2"/>
        <w:tabs>
          <w:tab w:val="clear" w:pos="1209"/>
        </w:tabs>
      </w:pPr>
      <w:bookmarkStart w:id="62" w:name="_Toc351714302"/>
      <w:r>
        <w:t>Calculated HILs</w:t>
      </w:r>
      <w:bookmarkEnd w:id="62"/>
    </w:p>
    <w:p w:rsidR="007636B0" w:rsidRDefault="007636B0" w:rsidP="007636B0">
      <w:r>
        <w:t>On the basis of the above, the following HILs have been derived for picloram (refer to Appendix B for equations used to calculate the HILs and Appendix C for calculations):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9"/>
        <w:gridCol w:w="1287"/>
        <w:gridCol w:w="1445"/>
        <w:gridCol w:w="1517"/>
        <w:gridCol w:w="1553"/>
        <w:gridCol w:w="1392"/>
      </w:tblGrid>
      <w:tr w:rsidR="007636B0" w:rsidRPr="00C64237" w:rsidTr="00B45DD6">
        <w:tc>
          <w:tcPr>
            <w:tcW w:w="1639" w:type="dxa"/>
            <w:vMerge w:val="restart"/>
            <w:shd w:val="clear" w:color="auto" w:fill="C6D9F1" w:themeFill="text2" w:themeFillTint="33"/>
          </w:tcPr>
          <w:p w:rsidR="007636B0" w:rsidRPr="00C64237" w:rsidRDefault="007636B0" w:rsidP="00B45DD6">
            <w:pPr>
              <w:spacing w:after="40"/>
              <w:rPr>
                <w:b/>
                <w:szCs w:val="22"/>
              </w:rPr>
            </w:pPr>
            <w:r w:rsidRPr="00C64237">
              <w:rPr>
                <w:b/>
                <w:szCs w:val="22"/>
              </w:rPr>
              <w:t>HIL Scenario</w:t>
            </w:r>
          </w:p>
        </w:tc>
        <w:tc>
          <w:tcPr>
            <w:tcW w:w="1287" w:type="dxa"/>
            <w:vMerge w:val="restart"/>
            <w:shd w:val="clear" w:color="auto" w:fill="C6D9F1" w:themeFill="text2" w:themeFillTint="33"/>
          </w:tcPr>
          <w:p w:rsidR="007636B0" w:rsidRPr="00C64237" w:rsidRDefault="007636B0" w:rsidP="00B45DD6">
            <w:pPr>
              <w:spacing w:after="40"/>
              <w:jc w:val="center"/>
              <w:rPr>
                <w:b/>
                <w:szCs w:val="22"/>
              </w:rPr>
            </w:pPr>
            <w:r w:rsidRPr="00C64237">
              <w:rPr>
                <w:b/>
                <w:szCs w:val="22"/>
              </w:rPr>
              <w:t>HIL (mg/kg)</w:t>
            </w:r>
          </w:p>
        </w:tc>
        <w:tc>
          <w:tcPr>
            <w:tcW w:w="5907" w:type="dxa"/>
            <w:gridSpan w:val="4"/>
            <w:shd w:val="clear" w:color="auto" w:fill="C6D9F1" w:themeFill="text2" w:themeFillTint="33"/>
          </w:tcPr>
          <w:p w:rsidR="007636B0" w:rsidRPr="00C64237" w:rsidRDefault="007636B0" w:rsidP="00B45DD6">
            <w:pPr>
              <w:spacing w:after="40"/>
              <w:jc w:val="center"/>
              <w:rPr>
                <w:b/>
                <w:szCs w:val="22"/>
              </w:rPr>
            </w:pPr>
            <w:r w:rsidRPr="00C64237">
              <w:rPr>
                <w:b/>
                <w:szCs w:val="22"/>
              </w:rPr>
              <w:t>Percentage Contribution from Exposure Pathways</w:t>
            </w:r>
          </w:p>
        </w:tc>
      </w:tr>
      <w:tr w:rsidR="007636B0" w:rsidRPr="00C64237" w:rsidTr="00B45DD6">
        <w:trPr>
          <w:trHeight w:val="427"/>
        </w:trPr>
        <w:tc>
          <w:tcPr>
            <w:tcW w:w="1639" w:type="dxa"/>
            <w:vMerge/>
            <w:shd w:val="clear" w:color="auto" w:fill="C6D9F1" w:themeFill="text2" w:themeFillTint="33"/>
          </w:tcPr>
          <w:p w:rsidR="007636B0" w:rsidRPr="00C64237" w:rsidRDefault="007636B0" w:rsidP="00B45DD6">
            <w:pPr>
              <w:spacing w:after="40"/>
              <w:rPr>
                <w:szCs w:val="22"/>
              </w:rPr>
            </w:pPr>
          </w:p>
        </w:tc>
        <w:tc>
          <w:tcPr>
            <w:tcW w:w="1287" w:type="dxa"/>
            <w:vMerge/>
            <w:shd w:val="clear" w:color="auto" w:fill="C6D9F1" w:themeFill="text2" w:themeFillTint="33"/>
          </w:tcPr>
          <w:p w:rsidR="007636B0" w:rsidRPr="00C64237" w:rsidRDefault="007636B0" w:rsidP="00B45DD6">
            <w:pPr>
              <w:spacing w:after="40"/>
              <w:jc w:val="center"/>
              <w:rPr>
                <w:szCs w:val="22"/>
              </w:rPr>
            </w:pPr>
          </w:p>
        </w:tc>
        <w:tc>
          <w:tcPr>
            <w:tcW w:w="1445" w:type="dxa"/>
            <w:shd w:val="clear" w:color="auto" w:fill="C6D9F1" w:themeFill="text2" w:themeFillTint="33"/>
          </w:tcPr>
          <w:p w:rsidR="007636B0" w:rsidRPr="00C64237" w:rsidRDefault="007636B0" w:rsidP="00B45DD6">
            <w:pPr>
              <w:spacing w:after="40"/>
              <w:jc w:val="center"/>
              <w:rPr>
                <w:b/>
                <w:szCs w:val="22"/>
              </w:rPr>
            </w:pPr>
            <w:r w:rsidRPr="00C64237">
              <w:rPr>
                <w:b/>
                <w:szCs w:val="22"/>
              </w:rPr>
              <w:t>Ingestion of Soil/Dust</w:t>
            </w:r>
          </w:p>
        </w:tc>
        <w:tc>
          <w:tcPr>
            <w:tcW w:w="1517" w:type="dxa"/>
            <w:shd w:val="clear" w:color="auto" w:fill="C6D9F1" w:themeFill="text2" w:themeFillTint="33"/>
          </w:tcPr>
          <w:p w:rsidR="007636B0" w:rsidRPr="00C64237" w:rsidRDefault="007636B0" w:rsidP="00B45DD6">
            <w:pPr>
              <w:spacing w:after="40"/>
              <w:jc w:val="center"/>
              <w:rPr>
                <w:b/>
                <w:szCs w:val="22"/>
              </w:rPr>
            </w:pPr>
            <w:r w:rsidRPr="00C64237">
              <w:rPr>
                <w:b/>
                <w:szCs w:val="22"/>
              </w:rPr>
              <w:t>Ingestion of Home-grown Produce</w:t>
            </w:r>
          </w:p>
        </w:tc>
        <w:tc>
          <w:tcPr>
            <w:tcW w:w="1553" w:type="dxa"/>
            <w:shd w:val="clear" w:color="auto" w:fill="C6D9F1" w:themeFill="text2" w:themeFillTint="33"/>
          </w:tcPr>
          <w:p w:rsidR="007636B0" w:rsidRPr="00C64237" w:rsidRDefault="007636B0" w:rsidP="00B45DD6">
            <w:pPr>
              <w:spacing w:after="40"/>
              <w:jc w:val="center"/>
              <w:rPr>
                <w:b/>
                <w:szCs w:val="22"/>
              </w:rPr>
            </w:pPr>
            <w:r w:rsidRPr="00C64237">
              <w:rPr>
                <w:b/>
                <w:szCs w:val="22"/>
              </w:rPr>
              <w:t>Dermal Absorption of Soil/Dust</w:t>
            </w:r>
          </w:p>
        </w:tc>
        <w:tc>
          <w:tcPr>
            <w:tcW w:w="1392" w:type="dxa"/>
            <w:shd w:val="clear" w:color="auto" w:fill="C6D9F1" w:themeFill="text2" w:themeFillTint="33"/>
          </w:tcPr>
          <w:p w:rsidR="007636B0" w:rsidRPr="00C64237" w:rsidRDefault="007636B0" w:rsidP="00B45DD6">
            <w:pPr>
              <w:spacing w:after="40"/>
              <w:jc w:val="center"/>
              <w:rPr>
                <w:b/>
                <w:szCs w:val="22"/>
              </w:rPr>
            </w:pPr>
            <w:r w:rsidRPr="00C64237">
              <w:rPr>
                <w:b/>
                <w:szCs w:val="22"/>
              </w:rPr>
              <w:t>Inhalation (dust)</w:t>
            </w:r>
          </w:p>
        </w:tc>
      </w:tr>
      <w:tr w:rsidR="007636B0" w:rsidRPr="00C64237" w:rsidTr="00B45DD6">
        <w:tc>
          <w:tcPr>
            <w:tcW w:w="1639" w:type="dxa"/>
          </w:tcPr>
          <w:p w:rsidR="007636B0" w:rsidRPr="00C64237" w:rsidRDefault="007636B0" w:rsidP="00B45DD6">
            <w:pPr>
              <w:spacing w:after="40"/>
              <w:rPr>
                <w:szCs w:val="22"/>
              </w:rPr>
            </w:pPr>
            <w:r w:rsidRPr="00C64237">
              <w:rPr>
                <w:szCs w:val="22"/>
              </w:rPr>
              <w:t>Residential A</w:t>
            </w:r>
          </w:p>
        </w:tc>
        <w:tc>
          <w:tcPr>
            <w:tcW w:w="1287" w:type="dxa"/>
            <w:tcMar>
              <w:right w:w="397" w:type="dxa"/>
            </w:tcMar>
          </w:tcPr>
          <w:p w:rsidR="007636B0" w:rsidRPr="00C64237" w:rsidRDefault="007636B0" w:rsidP="00B45DD6">
            <w:pPr>
              <w:spacing w:after="40"/>
              <w:jc w:val="right"/>
              <w:rPr>
                <w:szCs w:val="22"/>
              </w:rPr>
            </w:pPr>
            <w:r w:rsidRPr="00C64237">
              <w:rPr>
                <w:szCs w:val="22"/>
              </w:rPr>
              <w:t>4500</w:t>
            </w:r>
          </w:p>
        </w:tc>
        <w:tc>
          <w:tcPr>
            <w:tcW w:w="1445" w:type="dxa"/>
          </w:tcPr>
          <w:p w:rsidR="007636B0" w:rsidRPr="00C64237" w:rsidRDefault="007636B0" w:rsidP="00B45DD6">
            <w:pPr>
              <w:spacing w:after="40"/>
              <w:jc w:val="center"/>
              <w:rPr>
                <w:szCs w:val="22"/>
              </w:rPr>
            </w:pPr>
            <w:r w:rsidRPr="00C64237">
              <w:rPr>
                <w:szCs w:val="22"/>
              </w:rPr>
              <w:t>43</w:t>
            </w:r>
          </w:p>
        </w:tc>
        <w:tc>
          <w:tcPr>
            <w:tcW w:w="1517" w:type="dxa"/>
          </w:tcPr>
          <w:p w:rsidR="007636B0" w:rsidRPr="00C64237" w:rsidRDefault="007636B0" w:rsidP="00B45DD6">
            <w:pPr>
              <w:spacing w:after="40"/>
              <w:jc w:val="center"/>
              <w:rPr>
                <w:szCs w:val="22"/>
              </w:rPr>
            </w:pPr>
            <w:r w:rsidRPr="00C64237">
              <w:rPr>
                <w:szCs w:val="22"/>
              </w:rPr>
              <w:t>--</w:t>
            </w:r>
          </w:p>
        </w:tc>
        <w:tc>
          <w:tcPr>
            <w:tcW w:w="1553" w:type="dxa"/>
          </w:tcPr>
          <w:p w:rsidR="007636B0" w:rsidRPr="00C64237" w:rsidRDefault="007636B0" w:rsidP="00B45DD6">
            <w:pPr>
              <w:spacing w:after="40"/>
              <w:jc w:val="center"/>
              <w:rPr>
                <w:szCs w:val="22"/>
              </w:rPr>
            </w:pPr>
            <w:r w:rsidRPr="00C64237">
              <w:rPr>
                <w:szCs w:val="22"/>
              </w:rPr>
              <w:t>57</w:t>
            </w:r>
          </w:p>
        </w:tc>
        <w:tc>
          <w:tcPr>
            <w:tcW w:w="1392" w:type="dxa"/>
          </w:tcPr>
          <w:p w:rsidR="007636B0" w:rsidRPr="00C64237" w:rsidRDefault="007636B0" w:rsidP="00B45DD6">
            <w:pPr>
              <w:spacing w:after="40"/>
              <w:jc w:val="center"/>
              <w:rPr>
                <w:szCs w:val="22"/>
              </w:rPr>
            </w:pPr>
            <w:r w:rsidRPr="00C64237">
              <w:rPr>
                <w:szCs w:val="22"/>
              </w:rPr>
              <w:t>&lt;1</w:t>
            </w:r>
          </w:p>
        </w:tc>
      </w:tr>
      <w:tr w:rsidR="007636B0" w:rsidRPr="00C64237" w:rsidTr="00B45DD6">
        <w:tc>
          <w:tcPr>
            <w:tcW w:w="1639" w:type="dxa"/>
          </w:tcPr>
          <w:p w:rsidR="007636B0" w:rsidRPr="00C64237" w:rsidRDefault="007636B0" w:rsidP="00B45DD6">
            <w:pPr>
              <w:spacing w:after="40"/>
              <w:rPr>
                <w:szCs w:val="22"/>
              </w:rPr>
            </w:pPr>
            <w:r w:rsidRPr="00C64237">
              <w:rPr>
                <w:szCs w:val="22"/>
              </w:rPr>
              <w:t>Residential B</w:t>
            </w:r>
          </w:p>
        </w:tc>
        <w:tc>
          <w:tcPr>
            <w:tcW w:w="1287" w:type="dxa"/>
            <w:tcMar>
              <w:right w:w="397" w:type="dxa"/>
            </w:tcMar>
          </w:tcPr>
          <w:p w:rsidR="007636B0" w:rsidRPr="00C64237" w:rsidRDefault="007636B0" w:rsidP="00B45DD6">
            <w:pPr>
              <w:spacing w:after="40"/>
              <w:jc w:val="right"/>
              <w:rPr>
                <w:szCs w:val="22"/>
              </w:rPr>
            </w:pPr>
            <w:r w:rsidRPr="00C64237">
              <w:rPr>
                <w:szCs w:val="22"/>
              </w:rPr>
              <w:t>6600</w:t>
            </w:r>
          </w:p>
        </w:tc>
        <w:tc>
          <w:tcPr>
            <w:tcW w:w="1445" w:type="dxa"/>
          </w:tcPr>
          <w:p w:rsidR="007636B0" w:rsidRPr="00C64237" w:rsidRDefault="007636B0" w:rsidP="00B45DD6">
            <w:pPr>
              <w:spacing w:after="40"/>
              <w:jc w:val="center"/>
              <w:rPr>
                <w:szCs w:val="22"/>
              </w:rPr>
            </w:pPr>
            <w:r w:rsidRPr="00C64237">
              <w:rPr>
                <w:szCs w:val="22"/>
              </w:rPr>
              <w:t>16</w:t>
            </w:r>
          </w:p>
        </w:tc>
        <w:tc>
          <w:tcPr>
            <w:tcW w:w="1517" w:type="dxa"/>
          </w:tcPr>
          <w:p w:rsidR="007636B0" w:rsidRPr="00C64237" w:rsidRDefault="007636B0" w:rsidP="00B45DD6">
            <w:pPr>
              <w:spacing w:after="40"/>
              <w:jc w:val="center"/>
              <w:rPr>
                <w:szCs w:val="22"/>
              </w:rPr>
            </w:pPr>
            <w:r w:rsidRPr="00C64237">
              <w:rPr>
                <w:szCs w:val="22"/>
              </w:rPr>
              <w:t>--</w:t>
            </w:r>
          </w:p>
        </w:tc>
        <w:tc>
          <w:tcPr>
            <w:tcW w:w="1553" w:type="dxa"/>
          </w:tcPr>
          <w:p w:rsidR="007636B0" w:rsidRPr="00C64237" w:rsidRDefault="007636B0" w:rsidP="00B45DD6">
            <w:pPr>
              <w:spacing w:after="40"/>
              <w:jc w:val="center"/>
              <w:rPr>
                <w:szCs w:val="22"/>
              </w:rPr>
            </w:pPr>
            <w:r w:rsidRPr="00C64237">
              <w:rPr>
                <w:szCs w:val="22"/>
              </w:rPr>
              <w:t>84</w:t>
            </w:r>
          </w:p>
        </w:tc>
        <w:tc>
          <w:tcPr>
            <w:tcW w:w="1392" w:type="dxa"/>
          </w:tcPr>
          <w:p w:rsidR="007636B0" w:rsidRPr="00C64237" w:rsidRDefault="007636B0" w:rsidP="00B45DD6">
            <w:pPr>
              <w:spacing w:after="40"/>
              <w:jc w:val="center"/>
              <w:rPr>
                <w:szCs w:val="22"/>
              </w:rPr>
            </w:pPr>
            <w:r w:rsidRPr="00C64237">
              <w:rPr>
                <w:szCs w:val="22"/>
              </w:rPr>
              <w:t>&lt;1</w:t>
            </w:r>
          </w:p>
        </w:tc>
      </w:tr>
      <w:tr w:rsidR="007636B0" w:rsidRPr="00C64237" w:rsidTr="00B45DD6">
        <w:tc>
          <w:tcPr>
            <w:tcW w:w="1639" w:type="dxa"/>
          </w:tcPr>
          <w:p w:rsidR="007636B0" w:rsidRPr="00C64237" w:rsidRDefault="007636B0" w:rsidP="00B45DD6">
            <w:pPr>
              <w:spacing w:after="40"/>
              <w:rPr>
                <w:szCs w:val="22"/>
              </w:rPr>
            </w:pPr>
            <w:r w:rsidRPr="00C64237">
              <w:rPr>
                <w:szCs w:val="22"/>
              </w:rPr>
              <w:t>Recreational C</w:t>
            </w:r>
          </w:p>
        </w:tc>
        <w:tc>
          <w:tcPr>
            <w:tcW w:w="1287" w:type="dxa"/>
            <w:tcMar>
              <w:right w:w="397" w:type="dxa"/>
            </w:tcMar>
          </w:tcPr>
          <w:p w:rsidR="007636B0" w:rsidRPr="00C64237" w:rsidRDefault="007636B0" w:rsidP="00B45DD6">
            <w:pPr>
              <w:spacing w:after="40"/>
              <w:jc w:val="right"/>
              <w:rPr>
                <w:szCs w:val="22"/>
              </w:rPr>
            </w:pPr>
            <w:r w:rsidRPr="00C64237">
              <w:rPr>
                <w:szCs w:val="22"/>
              </w:rPr>
              <w:t>5700</w:t>
            </w:r>
          </w:p>
        </w:tc>
        <w:tc>
          <w:tcPr>
            <w:tcW w:w="1445" w:type="dxa"/>
          </w:tcPr>
          <w:p w:rsidR="007636B0" w:rsidRPr="00C64237" w:rsidRDefault="007636B0" w:rsidP="00B45DD6">
            <w:pPr>
              <w:spacing w:after="40"/>
              <w:jc w:val="center"/>
              <w:rPr>
                <w:szCs w:val="22"/>
              </w:rPr>
            </w:pPr>
            <w:r w:rsidRPr="00C64237">
              <w:rPr>
                <w:szCs w:val="22"/>
              </w:rPr>
              <w:t>27</w:t>
            </w:r>
          </w:p>
        </w:tc>
        <w:tc>
          <w:tcPr>
            <w:tcW w:w="1517" w:type="dxa"/>
          </w:tcPr>
          <w:p w:rsidR="007636B0" w:rsidRPr="00C64237" w:rsidRDefault="007636B0" w:rsidP="00B45DD6">
            <w:pPr>
              <w:spacing w:after="40"/>
              <w:jc w:val="center"/>
              <w:rPr>
                <w:szCs w:val="22"/>
              </w:rPr>
            </w:pPr>
            <w:r w:rsidRPr="00C64237">
              <w:rPr>
                <w:szCs w:val="22"/>
              </w:rPr>
              <w:t>--</w:t>
            </w:r>
          </w:p>
        </w:tc>
        <w:tc>
          <w:tcPr>
            <w:tcW w:w="1553" w:type="dxa"/>
          </w:tcPr>
          <w:p w:rsidR="007636B0" w:rsidRPr="00C64237" w:rsidRDefault="007636B0" w:rsidP="00B45DD6">
            <w:pPr>
              <w:spacing w:after="40"/>
              <w:jc w:val="center"/>
              <w:rPr>
                <w:szCs w:val="22"/>
              </w:rPr>
            </w:pPr>
            <w:r w:rsidRPr="00C64237">
              <w:rPr>
                <w:szCs w:val="22"/>
              </w:rPr>
              <w:t>73</w:t>
            </w:r>
          </w:p>
        </w:tc>
        <w:tc>
          <w:tcPr>
            <w:tcW w:w="1392" w:type="dxa"/>
          </w:tcPr>
          <w:p w:rsidR="007636B0" w:rsidRPr="00C64237" w:rsidRDefault="007636B0" w:rsidP="00B45DD6">
            <w:pPr>
              <w:spacing w:after="40"/>
              <w:jc w:val="center"/>
              <w:rPr>
                <w:szCs w:val="22"/>
              </w:rPr>
            </w:pPr>
            <w:r w:rsidRPr="00C64237">
              <w:rPr>
                <w:szCs w:val="22"/>
              </w:rPr>
              <w:t>&lt;1</w:t>
            </w:r>
          </w:p>
        </w:tc>
      </w:tr>
      <w:tr w:rsidR="007636B0" w:rsidRPr="00C64237" w:rsidTr="00B45DD6">
        <w:tc>
          <w:tcPr>
            <w:tcW w:w="1639" w:type="dxa"/>
          </w:tcPr>
          <w:p w:rsidR="007636B0" w:rsidRPr="00C64237" w:rsidRDefault="007636B0" w:rsidP="00B45DD6">
            <w:pPr>
              <w:spacing w:after="40"/>
              <w:rPr>
                <w:szCs w:val="22"/>
              </w:rPr>
            </w:pPr>
            <w:r w:rsidRPr="00C64237">
              <w:rPr>
                <w:szCs w:val="22"/>
              </w:rPr>
              <w:t>Commercial D</w:t>
            </w:r>
          </w:p>
        </w:tc>
        <w:tc>
          <w:tcPr>
            <w:tcW w:w="1287" w:type="dxa"/>
            <w:tcMar>
              <w:right w:w="397" w:type="dxa"/>
            </w:tcMar>
          </w:tcPr>
          <w:p w:rsidR="007636B0" w:rsidRPr="00C64237" w:rsidRDefault="007636B0" w:rsidP="00B45DD6">
            <w:pPr>
              <w:spacing w:after="40"/>
              <w:jc w:val="right"/>
              <w:rPr>
                <w:szCs w:val="22"/>
              </w:rPr>
            </w:pPr>
            <w:r w:rsidRPr="00C64237">
              <w:rPr>
                <w:szCs w:val="22"/>
              </w:rPr>
              <w:t>35 000</w:t>
            </w:r>
          </w:p>
        </w:tc>
        <w:tc>
          <w:tcPr>
            <w:tcW w:w="1445" w:type="dxa"/>
          </w:tcPr>
          <w:p w:rsidR="007636B0" w:rsidRPr="00C64237" w:rsidRDefault="007636B0" w:rsidP="00B45DD6">
            <w:pPr>
              <w:spacing w:after="40"/>
              <w:jc w:val="center"/>
              <w:rPr>
                <w:szCs w:val="22"/>
              </w:rPr>
            </w:pPr>
            <w:r w:rsidRPr="00C64237">
              <w:rPr>
                <w:szCs w:val="22"/>
              </w:rPr>
              <w:t>12</w:t>
            </w:r>
          </w:p>
        </w:tc>
        <w:tc>
          <w:tcPr>
            <w:tcW w:w="1517" w:type="dxa"/>
          </w:tcPr>
          <w:p w:rsidR="007636B0" w:rsidRPr="00C64237" w:rsidRDefault="007636B0" w:rsidP="00B45DD6">
            <w:pPr>
              <w:spacing w:after="40"/>
              <w:jc w:val="center"/>
              <w:rPr>
                <w:szCs w:val="22"/>
              </w:rPr>
            </w:pPr>
            <w:r w:rsidRPr="00C64237">
              <w:rPr>
                <w:szCs w:val="22"/>
              </w:rPr>
              <w:t>--</w:t>
            </w:r>
          </w:p>
        </w:tc>
        <w:tc>
          <w:tcPr>
            <w:tcW w:w="1553" w:type="dxa"/>
          </w:tcPr>
          <w:p w:rsidR="007636B0" w:rsidRPr="00C64237" w:rsidRDefault="007636B0" w:rsidP="00B45DD6">
            <w:pPr>
              <w:spacing w:after="40"/>
              <w:jc w:val="center"/>
              <w:rPr>
                <w:szCs w:val="22"/>
              </w:rPr>
            </w:pPr>
            <w:r w:rsidRPr="00C64237">
              <w:rPr>
                <w:szCs w:val="22"/>
              </w:rPr>
              <w:t>88</w:t>
            </w:r>
          </w:p>
        </w:tc>
        <w:tc>
          <w:tcPr>
            <w:tcW w:w="1392" w:type="dxa"/>
          </w:tcPr>
          <w:p w:rsidR="007636B0" w:rsidRPr="00C64237" w:rsidRDefault="007636B0" w:rsidP="00B45DD6">
            <w:pPr>
              <w:spacing w:after="40"/>
              <w:jc w:val="center"/>
              <w:rPr>
                <w:szCs w:val="22"/>
              </w:rPr>
            </w:pPr>
            <w:r w:rsidRPr="00C64237">
              <w:rPr>
                <w:szCs w:val="22"/>
              </w:rPr>
              <w:t>&lt;1</w:t>
            </w:r>
          </w:p>
        </w:tc>
      </w:tr>
    </w:tbl>
    <w:p w:rsidR="007636B0" w:rsidRPr="00C64237" w:rsidRDefault="007636B0" w:rsidP="007636B0">
      <w:pPr>
        <w:rPr>
          <w:sz w:val="18"/>
          <w:szCs w:val="18"/>
        </w:rPr>
      </w:pPr>
      <w:r w:rsidRPr="00C64237">
        <w:rPr>
          <w:sz w:val="18"/>
          <w:szCs w:val="18"/>
        </w:rPr>
        <w:t>-- Pathway not included in derivation of HIL</w:t>
      </w:r>
    </w:p>
    <w:p w:rsidR="007636B0" w:rsidRDefault="007636B0" w:rsidP="007636B0"/>
    <w:p w:rsidR="007636B0" w:rsidRDefault="007636B0" w:rsidP="007636B0">
      <w:pPr>
        <w:rPr>
          <w:b/>
          <w:kern w:val="28"/>
          <w:sz w:val="24"/>
        </w:rPr>
      </w:pPr>
      <w:r>
        <w:br w:type="page"/>
      </w:r>
    </w:p>
    <w:p w:rsidR="007636B0" w:rsidRDefault="007636B0" w:rsidP="007636B0">
      <w:pPr>
        <w:pStyle w:val="Heading2"/>
        <w:tabs>
          <w:tab w:val="clear" w:pos="1209"/>
        </w:tabs>
      </w:pPr>
      <w:bookmarkStart w:id="63" w:name="_Toc351714303"/>
      <w:r>
        <w:lastRenderedPageBreak/>
        <w:t>References</w:t>
      </w:r>
      <w:bookmarkEnd w:id="63"/>
    </w:p>
    <w:p w:rsidR="007636B0" w:rsidRPr="00C64237" w:rsidRDefault="007636B0" w:rsidP="007636B0">
      <w:pPr>
        <w:pStyle w:val="StyletextLeft0cmHanging1cm"/>
      </w:pPr>
      <w:r w:rsidRPr="00C64237">
        <w:t xml:space="preserve">APVMA 2009, </w:t>
      </w:r>
      <w:r w:rsidRPr="00C64237">
        <w:rPr>
          <w:i/>
        </w:rPr>
        <w:t>Chemicals Nominated for Review</w:t>
      </w:r>
      <w:r w:rsidRPr="00C64237">
        <w:t xml:space="preserve">, last update unknown, accessed July 2009, Australian Pesticides and Veterinary Medicines Authority (APVMA), </w:t>
      </w:r>
      <w:hyperlink r:id="rId29" w:history="1">
        <w:r w:rsidRPr="00C64237">
          <w:rPr>
            <w:rStyle w:val="Hyperlink"/>
            <w:szCs w:val="22"/>
          </w:rPr>
          <w:t>http://www.apvma.gov.au/chemrev/ChemRevProgram.shtml</w:t>
        </w:r>
      </w:hyperlink>
      <w:r w:rsidRPr="00C64237">
        <w:t>.</w:t>
      </w:r>
    </w:p>
    <w:p w:rsidR="007636B0" w:rsidRPr="00C64237" w:rsidRDefault="007636B0" w:rsidP="007636B0">
      <w:pPr>
        <w:pStyle w:val="StyletextLeft0cmHanging1cm"/>
      </w:pPr>
      <w:r w:rsidRPr="00C64237">
        <w:t xml:space="preserve">FSANZ 2003, </w:t>
      </w:r>
      <w:r w:rsidRPr="00C64237">
        <w:rPr>
          <w:i/>
        </w:rPr>
        <w:t>The 20th Australian Total Diet Survey</w:t>
      </w:r>
      <w:r w:rsidRPr="00C64237">
        <w:t xml:space="preserve">, a total diet survey of pesticide residues and contaminants. website: </w:t>
      </w:r>
      <w:hyperlink r:id="rId30" w:history="1">
        <w:r w:rsidRPr="00C64237">
          <w:rPr>
            <w:rStyle w:val="Hyperlink"/>
            <w:i/>
            <w:iCs/>
            <w:szCs w:val="22"/>
          </w:rPr>
          <w:t>http://www.anzfa.gov.au/</w:t>
        </w:r>
      </w:hyperlink>
      <w:r w:rsidRPr="00C64237">
        <w:t>.</w:t>
      </w:r>
    </w:p>
    <w:p w:rsidR="007636B0" w:rsidRPr="00C64237" w:rsidRDefault="007636B0" w:rsidP="007636B0">
      <w:pPr>
        <w:pStyle w:val="StyletextLeft0cmHanging1cm"/>
        <w:rPr>
          <w:lang w:eastAsia="en-US"/>
        </w:rPr>
      </w:pPr>
      <w:r w:rsidRPr="00C64237">
        <w:rPr>
          <w:lang w:eastAsia="en-US"/>
        </w:rPr>
        <w:t xml:space="preserve">FSANZ 2011, </w:t>
      </w:r>
      <w:r w:rsidRPr="00C64237">
        <w:rPr>
          <w:i/>
          <w:lang w:eastAsia="en-US"/>
        </w:rPr>
        <w:t>The 23</w:t>
      </w:r>
      <w:r w:rsidRPr="00C64237">
        <w:rPr>
          <w:i/>
          <w:vertAlign w:val="superscript"/>
          <w:lang w:eastAsia="en-US"/>
        </w:rPr>
        <w:t>rd</w:t>
      </w:r>
      <w:r w:rsidRPr="00C64237">
        <w:rPr>
          <w:i/>
          <w:lang w:eastAsia="en-US"/>
        </w:rPr>
        <w:t xml:space="preserve"> Australian Total Diet Study</w:t>
      </w:r>
      <w:r w:rsidRPr="00C64237">
        <w:rPr>
          <w:lang w:eastAsia="en-US"/>
        </w:rPr>
        <w:t>, Food Standards Australia and New Zealand.</w:t>
      </w:r>
    </w:p>
    <w:p w:rsidR="007636B0" w:rsidRPr="00C64237" w:rsidRDefault="007636B0" w:rsidP="007636B0">
      <w:pPr>
        <w:pStyle w:val="StyletextLeft0cmHanging1cm"/>
        <w:rPr>
          <w:noProof/>
        </w:rPr>
      </w:pPr>
      <w:r w:rsidRPr="00C64237">
        <w:rPr>
          <w:noProof/>
        </w:rPr>
        <w:t xml:space="preserve">Health Canada 1988, </w:t>
      </w:r>
      <w:r w:rsidRPr="00C64237">
        <w:rPr>
          <w:i/>
          <w:noProof/>
        </w:rPr>
        <w:t>Picloram, Environmental and Workplace Health</w:t>
      </w:r>
      <w:r w:rsidRPr="00C64237">
        <w:rPr>
          <w:noProof/>
        </w:rPr>
        <w:t xml:space="preserve">, reviewed in 1990, available from: </w:t>
      </w:r>
      <w:hyperlink r:id="rId31" w:history="1">
        <w:r w:rsidRPr="00C64237">
          <w:rPr>
            <w:rStyle w:val="Hyperlink"/>
            <w:noProof/>
            <w:szCs w:val="22"/>
          </w:rPr>
          <w:t>http://www.hc-sc.gc.ca/ewh-semt/pubs/water-eau/picloram-piclorame/index-eng.php</w:t>
        </w:r>
      </w:hyperlink>
      <w:r w:rsidRPr="00C64237">
        <w:rPr>
          <w:noProof/>
        </w:rPr>
        <w:t>.</w:t>
      </w:r>
    </w:p>
    <w:p w:rsidR="007636B0" w:rsidRPr="00C64237" w:rsidRDefault="007636B0" w:rsidP="007636B0">
      <w:pPr>
        <w:pStyle w:val="StyletextLeft0cmHanging1cm"/>
      </w:pPr>
      <w:r w:rsidRPr="00C64237">
        <w:t xml:space="preserve">IARC 1991, </w:t>
      </w:r>
      <w:r w:rsidRPr="00C64237">
        <w:rPr>
          <w:i/>
        </w:rPr>
        <w:t>Summaries and Evaluations, Picloram</w:t>
      </w:r>
      <w:r w:rsidRPr="00C64237">
        <w:t>, vol. 53 (1991), p,481, International Agency for Research on Cancer.</w:t>
      </w:r>
    </w:p>
    <w:p w:rsidR="007636B0" w:rsidRPr="00C64237" w:rsidRDefault="007636B0" w:rsidP="007636B0">
      <w:pPr>
        <w:pStyle w:val="StyletextLeft0cmHanging1cm"/>
      </w:pPr>
      <w:r w:rsidRPr="00C64237">
        <w:t xml:space="preserve">NEPC 1999, </w:t>
      </w:r>
      <w:r w:rsidRPr="00C64237">
        <w:rPr>
          <w:i/>
        </w:rPr>
        <w:t>Schedule B (7a), Guideline on Health-Based Investigation Levels, National Environment Protection (Assessment of Site Contamination) Measure</w:t>
      </w:r>
      <w:r w:rsidRPr="00C64237">
        <w:t>, National Environment Protection Council, Australia.</w:t>
      </w:r>
    </w:p>
    <w:p w:rsidR="007636B0" w:rsidRPr="00C64237" w:rsidRDefault="007636B0" w:rsidP="007636B0">
      <w:pPr>
        <w:pStyle w:val="StyletextLeft0cmHanging1cm"/>
      </w:pPr>
      <w:r w:rsidRPr="00C64237">
        <w:t xml:space="preserve">NCAP 1998, ‘Picloram, Herbicide Fact Sheet’, Northwest Coalition for Alternatives to Pesticides, </w:t>
      </w:r>
      <w:r w:rsidRPr="00C64237">
        <w:rPr>
          <w:i/>
        </w:rPr>
        <w:t>Journal of Pesticide Reform,</w:t>
      </w:r>
      <w:r w:rsidRPr="00C64237">
        <w:t xml:space="preserve"> Spring 1998, vol. 18, No.1. </w:t>
      </w:r>
    </w:p>
    <w:p w:rsidR="007636B0" w:rsidRPr="00C64237" w:rsidRDefault="007636B0" w:rsidP="007636B0">
      <w:pPr>
        <w:pStyle w:val="StyletextLeft0cmHanging1cm"/>
        <w:rPr>
          <w:noProof/>
        </w:rPr>
      </w:pPr>
      <w:r w:rsidRPr="00C64237">
        <w:t xml:space="preserve">NHMRC 2011, </w:t>
      </w:r>
      <w:r w:rsidRPr="00C64237">
        <w:rPr>
          <w:i/>
          <w:iCs/>
        </w:rPr>
        <w:t>National water quality management strategy, Australian drinking water guidelines</w:t>
      </w:r>
      <w:r w:rsidRPr="00C64237">
        <w:t>, National Health and Medical Research Council, Australia</w:t>
      </w:r>
      <w:r w:rsidRPr="00C64237">
        <w:rPr>
          <w:noProof/>
        </w:rPr>
        <w:t>.</w:t>
      </w:r>
    </w:p>
    <w:p w:rsidR="007636B0" w:rsidRPr="00C64237" w:rsidRDefault="007636B0" w:rsidP="007636B0">
      <w:pPr>
        <w:pStyle w:val="StyletextLeft0cmHanging1cm"/>
        <w:rPr>
          <w:rFonts w:cs="Arial"/>
          <w:noProof/>
        </w:rPr>
      </w:pPr>
      <w:r w:rsidRPr="00C64237">
        <w:rPr>
          <w:rFonts w:cs="Arial"/>
          <w:noProof/>
        </w:rPr>
        <w:t xml:space="preserve">OCS 2012, </w:t>
      </w:r>
      <w:r w:rsidRPr="00C64237">
        <w:rPr>
          <w:rFonts w:cs="Arial"/>
          <w:i/>
          <w:noProof/>
        </w:rPr>
        <w:t>ADI List, Acceptable Daily Intakes for Agricultural and Veterinary Chemicals</w:t>
      </w:r>
      <w:r w:rsidRPr="00C64237">
        <w:rPr>
          <w:rFonts w:cs="Arial"/>
          <w:noProof/>
        </w:rPr>
        <w:t xml:space="preserve">, current to 31 March 2012, Australian Government, Department of Health and Ageing, Office of Chemical Safety (OCS), available from: </w:t>
      </w:r>
      <w:r w:rsidRPr="00C64237">
        <w:rPr>
          <w:rFonts w:cs="Arial"/>
        </w:rPr>
        <w:t>http://www.health.gov.au/internet/main/publishing.nsf/content/E8F4D2F95D616584CA2573D700770C2A/$File/ADI-apr12.pdf.</w:t>
      </w:r>
    </w:p>
    <w:p w:rsidR="007636B0" w:rsidRPr="00C64237" w:rsidRDefault="007636B0" w:rsidP="007636B0">
      <w:pPr>
        <w:pStyle w:val="StyletextLeft0cmHanging1cm"/>
      </w:pPr>
      <w:r w:rsidRPr="00C64237">
        <w:t xml:space="preserve">OEHHA 1997, </w:t>
      </w:r>
      <w:r w:rsidRPr="00C64237">
        <w:rPr>
          <w:i/>
        </w:rPr>
        <w:t>Public Health Goal for Picloram in Drinking Water</w:t>
      </w:r>
      <w:r w:rsidRPr="00C64237">
        <w:t>, prepared by Pesticide and Environmental Toxicology Section, Office of Environmental Health Hazard Assessment, California Environmental Protection Agency, December 1997.</w:t>
      </w:r>
    </w:p>
    <w:p w:rsidR="007636B0" w:rsidRPr="00C64237" w:rsidRDefault="007636B0" w:rsidP="007636B0">
      <w:pPr>
        <w:pStyle w:val="StyletextLeft0cmHanging1cm"/>
      </w:pPr>
      <w:r w:rsidRPr="00C64237">
        <w:t xml:space="preserve">US EPA (IRIS 2012), data and information available from the </w:t>
      </w:r>
      <w:r w:rsidRPr="00C64237">
        <w:rPr>
          <w:i/>
        </w:rPr>
        <w:t>Integrated Risk Information System</w:t>
      </w:r>
      <w:r w:rsidRPr="00C64237">
        <w:t xml:space="preserve">, an online database, available from </w:t>
      </w:r>
      <w:hyperlink r:id="rId32" w:history="1">
        <w:r w:rsidRPr="00C64237">
          <w:rPr>
            <w:rStyle w:val="Hyperlink"/>
            <w:szCs w:val="22"/>
          </w:rPr>
          <w:t>http://www.epa.gov/iris/</w:t>
        </w:r>
      </w:hyperlink>
      <w:r w:rsidRPr="00C64237">
        <w:t>.</w:t>
      </w:r>
    </w:p>
    <w:p w:rsidR="007636B0" w:rsidRPr="00C64237" w:rsidRDefault="007636B0" w:rsidP="007636B0">
      <w:pPr>
        <w:pStyle w:val="StyletextLeft0cmHanging1cm"/>
      </w:pPr>
      <w:r w:rsidRPr="00C64237">
        <w:t xml:space="preserve">US EPA 1995a, </w:t>
      </w:r>
      <w:r w:rsidRPr="00C64237">
        <w:rPr>
          <w:i/>
        </w:rPr>
        <w:t>Reregistration Eligibility Decision (RED)</w:t>
      </w:r>
      <w:r w:rsidRPr="00C64237">
        <w:t xml:space="preserve"> Office of Prevention, Pesticides and Toxic Substances, United States Environment Protection Agency, Washington, DC.</w:t>
      </w:r>
    </w:p>
    <w:p w:rsidR="007636B0" w:rsidRPr="00C64237" w:rsidRDefault="007636B0" w:rsidP="007636B0">
      <w:pPr>
        <w:pStyle w:val="StyletextLeft0cmHanging1cm"/>
      </w:pPr>
      <w:r w:rsidRPr="00C64237">
        <w:t xml:space="preserve">US EPA 1995b, </w:t>
      </w:r>
      <w:r w:rsidRPr="00C64237">
        <w:rPr>
          <w:i/>
        </w:rPr>
        <w:t>Technical Guidance Manual, Assessing Dermal Exposure from Soil</w:t>
      </w:r>
      <w:r w:rsidRPr="00C64237">
        <w:t xml:space="preserve">, US EPA Region 3, December 1995, available from: </w:t>
      </w:r>
      <w:hyperlink r:id="rId33" w:history="1">
        <w:r w:rsidRPr="00C64237">
          <w:rPr>
            <w:rStyle w:val="Hyperlink"/>
            <w:szCs w:val="22"/>
          </w:rPr>
          <w:t>http://www.epa.gov/reg3hwmd/risk/human/info/solabsg2.htm</w:t>
        </w:r>
      </w:hyperlink>
      <w:r w:rsidRPr="00C64237">
        <w:t>.</w:t>
      </w:r>
    </w:p>
    <w:p w:rsidR="007636B0" w:rsidRPr="00C64237" w:rsidRDefault="007636B0" w:rsidP="007636B0">
      <w:pPr>
        <w:pStyle w:val="StyletextLeft0cmHanging1cm"/>
      </w:pPr>
      <w:r w:rsidRPr="00C64237">
        <w:t xml:space="preserve">WHO 2011, </w:t>
      </w:r>
      <w:r w:rsidRPr="00C64237">
        <w:rPr>
          <w:i/>
        </w:rPr>
        <w:t>Guidelines for drinking-water quality, 4</w:t>
      </w:r>
      <w:r w:rsidRPr="00C64237">
        <w:rPr>
          <w:i/>
          <w:vertAlign w:val="superscript"/>
        </w:rPr>
        <w:t>th</w:t>
      </w:r>
      <w:r w:rsidRPr="00C64237">
        <w:rPr>
          <w:i/>
        </w:rPr>
        <w:t xml:space="preserve"> edn</w:t>
      </w:r>
      <w:r w:rsidRPr="00C64237">
        <w:t>, World Health Organization, Geneva</w:t>
      </w:r>
      <w:r>
        <w:t>,</w:t>
      </w:r>
      <w:r w:rsidRPr="00C64237">
        <w:t xml:space="preserve"> available from </w:t>
      </w:r>
      <w:hyperlink r:id="rId34" w:history="1">
        <w:r w:rsidRPr="00C64237">
          <w:rPr>
            <w:rStyle w:val="Hyperlink"/>
            <w:szCs w:val="22"/>
          </w:rPr>
          <w:t>http://www.who.int/water_sanitation_health/dwq/chemicals/en/index.html</w:t>
        </w:r>
      </w:hyperlink>
      <w:r w:rsidRPr="00C64237">
        <w:t>.</w:t>
      </w:r>
    </w:p>
    <w:p w:rsidR="007636B0" w:rsidRDefault="007636B0" w:rsidP="007636B0"/>
    <w:p w:rsidR="007636B0" w:rsidRDefault="007636B0" w:rsidP="007636B0"/>
    <w:p w:rsidR="007636B0" w:rsidRDefault="007636B0" w:rsidP="007636B0"/>
    <w:p w:rsidR="007636B0" w:rsidRDefault="007636B0" w:rsidP="007636B0"/>
    <w:p w:rsidR="007636B0" w:rsidRDefault="007636B0" w:rsidP="007636B0"/>
    <w:p w:rsidR="007636B0" w:rsidRDefault="007636B0" w:rsidP="007636B0"/>
    <w:p w:rsidR="007636B0" w:rsidRDefault="007636B0" w:rsidP="007636B0">
      <w:pPr>
        <w:pStyle w:val="Heading1"/>
        <w:tabs>
          <w:tab w:val="clear" w:pos="1209"/>
          <w:tab w:val="num" w:pos="720"/>
        </w:tabs>
      </w:pPr>
      <w:bookmarkStart w:id="64" w:name="_Toc351714304"/>
      <w:r>
        <w:lastRenderedPageBreak/>
        <w:t>Atrazine</w:t>
      </w:r>
      <w:bookmarkEnd w:id="64"/>
    </w:p>
    <w:p w:rsidR="007636B0" w:rsidRDefault="007636B0" w:rsidP="007636B0">
      <w:pPr>
        <w:pStyle w:val="Heading2"/>
        <w:tabs>
          <w:tab w:val="clear" w:pos="1209"/>
        </w:tabs>
      </w:pPr>
      <w:bookmarkStart w:id="65" w:name="_Toc351714305"/>
      <w:r>
        <w:t>General</w:t>
      </w:r>
      <w:bookmarkEnd w:id="65"/>
    </w:p>
    <w:p w:rsidR="007636B0" w:rsidRDefault="007636B0" w:rsidP="007636B0">
      <w:r>
        <w:t>Several comprehensive reviews of atrazine in the environment and its toxicity to humans are available and should be consulted for more detailed information not presented in this summary (ATSDR 2003; NRA 1997; APVMA 2008; IARC 1999). The following provides a summary of the key aspects of atrazine that are relevant to the derivation of a soil HIL.</w:t>
      </w:r>
    </w:p>
    <w:p w:rsidR="0021528E" w:rsidRDefault="0021528E" w:rsidP="007636B0"/>
    <w:p w:rsidR="007636B0" w:rsidRDefault="007636B0" w:rsidP="007636B0">
      <w:r w:rsidRPr="008B38D6">
        <w:t>Atrazine is the common name for the compound 6-chloro-N</w:t>
      </w:r>
      <w:r w:rsidRPr="008B38D6">
        <w:rPr>
          <w:szCs w:val="16"/>
        </w:rPr>
        <w:t>2</w:t>
      </w:r>
      <w:r w:rsidRPr="008B38D6">
        <w:t>-ethyl-N</w:t>
      </w:r>
      <w:r w:rsidRPr="008B38D6">
        <w:rPr>
          <w:szCs w:val="16"/>
        </w:rPr>
        <w:t>4</w:t>
      </w:r>
      <w:r w:rsidRPr="008B38D6">
        <w:t>-isopropyl-1,3,5-triazine-2,4-diamine which is an odourless white powder or colourless crystal</w:t>
      </w:r>
      <w:r>
        <w:t xml:space="preserve"> (ATSDR 2003)</w:t>
      </w:r>
      <w:r w:rsidRPr="008B38D6">
        <w:t>. Commercially manufactured atrazine is typically greater that 90% pure. Common impurities include dichlorotriazines, hydroxytriazines, tris(alkyl)aminotriazines, simazine, p</w:t>
      </w:r>
      <w:r>
        <w:t>ropazine and sodium chloride (ATSDR 2003)</w:t>
      </w:r>
      <w:r w:rsidRPr="008B38D6">
        <w:t>. Atrazine is manufactured as a liquid, granules or wettable powder and can also be formulated in combination with other herbicides such as ametryn, amitrole, hexazinone, metalo</w:t>
      </w:r>
      <w:r>
        <w:t>chlor, glyphosate and dicamba (NRA 1997)</w:t>
      </w:r>
      <w:r w:rsidRPr="008B38D6">
        <w:t>.</w:t>
      </w:r>
    </w:p>
    <w:p w:rsidR="0021528E" w:rsidRPr="008B38D6" w:rsidRDefault="0021528E" w:rsidP="007636B0"/>
    <w:p w:rsidR="007636B0" w:rsidRDefault="007636B0" w:rsidP="007636B0">
      <w:r w:rsidRPr="008B38D6">
        <w:t xml:space="preserve">Atrazine is one of the most widely used herbicides in Australian agriculture and has been used since the 1960s </w:t>
      </w:r>
      <w:r>
        <w:t>(NRA 1997)</w:t>
      </w:r>
      <w:r w:rsidRPr="008B38D6">
        <w:t xml:space="preserve">. It is primarily used to control </w:t>
      </w:r>
      <w:r>
        <w:t>broadleaf</w:t>
      </w:r>
      <w:r w:rsidRPr="008B38D6">
        <w:t xml:space="preserve"> weeds and some grasses between crops such as sorghum, maize, lupins, sugar</w:t>
      </w:r>
      <w:r>
        <w:t xml:space="preserve"> </w:t>
      </w:r>
      <w:r w:rsidRPr="008B38D6">
        <w:t>cane and triazine</w:t>
      </w:r>
      <w:r>
        <w:t>-</w:t>
      </w:r>
      <w:r w:rsidRPr="008B38D6">
        <w:t>tolerant canola. Atrazine is also widely used to control weeds and some grasses by the forestry industry in pine a</w:t>
      </w:r>
      <w:r>
        <w:t>nd eucalyptus plantations (NRA 1997; NHMRC 2011)</w:t>
      </w:r>
      <w:r w:rsidRPr="008B38D6">
        <w:t>. Non-agricultural uses in Australia such as the spraying of weeds along fence lines, irrigation channels, drains, driveways and footpath</w:t>
      </w:r>
      <w:r>
        <w:t>s were discontinued in 1995 (NRA 1997)</w:t>
      </w:r>
      <w:r w:rsidRPr="008B38D6">
        <w:t>.</w:t>
      </w:r>
    </w:p>
    <w:p w:rsidR="0021528E" w:rsidRDefault="0021528E" w:rsidP="007636B0"/>
    <w:p w:rsidR="007636B0" w:rsidRDefault="007636B0" w:rsidP="007636B0">
      <w:r w:rsidRPr="007B2A0B">
        <w:t xml:space="preserve">Regulatory actions </w:t>
      </w:r>
      <w:r>
        <w:t xml:space="preserve">(by the </w:t>
      </w:r>
      <w:r w:rsidRPr="008B38D6">
        <w:t>National Registration Authority for Agricultural and Veterinary Chemicals</w:t>
      </w:r>
      <w:r w:rsidRPr="007B2A0B">
        <w:t xml:space="preserve"> </w:t>
      </w:r>
      <w:r>
        <w:t xml:space="preserve">[APVMA]) </w:t>
      </w:r>
      <w:r w:rsidRPr="007B2A0B">
        <w:t>undertaken in 1997 included cancellation of industrial and non-agricultural uses of atrazine (home garden uses and all commercial turf uses), deletion of use patterns and maximum residue limits (MRLs) for label claims for which there were no current use patterns (citrus, grapes and pineapples) and the introduction of a range of label instructions to reduce the risk of atrazine entering waterways. In addition, registrants were required to provide additional residue and monitoring data.</w:t>
      </w:r>
    </w:p>
    <w:p w:rsidR="0021528E" w:rsidRPr="007B2A0B" w:rsidRDefault="0021528E" w:rsidP="007636B0"/>
    <w:p w:rsidR="007636B0" w:rsidRDefault="007636B0" w:rsidP="007636B0">
      <w:r w:rsidRPr="007B2A0B">
        <w:t>The APVMA has initiated a project to re-examine the possibility that the triazines (atrazine and related chemicals with a similar M</w:t>
      </w:r>
      <w:r>
        <w:t>o</w:t>
      </w:r>
      <w:r w:rsidRPr="007B2A0B">
        <w:t>A) may have unintended harmful effects on humans,</w:t>
      </w:r>
      <w:r>
        <w:t xml:space="preserve"> </w:t>
      </w:r>
      <w:r w:rsidRPr="007B2A0B">
        <w:t>taking into account ongoing research into a newly hypothesised endocrine M</w:t>
      </w:r>
      <w:r>
        <w:t>o</w:t>
      </w:r>
      <w:r w:rsidRPr="007B2A0B">
        <w:t>A. This project will take into account international reports, such as the work of the Joint Meeting on Pesticide Residues (JMPR).</w:t>
      </w:r>
    </w:p>
    <w:p w:rsidR="0021528E" w:rsidRPr="007B2A0B" w:rsidRDefault="0021528E" w:rsidP="007636B0"/>
    <w:p w:rsidR="007636B0" w:rsidRDefault="007636B0" w:rsidP="007636B0">
      <w:r w:rsidRPr="007B2A0B">
        <w:t xml:space="preserve">Registrants who have a product whose label specifies a claim for weed control on </w:t>
      </w:r>
      <w:r>
        <w:t>triazine-tolerant</w:t>
      </w:r>
      <w:r w:rsidRPr="007B2A0B">
        <w:t xml:space="preserve"> canola will be required to either generate additional data or include an additional label restraint that specifies that atrazine must not be used post-emergence on </w:t>
      </w:r>
      <w:r>
        <w:t>triazine-tolerant</w:t>
      </w:r>
      <w:r w:rsidRPr="007B2A0B">
        <w:t xml:space="preserve"> canola grown on raised beds.</w:t>
      </w:r>
    </w:p>
    <w:p w:rsidR="0021528E" w:rsidRPr="007B2A0B" w:rsidRDefault="0021528E" w:rsidP="007636B0"/>
    <w:p w:rsidR="007636B0" w:rsidRPr="007B2A0B" w:rsidRDefault="007636B0" w:rsidP="007636B0">
      <w:r w:rsidRPr="007B2A0B">
        <w:t xml:space="preserve">After consideration </w:t>
      </w:r>
      <w:r>
        <w:t xml:space="preserve">of </w:t>
      </w:r>
      <w:r w:rsidRPr="007B2A0B">
        <w:t>the additional assessments completed after 1997</w:t>
      </w:r>
      <w:r>
        <w:t>,</w:t>
      </w:r>
      <w:r w:rsidRPr="007B2A0B">
        <w:t xml:space="preserve"> APVMA accepts the recommendations of OCS and the 2004 recommendations of DEWHA, and the following regulatory actions have been applied:</w:t>
      </w:r>
    </w:p>
    <w:p w:rsidR="007636B0" w:rsidRPr="007B2A0B" w:rsidRDefault="007636B0" w:rsidP="007636B0">
      <w:pPr>
        <w:numPr>
          <w:ilvl w:val="0"/>
          <w:numId w:val="23"/>
        </w:numPr>
        <w:spacing w:after="200" w:line="276" w:lineRule="auto"/>
        <w:ind w:left="360"/>
      </w:pPr>
      <w:r w:rsidRPr="007B2A0B">
        <w:t>Active constituent approvals have been affirmed.</w:t>
      </w:r>
    </w:p>
    <w:p w:rsidR="007636B0" w:rsidRPr="007B2A0B" w:rsidRDefault="007636B0" w:rsidP="007636B0">
      <w:pPr>
        <w:numPr>
          <w:ilvl w:val="0"/>
          <w:numId w:val="23"/>
        </w:numPr>
        <w:spacing w:after="200" w:line="276" w:lineRule="auto"/>
        <w:ind w:left="360"/>
      </w:pPr>
      <w:r w:rsidRPr="007B2A0B">
        <w:t>Existing label instructions have been deemed to be inadequate and the most recently</w:t>
      </w:r>
      <w:r>
        <w:t xml:space="preserve"> </w:t>
      </w:r>
      <w:r w:rsidRPr="007B2A0B">
        <w:t>approved labels have been amended as follows:</w:t>
      </w:r>
    </w:p>
    <w:p w:rsidR="007636B0" w:rsidRPr="007B2A0B" w:rsidRDefault="007636B0" w:rsidP="007636B0">
      <w:pPr>
        <w:numPr>
          <w:ilvl w:val="0"/>
          <w:numId w:val="24"/>
        </w:numPr>
        <w:spacing w:after="200" w:line="276" w:lineRule="auto"/>
        <w:ind w:left="720"/>
      </w:pPr>
      <w:r w:rsidRPr="007B2A0B">
        <w:t>Labels have been amended to specify additional restraints to further reduce the risk of contamination of waterways</w:t>
      </w:r>
      <w:r w:rsidRPr="007B2A0B">
        <w:rPr>
          <w:sz w:val="16"/>
          <w:szCs w:val="16"/>
        </w:rPr>
        <w:t>.</w:t>
      </w:r>
    </w:p>
    <w:p w:rsidR="007636B0" w:rsidRPr="007B2A0B" w:rsidRDefault="007636B0" w:rsidP="007636B0">
      <w:pPr>
        <w:numPr>
          <w:ilvl w:val="0"/>
          <w:numId w:val="24"/>
        </w:numPr>
        <w:spacing w:after="200" w:line="276" w:lineRule="auto"/>
        <w:ind w:left="720"/>
      </w:pPr>
      <w:r w:rsidRPr="007B2A0B">
        <w:t>Withholding period instructions have been amended.</w:t>
      </w:r>
    </w:p>
    <w:p w:rsidR="007636B0" w:rsidRPr="007B2A0B" w:rsidRDefault="007636B0" w:rsidP="007636B0">
      <w:pPr>
        <w:numPr>
          <w:ilvl w:val="0"/>
          <w:numId w:val="24"/>
        </w:numPr>
        <w:spacing w:after="200" w:line="276" w:lineRule="auto"/>
        <w:ind w:left="720"/>
      </w:pPr>
      <w:r w:rsidRPr="007B2A0B">
        <w:lastRenderedPageBreak/>
        <w:t>Herbicide resistance reporting details have been added to labels.</w:t>
      </w:r>
    </w:p>
    <w:p w:rsidR="007636B0" w:rsidRPr="007B2A0B" w:rsidRDefault="007636B0" w:rsidP="007636B0">
      <w:r w:rsidRPr="007B2A0B">
        <w:t>These variations to label instructions satisfy the requirements for continued registration of products; and so</w:t>
      </w:r>
    </w:p>
    <w:p w:rsidR="007636B0" w:rsidRPr="007B2A0B" w:rsidRDefault="007636B0" w:rsidP="007636B0">
      <w:pPr>
        <w:numPr>
          <w:ilvl w:val="0"/>
          <w:numId w:val="23"/>
        </w:numPr>
        <w:spacing w:after="200" w:line="276" w:lineRule="auto"/>
        <w:ind w:left="709" w:hanging="709"/>
      </w:pPr>
      <w:r w:rsidRPr="007B2A0B">
        <w:t>Product registrations have been affirmed.</w:t>
      </w:r>
    </w:p>
    <w:p w:rsidR="007636B0" w:rsidRPr="007B2A0B" w:rsidRDefault="007636B0" w:rsidP="007636B0">
      <w:pPr>
        <w:numPr>
          <w:ilvl w:val="0"/>
          <w:numId w:val="23"/>
        </w:numPr>
        <w:spacing w:after="200" w:line="276" w:lineRule="auto"/>
        <w:ind w:left="709" w:hanging="709"/>
      </w:pPr>
      <w:r w:rsidRPr="007B2A0B">
        <w:t>To ensure that all labels are in line with the recommendations of the 2008 report</w:t>
      </w:r>
      <w:r>
        <w:t>,</w:t>
      </w:r>
      <w:r w:rsidRPr="007B2A0B">
        <w:t xml:space="preserve"> any previously approved labels that do not contain the amended instructions have been cancelled.</w:t>
      </w:r>
    </w:p>
    <w:p w:rsidR="007636B0" w:rsidRDefault="007636B0" w:rsidP="007636B0">
      <w:r w:rsidRPr="007B2A0B">
        <w:t>As an associated outcome of the review, changes will be made to the MRL Standard to align entries in the standard with existing approved use patterns.</w:t>
      </w:r>
    </w:p>
    <w:p w:rsidR="007636B0" w:rsidRDefault="007636B0" w:rsidP="007636B0">
      <w:pPr>
        <w:pStyle w:val="Heading2"/>
        <w:tabs>
          <w:tab w:val="clear" w:pos="1209"/>
        </w:tabs>
      </w:pPr>
      <w:bookmarkStart w:id="66" w:name="_Toc351714306"/>
      <w:r>
        <w:t>Previous HIL</w:t>
      </w:r>
      <w:bookmarkEnd w:id="66"/>
    </w:p>
    <w:p w:rsidR="007636B0" w:rsidRDefault="007636B0" w:rsidP="007636B0">
      <w:r>
        <w:t>No previous HIL is available for atrazine (NEPC 1999).</w:t>
      </w:r>
    </w:p>
    <w:p w:rsidR="007636B0" w:rsidRDefault="007636B0" w:rsidP="007636B0">
      <w:pPr>
        <w:pStyle w:val="Heading2"/>
        <w:tabs>
          <w:tab w:val="clear" w:pos="1209"/>
        </w:tabs>
      </w:pPr>
      <w:bookmarkStart w:id="67" w:name="_Toc351714307"/>
      <w:r>
        <w:t>Significance of Exposure Pathways</w:t>
      </w:r>
      <w:bookmarkEnd w:id="67"/>
    </w:p>
    <w:p w:rsidR="007636B0" w:rsidRPr="00E00A6A" w:rsidRDefault="007636B0" w:rsidP="007636B0">
      <w:pPr>
        <w:pStyle w:val="Heading3"/>
      </w:pPr>
      <w:bookmarkStart w:id="68" w:name="_Toc351714308"/>
      <w:r>
        <w:t xml:space="preserve">Oral </w:t>
      </w:r>
      <w:r w:rsidRPr="00E00A6A">
        <w:t>Bioavailability</w:t>
      </w:r>
      <w:bookmarkEnd w:id="68"/>
    </w:p>
    <w:p w:rsidR="007636B0" w:rsidRDefault="007636B0" w:rsidP="007636B0">
      <w:r>
        <w:t>Insufficient data is available to adequately define the bioavailability of atrazine hence a default approach of assuming 100% oral bioavailability has been adopted in the derivation of an HIL. It is noted that a site-specific assessment of bioavailability can be undertaken where required.</w:t>
      </w:r>
    </w:p>
    <w:p w:rsidR="007636B0" w:rsidRPr="002D7B71" w:rsidRDefault="007636B0" w:rsidP="007636B0">
      <w:pPr>
        <w:pStyle w:val="Heading3"/>
      </w:pPr>
      <w:bookmarkStart w:id="69" w:name="_Toc351714309"/>
      <w:r w:rsidRPr="002D7B71">
        <w:t>Dermal absorption</w:t>
      </w:r>
      <w:bookmarkEnd w:id="69"/>
    </w:p>
    <w:p w:rsidR="007636B0" w:rsidRDefault="007636B0" w:rsidP="007636B0">
      <w:r>
        <w:t>Insufficient data is available on the dermal absorption of atrazine from soil. Hence the default value of 0.1 (10%) suggested by US EPA (1995) for pesticides has been adopted in the derivation of HILs.</w:t>
      </w:r>
    </w:p>
    <w:p w:rsidR="007636B0" w:rsidRPr="009338FB" w:rsidRDefault="007636B0" w:rsidP="007636B0">
      <w:pPr>
        <w:pStyle w:val="Heading3"/>
      </w:pPr>
      <w:bookmarkStart w:id="70" w:name="_Toc351714310"/>
      <w:r w:rsidRPr="009338FB">
        <w:t>Inhalation of Dust</w:t>
      </w:r>
      <w:bookmarkEnd w:id="70"/>
    </w:p>
    <w:p w:rsidR="007636B0" w:rsidRDefault="007636B0" w:rsidP="007636B0">
      <w:r>
        <w:t>Atrazine is not considered sufficiently volatile to be of significance and inhalation exposures associated with particulates outdoors and indoors are expected to be of less significance than ingestion of soil. While likely to be negligible, potential inhalation exposures associated with dust have been considered in the HIL derived.</w:t>
      </w:r>
    </w:p>
    <w:p w:rsidR="007636B0" w:rsidRPr="009338FB" w:rsidRDefault="007636B0" w:rsidP="007636B0">
      <w:pPr>
        <w:pStyle w:val="Heading3"/>
      </w:pPr>
      <w:bookmarkStart w:id="71" w:name="_Toc351714311"/>
      <w:r w:rsidRPr="009338FB">
        <w:t>Plant Uptake</w:t>
      </w:r>
      <w:bookmarkEnd w:id="71"/>
    </w:p>
    <w:p w:rsidR="007636B0" w:rsidRDefault="007636B0" w:rsidP="007636B0">
      <w:r>
        <w:t>Atrazine is used as a herbicide and, as such, is phytotoxic to almost all broadleaf weeds and plants. Some plants are more sensitive than others to residues of atrazine in the soil, however in general, phytotoxicity will occur well before plant uptake into edible portions of fruit and vegetable crops is of significance. Hence the uptake of these compounds into home-grown produce has not been considered in the derivation of an HIL A.</w:t>
      </w:r>
    </w:p>
    <w:p w:rsidR="0021528E" w:rsidRDefault="0021528E" w:rsidP="007636B0"/>
    <w:p w:rsidR="007636B0" w:rsidRDefault="007636B0" w:rsidP="007636B0">
      <w:r>
        <w:t>Note that the persistence of atrazine in soil and potential for phytotoxic effects may need to be addressed on a site-specific basis if detected in soil.</w:t>
      </w:r>
    </w:p>
    <w:p w:rsidR="007636B0" w:rsidRPr="0089652E" w:rsidRDefault="007636B0" w:rsidP="007636B0">
      <w:pPr>
        <w:pStyle w:val="Heading3"/>
      </w:pPr>
      <w:bookmarkStart w:id="72" w:name="_Toc351714312"/>
      <w:r w:rsidRPr="0089652E">
        <w:t xml:space="preserve">Intakes from Other Sources </w:t>
      </w:r>
      <w:r>
        <w:t>–</w:t>
      </w:r>
      <w:r w:rsidRPr="0089652E">
        <w:t xml:space="preserve"> Background</w:t>
      </w:r>
      <w:bookmarkEnd w:id="72"/>
    </w:p>
    <w:p w:rsidR="007636B0" w:rsidRDefault="007636B0" w:rsidP="007636B0">
      <w:r>
        <w:t>Reviews of potential intakes from sources other than soil (primarily food) by NRA (1997), NHMRC (2011) and RIVM (2001) suggested these intakes were essentially negligible. Further review of residue data by APVMA (2008) noted that, when atrazine was used in accordance with the revised label directions, residues were unlikely to pose a risk to human health. Potential exposures during application of atrazine products may require further consideration on a site-specific basis; however exposures by the general public (in areas away from application) are negligible.</w:t>
      </w:r>
    </w:p>
    <w:p w:rsidR="007636B0" w:rsidRDefault="007636B0" w:rsidP="007636B0">
      <w:pPr>
        <w:pStyle w:val="Heading2"/>
        <w:tabs>
          <w:tab w:val="clear" w:pos="1209"/>
        </w:tabs>
      </w:pPr>
      <w:bookmarkStart w:id="73" w:name="_Toc351714313"/>
      <w:r>
        <w:lastRenderedPageBreak/>
        <w:t>Identification of Toxicity Reference Values</w:t>
      </w:r>
      <w:bookmarkEnd w:id="73"/>
    </w:p>
    <w:p w:rsidR="007636B0" w:rsidRPr="00983A79" w:rsidRDefault="007636B0" w:rsidP="007636B0">
      <w:pPr>
        <w:pStyle w:val="Heading3"/>
      </w:pPr>
      <w:bookmarkStart w:id="74" w:name="_Toc351714314"/>
      <w:r w:rsidRPr="00983A79">
        <w:t>Classification</w:t>
      </w:r>
      <w:bookmarkEnd w:id="74"/>
    </w:p>
    <w:p w:rsidR="007636B0" w:rsidRDefault="007636B0" w:rsidP="007636B0">
      <w:r w:rsidRPr="00C259C1">
        <w:t>The International Agency for Research on Cancer (IARC</w:t>
      </w:r>
      <w:r>
        <w:t xml:space="preserve"> 1999) has classified atrazine</w:t>
      </w:r>
      <w:r w:rsidRPr="00A35E24">
        <w:rPr>
          <w:rFonts w:cs="Arial"/>
        </w:rPr>
        <w:t xml:space="preserve"> </w:t>
      </w:r>
      <w:r>
        <w:rPr>
          <w:rFonts w:cs="Arial"/>
        </w:rPr>
        <w:t>a</w:t>
      </w:r>
      <w:r>
        <w:t>s Group 3</w:t>
      </w:r>
      <w:r>
        <w:rPr>
          <w:rFonts w:cs="Arial"/>
        </w:rPr>
        <w:t>—</w:t>
      </w:r>
      <w:r>
        <w:t>not classifiable. US EPA has not classified atrazine.</w:t>
      </w:r>
    </w:p>
    <w:p w:rsidR="007636B0" w:rsidRPr="00907E92" w:rsidRDefault="007636B0" w:rsidP="007636B0">
      <w:pPr>
        <w:pStyle w:val="Heading3"/>
      </w:pPr>
      <w:bookmarkStart w:id="75" w:name="_Toc351714315"/>
      <w:r w:rsidRPr="00907E92">
        <w:t>Review of Available Values</w:t>
      </w:r>
      <w:r>
        <w:t>/Information</w:t>
      </w:r>
      <w:bookmarkEnd w:id="75"/>
    </w:p>
    <w:p w:rsidR="007636B0" w:rsidRDefault="007636B0" w:rsidP="007636B0">
      <w:r>
        <w:t>The available data reviewed by JMPR (2007) and APVMA (2008) suggested that atrazine was not likely to pose a carcinogenic risk to humans. Review by JMPR (2007) and RIVM (2001) suggested that based on the weight of evidence, atrazine was not genotoxic. There is some evidence that it can induce mammary tumours in rats as a result of hormonal changes, but the mechanism is believed to be non-genotoxic. On the basis of the available information, it is considered appropriate that a threshold dose</w:t>
      </w:r>
      <w:r>
        <w:sym w:font="Symbol" w:char="F02D"/>
      </w:r>
      <w:r>
        <w:t xml:space="preserve">response approach be adopted for atrazine. </w:t>
      </w:r>
    </w:p>
    <w:p w:rsidR="0021528E" w:rsidRDefault="0021528E" w:rsidP="007636B0"/>
    <w:p w:rsidR="007636B0" w:rsidRDefault="007636B0" w:rsidP="007636B0">
      <w:r>
        <w:t>The following are available from Level 1 Australian and International sources: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0"/>
        <w:gridCol w:w="1976"/>
        <w:gridCol w:w="5801"/>
      </w:tblGrid>
      <w:tr w:rsidR="007636B0" w:rsidRPr="00F548B5" w:rsidTr="00B45DD6">
        <w:trPr>
          <w:tblHeader/>
        </w:trPr>
        <w:tc>
          <w:tcPr>
            <w:tcW w:w="1384" w:type="dxa"/>
            <w:shd w:val="clear" w:color="auto" w:fill="C6D9F1" w:themeFill="text2" w:themeFillTint="33"/>
          </w:tcPr>
          <w:p w:rsidR="007636B0" w:rsidRPr="00F548B5" w:rsidRDefault="007636B0" w:rsidP="00B45DD6">
            <w:pPr>
              <w:spacing w:before="20"/>
              <w:jc w:val="center"/>
              <w:rPr>
                <w:b/>
                <w:szCs w:val="22"/>
              </w:rPr>
            </w:pPr>
            <w:r w:rsidRPr="00F548B5">
              <w:rPr>
                <w:b/>
                <w:szCs w:val="22"/>
              </w:rPr>
              <w:t>Source</w:t>
            </w:r>
          </w:p>
        </w:tc>
        <w:tc>
          <w:tcPr>
            <w:tcW w:w="2126" w:type="dxa"/>
            <w:shd w:val="clear" w:color="auto" w:fill="C6D9F1" w:themeFill="text2" w:themeFillTint="33"/>
          </w:tcPr>
          <w:p w:rsidR="007636B0" w:rsidRPr="00F548B5" w:rsidRDefault="007636B0" w:rsidP="00B45DD6">
            <w:pPr>
              <w:spacing w:before="20"/>
              <w:jc w:val="center"/>
              <w:rPr>
                <w:b/>
                <w:szCs w:val="22"/>
              </w:rPr>
            </w:pPr>
            <w:r w:rsidRPr="00F548B5">
              <w:rPr>
                <w:b/>
                <w:szCs w:val="22"/>
              </w:rPr>
              <w:t>Value</w:t>
            </w:r>
          </w:p>
        </w:tc>
        <w:tc>
          <w:tcPr>
            <w:tcW w:w="6453" w:type="dxa"/>
            <w:shd w:val="clear" w:color="auto" w:fill="C6D9F1" w:themeFill="text2" w:themeFillTint="33"/>
          </w:tcPr>
          <w:p w:rsidR="007636B0" w:rsidRPr="00F548B5" w:rsidRDefault="007636B0" w:rsidP="00B45DD6">
            <w:pPr>
              <w:spacing w:before="20"/>
              <w:jc w:val="center"/>
              <w:rPr>
                <w:b/>
                <w:szCs w:val="22"/>
              </w:rPr>
            </w:pPr>
            <w:r w:rsidRPr="00F548B5">
              <w:rPr>
                <w:b/>
                <w:szCs w:val="22"/>
              </w:rPr>
              <w:t>Basis/Comments</w:t>
            </w:r>
          </w:p>
        </w:tc>
      </w:tr>
      <w:tr w:rsidR="007636B0" w:rsidRPr="00F548B5" w:rsidTr="00B45DD6">
        <w:tc>
          <w:tcPr>
            <w:tcW w:w="9963" w:type="dxa"/>
            <w:gridSpan w:val="3"/>
          </w:tcPr>
          <w:p w:rsidR="007636B0" w:rsidRPr="00F548B5" w:rsidRDefault="007636B0" w:rsidP="00B45DD6">
            <w:pPr>
              <w:spacing w:before="20"/>
              <w:jc w:val="center"/>
              <w:rPr>
                <w:b/>
                <w:szCs w:val="22"/>
              </w:rPr>
            </w:pPr>
            <w:r w:rsidRPr="00F548B5">
              <w:rPr>
                <w:b/>
                <w:szCs w:val="22"/>
              </w:rPr>
              <w:t>Australian</w:t>
            </w:r>
          </w:p>
        </w:tc>
      </w:tr>
      <w:tr w:rsidR="007636B0" w:rsidRPr="00F548B5" w:rsidTr="00B45DD6">
        <w:tc>
          <w:tcPr>
            <w:tcW w:w="1384" w:type="dxa"/>
          </w:tcPr>
          <w:p w:rsidR="007636B0" w:rsidRPr="00F548B5" w:rsidRDefault="007636B0" w:rsidP="00B45DD6">
            <w:pPr>
              <w:spacing w:before="20"/>
              <w:rPr>
                <w:szCs w:val="22"/>
              </w:rPr>
            </w:pPr>
            <w:r w:rsidRPr="00F548B5">
              <w:rPr>
                <w:szCs w:val="22"/>
              </w:rPr>
              <w:t>ADWG (NHMRC 2011)</w:t>
            </w:r>
          </w:p>
        </w:tc>
        <w:tc>
          <w:tcPr>
            <w:tcW w:w="2126" w:type="dxa"/>
          </w:tcPr>
          <w:p w:rsidR="007636B0" w:rsidRPr="00F548B5" w:rsidRDefault="007636B0" w:rsidP="00B45DD6">
            <w:pPr>
              <w:spacing w:before="20"/>
              <w:rPr>
                <w:szCs w:val="22"/>
              </w:rPr>
            </w:pPr>
            <w:r w:rsidRPr="00F548B5">
              <w:rPr>
                <w:szCs w:val="22"/>
              </w:rPr>
              <w:t>ADI = 0.005 mg/kg/day</w:t>
            </w:r>
          </w:p>
        </w:tc>
        <w:tc>
          <w:tcPr>
            <w:tcW w:w="6453" w:type="dxa"/>
          </w:tcPr>
          <w:p w:rsidR="007636B0" w:rsidRPr="00F548B5" w:rsidRDefault="007636B0" w:rsidP="00B45DD6">
            <w:pPr>
              <w:spacing w:before="20"/>
              <w:rPr>
                <w:szCs w:val="22"/>
              </w:rPr>
            </w:pPr>
            <w:r w:rsidRPr="00F548B5">
              <w:rPr>
                <w:szCs w:val="22"/>
              </w:rPr>
              <w:t xml:space="preserve">Current ADWG (NHMRC 11) of 0.04 mg/L based on 50% intake from drinking water and an ADI of 0.005 mg/kg/day as referenced from the TGA (NRA 1997). </w:t>
            </w:r>
          </w:p>
        </w:tc>
      </w:tr>
      <w:tr w:rsidR="007636B0" w:rsidRPr="00F548B5" w:rsidTr="00B45DD6">
        <w:tc>
          <w:tcPr>
            <w:tcW w:w="1384" w:type="dxa"/>
          </w:tcPr>
          <w:p w:rsidR="007636B0" w:rsidRPr="00F548B5" w:rsidRDefault="007636B0" w:rsidP="00B45DD6">
            <w:pPr>
              <w:spacing w:before="20"/>
              <w:rPr>
                <w:szCs w:val="22"/>
              </w:rPr>
            </w:pPr>
            <w:r w:rsidRPr="00F548B5">
              <w:rPr>
                <w:szCs w:val="22"/>
              </w:rPr>
              <w:t>OCS (2012)</w:t>
            </w:r>
          </w:p>
        </w:tc>
        <w:tc>
          <w:tcPr>
            <w:tcW w:w="2126" w:type="dxa"/>
          </w:tcPr>
          <w:p w:rsidR="007636B0" w:rsidRPr="00F548B5" w:rsidRDefault="007636B0" w:rsidP="00B45DD6">
            <w:pPr>
              <w:spacing w:before="20"/>
              <w:rPr>
                <w:szCs w:val="22"/>
              </w:rPr>
            </w:pPr>
            <w:r w:rsidRPr="00F548B5">
              <w:rPr>
                <w:szCs w:val="22"/>
              </w:rPr>
              <w:t>ADI = 0.005 mg/kg/day</w:t>
            </w:r>
          </w:p>
        </w:tc>
        <w:tc>
          <w:tcPr>
            <w:tcW w:w="6453" w:type="dxa"/>
          </w:tcPr>
          <w:p w:rsidR="007636B0" w:rsidRPr="00F548B5" w:rsidRDefault="007636B0" w:rsidP="00B45DD6">
            <w:pPr>
              <w:spacing w:before="20"/>
              <w:rPr>
                <w:szCs w:val="22"/>
              </w:rPr>
            </w:pPr>
            <w:r w:rsidRPr="00F548B5">
              <w:rPr>
                <w:szCs w:val="22"/>
              </w:rPr>
              <w:t>The ADI of 0.005 mg/kg/day is noted to be based on a NOEL of 10ppm associated with mammary tumours from a 24-month female rat study, and a 100-fold safety factor. This value was set in December 1996.</w:t>
            </w:r>
          </w:p>
        </w:tc>
      </w:tr>
      <w:tr w:rsidR="007636B0" w:rsidRPr="00F548B5" w:rsidTr="00B45DD6">
        <w:tc>
          <w:tcPr>
            <w:tcW w:w="1384" w:type="dxa"/>
          </w:tcPr>
          <w:p w:rsidR="007636B0" w:rsidRPr="00F548B5" w:rsidRDefault="007636B0" w:rsidP="00B45DD6">
            <w:pPr>
              <w:spacing w:before="20"/>
              <w:rPr>
                <w:szCs w:val="22"/>
              </w:rPr>
            </w:pPr>
            <w:r w:rsidRPr="00F548B5">
              <w:rPr>
                <w:szCs w:val="22"/>
              </w:rPr>
              <w:t>NRA (1997)</w:t>
            </w:r>
          </w:p>
        </w:tc>
        <w:tc>
          <w:tcPr>
            <w:tcW w:w="2126" w:type="dxa"/>
          </w:tcPr>
          <w:p w:rsidR="007636B0" w:rsidRPr="00F548B5" w:rsidRDefault="007636B0" w:rsidP="00B45DD6">
            <w:pPr>
              <w:spacing w:before="20"/>
              <w:rPr>
                <w:szCs w:val="22"/>
              </w:rPr>
            </w:pPr>
            <w:r w:rsidRPr="00F548B5">
              <w:rPr>
                <w:szCs w:val="22"/>
              </w:rPr>
              <w:t>ADI = 0.005 mg/kg/day</w:t>
            </w:r>
          </w:p>
        </w:tc>
        <w:tc>
          <w:tcPr>
            <w:tcW w:w="6453" w:type="dxa"/>
          </w:tcPr>
          <w:p w:rsidR="007636B0" w:rsidRPr="00F548B5" w:rsidRDefault="007636B0" w:rsidP="00B45DD6">
            <w:pPr>
              <w:spacing w:before="20"/>
              <w:rPr>
                <w:szCs w:val="22"/>
              </w:rPr>
            </w:pPr>
            <w:r w:rsidRPr="00F548B5">
              <w:rPr>
                <w:szCs w:val="22"/>
              </w:rPr>
              <w:t>The NRA (1997) review identified the relevance of adopting an ADI of 0.005 mg/kg/day for atrazine. This value has been reconfirmed in the update provided by APVMA (2008). However the review noted that APVMA has initiated a project to re-examine the possibility that the triazines may have harmful endocrine effects, including updates available from JMPR. APVMA also note that US EPA is currently reviewing atrazine.</w:t>
            </w:r>
          </w:p>
        </w:tc>
      </w:tr>
      <w:tr w:rsidR="007636B0" w:rsidRPr="00F548B5" w:rsidTr="00B45DD6">
        <w:tc>
          <w:tcPr>
            <w:tcW w:w="9963" w:type="dxa"/>
            <w:gridSpan w:val="3"/>
          </w:tcPr>
          <w:p w:rsidR="007636B0" w:rsidRPr="00F548B5" w:rsidRDefault="007636B0" w:rsidP="00B45DD6">
            <w:pPr>
              <w:spacing w:before="20"/>
              <w:jc w:val="center"/>
              <w:rPr>
                <w:b/>
                <w:szCs w:val="22"/>
              </w:rPr>
            </w:pPr>
            <w:r w:rsidRPr="00F548B5">
              <w:rPr>
                <w:b/>
                <w:szCs w:val="22"/>
              </w:rPr>
              <w:t>International</w:t>
            </w:r>
          </w:p>
        </w:tc>
      </w:tr>
      <w:tr w:rsidR="007636B0" w:rsidRPr="00F548B5" w:rsidTr="00B45DD6">
        <w:tc>
          <w:tcPr>
            <w:tcW w:w="1384" w:type="dxa"/>
          </w:tcPr>
          <w:p w:rsidR="007636B0" w:rsidRPr="00F548B5" w:rsidRDefault="007636B0" w:rsidP="00B45DD6">
            <w:pPr>
              <w:spacing w:before="20"/>
              <w:rPr>
                <w:szCs w:val="22"/>
              </w:rPr>
            </w:pPr>
            <w:r w:rsidRPr="00F548B5">
              <w:rPr>
                <w:szCs w:val="22"/>
              </w:rPr>
              <w:t>JMPR (2007)</w:t>
            </w:r>
          </w:p>
        </w:tc>
        <w:tc>
          <w:tcPr>
            <w:tcW w:w="2126" w:type="dxa"/>
          </w:tcPr>
          <w:p w:rsidR="007636B0" w:rsidRPr="00F548B5" w:rsidRDefault="007636B0" w:rsidP="00B45DD6">
            <w:pPr>
              <w:spacing w:before="20"/>
              <w:rPr>
                <w:szCs w:val="22"/>
              </w:rPr>
            </w:pPr>
            <w:r w:rsidRPr="00F548B5">
              <w:rPr>
                <w:szCs w:val="22"/>
              </w:rPr>
              <w:t>ADI = 0.02 mg/kg/day</w:t>
            </w:r>
          </w:p>
        </w:tc>
        <w:tc>
          <w:tcPr>
            <w:tcW w:w="6453" w:type="dxa"/>
          </w:tcPr>
          <w:p w:rsidR="007636B0" w:rsidRPr="00F548B5" w:rsidRDefault="007636B0" w:rsidP="00B45DD6">
            <w:pPr>
              <w:spacing w:before="20"/>
              <w:rPr>
                <w:szCs w:val="22"/>
              </w:rPr>
            </w:pPr>
            <w:r w:rsidRPr="00F548B5">
              <w:rPr>
                <w:szCs w:val="22"/>
              </w:rPr>
              <w:t>Review of atrazines by the Joint FAO/WHO Meeting on Pesticides Residues (JPMR, 2007) identified a group ADI (for atrazine, diethyl-atrazine, di-isopropyl-atrazine and diaminochlorotriazine) of 0</w:t>
            </w:r>
            <w:r w:rsidRPr="00F548B5">
              <w:rPr>
                <w:szCs w:val="22"/>
              </w:rPr>
              <w:sym w:font="Symbol" w:char="F02D"/>
            </w:r>
            <w:r w:rsidRPr="00F548B5">
              <w:rPr>
                <w:szCs w:val="22"/>
              </w:rPr>
              <w:t>0.02 mg/kg/day based on oestrous cycle disruption.</w:t>
            </w:r>
          </w:p>
        </w:tc>
      </w:tr>
      <w:tr w:rsidR="007636B0" w:rsidRPr="00F548B5" w:rsidTr="00B45DD6">
        <w:tc>
          <w:tcPr>
            <w:tcW w:w="1384" w:type="dxa"/>
          </w:tcPr>
          <w:p w:rsidR="007636B0" w:rsidRPr="00F548B5" w:rsidRDefault="007636B0" w:rsidP="00B45DD6">
            <w:pPr>
              <w:spacing w:before="20"/>
              <w:rPr>
                <w:szCs w:val="22"/>
              </w:rPr>
            </w:pPr>
            <w:r w:rsidRPr="00F548B5">
              <w:rPr>
                <w:szCs w:val="22"/>
              </w:rPr>
              <w:t>WHO (2011)</w:t>
            </w:r>
          </w:p>
        </w:tc>
        <w:tc>
          <w:tcPr>
            <w:tcW w:w="2126" w:type="dxa"/>
          </w:tcPr>
          <w:p w:rsidR="007636B0" w:rsidRPr="00F548B5" w:rsidRDefault="007636B0" w:rsidP="00B45DD6">
            <w:pPr>
              <w:spacing w:before="20"/>
              <w:rPr>
                <w:szCs w:val="22"/>
              </w:rPr>
            </w:pPr>
            <w:r w:rsidRPr="00F548B5">
              <w:rPr>
                <w:szCs w:val="22"/>
              </w:rPr>
              <w:t>ADI = 0.02 mg/kg/day</w:t>
            </w:r>
          </w:p>
        </w:tc>
        <w:tc>
          <w:tcPr>
            <w:tcW w:w="6453" w:type="dxa"/>
          </w:tcPr>
          <w:p w:rsidR="007636B0" w:rsidRPr="00F548B5" w:rsidRDefault="007636B0" w:rsidP="00B45DD6">
            <w:pPr>
              <w:autoSpaceDE w:val="0"/>
              <w:autoSpaceDN w:val="0"/>
              <w:adjustRightInd w:val="0"/>
              <w:rPr>
                <w:rFonts w:cs="Arial"/>
                <w:szCs w:val="22"/>
              </w:rPr>
            </w:pPr>
            <w:r w:rsidRPr="00F548B5">
              <w:rPr>
                <w:rFonts w:cs="Arial"/>
                <w:szCs w:val="22"/>
              </w:rPr>
              <w:t>Group ADI for atrazine and its chloro-s-triazine metabolites (reviewed in 2011) is based on a NOAEL of 1.8 mg/kg/day identified on the basis of luteinizing hormone</w:t>
            </w:r>
            <w:r>
              <w:rPr>
                <w:rFonts w:cs="Arial"/>
                <w:szCs w:val="22"/>
              </w:rPr>
              <w:t xml:space="preserve"> </w:t>
            </w:r>
            <w:r w:rsidRPr="00F548B5">
              <w:rPr>
                <w:rFonts w:cs="Arial"/>
                <w:szCs w:val="22"/>
              </w:rPr>
              <w:t xml:space="preserve">surge suppression and subsequent disruption of the </w:t>
            </w:r>
            <w:r>
              <w:rPr>
                <w:rFonts w:cs="Arial"/>
                <w:szCs w:val="22"/>
              </w:rPr>
              <w:t>o</w:t>
            </w:r>
            <w:r w:rsidRPr="00F548B5">
              <w:rPr>
                <w:rFonts w:cs="Arial"/>
                <w:szCs w:val="22"/>
              </w:rPr>
              <w:t>estrous cycle seen at</w:t>
            </w:r>
          </w:p>
          <w:p w:rsidR="007636B0" w:rsidRPr="00F548B5" w:rsidRDefault="007636B0" w:rsidP="00B45DD6">
            <w:pPr>
              <w:autoSpaceDE w:val="0"/>
              <w:autoSpaceDN w:val="0"/>
              <w:adjustRightInd w:val="0"/>
              <w:rPr>
                <w:rFonts w:cs="Arial"/>
                <w:szCs w:val="22"/>
              </w:rPr>
            </w:pPr>
            <w:r w:rsidRPr="00F548B5">
              <w:rPr>
                <w:rFonts w:cs="Arial"/>
                <w:szCs w:val="22"/>
              </w:rPr>
              <w:t>3.6 mg/kg body weight per day in a 6-month study in rats, using a safety</w:t>
            </w:r>
            <w:r>
              <w:rPr>
                <w:rFonts w:cs="Arial"/>
                <w:szCs w:val="22"/>
              </w:rPr>
              <w:t xml:space="preserve"> f</w:t>
            </w:r>
            <w:r w:rsidRPr="00F548B5">
              <w:rPr>
                <w:rFonts w:cs="Arial"/>
                <w:szCs w:val="22"/>
              </w:rPr>
              <w:t>actor of 100</w:t>
            </w:r>
          </w:p>
        </w:tc>
      </w:tr>
      <w:tr w:rsidR="007636B0" w:rsidRPr="00F548B5" w:rsidTr="00B45DD6">
        <w:tc>
          <w:tcPr>
            <w:tcW w:w="1384" w:type="dxa"/>
          </w:tcPr>
          <w:p w:rsidR="007636B0" w:rsidRPr="00F548B5" w:rsidRDefault="007636B0" w:rsidP="00B45DD6">
            <w:pPr>
              <w:spacing w:before="20"/>
              <w:rPr>
                <w:szCs w:val="22"/>
              </w:rPr>
            </w:pPr>
            <w:r w:rsidRPr="00F548B5">
              <w:rPr>
                <w:szCs w:val="22"/>
              </w:rPr>
              <w:t>RIVM (2001)</w:t>
            </w:r>
          </w:p>
        </w:tc>
        <w:tc>
          <w:tcPr>
            <w:tcW w:w="2126" w:type="dxa"/>
          </w:tcPr>
          <w:p w:rsidR="007636B0" w:rsidRPr="00F548B5" w:rsidRDefault="007636B0" w:rsidP="00B45DD6">
            <w:pPr>
              <w:spacing w:before="20"/>
              <w:rPr>
                <w:szCs w:val="22"/>
              </w:rPr>
            </w:pPr>
            <w:r w:rsidRPr="00F548B5">
              <w:rPr>
                <w:szCs w:val="22"/>
              </w:rPr>
              <w:t>TDI = 0.005 mg/kg/day</w:t>
            </w:r>
          </w:p>
        </w:tc>
        <w:tc>
          <w:tcPr>
            <w:tcW w:w="6453" w:type="dxa"/>
          </w:tcPr>
          <w:p w:rsidR="007636B0" w:rsidRPr="00F548B5" w:rsidRDefault="007636B0" w:rsidP="00B45DD6">
            <w:pPr>
              <w:spacing w:before="20"/>
              <w:rPr>
                <w:szCs w:val="22"/>
              </w:rPr>
            </w:pPr>
            <w:r w:rsidRPr="00F548B5">
              <w:rPr>
                <w:szCs w:val="22"/>
              </w:rPr>
              <w:t>TDI based on a NOAEL of 0.5 mg/kg/day associated with reproductive effects in rats, and a 100-fold uncertainty factor.</w:t>
            </w:r>
          </w:p>
        </w:tc>
      </w:tr>
      <w:tr w:rsidR="007636B0" w:rsidRPr="00F548B5" w:rsidTr="00B45DD6">
        <w:tc>
          <w:tcPr>
            <w:tcW w:w="1384" w:type="dxa"/>
          </w:tcPr>
          <w:p w:rsidR="007636B0" w:rsidRPr="00F548B5" w:rsidRDefault="007636B0" w:rsidP="00B45DD6">
            <w:pPr>
              <w:spacing w:before="20"/>
              <w:rPr>
                <w:szCs w:val="22"/>
              </w:rPr>
            </w:pPr>
            <w:r w:rsidRPr="00F548B5">
              <w:rPr>
                <w:szCs w:val="22"/>
              </w:rPr>
              <w:t>ATSDR</w:t>
            </w:r>
          </w:p>
        </w:tc>
        <w:tc>
          <w:tcPr>
            <w:tcW w:w="2126" w:type="dxa"/>
          </w:tcPr>
          <w:p w:rsidR="007636B0" w:rsidRPr="00F548B5" w:rsidRDefault="007636B0" w:rsidP="00B45DD6">
            <w:pPr>
              <w:spacing w:before="20"/>
              <w:rPr>
                <w:szCs w:val="22"/>
              </w:rPr>
            </w:pPr>
            <w:r w:rsidRPr="00F548B5">
              <w:rPr>
                <w:szCs w:val="22"/>
              </w:rPr>
              <w:t>No evaluation available</w:t>
            </w:r>
          </w:p>
        </w:tc>
        <w:tc>
          <w:tcPr>
            <w:tcW w:w="6453" w:type="dxa"/>
          </w:tcPr>
          <w:p w:rsidR="007636B0" w:rsidRPr="00F548B5" w:rsidRDefault="007636B0" w:rsidP="00B45DD6">
            <w:pPr>
              <w:spacing w:before="20"/>
              <w:rPr>
                <w:szCs w:val="22"/>
              </w:rPr>
            </w:pPr>
          </w:p>
        </w:tc>
      </w:tr>
      <w:tr w:rsidR="007636B0" w:rsidRPr="00F548B5" w:rsidTr="00B45DD6">
        <w:tc>
          <w:tcPr>
            <w:tcW w:w="1384" w:type="dxa"/>
          </w:tcPr>
          <w:p w:rsidR="007636B0" w:rsidRPr="00F548B5" w:rsidRDefault="007636B0" w:rsidP="00B45DD6">
            <w:pPr>
              <w:spacing w:before="20"/>
              <w:rPr>
                <w:szCs w:val="22"/>
              </w:rPr>
            </w:pPr>
            <w:r w:rsidRPr="00F548B5">
              <w:rPr>
                <w:szCs w:val="22"/>
              </w:rPr>
              <w:t>US EPA (IRIS 2012)</w:t>
            </w:r>
          </w:p>
        </w:tc>
        <w:tc>
          <w:tcPr>
            <w:tcW w:w="2126" w:type="dxa"/>
          </w:tcPr>
          <w:p w:rsidR="007636B0" w:rsidRPr="00F548B5" w:rsidRDefault="007636B0" w:rsidP="00B45DD6">
            <w:pPr>
              <w:spacing w:before="20"/>
              <w:rPr>
                <w:szCs w:val="22"/>
              </w:rPr>
            </w:pPr>
            <w:r w:rsidRPr="00F548B5">
              <w:rPr>
                <w:szCs w:val="22"/>
              </w:rPr>
              <w:t>RfD = 0.035 mg/kg/day</w:t>
            </w:r>
          </w:p>
          <w:p w:rsidR="007636B0" w:rsidRPr="00F548B5" w:rsidRDefault="007636B0" w:rsidP="00B45DD6">
            <w:pPr>
              <w:spacing w:before="20"/>
              <w:rPr>
                <w:szCs w:val="22"/>
              </w:rPr>
            </w:pPr>
          </w:p>
        </w:tc>
        <w:tc>
          <w:tcPr>
            <w:tcW w:w="6453" w:type="dxa"/>
          </w:tcPr>
          <w:p w:rsidR="007636B0" w:rsidRPr="00F548B5" w:rsidRDefault="007636B0" w:rsidP="00B45DD6">
            <w:pPr>
              <w:spacing w:before="20"/>
              <w:rPr>
                <w:szCs w:val="22"/>
              </w:rPr>
            </w:pPr>
            <w:r w:rsidRPr="00F548B5">
              <w:rPr>
                <w:szCs w:val="22"/>
              </w:rPr>
              <w:t xml:space="preserve">The US EPA (available from IRIS) have derived an oral RfD of 0.035 mg/kg/day. The value was last reviewed in 1993 and is based on a NOAEL of 3.5 mg/kg/day associated with </w:t>
            </w:r>
            <w:r w:rsidRPr="00F548B5">
              <w:rPr>
                <w:szCs w:val="22"/>
              </w:rPr>
              <w:lastRenderedPageBreak/>
              <w:t>decreased body weight gain from a 2-year rat study, and an uncertainty factor of 100.</w:t>
            </w:r>
          </w:p>
        </w:tc>
      </w:tr>
    </w:tbl>
    <w:p w:rsidR="007636B0" w:rsidRDefault="007636B0" w:rsidP="007636B0"/>
    <w:p w:rsidR="007636B0" w:rsidRDefault="007636B0" w:rsidP="007636B0">
      <w:r>
        <w:t>While the most recent review by WHO (2011) provides a less conservative ADI, the current Australian ADI of 0.005 mg/kg/day is considered relevant and appropriate for consideration in the derivation of a soil HIL.</w:t>
      </w:r>
    </w:p>
    <w:p w:rsidR="0021528E" w:rsidRDefault="0021528E" w:rsidP="007636B0"/>
    <w:p w:rsidR="007636B0" w:rsidRDefault="007636B0" w:rsidP="007636B0">
      <w:r>
        <w:t>No dermal or inhalation-specific studies or data are available. For the presence of atrazine in soil (not during use in herbicide products), it is considered appropriate to consider use of the available threshold ADI for all pathways of exposures.</w:t>
      </w:r>
    </w:p>
    <w:p w:rsidR="007636B0" w:rsidRPr="00921D7B" w:rsidRDefault="007636B0" w:rsidP="007636B0">
      <w:pPr>
        <w:pStyle w:val="Heading3"/>
      </w:pPr>
      <w:bookmarkStart w:id="76" w:name="_Toc351714316"/>
      <w:r w:rsidRPr="00921D7B">
        <w:t>Recommendation</w:t>
      </w:r>
      <w:bookmarkEnd w:id="76"/>
    </w:p>
    <w:p w:rsidR="007636B0" w:rsidRDefault="007636B0" w:rsidP="007636B0">
      <w:r>
        <w:t>On the basis of the discussion above the following toxicity reference values (TRVs) have been adopted for atrazine in the derivation of HILs:</w:t>
      </w:r>
    </w:p>
    <w:p w:rsidR="007636B0" w:rsidRDefault="007636B0" w:rsidP="007636B0">
      <w:r>
        <w:rPr>
          <w:noProof/>
          <w:lang w:eastAsia="en-AU"/>
        </w:rPr>
        <mc:AlternateContent>
          <mc:Choice Requires="wps">
            <w:drawing>
              <wp:inline distT="0" distB="0" distL="0" distR="0">
                <wp:extent cx="5654040" cy="2315210"/>
                <wp:effectExtent l="13335" t="12065" r="9525" b="63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2315210"/>
                        </a:xfrm>
                        <a:prstGeom prst="rect">
                          <a:avLst/>
                        </a:prstGeom>
                        <a:solidFill>
                          <a:srgbClr val="D8D8D8"/>
                        </a:solidFill>
                        <a:ln w="9525">
                          <a:solidFill>
                            <a:srgbClr val="000000"/>
                          </a:solidFill>
                          <a:miter lim="800000"/>
                          <a:headEnd/>
                          <a:tailEnd/>
                        </a:ln>
                      </wps:spPr>
                      <wps:txbx>
                        <w:txbxContent>
                          <w:p w:rsidR="00A0097F" w:rsidRPr="00742163" w:rsidRDefault="00A0097F" w:rsidP="007636B0">
                            <w:pPr>
                              <w:spacing w:after="40"/>
                              <w:rPr>
                                <w:b/>
                                <w:u w:val="single"/>
                              </w:rPr>
                            </w:pPr>
                            <w:r w:rsidRPr="00742163">
                              <w:rPr>
                                <w:b/>
                                <w:u w:val="single"/>
                              </w:rPr>
                              <w:t xml:space="preserve">Recommendation for </w:t>
                            </w:r>
                            <w:r>
                              <w:rPr>
                                <w:b/>
                                <w:u w:val="single"/>
                              </w:rPr>
                              <w:t>Atrazine</w:t>
                            </w:r>
                          </w:p>
                          <w:p w:rsidR="00A0097F" w:rsidRDefault="00A0097F" w:rsidP="007636B0">
                            <w:pPr>
                              <w:spacing w:after="40"/>
                            </w:pPr>
                            <w:r>
                              <w:t>Oral TRV (TRV</w:t>
                            </w:r>
                            <w:r w:rsidRPr="00A54613">
                              <w:rPr>
                                <w:vertAlign w:val="subscript"/>
                              </w:rPr>
                              <w:t>O</w:t>
                            </w:r>
                            <w:r>
                              <w:t>) = 0.005 mg/kg/day (NHMRC 2011; OCS 2008; APVMA 2008) for all pathways of exposure</w:t>
                            </w:r>
                          </w:p>
                          <w:p w:rsidR="00A0097F" w:rsidRDefault="00A0097F" w:rsidP="007636B0">
                            <w:pPr>
                              <w:spacing w:after="40"/>
                            </w:pPr>
                            <w:r>
                              <w:t>Dermal absorption factor (DAF) = 0.1 (or 10%) (US EPA 1995)</w:t>
                            </w:r>
                          </w:p>
                          <w:p w:rsidR="00A0097F" w:rsidRDefault="00A0097F" w:rsidP="007636B0">
                            <w:pPr>
                              <w:spacing w:after="40"/>
                            </w:pPr>
                            <w:r>
                              <w:t>Background intakes from other sources (as % of TRV):</w:t>
                            </w:r>
                          </w:p>
                          <w:p w:rsidR="00A0097F" w:rsidRDefault="00A0097F" w:rsidP="007636B0">
                            <w:pPr>
                              <w:spacing w:after="40"/>
                              <w:ind w:left="720"/>
                            </w:pPr>
                            <w:r>
                              <w:t>BI</w:t>
                            </w:r>
                            <w:r w:rsidRPr="002049F5">
                              <w:rPr>
                                <w:vertAlign w:val="subscript"/>
                              </w:rPr>
                              <w:t>O</w:t>
                            </w:r>
                            <w:r>
                              <w:t xml:space="preserve"> = 0% for oral and dermal intakes</w:t>
                            </w:r>
                          </w:p>
                          <w:p w:rsidR="00A0097F" w:rsidRDefault="00A0097F" w:rsidP="007636B0">
                            <w:pPr>
                              <w:spacing w:after="40"/>
                              <w:ind w:left="720"/>
                            </w:pPr>
                            <w:r>
                              <w:t>BIi = 0% for inhalation</w:t>
                            </w:r>
                            <w:r w:rsidDel="00C81411">
                              <w:t xml:space="preserve"> </w:t>
                            </w:r>
                          </w:p>
                          <w:p w:rsidR="00A0097F" w:rsidRDefault="00A0097F" w:rsidP="007636B0">
                            <w:pPr>
                              <w:spacing w:after="40"/>
                            </w:pPr>
                            <w:r>
                              <w:t>Note that background intakes in areas where herbicides are used need to be considered on a site-specific basis.</w:t>
                            </w:r>
                          </w:p>
                          <w:p w:rsidR="00A0097F" w:rsidRDefault="00A0097F" w:rsidP="007636B0">
                            <w:pPr>
                              <w:spacing w:after="40"/>
                            </w:pPr>
                          </w:p>
                        </w:txbxContent>
                      </wps:txbx>
                      <wps:bodyPr rot="0" vert="horz" wrap="square" lIns="91440" tIns="45720" rIns="91440" bIns="45720" anchor="t" anchorCtr="0" upright="1">
                        <a:noAutofit/>
                      </wps:bodyPr>
                    </wps:wsp>
                  </a:graphicData>
                </a:graphic>
              </wp:inline>
            </w:drawing>
          </mc:Choice>
          <mc:Fallback>
            <w:pict>
              <v:shape id="Text Box 5" o:spid="_x0000_s1033" type="#_x0000_t202" style="width:445.2pt;height:18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" fillcolor="#d8d8d8">
                <v:textbox>
                  <w:txbxContent>
                    <w:p w:rsidR="009C6751" w:rsidRPr="00742163" w:rsidRDefault="009C6751" w:rsidP="007636B0">
                      <w:pPr>
                        <w:spacing w:after="40"/>
                        <w:rPr>
                          <w:b/>
                          <w:u w:val="single"/>
                        </w:rPr>
                      </w:pPr>
                      <w:r w:rsidRPr="00742163">
                        <w:rPr>
                          <w:b/>
                          <w:u w:val="single"/>
                        </w:rPr>
                        <w:t xml:space="preserve">Recommendation for </w:t>
                      </w:r>
                      <w:r>
                        <w:rPr>
                          <w:b/>
                          <w:u w:val="single"/>
                        </w:rPr>
                        <w:t>Atrazine</w:t>
                      </w:r>
                    </w:p>
                    <w:p w:rsidR="009C6751" w:rsidRDefault="009C6751" w:rsidP="007636B0">
                      <w:pPr>
                        <w:spacing w:after="40"/>
                      </w:pPr>
                      <w:r>
                        <w:t>Oral TRV (TRV</w:t>
                      </w:r>
                      <w:r w:rsidRPr="00A54613">
                        <w:rPr>
                          <w:vertAlign w:val="subscript"/>
                        </w:rPr>
                        <w:t>O</w:t>
                      </w:r>
                      <w:r>
                        <w:t>) = 0.005 mg/kg/day (NHMRC 2011; OCS 2008; APVMA 2008) for all pathways of exposure</w:t>
                      </w:r>
                    </w:p>
                    <w:p w:rsidR="009C6751" w:rsidRDefault="009C6751" w:rsidP="007636B0">
                      <w:pPr>
                        <w:spacing w:after="40"/>
                      </w:pPr>
                      <w:r>
                        <w:t>Dermal absorption factor (DAF) = 0.1 (or 10%) (US EPA 1995)</w:t>
                      </w:r>
                    </w:p>
                    <w:p w:rsidR="009C6751" w:rsidRDefault="009C6751" w:rsidP="007636B0">
                      <w:pPr>
                        <w:spacing w:after="40"/>
                      </w:pPr>
                      <w:r>
                        <w:t>Background intakes from other sources (as % of TRV):</w:t>
                      </w:r>
                    </w:p>
                    <w:p w:rsidR="009C6751" w:rsidRDefault="009C6751" w:rsidP="007636B0">
                      <w:pPr>
                        <w:spacing w:after="40"/>
                        <w:ind w:left="720"/>
                      </w:pPr>
                      <w:r>
                        <w:t>BI</w:t>
                      </w:r>
                      <w:r w:rsidRPr="002049F5">
                        <w:rPr>
                          <w:vertAlign w:val="subscript"/>
                        </w:rPr>
                        <w:t>O</w:t>
                      </w:r>
                      <w:r>
                        <w:t xml:space="preserve"> = 0% for oral and dermal intakes</w:t>
                      </w:r>
                    </w:p>
                    <w:p w:rsidR="009C6751" w:rsidRDefault="009C6751" w:rsidP="007636B0">
                      <w:pPr>
                        <w:spacing w:after="40"/>
                        <w:ind w:left="720"/>
                      </w:pPr>
                      <w:r>
                        <w:t>BIi = 0% for inhalation</w:t>
                      </w:r>
                      <w:r w:rsidDel="00C81411">
                        <w:t xml:space="preserve"> </w:t>
                      </w:r>
                    </w:p>
                    <w:p w:rsidR="009C6751" w:rsidRDefault="009C6751" w:rsidP="007636B0">
                      <w:pPr>
                        <w:spacing w:after="40"/>
                      </w:pPr>
                      <w:r>
                        <w:t>Note that background intakes in areas where herbicides are used need to be considered on a site-specific basis.</w:t>
                      </w:r>
                    </w:p>
                    <w:p w:rsidR="009C6751" w:rsidRDefault="009C6751" w:rsidP="007636B0">
                      <w:pPr>
                        <w:spacing w:after="40"/>
                      </w:pPr>
                    </w:p>
                  </w:txbxContent>
                </v:textbox>
                <w10:anchorlock/>
              </v:shape>
            </w:pict>
          </mc:Fallback>
        </mc:AlternateContent>
      </w:r>
    </w:p>
    <w:p w:rsidR="007636B0" w:rsidRDefault="007636B0" w:rsidP="007636B0"/>
    <w:p w:rsidR="007636B0" w:rsidRDefault="007636B0" w:rsidP="00B45DD6">
      <w:pPr>
        <w:pStyle w:val="Heading2"/>
        <w:pageBreakBefore/>
        <w:tabs>
          <w:tab w:val="clear" w:pos="1209"/>
        </w:tabs>
      </w:pPr>
      <w:bookmarkStart w:id="77" w:name="_Toc351714317"/>
      <w:r>
        <w:lastRenderedPageBreak/>
        <w:t>Calculated HILs</w:t>
      </w:r>
      <w:bookmarkEnd w:id="77"/>
    </w:p>
    <w:p w:rsidR="007636B0" w:rsidRDefault="007636B0" w:rsidP="007636B0">
      <w:r>
        <w:t>On the basis of the above, the following HILs have been derived for atrazine (refer to Appendix B for equations used to calculate the HILs and Appendix C for calculations):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9"/>
        <w:gridCol w:w="1287"/>
        <w:gridCol w:w="1445"/>
        <w:gridCol w:w="1517"/>
        <w:gridCol w:w="1553"/>
        <w:gridCol w:w="1392"/>
      </w:tblGrid>
      <w:tr w:rsidR="007636B0" w:rsidRPr="00F548B5" w:rsidTr="00B45DD6">
        <w:tc>
          <w:tcPr>
            <w:tcW w:w="1639" w:type="dxa"/>
            <w:vMerge w:val="restart"/>
            <w:shd w:val="clear" w:color="auto" w:fill="C6D9F1" w:themeFill="text2" w:themeFillTint="33"/>
          </w:tcPr>
          <w:p w:rsidR="007636B0" w:rsidRPr="00F548B5" w:rsidRDefault="007636B0" w:rsidP="00B45DD6">
            <w:pPr>
              <w:spacing w:after="40"/>
              <w:rPr>
                <w:b/>
                <w:szCs w:val="22"/>
              </w:rPr>
            </w:pPr>
            <w:r w:rsidRPr="00F548B5">
              <w:rPr>
                <w:b/>
                <w:szCs w:val="22"/>
              </w:rPr>
              <w:t>HIL Scenario</w:t>
            </w:r>
          </w:p>
        </w:tc>
        <w:tc>
          <w:tcPr>
            <w:tcW w:w="1287" w:type="dxa"/>
            <w:vMerge w:val="restart"/>
            <w:shd w:val="clear" w:color="auto" w:fill="C6D9F1" w:themeFill="text2" w:themeFillTint="33"/>
          </w:tcPr>
          <w:p w:rsidR="007636B0" w:rsidRPr="00F548B5" w:rsidRDefault="007636B0" w:rsidP="00B45DD6">
            <w:pPr>
              <w:spacing w:after="40"/>
              <w:jc w:val="center"/>
              <w:rPr>
                <w:b/>
                <w:szCs w:val="22"/>
              </w:rPr>
            </w:pPr>
            <w:r w:rsidRPr="00F548B5">
              <w:rPr>
                <w:b/>
                <w:szCs w:val="22"/>
              </w:rPr>
              <w:t>HIL (mg/kg)</w:t>
            </w:r>
          </w:p>
        </w:tc>
        <w:tc>
          <w:tcPr>
            <w:tcW w:w="5907" w:type="dxa"/>
            <w:gridSpan w:val="4"/>
            <w:shd w:val="clear" w:color="auto" w:fill="C6D9F1" w:themeFill="text2" w:themeFillTint="33"/>
          </w:tcPr>
          <w:p w:rsidR="007636B0" w:rsidRPr="00F548B5" w:rsidRDefault="007636B0" w:rsidP="00B45DD6">
            <w:pPr>
              <w:spacing w:after="40"/>
              <w:jc w:val="center"/>
              <w:rPr>
                <w:b/>
                <w:szCs w:val="22"/>
              </w:rPr>
            </w:pPr>
            <w:r w:rsidRPr="00F548B5">
              <w:rPr>
                <w:b/>
                <w:szCs w:val="22"/>
              </w:rPr>
              <w:t>Percentage Contribution from Exposure Pathways</w:t>
            </w:r>
          </w:p>
        </w:tc>
      </w:tr>
      <w:tr w:rsidR="007636B0" w:rsidRPr="00F548B5" w:rsidTr="00B45DD6">
        <w:trPr>
          <w:trHeight w:val="427"/>
        </w:trPr>
        <w:tc>
          <w:tcPr>
            <w:tcW w:w="1639" w:type="dxa"/>
            <w:vMerge/>
            <w:shd w:val="clear" w:color="auto" w:fill="C6D9F1" w:themeFill="text2" w:themeFillTint="33"/>
          </w:tcPr>
          <w:p w:rsidR="007636B0" w:rsidRPr="00F548B5" w:rsidRDefault="007636B0" w:rsidP="00B45DD6">
            <w:pPr>
              <w:spacing w:after="40"/>
              <w:rPr>
                <w:szCs w:val="22"/>
              </w:rPr>
            </w:pPr>
          </w:p>
        </w:tc>
        <w:tc>
          <w:tcPr>
            <w:tcW w:w="1287" w:type="dxa"/>
            <w:vMerge/>
            <w:shd w:val="clear" w:color="auto" w:fill="C6D9F1" w:themeFill="text2" w:themeFillTint="33"/>
          </w:tcPr>
          <w:p w:rsidR="007636B0" w:rsidRPr="00F548B5" w:rsidRDefault="007636B0" w:rsidP="00B45DD6">
            <w:pPr>
              <w:spacing w:after="40"/>
              <w:jc w:val="center"/>
              <w:rPr>
                <w:szCs w:val="22"/>
              </w:rPr>
            </w:pPr>
          </w:p>
        </w:tc>
        <w:tc>
          <w:tcPr>
            <w:tcW w:w="1445" w:type="dxa"/>
            <w:shd w:val="clear" w:color="auto" w:fill="C6D9F1" w:themeFill="text2" w:themeFillTint="33"/>
          </w:tcPr>
          <w:p w:rsidR="007636B0" w:rsidRPr="00F548B5" w:rsidRDefault="007636B0" w:rsidP="00B45DD6">
            <w:pPr>
              <w:spacing w:after="40"/>
              <w:jc w:val="center"/>
              <w:rPr>
                <w:b/>
                <w:szCs w:val="22"/>
              </w:rPr>
            </w:pPr>
            <w:r w:rsidRPr="00F548B5">
              <w:rPr>
                <w:b/>
                <w:szCs w:val="22"/>
              </w:rPr>
              <w:t>Ingestion of Soil/Dust</w:t>
            </w:r>
          </w:p>
        </w:tc>
        <w:tc>
          <w:tcPr>
            <w:tcW w:w="1517" w:type="dxa"/>
            <w:shd w:val="clear" w:color="auto" w:fill="C6D9F1" w:themeFill="text2" w:themeFillTint="33"/>
          </w:tcPr>
          <w:p w:rsidR="007636B0" w:rsidRPr="00F548B5" w:rsidRDefault="007636B0" w:rsidP="00B45DD6">
            <w:pPr>
              <w:spacing w:after="40"/>
              <w:jc w:val="center"/>
              <w:rPr>
                <w:b/>
                <w:szCs w:val="22"/>
              </w:rPr>
            </w:pPr>
            <w:r w:rsidRPr="00F548B5">
              <w:rPr>
                <w:b/>
                <w:szCs w:val="22"/>
              </w:rPr>
              <w:t>Ingestion of Home-grown Produce</w:t>
            </w:r>
          </w:p>
        </w:tc>
        <w:tc>
          <w:tcPr>
            <w:tcW w:w="1553" w:type="dxa"/>
            <w:shd w:val="clear" w:color="auto" w:fill="C6D9F1" w:themeFill="text2" w:themeFillTint="33"/>
          </w:tcPr>
          <w:p w:rsidR="007636B0" w:rsidRPr="00F548B5" w:rsidRDefault="007636B0" w:rsidP="00B45DD6">
            <w:pPr>
              <w:spacing w:after="40"/>
              <w:jc w:val="center"/>
              <w:rPr>
                <w:b/>
                <w:szCs w:val="22"/>
              </w:rPr>
            </w:pPr>
            <w:r w:rsidRPr="00F548B5">
              <w:rPr>
                <w:b/>
                <w:szCs w:val="22"/>
              </w:rPr>
              <w:t>Dermal Absorption of Soil/Dust</w:t>
            </w:r>
          </w:p>
        </w:tc>
        <w:tc>
          <w:tcPr>
            <w:tcW w:w="1392" w:type="dxa"/>
            <w:shd w:val="clear" w:color="auto" w:fill="C6D9F1" w:themeFill="text2" w:themeFillTint="33"/>
          </w:tcPr>
          <w:p w:rsidR="007636B0" w:rsidRPr="00F548B5" w:rsidRDefault="007636B0" w:rsidP="00B45DD6">
            <w:pPr>
              <w:spacing w:after="40"/>
              <w:jc w:val="center"/>
              <w:rPr>
                <w:b/>
                <w:szCs w:val="22"/>
              </w:rPr>
            </w:pPr>
            <w:r w:rsidRPr="00F548B5">
              <w:rPr>
                <w:b/>
                <w:szCs w:val="22"/>
              </w:rPr>
              <w:t>Inhalation (dust)</w:t>
            </w:r>
          </w:p>
        </w:tc>
      </w:tr>
      <w:tr w:rsidR="007636B0" w:rsidRPr="00F548B5" w:rsidTr="00B45DD6">
        <w:tc>
          <w:tcPr>
            <w:tcW w:w="1639" w:type="dxa"/>
          </w:tcPr>
          <w:p w:rsidR="007636B0" w:rsidRPr="00F548B5" w:rsidRDefault="007636B0" w:rsidP="00B45DD6">
            <w:pPr>
              <w:spacing w:after="40"/>
              <w:rPr>
                <w:szCs w:val="22"/>
              </w:rPr>
            </w:pPr>
            <w:r w:rsidRPr="00F548B5">
              <w:rPr>
                <w:szCs w:val="22"/>
              </w:rPr>
              <w:t>Residential A</w:t>
            </w:r>
          </w:p>
        </w:tc>
        <w:tc>
          <w:tcPr>
            <w:tcW w:w="1287" w:type="dxa"/>
            <w:tcMar>
              <w:right w:w="397" w:type="dxa"/>
            </w:tcMar>
          </w:tcPr>
          <w:p w:rsidR="007636B0" w:rsidRPr="00F548B5" w:rsidRDefault="007636B0" w:rsidP="00B45DD6">
            <w:pPr>
              <w:spacing w:after="40"/>
              <w:jc w:val="right"/>
              <w:rPr>
                <w:szCs w:val="22"/>
              </w:rPr>
            </w:pPr>
            <w:r w:rsidRPr="00F548B5">
              <w:rPr>
                <w:szCs w:val="22"/>
              </w:rPr>
              <w:t>320</w:t>
            </w:r>
          </w:p>
        </w:tc>
        <w:tc>
          <w:tcPr>
            <w:tcW w:w="1445" w:type="dxa"/>
          </w:tcPr>
          <w:p w:rsidR="007636B0" w:rsidRPr="00F548B5" w:rsidRDefault="007636B0" w:rsidP="00B45DD6">
            <w:pPr>
              <w:spacing w:after="40"/>
              <w:jc w:val="center"/>
              <w:rPr>
                <w:szCs w:val="22"/>
              </w:rPr>
            </w:pPr>
            <w:r w:rsidRPr="00F548B5">
              <w:rPr>
                <w:szCs w:val="22"/>
              </w:rPr>
              <w:t>43</w:t>
            </w:r>
          </w:p>
        </w:tc>
        <w:tc>
          <w:tcPr>
            <w:tcW w:w="1517" w:type="dxa"/>
          </w:tcPr>
          <w:p w:rsidR="007636B0" w:rsidRPr="00F548B5" w:rsidRDefault="007636B0" w:rsidP="00B45DD6">
            <w:pPr>
              <w:spacing w:after="40"/>
              <w:jc w:val="center"/>
              <w:rPr>
                <w:szCs w:val="22"/>
              </w:rPr>
            </w:pPr>
            <w:r w:rsidRPr="00F548B5">
              <w:rPr>
                <w:szCs w:val="22"/>
              </w:rPr>
              <w:t>--</w:t>
            </w:r>
          </w:p>
        </w:tc>
        <w:tc>
          <w:tcPr>
            <w:tcW w:w="1553" w:type="dxa"/>
          </w:tcPr>
          <w:p w:rsidR="007636B0" w:rsidRPr="00F548B5" w:rsidRDefault="007636B0" w:rsidP="00B45DD6">
            <w:pPr>
              <w:spacing w:after="40"/>
              <w:jc w:val="center"/>
              <w:rPr>
                <w:szCs w:val="22"/>
              </w:rPr>
            </w:pPr>
            <w:r w:rsidRPr="00F548B5">
              <w:rPr>
                <w:szCs w:val="22"/>
              </w:rPr>
              <w:t>57</w:t>
            </w:r>
          </w:p>
        </w:tc>
        <w:tc>
          <w:tcPr>
            <w:tcW w:w="1392" w:type="dxa"/>
          </w:tcPr>
          <w:p w:rsidR="007636B0" w:rsidRPr="00F548B5" w:rsidRDefault="007636B0" w:rsidP="00B45DD6">
            <w:pPr>
              <w:spacing w:after="40"/>
              <w:jc w:val="center"/>
              <w:rPr>
                <w:szCs w:val="22"/>
              </w:rPr>
            </w:pPr>
            <w:r w:rsidRPr="00F548B5">
              <w:rPr>
                <w:szCs w:val="22"/>
              </w:rPr>
              <w:t>&lt;1</w:t>
            </w:r>
          </w:p>
        </w:tc>
      </w:tr>
      <w:tr w:rsidR="007636B0" w:rsidRPr="00F548B5" w:rsidTr="00B45DD6">
        <w:tc>
          <w:tcPr>
            <w:tcW w:w="1639" w:type="dxa"/>
          </w:tcPr>
          <w:p w:rsidR="007636B0" w:rsidRPr="00F548B5" w:rsidRDefault="007636B0" w:rsidP="00B45DD6">
            <w:pPr>
              <w:spacing w:after="40"/>
              <w:rPr>
                <w:szCs w:val="22"/>
              </w:rPr>
            </w:pPr>
            <w:r w:rsidRPr="00F548B5">
              <w:rPr>
                <w:szCs w:val="22"/>
              </w:rPr>
              <w:t>Residential B</w:t>
            </w:r>
          </w:p>
        </w:tc>
        <w:tc>
          <w:tcPr>
            <w:tcW w:w="1287" w:type="dxa"/>
            <w:tcMar>
              <w:right w:w="397" w:type="dxa"/>
            </w:tcMar>
          </w:tcPr>
          <w:p w:rsidR="007636B0" w:rsidRPr="00F548B5" w:rsidRDefault="007636B0" w:rsidP="00B45DD6">
            <w:pPr>
              <w:spacing w:after="40"/>
              <w:jc w:val="right"/>
              <w:rPr>
                <w:szCs w:val="22"/>
              </w:rPr>
            </w:pPr>
            <w:r w:rsidRPr="00F548B5">
              <w:rPr>
                <w:szCs w:val="22"/>
              </w:rPr>
              <w:t>470</w:t>
            </w:r>
          </w:p>
        </w:tc>
        <w:tc>
          <w:tcPr>
            <w:tcW w:w="1445" w:type="dxa"/>
          </w:tcPr>
          <w:p w:rsidR="007636B0" w:rsidRPr="00F548B5" w:rsidRDefault="007636B0" w:rsidP="00B45DD6">
            <w:pPr>
              <w:spacing w:after="40"/>
              <w:jc w:val="center"/>
              <w:rPr>
                <w:szCs w:val="22"/>
              </w:rPr>
            </w:pPr>
            <w:r w:rsidRPr="00F548B5">
              <w:rPr>
                <w:szCs w:val="22"/>
              </w:rPr>
              <w:t>16</w:t>
            </w:r>
          </w:p>
        </w:tc>
        <w:tc>
          <w:tcPr>
            <w:tcW w:w="1517" w:type="dxa"/>
          </w:tcPr>
          <w:p w:rsidR="007636B0" w:rsidRPr="00F548B5" w:rsidRDefault="007636B0" w:rsidP="00B45DD6">
            <w:pPr>
              <w:spacing w:after="40"/>
              <w:jc w:val="center"/>
              <w:rPr>
                <w:szCs w:val="22"/>
              </w:rPr>
            </w:pPr>
            <w:r w:rsidRPr="00F548B5">
              <w:rPr>
                <w:szCs w:val="22"/>
              </w:rPr>
              <w:t>--</w:t>
            </w:r>
          </w:p>
        </w:tc>
        <w:tc>
          <w:tcPr>
            <w:tcW w:w="1553" w:type="dxa"/>
          </w:tcPr>
          <w:p w:rsidR="007636B0" w:rsidRPr="00F548B5" w:rsidRDefault="007636B0" w:rsidP="00B45DD6">
            <w:pPr>
              <w:spacing w:after="40"/>
              <w:jc w:val="center"/>
              <w:rPr>
                <w:szCs w:val="22"/>
              </w:rPr>
            </w:pPr>
            <w:r w:rsidRPr="00F548B5">
              <w:rPr>
                <w:szCs w:val="22"/>
              </w:rPr>
              <w:t>84</w:t>
            </w:r>
          </w:p>
        </w:tc>
        <w:tc>
          <w:tcPr>
            <w:tcW w:w="1392" w:type="dxa"/>
          </w:tcPr>
          <w:p w:rsidR="007636B0" w:rsidRPr="00F548B5" w:rsidRDefault="007636B0" w:rsidP="00B45DD6">
            <w:pPr>
              <w:spacing w:after="40"/>
              <w:jc w:val="center"/>
              <w:rPr>
                <w:szCs w:val="22"/>
              </w:rPr>
            </w:pPr>
            <w:r w:rsidRPr="00F548B5">
              <w:rPr>
                <w:szCs w:val="22"/>
              </w:rPr>
              <w:t>&lt;1</w:t>
            </w:r>
          </w:p>
        </w:tc>
      </w:tr>
      <w:tr w:rsidR="007636B0" w:rsidRPr="00F548B5" w:rsidTr="00B45DD6">
        <w:tc>
          <w:tcPr>
            <w:tcW w:w="1639" w:type="dxa"/>
          </w:tcPr>
          <w:p w:rsidR="007636B0" w:rsidRPr="00F548B5" w:rsidRDefault="007636B0" w:rsidP="00B45DD6">
            <w:pPr>
              <w:spacing w:after="40"/>
              <w:rPr>
                <w:szCs w:val="22"/>
              </w:rPr>
            </w:pPr>
            <w:r w:rsidRPr="00F548B5">
              <w:rPr>
                <w:szCs w:val="22"/>
              </w:rPr>
              <w:t>Recreational C</w:t>
            </w:r>
          </w:p>
        </w:tc>
        <w:tc>
          <w:tcPr>
            <w:tcW w:w="1287" w:type="dxa"/>
            <w:tcMar>
              <w:right w:w="397" w:type="dxa"/>
            </w:tcMar>
          </w:tcPr>
          <w:p w:rsidR="007636B0" w:rsidRPr="00F548B5" w:rsidRDefault="007636B0" w:rsidP="00B45DD6">
            <w:pPr>
              <w:spacing w:after="40"/>
              <w:jc w:val="right"/>
              <w:rPr>
                <w:szCs w:val="22"/>
              </w:rPr>
            </w:pPr>
            <w:r w:rsidRPr="00F548B5">
              <w:rPr>
                <w:szCs w:val="22"/>
              </w:rPr>
              <w:t>400</w:t>
            </w:r>
          </w:p>
        </w:tc>
        <w:tc>
          <w:tcPr>
            <w:tcW w:w="1445" w:type="dxa"/>
          </w:tcPr>
          <w:p w:rsidR="007636B0" w:rsidRPr="00F548B5" w:rsidRDefault="007636B0" w:rsidP="00B45DD6">
            <w:pPr>
              <w:spacing w:after="40"/>
              <w:jc w:val="center"/>
              <w:rPr>
                <w:szCs w:val="22"/>
              </w:rPr>
            </w:pPr>
            <w:r w:rsidRPr="00F548B5">
              <w:rPr>
                <w:szCs w:val="22"/>
              </w:rPr>
              <w:t>27</w:t>
            </w:r>
          </w:p>
        </w:tc>
        <w:tc>
          <w:tcPr>
            <w:tcW w:w="1517" w:type="dxa"/>
          </w:tcPr>
          <w:p w:rsidR="007636B0" w:rsidRPr="00F548B5" w:rsidRDefault="007636B0" w:rsidP="00B45DD6">
            <w:pPr>
              <w:spacing w:after="40"/>
              <w:jc w:val="center"/>
              <w:rPr>
                <w:szCs w:val="22"/>
              </w:rPr>
            </w:pPr>
            <w:r w:rsidRPr="00F548B5">
              <w:rPr>
                <w:szCs w:val="22"/>
              </w:rPr>
              <w:t>--</w:t>
            </w:r>
          </w:p>
        </w:tc>
        <w:tc>
          <w:tcPr>
            <w:tcW w:w="1553" w:type="dxa"/>
          </w:tcPr>
          <w:p w:rsidR="007636B0" w:rsidRPr="00F548B5" w:rsidRDefault="007636B0" w:rsidP="00B45DD6">
            <w:pPr>
              <w:spacing w:after="40"/>
              <w:jc w:val="center"/>
              <w:rPr>
                <w:szCs w:val="22"/>
              </w:rPr>
            </w:pPr>
            <w:r w:rsidRPr="00F548B5">
              <w:rPr>
                <w:szCs w:val="22"/>
              </w:rPr>
              <w:t>73</w:t>
            </w:r>
          </w:p>
        </w:tc>
        <w:tc>
          <w:tcPr>
            <w:tcW w:w="1392" w:type="dxa"/>
          </w:tcPr>
          <w:p w:rsidR="007636B0" w:rsidRPr="00F548B5" w:rsidRDefault="007636B0" w:rsidP="00B45DD6">
            <w:pPr>
              <w:spacing w:after="40"/>
              <w:jc w:val="center"/>
              <w:rPr>
                <w:szCs w:val="22"/>
              </w:rPr>
            </w:pPr>
            <w:r w:rsidRPr="00F548B5">
              <w:rPr>
                <w:szCs w:val="22"/>
              </w:rPr>
              <w:t>&lt;1</w:t>
            </w:r>
          </w:p>
        </w:tc>
      </w:tr>
      <w:tr w:rsidR="007636B0" w:rsidRPr="00F548B5" w:rsidTr="00B45DD6">
        <w:tc>
          <w:tcPr>
            <w:tcW w:w="1639" w:type="dxa"/>
          </w:tcPr>
          <w:p w:rsidR="007636B0" w:rsidRPr="00F548B5" w:rsidRDefault="007636B0" w:rsidP="00B45DD6">
            <w:pPr>
              <w:spacing w:after="40"/>
              <w:rPr>
                <w:szCs w:val="22"/>
              </w:rPr>
            </w:pPr>
            <w:r w:rsidRPr="00F548B5">
              <w:rPr>
                <w:szCs w:val="22"/>
              </w:rPr>
              <w:t>Commercial D</w:t>
            </w:r>
          </w:p>
        </w:tc>
        <w:tc>
          <w:tcPr>
            <w:tcW w:w="1287" w:type="dxa"/>
            <w:tcMar>
              <w:right w:w="397" w:type="dxa"/>
            </w:tcMar>
          </w:tcPr>
          <w:p w:rsidR="007636B0" w:rsidRPr="00F548B5" w:rsidRDefault="007636B0" w:rsidP="00B45DD6">
            <w:pPr>
              <w:spacing w:after="40"/>
              <w:jc w:val="right"/>
              <w:rPr>
                <w:szCs w:val="22"/>
              </w:rPr>
            </w:pPr>
            <w:r w:rsidRPr="00F548B5">
              <w:rPr>
                <w:szCs w:val="22"/>
              </w:rPr>
              <w:t>2500</w:t>
            </w:r>
          </w:p>
        </w:tc>
        <w:tc>
          <w:tcPr>
            <w:tcW w:w="1445" w:type="dxa"/>
          </w:tcPr>
          <w:p w:rsidR="007636B0" w:rsidRPr="00F548B5" w:rsidRDefault="007636B0" w:rsidP="00B45DD6">
            <w:pPr>
              <w:spacing w:after="40"/>
              <w:jc w:val="center"/>
              <w:rPr>
                <w:szCs w:val="22"/>
              </w:rPr>
            </w:pPr>
            <w:r w:rsidRPr="00F548B5">
              <w:rPr>
                <w:szCs w:val="22"/>
              </w:rPr>
              <w:t>12</w:t>
            </w:r>
          </w:p>
        </w:tc>
        <w:tc>
          <w:tcPr>
            <w:tcW w:w="1517" w:type="dxa"/>
          </w:tcPr>
          <w:p w:rsidR="007636B0" w:rsidRPr="00F548B5" w:rsidRDefault="007636B0" w:rsidP="00B45DD6">
            <w:pPr>
              <w:spacing w:after="40"/>
              <w:jc w:val="center"/>
              <w:rPr>
                <w:szCs w:val="22"/>
              </w:rPr>
            </w:pPr>
            <w:r w:rsidRPr="00F548B5">
              <w:rPr>
                <w:szCs w:val="22"/>
              </w:rPr>
              <w:t>--</w:t>
            </w:r>
          </w:p>
        </w:tc>
        <w:tc>
          <w:tcPr>
            <w:tcW w:w="1553" w:type="dxa"/>
          </w:tcPr>
          <w:p w:rsidR="007636B0" w:rsidRPr="00F548B5" w:rsidRDefault="007636B0" w:rsidP="00B45DD6">
            <w:pPr>
              <w:spacing w:after="40"/>
              <w:jc w:val="center"/>
              <w:rPr>
                <w:szCs w:val="22"/>
              </w:rPr>
            </w:pPr>
            <w:r w:rsidRPr="00F548B5">
              <w:rPr>
                <w:szCs w:val="22"/>
              </w:rPr>
              <w:t>88</w:t>
            </w:r>
          </w:p>
        </w:tc>
        <w:tc>
          <w:tcPr>
            <w:tcW w:w="1392" w:type="dxa"/>
          </w:tcPr>
          <w:p w:rsidR="007636B0" w:rsidRPr="00F548B5" w:rsidRDefault="007636B0" w:rsidP="00B45DD6">
            <w:pPr>
              <w:spacing w:after="40"/>
              <w:jc w:val="center"/>
              <w:rPr>
                <w:szCs w:val="22"/>
              </w:rPr>
            </w:pPr>
            <w:r w:rsidRPr="00F548B5">
              <w:rPr>
                <w:szCs w:val="22"/>
              </w:rPr>
              <w:t>&lt;1</w:t>
            </w:r>
          </w:p>
        </w:tc>
      </w:tr>
    </w:tbl>
    <w:p w:rsidR="007636B0" w:rsidRPr="00F548B5" w:rsidRDefault="007636B0" w:rsidP="007636B0">
      <w:pPr>
        <w:rPr>
          <w:sz w:val="18"/>
          <w:szCs w:val="18"/>
        </w:rPr>
      </w:pPr>
      <w:r w:rsidRPr="00F548B5">
        <w:rPr>
          <w:sz w:val="18"/>
          <w:szCs w:val="18"/>
        </w:rPr>
        <w:t>-- Pathway not included in derivation of HIL</w:t>
      </w:r>
    </w:p>
    <w:p w:rsidR="007636B0" w:rsidRDefault="007636B0" w:rsidP="007636B0"/>
    <w:p w:rsidR="007636B0" w:rsidRDefault="007636B0" w:rsidP="007636B0">
      <w:pPr>
        <w:pStyle w:val="Heading2"/>
        <w:tabs>
          <w:tab w:val="clear" w:pos="1209"/>
        </w:tabs>
      </w:pPr>
      <w:bookmarkStart w:id="78" w:name="_Toc351714318"/>
      <w:r>
        <w:t>References</w:t>
      </w:r>
      <w:bookmarkEnd w:id="78"/>
    </w:p>
    <w:p w:rsidR="007636B0" w:rsidRPr="00F548B5" w:rsidRDefault="007636B0" w:rsidP="007636B0">
      <w:pPr>
        <w:pStyle w:val="StyletextLeft0cmHanging1cm"/>
      </w:pPr>
      <w:r w:rsidRPr="00F548B5">
        <w:t xml:space="preserve">APVMA 2008, </w:t>
      </w:r>
      <w:r w:rsidRPr="00F548B5">
        <w:rPr>
          <w:i/>
        </w:rPr>
        <w:t>Atrazine, Final Review Report and Regulatory Decision</w:t>
      </w:r>
      <w:r w:rsidRPr="00F548B5">
        <w:t>, Australian Pesticides &amp; Veterinary Medicines Authority, March 2008.</w:t>
      </w:r>
    </w:p>
    <w:p w:rsidR="007636B0" w:rsidRPr="00F548B5" w:rsidRDefault="007636B0" w:rsidP="007636B0">
      <w:pPr>
        <w:pStyle w:val="StyletextLeft0cmHanging1cm"/>
      </w:pPr>
      <w:r w:rsidRPr="00F548B5">
        <w:t xml:space="preserve">ATSDR 2003, </w:t>
      </w:r>
      <w:r w:rsidRPr="00F548B5">
        <w:rPr>
          <w:i/>
        </w:rPr>
        <w:t>Toxicological Profile for Atrazine</w:t>
      </w:r>
      <w:r w:rsidRPr="00F548B5">
        <w:t>, US Department of Health and Human Services, ATSDR, September 2003, available from http://www.atsdr.cdc.gov/ToxProfiles/tp.asp?id=338&amp;tid=59.</w:t>
      </w:r>
    </w:p>
    <w:p w:rsidR="007636B0" w:rsidRPr="00F548B5" w:rsidRDefault="007636B0" w:rsidP="007636B0">
      <w:pPr>
        <w:pStyle w:val="StyletextLeft0cmHanging1cm"/>
      </w:pPr>
      <w:r w:rsidRPr="00F548B5">
        <w:t xml:space="preserve">IARC 1999, </w:t>
      </w:r>
      <w:r w:rsidRPr="00F548B5">
        <w:rPr>
          <w:i/>
          <w:iCs/>
        </w:rPr>
        <w:t>IARC Monographs on the Evaluation of Carcinogenic Risks to Humans, Some Chemicals That Cause Tumors of the Lungs or Urinary Bladder in Rodents and Some Other Substances</w:t>
      </w:r>
      <w:r w:rsidRPr="00F548B5">
        <w:rPr>
          <w:iCs/>
        </w:rPr>
        <w:t xml:space="preserve">, </w:t>
      </w:r>
      <w:r w:rsidRPr="00F548B5">
        <w:t>World Health Organization</w:t>
      </w:r>
      <w:r w:rsidRPr="00F548B5">
        <w:rPr>
          <w:iCs/>
        </w:rPr>
        <w:t xml:space="preserve">, </w:t>
      </w:r>
      <w:r w:rsidRPr="00F548B5">
        <w:t>International Agency for Research on Cancer, Lyon, France.</w:t>
      </w:r>
    </w:p>
    <w:p w:rsidR="007636B0" w:rsidRPr="00F548B5" w:rsidRDefault="007636B0" w:rsidP="007636B0">
      <w:pPr>
        <w:pStyle w:val="StyletextLeft0cmHanging1cm"/>
      </w:pPr>
      <w:r w:rsidRPr="00F548B5">
        <w:t xml:space="preserve">JMPR 2007, </w:t>
      </w:r>
      <w:r w:rsidRPr="00F548B5">
        <w:rPr>
          <w:i/>
        </w:rPr>
        <w:t>Pesticide Residues in Food, 2007</w:t>
      </w:r>
      <w:r w:rsidRPr="00F548B5">
        <w:t>, Joint FAO/WHO Meeting on Pesticide Residues, FAO Plant Production Paper 191, 2007.</w:t>
      </w:r>
    </w:p>
    <w:p w:rsidR="007636B0" w:rsidRPr="00F548B5" w:rsidRDefault="007636B0" w:rsidP="007636B0">
      <w:pPr>
        <w:pStyle w:val="StyletextLeft0cmHanging1cm"/>
      </w:pPr>
      <w:r w:rsidRPr="00F548B5">
        <w:t xml:space="preserve">NEPC 1999, </w:t>
      </w:r>
      <w:r w:rsidRPr="00F548B5">
        <w:rPr>
          <w:i/>
        </w:rPr>
        <w:t>Schedule B (7a), Guideline on Health-Based Investigation Levels, National Environment Protection (Assessment of Site Contamination) Measure</w:t>
      </w:r>
      <w:r w:rsidRPr="00F548B5">
        <w:t>, National Environment Protection Council, Australia.</w:t>
      </w:r>
    </w:p>
    <w:p w:rsidR="007636B0" w:rsidRPr="00F548B5" w:rsidRDefault="007636B0" w:rsidP="007636B0">
      <w:pPr>
        <w:pStyle w:val="StyletextLeft0cmHanging1cm"/>
        <w:rPr>
          <w:noProof/>
        </w:rPr>
      </w:pPr>
      <w:r w:rsidRPr="00F548B5">
        <w:t xml:space="preserve">NHMRC 2011, </w:t>
      </w:r>
      <w:r w:rsidRPr="00F548B5">
        <w:rPr>
          <w:i/>
          <w:iCs/>
        </w:rPr>
        <w:t>National water quality management strategy, Australian drinking water guidelines</w:t>
      </w:r>
      <w:r w:rsidRPr="00F548B5">
        <w:t>, National Health and Medical Research Council, Australia</w:t>
      </w:r>
      <w:r w:rsidRPr="00F548B5">
        <w:rPr>
          <w:noProof/>
        </w:rPr>
        <w:t>.</w:t>
      </w:r>
    </w:p>
    <w:p w:rsidR="007636B0" w:rsidRPr="00F548B5" w:rsidRDefault="007636B0" w:rsidP="007636B0">
      <w:pPr>
        <w:pStyle w:val="StyletextLeft0cmHanging1cm"/>
        <w:rPr>
          <w:lang w:eastAsia="en-US"/>
        </w:rPr>
      </w:pPr>
      <w:r w:rsidRPr="00F548B5">
        <w:rPr>
          <w:lang w:eastAsia="en-US"/>
        </w:rPr>
        <w:t xml:space="preserve">NRA 1997, </w:t>
      </w:r>
      <w:r w:rsidRPr="00F548B5">
        <w:rPr>
          <w:i/>
          <w:iCs/>
          <w:lang w:eastAsia="en-US"/>
        </w:rPr>
        <w:t>Review Summary on the NRA Review of Atrazine</w:t>
      </w:r>
      <w:r w:rsidRPr="00F548B5">
        <w:rPr>
          <w:lang w:eastAsia="en-US"/>
        </w:rPr>
        <w:t>, Existing Chemicals Review Program, National Registration Authority for Agricultural and Veterinary Chemicals 1997, National Registration Authority for Agricultural and Veterinary Chemicals, Commonwealth of Australia, Canberra, Australia.</w:t>
      </w:r>
    </w:p>
    <w:p w:rsidR="007636B0" w:rsidRPr="00F548B5" w:rsidRDefault="007636B0" w:rsidP="007636B0">
      <w:pPr>
        <w:pStyle w:val="StyletextLeft0cmHanging1cm"/>
        <w:rPr>
          <w:noProof/>
        </w:rPr>
      </w:pPr>
      <w:r w:rsidRPr="00F548B5">
        <w:rPr>
          <w:noProof/>
        </w:rPr>
        <w:t xml:space="preserve">OCS 2012, </w:t>
      </w:r>
      <w:r w:rsidRPr="00F548B5">
        <w:rPr>
          <w:i/>
          <w:noProof/>
        </w:rPr>
        <w:t>ADI List, Acceptable Daily Intakes for Agricultural and Veterinary Chemicals</w:t>
      </w:r>
      <w:r w:rsidRPr="00F548B5">
        <w:rPr>
          <w:noProof/>
        </w:rPr>
        <w:t xml:space="preserve">, current to 31 March 2012, Australian Government, Department of Health and Ageing, Office of Chemical Safety (OCS), available from: </w:t>
      </w:r>
      <w:r w:rsidRPr="00F548B5">
        <w:t>http://www.health.gov.au/internet/main/publishing.nsf/content/E8F4D2F95D616584CA2573D700770C2A/$File/ADI-apr12.pdf.</w:t>
      </w:r>
    </w:p>
    <w:p w:rsidR="007636B0" w:rsidRPr="00F548B5" w:rsidRDefault="007636B0" w:rsidP="007636B0">
      <w:pPr>
        <w:pStyle w:val="StyletextLeft0cmHanging1cm"/>
        <w:rPr>
          <w:lang w:eastAsia="en-US"/>
        </w:rPr>
      </w:pPr>
      <w:r w:rsidRPr="00F548B5">
        <w:rPr>
          <w:lang w:eastAsia="en-US"/>
        </w:rPr>
        <w:t xml:space="preserve">RIVM 2001, </w:t>
      </w:r>
      <w:r w:rsidRPr="00F548B5">
        <w:rPr>
          <w:i/>
          <w:lang w:eastAsia="en-US"/>
        </w:rPr>
        <w:t>Re-evaluation of human-toxicological Maximum Permissible Risk levels</w:t>
      </w:r>
      <w:r w:rsidRPr="00F548B5">
        <w:rPr>
          <w:lang w:eastAsia="en-US"/>
        </w:rPr>
        <w:t xml:space="preserve">, National Institute of Public Health and the Environment, Bilthoven, Netherlands, available from: </w:t>
      </w:r>
      <w:hyperlink r:id="rId35" w:history="1">
        <w:r w:rsidRPr="00F548B5">
          <w:rPr>
            <w:rStyle w:val="Hyperlink"/>
            <w:rFonts w:cs="Arial"/>
            <w:szCs w:val="22"/>
            <w:lang w:eastAsia="en-US"/>
          </w:rPr>
          <w:t>http://www.rivm.nl/bibliotheek/rapporten/711701025.html</w:t>
        </w:r>
      </w:hyperlink>
      <w:r w:rsidRPr="00F548B5">
        <w:rPr>
          <w:lang w:eastAsia="en-US"/>
        </w:rPr>
        <w:t>.</w:t>
      </w:r>
    </w:p>
    <w:p w:rsidR="007636B0" w:rsidRPr="00F548B5" w:rsidRDefault="007636B0" w:rsidP="007636B0">
      <w:pPr>
        <w:pStyle w:val="StyletextLeft0cmHanging1cm"/>
      </w:pPr>
      <w:r w:rsidRPr="00F548B5">
        <w:t xml:space="preserve">US EPA 1995, </w:t>
      </w:r>
      <w:r w:rsidRPr="00F548B5">
        <w:rPr>
          <w:i/>
        </w:rPr>
        <w:t>Technical Guidance Manual, Assessing Dermal Exposure from Soil</w:t>
      </w:r>
      <w:r w:rsidRPr="00F548B5">
        <w:t xml:space="preserve">, US EPA Region 3, December 1995, available from: </w:t>
      </w:r>
      <w:hyperlink r:id="rId36" w:history="1">
        <w:r w:rsidRPr="00F548B5">
          <w:rPr>
            <w:rStyle w:val="Hyperlink"/>
            <w:szCs w:val="22"/>
          </w:rPr>
          <w:t>http://www.epa.gov/reg3hwmd/risk/human/info/solabsg2.htm</w:t>
        </w:r>
      </w:hyperlink>
      <w:r w:rsidRPr="00F548B5">
        <w:t>.</w:t>
      </w:r>
    </w:p>
    <w:p w:rsidR="007636B0" w:rsidRPr="00F548B5" w:rsidRDefault="007636B0" w:rsidP="007636B0">
      <w:pPr>
        <w:pStyle w:val="StyletextLeft0cmHanging1cm"/>
      </w:pPr>
      <w:r w:rsidRPr="00F548B5">
        <w:lastRenderedPageBreak/>
        <w:t xml:space="preserve">US EPA (IRIS 2012) data and information available from the </w:t>
      </w:r>
      <w:r w:rsidRPr="00F548B5">
        <w:rPr>
          <w:i/>
        </w:rPr>
        <w:t>Integrated Risk Information System</w:t>
      </w:r>
      <w:r w:rsidRPr="00F548B5">
        <w:t xml:space="preserve">, an online database, available from </w:t>
      </w:r>
      <w:hyperlink r:id="rId37" w:history="1">
        <w:r w:rsidRPr="00F548B5">
          <w:rPr>
            <w:rStyle w:val="Hyperlink"/>
            <w:szCs w:val="22"/>
          </w:rPr>
          <w:t>http://www.epa.gov/iris/</w:t>
        </w:r>
      </w:hyperlink>
      <w:r w:rsidRPr="00F548B5">
        <w:t>.</w:t>
      </w:r>
    </w:p>
    <w:p w:rsidR="007636B0" w:rsidRPr="00F548B5" w:rsidRDefault="007636B0" w:rsidP="007636B0">
      <w:pPr>
        <w:pStyle w:val="StyletextLeft0cmHanging1cm"/>
      </w:pPr>
      <w:r w:rsidRPr="00F548B5">
        <w:t xml:space="preserve">WHO 2011, </w:t>
      </w:r>
      <w:r w:rsidRPr="00F548B5">
        <w:rPr>
          <w:i/>
        </w:rPr>
        <w:t>Guidelines for drinking-water quality, 4</w:t>
      </w:r>
      <w:r w:rsidRPr="00F548B5">
        <w:rPr>
          <w:i/>
          <w:vertAlign w:val="superscript"/>
        </w:rPr>
        <w:t>th</w:t>
      </w:r>
      <w:r w:rsidRPr="00F548B5">
        <w:rPr>
          <w:i/>
        </w:rPr>
        <w:t xml:space="preserve"> edn</w:t>
      </w:r>
      <w:r w:rsidRPr="00F548B5">
        <w:t>, World Health Organization, Geneva</w:t>
      </w:r>
      <w:r>
        <w:t>,</w:t>
      </w:r>
      <w:r w:rsidRPr="00F548B5">
        <w:t xml:space="preserve"> available from </w:t>
      </w:r>
      <w:hyperlink r:id="rId38" w:history="1">
        <w:r w:rsidRPr="00F548B5">
          <w:rPr>
            <w:rStyle w:val="Hyperlink"/>
            <w:szCs w:val="22"/>
          </w:rPr>
          <w:t>http://www.who.int/water_sanitation_health/dwq/chemicals/en/index.html</w:t>
        </w:r>
      </w:hyperlink>
      <w:r w:rsidRPr="00F548B5">
        <w:t>.</w:t>
      </w:r>
    </w:p>
    <w:p w:rsidR="007636B0" w:rsidRDefault="007636B0" w:rsidP="007636B0"/>
    <w:p w:rsidR="007636B0" w:rsidRDefault="007636B0" w:rsidP="007636B0"/>
    <w:p w:rsidR="007636B0" w:rsidRDefault="007636B0" w:rsidP="007636B0"/>
    <w:p w:rsidR="007636B0" w:rsidRDefault="007636B0" w:rsidP="007636B0"/>
    <w:p w:rsidR="007636B0" w:rsidRDefault="007636B0" w:rsidP="007636B0"/>
    <w:p w:rsidR="007636B0" w:rsidRDefault="007636B0" w:rsidP="007636B0">
      <w:pPr>
        <w:pStyle w:val="Heading1"/>
        <w:tabs>
          <w:tab w:val="clear" w:pos="1209"/>
          <w:tab w:val="num" w:pos="720"/>
        </w:tabs>
      </w:pPr>
      <w:bookmarkStart w:id="79" w:name="_Toc351714319"/>
      <w:r>
        <w:lastRenderedPageBreak/>
        <w:t>Chlorpyrifos</w:t>
      </w:r>
      <w:bookmarkEnd w:id="79"/>
    </w:p>
    <w:p w:rsidR="007636B0" w:rsidRDefault="007636B0" w:rsidP="007636B0">
      <w:pPr>
        <w:pStyle w:val="Heading2"/>
        <w:tabs>
          <w:tab w:val="clear" w:pos="1209"/>
        </w:tabs>
      </w:pPr>
      <w:bookmarkStart w:id="80" w:name="_Toc351714320"/>
      <w:r>
        <w:t>General</w:t>
      </w:r>
      <w:bookmarkEnd w:id="80"/>
    </w:p>
    <w:p w:rsidR="007636B0" w:rsidRDefault="007636B0" w:rsidP="007636B0">
      <w:r>
        <w:t>Several reviews of chlorpyrifos in the environment and its toxicity to humans are available and should be consulted for more detailed information not presented in this summary (ATSDR 1997; WHO 2004; NRAAVC 2000; APVMA 2009; Taylor &amp; Di Marco 2003). The following provides a summary of the key aspects of chlorpyrifos that are relevant to the derivation of a soil HIL.</w:t>
      </w:r>
    </w:p>
    <w:p w:rsidR="0021528E" w:rsidRDefault="0021528E" w:rsidP="007636B0"/>
    <w:p w:rsidR="007636B0" w:rsidRDefault="007636B0" w:rsidP="007636B0">
      <w:r w:rsidRPr="00F678A1">
        <w:t xml:space="preserve">Chlorpyrifos is the common name for the organophosphorous insecticide </w:t>
      </w:r>
      <w:r w:rsidRPr="00F678A1">
        <w:rPr>
          <w:i/>
          <w:iCs/>
        </w:rPr>
        <w:t>O,O</w:t>
      </w:r>
      <w:r w:rsidRPr="00F678A1">
        <w:t xml:space="preserve">-diethyl </w:t>
      </w:r>
      <w:r w:rsidRPr="00F678A1">
        <w:rPr>
          <w:i/>
          <w:iCs/>
        </w:rPr>
        <w:t>O</w:t>
      </w:r>
      <w:r w:rsidRPr="00F678A1">
        <w:t xml:space="preserve">-3,5,6-trichloro-2-pyridyl phophorothioate. Pure chlorpyrifos is an odourless, white to colourless crystalline solid. The compound is non-polar and therefore has a low solubility in water and an affinity for organic substances. It is also thermally sensitive at temperatures over 50 °C and decomposes at 130 °C </w:t>
      </w:r>
      <w:r>
        <w:t>(NRAAVC 2000; WHO 2004)</w:t>
      </w:r>
      <w:r w:rsidRPr="00F678A1">
        <w:t>.</w:t>
      </w:r>
    </w:p>
    <w:p w:rsidR="0021528E" w:rsidRPr="00F678A1" w:rsidRDefault="0021528E" w:rsidP="007636B0"/>
    <w:p w:rsidR="007636B0" w:rsidRDefault="007636B0" w:rsidP="007636B0">
      <w:r w:rsidRPr="00F678A1">
        <w:t xml:space="preserve">Technical grade chlorpyrifos has a minimum purity of 940 to 990 g/kg. It is a white to light yellowish brown crystalline solid with a mild mercaptan odour. Commercial formulations of chlorpyrifos are generally produced as a concentrated emulsion, liquid, wettable powder, </w:t>
      </w:r>
      <w:r>
        <w:t>dust, solid bait or granules (NRAAVC 2000)</w:t>
      </w:r>
      <w:r w:rsidRPr="00F678A1">
        <w:t>.</w:t>
      </w:r>
    </w:p>
    <w:p w:rsidR="0021528E" w:rsidRPr="00F678A1" w:rsidRDefault="0021528E" w:rsidP="007636B0"/>
    <w:p w:rsidR="007636B0" w:rsidRDefault="007636B0" w:rsidP="007636B0">
      <w:r w:rsidRPr="00F678A1">
        <w:t xml:space="preserve">Chlorpyrifos has been widely used in the Australian agricultural industry since the mid-1960s as it is reportedly less harmful to beneficial insects and is a useful tool in insecticide resistance management </w:t>
      </w:r>
      <w:r>
        <w:t>programs (NRAAVC 2000)</w:t>
      </w:r>
      <w:r w:rsidRPr="00F678A1">
        <w:t>. It is used to control insects in soil and on crop foliage including fruit (pome, stone and citrus fruit, strawberries, figs, pineapples, kiwifruit and bananas), nuts, vines, vegetables (potatoes, asparagus), grains (rice, cereals, maize, sorghum), cotton, mushrooms, sugar cane</w:t>
      </w:r>
      <w:r>
        <w:t>, turf and ornamental plants (NRAAVC 2000)</w:t>
      </w:r>
      <w:r w:rsidRPr="00F678A1">
        <w:t xml:space="preserve">. In industrial/commercial and domestic buildings chlorpyrifos is used to control termites, cockroaches, spiders, ants, mosquitoes and fleas and is generally sprayed in the sub-floor region during construction or applied around the building. It is also registered for use in dog and cat flea collars, sprays and shampoos. </w:t>
      </w:r>
      <w:r>
        <w:t>While the number of products containing chlorpyrifos changes on a yearly basis</w:t>
      </w:r>
      <w:r>
        <w:rPr>
          <w:rStyle w:val="FootnoteReference"/>
        </w:rPr>
        <w:footnoteReference w:id="1"/>
      </w:r>
      <w:r>
        <w:t>, i</w:t>
      </w:r>
      <w:r w:rsidRPr="00F678A1">
        <w:t xml:space="preserve">n 2000 there were 164 products registered in Australia that contained </w:t>
      </w:r>
      <w:r>
        <w:t>chlorpyrifos (NRAAVC 2000)</w:t>
      </w:r>
      <w:r w:rsidRPr="00F678A1">
        <w:t>.</w:t>
      </w:r>
    </w:p>
    <w:p w:rsidR="0021528E" w:rsidRDefault="0021528E" w:rsidP="007636B0"/>
    <w:p w:rsidR="007636B0" w:rsidRDefault="007636B0" w:rsidP="007636B0">
      <w:pPr>
        <w:rPr>
          <w:rFonts w:cs="Arial"/>
        </w:rPr>
      </w:pPr>
      <w:r w:rsidRPr="00C02451">
        <w:rPr>
          <w:rFonts w:cs="Arial"/>
        </w:rPr>
        <w:t>In contrast</w:t>
      </w:r>
      <w:r>
        <w:rPr>
          <w:rFonts w:cs="Arial"/>
        </w:rPr>
        <w:t xml:space="preserve"> to Australia</w:t>
      </w:r>
      <w:r w:rsidRPr="00C02451">
        <w:rPr>
          <w:rFonts w:cs="Arial"/>
        </w:rPr>
        <w:t xml:space="preserve">, the US banned </w:t>
      </w:r>
      <w:r>
        <w:rPr>
          <w:rFonts w:cs="Arial"/>
        </w:rPr>
        <w:t xml:space="preserve">all </w:t>
      </w:r>
      <w:r w:rsidRPr="00C02451">
        <w:rPr>
          <w:rFonts w:cs="Arial"/>
        </w:rPr>
        <w:t>domestic use of chlorpyrifos in 2001.</w:t>
      </w:r>
    </w:p>
    <w:p w:rsidR="0021528E" w:rsidRDefault="0021528E" w:rsidP="007636B0">
      <w:pPr>
        <w:rPr>
          <w:rFonts w:cs="Arial"/>
        </w:rPr>
      </w:pPr>
    </w:p>
    <w:p w:rsidR="007636B0" w:rsidRDefault="007636B0" w:rsidP="007636B0">
      <w:r>
        <w:rPr>
          <w:rFonts w:cs="Arial"/>
        </w:rPr>
        <w:t>Chlorpyrifos is persistent in the environment with a half-life in soil reported to range from 33</w:t>
      </w:r>
      <w:r>
        <w:rPr>
          <w:rFonts w:cs="Arial"/>
        </w:rPr>
        <w:sym w:font="Symbol" w:char="F02D"/>
      </w:r>
      <w:r>
        <w:rPr>
          <w:rFonts w:cs="Arial"/>
        </w:rPr>
        <w:t>56 days for soil-incorporated applications (Tomlin 2003) to 462 days in Australian soil under conditions similar to the application of products on soil for termite control (Baskaran et al. 1999).</w:t>
      </w:r>
    </w:p>
    <w:p w:rsidR="007636B0" w:rsidRDefault="007636B0" w:rsidP="007636B0">
      <w:pPr>
        <w:pStyle w:val="Heading2"/>
        <w:tabs>
          <w:tab w:val="clear" w:pos="1209"/>
        </w:tabs>
      </w:pPr>
      <w:bookmarkStart w:id="81" w:name="_Toc351714321"/>
      <w:r>
        <w:t>Previous HIL</w:t>
      </w:r>
      <w:bookmarkEnd w:id="81"/>
    </w:p>
    <w:p w:rsidR="007636B0" w:rsidRDefault="007636B0" w:rsidP="007636B0">
      <w:r>
        <w:t xml:space="preserve">No previous HIL is available for </w:t>
      </w:r>
      <w:r w:rsidRPr="00F678A1">
        <w:t>chlorpyrifos</w:t>
      </w:r>
      <w:r>
        <w:t xml:space="preserve"> (NEPC 1999). It is noted, however that review of chlorpyrifos by Taylor &amp; Di Marco (2003) derived a health-based soil investigation level (residential) of 80 mg/kg on the basis of a threshold toxicity reference value of 0.003 mg/kg/day (noted to be derived from US EPA), 100% oral bioavailability, soil ingestion only, and an assumption that exposures from soil contribute (by default) 20% of the reference value.</w:t>
      </w:r>
    </w:p>
    <w:p w:rsidR="007636B0" w:rsidRDefault="007636B0" w:rsidP="007636B0">
      <w:pPr>
        <w:pStyle w:val="Heading2"/>
        <w:tabs>
          <w:tab w:val="clear" w:pos="1209"/>
        </w:tabs>
      </w:pPr>
      <w:bookmarkStart w:id="82" w:name="_Toc351714322"/>
      <w:r>
        <w:lastRenderedPageBreak/>
        <w:t>Significance of Exposure Pathways</w:t>
      </w:r>
      <w:bookmarkEnd w:id="82"/>
    </w:p>
    <w:p w:rsidR="007636B0" w:rsidRPr="00E00A6A" w:rsidRDefault="007636B0" w:rsidP="007636B0">
      <w:pPr>
        <w:pStyle w:val="Heading3"/>
      </w:pPr>
      <w:bookmarkStart w:id="83" w:name="_Toc351714323"/>
      <w:r>
        <w:t xml:space="preserve">Oral </w:t>
      </w:r>
      <w:r w:rsidRPr="00E00A6A">
        <w:t>Bioavailability</w:t>
      </w:r>
      <w:bookmarkEnd w:id="83"/>
    </w:p>
    <w:p w:rsidR="007636B0" w:rsidRDefault="007636B0" w:rsidP="007636B0">
      <w:r>
        <w:t>Insufficient data is available to adequately define the bioavailability of chlorpyrifos, hence a default approach of assuming 100% oral bioavailability has been adopted in the derivation of an HIL. It is noted that a site-specific assessment of bioavailability can be undertaken where required.</w:t>
      </w:r>
    </w:p>
    <w:p w:rsidR="007636B0" w:rsidRPr="002D7B71" w:rsidRDefault="007636B0" w:rsidP="007636B0">
      <w:pPr>
        <w:pStyle w:val="Heading3"/>
      </w:pPr>
      <w:bookmarkStart w:id="84" w:name="_Toc351714324"/>
      <w:r w:rsidRPr="002D7B71">
        <w:t>Dermal absorption</w:t>
      </w:r>
      <w:bookmarkEnd w:id="84"/>
    </w:p>
    <w:p w:rsidR="007636B0" w:rsidRDefault="007636B0" w:rsidP="007636B0">
      <w:r>
        <w:t>Limited data is available on dermal absorption of chlorpyrifos. Review by APVMA (2009) identified that in acute animal studies, dermal absorption has been shown to be low. In human volunteers, dermal absorption was estimated to be 1.35% of the applied dose (NRAAVC 2000). Dermal absorption of chlorpyrifos in soil (not in solution) is expected to be lower. The assessment of occupational exposures by NRAAVC (2000), as confirmed by APVMA (2009), has adopted a dermal absorption value of 3%. This has been adopted in the derivation of HILs.</w:t>
      </w:r>
    </w:p>
    <w:p w:rsidR="007636B0" w:rsidRPr="009338FB" w:rsidRDefault="007636B0" w:rsidP="007636B0">
      <w:pPr>
        <w:pStyle w:val="Heading3"/>
      </w:pPr>
      <w:bookmarkStart w:id="85" w:name="_Toc351714325"/>
      <w:r w:rsidRPr="009338FB">
        <w:t>Inhalation of Dust</w:t>
      </w:r>
      <w:bookmarkEnd w:id="85"/>
    </w:p>
    <w:p w:rsidR="007636B0" w:rsidRDefault="007636B0" w:rsidP="007636B0">
      <w:pPr>
        <w:rPr>
          <w:lang w:val="en-US"/>
        </w:rPr>
      </w:pPr>
      <w:r>
        <w:t xml:space="preserve">The inhalation exposure pathway is expected to be of significance during and immediately after the application of products containing the product. In these cases chlorpyrifos may be present in the vapour phase as well as sorbed to particulates (ATSDR 1997). </w:t>
      </w:r>
      <w:r w:rsidRPr="00337EE7">
        <w:rPr>
          <w:color w:val="000000"/>
        </w:rPr>
        <w:t xml:space="preserve">An Australian study by Beard </w:t>
      </w:r>
      <w:r w:rsidRPr="00D370F9">
        <w:rPr>
          <w:iCs/>
          <w:color w:val="000000"/>
        </w:rPr>
        <w:t>et al</w:t>
      </w:r>
      <w:r>
        <w:rPr>
          <w:i/>
          <w:iCs/>
          <w:color w:val="000000"/>
        </w:rPr>
        <w:t>.</w:t>
      </w:r>
      <w:r w:rsidRPr="00337EE7">
        <w:rPr>
          <w:color w:val="000000"/>
        </w:rPr>
        <w:t xml:space="preserve"> (1995) demonstrated that airborne exposures to pesticides in the community </w:t>
      </w:r>
      <w:r>
        <w:rPr>
          <w:color w:val="000000"/>
        </w:rPr>
        <w:t xml:space="preserve">can be substantial and </w:t>
      </w:r>
      <w:r w:rsidRPr="00337EE7">
        <w:rPr>
          <w:color w:val="000000"/>
        </w:rPr>
        <w:t>are largely related to residential use of pesticides</w:t>
      </w:r>
      <w:r>
        <w:rPr>
          <w:color w:val="000000"/>
        </w:rPr>
        <w:t xml:space="preserve"> rather than agricultural applications</w:t>
      </w:r>
      <w:r w:rsidRPr="00337EE7">
        <w:rPr>
          <w:color w:val="000000"/>
        </w:rPr>
        <w:t>.</w:t>
      </w:r>
      <w:r w:rsidRPr="00D04330">
        <w:rPr>
          <w:lang w:val="en-US"/>
        </w:rPr>
        <w:t xml:space="preserve"> </w:t>
      </w:r>
      <w:r>
        <w:rPr>
          <w:lang w:val="en-US"/>
        </w:rPr>
        <w:t>These issues should be considered on a site-by-site basis.</w:t>
      </w:r>
    </w:p>
    <w:p w:rsidR="0021528E" w:rsidRDefault="0021528E" w:rsidP="007636B0">
      <w:pPr>
        <w:rPr>
          <w:lang w:val="en-US"/>
        </w:rPr>
      </w:pPr>
    </w:p>
    <w:p w:rsidR="007636B0" w:rsidRDefault="007636B0" w:rsidP="007636B0">
      <w:r>
        <w:rPr>
          <w:lang w:val="en-US"/>
        </w:rPr>
        <w:t xml:space="preserve">For the assessment of chlorpyrifos as a soil contaminant (no product application considered), the compound </w:t>
      </w:r>
      <w:r>
        <w:t>is not considered sufficiently volatile to be of significance and inhalation exposures associated with particulates outdoors and indoors are expected to be of less significance than ingestion of soil. While likely to be negligible, potential inhalation exposures associated with dust have been considered in the HIL derived.</w:t>
      </w:r>
    </w:p>
    <w:p w:rsidR="007636B0" w:rsidRPr="009338FB" w:rsidRDefault="007636B0" w:rsidP="007636B0">
      <w:pPr>
        <w:pStyle w:val="Heading3"/>
      </w:pPr>
      <w:bookmarkStart w:id="86" w:name="_Toc351714326"/>
      <w:r w:rsidRPr="009338FB">
        <w:t>Plant Uptake</w:t>
      </w:r>
      <w:bookmarkEnd w:id="86"/>
    </w:p>
    <w:p w:rsidR="007636B0" w:rsidRDefault="007636B0" w:rsidP="007636B0">
      <w:r>
        <w:t xml:space="preserve">Information relating to the potential for plant uptake of chlorpyrifos is mixed. ATSDR (1997) notes that some research has shown that only very small levels of chlorpyrifos are taken up by plant roots, translocated, or metabolised by plant tissues. However, other researchers have found that soil-applied doses of chlorpyrifos are transported to foliage. APVMA (2009) </w:t>
      </w:r>
      <w:r w:rsidRPr="001424A9">
        <w:t>note</w:t>
      </w:r>
      <w:r>
        <w:t>s</w:t>
      </w:r>
      <w:r w:rsidRPr="001424A9">
        <w:t xml:space="preserve"> that absorption and translocation of foliar deposits of chlorpyrifos is very low, with the bulk dissipating through volatilisation. Absorption by roots from the soil is also poor</w:t>
      </w:r>
      <w:r>
        <w:t xml:space="preserve">. </w:t>
      </w:r>
      <w:r w:rsidRPr="001424A9">
        <w:t>This is further supported by studies presented by JMPR (1972) that show that the uptake of chlorpyrifos or its degradation products is insignificant through the foliage or roots</w:t>
      </w:r>
      <w:r>
        <w:t xml:space="preserve">. </w:t>
      </w:r>
      <w:r w:rsidRPr="001424A9">
        <w:t xml:space="preserve">Only through the use of specialised techniques has plant uptake of chlorpyrifos been significant. </w:t>
      </w:r>
    </w:p>
    <w:p w:rsidR="0021528E" w:rsidRPr="001424A9" w:rsidRDefault="0021528E" w:rsidP="007636B0"/>
    <w:p w:rsidR="007636B0" w:rsidRDefault="007636B0" w:rsidP="007636B0">
      <w:r>
        <w:t>Chlorpyrifos has the potential to strongly adsorb to soil and sediments (based on log K</w:t>
      </w:r>
      <w:r w:rsidRPr="00D370F9">
        <w:rPr>
          <w:vertAlign w:val="subscript"/>
        </w:rPr>
        <w:t>oc</w:t>
      </w:r>
      <w:r>
        <w:t xml:space="preserve"> of 3.73 from ATSDR (1997)) and has low water solubility. Hence the potential for chlorpyrifos to be present in soil solution, and subsequent uptake by plants, is considered to be low. </w:t>
      </w:r>
    </w:p>
    <w:p w:rsidR="0021528E" w:rsidRDefault="0021528E" w:rsidP="007636B0"/>
    <w:p w:rsidR="007636B0" w:rsidRDefault="007636B0" w:rsidP="007636B0">
      <w:r>
        <w:t>On the basis of the available information, plant uptake into edible fruit and vegetable crops is considered low and has not been considered in the derivation of soil HILs.</w:t>
      </w:r>
    </w:p>
    <w:p w:rsidR="007636B0" w:rsidRPr="0089652E" w:rsidRDefault="007636B0" w:rsidP="007636B0">
      <w:pPr>
        <w:pStyle w:val="Heading3"/>
      </w:pPr>
      <w:bookmarkStart w:id="87" w:name="_Toc351714327"/>
      <w:r w:rsidRPr="0089652E">
        <w:t xml:space="preserve">Intakes from Other Sources </w:t>
      </w:r>
      <w:r>
        <w:t>–</w:t>
      </w:r>
      <w:r w:rsidRPr="0089652E">
        <w:t xml:space="preserve"> Background</w:t>
      </w:r>
      <w:bookmarkEnd w:id="87"/>
    </w:p>
    <w:p w:rsidR="007636B0" w:rsidRDefault="007636B0" w:rsidP="007636B0">
      <w:r>
        <w:t xml:space="preserve">Background intakes were evaluated in more detail by Taylor &amp; Di Marco (2003), where data (from Australia where relevant) for food, water and air were considered. Background intakes were estimated to range from 0.81 </w:t>
      </w:r>
      <w:r>
        <w:rPr>
          <w:rFonts w:cs="Arial"/>
        </w:rPr>
        <w:t>µ</w:t>
      </w:r>
      <w:r>
        <w:t xml:space="preserve">g/kg/day for adults and infants to 1 </w:t>
      </w:r>
      <w:r>
        <w:rPr>
          <w:rFonts w:cs="Arial"/>
        </w:rPr>
        <w:t>µ</w:t>
      </w:r>
      <w:r>
        <w:t xml:space="preserve">g/kg/day for toddlers. Dietary intakes of 0.63 </w:t>
      </w:r>
      <w:r>
        <w:rPr>
          <w:rFonts w:cs="Arial"/>
        </w:rPr>
        <w:lastRenderedPageBreak/>
        <w:t>µ</w:t>
      </w:r>
      <w:r>
        <w:t>g/kg/day for toddlers (based on older surveys) were higher than currently reported. Current data on intakes from food and air (most significant pathways considered) include:</w:t>
      </w:r>
    </w:p>
    <w:p w:rsidR="007636B0" w:rsidRDefault="007636B0" w:rsidP="007636B0">
      <w:pPr>
        <w:pStyle w:val="Dot-points"/>
        <w:tabs>
          <w:tab w:val="clear" w:pos="926"/>
          <w:tab w:val="num" w:pos="360"/>
        </w:tabs>
      </w:pPr>
      <w:r>
        <w:t xml:space="preserve">Intakes of chlorpyrifos based on </w:t>
      </w:r>
      <w:r w:rsidRPr="00192792">
        <w:rPr>
          <w:i/>
        </w:rPr>
        <w:t>The Australian Total Diet Survey</w:t>
      </w:r>
      <w:r>
        <w:t xml:space="preserve"> (FSANZ 2011) were 0.23 </w:t>
      </w:r>
      <w:r>
        <w:rPr>
          <w:rFonts w:cs="Arial"/>
        </w:rPr>
        <w:t>µ</w:t>
      </w:r>
      <w:r>
        <w:t>g/kg/day for children aged 2</w:t>
      </w:r>
      <w:r>
        <w:sym w:font="Symbol" w:char="F02D"/>
      </w:r>
      <w:r>
        <w:t>5 years (most significant). While it is accepted that there are limitations in the data provided in these studies, the data is consistent with information from studies conducted in the US (ATSDR 1997) and have been considered indicative of potential intakes from food.</w:t>
      </w:r>
    </w:p>
    <w:p w:rsidR="007636B0" w:rsidRDefault="007636B0" w:rsidP="007636B0">
      <w:pPr>
        <w:pStyle w:val="Dot-points"/>
        <w:tabs>
          <w:tab w:val="clear" w:pos="926"/>
          <w:tab w:val="num" w:pos="360"/>
        </w:tabs>
      </w:pPr>
      <w:r>
        <w:t xml:space="preserve">A range of air concentrations have been reported for chlorpyrifos, during or immediately after application, some period after application, and ambient concentrations. Mean concentrations of chlorpyrifos in homes treated with termiticide several years previously were 2.23 </w:t>
      </w:r>
      <w:r>
        <w:rPr>
          <w:rFonts w:cs="Arial"/>
        </w:rPr>
        <w:t>µ</w:t>
      </w:r>
      <w:r>
        <w:t>g/m</w:t>
      </w:r>
      <w:r w:rsidRPr="001678B3">
        <w:rPr>
          <w:vertAlign w:val="superscript"/>
        </w:rPr>
        <w:t>3</w:t>
      </w:r>
      <w:r>
        <w:t xml:space="preserve"> (EA 2001). Intakes derived from these concentrations are estimated to be 1.4 </w:t>
      </w:r>
      <w:r>
        <w:rPr>
          <w:rFonts w:cs="Arial"/>
        </w:rPr>
        <w:t>µ</w:t>
      </w:r>
      <w:r>
        <w:t>g/kg/day, significantly more than intakes derived from dietary sources.</w:t>
      </w:r>
    </w:p>
    <w:p w:rsidR="007636B0" w:rsidRDefault="007636B0" w:rsidP="007636B0">
      <w:r>
        <w:t xml:space="preserve">Other sources of exposure may be associated with house dust, though as there is limited data available to quantify exposures related to the presence of chlorpyrifos in house dust, it has not been included in this evaluation. It is noted that the derivation of the soil HIL considers ingestion of both soil and dust. </w:t>
      </w:r>
    </w:p>
    <w:p w:rsidR="0021528E" w:rsidRDefault="0021528E" w:rsidP="007636B0"/>
    <w:p w:rsidR="007636B0" w:rsidRDefault="007636B0" w:rsidP="007636B0">
      <w:r>
        <w:t xml:space="preserve">Consideration of intakes derived from food and air suggests background intakes may be approximately 1.6 </w:t>
      </w:r>
      <w:r>
        <w:rPr>
          <w:rFonts w:cs="Arial"/>
        </w:rPr>
        <w:t>µ</w:t>
      </w:r>
      <w:r>
        <w:t>g/kg/day, which comprise approximately 50% of the recommended TRV. Review of dietary intakes by APVMA (2009), based on a conservative estimate of chemical residues in food, indicated that intakes may comprise up to 55% of the TRV, similar to the estimate presented on the basis of the above.</w:t>
      </w:r>
    </w:p>
    <w:p w:rsidR="0021528E" w:rsidRDefault="0021528E" w:rsidP="007636B0"/>
    <w:p w:rsidR="007636B0" w:rsidRDefault="007636B0" w:rsidP="007636B0">
      <w:r>
        <w:t xml:space="preserve">As chlorpyrifos remains in use in Australia it is reasonable, based on the above, to consider background intakes to be more than negligible. Based on the estimates, intakes derived from dietary and atmospheric sources have been estimated to be approximately 1.6 </w:t>
      </w:r>
      <w:r>
        <w:rPr>
          <w:rFonts w:cs="Arial"/>
        </w:rPr>
        <w:t>µ</w:t>
      </w:r>
      <w:r>
        <w:t>g/kg/day (50% of the TRV) and have been considered in the derivation of soil HILs.</w:t>
      </w:r>
    </w:p>
    <w:p w:rsidR="007636B0" w:rsidRDefault="007636B0" w:rsidP="007636B0">
      <w:pPr>
        <w:pStyle w:val="Heading2"/>
        <w:tabs>
          <w:tab w:val="clear" w:pos="1209"/>
        </w:tabs>
      </w:pPr>
      <w:bookmarkStart w:id="88" w:name="_Toc351714328"/>
      <w:r>
        <w:t>Identification of Toxicity Reference Values</w:t>
      </w:r>
      <w:bookmarkEnd w:id="88"/>
    </w:p>
    <w:p w:rsidR="007636B0" w:rsidRPr="00983A79" w:rsidRDefault="007636B0" w:rsidP="007636B0">
      <w:pPr>
        <w:pStyle w:val="Heading3"/>
      </w:pPr>
      <w:bookmarkStart w:id="89" w:name="_Toc351714329"/>
      <w:r w:rsidRPr="00983A79">
        <w:t>Classification</w:t>
      </w:r>
      <w:bookmarkEnd w:id="89"/>
    </w:p>
    <w:p w:rsidR="007636B0" w:rsidRDefault="007636B0" w:rsidP="007636B0">
      <w:r w:rsidRPr="00C259C1">
        <w:t>The International Agency for Research on Cancer (IARC</w:t>
      </w:r>
      <w:r>
        <w:t>) has not classified chlorpyrifos as to carcinogenicity and US EPA has classified it as Group D</w:t>
      </w:r>
      <w:r>
        <w:rPr>
          <w:rFonts w:cs="Arial"/>
        </w:rPr>
        <w:t>—</w:t>
      </w:r>
      <w:r>
        <w:t>not classified for carcinogenicity</w:t>
      </w:r>
    </w:p>
    <w:p w:rsidR="007636B0" w:rsidRPr="00907E92" w:rsidRDefault="007636B0" w:rsidP="007636B0">
      <w:pPr>
        <w:pStyle w:val="Heading3"/>
      </w:pPr>
      <w:bookmarkStart w:id="90" w:name="_Toc351714330"/>
      <w:r w:rsidRPr="00907E92">
        <w:t>Review of Available Values</w:t>
      </w:r>
      <w:r>
        <w:t>/Information</w:t>
      </w:r>
      <w:bookmarkEnd w:id="90"/>
    </w:p>
    <w:p w:rsidR="007636B0" w:rsidRDefault="007636B0" w:rsidP="007636B0">
      <w:r w:rsidRPr="00DA63E2">
        <w:t xml:space="preserve">Limited </w:t>
      </w:r>
      <w:r>
        <w:t>data is</w:t>
      </w:r>
      <w:r w:rsidRPr="00DA63E2">
        <w:t xml:space="preserve"> available on the carcinogenicity of chlorpyrifos</w:t>
      </w:r>
      <w:r>
        <w:t xml:space="preserve">. </w:t>
      </w:r>
      <w:r w:rsidRPr="00DA63E2">
        <w:t>However, chlorpyrifos has not been identified as carcinogenic in long-term animal studies, and was not genotoxic in a wide range of assays (NRA</w:t>
      </w:r>
      <w:r>
        <w:t>AVC</w:t>
      </w:r>
      <w:r w:rsidRPr="00DA63E2">
        <w:t xml:space="preserve"> 2000</w:t>
      </w:r>
      <w:r>
        <w:t>;</w:t>
      </w:r>
      <w:r w:rsidRPr="00DA63E2">
        <w:t xml:space="preserve"> APVMA 2009)</w:t>
      </w:r>
      <w:r>
        <w:t xml:space="preserve">. </w:t>
      </w:r>
      <w:r w:rsidRPr="00DA63E2">
        <w:t>On this basis</w:t>
      </w:r>
      <w:r>
        <w:t>,</w:t>
      </w:r>
      <w:r w:rsidRPr="00DA63E2">
        <w:t xml:space="preserve"> the assessment of exposures to chlorpyrifos on the basis</w:t>
      </w:r>
      <w:r>
        <w:t xml:space="preserve"> of a </w:t>
      </w:r>
      <w:r w:rsidRPr="00DA63E2">
        <w:t xml:space="preserve">threshold approach is appropriate. </w:t>
      </w:r>
    </w:p>
    <w:p w:rsidR="0021528E" w:rsidRPr="00DA63E2" w:rsidRDefault="0021528E" w:rsidP="007636B0"/>
    <w:p w:rsidR="007636B0" w:rsidRDefault="007636B0" w:rsidP="007636B0">
      <w:r>
        <w:t>The following are available from Level 1 Australian and International sources:</w:t>
      </w:r>
    </w:p>
    <w:p w:rsidR="007636B0" w:rsidRDefault="007636B0" w:rsidP="007636B0">
      <w:r>
        <w:br w:type="page"/>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1"/>
        <w:gridCol w:w="21"/>
        <w:gridCol w:w="2159"/>
        <w:gridCol w:w="19"/>
        <w:gridCol w:w="5343"/>
      </w:tblGrid>
      <w:tr w:rsidR="007636B0" w:rsidRPr="00F548B5" w:rsidTr="00B45DD6">
        <w:trPr>
          <w:tblHeader/>
        </w:trPr>
        <w:tc>
          <w:tcPr>
            <w:tcW w:w="1312" w:type="dxa"/>
            <w:gridSpan w:val="2"/>
            <w:shd w:val="clear" w:color="auto" w:fill="C6D9F1" w:themeFill="text2" w:themeFillTint="33"/>
          </w:tcPr>
          <w:p w:rsidR="007636B0" w:rsidRPr="00F548B5" w:rsidRDefault="007636B0" w:rsidP="00B45DD6">
            <w:pPr>
              <w:spacing w:before="20"/>
              <w:jc w:val="center"/>
              <w:rPr>
                <w:b/>
                <w:szCs w:val="22"/>
              </w:rPr>
            </w:pPr>
            <w:r w:rsidRPr="00F548B5">
              <w:rPr>
                <w:b/>
                <w:szCs w:val="22"/>
              </w:rPr>
              <w:lastRenderedPageBreak/>
              <w:t>Source</w:t>
            </w:r>
          </w:p>
        </w:tc>
        <w:tc>
          <w:tcPr>
            <w:tcW w:w="2178" w:type="dxa"/>
            <w:gridSpan w:val="2"/>
            <w:shd w:val="clear" w:color="auto" w:fill="C6D9F1" w:themeFill="text2" w:themeFillTint="33"/>
          </w:tcPr>
          <w:p w:rsidR="007636B0" w:rsidRPr="00F548B5" w:rsidRDefault="007636B0" w:rsidP="00B45DD6">
            <w:pPr>
              <w:spacing w:before="20"/>
              <w:jc w:val="center"/>
              <w:rPr>
                <w:b/>
                <w:szCs w:val="22"/>
              </w:rPr>
            </w:pPr>
            <w:r w:rsidRPr="00F548B5">
              <w:rPr>
                <w:b/>
                <w:szCs w:val="22"/>
              </w:rPr>
              <w:t>Value</w:t>
            </w:r>
          </w:p>
        </w:tc>
        <w:tc>
          <w:tcPr>
            <w:tcW w:w="5343" w:type="dxa"/>
            <w:shd w:val="clear" w:color="auto" w:fill="C6D9F1" w:themeFill="text2" w:themeFillTint="33"/>
          </w:tcPr>
          <w:p w:rsidR="007636B0" w:rsidRPr="00F548B5" w:rsidRDefault="007636B0" w:rsidP="00B45DD6">
            <w:pPr>
              <w:spacing w:before="20"/>
              <w:jc w:val="center"/>
              <w:rPr>
                <w:b/>
                <w:szCs w:val="22"/>
              </w:rPr>
            </w:pPr>
            <w:r w:rsidRPr="00F548B5">
              <w:rPr>
                <w:b/>
                <w:szCs w:val="22"/>
              </w:rPr>
              <w:t>Basis/Comments</w:t>
            </w:r>
          </w:p>
        </w:tc>
      </w:tr>
      <w:tr w:rsidR="007636B0" w:rsidRPr="00F548B5" w:rsidTr="00B45DD6">
        <w:tc>
          <w:tcPr>
            <w:tcW w:w="8833" w:type="dxa"/>
            <w:gridSpan w:val="5"/>
          </w:tcPr>
          <w:p w:rsidR="007636B0" w:rsidRPr="00F548B5" w:rsidRDefault="007636B0" w:rsidP="00B45DD6">
            <w:pPr>
              <w:spacing w:before="20"/>
              <w:jc w:val="center"/>
              <w:rPr>
                <w:b/>
                <w:szCs w:val="22"/>
              </w:rPr>
            </w:pPr>
            <w:r w:rsidRPr="00F548B5">
              <w:rPr>
                <w:b/>
                <w:szCs w:val="22"/>
              </w:rPr>
              <w:t>Australian</w:t>
            </w:r>
          </w:p>
        </w:tc>
      </w:tr>
      <w:tr w:rsidR="007636B0" w:rsidRPr="00F548B5" w:rsidTr="00B45DD6">
        <w:tc>
          <w:tcPr>
            <w:tcW w:w="1312" w:type="dxa"/>
            <w:gridSpan w:val="2"/>
          </w:tcPr>
          <w:p w:rsidR="007636B0" w:rsidRPr="00F548B5" w:rsidRDefault="007636B0" w:rsidP="00B45DD6">
            <w:pPr>
              <w:spacing w:before="20"/>
              <w:rPr>
                <w:szCs w:val="22"/>
              </w:rPr>
            </w:pPr>
            <w:r w:rsidRPr="00F548B5">
              <w:rPr>
                <w:szCs w:val="22"/>
              </w:rPr>
              <w:t>ADWG (NHMRC 2011)</w:t>
            </w:r>
          </w:p>
        </w:tc>
        <w:tc>
          <w:tcPr>
            <w:tcW w:w="2178" w:type="dxa"/>
            <w:gridSpan w:val="2"/>
          </w:tcPr>
          <w:p w:rsidR="007636B0" w:rsidRPr="00F548B5" w:rsidRDefault="007636B0" w:rsidP="00B45DD6">
            <w:pPr>
              <w:spacing w:before="20"/>
              <w:rPr>
                <w:szCs w:val="22"/>
              </w:rPr>
            </w:pPr>
            <w:r w:rsidRPr="00F548B5">
              <w:rPr>
                <w:szCs w:val="22"/>
              </w:rPr>
              <w:t>ADI = 0.003 mg/kg/day</w:t>
            </w:r>
          </w:p>
        </w:tc>
        <w:tc>
          <w:tcPr>
            <w:tcW w:w="5343" w:type="dxa"/>
          </w:tcPr>
          <w:p w:rsidR="007636B0" w:rsidRPr="00F548B5" w:rsidRDefault="007636B0" w:rsidP="00B45DD6">
            <w:pPr>
              <w:spacing w:before="20"/>
              <w:rPr>
                <w:szCs w:val="22"/>
              </w:rPr>
            </w:pPr>
            <w:r w:rsidRPr="00F548B5">
              <w:rPr>
                <w:szCs w:val="22"/>
              </w:rPr>
              <w:t>Current ADWG (NHMRC 2011, established in 1998) of 0.01 mg/L based on a NOEL of 0.03 mg/kg/day for plasma cholinesterase inhibition from a 28-day volunteer study in humans, and an uncertainty factor of 10.</w:t>
            </w:r>
          </w:p>
        </w:tc>
      </w:tr>
      <w:tr w:rsidR="007636B0" w:rsidRPr="00F548B5" w:rsidTr="00B45DD6">
        <w:tc>
          <w:tcPr>
            <w:tcW w:w="1312" w:type="dxa"/>
            <w:gridSpan w:val="2"/>
          </w:tcPr>
          <w:p w:rsidR="007636B0" w:rsidRPr="00F548B5" w:rsidRDefault="007636B0" w:rsidP="00B45DD6">
            <w:pPr>
              <w:spacing w:before="20"/>
              <w:rPr>
                <w:szCs w:val="22"/>
              </w:rPr>
            </w:pPr>
            <w:r w:rsidRPr="00F548B5">
              <w:rPr>
                <w:szCs w:val="22"/>
              </w:rPr>
              <w:t>OCS (2012)</w:t>
            </w:r>
          </w:p>
        </w:tc>
        <w:tc>
          <w:tcPr>
            <w:tcW w:w="2178" w:type="dxa"/>
            <w:gridSpan w:val="2"/>
          </w:tcPr>
          <w:p w:rsidR="007636B0" w:rsidRPr="00F548B5" w:rsidRDefault="007636B0" w:rsidP="00B45DD6">
            <w:pPr>
              <w:spacing w:before="20"/>
              <w:rPr>
                <w:szCs w:val="22"/>
              </w:rPr>
            </w:pPr>
            <w:r w:rsidRPr="00F548B5">
              <w:rPr>
                <w:szCs w:val="22"/>
              </w:rPr>
              <w:t>ADI = 0.003 mg/kg/day</w:t>
            </w:r>
          </w:p>
        </w:tc>
        <w:tc>
          <w:tcPr>
            <w:tcW w:w="5343" w:type="dxa"/>
          </w:tcPr>
          <w:p w:rsidR="007636B0" w:rsidRPr="00F548B5" w:rsidRDefault="007636B0" w:rsidP="00B45DD6">
            <w:pPr>
              <w:spacing w:before="20"/>
              <w:rPr>
                <w:szCs w:val="22"/>
              </w:rPr>
            </w:pPr>
            <w:r w:rsidRPr="00F548B5">
              <w:rPr>
                <w:szCs w:val="22"/>
              </w:rPr>
              <w:t>The ADI of 0.003 mg/kg/day (set in December 1998) is based on the same approach as noted in the ADWG above.</w:t>
            </w:r>
          </w:p>
        </w:tc>
      </w:tr>
      <w:tr w:rsidR="007636B0" w:rsidRPr="00F548B5" w:rsidTr="00B45DD6">
        <w:tc>
          <w:tcPr>
            <w:tcW w:w="1312" w:type="dxa"/>
            <w:gridSpan w:val="2"/>
          </w:tcPr>
          <w:p w:rsidR="007636B0" w:rsidRPr="00F548B5" w:rsidRDefault="007636B0" w:rsidP="00B45DD6">
            <w:pPr>
              <w:spacing w:before="20"/>
              <w:rPr>
                <w:szCs w:val="22"/>
              </w:rPr>
            </w:pPr>
            <w:r w:rsidRPr="00F548B5">
              <w:rPr>
                <w:szCs w:val="22"/>
              </w:rPr>
              <w:t>NRAAVC (2000) and APVMA (2009)</w:t>
            </w:r>
          </w:p>
        </w:tc>
        <w:tc>
          <w:tcPr>
            <w:tcW w:w="2178" w:type="dxa"/>
            <w:gridSpan w:val="2"/>
          </w:tcPr>
          <w:p w:rsidR="007636B0" w:rsidRPr="00F548B5" w:rsidRDefault="007636B0" w:rsidP="00B45DD6">
            <w:pPr>
              <w:spacing w:before="20"/>
              <w:rPr>
                <w:szCs w:val="22"/>
              </w:rPr>
            </w:pPr>
            <w:r w:rsidRPr="00F548B5">
              <w:rPr>
                <w:szCs w:val="22"/>
              </w:rPr>
              <w:t>ADI = 0.003 mg/kg/day</w:t>
            </w:r>
          </w:p>
        </w:tc>
        <w:tc>
          <w:tcPr>
            <w:tcW w:w="5343" w:type="dxa"/>
          </w:tcPr>
          <w:p w:rsidR="007636B0" w:rsidRPr="00F548B5" w:rsidRDefault="007636B0" w:rsidP="00B45DD6">
            <w:pPr>
              <w:spacing w:before="20"/>
              <w:rPr>
                <w:szCs w:val="22"/>
              </w:rPr>
            </w:pPr>
            <w:r w:rsidRPr="00F548B5">
              <w:rPr>
                <w:szCs w:val="22"/>
              </w:rPr>
              <w:t xml:space="preserve">The APVMA (2009) review provided an updated toxicology assessment for chlorpyrifos. The review considered the range of threshold values derived by different countries with respect to the selection of relevant end points and other factors (including sensitive sub-populations such as children). The review did not identify any new studies that would result in changes to the toxicological end points selected for either public or occupational health assessments. The end points used in the NRA (2000) review were considered to be valid. No toxicological effects were observed at doses lower than those that resulted in inhibition of plasma cholinesterase activity in a human volunteer study. On the basis of this effect in humans at a dose of 0.1 mg/kg/day, with no effects seen at 0.03 mg/kg/day, the ADI at 0.003 mg/kg/day was established, with a 10-fold safety factor used to account for inter-individual variability. </w:t>
            </w:r>
          </w:p>
        </w:tc>
      </w:tr>
      <w:tr w:rsidR="007636B0" w:rsidRPr="00F548B5" w:rsidTr="00B45DD6">
        <w:tc>
          <w:tcPr>
            <w:tcW w:w="8833" w:type="dxa"/>
            <w:gridSpan w:val="5"/>
          </w:tcPr>
          <w:p w:rsidR="007636B0" w:rsidRPr="00F548B5" w:rsidRDefault="007636B0" w:rsidP="00B45DD6">
            <w:pPr>
              <w:spacing w:before="20"/>
              <w:jc w:val="center"/>
              <w:rPr>
                <w:b/>
                <w:szCs w:val="22"/>
              </w:rPr>
            </w:pPr>
            <w:r w:rsidRPr="00F548B5">
              <w:rPr>
                <w:b/>
                <w:szCs w:val="22"/>
              </w:rPr>
              <w:t>International</w:t>
            </w:r>
          </w:p>
        </w:tc>
      </w:tr>
      <w:tr w:rsidR="007636B0" w:rsidRPr="00F548B5" w:rsidTr="00B45DD6">
        <w:tc>
          <w:tcPr>
            <w:tcW w:w="1291" w:type="dxa"/>
          </w:tcPr>
          <w:p w:rsidR="007636B0" w:rsidRPr="00F548B5" w:rsidRDefault="007636B0" w:rsidP="00B45DD6">
            <w:pPr>
              <w:spacing w:before="20"/>
              <w:rPr>
                <w:szCs w:val="22"/>
              </w:rPr>
            </w:pPr>
            <w:r w:rsidRPr="00F548B5">
              <w:rPr>
                <w:szCs w:val="22"/>
              </w:rPr>
              <w:t>WHO (2011) and JMPR (1983, 2000)</w:t>
            </w:r>
          </w:p>
        </w:tc>
        <w:tc>
          <w:tcPr>
            <w:tcW w:w="2180" w:type="dxa"/>
            <w:gridSpan w:val="2"/>
          </w:tcPr>
          <w:p w:rsidR="007636B0" w:rsidRPr="00F548B5" w:rsidRDefault="007636B0" w:rsidP="00B45DD6">
            <w:pPr>
              <w:spacing w:before="20"/>
              <w:rPr>
                <w:szCs w:val="22"/>
              </w:rPr>
            </w:pPr>
            <w:r w:rsidRPr="00F548B5">
              <w:rPr>
                <w:szCs w:val="22"/>
              </w:rPr>
              <w:t>ADI = 0.01 mg/kg/day</w:t>
            </w:r>
          </w:p>
        </w:tc>
        <w:tc>
          <w:tcPr>
            <w:tcW w:w="5362" w:type="dxa"/>
            <w:gridSpan w:val="2"/>
          </w:tcPr>
          <w:p w:rsidR="007636B0" w:rsidRPr="00F548B5" w:rsidRDefault="007636B0" w:rsidP="00B45DD6">
            <w:pPr>
              <w:spacing w:before="20"/>
              <w:rPr>
                <w:szCs w:val="22"/>
              </w:rPr>
            </w:pPr>
            <w:r w:rsidRPr="00F548B5">
              <w:rPr>
                <w:szCs w:val="22"/>
              </w:rPr>
              <w:t xml:space="preserve">ADI adopted in derivation of the current WHO DWG and JMPR (1983, 2000) is based on a NOAEL of 0.1 mg/kg/day based on effects of chlorpyrifos on </w:t>
            </w:r>
            <w:r w:rsidRPr="00F548B5">
              <w:rPr>
                <w:bCs/>
                <w:szCs w:val="22"/>
              </w:rPr>
              <w:t>brain</w:t>
            </w:r>
            <w:r w:rsidRPr="00F548B5">
              <w:rPr>
                <w:b/>
                <w:bCs/>
                <w:szCs w:val="22"/>
              </w:rPr>
              <w:t xml:space="preserve"> </w:t>
            </w:r>
            <w:r w:rsidRPr="00F548B5">
              <w:rPr>
                <w:szCs w:val="22"/>
              </w:rPr>
              <w:t>acetylcholinesterase activity in animal studies, and erythrocyte acetylcholinesterase inhibition in human subjects, and an uncertainty factor of 10. Review of this data by APVMA (2009) noted that both of these measures of toxicity are less sensitive than the inhibition of plasma cholinesterase activity, and hence the JMPR ADI is higher (i.e. less conservative) than that set by the OCS.</w:t>
            </w:r>
          </w:p>
        </w:tc>
      </w:tr>
      <w:tr w:rsidR="007636B0" w:rsidRPr="00F548B5" w:rsidTr="00B45DD6">
        <w:tc>
          <w:tcPr>
            <w:tcW w:w="1291" w:type="dxa"/>
          </w:tcPr>
          <w:p w:rsidR="007636B0" w:rsidRPr="00F548B5" w:rsidRDefault="007636B0" w:rsidP="00B45DD6">
            <w:pPr>
              <w:spacing w:before="20"/>
              <w:rPr>
                <w:szCs w:val="22"/>
              </w:rPr>
            </w:pPr>
            <w:r w:rsidRPr="00F548B5">
              <w:rPr>
                <w:szCs w:val="22"/>
              </w:rPr>
              <w:t>ATSDR (1997)</w:t>
            </w:r>
          </w:p>
        </w:tc>
        <w:tc>
          <w:tcPr>
            <w:tcW w:w="2180" w:type="dxa"/>
            <w:gridSpan w:val="2"/>
          </w:tcPr>
          <w:p w:rsidR="007636B0" w:rsidRPr="00F548B5" w:rsidRDefault="007636B0" w:rsidP="00B45DD6">
            <w:pPr>
              <w:spacing w:before="20"/>
              <w:rPr>
                <w:szCs w:val="22"/>
              </w:rPr>
            </w:pPr>
            <w:r w:rsidRPr="00F548B5">
              <w:rPr>
                <w:szCs w:val="22"/>
              </w:rPr>
              <w:t>Oral MRL = 0.001 mg/kg/day</w:t>
            </w:r>
          </w:p>
        </w:tc>
        <w:tc>
          <w:tcPr>
            <w:tcW w:w="5362" w:type="dxa"/>
            <w:gridSpan w:val="2"/>
          </w:tcPr>
          <w:p w:rsidR="007636B0" w:rsidRPr="00F548B5" w:rsidRDefault="007636B0" w:rsidP="00B45DD6">
            <w:pPr>
              <w:spacing w:before="20"/>
              <w:rPr>
                <w:szCs w:val="22"/>
              </w:rPr>
            </w:pPr>
            <w:r w:rsidRPr="00F548B5">
              <w:rPr>
                <w:szCs w:val="22"/>
              </w:rPr>
              <w:t>Chronic oral MRL based on a NOAEL for acetylcholinesterase inhibition in rats exposed to 0.1 mg/kg/day of chlorpyrifos in feed for 2 years, and an uncertainty factor of 100.</w:t>
            </w:r>
          </w:p>
        </w:tc>
      </w:tr>
      <w:tr w:rsidR="007636B0" w:rsidRPr="00F548B5" w:rsidTr="00B45DD6">
        <w:tc>
          <w:tcPr>
            <w:tcW w:w="1291" w:type="dxa"/>
          </w:tcPr>
          <w:p w:rsidR="007636B0" w:rsidRPr="00F548B5" w:rsidRDefault="007636B0" w:rsidP="00B45DD6">
            <w:pPr>
              <w:spacing w:before="20"/>
              <w:rPr>
                <w:szCs w:val="22"/>
              </w:rPr>
            </w:pPr>
            <w:r w:rsidRPr="00F548B5">
              <w:rPr>
                <w:szCs w:val="22"/>
              </w:rPr>
              <w:t>US EPA (IRIS 2012)</w:t>
            </w:r>
          </w:p>
        </w:tc>
        <w:tc>
          <w:tcPr>
            <w:tcW w:w="2180" w:type="dxa"/>
            <w:gridSpan w:val="2"/>
          </w:tcPr>
          <w:p w:rsidR="007636B0" w:rsidRPr="00F548B5" w:rsidRDefault="007636B0" w:rsidP="00B45DD6">
            <w:pPr>
              <w:spacing w:before="20"/>
              <w:rPr>
                <w:szCs w:val="22"/>
              </w:rPr>
            </w:pPr>
            <w:r w:rsidRPr="00F548B5">
              <w:rPr>
                <w:szCs w:val="22"/>
              </w:rPr>
              <w:t>Not available</w:t>
            </w:r>
          </w:p>
          <w:p w:rsidR="007636B0" w:rsidRPr="00F548B5" w:rsidRDefault="007636B0" w:rsidP="00B45DD6">
            <w:pPr>
              <w:spacing w:before="20"/>
              <w:rPr>
                <w:szCs w:val="22"/>
              </w:rPr>
            </w:pPr>
          </w:p>
        </w:tc>
        <w:tc>
          <w:tcPr>
            <w:tcW w:w="5362" w:type="dxa"/>
            <w:gridSpan w:val="2"/>
          </w:tcPr>
          <w:p w:rsidR="007636B0" w:rsidRPr="00F548B5" w:rsidRDefault="007636B0" w:rsidP="00B45DD6">
            <w:pPr>
              <w:spacing w:before="20"/>
              <w:rPr>
                <w:szCs w:val="22"/>
              </w:rPr>
            </w:pPr>
            <w:r w:rsidRPr="00F548B5">
              <w:rPr>
                <w:szCs w:val="22"/>
              </w:rPr>
              <w:t>The previous evaluation (oral RfD of 0.003 mg/kg/day) was withdrawn by the US EPA in 2011. No new evaluation is available.</w:t>
            </w:r>
          </w:p>
        </w:tc>
      </w:tr>
    </w:tbl>
    <w:p w:rsidR="007636B0" w:rsidRDefault="007636B0" w:rsidP="007636B0"/>
    <w:p w:rsidR="007636B0" w:rsidRDefault="007636B0" w:rsidP="007636B0">
      <w:r>
        <w:t>The ADI of 0.003 mg/kg/day identified and considered current in the most recent review by APVMA (2009) and NRA (2000) is consistent with that considered in the derivation of the ADWG (NHMRC 2011) and listed in the ADI List (OCS 2012). The value is considered relevant for the derivation of a soil HIL in Australia.</w:t>
      </w:r>
    </w:p>
    <w:p w:rsidR="0021528E" w:rsidRDefault="0021528E" w:rsidP="007636B0"/>
    <w:p w:rsidR="007636B0" w:rsidRDefault="007636B0" w:rsidP="007636B0">
      <w:r>
        <w:t>No dermal or inhalation-specific studies or data are available. For the presence of chlorpyrifos in soil, it is considered appropriate to consider use of the available ADI for all pathways of exposures.</w:t>
      </w:r>
    </w:p>
    <w:p w:rsidR="007636B0" w:rsidRPr="00921D7B" w:rsidRDefault="007636B0" w:rsidP="007636B0">
      <w:pPr>
        <w:pStyle w:val="Heading3"/>
      </w:pPr>
      <w:bookmarkStart w:id="91" w:name="_Toc351714331"/>
      <w:r w:rsidRPr="00921D7B">
        <w:lastRenderedPageBreak/>
        <w:t>Recommendation</w:t>
      </w:r>
      <w:bookmarkEnd w:id="91"/>
    </w:p>
    <w:p w:rsidR="007636B0" w:rsidRPr="00191EC8" w:rsidRDefault="007636B0" w:rsidP="007636B0">
      <w:r>
        <w:t>On the basis of the discussion above, the following toxicity reference values (TRVs) have been adopted for chlorpyrifos in the derivation of HILs:</w:t>
      </w:r>
    </w:p>
    <w:p w:rsidR="007636B0" w:rsidRDefault="007636B0" w:rsidP="007636B0">
      <w:r>
        <w:rPr>
          <w:noProof/>
          <w:lang w:eastAsia="en-AU"/>
        </w:rPr>
        <mc:AlternateContent>
          <mc:Choice Requires="wps">
            <w:drawing>
              <wp:inline distT="0" distB="0" distL="0" distR="0">
                <wp:extent cx="5656580" cy="2251710"/>
                <wp:effectExtent l="13335" t="12700" r="6985" b="120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80" cy="2251710"/>
                        </a:xfrm>
                        <a:prstGeom prst="rect">
                          <a:avLst/>
                        </a:prstGeom>
                        <a:solidFill>
                          <a:srgbClr val="D8D8D8"/>
                        </a:solidFill>
                        <a:ln w="9525">
                          <a:solidFill>
                            <a:srgbClr val="000000"/>
                          </a:solidFill>
                          <a:miter lim="800000"/>
                          <a:headEnd/>
                          <a:tailEnd/>
                        </a:ln>
                      </wps:spPr>
                      <wps:txbx>
                        <w:txbxContent>
                          <w:p w:rsidR="00A0097F" w:rsidRPr="00742163" w:rsidRDefault="00A0097F" w:rsidP="007636B0">
                            <w:pPr>
                              <w:spacing w:after="40"/>
                              <w:rPr>
                                <w:b/>
                                <w:u w:val="single"/>
                              </w:rPr>
                            </w:pPr>
                            <w:r w:rsidRPr="00742163">
                              <w:rPr>
                                <w:b/>
                                <w:u w:val="single"/>
                              </w:rPr>
                              <w:t xml:space="preserve">Recommendation for </w:t>
                            </w:r>
                            <w:r>
                              <w:rPr>
                                <w:b/>
                                <w:u w:val="single"/>
                              </w:rPr>
                              <w:t>Chlorpyrifos</w:t>
                            </w:r>
                          </w:p>
                          <w:p w:rsidR="00A0097F" w:rsidRDefault="00A0097F" w:rsidP="007636B0">
                            <w:pPr>
                              <w:spacing w:after="40"/>
                            </w:pPr>
                            <w:r>
                              <w:t>Oral TRV (TRV</w:t>
                            </w:r>
                            <w:r w:rsidRPr="00A54613">
                              <w:rPr>
                                <w:vertAlign w:val="subscript"/>
                              </w:rPr>
                              <w:t>O</w:t>
                            </w:r>
                            <w:r>
                              <w:t>) = 0.003 mg/kg/day (OCS 2012; NRAAVC 2000; APVMA 2009) for all pathways of exposure</w:t>
                            </w:r>
                          </w:p>
                          <w:p w:rsidR="00A0097F" w:rsidRDefault="00A0097F" w:rsidP="007636B0">
                            <w:pPr>
                              <w:spacing w:after="40"/>
                            </w:pPr>
                            <w:r>
                              <w:t>Dermal absorption factor (DAF) = 0.03 (or 3%) (APVMA 2009)</w:t>
                            </w:r>
                          </w:p>
                          <w:p w:rsidR="00A0097F" w:rsidRDefault="00A0097F" w:rsidP="007636B0">
                            <w:pPr>
                              <w:spacing w:after="40"/>
                            </w:pPr>
                            <w:r>
                              <w:t>Background intakes from other sources (as % of TRV):</w:t>
                            </w:r>
                          </w:p>
                          <w:p w:rsidR="00A0097F" w:rsidRDefault="00A0097F" w:rsidP="007636B0">
                            <w:pPr>
                              <w:spacing w:after="40"/>
                              <w:ind w:left="720"/>
                            </w:pPr>
                            <w:r>
                              <w:t>BI</w:t>
                            </w:r>
                            <w:r w:rsidRPr="002049F5">
                              <w:rPr>
                                <w:vertAlign w:val="subscript"/>
                              </w:rPr>
                              <w:t>O</w:t>
                            </w:r>
                            <w:r>
                              <w:t xml:space="preserve"> = 50% for oral and dermal intakes</w:t>
                            </w:r>
                          </w:p>
                          <w:p w:rsidR="00A0097F" w:rsidRDefault="00A0097F" w:rsidP="007636B0">
                            <w:pPr>
                              <w:spacing w:after="40"/>
                              <w:ind w:left="720"/>
                            </w:pPr>
                            <w:r>
                              <w:t>BIi = 50% for inhalation</w:t>
                            </w:r>
                            <w:r w:rsidDel="00C81411">
                              <w:t xml:space="preserve"> </w:t>
                            </w:r>
                          </w:p>
                          <w:p w:rsidR="00A0097F" w:rsidRDefault="00A0097F" w:rsidP="007636B0">
                            <w:pPr>
                              <w:spacing w:after="40"/>
                            </w:pPr>
                            <w:r>
                              <w:t>Note that background intakes in areas where chlorpyrifos products used need to be considered on a site-specific basis.</w:t>
                            </w:r>
                          </w:p>
                          <w:p w:rsidR="00A0097F" w:rsidRDefault="00A0097F" w:rsidP="007636B0">
                            <w:pPr>
                              <w:spacing w:after="40"/>
                            </w:pPr>
                          </w:p>
                        </w:txbxContent>
                      </wps:txbx>
                      <wps:bodyPr rot="0" vert="horz" wrap="square" lIns="91440" tIns="45720" rIns="91440" bIns="45720" anchor="t" anchorCtr="0" upright="1">
                        <a:noAutofit/>
                      </wps:bodyPr>
                    </wps:wsp>
                  </a:graphicData>
                </a:graphic>
              </wp:inline>
            </w:drawing>
          </mc:Choice>
          <mc:Fallback>
            <w:pict>
              <v:shape id="Text Box 4" o:spid="_x0000_s1034" type="#_x0000_t202" style="width:445.4pt;height:17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" fillcolor="#d8d8d8">
                <v:textbox>
                  <w:txbxContent>
                    <w:p w:rsidR="009C6751" w:rsidRPr="00742163" w:rsidRDefault="009C6751" w:rsidP="007636B0">
                      <w:pPr>
                        <w:spacing w:after="40"/>
                        <w:rPr>
                          <w:b/>
                          <w:u w:val="single"/>
                        </w:rPr>
                      </w:pPr>
                      <w:r w:rsidRPr="00742163">
                        <w:rPr>
                          <w:b/>
                          <w:u w:val="single"/>
                        </w:rPr>
                        <w:t xml:space="preserve">Recommendation for </w:t>
                      </w:r>
                      <w:r>
                        <w:rPr>
                          <w:b/>
                          <w:u w:val="single"/>
                        </w:rPr>
                        <w:t>Chlorpyrifos</w:t>
                      </w:r>
                    </w:p>
                    <w:p w:rsidR="009C6751" w:rsidRDefault="009C6751" w:rsidP="007636B0">
                      <w:pPr>
                        <w:spacing w:after="40"/>
                      </w:pPr>
                      <w:r>
                        <w:t>Oral TRV (TRV</w:t>
                      </w:r>
                      <w:r w:rsidRPr="00A54613">
                        <w:rPr>
                          <w:vertAlign w:val="subscript"/>
                        </w:rPr>
                        <w:t>O</w:t>
                      </w:r>
                      <w:r>
                        <w:t>) = 0.003 mg/kg/day (OCS 2012; NRAAVC 2000; APVMA 2009) for all pathways of exposure</w:t>
                      </w:r>
                    </w:p>
                    <w:p w:rsidR="009C6751" w:rsidRDefault="009C6751" w:rsidP="007636B0">
                      <w:pPr>
                        <w:spacing w:after="40"/>
                      </w:pPr>
                      <w:r>
                        <w:t>Dermal absorption factor (DAF) = 0.03 (or 3%) (APVMA 2009)</w:t>
                      </w:r>
                    </w:p>
                    <w:p w:rsidR="009C6751" w:rsidRDefault="009C6751" w:rsidP="007636B0">
                      <w:pPr>
                        <w:spacing w:after="40"/>
                      </w:pPr>
                      <w:r>
                        <w:t>Background intakes from other sources (as % of TRV):</w:t>
                      </w:r>
                    </w:p>
                    <w:p w:rsidR="009C6751" w:rsidRDefault="009C6751" w:rsidP="007636B0">
                      <w:pPr>
                        <w:spacing w:after="40"/>
                        <w:ind w:left="720"/>
                      </w:pPr>
                      <w:r>
                        <w:t>BI</w:t>
                      </w:r>
                      <w:r w:rsidRPr="002049F5">
                        <w:rPr>
                          <w:vertAlign w:val="subscript"/>
                        </w:rPr>
                        <w:t>O</w:t>
                      </w:r>
                      <w:r>
                        <w:t xml:space="preserve"> = 50% for oral and dermal intakes</w:t>
                      </w:r>
                    </w:p>
                    <w:p w:rsidR="009C6751" w:rsidRDefault="009C6751" w:rsidP="007636B0">
                      <w:pPr>
                        <w:spacing w:after="40"/>
                        <w:ind w:left="720"/>
                      </w:pPr>
                      <w:r>
                        <w:t>BIi = 50% for inhalation</w:t>
                      </w:r>
                      <w:r w:rsidDel="00C81411">
                        <w:t xml:space="preserve"> </w:t>
                      </w:r>
                    </w:p>
                    <w:p w:rsidR="009C6751" w:rsidRDefault="009C6751" w:rsidP="007636B0">
                      <w:pPr>
                        <w:spacing w:after="40"/>
                      </w:pPr>
                      <w:r>
                        <w:t>Note that background intakes in areas where chlorpyrifos products used need to be considered on a site-specific basis.</w:t>
                      </w:r>
                    </w:p>
                    <w:p w:rsidR="009C6751" w:rsidRDefault="009C6751" w:rsidP="007636B0">
                      <w:pPr>
                        <w:spacing w:after="40"/>
                      </w:pPr>
                    </w:p>
                  </w:txbxContent>
                </v:textbox>
                <w10:anchorlock/>
              </v:shape>
            </w:pict>
          </mc:Fallback>
        </mc:AlternateContent>
      </w:r>
    </w:p>
    <w:p w:rsidR="007636B0" w:rsidRDefault="007636B0" w:rsidP="007636B0">
      <w:pPr>
        <w:pStyle w:val="Heading2"/>
        <w:tabs>
          <w:tab w:val="clear" w:pos="1209"/>
        </w:tabs>
      </w:pPr>
      <w:bookmarkStart w:id="92" w:name="_Toc351714332"/>
      <w:r>
        <w:t>Calculated HILs</w:t>
      </w:r>
      <w:bookmarkEnd w:id="92"/>
    </w:p>
    <w:p w:rsidR="007636B0" w:rsidRDefault="007636B0" w:rsidP="007636B0">
      <w:r>
        <w:t>On the basis of the above, the following HILs have been derived for chlorpyrifos (refer to Appendix B for equations used to calculate the HILs and Appendix C for calculations):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9"/>
        <w:gridCol w:w="1287"/>
        <w:gridCol w:w="1445"/>
        <w:gridCol w:w="1517"/>
        <w:gridCol w:w="1553"/>
        <w:gridCol w:w="1392"/>
      </w:tblGrid>
      <w:tr w:rsidR="007636B0" w:rsidRPr="00F548B5" w:rsidTr="00B45DD6">
        <w:tc>
          <w:tcPr>
            <w:tcW w:w="1639" w:type="dxa"/>
            <w:vMerge w:val="restart"/>
            <w:shd w:val="clear" w:color="auto" w:fill="C6D9F1" w:themeFill="text2" w:themeFillTint="33"/>
          </w:tcPr>
          <w:p w:rsidR="007636B0" w:rsidRPr="00F548B5" w:rsidRDefault="007636B0" w:rsidP="00B45DD6">
            <w:pPr>
              <w:spacing w:after="40"/>
              <w:rPr>
                <w:b/>
                <w:szCs w:val="22"/>
              </w:rPr>
            </w:pPr>
            <w:r w:rsidRPr="00F548B5">
              <w:rPr>
                <w:b/>
                <w:szCs w:val="22"/>
              </w:rPr>
              <w:t>HIL Scenario</w:t>
            </w:r>
          </w:p>
        </w:tc>
        <w:tc>
          <w:tcPr>
            <w:tcW w:w="1287" w:type="dxa"/>
            <w:vMerge w:val="restart"/>
            <w:shd w:val="clear" w:color="auto" w:fill="C6D9F1" w:themeFill="text2" w:themeFillTint="33"/>
          </w:tcPr>
          <w:p w:rsidR="007636B0" w:rsidRPr="00F548B5" w:rsidRDefault="007636B0" w:rsidP="00B45DD6">
            <w:pPr>
              <w:spacing w:after="40"/>
              <w:jc w:val="center"/>
              <w:rPr>
                <w:b/>
                <w:szCs w:val="22"/>
              </w:rPr>
            </w:pPr>
            <w:r w:rsidRPr="00F548B5">
              <w:rPr>
                <w:b/>
                <w:szCs w:val="22"/>
              </w:rPr>
              <w:t>HIL (mg/kg)</w:t>
            </w:r>
          </w:p>
        </w:tc>
        <w:tc>
          <w:tcPr>
            <w:tcW w:w="5907" w:type="dxa"/>
            <w:gridSpan w:val="4"/>
            <w:shd w:val="clear" w:color="auto" w:fill="C6D9F1" w:themeFill="text2" w:themeFillTint="33"/>
          </w:tcPr>
          <w:p w:rsidR="007636B0" w:rsidRPr="00F548B5" w:rsidRDefault="007636B0" w:rsidP="00B45DD6">
            <w:pPr>
              <w:spacing w:after="40"/>
              <w:jc w:val="center"/>
              <w:rPr>
                <w:b/>
                <w:szCs w:val="22"/>
              </w:rPr>
            </w:pPr>
            <w:r w:rsidRPr="00F548B5">
              <w:rPr>
                <w:b/>
                <w:szCs w:val="22"/>
              </w:rPr>
              <w:t>Percentage Contribution from Exposure Pathways</w:t>
            </w:r>
          </w:p>
        </w:tc>
      </w:tr>
      <w:tr w:rsidR="007636B0" w:rsidRPr="00F548B5" w:rsidTr="00B45DD6">
        <w:trPr>
          <w:trHeight w:val="427"/>
        </w:trPr>
        <w:tc>
          <w:tcPr>
            <w:tcW w:w="1639" w:type="dxa"/>
            <w:vMerge/>
            <w:shd w:val="clear" w:color="auto" w:fill="C6D9F1" w:themeFill="text2" w:themeFillTint="33"/>
          </w:tcPr>
          <w:p w:rsidR="007636B0" w:rsidRPr="00F548B5" w:rsidRDefault="007636B0" w:rsidP="00B45DD6">
            <w:pPr>
              <w:spacing w:after="40"/>
              <w:rPr>
                <w:szCs w:val="22"/>
              </w:rPr>
            </w:pPr>
          </w:p>
        </w:tc>
        <w:tc>
          <w:tcPr>
            <w:tcW w:w="1287" w:type="dxa"/>
            <w:vMerge/>
            <w:shd w:val="clear" w:color="auto" w:fill="C6D9F1" w:themeFill="text2" w:themeFillTint="33"/>
          </w:tcPr>
          <w:p w:rsidR="007636B0" w:rsidRPr="00F548B5" w:rsidRDefault="007636B0" w:rsidP="00B45DD6">
            <w:pPr>
              <w:spacing w:after="40"/>
              <w:jc w:val="center"/>
              <w:rPr>
                <w:szCs w:val="22"/>
              </w:rPr>
            </w:pPr>
          </w:p>
        </w:tc>
        <w:tc>
          <w:tcPr>
            <w:tcW w:w="1445" w:type="dxa"/>
            <w:shd w:val="clear" w:color="auto" w:fill="C6D9F1" w:themeFill="text2" w:themeFillTint="33"/>
          </w:tcPr>
          <w:p w:rsidR="007636B0" w:rsidRPr="00F548B5" w:rsidRDefault="007636B0" w:rsidP="00B45DD6">
            <w:pPr>
              <w:spacing w:after="40"/>
              <w:jc w:val="center"/>
              <w:rPr>
                <w:b/>
                <w:szCs w:val="22"/>
              </w:rPr>
            </w:pPr>
            <w:r w:rsidRPr="00F548B5">
              <w:rPr>
                <w:b/>
                <w:szCs w:val="22"/>
              </w:rPr>
              <w:t>Ingestion of Soil/Dust</w:t>
            </w:r>
          </w:p>
        </w:tc>
        <w:tc>
          <w:tcPr>
            <w:tcW w:w="1517" w:type="dxa"/>
            <w:shd w:val="clear" w:color="auto" w:fill="C6D9F1" w:themeFill="text2" w:themeFillTint="33"/>
          </w:tcPr>
          <w:p w:rsidR="007636B0" w:rsidRPr="00F548B5" w:rsidRDefault="007636B0" w:rsidP="00B45DD6">
            <w:pPr>
              <w:spacing w:after="40"/>
              <w:jc w:val="center"/>
              <w:rPr>
                <w:b/>
                <w:szCs w:val="22"/>
              </w:rPr>
            </w:pPr>
            <w:r w:rsidRPr="00F548B5">
              <w:rPr>
                <w:b/>
                <w:szCs w:val="22"/>
              </w:rPr>
              <w:t>Ingestion of Home-grown Produce</w:t>
            </w:r>
          </w:p>
        </w:tc>
        <w:tc>
          <w:tcPr>
            <w:tcW w:w="1553" w:type="dxa"/>
            <w:shd w:val="clear" w:color="auto" w:fill="C6D9F1" w:themeFill="text2" w:themeFillTint="33"/>
          </w:tcPr>
          <w:p w:rsidR="007636B0" w:rsidRPr="00F548B5" w:rsidRDefault="007636B0" w:rsidP="00B45DD6">
            <w:pPr>
              <w:spacing w:after="40"/>
              <w:jc w:val="center"/>
              <w:rPr>
                <w:b/>
                <w:szCs w:val="22"/>
              </w:rPr>
            </w:pPr>
            <w:r w:rsidRPr="00F548B5">
              <w:rPr>
                <w:b/>
                <w:szCs w:val="22"/>
              </w:rPr>
              <w:t>Dermal Absorption of Soil/Dust</w:t>
            </w:r>
          </w:p>
        </w:tc>
        <w:tc>
          <w:tcPr>
            <w:tcW w:w="1392" w:type="dxa"/>
            <w:shd w:val="clear" w:color="auto" w:fill="C6D9F1" w:themeFill="text2" w:themeFillTint="33"/>
          </w:tcPr>
          <w:p w:rsidR="007636B0" w:rsidRPr="00F548B5" w:rsidRDefault="007636B0" w:rsidP="00B45DD6">
            <w:pPr>
              <w:spacing w:after="40"/>
              <w:jc w:val="center"/>
              <w:rPr>
                <w:b/>
                <w:szCs w:val="22"/>
              </w:rPr>
            </w:pPr>
            <w:r w:rsidRPr="00F548B5">
              <w:rPr>
                <w:b/>
                <w:szCs w:val="22"/>
              </w:rPr>
              <w:t>Inhalation (dust)</w:t>
            </w:r>
          </w:p>
        </w:tc>
      </w:tr>
      <w:tr w:rsidR="007636B0" w:rsidRPr="00F548B5" w:rsidTr="00B45DD6">
        <w:tc>
          <w:tcPr>
            <w:tcW w:w="1639" w:type="dxa"/>
          </w:tcPr>
          <w:p w:rsidR="007636B0" w:rsidRPr="00F548B5" w:rsidRDefault="007636B0" w:rsidP="00B45DD6">
            <w:pPr>
              <w:spacing w:after="40"/>
              <w:rPr>
                <w:szCs w:val="22"/>
              </w:rPr>
            </w:pPr>
            <w:r w:rsidRPr="00F548B5">
              <w:rPr>
                <w:szCs w:val="22"/>
              </w:rPr>
              <w:t>Residential A</w:t>
            </w:r>
          </w:p>
        </w:tc>
        <w:tc>
          <w:tcPr>
            <w:tcW w:w="1287" w:type="dxa"/>
            <w:tcMar>
              <w:right w:w="397" w:type="dxa"/>
            </w:tcMar>
          </w:tcPr>
          <w:p w:rsidR="007636B0" w:rsidRPr="00F548B5" w:rsidRDefault="007636B0" w:rsidP="00B45DD6">
            <w:pPr>
              <w:spacing w:after="40"/>
              <w:jc w:val="right"/>
              <w:rPr>
                <w:szCs w:val="22"/>
              </w:rPr>
            </w:pPr>
            <w:r w:rsidRPr="00F548B5">
              <w:rPr>
                <w:szCs w:val="22"/>
              </w:rPr>
              <w:t>160</w:t>
            </w:r>
          </w:p>
        </w:tc>
        <w:tc>
          <w:tcPr>
            <w:tcW w:w="1445" w:type="dxa"/>
          </w:tcPr>
          <w:p w:rsidR="007636B0" w:rsidRPr="00F548B5" w:rsidRDefault="007636B0" w:rsidP="00B45DD6">
            <w:pPr>
              <w:spacing w:after="40"/>
              <w:jc w:val="center"/>
              <w:rPr>
                <w:szCs w:val="22"/>
              </w:rPr>
            </w:pPr>
            <w:r w:rsidRPr="00F548B5">
              <w:rPr>
                <w:szCs w:val="22"/>
              </w:rPr>
              <w:t>72</w:t>
            </w:r>
          </w:p>
        </w:tc>
        <w:tc>
          <w:tcPr>
            <w:tcW w:w="1517" w:type="dxa"/>
          </w:tcPr>
          <w:p w:rsidR="007636B0" w:rsidRPr="00F548B5" w:rsidRDefault="007636B0" w:rsidP="00B45DD6">
            <w:pPr>
              <w:spacing w:after="40"/>
              <w:jc w:val="center"/>
              <w:rPr>
                <w:szCs w:val="22"/>
              </w:rPr>
            </w:pPr>
            <w:r w:rsidRPr="00F548B5">
              <w:rPr>
                <w:szCs w:val="22"/>
              </w:rPr>
              <w:t>--</w:t>
            </w:r>
          </w:p>
        </w:tc>
        <w:tc>
          <w:tcPr>
            <w:tcW w:w="1553" w:type="dxa"/>
          </w:tcPr>
          <w:p w:rsidR="007636B0" w:rsidRPr="00F548B5" w:rsidRDefault="007636B0" w:rsidP="00B45DD6">
            <w:pPr>
              <w:spacing w:after="40"/>
              <w:jc w:val="center"/>
              <w:rPr>
                <w:szCs w:val="22"/>
              </w:rPr>
            </w:pPr>
            <w:r w:rsidRPr="00F548B5">
              <w:rPr>
                <w:szCs w:val="22"/>
              </w:rPr>
              <w:t>28</w:t>
            </w:r>
          </w:p>
        </w:tc>
        <w:tc>
          <w:tcPr>
            <w:tcW w:w="1392" w:type="dxa"/>
          </w:tcPr>
          <w:p w:rsidR="007636B0" w:rsidRPr="00F548B5" w:rsidRDefault="007636B0" w:rsidP="00B45DD6">
            <w:pPr>
              <w:spacing w:after="40"/>
              <w:jc w:val="center"/>
              <w:rPr>
                <w:szCs w:val="22"/>
              </w:rPr>
            </w:pPr>
            <w:r w:rsidRPr="00F548B5">
              <w:rPr>
                <w:szCs w:val="22"/>
              </w:rPr>
              <w:t>&lt;1</w:t>
            </w:r>
          </w:p>
        </w:tc>
      </w:tr>
      <w:tr w:rsidR="007636B0" w:rsidRPr="00F548B5" w:rsidTr="00B45DD6">
        <w:tc>
          <w:tcPr>
            <w:tcW w:w="1639" w:type="dxa"/>
          </w:tcPr>
          <w:p w:rsidR="007636B0" w:rsidRPr="00F548B5" w:rsidRDefault="007636B0" w:rsidP="00B45DD6">
            <w:pPr>
              <w:spacing w:after="40"/>
              <w:rPr>
                <w:szCs w:val="22"/>
              </w:rPr>
            </w:pPr>
            <w:r w:rsidRPr="00F548B5">
              <w:rPr>
                <w:szCs w:val="22"/>
              </w:rPr>
              <w:t>Residential B</w:t>
            </w:r>
          </w:p>
        </w:tc>
        <w:tc>
          <w:tcPr>
            <w:tcW w:w="1287" w:type="dxa"/>
            <w:tcMar>
              <w:right w:w="397" w:type="dxa"/>
            </w:tcMar>
          </w:tcPr>
          <w:p w:rsidR="007636B0" w:rsidRPr="00F548B5" w:rsidRDefault="007636B0" w:rsidP="00B45DD6">
            <w:pPr>
              <w:spacing w:after="40"/>
              <w:jc w:val="right"/>
              <w:rPr>
                <w:szCs w:val="22"/>
              </w:rPr>
            </w:pPr>
            <w:r w:rsidRPr="00F548B5">
              <w:rPr>
                <w:szCs w:val="22"/>
              </w:rPr>
              <w:t>340</w:t>
            </w:r>
          </w:p>
        </w:tc>
        <w:tc>
          <w:tcPr>
            <w:tcW w:w="1445" w:type="dxa"/>
          </w:tcPr>
          <w:p w:rsidR="007636B0" w:rsidRPr="00F548B5" w:rsidRDefault="007636B0" w:rsidP="00B45DD6">
            <w:pPr>
              <w:spacing w:after="40"/>
              <w:jc w:val="center"/>
              <w:rPr>
                <w:szCs w:val="22"/>
              </w:rPr>
            </w:pPr>
            <w:r w:rsidRPr="00F548B5">
              <w:rPr>
                <w:szCs w:val="22"/>
              </w:rPr>
              <w:t>38</w:t>
            </w:r>
          </w:p>
        </w:tc>
        <w:tc>
          <w:tcPr>
            <w:tcW w:w="1517" w:type="dxa"/>
          </w:tcPr>
          <w:p w:rsidR="007636B0" w:rsidRPr="00F548B5" w:rsidRDefault="007636B0" w:rsidP="00B45DD6">
            <w:pPr>
              <w:spacing w:after="40"/>
              <w:jc w:val="center"/>
              <w:rPr>
                <w:szCs w:val="22"/>
              </w:rPr>
            </w:pPr>
            <w:r w:rsidRPr="00F548B5">
              <w:rPr>
                <w:szCs w:val="22"/>
              </w:rPr>
              <w:t>--</w:t>
            </w:r>
          </w:p>
        </w:tc>
        <w:tc>
          <w:tcPr>
            <w:tcW w:w="1553" w:type="dxa"/>
          </w:tcPr>
          <w:p w:rsidR="007636B0" w:rsidRPr="00F548B5" w:rsidRDefault="007636B0" w:rsidP="00B45DD6">
            <w:pPr>
              <w:spacing w:after="40"/>
              <w:jc w:val="center"/>
              <w:rPr>
                <w:szCs w:val="22"/>
              </w:rPr>
            </w:pPr>
            <w:r w:rsidRPr="00F548B5">
              <w:rPr>
                <w:szCs w:val="22"/>
              </w:rPr>
              <w:t>62</w:t>
            </w:r>
          </w:p>
        </w:tc>
        <w:tc>
          <w:tcPr>
            <w:tcW w:w="1392" w:type="dxa"/>
          </w:tcPr>
          <w:p w:rsidR="007636B0" w:rsidRPr="00F548B5" w:rsidRDefault="007636B0" w:rsidP="00B45DD6">
            <w:pPr>
              <w:spacing w:after="40"/>
              <w:jc w:val="center"/>
              <w:rPr>
                <w:szCs w:val="22"/>
              </w:rPr>
            </w:pPr>
            <w:r w:rsidRPr="00F548B5">
              <w:rPr>
                <w:szCs w:val="22"/>
              </w:rPr>
              <w:t>&lt;1</w:t>
            </w:r>
          </w:p>
        </w:tc>
      </w:tr>
      <w:tr w:rsidR="007636B0" w:rsidRPr="00F548B5" w:rsidTr="00B45DD6">
        <w:tc>
          <w:tcPr>
            <w:tcW w:w="1639" w:type="dxa"/>
          </w:tcPr>
          <w:p w:rsidR="007636B0" w:rsidRPr="00F548B5" w:rsidRDefault="007636B0" w:rsidP="00B45DD6">
            <w:pPr>
              <w:spacing w:after="40"/>
              <w:rPr>
                <w:szCs w:val="22"/>
              </w:rPr>
            </w:pPr>
            <w:r w:rsidRPr="00F548B5">
              <w:rPr>
                <w:szCs w:val="22"/>
              </w:rPr>
              <w:t>Recreational C</w:t>
            </w:r>
          </w:p>
        </w:tc>
        <w:tc>
          <w:tcPr>
            <w:tcW w:w="1287" w:type="dxa"/>
            <w:tcMar>
              <w:right w:w="397" w:type="dxa"/>
            </w:tcMar>
          </w:tcPr>
          <w:p w:rsidR="007636B0" w:rsidRPr="00F548B5" w:rsidRDefault="007636B0" w:rsidP="00B45DD6">
            <w:pPr>
              <w:spacing w:after="40"/>
              <w:jc w:val="right"/>
              <w:rPr>
                <w:szCs w:val="22"/>
              </w:rPr>
            </w:pPr>
            <w:r w:rsidRPr="00F548B5">
              <w:rPr>
                <w:szCs w:val="22"/>
              </w:rPr>
              <w:t>250</w:t>
            </w:r>
          </w:p>
        </w:tc>
        <w:tc>
          <w:tcPr>
            <w:tcW w:w="1445" w:type="dxa"/>
          </w:tcPr>
          <w:p w:rsidR="007636B0" w:rsidRPr="00F548B5" w:rsidRDefault="007636B0" w:rsidP="00B45DD6">
            <w:pPr>
              <w:spacing w:after="40"/>
              <w:jc w:val="center"/>
              <w:rPr>
                <w:szCs w:val="22"/>
              </w:rPr>
            </w:pPr>
            <w:r w:rsidRPr="00F548B5">
              <w:rPr>
                <w:szCs w:val="22"/>
              </w:rPr>
              <w:t>55</w:t>
            </w:r>
          </w:p>
        </w:tc>
        <w:tc>
          <w:tcPr>
            <w:tcW w:w="1517" w:type="dxa"/>
          </w:tcPr>
          <w:p w:rsidR="007636B0" w:rsidRPr="00F548B5" w:rsidRDefault="007636B0" w:rsidP="00B45DD6">
            <w:pPr>
              <w:spacing w:after="40"/>
              <w:jc w:val="center"/>
              <w:rPr>
                <w:szCs w:val="22"/>
              </w:rPr>
            </w:pPr>
            <w:r w:rsidRPr="00F548B5">
              <w:rPr>
                <w:szCs w:val="22"/>
              </w:rPr>
              <w:t>--</w:t>
            </w:r>
          </w:p>
        </w:tc>
        <w:tc>
          <w:tcPr>
            <w:tcW w:w="1553" w:type="dxa"/>
          </w:tcPr>
          <w:p w:rsidR="007636B0" w:rsidRPr="00F548B5" w:rsidRDefault="007636B0" w:rsidP="00B45DD6">
            <w:pPr>
              <w:spacing w:after="40"/>
              <w:jc w:val="center"/>
              <w:rPr>
                <w:szCs w:val="22"/>
              </w:rPr>
            </w:pPr>
            <w:r w:rsidRPr="00F548B5">
              <w:rPr>
                <w:szCs w:val="22"/>
              </w:rPr>
              <w:t>45</w:t>
            </w:r>
          </w:p>
        </w:tc>
        <w:tc>
          <w:tcPr>
            <w:tcW w:w="1392" w:type="dxa"/>
          </w:tcPr>
          <w:p w:rsidR="007636B0" w:rsidRPr="00F548B5" w:rsidRDefault="007636B0" w:rsidP="00B45DD6">
            <w:pPr>
              <w:spacing w:after="40"/>
              <w:jc w:val="center"/>
              <w:rPr>
                <w:szCs w:val="22"/>
              </w:rPr>
            </w:pPr>
            <w:r w:rsidRPr="00F548B5">
              <w:rPr>
                <w:szCs w:val="22"/>
              </w:rPr>
              <w:t>&lt;1</w:t>
            </w:r>
          </w:p>
        </w:tc>
      </w:tr>
      <w:tr w:rsidR="007636B0" w:rsidRPr="00F548B5" w:rsidTr="00B45DD6">
        <w:tc>
          <w:tcPr>
            <w:tcW w:w="1639" w:type="dxa"/>
          </w:tcPr>
          <w:p w:rsidR="007636B0" w:rsidRPr="00F548B5" w:rsidRDefault="007636B0" w:rsidP="00B45DD6">
            <w:pPr>
              <w:spacing w:after="40"/>
              <w:rPr>
                <w:szCs w:val="22"/>
              </w:rPr>
            </w:pPr>
            <w:r w:rsidRPr="00F548B5">
              <w:rPr>
                <w:szCs w:val="22"/>
              </w:rPr>
              <w:t>Commercial D</w:t>
            </w:r>
          </w:p>
        </w:tc>
        <w:tc>
          <w:tcPr>
            <w:tcW w:w="1287" w:type="dxa"/>
            <w:tcMar>
              <w:right w:w="397" w:type="dxa"/>
            </w:tcMar>
          </w:tcPr>
          <w:p w:rsidR="007636B0" w:rsidRPr="00F548B5" w:rsidRDefault="007636B0" w:rsidP="00B45DD6">
            <w:pPr>
              <w:spacing w:after="40"/>
              <w:jc w:val="right"/>
              <w:rPr>
                <w:szCs w:val="22"/>
              </w:rPr>
            </w:pPr>
            <w:r w:rsidRPr="00F548B5">
              <w:rPr>
                <w:szCs w:val="22"/>
              </w:rPr>
              <w:t>2000</w:t>
            </w:r>
          </w:p>
        </w:tc>
        <w:tc>
          <w:tcPr>
            <w:tcW w:w="1445" w:type="dxa"/>
          </w:tcPr>
          <w:p w:rsidR="007636B0" w:rsidRPr="00F548B5" w:rsidRDefault="007636B0" w:rsidP="00B45DD6">
            <w:pPr>
              <w:spacing w:after="40"/>
              <w:jc w:val="center"/>
              <w:rPr>
                <w:szCs w:val="22"/>
              </w:rPr>
            </w:pPr>
            <w:r w:rsidRPr="00F548B5">
              <w:rPr>
                <w:szCs w:val="22"/>
              </w:rPr>
              <w:t>31</w:t>
            </w:r>
          </w:p>
        </w:tc>
        <w:tc>
          <w:tcPr>
            <w:tcW w:w="1517" w:type="dxa"/>
          </w:tcPr>
          <w:p w:rsidR="007636B0" w:rsidRPr="00F548B5" w:rsidRDefault="007636B0" w:rsidP="00B45DD6">
            <w:pPr>
              <w:spacing w:after="40"/>
              <w:jc w:val="center"/>
              <w:rPr>
                <w:szCs w:val="22"/>
              </w:rPr>
            </w:pPr>
            <w:r w:rsidRPr="00F548B5">
              <w:rPr>
                <w:szCs w:val="22"/>
              </w:rPr>
              <w:t>--</w:t>
            </w:r>
          </w:p>
        </w:tc>
        <w:tc>
          <w:tcPr>
            <w:tcW w:w="1553" w:type="dxa"/>
          </w:tcPr>
          <w:p w:rsidR="007636B0" w:rsidRPr="00F548B5" w:rsidRDefault="007636B0" w:rsidP="00B45DD6">
            <w:pPr>
              <w:spacing w:after="40"/>
              <w:jc w:val="center"/>
              <w:rPr>
                <w:szCs w:val="22"/>
              </w:rPr>
            </w:pPr>
            <w:r w:rsidRPr="00F548B5">
              <w:rPr>
                <w:szCs w:val="22"/>
              </w:rPr>
              <w:t>69</w:t>
            </w:r>
          </w:p>
        </w:tc>
        <w:tc>
          <w:tcPr>
            <w:tcW w:w="1392" w:type="dxa"/>
          </w:tcPr>
          <w:p w:rsidR="007636B0" w:rsidRPr="00F548B5" w:rsidRDefault="007636B0" w:rsidP="00B45DD6">
            <w:pPr>
              <w:spacing w:after="40"/>
              <w:jc w:val="center"/>
              <w:rPr>
                <w:szCs w:val="22"/>
              </w:rPr>
            </w:pPr>
            <w:r w:rsidRPr="00F548B5">
              <w:rPr>
                <w:szCs w:val="22"/>
              </w:rPr>
              <w:t>&lt;1</w:t>
            </w:r>
          </w:p>
        </w:tc>
      </w:tr>
    </w:tbl>
    <w:p w:rsidR="007636B0" w:rsidRPr="001310F2" w:rsidRDefault="007636B0" w:rsidP="007636B0">
      <w:pPr>
        <w:rPr>
          <w:sz w:val="18"/>
          <w:szCs w:val="18"/>
        </w:rPr>
      </w:pPr>
      <w:r w:rsidRPr="001310F2">
        <w:rPr>
          <w:sz w:val="18"/>
          <w:szCs w:val="18"/>
        </w:rPr>
        <w:t>-- Pathway not included in derivation of HIL</w:t>
      </w:r>
    </w:p>
    <w:p w:rsidR="007636B0" w:rsidRDefault="007636B0" w:rsidP="00521CD8">
      <w:pPr>
        <w:pStyle w:val="Heading2"/>
        <w:pageBreakBefore/>
        <w:tabs>
          <w:tab w:val="clear" w:pos="1209"/>
        </w:tabs>
      </w:pPr>
      <w:bookmarkStart w:id="93" w:name="_Toc351714333"/>
      <w:r>
        <w:lastRenderedPageBreak/>
        <w:t>References</w:t>
      </w:r>
      <w:bookmarkEnd w:id="93"/>
    </w:p>
    <w:p w:rsidR="007636B0" w:rsidRPr="001310F2" w:rsidRDefault="007636B0" w:rsidP="007636B0">
      <w:pPr>
        <w:pStyle w:val="StyletextLeft0cmHanging1cm"/>
      </w:pPr>
      <w:r w:rsidRPr="001310F2">
        <w:t>APVMA 2009, Chlorpyrifos, Preliminary Review Findings Report on Additional Residues Data, a reconsideration of the active constituent approvals of chlorpyrifos, the registration of products containing chlorpyrifos and their associated labels, APVMA, August 2009.</w:t>
      </w:r>
    </w:p>
    <w:p w:rsidR="007636B0" w:rsidRPr="001310F2" w:rsidRDefault="007636B0" w:rsidP="007636B0">
      <w:pPr>
        <w:pStyle w:val="StyletextLeft0cmHanging1cm"/>
      </w:pPr>
      <w:r w:rsidRPr="001310F2">
        <w:t>ATSDR 1997, Toxicological profile for Chlorpyrifos, Agency for Toxic Substances and Disease Registry (ATSDR), September 1997.</w:t>
      </w:r>
    </w:p>
    <w:p w:rsidR="007636B0" w:rsidRPr="001310F2" w:rsidRDefault="007636B0" w:rsidP="007636B0">
      <w:pPr>
        <w:pStyle w:val="StyletextLeft0cmHanging1cm"/>
        <w:rPr>
          <w:rFonts w:cs="Arial"/>
        </w:rPr>
      </w:pPr>
      <w:r w:rsidRPr="001310F2">
        <w:rPr>
          <w:rFonts w:cs="Arial"/>
        </w:rPr>
        <w:t>Baskaran, S, Kookana, RS, &amp; Naidu, R 1999, ‘</w:t>
      </w:r>
      <w:r w:rsidRPr="001310F2">
        <w:rPr>
          <w:rFonts w:cs="Arial"/>
          <w:bCs/>
        </w:rPr>
        <w:t>Degradation of bifenthrin, chlorpyrifos and imidacloprid in soil and bedding materials at termiticidal application rates’,</w:t>
      </w:r>
      <w:r w:rsidRPr="001310F2">
        <w:rPr>
          <w:rFonts w:cs="Arial"/>
        </w:rPr>
        <w:t xml:space="preserve"> Pesticide Sciences, vol. 55, pp. 1222</w:t>
      </w:r>
      <w:r w:rsidRPr="001310F2">
        <w:rPr>
          <w:rFonts w:cs="Arial"/>
        </w:rPr>
        <w:sym w:font="Symbol" w:char="F02D"/>
      </w:r>
      <w:r w:rsidRPr="001310F2">
        <w:rPr>
          <w:rFonts w:cs="Arial"/>
        </w:rPr>
        <w:t>1228.</w:t>
      </w:r>
    </w:p>
    <w:p w:rsidR="007636B0" w:rsidRPr="001310F2" w:rsidRDefault="007636B0" w:rsidP="007636B0">
      <w:pPr>
        <w:pStyle w:val="StyletextLeft0cmHanging1cm"/>
        <w:rPr>
          <w:rFonts w:cs="Arial"/>
        </w:rPr>
      </w:pPr>
      <w:r w:rsidRPr="001310F2">
        <w:rPr>
          <w:lang w:val="en-US"/>
        </w:rPr>
        <w:t xml:space="preserve">Beard, J, Westley-Wise, V, &amp; Sullivan, G 1995, ‘Exposure to pesticides in ambient </w:t>
      </w:r>
      <w:r w:rsidR="00E80517">
        <w:rPr>
          <w:lang w:val="en-US"/>
        </w:rPr>
        <w:t xml:space="preserve">  </w:t>
      </w:r>
      <w:r w:rsidRPr="001310F2">
        <w:rPr>
          <w:lang w:val="en-US"/>
        </w:rPr>
        <w:t xml:space="preserve">air’, </w:t>
      </w:r>
      <w:r w:rsidRPr="001310F2">
        <w:rPr>
          <w:iCs/>
          <w:lang w:val="en-US"/>
        </w:rPr>
        <w:t>Australian Journal of Public Health</w:t>
      </w:r>
      <w:r w:rsidRPr="001310F2">
        <w:rPr>
          <w:lang w:val="en-US"/>
        </w:rPr>
        <w:t>, vol.19, pp. 357</w:t>
      </w:r>
      <w:r w:rsidRPr="001310F2">
        <w:rPr>
          <w:lang w:val="en-US"/>
        </w:rPr>
        <w:sym w:font="Symbol" w:char="F02D"/>
      </w:r>
      <w:r w:rsidRPr="001310F2">
        <w:rPr>
          <w:lang w:val="en-US"/>
        </w:rPr>
        <w:t>362.</w:t>
      </w:r>
    </w:p>
    <w:p w:rsidR="007636B0" w:rsidRPr="001310F2" w:rsidRDefault="007636B0" w:rsidP="007636B0">
      <w:pPr>
        <w:pStyle w:val="StyletextLeft0cmHanging1cm"/>
      </w:pPr>
      <w:r w:rsidRPr="001310F2">
        <w:t xml:space="preserve">EA 2001, Air toxics and indoor air quality in Australia, State of knowledge report, Environment Australia, 2001, available from </w:t>
      </w:r>
      <w:hyperlink r:id="rId39" w:history="1">
        <w:r w:rsidRPr="001310F2">
          <w:rPr>
            <w:rStyle w:val="Hyperlink"/>
            <w:szCs w:val="22"/>
          </w:rPr>
          <w:t>http://www.environment.gov.au/atmosphere/airquality/publications/sok/chapter7.html</w:t>
        </w:r>
      </w:hyperlink>
      <w:r w:rsidRPr="001310F2">
        <w:t>.</w:t>
      </w:r>
    </w:p>
    <w:p w:rsidR="007636B0" w:rsidRPr="001310F2" w:rsidRDefault="007636B0" w:rsidP="007636B0">
      <w:pPr>
        <w:pStyle w:val="StyletextLeft0cmHanging1cm"/>
        <w:rPr>
          <w:lang w:eastAsia="en-US"/>
        </w:rPr>
      </w:pPr>
      <w:r w:rsidRPr="001310F2">
        <w:rPr>
          <w:lang w:eastAsia="en-US"/>
        </w:rPr>
        <w:t>FSANZ  2011, The 23</w:t>
      </w:r>
      <w:r w:rsidRPr="001310F2">
        <w:rPr>
          <w:vertAlign w:val="superscript"/>
          <w:lang w:eastAsia="en-US"/>
        </w:rPr>
        <w:t>rd</w:t>
      </w:r>
      <w:r w:rsidRPr="001310F2">
        <w:rPr>
          <w:lang w:eastAsia="en-US"/>
        </w:rPr>
        <w:t xml:space="preserve"> Australian Total Diet Study, Food Standards Australia and New Zealand.</w:t>
      </w:r>
    </w:p>
    <w:p w:rsidR="007636B0" w:rsidRPr="001310F2" w:rsidRDefault="007636B0" w:rsidP="007636B0">
      <w:pPr>
        <w:pStyle w:val="StyletextLeft0cmHanging1cm"/>
      </w:pPr>
      <w:r w:rsidRPr="001310F2">
        <w:t xml:space="preserve">JMPR 1972, Chlorpyrifos, WHO Pesticides Residues Series 2, available from </w:t>
      </w:r>
      <w:hyperlink r:id="rId40" w:history="1">
        <w:r w:rsidRPr="001310F2">
          <w:rPr>
            <w:rStyle w:val="Hyperlink"/>
            <w:szCs w:val="22"/>
          </w:rPr>
          <w:t>http://www.inchem.org/documents/jmpr/jmpmono/v072pr10.htm</w:t>
        </w:r>
      </w:hyperlink>
      <w:r w:rsidRPr="001310F2">
        <w:t>.</w:t>
      </w:r>
    </w:p>
    <w:p w:rsidR="007636B0" w:rsidRPr="001310F2" w:rsidRDefault="007636B0" w:rsidP="007636B0">
      <w:pPr>
        <w:pStyle w:val="StyletextLeft0cmHanging1cm"/>
        <w:rPr>
          <w:lang w:eastAsia="en-US"/>
        </w:rPr>
      </w:pPr>
      <w:r w:rsidRPr="001310F2">
        <w:rPr>
          <w:lang w:eastAsia="en-US"/>
        </w:rPr>
        <w:t>JMPR 1983, FAO/WHO (1983), Pesticide residues in food — 1982 evaluations, World Health Organization, Joint FAO/WHO Meeting on Pesticide Residues, (FAO Plant Production and Protection Paper 49), Geneva.</w:t>
      </w:r>
    </w:p>
    <w:p w:rsidR="007636B0" w:rsidRPr="001310F2" w:rsidRDefault="007636B0" w:rsidP="007636B0">
      <w:pPr>
        <w:pStyle w:val="StyletextLeft0cmHanging1cm"/>
        <w:rPr>
          <w:lang w:eastAsia="en-US"/>
        </w:rPr>
      </w:pPr>
      <w:r w:rsidRPr="001310F2">
        <w:rPr>
          <w:lang w:eastAsia="en-US"/>
        </w:rPr>
        <w:t>JMPR 2000, FAO/WHO (2000), Pesticide residues in food — 1999 evaluations, Part II — Toxicological, World Health Organization, Joint FAO/WHO Meeting on Pesticide Residues, (WHO/PCS/00.4), Geneva.</w:t>
      </w:r>
    </w:p>
    <w:p w:rsidR="007636B0" w:rsidRPr="001310F2" w:rsidRDefault="007636B0" w:rsidP="007636B0">
      <w:pPr>
        <w:pStyle w:val="StyletextLeft0cmHanging1cm"/>
      </w:pPr>
      <w:r w:rsidRPr="001310F2">
        <w:t>NEPC 1999, Schedule B (7a), Guideline on Health-Based Investigation Levels, National Environment Protection (Assessment of Site Contamination) Measure, National Environment Protection Council, Australia.</w:t>
      </w:r>
    </w:p>
    <w:p w:rsidR="007636B0" w:rsidRPr="001310F2" w:rsidRDefault="007636B0" w:rsidP="007636B0">
      <w:pPr>
        <w:pStyle w:val="StyletextLeft0cmHanging1cm"/>
        <w:rPr>
          <w:noProof/>
        </w:rPr>
      </w:pPr>
      <w:r w:rsidRPr="001310F2">
        <w:t xml:space="preserve">NHMRC 2011, </w:t>
      </w:r>
      <w:r w:rsidRPr="001310F2">
        <w:rPr>
          <w:iCs/>
        </w:rPr>
        <w:t>National water quality management strategy, Australian drinking water guidelines</w:t>
      </w:r>
      <w:r w:rsidRPr="001310F2">
        <w:t>, National Health and Medical Research Council, Australia</w:t>
      </w:r>
      <w:r w:rsidRPr="001310F2">
        <w:rPr>
          <w:noProof/>
        </w:rPr>
        <w:t>.</w:t>
      </w:r>
    </w:p>
    <w:p w:rsidR="007636B0" w:rsidRPr="001310F2" w:rsidRDefault="007636B0" w:rsidP="007636B0">
      <w:pPr>
        <w:pStyle w:val="StyletextLeft0cmHanging1cm"/>
        <w:rPr>
          <w:rFonts w:cs="Arial"/>
          <w:noProof/>
        </w:rPr>
      </w:pPr>
      <w:r w:rsidRPr="001310F2">
        <w:rPr>
          <w:rFonts w:cs="Arial"/>
        </w:rPr>
        <w:t xml:space="preserve">NRAAVC 2000, </w:t>
      </w:r>
      <w:r w:rsidRPr="001310F2">
        <w:rPr>
          <w:rFonts w:cs="Arial"/>
          <w:iCs/>
        </w:rPr>
        <w:t xml:space="preserve">The NRA Review of Chlorpyrifos, vol. 1, NRA Review Series 00.5, </w:t>
      </w:r>
      <w:r w:rsidRPr="001310F2">
        <w:rPr>
          <w:rFonts w:cs="Arial"/>
        </w:rPr>
        <w:t>Canberra, Australia.</w:t>
      </w:r>
    </w:p>
    <w:p w:rsidR="007636B0" w:rsidRPr="001310F2" w:rsidRDefault="007636B0" w:rsidP="007636B0">
      <w:pPr>
        <w:pStyle w:val="StyletextLeft0cmHanging1cm"/>
        <w:rPr>
          <w:rFonts w:cs="Arial"/>
          <w:noProof/>
        </w:rPr>
      </w:pPr>
      <w:r w:rsidRPr="001310F2">
        <w:rPr>
          <w:rFonts w:cs="Arial"/>
          <w:noProof/>
        </w:rPr>
        <w:t xml:space="preserve">OCS 2012, ADI List, Acceptable Daily Intakes for Agricultural and Veterinary Chemicals, current to 31 March 2012, Australian Government, Department of Health and Ageing, Office of Chemical Safety (OCS), available from: </w:t>
      </w:r>
      <w:r w:rsidRPr="001310F2">
        <w:rPr>
          <w:rFonts w:cs="Arial"/>
        </w:rPr>
        <w:t>http://www.health.gov.au/internet/main/publishing.nsf/content/E8F4D2F95D616584CA2573D700770C2A/$File/ADI-apr12.pdf.</w:t>
      </w:r>
    </w:p>
    <w:p w:rsidR="007636B0" w:rsidRPr="001310F2" w:rsidRDefault="007636B0" w:rsidP="007636B0">
      <w:pPr>
        <w:pStyle w:val="StyletextLeft0cmHanging1cm"/>
        <w:rPr>
          <w:rFonts w:cs="Arial"/>
          <w:noProof/>
        </w:rPr>
      </w:pPr>
      <w:r w:rsidRPr="001310F2">
        <w:rPr>
          <w:rStyle w:val="HTMLCode"/>
          <w:rFonts w:ascii="Book Antiqua" w:eastAsia="Verdana" w:hAnsi="Book Antiqua" w:cs="Arial"/>
          <w:sz w:val="22"/>
          <w:szCs w:val="22"/>
        </w:rPr>
        <w:t xml:space="preserve">Tomlin, CDS (ed) 2003, The e-Pesticide Manual: a world compendium </w:t>
      </w:r>
      <w:r w:rsidRPr="001310F2">
        <w:rPr>
          <w:rStyle w:val="HTMLCode"/>
          <w:rFonts w:ascii="Book Antiqua" w:eastAsia="Verdana" w:hAnsi="Book Antiqua" w:cs="Arial"/>
          <w:sz w:val="22"/>
          <w:szCs w:val="22"/>
        </w:rPr>
        <w:sym w:font="Symbol" w:char="F02D"/>
      </w:r>
      <w:r w:rsidRPr="001310F2">
        <w:rPr>
          <w:rStyle w:val="HTMLCode"/>
          <w:rFonts w:ascii="Book Antiqua" w:eastAsia="Verdana" w:hAnsi="Book Antiqua" w:cs="Arial"/>
          <w:sz w:val="22"/>
          <w:szCs w:val="22"/>
        </w:rPr>
        <w:t xml:space="preserve"> Chlorpyrifos, 13th edn, PC CD-ROM, Version 3.0, 2003</w:t>
      </w:r>
      <w:r w:rsidRPr="001310F2">
        <w:rPr>
          <w:rStyle w:val="HTMLCode"/>
          <w:rFonts w:ascii="Book Antiqua" w:eastAsia="Verdana" w:hAnsi="Book Antiqua" w:cs="Arial"/>
          <w:sz w:val="22"/>
          <w:szCs w:val="22"/>
        </w:rPr>
        <w:sym w:font="Symbol" w:char="F02D"/>
      </w:r>
      <w:r w:rsidRPr="001310F2">
        <w:rPr>
          <w:rStyle w:val="HTMLCode"/>
          <w:rFonts w:ascii="Book Antiqua" w:eastAsia="Verdana" w:hAnsi="Book Antiqua" w:cs="Arial"/>
          <w:sz w:val="22"/>
          <w:szCs w:val="22"/>
        </w:rPr>
        <w:t>04, British Crop Protection Council, Surrey, UK.</w:t>
      </w:r>
    </w:p>
    <w:p w:rsidR="007636B0" w:rsidRPr="001310F2" w:rsidRDefault="007636B0" w:rsidP="007636B0">
      <w:pPr>
        <w:pStyle w:val="StyletextLeft0cmHanging1cm"/>
      </w:pPr>
      <w:r w:rsidRPr="001310F2">
        <w:t xml:space="preserve">US EPA (IRIS 2012), data and information available from the Integrated Risk Information System, an online database, available from </w:t>
      </w:r>
      <w:hyperlink r:id="rId41" w:history="1">
        <w:r w:rsidRPr="001310F2">
          <w:rPr>
            <w:rStyle w:val="Hyperlink"/>
            <w:szCs w:val="22"/>
          </w:rPr>
          <w:t>http://www.epa.gov/iris/</w:t>
        </w:r>
      </w:hyperlink>
      <w:r w:rsidRPr="001310F2">
        <w:t>.</w:t>
      </w:r>
    </w:p>
    <w:p w:rsidR="007636B0" w:rsidRPr="001310F2" w:rsidRDefault="007636B0" w:rsidP="007636B0">
      <w:pPr>
        <w:pStyle w:val="StyletextLeft0cmHanging1cm"/>
        <w:rPr>
          <w:rFonts w:cs="Arial"/>
        </w:rPr>
      </w:pPr>
      <w:r w:rsidRPr="001310F2">
        <w:lastRenderedPageBreak/>
        <w:t xml:space="preserve">Taylor, S &amp; Di Marco, P 2003, ‘Health-Based Investigation Level of Chlorpyrifos’, presented in proceedings of the Fifth </w:t>
      </w:r>
      <w:r w:rsidRPr="001310F2">
        <w:rPr>
          <w:rFonts w:cs="Arial"/>
        </w:rPr>
        <w:t>National Workshop on the Assessment of Site Contamination, 2003.</w:t>
      </w:r>
    </w:p>
    <w:p w:rsidR="007636B0" w:rsidRPr="001310F2" w:rsidRDefault="007636B0" w:rsidP="007636B0">
      <w:pPr>
        <w:pStyle w:val="StyletextLeft0cmHanging1cm"/>
      </w:pPr>
      <w:r w:rsidRPr="001310F2">
        <w:rPr>
          <w:rFonts w:cs="Arial"/>
        </w:rPr>
        <w:t xml:space="preserve">WHO 2004, </w:t>
      </w:r>
      <w:r w:rsidRPr="001310F2">
        <w:rPr>
          <w:rFonts w:cs="Arial"/>
          <w:iCs/>
        </w:rPr>
        <w:t xml:space="preserve">Chlorpyrifos in Drinking Water, Background Document for Development of WHO Drinking Water Quality, </w:t>
      </w:r>
      <w:r w:rsidRPr="001310F2">
        <w:rPr>
          <w:rFonts w:cs="Arial"/>
        </w:rPr>
        <w:t>World Health Organization, Geneva.</w:t>
      </w:r>
      <w:r w:rsidRPr="001310F2">
        <w:t xml:space="preserve"> </w:t>
      </w:r>
    </w:p>
    <w:p w:rsidR="007636B0" w:rsidRPr="001310F2" w:rsidRDefault="007636B0" w:rsidP="007636B0">
      <w:pPr>
        <w:pStyle w:val="StyletextLeft0cmHanging1cm"/>
      </w:pPr>
      <w:r w:rsidRPr="001310F2">
        <w:t>WHO 2011, Guidelines for drinking-water quality, 4</w:t>
      </w:r>
      <w:r w:rsidRPr="001310F2">
        <w:rPr>
          <w:vertAlign w:val="superscript"/>
        </w:rPr>
        <w:t>th</w:t>
      </w:r>
      <w:r w:rsidRPr="001310F2">
        <w:t xml:space="preserve"> edn, World Health Organization, Geneva</w:t>
      </w:r>
      <w:r>
        <w:t>,</w:t>
      </w:r>
      <w:r w:rsidRPr="001310F2">
        <w:t xml:space="preserve"> available from </w:t>
      </w:r>
      <w:hyperlink r:id="rId42" w:history="1">
        <w:r w:rsidRPr="001310F2">
          <w:rPr>
            <w:rStyle w:val="Hyperlink"/>
            <w:szCs w:val="22"/>
          </w:rPr>
          <w:t>http://www.who.int/water_sanitation_health/dwq/chemicals/en/index.html</w:t>
        </w:r>
      </w:hyperlink>
      <w:r w:rsidRPr="001310F2">
        <w:t>.</w:t>
      </w:r>
    </w:p>
    <w:p w:rsidR="007636B0" w:rsidRPr="001310F2" w:rsidRDefault="007636B0" w:rsidP="007636B0">
      <w:pPr>
        <w:pStyle w:val="StyletextLeft0cmHanging1cm"/>
      </w:pPr>
    </w:p>
    <w:p w:rsidR="007636B0" w:rsidRDefault="007636B0" w:rsidP="007636B0">
      <w:pPr>
        <w:pStyle w:val="Heading1"/>
        <w:tabs>
          <w:tab w:val="clear" w:pos="1209"/>
          <w:tab w:val="num" w:pos="720"/>
        </w:tabs>
      </w:pPr>
      <w:bookmarkStart w:id="94" w:name="_Toc351714334"/>
      <w:r>
        <w:lastRenderedPageBreak/>
        <w:t>Bifenthrin</w:t>
      </w:r>
      <w:bookmarkEnd w:id="94"/>
    </w:p>
    <w:p w:rsidR="007636B0" w:rsidRDefault="007636B0" w:rsidP="007636B0">
      <w:pPr>
        <w:pStyle w:val="Heading2"/>
        <w:tabs>
          <w:tab w:val="clear" w:pos="1209"/>
        </w:tabs>
      </w:pPr>
      <w:bookmarkStart w:id="95" w:name="_Toc351714335"/>
      <w:r>
        <w:t>General</w:t>
      </w:r>
      <w:bookmarkEnd w:id="95"/>
    </w:p>
    <w:p w:rsidR="007636B0" w:rsidRDefault="007636B0" w:rsidP="007636B0">
      <w:r>
        <w:t>Several comprehensive reviews of bifenthrin in the environment and its toxicity to humans are available and should be consulted for more detailed information not presented in this summary (ATSDR 2003; US EPA 1999; Fecko 1999; Taylor &amp; Di Marco 2003). The following provides a summary of the key aspects of bifenthrin that are relevant to the derivation of a soil HIL.</w:t>
      </w:r>
    </w:p>
    <w:p w:rsidR="0021528E" w:rsidRDefault="0021528E" w:rsidP="007636B0"/>
    <w:p w:rsidR="007636B0" w:rsidRDefault="007636B0" w:rsidP="007636B0">
      <w:r w:rsidRPr="00190304">
        <w:t xml:space="preserve">Bifenthrin is the common name for the compound (2-methyl-1, 1-biphenyl-3-y1)-methyl-3-(2-chloro-3,3,3-trifluoro-1-propenyl)-2,2-dimethylcyclopropanecarboxylate. It is referred to as a </w:t>
      </w:r>
      <w:r>
        <w:t>‘</w:t>
      </w:r>
      <w:r w:rsidRPr="00190304">
        <w:t>third generation</w:t>
      </w:r>
      <w:r>
        <w:t>’</w:t>
      </w:r>
      <w:r w:rsidRPr="00190304">
        <w:t xml:space="preserve"> synthetic pyrethroid insecticide and is known to be more stable and persistent in the environment and have a greater insecticidal activity than previously synthesized pyrethroid compounds (Taylor </w:t>
      </w:r>
      <w:r>
        <w:t>&amp;</w:t>
      </w:r>
      <w:r w:rsidRPr="00190304">
        <w:t xml:space="preserve"> Di Marco 2003). Pure bifenthrin is a crystalline or waxy solid which is off-white to pale tan in colour.</w:t>
      </w:r>
    </w:p>
    <w:p w:rsidR="0021528E" w:rsidRPr="00190304" w:rsidRDefault="0021528E" w:rsidP="007636B0"/>
    <w:p w:rsidR="007636B0" w:rsidRDefault="007636B0" w:rsidP="007636B0">
      <w:r w:rsidRPr="00190304">
        <w:t xml:space="preserve">Bifenthrin is used in the agricultural industry to control insects in a number of crops and to protect stored grains. It is also used in domestic and commercial settings as a barrier to repel or kill insects such as termites (Taylor </w:t>
      </w:r>
      <w:r>
        <w:t>&amp;</w:t>
      </w:r>
      <w:r w:rsidRPr="00190304">
        <w:t xml:space="preserve"> Di Marco 2003).</w:t>
      </w:r>
    </w:p>
    <w:p w:rsidR="007636B0" w:rsidRDefault="007636B0" w:rsidP="007636B0">
      <w:pPr>
        <w:pStyle w:val="Heading2"/>
        <w:tabs>
          <w:tab w:val="clear" w:pos="1209"/>
        </w:tabs>
      </w:pPr>
      <w:bookmarkStart w:id="96" w:name="_Toc351714336"/>
      <w:r>
        <w:t>Previous HIL</w:t>
      </w:r>
      <w:bookmarkEnd w:id="96"/>
    </w:p>
    <w:p w:rsidR="007636B0" w:rsidRDefault="007636B0" w:rsidP="007636B0">
      <w:r>
        <w:t>No previous HIL is available for bifenthrin (NEPC 1999). It is noted, however, that review of bifenthrin by Taylor &amp; Di Marco (2003) derived a soil investigation level (residential) of 300 mg/kg on the basis of a threshold toxicity reference value of 0.01 mg/kg/day (noted to be derived from the Therapeutic Goods Administration), 100% oral bioavailability, soil ingestion only, and an assumption that exposures from soil contribute (by default) 20% of the reference value.</w:t>
      </w:r>
    </w:p>
    <w:p w:rsidR="007636B0" w:rsidRDefault="007636B0" w:rsidP="007636B0">
      <w:pPr>
        <w:pStyle w:val="Heading2"/>
        <w:tabs>
          <w:tab w:val="clear" w:pos="1209"/>
        </w:tabs>
      </w:pPr>
      <w:bookmarkStart w:id="97" w:name="_Toc351714337"/>
      <w:r>
        <w:t>Significance of Exposure Pathways</w:t>
      </w:r>
      <w:bookmarkEnd w:id="97"/>
    </w:p>
    <w:p w:rsidR="007636B0" w:rsidRPr="00E00A6A" w:rsidRDefault="007636B0" w:rsidP="007636B0">
      <w:pPr>
        <w:pStyle w:val="Heading3"/>
      </w:pPr>
      <w:bookmarkStart w:id="98" w:name="_Toc351714338"/>
      <w:r>
        <w:t xml:space="preserve">Oral </w:t>
      </w:r>
      <w:r w:rsidRPr="00E00A6A">
        <w:t>Bioavailability</w:t>
      </w:r>
      <w:bookmarkEnd w:id="98"/>
    </w:p>
    <w:p w:rsidR="007636B0" w:rsidRDefault="007636B0" w:rsidP="007636B0">
      <w:r>
        <w:t>Insufficient data is available to adequately define the bioavailability of bifenthrin, hence a default approach of assuming 100% oral bioavailability has been adopted in the derivation of an HIL. It is noted that a site-specific assessment of bioavailability can be undertaken where required.</w:t>
      </w:r>
    </w:p>
    <w:p w:rsidR="007636B0" w:rsidRPr="002D7B71" w:rsidRDefault="007636B0" w:rsidP="007636B0">
      <w:pPr>
        <w:pStyle w:val="Heading3"/>
      </w:pPr>
      <w:bookmarkStart w:id="99" w:name="_Toc351714339"/>
      <w:r w:rsidRPr="002D7B71">
        <w:t>Dermal absorption</w:t>
      </w:r>
      <w:bookmarkEnd w:id="99"/>
    </w:p>
    <w:p w:rsidR="007636B0" w:rsidRDefault="007636B0" w:rsidP="007636B0">
      <w:r>
        <w:t>Insufficient data is available on the dermal absorption of bifenthrin from soil. Hence the default value of 0.1 (10%) suggested by US EPA (1995) for pesticides has been adopted in the derivation of HILs.</w:t>
      </w:r>
    </w:p>
    <w:p w:rsidR="0021528E" w:rsidRDefault="0021528E" w:rsidP="007636B0"/>
    <w:p w:rsidR="007636B0" w:rsidRDefault="007636B0" w:rsidP="007636B0">
      <w:r>
        <w:t>It is noted that review by ATSDR (2003) considered the limited human and animal data associated with dermal application of pyrethroids. Dermal absorption values in the range of 0.5% to 1.8% were identified. Hence the adoption of 10% is considered conservative.</w:t>
      </w:r>
    </w:p>
    <w:p w:rsidR="007636B0" w:rsidRPr="009338FB" w:rsidRDefault="007636B0" w:rsidP="007636B0">
      <w:pPr>
        <w:pStyle w:val="Heading3"/>
      </w:pPr>
      <w:bookmarkStart w:id="100" w:name="_Toc351714340"/>
      <w:r w:rsidRPr="009338FB">
        <w:t>Inhalation of Dust</w:t>
      </w:r>
      <w:bookmarkEnd w:id="100"/>
    </w:p>
    <w:p w:rsidR="007636B0" w:rsidRDefault="007636B0" w:rsidP="007636B0">
      <w:r>
        <w:t>Bifenthrin is not considered sufficiently volatile to be of significance and inhalation exposures associated with particulates outdoors and indoors are expected to be of less significance than ingestion of soil. While likely to be negligible, potential inhalation exposures associated with dust have been considered in the HIL derived.</w:t>
      </w:r>
    </w:p>
    <w:p w:rsidR="007636B0" w:rsidRPr="009338FB" w:rsidRDefault="007636B0" w:rsidP="007636B0">
      <w:pPr>
        <w:pStyle w:val="Heading3"/>
      </w:pPr>
      <w:bookmarkStart w:id="101" w:name="_Toc351714341"/>
      <w:r w:rsidRPr="009338FB">
        <w:t>Plant Uptake</w:t>
      </w:r>
      <w:bookmarkEnd w:id="101"/>
    </w:p>
    <w:p w:rsidR="007636B0" w:rsidRDefault="007636B0" w:rsidP="007636B0">
      <w:r>
        <w:t xml:space="preserve">Limited information is available on the potential for plant uptake of bifenthrin. ATSDR (2003) notes that in soils, pyrethrins adsorb strongly and do not leach appreciably into groundwater. These </w:t>
      </w:r>
      <w:r>
        <w:lastRenderedPageBreak/>
        <w:t>compounds are not considerably taken up by the roots of vascular plants; however, they are deposited upon the leafy region of vegetation following spraying.</w:t>
      </w:r>
    </w:p>
    <w:p w:rsidR="0021528E" w:rsidRDefault="0021528E" w:rsidP="007636B0"/>
    <w:p w:rsidR="007636B0" w:rsidRDefault="007636B0" w:rsidP="007636B0">
      <w:r>
        <w:t xml:space="preserve">Where the application of the product is not of concern, there is limited potential for bifenthrin to be present in soil solution, and available for plant uptake, due to its strong adsorption to soil and its limited solubility. </w:t>
      </w:r>
    </w:p>
    <w:p w:rsidR="0021528E" w:rsidRDefault="0021528E" w:rsidP="007636B0"/>
    <w:p w:rsidR="007636B0" w:rsidRDefault="007636B0" w:rsidP="007636B0">
      <w:r>
        <w:t>On this basis, the potential for plant uptake into home-grown fruit and vegetable crops is not considered to be significant and has not been considered in the derivation of a soil HIL.</w:t>
      </w:r>
    </w:p>
    <w:p w:rsidR="007636B0" w:rsidRPr="0089652E" w:rsidRDefault="007636B0" w:rsidP="007636B0">
      <w:pPr>
        <w:pStyle w:val="Heading3"/>
      </w:pPr>
      <w:bookmarkStart w:id="102" w:name="_Toc351714342"/>
      <w:r w:rsidRPr="0089652E">
        <w:t xml:space="preserve">Intakes from Other Sources </w:t>
      </w:r>
      <w:r>
        <w:t>–</w:t>
      </w:r>
      <w:r w:rsidRPr="0089652E">
        <w:t xml:space="preserve"> Background</w:t>
      </w:r>
      <w:bookmarkEnd w:id="102"/>
    </w:p>
    <w:p w:rsidR="007636B0" w:rsidRDefault="007636B0" w:rsidP="007636B0">
      <w:r>
        <w:t>Background intakes were evaluated by Taylor &amp; Di Marco (2003). No Australian data was identified and intakes from water, food, air, consumer products and soil were assumed to comprise 20% of the adopted ADI, resulting in background intakes from sources other than soil as 80%.</w:t>
      </w:r>
    </w:p>
    <w:p w:rsidR="0021528E" w:rsidRDefault="0021528E" w:rsidP="007636B0"/>
    <w:p w:rsidR="007636B0" w:rsidRDefault="007636B0" w:rsidP="007636B0">
      <w:r>
        <w:t xml:space="preserve">Synthetic pyrethroid pesticides were included in </w:t>
      </w:r>
      <w:r w:rsidRPr="0032283E">
        <w:rPr>
          <w:i/>
        </w:rPr>
        <w:t>The 23</w:t>
      </w:r>
      <w:r w:rsidRPr="0032283E">
        <w:rPr>
          <w:i/>
          <w:vertAlign w:val="superscript"/>
        </w:rPr>
        <w:t>rd</w:t>
      </w:r>
      <w:r w:rsidRPr="0032283E">
        <w:rPr>
          <w:i/>
        </w:rPr>
        <w:t xml:space="preserve"> Australian Total Diet Survey</w:t>
      </w:r>
      <w:r>
        <w:t xml:space="preserve"> (FSANZ 2011). Intake associated with the detected residues of bifenthrin for children aged 2</w:t>
      </w:r>
      <w:r>
        <w:sym w:font="Symbol" w:char="F02D"/>
      </w:r>
      <w:r>
        <w:t xml:space="preserve">5 years was 0.072 </w:t>
      </w:r>
      <w:r>
        <w:rPr>
          <w:rFonts w:cs="Arial"/>
        </w:rPr>
        <w:t>µ</w:t>
      </w:r>
      <w:r>
        <w:t>g/kg/day, and  for children aged 6</w:t>
      </w:r>
      <w:r>
        <w:sym w:font="Symbol" w:char="F02D"/>
      </w:r>
      <w:r>
        <w:t xml:space="preserve">12 years was 0.085 </w:t>
      </w:r>
      <w:r>
        <w:rPr>
          <w:rFonts w:cs="Arial"/>
        </w:rPr>
        <w:t>µ</w:t>
      </w:r>
      <w:r>
        <w:t xml:space="preserve">g/kg/day, similar to the intake estimated for adults. </w:t>
      </w:r>
    </w:p>
    <w:p w:rsidR="0021528E" w:rsidRDefault="0021528E" w:rsidP="007636B0"/>
    <w:p w:rsidR="007636B0" w:rsidRDefault="007636B0" w:rsidP="007636B0">
      <w:r>
        <w:t>Limited other data is available in Australia, where a study on bifenthrin in air within a home after termite treatment did not detect bifenthrin concentrations (Richards 2003). Pyrethrins and pyrethroids are used in both indoor and outdoor settings to control insects; therefore, these compounds are frequently detected in the air of homes and buildings after their use. Data from the USA (ATSDR 2003) reported concentrations of pyrethrins in the order of 0.1</w:t>
      </w:r>
      <w:r>
        <w:sym w:font="Symbol" w:char="F02D"/>
      </w:r>
      <w:r>
        <w:t xml:space="preserve">0.3 </w:t>
      </w:r>
      <w:r>
        <w:rPr>
          <w:rFonts w:cs="Arial"/>
        </w:rPr>
        <w:t>µ</w:t>
      </w:r>
      <w:r>
        <w:t>g/m</w:t>
      </w:r>
      <w:r w:rsidRPr="00B42C28">
        <w:rPr>
          <w:vertAlign w:val="superscript"/>
        </w:rPr>
        <w:t>3</w:t>
      </w:r>
      <w:r>
        <w:t xml:space="preserve"> sometime after application (up to 84 days after application). Intakes by toddlers associated with these concentrations are in the range of 0.06–0.2 </w:t>
      </w:r>
      <w:r>
        <w:rPr>
          <w:rFonts w:cs="Arial"/>
        </w:rPr>
        <w:t>µ</w:t>
      </w:r>
      <w:r>
        <w:t>g/kg/day, significantly higher than estimated from dietary intakes. It is noted that if these insecticide sprays are regularly used, indoor air concentrations may be higher.</w:t>
      </w:r>
    </w:p>
    <w:p w:rsidR="0021528E" w:rsidRDefault="0021528E" w:rsidP="007636B0"/>
    <w:p w:rsidR="007636B0" w:rsidRDefault="007636B0" w:rsidP="007636B0">
      <w:r>
        <w:t xml:space="preserve">On the basis of the above, intakes associated with bifenthrin (assuming it comprises 100% of the pyrethrins reported in indoor air in the US) may comprise up to 0.28 </w:t>
      </w:r>
      <w:r>
        <w:rPr>
          <w:rFonts w:cs="Arial"/>
        </w:rPr>
        <w:t>µ</w:t>
      </w:r>
      <w:r>
        <w:t>g/kg/day for toddlers, approximately 3% of the recommended oral TRV. For the purpose of establishing an HIL, intakes from other sources has been taken to be 10% of the adopted TRV.</w:t>
      </w:r>
    </w:p>
    <w:p w:rsidR="007636B0" w:rsidRDefault="007636B0" w:rsidP="007636B0">
      <w:pPr>
        <w:pStyle w:val="Heading2"/>
        <w:tabs>
          <w:tab w:val="clear" w:pos="1209"/>
        </w:tabs>
      </w:pPr>
      <w:bookmarkStart w:id="103" w:name="_Toc351714343"/>
      <w:r>
        <w:t>Identification of Toxicity Reference Values</w:t>
      </w:r>
      <w:bookmarkEnd w:id="103"/>
    </w:p>
    <w:p w:rsidR="007636B0" w:rsidRPr="00983A79" w:rsidRDefault="007636B0" w:rsidP="007636B0">
      <w:pPr>
        <w:pStyle w:val="Heading3"/>
      </w:pPr>
      <w:bookmarkStart w:id="104" w:name="_Toc351714344"/>
      <w:r w:rsidRPr="00983A79">
        <w:t>Classification</w:t>
      </w:r>
      <w:bookmarkEnd w:id="104"/>
    </w:p>
    <w:p w:rsidR="007636B0" w:rsidRDefault="007636B0" w:rsidP="007636B0">
      <w:pPr>
        <w:rPr>
          <w:rFonts w:cs="Arial"/>
        </w:rPr>
      </w:pPr>
      <w:r w:rsidRPr="00C259C1">
        <w:t>The International Agency for Research on Cancer (IARC</w:t>
      </w:r>
      <w:r>
        <w:t xml:space="preserve">) and US EPA have not classified bifenthrin as to carcinogenicity. It is noted that </w:t>
      </w:r>
      <w:r w:rsidRPr="00190304">
        <w:rPr>
          <w:rFonts w:cs="Arial"/>
        </w:rPr>
        <w:t xml:space="preserve">the Joint Meeting on Pesticide Residues (JMPR 1993) </w:t>
      </w:r>
      <w:r>
        <w:rPr>
          <w:rFonts w:cs="Arial"/>
        </w:rPr>
        <w:t>has reviewed</w:t>
      </w:r>
      <w:r w:rsidRPr="00190304">
        <w:rPr>
          <w:rFonts w:cs="Arial"/>
        </w:rPr>
        <w:t xml:space="preserve"> bifenthrin</w:t>
      </w:r>
      <w:r>
        <w:rPr>
          <w:rFonts w:cs="Arial"/>
        </w:rPr>
        <w:t>,</w:t>
      </w:r>
      <w:r w:rsidRPr="00190304">
        <w:rPr>
          <w:rFonts w:cs="Arial"/>
        </w:rPr>
        <w:t xml:space="preserve"> </w:t>
      </w:r>
      <w:r>
        <w:rPr>
          <w:rFonts w:cs="Arial"/>
        </w:rPr>
        <w:t xml:space="preserve">which </w:t>
      </w:r>
      <w:r w:rsidRPr="00190304">
        <w:rPr>
          <w:rFonts w:cs="Arial"/>
        </w:rPr>
        <w:t>was evaluated as unlikely to pose a carcinogenic hazard to humans</w:t>
      </w:r>
      <w:r>
        <w:rPr>
          <w:rFonts w:cs="Arial"/>
        </w:rPr>
        <w:t xml:space="preserve">. </w:t>
      </w:r>
    </w:p>
    <w:p w:rsidR="007636B0" w:rsidRPr="00907E92" w:rsidRDefault="007636B0" w:rsidP="007636B0">
      <w:pPr>
        <w:pStyle w:val="Heading3"/>
      </w:pPr>
      <w:bookmarkStart w:id="105" w:name="_Toc351714345"/>
      <w:r w:rsidRPr="00907E92">
        <w:t>Review of Available Values</w:t>
      </w:r>
      <w:r>
        <w:t>/Information</w:t>
      </w:r>
      <w:bookmarkEnd w:id="105"/>
    </w:p>
    <w:p w:rsidR="007636B0" w:rsidRDefault="007636B0" w:rsidP="007636B0">
      <w:r>
        <w:t xml:space="preserve">A summary of health effects and information is presented by Taylor &amp; Di Marco (2003). Limited data is available for the assessment of carcinogenicity, though the available data suggests that bifenthrin was not likely to pose a carcinogenic risk to humans. </w:t>
      </w:r>
    </w:p>
    <w:p w:rsidR="0021528E" w:rsidRDefault="0021528E" w:rsidP="007636B0"/>
    <w:p w:rsidR="007636B0" w:rsidRDefault="007636B0" w:rsidP="007636B0">
      <w:r>
        <w:t>On the basis of the available information it is considered appropriate that a threshold dose</w:t>
      </w:r>
      <w:r>
        <w:sym w:font="Symbol" w:char="F02D"/>
      </w:r>
      <w:r>
        <w:t>response approach be adopted for bifenthrin. The following are available from Level 1 Australian and International sources: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4"/>
        <w:gridCol w:w="2215"/>
        <w:gridCol w:w="5494"/>
      </w:tblGrid>
      <w:tr w:rsidR="007636B0" w:rsidRPr="001310F2" w:rsidTr="00B45DD6">
        <w:trPr>
          <w:tblHeader/>
        </w:trPr>
        <w:tc>
          <w:tcPr>
            <w:tcW w:w="1294" w:type="dxa"/>
            <w:shd w:val="clear" w:color="auto" w:fill="C6D9F1" w:themeFill="text2" w:themeFillTint="33"/>
          </w:tcPr>
          <w:p w:rsidR="007636B0" w:rsidRPr="001310F2" w:rsidRDefault="007636B0" w:rsidP="00B45DD6">
            <w:pPr>
              <w:spacing w:before="20"/>
              <w:jc w:val="center"/>
              <w:rPr>
                <w:b/>
                <w:szCs w:val="22"/>
              </w:rPr>
            </w:pPr>
            <w:r w:rsidRPr="001310F2">
              <w:rPr>
                <w:szCs w:val="22"/>
              </w:rPr>
              <w:br w:type="page"/>
            </w:r>
            <w:r w:rsidRPr="001310F2">
              <w:rPr>
                <w:b/>
                <w:szCs w:val="22"/>
              </w:rPr>
              <w:t>Source</w:t>
            </w:r>
          </w:p>
        </w:tc>
        <w:tc>
          <w:tcPr>
            <w:tcW w:w="2215" w:type="dxa"/>
            <w:shd w:val="clear" w:color="auto" w:fill="C6D9F1" w:themeFill="text2" w:themeFillTint="33"/>
          </w:tcPr>
          <w:p w:rsidR="007636B0" w:rsidRPr="001310F2" w:rsidRDefault="007636B0" w:rsidP="00B45DD6">
            <w:pPr>
              <w:spacing w:before="20"/>
              <w:jc w:val="center"/>
              <w:rPr>
                <w:b/>
                <w:szCs w:val="22"/>
              </w:rPr>
            </w:pPr>
            <w:r w:rsidRPr="001310F2">
              <w:rPr>
                <w:b/>
                <w:szCs w:val="22"/>
              </w:rPr>
              <w:t>Value</w:t>
            </w:r>
          </w:p>
        </w:tc>
        <w:tc>
          <w:tcPr>
            <w:tcW w:w="5494" w:type="dxa"/>
            <w:shd w:val="clear" w:color="auto" w:fill="C6D9F1" w:themeFill="text2" w:themeFillTint="33"/>
          </w:tcPr>
          <w:p w:rsidR="007636B0" w:rsidRPr="001310F2" w:rsidRDefault="007636B0" w:rsidP="00B45DD6">
            <w:pPr>
              <w:spacing w:before="20"/>
              <w:jc w:val="center"/>
              <w:rPr>
                <w:b/>
                <w:szCs w:val="22"/>
              </w:rPr>
            </w:pPr>
            <w:r w:rsidRPr="001310F2">
              <w:rPr>
                <w:b/>
                <w:szCs w:val="22"/>
              </w:rPr>
              <w:t>Basis/Comments</w:t>
            </w:r>
          </w:p>
        </w:tc>
      </w:tr>
      <w:tr w:rsidR="007636B0" w:rsidRPr="001310F2" w:rsidTr="00B45DD6">
        <w:tc>
          <w:tcPr>
            <w:tcW w:w="9003" w:type="dxa"/>
            <w:gridSpan w:val="3"/>
          </w:tcPr>
          <w:p w:rsidR="007636B0" w:rsidRPr="001310F2" w:rsidRDefault="007636B0" w:rsidP="00B45DD6">
            <w:pPr>
              <w:spacing w:before="20"/>
              <w:jc w:val="center"/>
              <w:rPr>
                <w:b/>
                <w:szCs w:val="22"/>
              </w:rPr>
            </w:pPr>
            <w:r w:rsidRPr="001310F2">
              <w:rPr>
                <w:b/>
                <w:szCs w:val="22"/>
              </w:rPr>
              <w:t>Australian</w:t>
            </w:r>
          </w:p>
        </w:tc>
      </w:tr>
      <w:tr w:rsidR="007636B0" w:rsidRPr="001310F2" w:rsidTr="00B45DD6">
        <w:tc>
          <w:tcPr>
            <w:tcW w:w="1294" w:type="dxa"/>
          </w:tcPr>
          <w:p w:rsidR="007636B0" w:rsidRPr="001310F2" w:rsidRDefault="007636B0" w:rsidP="00B45DD6">
            <w:pPr>
              <w:spacing w:before="20"/>
              <w:rPr>
                <w:szCs w:val="22"/>
              </w:rPr>
            </w:pPr>
            <w:r w:rsidRPr="001310F2">
              <w:rPr>
                <w:szCs w:val="22"/>
              </w:rPr>
              <w:t xml:space="preserve">ADWG </w:t>
            </w:r>
          </w:p>
        </w:tc>
        <w:tc>
          <w:tcPr>
            <w:tcW w:w="2215" w:type="dxa"/>
          </w:tcPr>
          <w:p w:rsidR="007636B0" w:rsidRPr="001310F2" w:rsidRDefault="007636B0" w:rsidP="00B45DD6">
            <w:pPr>
              <w:spacing w:before="20"/>
              <w:rPr>
                <w:szCs w:val="22"/>
              </w:rPr>
            </w:pPr>
            <w:r w:rsidRPr="001310F2">
              <w:rPr>
                <w:szCs w:val="22"/>
              </w:rPr>
              <w:t>No evaluation available</w:t>
            </w:r>
          </w:p>
        </w:tc>
        <w:tc>
          <w:tcPr>
            <w:tcW w:w="5494" w:type="dxa"/>
          </w:tcPr>
          <w:p w:rsidR="007636B0" w:rsidRPr="001310F2" w:rsidRDefault="007636B0" w:rsidP="00B45DD6">
            <w:pPr>
              <w:spacing w:before="20"/>
              <w:rPr>
                <w:szCs w:val="22"/>
              </w:rPr>
            </w:pPr>
          </w:p>
        </w:tc>
      </w:tr>
      <w:tr w:rsidR="007636B0" w:rsidRPr="001310F2" w:rsidTr="00B45DD6">
        <w:tc>
          <w:tcPr>
            <w:tcW w:w="1294" w:type="dxa"/>
          </w:tcPr>
          <w:p w:rsidR="007636B0" w:rsidRPr="001310F2" w:rsidRDefault="007636B0" w:rsidP="00B45DD6">
            <w:pPr>
              <w:spacing w:before="20"/>
              <w:rPr>
                <w:szCs w:val="22"/>
              </w:rPr>
            </w:pPr>
            <w:r w:rsidRPr="001310F2">
              <w:rPr>
                <w:szCs w:val="22"/>
              </w:rPr>
              <w:lastRenderedPageBreak/>
              <w:t>OCS (2012)</w:t>
            </w:r>
          </w:p>
        </w:tc>
        <w:tc>
          <w:tcPr>
            <w:tcW w:w="2215" w:type="dxa"/>
          </w:tcPr>
          <w:p w:rsidR="007636B0" w:rsidRPr="001310F2" w:rsidRDefault="007636B0" w:rsidP="00B45DD6">
            <w:pPr>
              <w:spacing w:before="20"/>
              <w:rPr>
                <w:szCs w:val="22"/>
              </w:rPr>
            </w:pPr>
            <w:r w:rsidRPr="001310F2">
              <w:rPr>
                <w:szCs w:val="22"/>
              </w:rPr>
              <w:t>ADI = 0.01 mg/kg/day</w:t>
            </w:r>
          </w:p>
        </w:tc>
        <w:tc>
          <w:tcPr>
            <w:tcW w:w="5494" w:type="dxa"/>
          </w:tcPr>
          <w:p w:rsidR="007636B0" w:rsidRPr="001310F2" w:rsidRDefault="007636B0" w:rsidP="00B45DD6">
            <w:pPr>
              <w:spacing w:before="20"/>
              <w:rPr>
                <w:szCs w:val="22"/>
              </w:rPr>
            </w:pPr>
            <w:r w:rsidRPr="001310F2">
              <w:rPr>
                <w:szCs w:val="22"/>
              </w:rPr>
              <w:t>The ADI of 0.01 mg/kg/day based on maternal tremors in a developmental rat study. The value was set in 1992. The ADI is also used by FSANZ (2003).</w:t>
            </w:r>
          </w:p>
        </w:tc>
      </w:tr>
      <w:tr w:rsidR="007636B0" w:rsidRPr="001310F2" w:rsidTr="00B45DD6">
        <w:tc>
          <w:tcPr>
            <w:tcW w:w="9003" w:type="dxa"/>
            <w:gridSpan w:val="3"/>
          </w:tcPr>
          <w:p w:rsidR="007636B0" w:rsidRPr="001310F2" w:rsidRDefault="007636B0" w:rsidP="00B45DD6">
            <w:pPr>
              <w:spacing w:before="20"/>
              <w:jc w:val="center"/>
              <w:rPr>
                <w:b/>
                <w:szCs w:val="22"/>
              </w:rPr>
            </w:pPr>
            <w:r w:rsidRPr="001310F2">
              <w:rPr>
                <w:b/>
                <w:szCs w:val="22"/>
              </w:rPr>
              <w:t>International</w:t>
            </w:r>
          </w:p>
        </w:tc>
      </w:tr>
      <w:tr w:rsidR="007636B0" w:rsidRPr="001310F2" w:rsidTr="00B45DD6">
        <w:tc>
          <w:tcPr>
            <w:tcW w:w="1294" w:type="dxa"/>
          </w:tcPr>
          <w:p w:rsidR="007636B0" w:rsidRPr="001310F2" w:rsidRDefault="007636B0" w:rsidP="00B45DD6">
            <w:pPr>
              <w:spacing w:before="20"/>
              <w:rPr>
                <w:szCs w:val="22"/>
              </w:rPr>
            </w:pPr>
            <w:r w:rsidRPr="001310F2">
              <w:rPr>
                <w:szCs w:val="22"/>
              </w:rPr>
              <w:t>JMPR (1993)</w:t>
            </w:r>
          </w:p>
        </w:tc>
        <w:tc>
          <w:tcPr>
            <w:tcW w:w="2215" w:type="dxa"/>
          </w:tcPr>
          <w:p w:rsidR="007636B0" w:rsidRPr="001310F2" w:rsidRDefault="007636B0" w:rsidP="00B45DD6">
            <w:pPr>
              <w:spacing w:before="20"/>
              <w:rPr>
                <w:szCs w:val="22"/>
              </w:rPr>
            </w:pPr>
            <w:r w:rsidRPr="001310F2">
              <w:rPr>
                <w:szCs w:val="22"/>
              </w:rPr>
              <w:t>ADI of 0</w:t>
            </w:r>
            <w:r w:rsidRPr="001310F2">
              <w:rPr>
                <w:szCs w:val="22"/>
              </w:rPr>
              <w:sym w:font="Symbol" w:char="F02D"/>
            </w:r>
            <w:r w:rsidRPr="001310F2">
              <w:rPr>
                <w:szCs w:val="22"/>
              </w:rPr>
              <w:t>0.02 mg/kg/day</w:t>
            </w:r>
          </w:p>
        </w:tc>
        <w:tc>
          <w:tcPr>
            <w:tcW w:w="5494" w:type="dxa"/>
          </w:tcPr>
          <w:p w:rsidR="007636B0" w:rsidRPr="001310F2" w:rsidRDefault="007636B0" w:rsidP="00B45DD6">
            <w:pPr>
              <w:spacing w:before="20"/>
              <w:rPr>
                <w:szCs w:val="22"/>
              </w:rPr>
            </w:pPr>
            <w:r w:rsidRPr="001310F2">
              <w:rPr>
                <w:szCs w:val="22"/>
              </w:rPr>
              <w:t>ADI established on the basis of a NOAEL of 1.5 mg/kg/day in a 1-year study in dogs, and a 100-fold uncertainty factor. The study was supported by the same NOAEL in the rat teratology study. ADI presented has been rounded by JMPR.</w:t>
            </w:r>
          </w:p>
        </w:tc>
      </w:tr>
      <w:tr w:rsidR="007636B0" w:rsidRPr="001310F2" w:rsidTr="00B45DD6">
        <w:tc>
          <w:tcPr>
            <w:tcW w:w="1294" w:type="dxa"/>
          </w:tcPr>
          <w:p w:rsidR="007636B0" w:rsidRPr="001310F2" w:rsidRDefault="007636B0" w:rsidP="00B45DD6">
            <w:pPr>
              <w:spacing w:before="20"/>
              <w:rPr>
                <w:szCs w:val="22"/>
              </w:rPr>
            </w:pPr>
            <w:r w:rsidRPr="001310F2">
              <w:rPr>
                <w:szCs w:val="22"/>
              </w:rPr>
              <w:t>WHO</w:t>
            </w:r>
          </w:p>
        </w:tc>
        <w:tc>
          <w:tcPr>
            <w:tcW w:w="2215" w:type="dxa"/>
          </w:tcPr>
          <w:p w:rsidR="007636B0" w:rsidRPr="001310F2" w:rsidRDefault="007636B0" w:rsidP="00B45DD6">
            <w:pPr>
              <w:spacing w:before="20"/>
              <w:rPr>
                <w:szCs w:val="22"/>
              </w:rPr>
            </w:pPr>
            <w:r w:rsidRPr="001310F2">
              <w:rPr>
                <w:szCs w:val="22"/>
              </w:rPr>
              <w:t>No evaluation available</w:t>
            </w:r>
          </w:p>
        </w:tc>
        <w:tc>
          <w:tcPr>
            <w:tcW w:w="5494" w:type="dxa"/>
          </w:tcPr>
          <w:p w:rsidR="007636B0" w:rsidRPr="001310F2" w:rsidRDefault="007636B0" w:rsidP="00B45DD6">
            <w:pPr>
              <w:spacing w:before="20"/>
              <w:rPr>
                <w:szCs w:val="22"/>
              </w:rPr>
            </w:pPr>
          </w:p>
        </w:tc>
      </w:tr>
      <w:tr w:rsidR="007636B0" w:rsidRPr="001310F2" w:rsidTr="00B45DD6">
        <w:tc>
          <w:tcPr>
            <w:tcW w:w="1294" w:type="dxa"/>
          </w:tcPr>
          <w:p w:rsidR="007636B0" w:rsidRPr="001310F2" w:rsidRDefault="007636B0" w:rsidP="00B45DD6">
            <w:pPr>
              <w:spacing w:before="20"/>
              <w:rPr>
                <w:szCs w:val="22"/>
              </w:rPr>
            </w:pPr>
            <w:r w:rsidRPr="001310F2">
              <w:rPr>
                <w:szCs w:val="22"/>
              </w:rPr>
              <w:t>RIVM (2001)</w:t>
            </w:r>
          </w:p>
        </w:tc>
        <w:tc>
          <w:tcPr>
            <w:tcW w:w="2215" w:type="dxa"/>
          </w:tcPr>
          <w:p w:rsidR="007636B0" w:rsidRPr="001310F2" w:rsidRDefault="007636B0" w:rsidP="00B45DD6">
            <w:pPr>
              <w:spacing w:before="20"/>
              <w:rPr>
                <w:szCs w:val="22"/>
              </w:rPr>
            </w:pPr>
            <w:r w:rsidRPr="001310F2">
              <w:rPr>
                <w:szCs w:val="22"/>
              </w:rPr>
              <w:t>No evaluation available</w:t>
            </w:r>
          </w:p>
        </w:tc>
        <w:tc>
          <w:tcPr>
            <w:tcW w:w="5494" w:type="dxa"/>
          </w:tcPr>
          <w:p w:rsidR="007636B0" w:rsidRPr="001310F2" w:rsidRDefault="007636B0" w:rsidP="00B45DD6">
            <w:pPr>
              <w:spacing w:before="20"/>
              <w:rPr>
                <w:szCs w:val="22"/>
              </w:rPr>
            </w:pPr>
          </w:p>
        </w:tc>
      </w:tr>
      <w:tr w:rsidR="007636B0" w:rsidRPr="001310F2" w:rsidTr="00B45DD6">
        <w:tc>
          <w:tcPr>
            <w:tcW w:w="1294" w:type="dxa"/>
          </w:tcPr>
          <w:p w:rsidR="007636B0" w:rsidRPr="001310F2" w:rsidRDefault="007636B0" w:rsidP="00B45DD6">
            <w:pPr>
              <w:spacing w:before="20"/>
              <w:rPr>
                <w:szCs w:val="22"/>
              </w:rPr>
            </w:pPr>
            <w:r w:rsidRPr="001310F2">
              <w:rPr>
                <w:szCs w:val="22"/>
              </w:rPr>
              <w:t>ATSDR</w:t>
            </w:r>
          </w:p>
        </w:tc>
        <w:tc>
          <w:tcPr>
            <w:tcW w:w="2215" w:type="dxa"/>
          </w:tcPr>
          <w:p w:rsidR="007636B0" w:rsidRPr="001310F2" w:rsidRDefault="007636B0" w:rsidP="00B45DD6">
            <w:pPr>
              <w:spacing w:before="20"/>
              <w:rPr>
                <w:szCs w:val="22"/>
              </w:rPr>
            </w:pPr>
            <w:r w:rsidRPr="001310F2">
              <w:rPr>
                <w:szCs w:val="22"/>
              </w:rPr>
              <w:t>No evaluation available</w:t>
            </w:r>
          </w:p>
        </w:tc>
        <w:tc>
          <w:tcPr>
            <w:tcW w:w="5494" w:type="dxa"/>
          </w:tcPr>
          <w:p w:rsidR="007636B0" w:rsidRPr="001310F2" w:rsidRDefault="007636B0" w:rsidP="00B45DD6">
            <w:pPr>
              <w:spacing w:before="20"/>
              <w:rPr>
                <w:szCs w:val="22"/>
              </w:rPr>
            </w:pPr>
          </w:p>
        </w:tc>
      </w:tr>
      <w:tr w:rsidR="007636B0" w:rsidRPr="001310F2" w:rsidTr="00B45DD6">
        <w:tc>
          <w:tcPr>
            <w:tcW w:w="1294" w:type="dxa"/>
          </w:tcPr>
          <w:p w:rsidR="007636B0" w:rsidRPr="001310F2" w:rsidRDefault="007636B0" w:rsidP="00B45DD6">
            <w:pPr>
              <w:spacing w:before="20"/>
              <w:rPr>
                <w:szCs w:val="22"/>
              </w:rPr>
            </w:pPr>
            <w:r w:rsidRPr="001310F2">
              <w:rPr>
                <w:szCs w:val="22"/>
              </w:rPr>
              <w:t>US EPA (IRIS 2012)</w:t>
            </w:r>
          </w:p>
        </w:tc>
        <w:tc>
          <w:tcPr>
            <w:tcW w:w="2215" w:type="dxa"/>
          </w:tcPr>
          <w:p w:rsidR="007636B0" w:rsidRPr="001310F2" w:rsidRDefault="007636B0" w:rsidP="00B45DD6">
            <w:pPr>
              <w:spacing w:before="20"/>
              <w:rPr>
                <w:szCs w:val="22"/>
              </w:rPr>
            </w:pPr>
            <w:r w:rsidRPr="001310F2">
              <w:rPr>
                <w:szCs w:val="22"/>
              </w:rPr>
              <w:t>RfD = 0.015 mg/kg/day</w:t>
            </w:r>
          </w:p>
          <w:p w:rsidR="007636B0" w:rsidRPr="001310F2" w:rsidRDefault="007636B0" w:rsidP="00B45DD6">
            <w:pPr>
              <w:spacing w:before="20"/>
              <w:rPr>
                <w:szCs w:val="22"/>
              </w:rPr>
            </w:pPr>
          </w:p>
        </w:tc>
        <w:tc>
          <w:tcPr>
            <w:tcW w:w="5494" w:type="dxa"/>
          </w:tcPr>
          <w:p w:rsidR="007636B0" w:rsidRPr="001310F2" w:rsidRDefault="007636B0" w:rsidP="00B45DD6">
            <w:pPr>
              <w:spacing w:before="20"/>
              <w:rPr>
                <w:szCs w:val="22"/>
              </w:rPr>
            </w:pPr>
            <w:r w:rsidRPr="001310F2">
              <w:rPr>
                <w:szCs w:val="22"/>
              </w:rPr>
              <w:t>US EPA has established an oral RfD of 0.015 mg/kg/day based on a NOEL of 1.5 mg/kg/day associated with tremors in a 1-year dog study, and 100-fold uncertainty factor.</w:t>
            </w:r>
          </w:p>
        </w:tc>
      </w:tr>
    </w:tbl>
    <w:p w:rsidR="007636B0" w:rsidRDefault="007636B0" w:rsidP="007636B0"/>
    <w:p w:rsidR="007636B0" w:rsidRDefault="007636B0" w:rsidP="007636B0">
      <w:r>
        <w:t>Based on the available data, the current Australian ADI of 0.01 mg/kg/day is considered current and relevant.</w:t>
      </w:r>
    </w:p>
    <w:p w:rsidR="0021528E" w:rsidRDefault="0021528E" w:rsidP="007636B0"/>
    <w:p w:rsidR="007636B0" w:rsidRDefault="007636B0" w:rsidP="007636B0">
      <w:r>
        <w:t>No dermal or inhalation-specific studies or data are available. For the presence of bifenthrin in soil (not during use), it is considered appropriate to consider use of the available threshold reference value for all pathways of exposures.</w:t>
      </w:r>
    </w:p>
    <w:p w:rsidR="007636B0" w:rsidRPr="00921D7B" w:rsidRDefault="007636B0" w:rsidP="007636B0">
      <w:pPr>
        <w:pStyle w:val="Heading3"/>
      </w:pPr>
      <w:bookmarkStart w:id="106" w:name="_Toc351714346"/>
      <w:r w:rsidRPr="00921D7B">
        <w:t>Recommendation</w:t>
      </w:r>
      <w:bookmarkEnd w:id="106"/>
    </w:p>
    <w:p w:rsidR="007636B0" w:rsidRDefault="007636B0" w:rsidP="007636B0">
      <w:r>
        <w:t>On the basis of the discussion above, the following toxicity reference values (TRVs) have been adopted for bifenthrin in the derivation of HILs:</w:t>
      </w:r>
    </w:p>
    <w:p w:rsidR="007636B0" w:rsidRDefault="007636B0" w:rsidP="007636B0">
      <w:r>
        <w:rPr>
          <w:noProof/>
          <w:lang w:eastAsia="en-AU"/>
        </w:rPr>
        <mc:AlternateContent>
          <mc:Choice Requires="wps">
            <w:drawing>
              <wp:inline distT="0" distB="0" distL="0" distR="0">
                <wp:extent cx="5624830" cy="2367915"/>
                <wp:effectExtent l="13335" t="6985" r="10160" b="63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2367915"/>
                        </a:xfrm>
                        <a:prstGeom prst="rect">
                          <a:avLst/>
                        </a:prstGeom>
                        <a:solidFill>
                          <a:srgbClr val="D8D8D8"/>
                        </a:solidFill>
                        <a:ln w="9525">
                          <a:solidFill>
                            <a:srgbClr val="000000"/>
                          </a:solidFill>
                          <a:miter lim="800000"/>
                          <a:headEnd/>
                          <a:tailEnd/>
                        </a:ln>
                      </wps:spPr>
                      <wps:txbx>
                        <w:txbxContent>
                          <w:p w:rsidR="00A0097F" w:rsidRPr="00742163" w:rsidRDefault="00A0097F" w:rsidP="007636B0">
                            <w:pPr>
                              <w:spacing w:after="40"/>
                              <w:rPr>
                                <w:b/>
                                <w:u w:val="single"/>
                              </w:rPr>
                            </w:pPr>
                            <w:r w:rsidRPr="00742163">
                              <w:rPr>
                                <w:b/>
                                <w:u w:val="single"/>
                              </w:rPr>
                              <w:t xml:space="preserve">Recommendation for </w:t>
                            </w:r>
                            <w:r>
                              <w:rPr>
                                <w:b/>
                                <w:u w:val="single"/>
                              </w:rPr>
                              <w:t xml:space="preserve">Bifenthrin </w:t>
                            </w:r>
                          </w:p>
                          <w:p w:rsidR="00A0097F" w:rsidRDefault="00A0097F" w:rsidP="007636B0">
                            <w:pPr>
                              <w:spacing w:after="40"/>
                            </w:pPr>
                            <w:r>
                              <w:t>Oral TRV (TRV</w:t>
                            </w:r>
                            <w:r w:rsidRPr="00A54613">
                              <w:rPr>
                                <w:vertAlign w:val="subscript"/>
                              </w:rPr>
                              <w:t>O</w:t>
                            </w:r>
                            <w:r>
                              <w:t>) = 0.01 mg/kg/day (OCS 2012) for all pathways of exposure</w:t>
                            </w:r>
                          </w:p>
                          <w:p w:rsidR="00A0097F" w:rsidRDefault="00A0097F" w:rsidP="007636B0">
                            <w:pPr>
                              <w:spacing w:after="40"/>
                            </w:pPr>
                            <w:r>
                              <w:t>Dermal absorption factor (DAF) = 0.1 (or 10%) (US EPA 1995)</w:t>
                            </w:r>
                          </w:p>
                          <w:p w:rsidR="00A0097F" w:rsidRDefault="00A0097F" w:rsidP="007636B0">
                            <w:pPr>
                              <w:spacing w:after="40"/>
                            </w:pPr>
                            <w:r>
                              <w:t xml:space="preserve">Intakes allowable from soil (as % of TRV) = 80% </w:t>
                            </w:r>
                          </w:p>
                          <w:p w:rsidR="00A0097F" w:rsidRDefault="00A0097F" w:rsidP="007636B0">
                            <w:pPr>
                              <w:spacing w:after="40"/>
                            </w:pPr>
                            <w:r>
                              <w:t>Background intakes from other sources (as % of TRV):</w:t>
                            </w:r>
                          </w:p>
                          <w:p w:rsidR="00A0097F" w:rsidRDefault="00A0097F" w:rsidP="007636B0">
                            <w:pPr>
                              <w:spacing w:after="40"/>
                              <w:ind w:left="720"/>
                            </w:pPr>
                            <w:r>
                              <w:t>BI</w:t>
                            </w:r>
                            <w:r w:rsidRPr="002049F5">
                              <w:rPr>
                                <w:vertAlign w:val="subscript"/>
                              </w:rPr>
                              <w:t>O</w:t>
                            </w:r>
                            <w:r>
                              <w:t xml:space="preserve"> = 10% for oral and dermal intakes</w:t>
                            </w:r>
                          </w:p>
                          <w:p w:rsidR="00A0097F" w:rsidRDefault="00A0097F" w:rsidP="007636B0">
                            <w:pPr>
                              <w:spacing w:after="40"/>
                              <w:ind w:left="720"/>
                            </w:pPr>
                            <w:r>
                              <w:t>BIi = 10% for inhalation</w:t>
                            </w:r>
                            <w:r w:rsidDel="00C81411">
                              <w:t xml:space="preserve"> </w:t>
                            </w:r>
                          </w:p>
                          <w:p w:rsidR="00A0097F" w:rsidRDefault="00A0097F" w:rsidP="007636B0">
                            <w:pPr>
                              <w:spacing w:after="40"/>
                            </w:pPr>
                            <w:r>
                              <w:t>Note background intakes in areas where insecticides are regularly used may need to be considered on a site-specific basis.</w:t>
                            </w:r>
                          </w:p>
                        </w:txbxContent>
                      </wps:txbx>
                      <wps:bodyPr rot="0" vert="horz" wrap="square" lIns="91440" tIns="45720" rIns="91440" bIns="45720" anchor="t" anchorCtr="0" upright="1">
                        <a:noAutofit/>
                      </wps:bodyPr>
                    </wps:wsp>
                  </a:graphicData>
                </a:graphic>
              </wp:inline>
            </w:drawing>
          </mc:Choice>
          <mc:Fallback>
            <w:pict>
              <v:shape id="Text Box 3" o:spid="_x0000_s1035" type="#_x0000_t202" style="width:442.9pt;height:18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" fillcolor="#d8d8d8">
                <v:textbox>
                  <w:txbxContent>
                    <w:p w:rsidR="009C6751" w:rsidRPr="00742163" w:rsidRDefault="009C6751" w:rsidP="007636B0">
                      <w:pPr>
                        <w:spacing w:after="40"/>
                        <w:rPr>
                          <w:b/>
                          <w:u w:val="single"/>
                        </w:rPr>
                      </w:pPr>
                      <w:r w:rsidRPr="00742163">
                        <w:rPr>
                          <w:b/>
                          <w:u w:val="single"/>
                        </w:rPr>
                        <w:t xml:space="preserve">Recommendation for </w:t>
                      </w:r>
                      <w:r>
                        <w:rPr>
                          <w:b/>
                          <w:u w:val="single"/>
                        </w:rPr>
                        <w:t xml:space="preserve">Bifenthrin </w:t>
                      </w:r>
                    </w:p>
                    <w:p w:rsidR="009C6751" w:rsidRDefault="009C6751" w:rsidP="007636B0">
                      <w:pPr>
                        <w:spacing w:after="40"/>
                      </w:pPr>
                      <w:r>
                        <w:t>Oral TRV (TRV</w:t>
                      </w:r>
                      <w:r w:rsidRPr="00A54613">
                        <w:rPr>
                          <w:vertAlign w:val="subscript"/>
                        </w:rPr>
                        <w:t>O</w:t>
                      </w:r>
                      <w:r>
                        <w:t>) = 0.01 mg/kg/day (OCS 2012) for all pathways of exposure</w:t>
                      </w:r>
                    </w:p>
                    <w:p w:rsidR="009C6751" w:rsidRDefault="009C6751" w:rsidP="007636B0">
                      <w:pPr>
                        <w:spacing w:after="40"/>
                      </w:pPr>
                      <w:r>
                        <w:t>Dermal absorption factor (DAF) = 0.1 (or 10%) (US EPA 1995)</w:t>
                      </w:r>
                    </w:p>
                    <w:p w:rsidR="009C6751" w:rsidRDefault="009C6751" w:rsidP="007636B0">
                      <w:pPr>
                        <w:spacing w:after="40"/>
                      </w:pPr>
                      <w:r>
                        <w:t xml:space="preserve">Intakes allowable from soil (as % of TRV) = 80% </w:t>
                      </w:r>
                    </w:p>
                    <w:p w:rsidR="009C6751" w:rsidRDefault="009C6751" w:rsidP="007636B0">
                      <w:pPr>
                        <w:spacing w:after="40"/>
                      </w:pPr>
                      <w:r>
                        <w:t>Background intakes from other sources (as % of TRV):</w:t>
                      </w:r>
                    </w:p>
                    <w:p w:rsidR="009C6751" w:rsidRDefault="009C6751" w:rsidP="007636B0">
                      <w:pPr>
                        <w:spacing w:after="40"/>
                        <w:ind w:left="720"/>
                      </w:pPr>
                      <w:r>
                        <w:t>BI</w:t>
                      </w:r>
                      <w:r w:rsidRPr="002049F5">
                        <w:rPr>
                          <w:vertAlign w:val="subscript"/>
                        </w:rPr>
                        <w:t>O</w:t>
                      </w:r>
                      <w:r>
                        <w:t xml:space="preserve"> = 10% for oral and dermal intakes</w:t>
                      </w:r>
                    </w:p>
                    <w:p w:rsidR="009C6751" w:rsidRDefault="009C6751" w:rsidP="007636B0">
                      <w:pPr>
                        <w:spacing w:after="40"/>
                        <w:ind w:left="720"/>
                      </w:pPr>
                      <w:r>
                        <w:t>BIi = 10% for inhalation</w:t>
                      </w:r>
                      <w:r w:rsidDel="00C81411">
                        <w:t xml:space="preserve"> </w:t>
                      </w:r>
                    </w:p>
                    <w:p w:rsidR="009C6751" w:rsidRDefault="009C6751" w:rsidP="007636B0">
                      <w:pPr>
                        <w:spacing w:after="40"/>
                      </w:pPr>
                      <w:r>
                        <w:t>Note background intakes in areas where insecticides are regularly used may need to be considered on a site-specific basis.</w:t>
                      </w:r>
                    </w:p>
                  </w:txbxContent>
                </v:textbox>
                <w10:anchorlock/>
              </v:shape>
            </w:pict>
          </mc:Fallback>
        </mc:AlternateContent>
      </w:r>
    </w:p>
    <w:p w:rsidR="007636B0" w:rsidRDefault="007636B0" w:rsidP="007636B0">
      <w:pPr>
        <w:pStyle w:val="Heading2"/>
        <w:tabs>
          <w:tab w:val="clear" w:pos="1209"/>
        </w:tabs>
      </w:pPr>
      <w:bookmarkStart w:id="107" w:name="_Toc351714347"/>
      <w:r>
        <w:t>Calculated HILs</w:t>
      </w:r>
      <w:bookmarkEnd w:id="107"/>
    </w:p>
    <w:p w:rsidR="007636B0" w:rsidRDefault="007636B0" w:rsidP="007636B0">
      <w:r>
        <w:t>On the basis of the above, the following HILs have been derived for bifenthrin (refer to Appendix B for equations used to calculate the HILs and Appendix C for calculations):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9"/>
        <w:gridCol w:w="1287"/>
        <w:gridCol w:w="1445"/>
        <w:gridCol w:w="1517"/>
        <w:gridCol w:w="1553"/>
        <w:gridCol w:w="1392"/>
      </w:tblGrid>
      <w:tr w:rsidR="007636B0" w:rsidRPr="001310F2" w:rsidTr="00B45DD6">
        <w:tc>
          <w:tcPr>
            <w:tcW w:w="1639" w:type="dxa"/>
            <w:vMerge w:val="restart"/>
            <w:shd w:val="clear" w:color="auto" w:fill="C6D9F1" w:themeFill="text2" w:themeFillTint="33"/>
          </w:tcPr>
          <w:p w:rsidR="007636B0" w:rsidRPr="001310F2" w:rsidRDefault="007636B0" w:rsidP="00B45DD6">
            <w:pPr>
              <w:spacing w:after="40"/>
              <w:rPr>
                <w:b/>
                <w:szCs w:val="22"/>
              </w:rPr>
            </w:pPr>
            <w:r w:rsidRPr="001310F2">
              <w:rPr>
                <w:b/>
                <w:szCs w:val="22"/>
              </w:rPr>
              <w:t>HIL Scenario</w:t>
            </w:r>
          </w:p>
        </w:tc>
        <w:tc>
          <w:tcPr>
            <w:tcW w:w="1287" w:type="dxa"/>
            <w:vMerge w:val="restart"/>
            <w:shd w:val="clear" w:color="auto" w:fill="C6D9F1" w:themeFill="text2" w:themeFillTint="33"/>
          </w:tcPr>
          <w:p w:rsidR="007636B0" w:rsidRPr="001310F2" w:rsidRDefault="007636B0" w:rsidP="00B45DD6">
            <w:pPr>
              <w:spacing w:after="40"/>
              <w:jc w:val="center"/>
              <w:rPr>
                <w:b/>
                <w:szCs w:val="22"/>
              </w:rPr>
            </w:pPr>
            <w:r w:rsidRPr="001310F2">
              <w:rPr>
                <w:b/>
                <w:szCs w:val="22"/>
              </w:rPr>
              <w:t>HIL (mg/kg)</w:t>
            </w:r>
          </w:p>
        </w:tc>
        <w:tc>
          <w:tcPr>
            <w:tcW w:w="5907" w:type="dxa"/>
            <w:gridSpan w:val="4"/>
            <w:shd w:val="clear" w:color="auto" w:fill="C6D9F1" w:themeFill="text2" w:themeFillTint="33"/>
          </w:tcPr>
          <w:p w:rsidR="007636B0" w:rsidRPr="001310F2" w:rsidRDefault="007636B0" w:rsidP="00B45DD6">
            <w:pPr>
              <w:spacing w:after="40"/>
              <w:jc w:val="center"/>
              <w:rPr>
                <w:b/>
                <w:szCs w:val="22"/>
              </w:rPr>
            </w:pPr>
            <w:r w:rsidRPr="001310F2">
              <w:rPr>
                <w:b/>
                <w:szCs w:val="22"/>
              </w:rPr>
              <w:t>Percentage Contribution from Exposure Pathways</w:t>
            </w:r>
          </w:p>
        </w:tc>
      </w:tr>
      <w:tr w:rsidR="007636B0" w:rsidRPr="001310F2" w:rsidTr="00B45DD6">
        <w:trPr>
          <w:trHeight w:val="427"/>
        </w:trPr>
        <w:tc>
          <w:tcPr>
            <w:tcW w:w="1639" w:type="dxa"/>
            <w:vMerge/>
            <w:shd w:val="clear" w:color="auto" w:fill="C6D9F1" w:themeFill="text2" w:themeFillTint="33"/>
          </w:tcPr>
          <w:p w:rsidR="007636B0" w:rsidRPr="001310F2" w:rsidRDefault="007636B0" w:rsidP="00B45DD6">
            <w:pPr>
              <w:spacing w:after="40"/>
              <w:rPr>
                <w:szCs w:val="22"/>
              </w:rPr>
            </w:pPr>
          </w:p>
        </w:tc>
        <w:tc>
          <w:tcPr>
            <w:tcW w:w="1287" w:type="dxa"/>
            <w:vMerge/>
            <w:shd w:val="clear" w:color="auto" w:fill="C6D9F1" w:themeFill="text2" w:themeFillTint="33"/>
          </w:tcPr>
          <w:p w:rsidR="007636B0" w:rsidRPr="001310F2" w:rsidRDefault="007636B0" w:rsidP="00B45DD6">
            <w:pPr>
              <w:spacing w:after="40"/>
              <w:jc w:val="center"/>
              <w:rPr>
                <w:szCs w:val="22"/>
              </w:rPr>
            </w:pPr>
          </w:p>
        </w:tc>
        <w:tc>
          <w:tcPr>
            <w:tcW w:w="1445" w:type="dxa"/>
            <w:shd w:val="clear" w:color="auto" w:fill="C6D9F1" w:themeFill="text2" w:themeFillTint="33"/>
          </w:tcPr>
          <w:p w:rsidR="007636B0" w:rsidRPr="001310F2" w:rsidRDefault="007636B0" w:rsidP="00B45DD6">
            <w:pPr>
              <w:spacing w:after="40"/>
              <w:jc w:val="center"/>
              <w:rPr>
                <w:b/>
                <w:szCs w:val="22"/>
              </w:rPr>
            </w:pPr>
            <w:r w:rsidRPr="001310F2">
              <w:rPr>
                <w:b/>
                <w:szCs w:val="22"/>
              </w:rPr>
              <w:t>Ingestion of Soil/Dust</w:t>
            </w:r>
          </w:p>
        </w:tc>
        <w:tc>
          <w:tcPr>
            <w:tcW w:w="1517" w:type="dxa"/>
            <w:shd w:val="clear" w:color="auto" w:fill="C6D9F1" w:themeFill="text2" w:themeFillTint="33"/>
          </w:tcPr>
          <w:p w:rsidR="007636B0" w:rsidRPr="001310F2" w:rsidRDefault="007636B0" w:rsidP="00B45DD6">
            <w:pPr>
              <w:spacing w:after="40"/>
              <w:jc w:val="center"/>
              <w:rPr>
                <w:b/>
                <w:szCs w:val="22"/>
              </w:rPr>
            </w:pPr>
            <w:r w:rsidRPr="001310F2">
              <w:rPr>
                <w:b/>
                <w:szCs w:val="22"/>
              </w:rPr>
              <w:t>Ingestion of Home-grown Produce</w:t>
            </w:r>
          </w:p>
        </w:tc>
        <w:tc>
          <w:tcPr>
            <w:tcW w:w="1553" w:type="dxa"/>
            <w:shd w:val="clear" w:color="auto" w:fill="C6D9F1" w:themeFill="text2" w:themeFillTint="33"/>
          </w:tcPr>
          <w:p w:rsidR="007636B0" w:rsidRPr="001310F2" w:rsidRDefault="007636B0" w:rsidP="00B45DD6">
            <w:pPr>
              <w:spacing w:after="40"/>
              <w:jc w:val="center"/>
              <w:rPr>
                <w:b/>
                <w:szCs w:val="22"/>
              </w:rPr>
            </w:pPr>
            <w:r w:rsidRPr="001310F2">
              <w:rPr>
                <w:b/>
                <w:szCs w:val="22"/>
              </w:rPr>
              <w:t>Dermal Absorption of Soil/Dust</w:t>
            </w:r>
          </w:p>
        </w:tc>
        <w:tc>
          <w:tcPr>
            <w:tcW w:w="1392" w:type="dxa"/>
            <w:shd w:val="clear" w:color="auto" w:fill="C6D9F1" w:themeFill="text2" w:themeFillTint="33"/>
          </w:tcPr>
          <w:p w:rsidR="007636B0" w:rsidRPr="001310F2" w:rsidRDefault="007636B0" w:rsidP="00B45DD6">
            <w:pPr>
              <w:spacing w:after="40"/>
              <w:jc w:val="center"/>
              <w:rPr>
                <w:b/>
                <w:szCs w:val="22"/>
              </w:rPr>
            </w:pPr>
            <w:r w:rsidRPr="001310F2">
              <w:rPr>
                <w:b/>
                <w:szCs w:val="22"/>
              </w:rPr>
              <w:t>Inhalation (dust)</w:t>
            </w:r>
          </w:p>
        </w:tc>
      </w:tr>
      <w:tr w:rsidR="007636B0" w:rsidRPr="001310F2" w:rsidTr="00B45DD6">
        <w:tc>
          <w:tcPr>
            <w:tcW w:w="1639" w:type="dxa"/>
          </w:tcPr>
          <w:p w:rsidR="007636B0" w:rsidRPr="001310F2" w:rsidRDefault="007636B0" w:rsidP="00B45DD6">
            <w:pPr>
              <w:spacing w:after="40"/>
              <w:rPr>
                <w:szCs w:val="22"/>
              </w:rPr>
            </w:pPr>
            <w:r w:rsidRPr="001310F2">
              <w:rPr>
                <w:szCs w:val="22"/>
              </w:rPr>
              <w:lastRenderedPageBreak/>
              <w:t>Residential A</w:t>
            </w:r>
          </w:p>
        </w:tc>
        <w:tc>
          <w:tcPr>
            <w:tcW w:w="1287" w:type="dxa"/>
            <w:tcMar>
              <w:right w:w="397" w:type="dxa"/>
            </w:tcMar>
          </w:tcPr>
          <w:p w:rsidR="007636B0" w:rsidRPr="001310F2" w:rsidRDefault="007636B0" w:rsidP="00B45DD6">
            <w:pPr>
              <w:spacing w:after="40"/>
              <w:jc w:val="right"/>
              <w:rPr>
                <w:szCs w:val="22"/>
              </w:rPr>
            </w:pPr>
            <w:r w:rsidRPr="001310F2">
              <w:rPr>
                <w:szCs w:val="22"/>
              </w:rPr>
              <w:t>600</w:t>
            </w:r>
          </w:p>
        </w:tc>
        <w:tc>
          <w:tcPr>
            <w:tcW w:w="1445" w:type="dxa"/>
          </w:tcPr>
          <w:p w:rsidR="007636B0" w:rsidRPr="001310F2" w:rsidRDefault="007636B0" w:rsidP="00B45DD6">
            <w:pPr>
              <w:spacing w:after="40"/>
              <w:jc w:val="center"/>
              <w:rPr>
                <w:szCs w:val="22"/>
              </w:rPr>
            </w:pPr>
            <w:r w:rsidRPr="001310F2">
              <w:rPr>
                <w:szCs w:val="22"/>
              </w:rPr>
              <w:t>43</w:t>
            </w:r>
          </w:p>
        </w:tc>
        <w:tc>
          <w:tcPr>
            <w:tcW w:w="1517" w:type="dxa"/>
          </w:tcPr>
          <w:p w:rsidR="007636B0" w:rsidRPr="001310F2" w:rsidRDefault="007636B0" w:rsidP="00B45DD6">
            <w:pPr>
              <w:spacing w:after="40"/>
              <w:jc w:val="center"/>
              <w:rPr>
                <w:szCs w:val="22"/>
              </w:rPr>
            </w:pPr>
            <w:r w:rsidRPr="001310F2">
              <w:rPr>
                <w:szCs w:val="22"/>
              </w:rPr>
              <w:t>--</w:t>
            </w:r>
          </w:p>
        </w:tc>
        <w:tc>
          <w:tcPr>
            <w:tcW w:w="1553" w:type="dxa"/>
          </w:tcPr>
          <w:p w:rsidR="007636B0" w:rsidRPr="001310F2" w:rsidRDefault="007636B0" w:rsidP="00B45DD6">
            <w:pPr>
              <w:spacing w:after="40"/>
              <w:jc w:val="center"/>
              <w:rPr>
                <w:szCs w:val="22"/>
              </w:rPr>
            </w:pPr>
            <w:r w:rsidRPr="001310F2">
              <w:rPr>
                <w:szCs w:val="22"/>
              </w:rPr>
              <w:t>57</w:t>
            </w:r>
          </w:p>
        </w:tc>
        <w:tc>
          <w:tcPr>
            <w:tcW w:w="1392" w:type="dxa"/>
          </w:tcPr>
          <w:p w:rsidR="007636B0" w:rsidRPr="001310F2" w:rsidRDefault="007636B0" w:rsidP="00B45DD6">
            <w:pPr>
              <w:spacing w:after="40"/>
              <w:jc w:val="center"/>
              <w:rPr>
                <w:szCs w:val="22"/>
              </w:rPr>
            </w:pPr>
            <w:r w:rsidRPr="001310F2">
              <w:rPr>
                <w:szCs w:val="22"/>
              </w:rPr>
              <w:t>&lt;1</w:t>
            </w:r>
          </w:p>
        </w:tc>
      </w:tr>
      <w:tr w:rsidR="007636B0" w:rsidRPr="001310F2" w:rsidTr="00B45DD6">
        <w:tc>
          <w:tcPr>
            <w:tcW w:w="1639" w:type="dxa"/>
          </w:tcPr>
          <w:p w:rsidR="007636B0" w:rsidRPr="001310F2" w:rsidRDefault="007636B0" w:rsidP="00B45DD6">
            <w:pPr>
              <w:spacing w:after="40"/>
              <w:rPr>
                <w:szCs w:val="22"/>
              </w:rPr>
            </w:pPr>
            <w:r w:rsidRPr="001310F2">
              <w:rPr>
                <w:szCs w:val="22"/>
              </w:rPr>
              <w:t>Residential B</w:t>
            </w:r>
          </w:p>
        </w:tc>
        <w:tc>
          <w:tcPr>
            <w:tcW w:w="1287" w:type="dxa"/>
            <w:tcMar>
              <w:right w:w="397" w:type="dxa"/>
            </w:tcMar>
          </w:tcPr>
          <w:p w:rsidR="007636B0" w:rsidRPr="001310F2" w:rsidRDefault="007636B0" w:rsidP="00B45DD6">
            <w:pPr>
              <w:spacing w:after="40"/>
              <w:jc w:val="right"/>
              <w:rPr>
                <w:szCs w:val="22"/>
              </w:rPr>
            </w:pPr>
            <w:r w:rsidRPr="001310F2">
              <w:rPr>
                <w:szCs w:val="22"/>
              </w:rPr>
              <w:t>840</w:t>
            </w:r>
          </w:p>
        </w:tc>
        <w:tc>
          <w:tcPr>
            <w:tcW w:w="1445" w:type="dxa"/>
          </w:tcPr>
          <w:p w:rsidR="007636B0" w:rsidRPr="001310F2" w:rsidRDefault="007636B0" w:rsidP="00B45DD6">
            <w:pPr>
              <w:spacing w:after="40"/>
              <w:jc w:val="center"/>
              <w:rPr>
                <w:szCs w:val="22"/>
              </w:rPr>
            </w:pPr>
            <w:r w:rsidRPr="001310F2">
              <w:rPr>
                <w:szCs w:val="22"/>
              </w:rPr>
              <w:t>16</w:t>
            </w:r>
          </w:p>
        </w:tc>
        <w:tc>
          <w:tcPr>
            <w:tcW w:w="1517" w:type="dxa"/>
          </w:tcPr>
          <w:p w:rsidR="007636B0" w:rsidRPr="001310F2" w:rsidRDefault="007636B0" w:rsidP="00B45DD6">
            <w:pPr>
              <w:spacing w:after="40"/>
              <w:jc w:val="center"/>
              <w:rPr>
                <w:szCs w:val="22"/>
              </w:rPr>
            </w:pPr>
            <w:r w:rsidRPr="001310F2">
              <w:rPr>
                <w:szCs w:val="22"/>
              </w:rPr>
              <w:t>--</w:t>
            </w:r>
          </w:p>
        </w:tc>
        <w:tc>
          <w:tcPr>
            <w:tcW w:w="1553" w:type="dxa"/>
          </w:tcPr>
          <w:p w:rsidR="007636B0" w:rsidRPr="001310F2" w:rsidRDefault="007636B0" w:rsidP="00B45DD6">
            <w:pPr>
              <w:spacing w:after="40"/>
              <w:jc w:val="center"/>
              <w:rPr>
                <w:szCs w:val="22"/>
              </w:rPr>
            </w:pPr>
            <w:r w:rsidRPr="001310F2">
              <w:rPr>
                <w:szCs w:val="22"/>
              </w:rPr>
              <w:t>84</w:t>
            </w:r>
          </w:p>
        </w:tc>
        <w:tc>
          <w:tcPr>
            <w:tcW w:w="1392" w:type="dxa"/>
          </w:tcPr>
          <w:p w:rsidR="007636B0" w:rsidRPr="001310F2" w:rsidRDefault="007636B0" w:rsidP="00B45DD6">
            <w:pPr>
              <w:spacing w:after="40"/>
              <w:jc w:val="center"/>
              <w:rPr>
                <w:szCs w:val="22"/>
              </w:rPr>
            </w:pPr>
            <w:r w:rsidRPr="001310F2">
              <w:rPr>
                <w:szCs w:val="22"/>
              </w:rPr>
              <w:t>&lt;1</w:t>
            </w:r>
          </w:p>
        </w:tc>
      </w:tr>
      <w:tr w:rsidR="007636B0" w:rsidRPr="001310F2" w:rsidTr="00B45DD6">
        <w:tc>
          <w:tcPr>
            <w:tcW w:w="1639" w:type="dxa"/>
          </w:tcPr>
          <w:p w:rsidR="007636B0" w:rsidRPr="001310F2" w:rsidRDefault="007636B0" w:rsidP="00B45DD6">
            <w:pPr>
              <w:spacing w:after="40"/>
              <w:rPr>
                <w:szCs w:val="22"/>
              </w:rPr>
            </w:pPr>
            <w:r w:rsidRPr="001310F2">
              <w:rPr>
                <w:szCs w:val="22"/>
              </w:rPr>
              <w:t>Recreational C</w:t>
            </w:r>
          </w:p>
        </w:tc>
        <w:tc>
          <w:tcPr>
            <w:tcW w:w="1287" w:type="dxa"/>
            <w:tcMar>
              <w:right w:w="397" w:type="dxa"/>
            </w:tcMar>
          </w:tcPr>
          <w:p w:rsidR="007636B0" w:rsidRPr="001310F2" w:rsidRDefault="007636B0" w:rsidP="00B45DD6">
            <w:pPr>
              <w:spacing w:after="40"/>
              <w:jc w:val="right"/>
              <w:rPr>
                <w:szCs w:val="22"/>
              </w:rPr>
            </w:pPr>
            <w:r w:rsidRPr="001310F2">
              <w:rPr>
                <w:szCs w:val="22"/>
              </w:rPr>
              <w:t>730</w:t>
            </w:r>
          </w:p>
        </w:tc>
        <w:tc>
          <w:tcPr>
            <w:tcW w:w="1445" w:type="dxa"/>
          </w:tcPr>
          <w:p w:rsidR="007636B0" w:rsidRPr="001310F2" w:rsidRDefault="007636B0" w:rsidP="00B45DD6">
            <w:pPr>
              <w:spacing w:after="40"/>
              <w:jc w:val="center"/>
              <w:rPr>
                <w:szCs w:val="22"/>
              </w:rPr>
            </w:pPr>
            <w:r w:rsidRPr="001310F2">
              <w:rPr>
                <w:szCs w:val="22"/>
              </w:rPr>
              <w:t>27</w:t>
            </w:r>
          </w:p>
        </w:tc>
        <w:tc>
          <w:tcPr>
            <w:tcW w:w="1517" w:type="dxa"/>
          </w:tcPr>
          <w:p w:rsidR="007636B0" w:rsidRPr="001310F2" w:rsidRDefault="007636B0" w:rsidP="00B45DD6">
            <w:pPr>
              <w:spacing w:after="40"/>
              <w:jc w:val="center"/>
              <w:rPr>
                <w:szCs w:val="22"/>
              </w:rPr>
            </w:pPr>
            <w:r w:rsidRPr="001310F2">
              <w:rPr>
                <w:szCs w:val="22"/>
              </w:rPr>
              <w:t>--</w:t>
            </w:r>
          </w:p>
        </w:tc>
        <w:tc>
          <w:tcPr>
            <w:tcW w:w="1553" w:type="dxa"/>
          </w:tcPr>
          <w:p w:rsidR="007636B0" w:rsidRPr="001310F2" w:rsidRDefault="007636B0" w:rsidP="00B45DD6">
            <w:pPr>
              <w:spacing w:after="40"/>
              <w:jc w:val="center"/>
              <w:rPr>
                <w:szCs w:val="22"/>
              </w:rPr>
            </w:pPr>
            <w:r w:rsidRPr="001310F2">
              <w:rPr>
                <w:szCs w:val="22"/>
              </w:rPr>
              <w:t>73</w:t>
            </w:r>
          </w:p>
        </w:tc>
        <w:tc>
          <w:tcPr>
            <w:tcW w:w="1392" w:type="dxa"/>
          </w:tcPr>
          <w:p w:rsidR="007636B0" w:rsidRPr="001310F2" w:rsidRDefault="007636B0" w:rsidP="00B45DD6">
            <w:pPr>
              <w:spacing w:after="40"/>
              <w:jc w:val="center"/>
              <w:rPr>
                <w:szCs w:val="22"/>
              </w:rPr>
            </w:pPr>
            <w:r w:rsidRPr="001310F2">
              <w:rPr>
                <w:szCs w:val="22"/>
              </w:rPr>
              <w:t>&lt;1</w:t>
            </w:r>
          </w:p>
        </w:tc>
      </w:tr>
      <w:tr w:rsidR="007636B0" w:rsidRPr="001310F2" w:rsidTr="00B45DD6">
        <w:tc>
          <w:tcPr>
            <w:tcW w:w="1639" w:type="dxa"/>
          </w:tcPr>
          <w:p w:rsidR="007636B0" w:rsidRPr="001310F2" w:rsidRDefault="007636B0" w:rsidP="00B45DD6">
            <w:pPr>
              <w:spacing w:after="40"/>
              <w:rPr>
                <w:szCs w:val="22"/>
              </w:rPr>
            </w:pPr>
            <w:r w:rsidRPr="001310F2">
              <w:rPr>
                <w:szCs w:val="22"/>
              </w:rPr>
              <w:t>Commercial D</w:t>
            </w:r>
          </w:p>
        </w:tc>
        <w:tc>
          <w:tcPr>
            <w:tcW w:w="1287" w:type="dxa"/>
            <w:tcMar>
              <w:right w:w="397" w:type="dxa"/>
            </w:tcMar>
          </w:tcPr>
          <w:p w:rsidR="007636B0" w:rsidRPr="001310F2" w:rsidRDefault="007636B0" w:rsidP="00B45DD6">
            <w:pPr>
              <w:spacing w:after="40"/>
              <w:jc w:val="right"/>
              <w:rPr>
                <w:szCs w:val="22"/>
              </w:rPr>
            </w:pPr>
            <w:r w:rsidRPr="001310F2">
              <w:rPr>
                <w:szCs w:val="22"/>
              </w:rPr>
              <w:t>4500</w:t>
            </w:r>
          </w:p>
        </w:tc>
        <w:tc>
          <w:tcPr>
            <w:tcW w:w="1445" w:type="dxa"/>
          </w:tcPr>
          <w:p w:rsidR="007636B0" w:rsidRPr="001310F2" w:rsidRDefault="007636B0" w:rsidP="00B45DD6">
            <w:pPr>
              <w:spacing w:after="40"/>
              <w:jc w:val="center"/>
              <w:rPr>
                <w:szCs w:val="22"/>
              </w:rPr>
            </w:pPr>
            <w:r w:rsidRPr="001310F2">
              <w:rPr>
                <w:szCs w:val="22"/>
              </w:rPr>
              <w:t>12</w:t>
            </w:r>
          </w:p>
        </w:tc>
        <w:tc>
          <w:tcPr>
            <w:tcW w:w="1517" w:type="dxa"/>
          </w:tcPr>
          <w:p w:rsidR="007636B0" w:rsidRPr="001310F2" w:rsidRDefault="007636B0" w:rsidP="00B45DD6">
            <w:pPr>
              <w:spacing w:after="40"/>
              <w:jc w:val="center"/>
              <w:rPr>
                <w:szCs w:val="22"/>
              </w:rPr>
            </w:pPr>
            <w:r w:rsidRPr="001310F2">
              <w:rPr>
                <w:szCs w:val="22"/>
              </w:rPr>
              <w:t>--</w:t>
            </w:r>
          </w:p>
        </w:tc>
        <w:tc>
          <w:tcPr>
            <w:tcW w:w="1553" w:type="dxa"/>
          </w:tcPr>
          <w:p w:rsidR="007636B0" w:rsidRPr="001310F2" w:rsidRDefault="007636B0" w:rsidP="00B45DD6">
            <w:pPr>
              <w:spacing w:after="40"/>
              <w:jc w:val="center"/>
              <w:rPr>
                <w:szCs w:val="22"/>
              </w:rPr>
            </w:pPr>
            <w:r w:rsidRPr="001310F2">
              <w:rPr>
                <w:szCs w:val="22"/>
              </w:rPr>
              <w:t>88</w:t>
            </w:r>
          </w:p>
        </w:tc>
        <w:tc>
          <w:tcPr>
            <w:tcW w:w="1392" w:type="dxa"/>
          </w:tcPr>
          <w:p w:rsidR="007636B0" w:rsidRPr="001310F2" w:rsidRDefault="007636B0" w:rsidP="00B45DD6">
            <w:pPr>
              <w:spacing w:after="40"/>
              <w:jc w:val="center"/>
              <w:rPr>
                <w:szCs w:val="22"/>
              </w:rPr>
            </w:pPr>
            <w:r w:rsidRPr="001310F2">
              <w:rPr>
                <w:szCs w:val="22"/>
              </w:rPr>
              <w:t>&lt;1</w:t>
            </w:r>
          </w:p>
        </w:tc>
      </w:tr>
    </w:tbl>
    <w:p w:rsidR="007636B0" w:rsidRPr="001310F2" w:rsidRDefault="007636B0" w:rsidP="007636B0">
      <w:pPr>
        <w:rPr>
          <w:sz w:val="18"/>
          <w:szCs w:val="18"/>
        </w:rPr>
      </w:pPr>
      <w:r w:rsidRPr="001310F2">
        <w:rPr>
          <w:sz w:val="18"/>
          <w:szCs w:val="18"/>
        </w:rPr>
        <w:t>-- Pathway not included in derivation of HIL</w:t>
      </w:r>
    </w:p>
    <w:p w:rsidR="007636B0" w:rsidRDefault="007636B0" w:rsidP="007636B0"/>
    <w:p w:rsidR="007636B0" w:rsidRDefault="007636B0" w:rsidP="007636B0">
      <w:pPr>
        <w:pStyle w:val="Heading2"/>
        <w:tabs>
          <w:tab w:val="clear" w:pos="1209"/>
        </w:tabs>
      </w:pPr>
      <w:bookmarkStart w:id="108" w:name="_Toc351714348"/>
      <w:r>
        <w:t>References</w:t>
      </w:r>
      <w:bookmarkEnd w:id="108"/>
    </w:p>
    <w:p w:rsidR="007636B0" w:rsidRPr="001310F2" w:rsidRDefault="007636B0" w:rsidP="007636B0">
      <w:pPr>
        <w:pStyle w:val="StyletextLeft0cmHanging1cm"/>
      </w:pPr>
      <w:r w:rsidRPr="001310F2">
        <w:t xml:space="preserve">ATSDR 2003, </w:t>
      </w:r>
      <w:r w:rsidRPr="001310F2">
        <w:rPr>
          <w:i/>
        </w:rPr>
        <w:t>Toxicological Profile for Pyrethrins and Pyrethroids</w:t>
      </w:r>
      <w:r w:rsidRPr="001310F2">
        <w:t>, Agency for Toxic Substances and Disease Registry, September 2003.</w:t>
      </w:r>
    </w:p>
    <w:p w:rsidR="007636B0" w:rsidRPr="001310F2" w:rsidRDefault="007636B0" w:rsidP="007636B0">
      <w:pPr>
        <w:pStyle w:val="StyletextLeft0cmHanging1cm"/>
      </w:pPr>
      <w:r w:rsidRPr="001310F2">
        <w:t xml:space="preserve">Fecko, A 1999, </w:t>
      </w:r>
      <w:r w:rsidRPr="001310F2">
        <w:rPr>
          <w:i/>
        </w:rPr>
        <w:t>Environmental Fate of Bifenthrin</w:t>
      </w:r>
      <w:r w:rsidRPr="001310F2">
        <w:t xml:space="preserve">, December 28 1999 </w:t>
      </w:r>
      <w:r w:rsidRPr="001310F2">
        <w:sym w:font="Symbol" w:char="F02D"/>
      </w:r>
      <w:r w:rsidRPr="001310F2">
        <w:t xml:space="preserve"> last update, (online), available at </w:t>
      </w:r>
      <w:hyperlink r:id="rId43" w:history="1">
        <w:r w:rsidRPr="001310F2">
          <w:rPr>
            <w:rStyle w:val="Hyperlink"/>
            <w:rFonts w:cs="Arial"/>
            <w:szCs w:val="22"/>
          </w:rPr>
          <w:t>http://www.pw.ucr.edu/textfiles/bifentn.pdf</w:t>
        </w:r>
      </w:hyperlink>
      <w:r w:rsidRPr="001310F2">
        <w:t>.</w:t>
      </w:r>
    </w:p>
    <w:p w:rsidR="007636B0" w:rsidRPr="001310F2" w:rsidRDefault="007636B0" w:rsidP="007636B0">
      <w:pPr>
        <w:pStyle w:val="StyletextLeft0cmHanging1cm"/>
        <w:rPr>
          <w:lang w:eastAsia="en-US"/>
        </w:rPr>
      </w:pPr>
      <w:r w:rsidRPr="001310F2">
        <w:rPr>
          <w:lang w:eastAsia="en-US"/>
        </w:rPr>
        <w:t xml:space="preserve">FSANZ 2011, </w:t>
      </w:r>
      <w:r w:rsidRPr="001310F2">
        <w:rPr>
          <w:i/>
          <w:lang w:eastAsia="en-US"/>
        </w:rPr>
        <w:t>The 23</w:t>
      </w:r>
      <w:r w:rsidRPr="001310F2">
        <w:rPr>
          <w:i/>
          <w:vertAlign w:val="superscript"/>
          <w:lang w:eastAsia="en-US"/>
        </w:rPr>
        <w:t>rd</w:t>
      </w:r>
      <w:r w:rsidRPr="001310F2">
        <w:rPr>
          <w:i/>
          <w:lang w:eastAsia="en-US"/>
        </w:rPr>
        <w:t xml:space="preserve"> Australian Total Diet Study</w:t>
      </w:r>
      <w:r w:rsidRPr="001310F2">
        <w:rPr>
          <w:lang w:eastAsia="en-US"/>
        </w:rPr>
        <w:t>, Food Standards Australia and New Zealand.</w:t>
      </w:r>
    </w:p>
    <w:p w:rsidR="007636B0" w:rsidRPr="001310F2" w:rsidRDefault="007636B0" w:rsidP="007636B0">
      <w:pPr>
        <w:pStyle w:val="StyletextLeft0cmHanging1cm"/>
      </w:pPr>
      <w:r w:rsidRPr="001310F2">
        <w:t xml:space="preserve">JMPR 1993, </w:t>
      </w:r>
      <w:r w:rsidRPr="001310F2">
        <w:rPr>
          <w:i/>
        </w:rPr>
        <w:t>Pesticide Residues in Food 1992, Toxicological and Environmental Evaluations, Bifenthrin</w:t>
      </w:r>
      <w:r w:rsidRPr="001310F2">
        <w:t>, Report of the joint meeting of the FAO Committee on Pesticides in Agriculture and the WHO Expert Committee on Pesticide Residues, Rome 21</w:t>
      </w:r>
      <w:r w:rsidRPr="001310F2">
        <w:sym w:font="Symbol" w:char="F02D"/>
      </w:r>
      <w:r w:rsidRPr="001310F2">
        <w:t>30 September 1992, World Health Organization, Geneva.</w:t>
      </w:r>
    </w:p>
    <w:p w:rsidR="007636B0" w:rsidRPr="001310F2" w:rsidRDefault="007636B0" w:rsidP="007636B0">
      <w:pPr>
        <w:pStyle w:val="StyletextLeft0cmHanging1cm"/>
      </w:pPr>
      <w:r w:rsidRPr="001310F2">
        <w:t xml:space="preserve">NEPC 1999, </w:t>
      </w:r>
      <w:r w:rsidRPr="001310F2">
        <w:rPr>
          <w:i/>
        </w:rPr>
        <w:t>Schedule B (7a), Guideline on Health-Based Investigation Levels, National Environment Protection (Assessment of Site Contamination) Measure</w:t>
      </w:r>
      <w:r w:rsidRPr="001310F2">
        <w:t>, National Environment Protection Council, Australia.</w:t>
      </w:r>
    </w:p>
    <w:p w:rsidR="007636B0" w:rsidRPr="001310F2" w:rsidRDefault="007636B0" w:rsidP="007636B0">
      <w:pPr>
        <w:pStyle w:val="StyletextLeft0cmHanging1cm"/>
        <w:rPr>
          <w:noProof/>
        </w:rPr>
      </w:pPr>
      <w:r w:rsidRPr="001310F2">
        <w:rPr>
          <w:noProof/>
        </w:rPr>
        <w:t xml:space="preserve">OCS 2012, </w:t>
      </w:r>
      <w:r w:rsidRPr="001310F2">
        <w:rPr>
          <w:i/>
          <w:noProof/>
        </w:rPr>
        <w:t>ADI List, Acceptable Daily Intakes for Agricultural and Veterinary Chemicals</w:t>
      </w:r>
      <w:r w:rsidRPr="001310F2">
        <w:rPr>
          <w:noProof/>
        </w:rPr>
        <w:t xml:space="preserve">, current to 31 March 2012, Australian Government, Department of Health and Ageing, Office of Chemical Safety (OCS), available from: </w:t>
      </w:r>
      <w:r w:rsidRPr="001310F2">
        <w:t>http://www.health.gov.au/internet/main/publishing.nsf/content/E8F4D2F95D616584CA2573D700770C2A/$File/ADI-apr12.pdf</w:t>
      </w:r>
    </w:p>
    <w:p w:rsidR="007636B0" w:rsidRPr="001310F2" w:rsidRDefault="007636B0" w:rsidP="007636B0">
      <w:pPr>
        <w:pStyle w:val="StyletextLeft0cmHanging1cm"/>
      </w:pPr>
      <w:r w:rsidRPr="001310F2">
        <w:rPr>
          <w:noProof/>
        </w:rPr>
        <w:t xml:space="preserve">Richards, G 2003, ‘Suspected Pesticide Poisoning: A Back-of-the-envelope Health Risk Assessment’, </w:t>
      </w:r>
      <w:r w:rsidRPr="001310F2">
        <w:rPr>
          <w:i/>
          <w:noProof/>
        </w:rPr>
        <w:t>NSW Public Health Bulletin</w:t>
      </w:r>
      <w:r w:rsidRPr="001310F2">
        <w:rPr>
          <w:noProof/>
        </w:rPr>
        <w:t>, vol .14, No 8, pp. 168</w:t>
      </w:r>
      <w:r w:rsidRPr="001310F2">
        <w:rPr>
          <w:noProof/>
        </w:rPr>
        <w:sym w:font="Symbol" w:char="F02D"/>
      </w:r>
      <w:r w:rsidRPr="001310F2">
        <w:rPr>
          <w:noProof/>
        </w:rPr>
        <w:t>170.</w:t>
      </w:r>
    </w:p>
    <w:p w:rsidR="007636B0" w:rsidRPr="001310F2" w:rsidRDefault="007636B0" w:rsidP="007636B0">
      <w:pPr>
        <w:pStyle w:val="StyletextLeft0cmHanging1cm"/>
        <w:rPr>
          <w:lang w:eastAsia="en-US"/>
        </w:rPr>
      </w:pPr>
      <w:r w:rsidRPr="001310F2">
        <w:rPr>
          <w:lang w:eastAsia="en-US"/>
        </w:rPr>
        <w:t xml:space="preserve">RIVM 2001, </w:t>
      </w:r>
      <w:r w:rsidRPr="001310F2">
        <w:rPr>
          <w:i/>
          <w:lang w:eastAsia="en-US"/>
        </w:rPr>
        <w:t>Re-evaluation of human-toxicological Maximum Permissible Risk levels</w:t>
      </w:r>
      <w:r w:rsidRPr="001310F2">
        <w:rPr>
          <w:lang w:eastAsia="en-US"/>
        </w:rPr>
        <w:t xml:space="preserve">, National Institute of Public Health and the Environment, Bilthoven, Netherlands, available from: </w:t>
      </w:r>
      <w:hyperlink r:id="rId44" w:history="1">
        <w:r w:rsidRPr="001310F2">
          <w:rPr>
            <w:rStyle w:val="Hyperlink"/>
            <w:rFonts w:cs="Arial"/>
            <w:szCs w:val="22"/>
            <w:lang w:eastAsia="en-US"/>
          </w:rPr>
          <w:t>http://www.rivm.nl/bibliotheek/rapporten/711701025.html</w:t>
        </w:r>
      </w:hyperlink>
      <w:r w:rsidRPr="001310F2">
        <w:rPr>
          <w:lang w:eastAsia="en-US"/>
        </w:rPr>
        <w:t>.</w:t>
      </w:r>
    </w:p>
    <w:p w:rsidR="007636B0" w:rsidRPr="001310F2" w:rsidRDefault="007636B0" w:rsidP="007636B0">
      <w:pPr>
        <w:pStyle w:val="StyletextLeft0cmHanging1cm"/>
      </w:pPr>
      <w:r w:rsidRPr="001310F2">
        <w:t>Taylor, S &amp; Di Marco, P 2003, ‘</w:t>
      </w:r>
      <w:r w:rsidRPr="001310F2">
        <w:rPr>
          <w:iCs/>
        </w:rPr>
        <w:t xml:space="preserve">Health Based Investigation Level for Bifenthrin in Soil’, </w:t>
      </w:r>
      <w:r w:rsidRPr="001310F2">
        <w:t xml:space="preserve">proceedings of the </w:t>
      </w:r>
      <w:r w:rsidRPr="001310F2">
        <w:rPr>
          <w:i/>
        </w:rPr>
        <w:t>fifth National Workshop on the Assessment of Site Contamination</w:t>
      </w:r>
      <w:r w:rsidRPr="001310F2">
        <w:t>, National Environment Protection Council, Environment Protection and Heritage Council, Australia.</w:t>
      </w:r>
    </w:p>
    <w:p w:rsidR="007636B0" w:rsidRPr="001310F2" w:rsidRDefault="007636B0" w:rsidP="007636B0">
      <w:pPr>
        <w:pStyle w:val="StyletextLeft0cmHanging1cm"/>
      </w:pPr>
      <w:r w:rsidRPr="001310F2">
        <w:t xml:space="preserve">US EPA 1995, </w:t>
      </w:r>
      <w:r w:rsidRPr="001310F2">
        <w:rPr>
          <w:i/>
        </w:rPr>
        <w:t>Technical Guidance Manual, Assessing Dermal Exposure from Soil</w:t>
      </w:r>
      <w:r w:rsidRPr="001310F2">
        <w:t xml:space="preserve">, US EPA Region 3, December 1995, available from: </w:t>
      </w:r>
      <w:hyperlink r:id="rId45" w:history="1">
        <w:r w:rsidRPr="001310F2">
          <w:rPr>
            <w:rStyle w:val="Hyperlink"/>
            <w:szCs w:val="22"/>
          </w:rPr>
          <w:t>http://www.epa.gov/reg3hwmd/risk/human/info/solabsg2.htm</w:t>
        </w:r>
      </w:hyperlink>
      <w:r w:rsidRPr="001310F2">
        <w:t>.</w:t>
      </w:r>
    </w:p>
    <w:p w:rsidR="007636B0" w:rsidRPr="001310F2" w:rsidRDefault="007636B0" w:rsidP="007636B0">
      <w:pPr>
        <w:pStyle w:val="StyletextLeft0cmHanging1cm"/>
      </w:pPr>
      <w:r w:rsidRPr="001310F2">
        <w:t xml:space="preserve">US EPA 1999, </w:t>
      </w:r>
      <w:r w:rsidRPr="001310F2">
        <w:rPr>
          <w:i/>
          <w:iCs/>
        </w:rPr>
        <w:t>Environmental Fate Assessment for the Synthetic Pyrethroids</w:t>
      </w:r>
      <w:r w:rsidRPr="001310F2">
        <w:t xml:space="preserve">. Environmental Fate Effects Division, United States Environment Protection Authority, </w:t>
      </w:r>
      <w:hyperlink r:id="rId46" w:history="1">
        <w:r w:rsidRPr="001310F2">
          <w:rPr>
            <w:rStyle w:val="Hyperlink"/>
            <w:szCs w:val="22"/>
          </w:rPr>
          <w:t>www.epa.gov:80/opp00001/SAP/1999/february/pyreth.pdf</w:t>
        </w:r>
      </w:hyperlink>
      <w:r w:rsidRPr="001310F2">
        <w:t>.</w:t>
      </w:r>
    </w:p>
    <w:p w:rsidR="007636B0" w:rsidRPr="001310F2" w:rsidRDefault="007636B0" w:rsidP="007636B0">
      <w:pPr>
        <w:pStyle w:val="StyletextLeft0cmHanging1cm"/>
      </w:pPr>
      <w:r w:rsidRPr="001310F2">
        <w:t xml:space="preserve">US EPA (IRIS 2012), data and information available from the </w:t>
      </w:r>
      <w:r w:rsidRPr="001310F2">
        <w:rPr>
          <w:i/>
        </w:rPr>
        <w:t>Integrated Risk Information System</w:t>
      </w:r>
      <w:r w:rsidRPr="001310F2">
        <w:t xml:space="preserve">, an online database, available from </w:t>
      </w:r>
      <w:hyperlink r:id="rId47" w:history="1">
        <w:r w:rsidRPr="001310F2">
          <w:rPr>
            <w:rStyle w:val="Hyperlink"/>
            <w:szCs w:val="22"/>
          </w:rPr>
          <w:t>http://www.epa.gov/iris/</w:t>
        </w:r>
      </w:hyperlink>
      <w:r w:rsidRPr="001310F2">
        <w:t>.</w:t>
      </w:r>
    </w:p>
    <w:p w:rsidR="007636B0" w:rsidRPr="001310F2" w:rsidRDefault="007636B0" w:rsidP="007636B0">
      <w:pPr>
        <w:pStyle w:val="StyletextLeft0cmHanging1cm"/>
      </w:pPr>
    </w:p>
    <w:p w:rsidR="007636B0" w:rsidRDefault="007636B0" w:rsidP="007636B0">
      <w:pPr>
        <w:pStyle w:val="Glossary"/>
      </w:pPr>
    </w:p>
    <w:p w:rsidR="007636B0" w:rsidRDefault="007636B0" w:rsidP="007636B0">
      <w:pPr>
        <w:pStyle w:val="Heading1"/>
        <w:tabs>
          <w:tab w:val="clear" w:pos="1209"/>
          <w:tab w:val="num" w:pos="720"/>
        </w:tabs>
      </w:pPr>
      <w:bookmarkStart w:id="109" w:name="_Toc351714349"/>
      <w:r>
        <w:lastRenderedPageBreak/>
        <w:t>Shortened forms</w:t>
      </w:r>
      <w:bookmarkEnd w:id="109"/>
    </w:p>
    <w:tbl>
      <w:tblPr>
        <w:tblW w:w="8761" w:type="dxa"/>
        <w:tblInd w:w="136" w:type="dxa"/>
        <w:tblLayout w:type="fixed"/>
        <w:tblLook w:val="0000" w:firstRow="0" w:lastRow="0" w:firstColumn="0" w:lastColumn="0" w:noHBand="0" w:noVBand="0"/>
      </w:tblPr>
      <w:tblGrid>
        <w:gridCol w:w="1673"/>
        <w:gridCol w:w="7088"/>
      </w:tblGrid>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ADI</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acceptable daily intake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ADWG</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Australian Drinking Water Guidelines</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AI</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adequate intake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ANZECC</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Australia and New Zealand Environment and Conservation Council</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APVMA</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Australian Pesticides and Veterinary Medicines Authority</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ATDS</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Australian Total Diet Survey</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ATSDR</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Agency for Toxic Substances and Disease Registry</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BA</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bioavailability</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BI</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background intake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BMD</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benchmark dose</w:t>
            </w:r>
          </w:p>
        </w:tc>
      </w:tr>
      <w:tr w:rsidR="007636B0" w:rsidRPr="001310F2" w:rsidTr="00B45DD6">
        <w:trPr>
          <w:cantSplit/>
          <w:trHeight w:hRule="exact" w:val="454"/>
        </w:trPr>
        <w:tc>
          <w:tcPr>
            <w:tcW w:w="1673" w:type="dxa"/>
            <w:shd w:val="clear" w:color="auto" w:fill="auto"/>
          </w:tcPr>
          <w:p w:rsidR="007636B0" w:rsidRPr="001310F2" w:rsidDel="0001713B"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BMDL</w:t>
            </w:r>
          </w:p>
        </w:tc>
        <w:tc>
          <w:tcPr>
            <w:tcW w:w="7088" w:type="dxa"/>
            <w:shd w:val="clear" w:color="auto" w:fill="auto"/>
          </w:tcPr>
          <w:p w:rsidR="007636B0" w:rsidRPr="001310F2" w:rsidDel="0001713B"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Benchmark dose lower confidence limit</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CCME</w:t>
            </w:r>
          </w:p>
        </w:tc>
        <w:tc>
          <w:tcPr>
            <w:tcW w:w="7088" w:type="dxa"/>
            <w:shd w:val="clear" w:color="auto" w:fill="auto"/>
          </w:tcPr>
          <w:p w:rsidR="007636B0" w:rsidRPr="001310F2" w:rsidRDefault="007636B0" w:rsidP="00B45DD6">
            <w:pPr>
              <w:pStyle w:val="TableBody"/>
              <w:spacing w:before="20" w:after="20"/>
              <w:rPr>
                <w:rFonts w:ascii="Book Antiqua" w:hAnsi="Book Antiqua"/>
                <w:color w:val="000000"/>
                <w:sz w:val="22"/>
                <w:szCs w:val="22"/>
              </w:rPr>
            </w:pPr>
            <w:r w:rsidRPr="001310F2">
              <w:rPr>
                <w:rFonts w:ascii="Book Antiqua" w:hAnsi="Book Antiqua"/>
                <w:color w:val="000000"/>
                <w:sz w:val="22"/>
                <w:szCs w:val="22"/>
              </w:rPr>
              <w:t>Canadian Council of Ministers of the Environment</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CICAD</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color w:val="000000"/>
                <w:sz w:val="22"/>
                <w:szCs w:val="22"/>
              </w:rPr>
              <w:t>Concise International Chemicals Assessment Document</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CNS</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central nervous system</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DAF</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dermal absorption factor</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DW</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dry weight</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EA</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Environment Agency (England and Wales)</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EHC</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Environmental Health Criteria</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EPA</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Environment Protection Authority</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FSANZ</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Food Standards Australia and New Zealand</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GAF</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gastrointestinal absorption factor</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HCB</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hexachlorobenzene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HEC</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human equivalent concentration</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HED</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human equivalent dose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HIARC</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Hazard Identification Assessment Review Committee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HIL</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health investigation level</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HSDB</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Hazardous Substances Data Bank</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HSL</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health screening level</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IARC</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International Agency for Research on Cancer</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IEUBK</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Integrated exposure uptake biokinetic model</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lastRenderedPageBreak/>
              <w:t>IRIS</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Integrated Risk Information System</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JECFA</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color w:val="000000"/>
                <w:sz w:val="22"/>
                <w:szCs w:val="22"/>
              </w:rPr>
              <w:t>Joint FAO/WHO Expert Committee on Food Additives</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JMPR</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color w:val="000000"/>
                <w:sz w:val="22"/>
                <w:szCs w:val="22"/>
              </w:rPr>
              <w:t>WHO/FAO Joint Meeting on Pesticide Residues</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LOAEL</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lowest observed adverse effect level</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LOEL</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lowest observed effect level</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MF</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modifying factor</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MOA</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mode (or mechanism) of action</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MRL</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maximum residue limit</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MRL</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minimal risk level</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NDI</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negligible daily intake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NEPC</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National Environment Protection Council</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NEPM</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National Environment Protection Measure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NHMRC</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National Health and Medical Research Council</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NOAEL</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no observable adverse effect level</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NOEL</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no observable effect level</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NSW DECC</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New South Wales Department of Environment and Climate Change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OCS</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Office of Chemical Safety</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POP</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persistent organic pollutant</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PTDI</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provisional tolerable daily intake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PTMI</w:t>
            </w:r>
          </w:p>
        </w:tc>
        <w:tc>
          <w:tcPr>
            <w:tcW w:w="7088" w:type="dxa"/>
            <w:shd w:val="clear" w:color="auto" w:fill="auto"/>
          </w:tcPr>
          <w:p w:rsidR="007636B0" w:rsidRPr="001310F2" w:rsidRDefault="007636B0" w:rsidP="00B45DD6">
            <w:pPr>
              <w:pStyle w:val="TableBody"/>
              <w:spacing w:before="20" w:after="20"/>
              <w:rPr>
                <w:rFonts w:ascii="Book Antiqua" w:hAnsi="Book Antiqua"/>
                <w:i/>
                <w:color w:val="1F497D"/>
                <w:sz w:val="22"/>
                <w:szCs w:val="22"/>
              </w:rPr>
            </w:pPr>
            <w:r w:rsidRPr="001310F2">
              <w:rPr>
                <w:rFonts w:ascii="Book Antiqua" w:hAnsi="Book Antiqua"/>
                <w:sz w:val="22"/>
                <w:szCs w:val="22"/>
              </w:rPr>
              <w:t>provisional tolerable monthly intake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PTWI</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provisional tolerable weekly intake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RAIS</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Risk Assessment Information System</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RDI</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recommended daily intake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REL</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reference exposure level</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RfC</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reference concentration</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RfD</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reference dose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RME</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reasonable maximum exposure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SF</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slope factor</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TC</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tolerable concentration</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TD</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tumorigenic dose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TDI</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tolerable daily intake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lastRenderedPageBreak/>
              <w:t>TRV</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toxicity reference value</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UF</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uncertainty factor</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UL</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upper limit</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UR</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unit risk</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US EPA</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United States Environmental Protection Agency</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WHO</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World Health Organization</w:t>
            </w:r>
          </w:p>
        </w:tc>
      </w:tr>
      <w:tr w:rsidR="007636B0" w:rsidRPr="001310F2" w:rsidTr="00B45DD6">
        <w:trPr>
          <w:cantSplit/>
          <w:trHeight w:hRule="exact" w:val="454"/>
        </w:trPr>
        <w:tc>
          <w:tcPr>
            <w:tcW w:w="1673" w:type="dxa"/>
            <w:shd w:val="clear" w:color="auto" w:fill="auto"/>
          </w:tcPr>
          <w:p w:rsidR="007636B0" w:rsidRPr="001310F2" w:rsidRDefault="007636B0" w:rsidP="00B45DD6">
            <w:pPr>
              <w:pStyle w:val="TableBody"/>
              <w:spacing w:before="20" w:after="20"/>
              <w:rPr>
                <w:rFonts w:ascii="Book Antiqua" w:hAnsi="Book Antiqua"/>
                <w:b/>
                <w:sz w:val="22"/>
                <w:szCs w:val="22"/>
              </w:rPr>
            </w:pPr>
            <w:r w:rsidRPr="001310F2">
              <w:rPr>
                <w:rFonts w:ascii="Book Antiqua" w:hAnsi="Book Antiqua"/>
                <w:b/>
                <w:sz w:val="22"/>
                <w:szCs w:val="22"/>
              </w:rPr>
              <w:t>WHO DWG</w:t>
            </w:r>
          </w:p>
        </w:tc>
        <w:tc>
          <w:tcPr>
            <w:tcW w:w="7088" w:type="dxa"/>
            <w:shd w:val="clear" w:color="auto" w:fill="auto"/>
          </w:tcPr>
          <w:p w:rsidR="007636B0" w:rsidRPr="001310F2" w:rsidRDefault="007636B0" w:rsidP="00B45DD6">
            <w:pPr>
              <w:pStyle w:val="TableBody"/>
              <w:spacing w:before="20" w:after="20"/>
              <w:rPr>
                <w:rFonts w:ascii="Book Antiqua" w:hAnsi="Book Antiqua"/>
                <w:sz w:val="22"/>
                <w:szCs w:val="22"/>
              </w:rPr>
            </w:pPr>
            <w:r w:rsidRPr="001310F2">
              <w:rPr>
                <w:rFonts w:ascii="Book Antiqua" w:hAnsi="Book Antiqua"/>
                <w:sz w:val="22"/>
                <w:szCs w:val="22"/>
              </w:rPr>
              <w:t>World Health Organization Drinking Water Guidelines</w:t>
            </w:r>
          </w:p>
        </w:tc>
      </w:tr>
    </w:tbl>
    <w:p w:rsidR="009C6751" w:rsidRDefault="009C6751" w:rsidP="009C6751">
      <w:pPr>
        <w:pStyle w:val="text"/>
      </w:pPr>
      <w:r>
        <w:t xml:space="preserve"> </w:t>
      </w:r>
    </w:p>
    <w:p w:rsidR="005E772B" w:rsidRDefault="005E772B" w:rsidP="005E772B">
      <w:pPr>
        <w:sectPr w:rsidR="005E772B" w:rsidSect="009C6751">
          <w:headerReference w:type="even" r:id="rId48"/>
          <w:headerReference w:type="default" r:id="rId49"/>
          <w:footerReference w:type="default" r:id="rId50"/>
          <w:headerReference w:type="first" r:id="rId51"/>
          <w:pgSz w:w="11906" w:h="16838" w:code="9"/>
          <w:pgMar w:top="1134" w:right="1134" w:bottom="1418" w:left="1701" w:header="720" w:footer="567" w:gutter="0"/>
          <w:paperSrc w:first="2" w:other="2"/>
          <w:pgNumType w:start="1"/>
          <w:cols w:space="720"/>
        </w:sectPr>
      </w:pPr>
    </w:p>
    <w:p w:rsidR="007636B0" w:rsidRDefault="007636B0" w:rsidP="005E772B"/>
    <w:sectPr w:rsidR="007636B0" w:rsidSect="005E772B">
      <w:headerReference w:type="even" r:id="rId52"/>
      <w:headerReference w:type="default" r:id="rId53"/>
      <w:footerReference w:type="even" r:id="rId54"/>
      <w:footerReference w:type="default" r:id="rId55"/>
      <w:headerReference w:type="first" r:id="rId56"/>
      <w:footerReference w:type="first" r:id="rId57"/>
      <w:type w:val="continuous"/>
      <w:pgSz w:w="11906" w:h="16838" w:code="9"/>
      <w:pgMar w:top="1134" w:right="1134" w:bottom="1418" w:left="1701" w:header="720" w:footer="567" w:gutter="0"/>
      <w:paperSrc w:first="2" w:other="2"/>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97F" w:rsidRDefault="00A0097F" w:rsidP="00664C63">
      <w:pPr>
        <w:spacing w:line="240" w:lineRule="auto"/>
      </w:pPr>
      <w:r>
        <w:separator/>
      </w:r>
    </w:p>
  </w:endnote>
  <w:endnote w:type="continuationSeparator" w:id="0">
    <w:p w:rsidR="00A0097F" w:rsidRDefault="00A0097F"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embedRegular r:id="rId1" w:fontKey="{37F6F5B4-8055-4F5A-A946-D57C5CE6EBE8}"/>
    <w:embedBold r:id="rId2" w:fontKey="{8E3DFB39-E469-4EDD-A7A9-1CCAABD31EA0}"/>
    <w:embedItalic r:id="rId3" w:fontKey="{A870562C-F2AC-48C2-98EA-04793E2C3955}"/>
  </w:font>
  <w:font w:name="Calibri">
    <w:panose1 w:val="020F0502020204030204"/>
    <w:charset w:val="00"/>
    <w:family w:val="swiss"/>
    <w:pitch w:val="variable"/>
    <w:sig w:usb0="E10002FF" w:usb1="4000ACFF" w:usb2="00000009" w:usb3="00000000" w:csb0="0000019F" w:csb1="00000000"/>
    <w:embedRegular r:id="rId4" w:subsetted="1" w:fontKey="{78819704-C636-48F7-AC99-5646DA0CCA8E}"/>
    <w:embedBold r:id="rId5" w:subsetted="1" w:fontKey="{F961A7D9-78BB-449F-92F0-EC89A50F268B}"/>
  </w:font>
  <w:font w:name="Arial Bol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embedBold r:id="rId6" w:subsetted="1" w:fontKey="{D63E4FF5-1DC4-4338-BCFA-326649C22D2A}"/>
  </w:font>
  <w:font w:name="Kozuka Mincho Pro B">
    <w:panose1 w:val="00000000000000000000"/>
    <w:charset w:val="80"/>
    <w:family w:val="roman"/>
    <w:notTrueType/>
    <w:pitch w:val="variable"/>
    <w:sig w:usb0="00000283" w:usb1="2AC71C11" w:usb2="00000012" w:usb3="00000000" w:csb0="00020005" w:csb1="00000000"/>
  </w:font>
  <w:font w:name="IIHGN H+ Times">
    <w:altName w:val="Times New Roman"/>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Default="00A009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rsidR="00A0097F" w:rsidRDefault="00A009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106" w:rsidRPr="00F46106" w:rsidRDefault="00F46106" w:rsidP="00F46106">
    <w:pPr>
      <w:pStyle w:val="Footer"/>
      <w:rPr>
        <w:rFonts w:ascii="Arial" w:hAnsi="Arial" w:cs="Arial"/>
        <w:sz w:val="14"/>
      </w:rPr>
    </w:pPr>
    <w:r>
      <w:rPr>
        <w:rFonts w:ascii="Arial" w:hAnsi="Arial" w:cs="Arial"/>
        <w:sz w:val="14"/>
      </w:rPr>
      <w:t>OPC50357</w:t>
    </w:r>
    <w:r w:rsidRPr="00F46106">
      <w:rPr>
        <w:rFonts w:ascii="Arial" w:hAnsi="Arial" w:cs="Arial"/>
        <w:sz w:val="14"/>
      </w:rPr>
      <w:t xml:space="preserve">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106" w:rsidRPr="00F46106" w:rsidRDefault="00F46106" w:rsidP="00F46106">
    <w:pPr>
      <w:pStyle w:val="text"/>
      <w:jc w:val="left"/>
      <w:rPr>
        <w:rFonts w:ascii="Arial" w:hAnsi="Arial" w:cs="Arial"/>
        <w:sz w:val="14"/>
      </w:rPr>
    </w:pPr>
    <w:r>
      <w:rPr>
        <w:rFonts w:ascii="Arial" w:hAnsi="Arial" w:cs="Arial"/>
        <w:sz w:val="14"/>
      </w:rPr>
      <w:t>OPC50357</w:t>
    </w:r>
    <w:r w:rsidRPr="00F46106">
      <w:rPr>
        <w:rFonts w:ascii="Arial" w:hAnsi="Arial" w:cs="Arial"/>
        <w:sz w:val="14"/>
      </w:rPr>
      <w:t xml:space="preserve">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Pr="00F46106" w:rsidRDefault="00F46106" w:rsidP="00F46106">
    <w:pPr>
      <w:pStyle w:val="text"/>
      <w:jc w:val="left"/>
      <w:rPr>
        <w:rFonts w:ascii="Arial" w:hAnsi="Arial" w:cs="Arial"/>
        <w:sz w:val="14"/>
      </w:rPr>
    </w:pPr>
    <w:r>
      <w:rPr>
        <w:rFonts w:ascii="Arial" w:hAnsi="Arial" w:cs="Arial"/>
        <w:sz w:val="14"/>
      </w:rPr>
      <w:t>OPC50357</w:t>
    </w:r>
    <w:r w:rsidRPr="00F46106">
      <w:rPr>
        <w:rFonts w:ascii="Arial" w:hAnsi="Arial" w:cs="Arial"/>
        <w:sz w:val="14"/>
      </w:rPr>
      <w:t xml:space="preserve">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Pr="00F46106" w:rsidRDefault="00A0097F" w:rsidP="00F46106">
    <w:pPr>
      <w:pStyle w:val="Footer"/>
      <w:framePr w:wrap="around" w:vAnchor="text" w:hAnchor="page" w:x="10651" w:y="215"/>
      <w:rPr>
        <w:rStyle w:val="PageNumber"/>
        <w:rFonts w:ascii="Arial" w:hAnsi="Arial" w:cs="Arial"/>
        <w:sz w:val="14"/>
      </w:rPr>
    </w:pPr>
    <w:r w:rsidRPr="00F46106">
      <w:rPr>
        <w:rStyle w:val="PageNumber"/>
        <w:rFonts w:ascii="Arial" w:hAnsi="Arial" w:cs="Arial"/>
        <w:sz w:val="14"/>
      </w:rPr>
      <w:fldChar w:fldCharType="begin"/>
    </w:r>
    <w:r w:rsidRPr="00F46106">
      <w:rPr>
        <w:rStyle w:val="PageNumber"/>
        <w:rFonts w:ascii="Arial" w:hAnsi="Arial" w:cs="Arial"/>
        <w:sz w:val="14"/>
      </w:rPr>
      <w:instrText xml:space="preserve">PAGE  </w:instrText>
    </w:r>
    <w:r w:rsidRPr="00F46106">
      <w:rPr>
        <w:rStyle w:val="PageNumber"/>
        <w:rFonts w:ascii="Arial" w:hAnsi="Arial" w:cs="Arial"/>
        <w:sz w:val="14"/>
      </w:rPr>
      <w:fldChar w:fldCharType="separate"/>
    </w:r>
    <w:r w:rsidR="00F46106">
      <w:rPr>
        <w:rStyle w:val="PageNumber"/>
        <w:rFonts w:ascii="Arial" w:hAnsi="Arial" w:cs="Arial"/>
        <w:noProof/>
        <w:sz w:val="14"/>
      </w:rPr>
      <w:t>38</w:t>
    </w:r>
    <w:r w:rsidRPr="00F46106">
      <w:rPr>
        <w:rStyle w:val="PageNumber"/>
        <w:rFonts w:ascii="Arial" w:hAnsi="Arial" w:cs="Arial"/>
        <w:sz w:val="14"/>
      </w:rPr>
      <w:fldChar w:fldCharType="end"/>
    </w:r>
  </w:p>
  <w:p w:rsidR="00F46106" w:rsidRDefault="00A0097F" w:rsidP="00F46106">
    <w:pPr>
      <w:pBdr>
        <w:top w:val="single" w:sz="4" w:space="5" w:color="auto"/>
      </w:pBdr>
      <w:tabs>
        <w:tab w:val="right" w:pos="9071"/>
      </w:tabs>
      <w:ind w:right="-1"/>
      <w:rPr>
        <w:rFonts w:ascii="Arial" w:hAnsi="Arial" w:cs="Arial"/>
        <w:sz w:val="14"/>
        <w:szCs w:val="16"/>
      </w:rPr>
    </w:pPr>
    <w:r w:rsidRPr="00F46106">
      <w:rPr>
        <w:rFonts w:ascii="Arial" w:hAnsi="Arial" w:cs="Arial"/>
        <w:sz w:val="14"/>
        <w:szCs w:val="16"/>
      </w:rPr>
      <w:t xml:space="preserve">Schedule B7 – </w:t>
    </w:r>
    <w:r w:rsidR="00C009BA" w:rsidRPr="00F46106">
      <w:rPr>
        <w:rFonts w:ascii="Arial" w:hAnsi="Arial" w:cs="Arial"/>
        <w:sz w:val="14"/>
        <w:szCs w:val="16"/>
      </w:rPr>
      <w:t>APPENDIX A4 The Derivation of HILs for Herbicides and Other Pesticides</w:t>
    </w:r>
    <w:r w:rsidRPr="00F46106">
      <w:rPr>
        <w:rFonts w:ascii="Arial" w:hAnsi="Arial" w:cs="Arial"/>
        <w:sz w:val="14"/>
        <w:szCs w:val="16"/>
      </w:rPr>
      <w:tab/>
    </w:r>
  </w:p>
  <w:p w:rsidR="00A0097F" w:rsidRPr="00F46106" w:rsidRDefault="00F46106" w:rsidP="00F46106">
    <w:pPr>
      <w:pBdr>
        <w:top w:val="single" w:sz="4" w:space="5" w:color="auto"/>
      </w:pBdr>
      <w:tabs>
        <w:tab w:val="right" w:pos="9071"/>
      </w:tabs>
      <w:ind w:right="-1"/>
      <w:rPr>
        <w:rFonts w:ascii="Arial" w:hAnsi="Arial" w:cs="Arial"/>
        <w:sz w:val="14"/>
        <w:szCs w:val="16"/>
      </w:rPr>
    </w:pPr>
    <w:r>
      <w:rPr>
        <w:rFonts w:ascii="Arial" w:hAnsi="Arial" w:cs="Arial"/>
        <w:sz w:val="14"/>
        <w:szCs w:val="16"/>
      </w:rPr>
      <w:t>OPC50357</w:t>
    </w:r>
    <w:r w:rsidRPr="00F46106">
      <w:rPr>
        <w:rFonts w:ascii="Arial" w:hAnsi="Arial" w:cs="Arial"/>
        <w:sz w:val="14"/>
        <w:szCs w:val="16"/>
      </w:rPr>
      <w:t xml:space="preserve">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Pr="00BB4623" w:rsidRDefault="00A0097F" w:rsidP="00FA3991">
    <w:pPr>
      <w:pBdr>
        <w:top w:val="single" w:sz="6" w:space="1" w:color="auto"/>
      </w:pBdr>
      <w:spacing w:before="120"/>
      <w:jc w:val="right"/>
      <w:rPr>
        <w:sz w:val="18"/>
      </w:rPr>
    </w:pPr>
  </w:p>
  <w:p w:rsidR="00A0097F" w:rsidRPr="00BB4623" w:rsidRDefault="00A0097F"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55</w:t>
    </w:r>
    <w:r w:rsidRPr="00BB4623">
      <w:rPr>
        <w:i/>
        <w:sz w:val="18"/>
      </w:rPr>
      <w:fldChar w:fldCharType="end"/>
    </w:r>
  </w:p>
  <w:p w:rsidR="00A0097F" w:rsidRPr="00BB4623" w:rsidRDefault="00A0097F" w:rsidP="00664C63">
    <w:pPr>
      <w:jc w:val="right"/>
      <w:rPr>
        <w:i/>
        <w:sz w:val="18"/>
      </w:rPr>
    </w:pPr>
    <w:r>
      <w:rPr>
        <w:i/>
        <w:noProof/>
        <w:sz w:val="18"/>
      </w:rPr>
      <w:t>I13KE132.v01.docx</w:t>
    </w:r>
    <w:r w:rsidRPr="00BB4623">
      <w:rPr>
        <w:i/>
        <w:sz w:val="18"/>
      </w:rPr>
      <w:t xml:space="preserve">  </w:t>
    </w:r>
    <w:r>
      <w:rPr>
        <w:i/>
        <w:noProof/>
        <w:sz w:val="18"/>
      </w:rPr>
      <w:t>12/3/2013 1:24 PM</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Pr="00F46106" w:rsidRDefault="00A0097F" w:rsidP="00A6121F">
    <w:pPr>
      <w:pBdr>
        <w:top w:val="single" w:sz="6" w:space="1" w:color="auto"/>
      </w:pBdr>
      <w:spacing w:line="0" w:lineRule="atLeast"/>
      <w:rPr>
        <w:rFonts w:ascii="Arial" w:hAnsi="Arial" w:cs="Arial"/>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A0097F" w:rsidRPr="00F46106" w:rsidTr="006C5791">
      <w:tc>
        <w:tcPr>
          <w:tcW w:w="8472" w:type="dxa"/>
        </w:tcPr>
        <w:p w:rsidR="00A0097F" w:rsidRPr="00F46106" w:rsidRDefault="00A0097F" w:rsidP="00A6121F">
          <w:pPr>
            <w:spacing w:line="0" w:lineRule="atLeast"/>
            <w:jc w:val="right"/>
            <w:rPr>
              <w:rFonts w:ascii="Arial" w:hAnsi="Arial" w:cs="Arial"/>
              <w:i/>
              <w:sz w:val="14"/>
            </w:rPr>
          </w:pPr>
          <w:r w:rsidRPr="00F46106">
            <w:rPr>
              <w:rFonts w:ascii="Arial" w:hAnsi="Arial" w:cs="Arial"/>
              <w:i/>
              <w:sz w:val="14"/>
            </w:rPr>
            <w:fldChar w:fldCharType="begin"/>
          </w:r>
          <w:r w:rsidRPr="00F46106">
            <w:rPr>
              <w:rFonts w:ascii="Arial" w:hAnsi="Arial" w:cs="Arial"/>
              <w:i/>
              <w:sz w:val="14"/>
            </w:rPr>
            <w:instrText xml:space="preserve"> PAGE </w:instrText>
          </w:r>
          <w:r w:rsidRPr="00F46106">
            <w:rPr>
              <w:rFonts w:ascii="Arial" w:hAnsi="Arial" w:cs="Arial"/>
              <w:i/>
              <w:sz w:val="14"/>
            </w:rPr>
            <w:fldChar w:fldCharType="separate"/>
          </w:r>
          <w:r w:rsidRPr="00F46106">
            <w:rPr>
              <w:rFonts w:ascii="Arial" w:hAnsi="Arial" w:cs="Arial"/>
              <w:i/>
              <w:noProof/>
              <w:sz w:val="14"/>
            </w:rPr>
            <w:t>2</w:t>
          </w:r>
          <w:r w:rsidRPr="00F46106">
            <w:rPr>
              <w:rFonts w:ascii="Arial" w:hAnsi="Arial" w:cs="Arial"/>
              <w:i/>
              <w:sz w:val="14"/>
            </w:rPr>
            <w:fldChar w:fldCharType="end"/>
          </w:r>
        </w:p>
      </w:tc>
    </w:tr>
    <w:tr w:rsidR="00A0097F" w:rsidRPr="00F46106" w:rsidTr="006C5791">
      <w:tc>
        <w:tcPr>
          <w:tcW w:w="8472" w:type="dxa"/>
        </w:tcPr>
        <w:p w:rsidR="00A0097F" w:rsidRPr="00F46106" w:rsidRDefault="00A0097F" w:rsidP="00A6121F">
          <w:pPr>
            <w:rPr>
              <w:rFonts w:ascii="Arial" w:hAnsi="Arial" w:cs="Arial"/>
              <w:i/>
              <w:sz w:val="14"/>
            </w:rPr>
          </w:pPr>
          <w:r w:rsidRPr="00F46106">
            <w:rPr>
              <w:rFonts w:ascii="Arial" w:hAnsi="Arial" w:cs="Arial"/>
              <w:i/>
              <w:noProof/>
              <w:sz w:val="14"/>
            </w:rPr>
            <w:t>I13KE132.v01.docx</w:t>
          </w:r>
          <w:r w:rsidRPr="00F46106">
            <w:rPr>
              <w:rFonts w:ascii="Arial" w:hAnsi="Arial" w:cs="Arial"/>
              <w:i/>
              <w:sz w:val="14"/>
            </w:rPr>
            <w:t xml:space="preserve">  </w:t>
          </w:r>
          <w:r w:rsidRPr="00F46106">
            <w:rPr>
              <w:rFonts w:ascii="Arial" w:hAnsi="Arial" w:cs="Arial"/>
              <w:i/>
              <w:noProof/>
              <w:sz w:val="14"/>
            </w:rPr>
            <w:t>12/3/2013 1:24 PM</w:t>
          </w:r>
        </w:p>
      </w:tc>
    </w:tr>
  </w:tbl>
  <w:p w:rsidR="00A0097F" w:rsidRPr="00F46106" w:rsidRDefault="00A0097F" w:rsidP="00F46106">
    <w:pPr>
      <w:spacing w:before="120"/>
      <w:rPr>
        <w:rFonts w:ascii="Arial" w:hAnsi="Arial" w:cs="Arial"/>
        <w:sz w:val="14"/>
      </w:rPr>
    </w:pPr>
    <w:r w:rsidRPr="00F46106">
      <w:rPr>
        <w:rFonts w:ascii="Arial" w:hAnsi="Arial" w:cs="Arial"/>
        <w:noProof/>
        <w:sz w:val="14"/>
        <w:lang w:eastAsia="en-AU"/>
      </w:rPr>
      <mc:AlternateContent>
        <mc:Choice Requires="wps">
          <w:drawing>
            <wp:anchor distT="0" distB="0" distL="114300" distR="114300" simplePos="0" relativeHeight="251656704" behindDoc="1" locked="0" layoutInCell="1" allowOverlap="1" wp14:anchorId="06EF0B53" wp14:editId="1B922507">
              <wp:simplePos x="0" y="0"/>
              <wp:positionH relativeFrom="column">
                <wp:align>center</wp:align>
              </wp:positionH>
              <wp:positionV relativeFrom="page">
                <wp:posOffset>10223500</wp:posOffset>
              </wp:positionV>
              <wp:extent cx="4410075" cy="3429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4290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A0097F" w:rsidRPr="001F2093" w:rsidRDefault="00A0097F" w:rsidP="001F2093">
                          <w:pPr>
                            <w:jc w:val="center"/>
                            <w:rPr>
                              <w:rFonts w:ascii="Arial" w:hAnsi="Arial" w:cs="Arial"/>
                              <w:b/>
                              <w:sz w:val="40"/>
                            </w:rPr>
                          </w:pPr>
                          <w:r w:rsidRPr="001F2093">
                            <w:rPr>
                              <w:rFonts w:ascii="Arial" w:hAnsi="Arial" w:cs="Arial"/>
                              <w:b/>
                              <w:sz w:val="40"/>
                            </w:rPr>
                            <w:fldChar w:fldCharType="begin"/>
                          </w:r>
                          <w:r w:rsidRPr="001F2093">
                            <w:rPr>
                              <w:rFonts w:ascii="Arial" w:hAnsi="Arial" w:cs="Arial"/>
                              <w:b/>
                              <w:sz w:val="40"/>
                            </w:rPr>
                            <w:instrText xml:space="preserve"> DOCPROPERTY  Classification  \* MERGEFORMAT </w:instrText>
                          </w:r>
                          <w:r w:rsidRPr="001F2093">
                            <w:rPr>
                              <w:rFonts w:ascii="Arial" w:hAnsi="Arial" w:cs="Arial"/>
                              <w:b/>
                              <w:sz w:val="40"/>
                            </w:rPr>
                            <w:fldChar w:fldCharType="separate"/>
                          </w:r>
                          <w:r w:rsidR="00F46106">
                            <w:rPr>
                              <w:rFonts w:ascii="Arial" w:hAnsi="Arial" w:cs="Arial"/>
                              <w:b/>
                              <w:sz w:val="40"/>
                            </w:rPr>
                            <w:t>DRAFT-IN-CONFIDENCE</w:t>
                          </w:r>
                          <w:r w:rsidRPr="001F2093">
                            <w:rPr>
                              <w:rFonts w:ascii="Arial" w:hAnsi="Arial" w:cs="Arial"/>
                              <w:b/>
                              <w:sz w:val="40"/>
                            </w:rPr>
                            <w:fldChar w:fldCharType="end"/>
                          </w:r>
                          <w:r w:rsidRPr="001F2093">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37" type="#_x0000_t202" style="position:absolute;margin-left:0;margin-top:805pt;width:347.25pt;height:27pt;z-index:-251659776;visibility:visible;mso-wrap-style:square;mso-width-percent:0;mso-wrap-distance-left:9pt;mso-wrap-distance-top:0;mso-wrap-distance-right:9pt;mso-wrap-distance-bottom:0;mso-position-horizontal:center;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" stroked="f">
              <v:stroke joinstyle="round"/>
              <v:path arrowok="t"/>
              <v:textbox>
                <w:txbxContent>
                  <w:p w:rsidR="00A0097F" w:rsidRPr="001F2093" w:rsidRDefault="00A0097F" w:rsidP="001F2093">
                    <w:pPr>
                      <w:jc w:val="center"/>
                      <w:rPr>
                        <w:rFonts w:ascii="Arial" w:hAnsi="Arial" w:cs="Arial"/>
                        <w:b/>
                        <w:sz w:val="40"/>
                      </w:rPr>
                    </w:pPr>
                    <w:r w:rsidRPr="001F2093">
                      <w:rPr>
                        <w:rFonts w:ascii="Arial" w:hAnsi="Arial" w:cs="Arial"/>
                        <w:b/>
                        <w:sz w:val="40"/>
                      </w:rPr>
                      <w:fldChar w:fldCharType="begin"/>
                    </w:r>
                    <w:r w:rsidRPr="001F2093">
                      <w:rPr>
                        <w:rFonts w:ascii="Arial" w:hAnsi="Arial" w:cs="Arial"/>
                        <w:b/>
                        <w:sz w:val="40"/>
                      </w:rPr>
                      <w:instrText xml:space="preserve"> DOCPROPERTY  Classification  \* MERGEFORMAT </w:instrText>
                    </w:r>
                    <w:r w:rsidRPr="001F2093">
                      <w:rPr>
                        <w:rFonts w:ascii="Arial" w:hAnsi="Arial" w:cs="Arial"/>
                        <w:b/>
                        <w:sz w:val="40"/>
                      </w:rPr>
                      <w:fldChar w:fldCharType="separate"/>
                    </w:r>
                    <w:r w:rsidR="00F46106">
                      <w:rPr>
                        <w:rFonts w:ascii="Arial" w:hAnsi="Arial" w:cs="Arial"/>
                        <w:b/>
                        <w:sz w:val="40"/>
                      </w:rPr>
                      <w:t>DRAFT-IN-CONFIDENCE</w:t>
                    </w:r>
                    <w:r w:rsidRPr="001F2093">
                      <w:rPr>
                        <w:rFonts w:ascii="Arial" w:hAnsi="Arial" w:cs="Arial"/>
                        <w:b/>
                        <w:sz w:val="40"/>
                      </w:rPr>
                      <w:fldChar w:fldCharType="end"/>
                    </w:r>
                    <w:r w:rsidRPr="001F2093">
                      <w:rPr>
                        <w:rFonts w:ascii="Arial" w:hAnsi="Arial" w:cs="Arial"/>
                        <w:b/>
                        <w:sz w:val="40"/>
                      </w:rPr>
                      <w:t xml:space="preserve"> </w:t>
                    </w:r>
                  </w:p>
                </w:txbxContent>
              </v:textbox>
              <w10:wrap anchory="page"/>
            </v:shape>
          </w:pict>
        </mc:Fallback>
      </mc:AlternateContent>
    </w:r>
    <w:r w:rsidR="00F46106">
      <w:rPr>
        <w:rFonts w:ascii="Arial" w:hAnsi="Arial" w:cs="Arial"/>
        <w:sz w:val="14"/>
      </w:rPr>
      <w:t>OPC50357</w:t>
    </w:r>
    <w:r w:rsidR="00F46106" w:rsidRPr="00F46106">
      <w:rPr>
        <w:rFonts w:ascii="Arial" w:hAnsi="Arial" w:cs="Arial"/>
        <w:sz w:val="14"/>
      </w:rPr>
      <w:t xml:space="preserve">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Pr="00BB4623" w:rsidRDefault="00A0097F" w:rsidP="00FA399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97F" w:rsidRDefault="00A0097F" w:rsidP="00664C63">
      <w:pPr>
        <w:spacing w:line="240" w:lineRule="auto"/>
      </w:pPr>
      <w:r>
        <w:separator/>
      </w:r>
    </w:p>
  </w:footnote>
  <w:footnote w:type="continuationSeparator" w:id="0">
    <w:p w:rsidR="00A0097F" w:rsidRDefault="00A0097F" w:rsidP="00664C63">
      <w:pPr>
        <w:spacing w:line="240" w:lineRule="auto"/>
      </w:pPr>
      <w:r>
        <w:continuationSeparator/>
      </w:r>
    </w:p>
  </w:footnote>
  <w:footnote w:id="1">
    <w:p w:rsidR="00A0097F" w:rsidRPr="00F548B5" w:rsidRDefault="00A0097F" w:rsidP="007636B0">
      <w:pPr>
        <w:pStyle w:val="FootnoteText"/>
        <w:rPr>
          <w:rFonts w:cs="Arial"/>
          <w:sz w:val="18"/>
          <w:szCs w:val="18"/>
        </w:rPr>
      </w:pPr>
      <w:r w:rsidRPr="00F548B5">
        <w:rPr>
          <w:rStyle w:val="FootnoteReference"/>
          <w:rFonts w:cs="Arial"/>
          <w:sz w:val="18"/>
          <w:szCs w:val="18"/>
        </w:rPr>
        <w:footnoteRef/>
      </w:r>
      <w:r w:rsidRPr="00F548B5">
        <w:rPr>
          <w:rFonts w:cs="Arial"/>
          <w:sz w:val="18"/>
          <w:szCs w:val="18"/>
        </w:rPr>
        <w:t xml:space="preserve"> Refer to APVMA Public Chemical Registration Information System (PUBCRIS) for current information on products that contain chlorpyrifos (</w:t>
      </w:r>
      <w:hyperlink r:id="rId1" w:history="1">
        <w:r w:rsidRPr="00F548B5">
          <w:rPr>
            <w:rStyle w:val="Hyperlink"/>
            <w:rFonts w:cs="Arial"/>
            <w:sz w:val="18"/>
            <w:szCs w:val="18"/>
          </w:rPr>
          <w:t>http://services.apvma.gov.au/PubcrisWebClient/welcome.do</w:t>
        </w:r>
      </w:hyperlink>
      <w:r w:rsidRPr="00F548B5">
        <w:rPr>
          <w:rFonts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Default="00F46106">
    <w:pPr>
      <w:pStyle w:val="Header"/>
    </w:pPr>
    <w:r>
      <w:rPr>
        <w:noProof/>
      </w:rPr>
      <w:pict>
        <v:shapetype id="_x0000_t202" coordsize="21600,21600" o:spt="202" path="m,l,21600r21600,l21600,xe">
          <v:stroke joinstyle="miter"/>
          <v:path gradientshapeok="t" o:connecttype="rect"/>
        </v:shapetype>
        <v:shape id="_x0000_s4097" type="#_x0000_t202" style="position:absolute;margin-left:60.95pt;margin-top:265.1pt;width:331.4pt;height:241.2pt;z-index:-251656704" o:allowincell="f" filled="f" fillcolor="silver" stroked="f">
          <v:shadow color="#868686"/>
          <v:textbox>
            <w:txbxContent>
              <w:p w:rsidR="00A0097F" w:rsidRDefault="00A0097F">
                <w:r>
                  <w:object w:dxaOrig="5881" w:dyaOrig="4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7.25pt;height:234.75pt" o:ole="" fillcolor="window">
                      <v:imagedata r:id="rId1" o:title="" gain="30147f" blacklevel="5898f"/>
                    </v:shape>
                    <o:OLEObject Type="Embed" ProgID="Word.Picture.8" ShapeID="_x0000_i1026" DrawAspect="Content" ObjectID="_1425462532" r:id="rId2"/>
                  </w:object>
                </w:r>
              </w:p>
            </w:txbxContent>
          </v:textbox>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Pr="00BB4623" w:rsidRDefault="00A0097F" w:rsidP="00664C63">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Default="00A009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Default="00A009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Default="00A0097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Default="00F461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1" type="#_x0000_t136" style="position:absolute;margin-left:0;margin-top:0;width:600.9pt;height:38.35pt;rotation:315;z-index:-251658752;mso-position-horizontal:center;mso-position-horizontal-relative:margin;mso-position-vertical:center;mso-position-vertical-relative:margin" o:allowincell="f" fillcolor="silver" stroked="f">
          <v:fill opacity=".5"/>
          <v:textpath style="font-family:&quot;Book Antiqua&quot;;font-size:1pt" string="CONFIDENTIAL DRAFT for consultation only"/>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Default="00A0097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Default="00F461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0" type="#_x0000_t136" style="position:absolute;margin-left:0;margin-top:0;width:600.9pt;height:38.35pt;rotation:315;z-index:-251657728;mso-position-horizontal:center;mso-position-horizontal-relative:margin;mso-position-vertical:center;mso-position-vertical-relative:margin" o:allowincell="f" fillcolor="silver" stroked="f">
          <v:fill opacity=".5"/>
          <v:textpath style="font-family:&quot;Book Antiqua&quot;;font-size:1pt" string="CONFIDENTIAL DRAFT for consultation only"/>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Pr="00BB4623" w:rsidRDefault="00A0097F" w:rsidP="00664C63">
    <w:pPr>
      <w:rPr>
        <w:sz w:val="24"/>
      </w:rPr>
    </w:pPr>
  </w:p>
  <w:p w:rsidR="00A0097F" w:rsidRPr="00BB4623" w:rsidRDefault="00A0097F" w:rsidP="00664C63">
    <w:pPr>
      <w:pBdr>
        <w:bottom w:val="single" w:sz="6" w:space="1" w:color="auto"/>
      </w:pBdr>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7F" w:rsidRPr="00BB4623" w:rsidRDefault="00A0097F" w:rsidP="00664C63">
    <w:pPr>
      <w:jc w:val="right"/>
      <w:rPr>
        <w:sz w:val="24"/>
      </w:rPr>
    </w:pPr>
    <w:r>
      <w:rPr>
        <w:noProof/>
        <w:sz w:val="24"/>
        <w:lang w:eastAsia="en-AU"/>
      </w:rPr>
      <mc:AlternateContent>
        <mc:Choice Requires="wps">
          <w:drawing>
            <wp:anchor distT="0" distB="0" distL="114300" distR="114300" simplePos="0" relativeHeight="251655680" behindDoc="1" locked="0" layoutInCell="1" allowOverlap="1" wp14:anchorId="1D09341A" wp14:editId="0520968D">
              <wp:simplePos x="0" y="0"/>
              <wp:positionH relativeFrom="column">
                <wp:align>center</wp:align>
              </wp:positionH>
              <wp:positionV relativeFrom="page">
                <wp:posOffset>143510</wp:posOffset>
              </wp:positionV>
              <wp:extent cx="4410075" cy="3429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4290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A0097F" w:rsidRPr="001F2093" w:rsidRDefault="00A0097F" w:rsidP="001F2093">
                          <w:pPr>
                            <w:jc w:val="center"/>
                            <w:rPr>
                              <w:rFonts w:ascii="Arial" w:hAnsi="Arial" w:cs="Arial"/>
                              <w:b/>
                              <w:sz w:val="40"/>
                            </w:rPr>
                          </w:pPr>
                          <w:r w:rsidRPr="001F2093">
                            <w:rPr>
                              <w:rFonts w:ascii="Arial" w:hAnsi="Arial" w:cs="Arial"/>
                              <w:b/>
                              <w:sz w:val="40"/>
                            </w:rPr>
                            <w:fldChar w:fldCharType="begin"/>
                          </w:r>
                          <w:r w:rsidRPr="001F2093">
                            <w:rPr>
                              <w:rFonts w:ascii="Arial" w:hAnsi="Arial" w:cs="Arial"/>
                              <w:b/>
                              <w:sz w:val="40"/>
                            </w:rPr>
                            <w:instrText xml:space="preserve"> DOCPROPERTY  Classification  \* MERGEFORMAT </w:instrText>
                          </w:r>
                          <w:r w:rsidRPr="001F2093">
                            <w:rPr>
                              <w:rFonts w:ascii="Arial" w:hAnsi="Arial" w:cs="Arial"/>
                              <w:b/>
                              <w:sz w:val="40"/>
                            </w:rPr>
                            <w:fldChar w:fldCharType="separate"/>
                          </w:r>
                          <w:r w:rsidR="00F46106">
                            <w:rPr>
                              <w:rFonts w:ascii="Arial" w:hAnsi="Arial" w:cs="Arial"/>
                              <w:b/>
                              <w:sz w:val="40"/>
                            </w:rPr>
                            <w:t>DRAFT-IN-CONFIDENCE</w:t>
                          </w:r>
                          <w:r w:rsidRPr="001F2093">
                            <w:rPr>
                              <w:rFonts w:ascii="Arial" w:hAnsi="Arial" w:cs="Arial"/>
                              <w:b/>
                              <w:sz w:val="40"/>
                            </w:rPr>
                            <w:fldChar w:fldCharType="end"/>
                          </w:r>
                          <w:r w:rsidRPr="001F2093">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36" type="#_x0000_t202" style="position:absolute;left:0;text-align:left;margin-left:0;margin-top:11.3pt;width:347.25pt;height:27pt;z-index:-251660800;visibility:visible;mso-wrap-style:square;mso-width-percent:0;mso-wrap-distance-left:9pt;mso-wrap-distance-top:0;mso-wrap-distance-right:9pt;mso-wrap-distance-bottom:0;mso-position-horizontal:center;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" stroked="f">
              <v:stroke joinstyle="round"/>
              <v:path arrowok="t"/>
              <v:textbox>
                <w:txbxContent>
                  <w:p w:rsidR="00A0097F" w:rsidRPr="001F2093" w:rsidRDefault="00A0097F" w:rsidP="001F2093">
                    <w:pPr>
                      <w:jc w:val="center"/>
                      <w:rPr>
                        <w:rFonts w:ascii="Arial" w:hAnsi="Arial" w:cs="Arial"/>
                        <w:b/>
                        <w:sz w:val="40"/>
                      </w:rPr>
                    </w:pPr>
                    <w:r w:rsidRPr="001F2093">
                      <w:rPr>
                        <w:rFonts w:ascii="Arial" w:hAnsi="Arial" w:cs="Arial"/>
                        <w:b/>
                        <w:sz w:val="40"/>
                      </w:rPr>
                      <w:fldChar w:fldCharType="begin"/>
                    </w:r>
                    <w:r w:rsidRPr="001F2093">
                      <w:rPr>
                        <w:rFonts w:ascii="Arial" w:hAnsi="Arial" w:cs="Arial"/>
                        <w:b/>
                        <w:sz w:val="40"/>
                      </w:rPr>
                      <w:instrText xml:space="preserve"> DOCPROPERTY  Classification  \* MERGEFORMAT </w:instrText>
                    </w:r>
                    <w:r w:rsidRPr="001F2093">
                      <w:rPr>
                        <w:rFonts w:ascii="Arial" w:hAnsi="Arial" w:cs="Arial"/>
                        <w:b/>
                        <w:sz w:val="40"/>
                      </w:rPr>
                      <w:fldChar w:fldCharType="separate"/>
                    </w:r>
                    <w:r w:rsidR="00F46106">
                      <w:rPr>
                        <w:rFonts w:ascii="Arial" w:hAnsi="Arial" w:cs="Arial"/>
                        <w:b/>
                        <w:sz w:val="40"/>
                      </w:rPr>
                      <w:t>DRAFT-IN-CONFIDENCE</w:t>
                    </w:r>
                    <w:r w:rsidRPr="001F2093">
                      <w:rPr>
                        <w:rFonts w:ascii="Arial" w:hAnsi="Arial" w:cs="Arial"/>
                        <w:b/>
                        <w:sz w:val="40"/>
                      </w:rPr>
                      <w:fldChar w:fldCharType="end"/>
                    </w:r>
                    <w:r w:rsidRPr="001F2093">
                      <w:rPr>
                        <w:rFonts w:ascii="Arial" w:hAnsi="Arial" w:cs="Arial"/>
                        <w:b/>
                        <w:sz w:val="40"/>
                      </w:rPr>
                      <w:t xml:space="preserve"> </w:t>
                    </w:r>
                  </w:p>
                </w:txbxContent>
              </v:textbox>
              <w10:wrap anchory="page"/>
            </v:shape>
          </w:pict>
        </mc:Fallback>
      </mc:AlternateContent>
    </w:r>
  </w:p>
  <w:p w:rsidR="00A0097F" w:rsidRPr="00BB4623" w:rsidRDefault="00A0097F" w:rsidP="00664C63">
    <w:pPr>
      <w:pBdr>
        <w:bottom w:val="single" w:sz="6" w:space="1" w:color="auto"/>
      </w:pBdr>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227E5A"/>
    <w:lvl w:ilvl="0">
      <w:start w:val="1"/>
      <w:numFmt w:val="decimal"/>
      <w:lvlText w:val="%1."/>
      <w:lvlJc w:val="left"/>
      <w:pPr>
        <w:tabs>
          <w:tab w:val="num" w:pos="1492"/>
        </w:tabs>
        <w:ind w:left="1492" w:hanging="360"/>
      </w:pPr>
    </w:lvl>
  </w:abstractNum>
  <w:abstractNum w:abstractNumId="1">
    <w:nsid w:val="FFFFFF7D"/>
    <w:multiLevelType w:val="singleLevel"/>
    <w:tmpl w:val="E2B621B4"/>
    <w:lvl w:ilvl="0">
      <w:start w:val="1"/>
      <w:numFmt w:val="decimal"/>
      <w:lvlText w:val="%1."/>
      <w:lvlJc w:val="left"/>
      <w:pPr>
        <w:tabs>
          <w:tab w:val="num" w:pos="1209"/>
        </w:tabs>
        <w:ind w:left="1209" w:hanging="360"/>
      </w:pPr>
    </w:lvl>
  </w:abstractNum>
  <w:abstractNum w:abstractNumId="2">
    <w:nsid w:val="FFFFFF7E"/>
    <w:multiLevelType w:val="singleLevel"/>
    <w:tmpl w:val="87C61B2C"/>
    <w:lvl w:ilvl="0">
      <w:start w:val="1"/>
      <w:numFmt w:val="decimal"/>
      <w:lvlText w:val="%1."/>
      <w:lvlJc w:val="left"/>
      <w:pPr>
        <w:tabs>
          <w:tab w:val="num" w:pos="926"/>
        </w:tabs>
        <w:ind w:left="926" w:hanging="360"/>
      </w:pPr>
    </w:lvl>
  </w:abstractNum>
  <w:abstractNum w:abstractNumId="3">
    <w:nsid w:val="FFFFFF7F"/>
    <w:multiLevelType w:val="singleLevel"/>
    <w:tmpl w:val="443637D0"/>
    <w:lvl w:ilvl="0">
      <w:start w:val="1"/>
      <w:numFmt w:val="decimal"/>
      <w:lvlText w:val="%1."/>
      <w:lvlJc w:val="left"/>
      <w:pPr>
        <w:tabs>
          <w:tab w:val="num" w:pos="643"/>
        </w:tabs>
        <w:ind w:left="643" w:hanging="360"/>
      </w:pPr>
    </w:lvl>
  </w:abstractNum>
  <w:abstractNum w:abstractNumId="4">
    <w:nsid w:val="FFFFFF80"/>
    <w:multiLevelType w:val="singleLevel"/>
    <w:tmpl w:val="9E26C9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2AAA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C7089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0E42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3EFDB8"/>
    <w:lvl w:ilvl="0">
      <w:start w:val="1"/>
      <w:numFmt w:val="decimal"/>
      <w:lvlText w:val="%1."/>
      <w:lvlJc w:val="left"/>
      <w:pPr>
        <w:tabs>
          <w:tab w:val="num" w:pos="360"/>
        </w:tabs>
        <w:ind w:left="360" w:hanging="360"/>
      </w:pPr>
    </w:lvl>
  </w:abstractNum>
  <w:abstractNum w:abstractNumId="9">
    <w:nsid w:val="FFFFFF89"/>
    <w:multiLevelType w:val="singleLevel"/>
    <w:tmpl w:val="A7585E64"/>
    <w:lvl w:ilvl="0">
      <w:start w:val="1"/>
      <w:numFmt w:val="bullet"/>
      <w:lvlText w:val=""/>
      <w:lvlJc w:val="left"/>
      <w:pPr>
        <w:tabs>
          <w:tab w:val="num" w:pos="360"/>
        </w:tabs>
        <w:ind w:left="360" w:hanging="360"/>
      </w:pPr>
      <w:rPr>
        <w:rFonts w:ascii="Symbol" w:hAnsi="Symbol" w:hint="default"/>
      </w:rPr>
    </w:lvl>
  </w:abstractNum>
  <w:abstractNum w:abstractNumId="10">
    <w:nsid w:val="05955278"/>
    <w:multiLevelType w:val="hybridMultilevel"/>
    <w:tmpl w:val="11322722"/>
    <w:lvl w:ilvl="0" w:tplc="DC5C6D56">
      <w:start w:val="1"/>
      <w:numFmt w:val="bullet"/>
      <w:lvlRestart w:val="0"/>
      <w:pStyle w:val="BulletedList"/>
      <w:lvlText w:val="·"/>
      <w:lvlJc w:val="left"/>
      <w:pPr>
        <w:tabs>
          <w:tab w:val="num" w:pos="425"/>
        </w:tabs>
        <w:ind w:left="425" w:hanging="425"/>
      </w:pPr>
      <w:rPr>
        <w:rFonts w:ascii="Symbol" w:hAnsi="Symbol" w:cs="Times New Roman" w:hint="default"/>
        <w:color w:val="0C479D"/>
      </w:rPr>
    </w:lvl>
    <w:lvl w:ilvl="1" w:tplc="0C090001">
      <w:start w:val="1"/>
      <w:numFmt w:val="bullet"/>
      <w:lvlText w:val=""/>
      <w:lvlJc w:val="left"/>
      <w:pPr>
        <w:tabs>
          <w:tab w:val="num" w:pos="1440"/>
        </w:tabs>
        <w:ind w:left="1440" w:hanging="360"/>
      </w:pPr>
      <w:rPr>
        <w:rFonts w:ascii="Symbol" w:hAnsi="Symbol" w:hint="default"/>
        <w:color w:val="0C479D"/>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36538E"/>
    <w:multiLevelType w:val="multilevel"/>
    <w:tmpl w:val="E1D8E0D6"/>
    <w:lvl w:ilvl="0">
      <w:start w:val="1"/>
      <w:numFmt w:val="bullet"/>
      <w:pStyle w:val="Bullet"/>
      <w:lvlText w:val=""/>
      <w:lvlJc w:val="left"/>
      <w:pPr>
        <w:tabs>
          <w:tab w:val="num" w:pos="1134"/>
        </w:tabs>
        <w:ind w:left="1134" w:hanging="567"/>
      </w:pPr>
      <w:rPr>
        <w:rFonts w:ascii="Symbol" w:hAnsi="Symbol" w:hint="default"/>
        <w:sz w:val="22"/>
      </w:rPr>
    </w:lvl>
    <w:lvl w:ilvl="1">
      <w:start w:val="1"/>
      <w:numFmt w:val="bullet"/>
      <w:pStyle w:val="Bullet2"/>
      <w:lvlText w:val="-"/>
      <w:lvlJc w:val="left"/>
      <w:pPr>
        <w:tabs>
          <w:tab w:val="num" w:pos="1701"/>
        </w:tabs>
        <w:ind w:left="1701" w:hanging="567"/>
      </w:pPr>
      <w:rPr>
        <w:rFonts w:ascii="Arial" w:hAnsi="Arial" w:hint="default"/>
      </w:rPr>
    </w:lvl>
    <w:lvl w:ilvl="2">
      <w:start w:val="1"/>
      <w:numFmt w:val="bullet"/>
      <w:pStyle w:val="Bullet3"/>
      <w:lvlText w:val=""/>
      <w:lvlJc w:val="left"/>
      <w:pPr>
        <w:tabs>
          <w:tab w:val="num" w:pos="2268"/>
        </w:tabs>
        <w:ind w:left="2268" w:hanging="567"/>
      </w:pPr>
      <w:rPr>
        <w:rFonts w:ascii="Wingdings" w:hAnsi="Wingdings" w:hint="default"/>
      </w:rPr>
    </w:lvl>
    <w:lvl w:ilvl="3">
      <w:start w:val="1"/>
      <w:numFmt w:val="bullet"/>
      <w:lvlText w:val=""/>
      <w:lvlJc w:val="left"/>
      <w:pPr>
        <w:tabs>
          <w:tab w:val="num" w:pos="15876"/>
        </w:tabs>
        <w:ind w:left="16443" w:hanging="567"/>
      </w:pPr>
      <w:rPr>
        <w:rFonts w:ascii="Symbol" w:hAnsi="Symbol" w:hint="default"/>
      </w:rPr>
    </w:lvl>
    <w:lvl w:ilvl="4">
      <w:start w:val="1"/>
      <w:numFmt w:val="bullet"/>
      <w:lvlText w:val="o"/>
      <w:lvlJc w:val="left"/>
      <w:pPr>
        <w:tabs>
          <w:tab w:val="num" w:pos="16641"/>
        </w:tabs>
        <w:ind w:left="16641" w:hanging="360"/>
      </w:pPr>
      <w:rPr>
        <w:rFonts w:ascii="Courier New" w:hAnsi="Courier New" w:cs="Courier New" w:hint="default"/>
      </w:rPr>
    </w:lvl>
    <w:lvl w:ilvl="5">
      <w:start w:val="1"/>
      <w:numFmt w:val="bullet"/>
      <w:lvlText w:val=""/>
      <w:lvlJc w:val="left"/>
      <w:pPr>
        <w:tabs>
          <w:tab w:val="num" w:pos="17361"/>
        </w:tabs>
        <w:ind w:left="17361" w:hanging="360"/>
      </w:pPr>
      <w:rPr>
        <w:rFonts w:ascii="Wingdings" w:hAnsi="Wingdings" w:hint="default"/>
      </w:rPr>
    </w:lvl>
    <w:lvl w:ilvl="6">
      <w:start w:val="1"/>
      <w:numFmt w:val="bullet"/>
      <w:lvlText w:val=""/>
      <w:lvlJc w:val="left"/>
      <w:pPr>
        <w:tabs>
          <w:tab w:val="num" w:pos="18081"/>
        </w:tabs>
        <w:ind w:left="18081" w:hanging="360"/>
      </w:pPr>
      <w:rPr>
        <w:rFonts w:ascii="Symbol" w:hAnsi="Symbol" w:hint="default"/>
      </w:rPr>
    </w:lvl>
    <w:lvl w:ilvl="7">
      <w:start w:val="1"/>
      <w:numFmt w:val="bullet"/>
      <w:lvlText w:val="o"/>
      <w:lvlJc w:val="left"/>
      <w:pPr>
        <w:tabs>
          <w:tab w:val="num" w:pos="18801"/>
        </w:tabs>
        <w:ind w:left="18801" w:hanging="360"/>
      </w:pPr>
      <w:rPr>
        <w:rFonts w:ascii="Courier New" w:hAnsi="Courier New" w:cs="Courier New" w:hint="default"/>
      </w:rPr>
    </w:lvl>
    <w:lvl w:ilvl="8">
      <w:start w:val="1"/>
      <w:numFmt w:val="bullet"/>
      <w:lvlText w:val=""/>
      <w:lvlJc w:val="left"/>
      <w:pPr>
        <w:tabs>
          <w:tab w:val="num" w:pos="19521"/>
        </w:tabs>
        <w:ind w:left="19521" w:hanging="360"/>
      </w:pPr>
      <w:rPr>
        <w:rFonts w:ascii="Wingdings" w:hAnsi="Wingdings" w:hint="default"/>
      </w:rPr>
    </w:lvl>
  </w:abstractNum>
  <w:abstractNum w:abstractNumId="13">
    <w:nsid w:val="124B7CF1"/>
    <w:multiLevelType w:val="multilevel"/>
    <w:tmpl w:val="7AC6A14E"/>
    <w:styleLink w:val="UrbanNumberedList"/>
    <w:lvl w:ilvl="0">
      <w:start w:val="1"/>
      <w:numFmt w:val="decimal"/>
      <w:lvlText w:val="%1."/>
      <w:lvlJc w:val="left"/>
      <w:pPr>
        <w:ind w:left="288" w:hanging="288"/>
      </w:pPr>
      <w:rPr>
        <w:rFonts w:ascii="Verdana" w:hAnsi="Verdana" w:hint="default"/>
        <w:i w:val="0"/>
        <w:color w:val="9BBB59"/>
        <w:sz w:val="20"/>
      </w:rPr>
    </w:lvl>
    <w:lvl w:ilvl="1">
      <w:start w:val="1"/>
      <w:numFmt w:val="upperLetter"/>
      <w:lvlText w:val="%2."/>
      <w:lvlJc w:val="left"/>
      <w:pPr>
        <w:ind w:left="792" w:hanging="288"/>
      </w:pPr>
      <w:rPr>
        <w:rFonts w:ascii="Verdana" w:hAnsi="Verdana" w:hint="default"/>
        <w:b w:val="0"/>
        <w:i w:val="0"/>
        <w:color w:val="C0504D"/>
        <w:sz w:val="20"/>
      </w:rPr>
    </w:lvl>
    <w:lvl w:ilvl="2">
      <w:start w:val="1"/>
      <w:numFmt w:val="lowerRoman"/>
      <w:lvlText w:val="%3."/>
      <w:lvlJc w:val="right"/>
      <w:pPr>
        <w:ind w:left="1296" w:hanging="288"/>
      </w:pPr>
      <w:rPr>
        <w:rFonts w:ascii="Verdana" w:hAnsi="Verdana" w:hint="default"/>
        <w:b w:val="0"/>
        <w:i w:val="0"/>
        <w:color w:val="4F81BD"/>
        <w:sz w:val="20"/>
      </w:rPr>
    </w:lvl>
    <w:lvl w:ilvl="3">
      <w:start w:val="1"/>
      <w:numFmt w:val="decimal"/>
      <w:lvlText w:val="%4."/>
      <w:lvlJc w:val="left"/>
      <w:pPr>
        <w:ind w:left="1800" w:hanging="288"/>
      </w:pPr>
      <w:rPr>
        <w:rFonts w:ascii="Verdana" w:hAnsi="Verdana" w:hint="default"/>
        <w:b w:val="0"/>
        <w:i w:val="0"/>
        <w:color w:val="4F81BD"/>
        <w:sz w:val="20"/>
      </w:rPr>
    </w:lvl>
    <w:lvl w:ilvl="4">
      <w:start w:val="1"/>
      <w:numFmt w:val="lowerLetter"/>
      <w:lvlText w:val="%5."/>
      <w:lvlJc w:val="left"/>
      <w:pPr>
        <w:ind w:left="2304" w:hanging="288"/>
      </w:pPr>
      <w:rPr>
        <w:rFonts w:ascii="Verdana" w:hAnsi="Verdana" w:hint="default"/>
        <w:b w:val="0"/>
        <w:i w:val="0"/>
        <w:color w:val="4F81BD"/>
        <w:sz w:val="20"/>
      </w:rPr>
    </w:lvl>
    <w:lvl w:ilvl="5">
      <w:start w:val="1"/>
      <w:numFmt w:val="lowerRoman"/>
      <w:lvlText w:val="%6."/>
      <w:lvlJc w:val="right"/>
      <w:pPr>
        <w:ind w:left="2808" w:hanging="288"/>
      </w:pPr>
      <w:rPr>
        <w:rFonts w:ascii="Verdana" w:hAnsi="Verdana" w:hint="default"/>
        <w:b w:val="0"/>
        <w:i w:val="0"/>
        <w:color w:val="4F81BD"/>
        <w:sz w:val="20"/>
      </w:rPr>
    </w:lvl>
    <w:lvl w:ilvl="6">
      <w:start w:val="1"/>
      <w:numFmt w:val="decimal"/>
      <w:lvlText w:val="%7."/>
      <w:lvlJc w:val="left"/>
      <w:pPr>
        <w:ind w:left="3312" w:hanging="288"/>
      </w:pPr>
      <w:rPr>
        <w:rFonts w:ascii="Verdana" w:hAnsi="Verdana" w:hint="default"/>
        <w:b w:val="0"/>
        <w:i w:val="0"/>
        <w:color w:val="4F81BD"/>
        <w:sz w:val="20"/>
      </w:rPr>
    </w:lvl>
    <w:lvl w:ilvl="7">
      <w:start w:val="1"/>
      <w:numFmt w:val="lowerLetter"/>
      <w:lvlText w:val="%8."/>
      <w:lvlJc w:val="left"/>
      <w:pPr>
        <w:ind w:left="3816" w:hanging="288"/>
      </w:pPr>
      <w:rPr>
        <w:rFonts w:ascii="Verdana" w:hAnsi="Verdana" w:hint="default"/>
        <w:b w:val="0"/>
        <w:i w:val="0"/>
        <w:color w:val="4F81BD"/>
        <w:sz w:val="20"/>
      </w:rPr>
    </w:lvl>
    <w:lvl w:ilvl="8">
      <w:start w:val="1"/>
      <w:numFmt w:val="lowerRoman"/>
      <w:lvlText w:val="%9."/>
      <w:lvlJc w:val="right"/>
      <w:pPr>
        <w:ind w:left="4320" w:hanging="288"/>
      </w:pPr>
      <w:rPr>
        <w:rFonts w:ascii="Verdana" w:hAnsi="Verdana" w:hint="default"/>
        <w:b w:val="0"/>
        <w:i w:val="0"/>
        <w:color w:val="4F81BD"/>
        <w:sz w:val="20"/>
      </w:rPr>
    </w:lvl>
  </w:abstractNum>
  <w:abstractNum w:abstractNumId="14">
    <w:nsid w:val="20963FDE"/>
    <w:multiLevelType w:val="hybridMultilevel"/>
    <w:tmpl w:val="F0E8BB4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7157DBB"/>
    <w:multiLevelType w:val="singleLevel"/>
    <w:tmpl w:val="7278FBC6"/>
    <w:lvl w:ilvl="0">
      <w:start w:val="1"/>
      <w:numFmt w:val="lowerRoman"/>
      <w:pStyle w:val="DotpointiCONSITES"/>
      <w:lvlText w:val="(%1)"/>
      <w:lvlJc w:val="left"/>
      <w:pPr>
        <w:tabs>
          <w:tab w:val="num" w:pos="720"/>
        </w:tabs>
        <w:ind w:left="360" w:hanging="360"/>
      </w:pPr>
    </w:lvl>
  </w:abstractNum>
  <w:abstractNum w:abstractNumId="16">
    <w:nsid w:val="3035234B"/>
    <w:multiLevelType w:val="hybridMultilevel"/>
    <w:tmpl w:val="41FE28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BB26458"/>
    <w:multiLevelType w:val="multilevel"/>
    <w:tmpl w:val="085C0706"/>
    <w:lvl w:ilvl="0">
      <w:start w:val="1"/>
      <w:numFmt w:val="decimal"/>
      <w:pStyle w:val="OutlineLev1"/>
      <w:lvlText w:val="%1."/>
      <w:lvlJc w:val="left"/>
      <w:pPr>
        <w:tabs>
          <w:tab w:val="num" w:pos="360"/>
        </w:tabs>
        <w:ind w:left="360" w:hanging="360"/>
      </w:pPr>
      <w:rPr>
        <w:rFonts w:ascii="Book Antiqua" w:hAnsi="Book Antiqua" w:hint="default"/>
        <w:b w:val="0"/>
        <w:i w:val="0"/>
        <w:sz w:val="24"/>
      </w:rPr>
    </w:lvl>
    <w:lvl w:ilvl="1">
      <w:start w:val="1"/>
      <w:numFmt w:val="bullet"/>
      <w:pStyle w:val="OutlineLev2"/>
      <w:lvlText w:val=""/>
      <w:lvlJc w:val="left"/>
      <w:pPr>
        <w:tabs>
          <w:tab w:val="num" w:pos="720"/>
        </w:tabs>
        <w:ind w:left="720" w:hanging="360"/>
      </w:pPr>
      <w:rPr>
        <w:rFonts w:ascii="Symbol" w:hAnsi="Symbol" w:hint="default"/>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D9C46A3"/>
    <w:multiLevelType w:val="multilevel"/>
    <w:tmpl w:val="33B056D0"/>
    <w:styleLink w:val="UrbanBulletedList"/>
    <w:lvl w:ilvl="0">
      <w:start w:val="1"/>
      <w:numFmt w:val="bullet"/>
      <w:pStyle w:val="Bullet1"/>
      <w:lvlText w:val=""/>
      <w:lvlJc w:val="left"/>
      <w:pPr>
        <w:ind w:left="216" w:hanging="216"/>
      </w:pPr>
      <w:rPr>
        <w:rFonts w:ascii="Symbol" w:hAnsi="Symbol" w:hint="default"/>
        <w:b w:val="0"/>
        <w:i w:val="0"/>
        <w:color w:val="9BBB59"/>
        <w:sz w:val="18"/>
      </w:rPr>
    </w:lvl>
    <w:lvl w:ilvl="1">
      <w:start w:val="1"/>
      <w:numFmt w:val="bullet"/>
      <w:pStyle w:val="Bullet20"/>
      <w:lvlText w:val=""/>
      <w:lvlJc w:val="left"/>
      <w:pPr>
        <w:ind w:left="461" w:hanging="216"/>
      </w:pPr>
      <w:rPr>
        <w:rFonts w:ascii="Wingdings" w:hAnsi="Wingdings" w:hint="default"/>
        <w:b w:val="0"/>
        <w:i w:val="0"/>
        <w:color w:val="C0504D"/>
        <w:sz w:val="12"/>
      </w:rPr>
    </w:lvl>
    <w:lvl w:ilvl="2">
      <w:start w:val="1"/>
      <w:numFmt w:val="bullet"/>
      <w:pStyle w:val="Bullet30"/>
      <w:lvlText w:val=""/>
      <w:lvlJc w:val="left"/>
      <w:pPr>
        <w:ind w:left="706" w:hanging="216"/>
      </w:pPr>
      <w:rPr>
        <w:rFonts w:ascii="Symbol" w:hAnsi="Symbol" w:hint="default"/>
        <w:b w:val="0"/>
        <w:i w:val="0"/>
        <w:color w:val="4F81BD"/>
        <w:sz w:val="16"/>
      </w:rPr>
    </w:lvl>
    <w:lvl w:ilvl="3">
      <w:start w:val="1"/>
      <w:numFmt w:val="bullet"/>
      <w:lvlText w:val=""/>
      <w:lvlJc w:val="left"/>
      <w:pPr>
        <w:ind w:left="951" w:hanging="216"/>
      </w:pPr>
      <w:rPr>
        <w:rFonts w:ascii="Symbol" w:hAnsi="Symbol" w:hint="default"/>
        <w:b w:val="0"/>
        <w:i w:val="0"/>
        <w:color w:val="4F81BD"/>
        <w:sz w:val="16"/>
      </w:rPr>
    </w:lvl>
    <w:lvl w:ilvl="4">
      <w:start w:val="1"/>
      <w:numFmt w:val="bullet"/>
      <w:lvlText w:val=""/>
      <w:lvlJc w:val="left"/>
      <w:pPr>
        <w:ind w:left="1196" w:hanging="216"/>
      </w:pPr>
      <w:rPr>
        <w:rFonts w:ascii="Symbol" w:hAnsi="Symbol" w:hint="default"/>
        <w:color w:val="4F81BD"/>
        <w:sz w:val="16"/>
      </w:rPr>
    </w:lvl>
    <w:lvl w:ilvl="5">
      <w:start w:val="1"/>
      <w:numFmt w:val="bullet"/>
      <w:lvlText w:val=""/>
      <w:lvlJc w:val="left"/>
      <w:pPr>
        <w:ind w:left="1441" w:hanging="216"/>
      </w:pPr>
      <w:rPr>
        <w:rFonts w:ascii="Symbol" w:hAnsi="Symbol" w:hint="default"/>
        <w:color w:val="4F81BD"/>
        <w:sz w:val="16"/>
      </w:rPr>
    </w:lvl>
    <w:lvl w:ilvl="6">
      <w:start w:val="1"/>
      <w:numFmt w:val="bullet"/>
      <w:lvlText w:val=""/>
      <w:lvlJc w:val="left"/>
      <w:pPr>
        <w:ind w:left="1686" w:hanging="216"/>
      </w:pPr>
      <w:rPr>
        <w:rFonts w:ascii="Symbol" w:hAnsi="Symbol" w:hint="default"/>
        <w:color w:val="4F81BD"/>
        <w:sz w:val="16"/>
      </w:rPr>
    </w:lvl>
    <w:lvl w:ilvl="7">
      <w:start w:val="1"/>
      <w:numFmt w:val="bullet"/>
      <w:lvlText w:val=""/>
      <w:lvlJc w:val="left"/>
      <w:pPr>
        <w:ind w:left="1931" w:hanging="216"/>
      </w:pPr>
      <w:rPr>
        <w:rFonts w:ascii="Symbol" w:hAnsi="Symbol" w:hint="default"/>
        <w:color w:val="4F81BD"/>
        <w:sz w:val="16"/>
      </w:rPr>
    </w:lvl>
    <w:lvl w:ilvl="8">
      <w:start w:val="1"/>
      <w:numFmt w:val="bullet"/>
      <w:lvlText w:val=""/>
      <w:lvlJc w:val="left"/>
      <w:pPr>
        <w:ind w:left="2176" w:hanging="216"/>
      </w:pPr>
      <w:rPr>
        <w:rFonts w:ascii="Symbol" w:hAnsi="Symbol" w:hint="default"/>
        <w:color w:val="4F81BD"/>
        <w:sz w:val="16"/>
      </w:rPr>
    </w:lvl>
  </w:abstractNum>
  <w:abstractNum w:abstractNumId="20">
    <w:nsid w:val="47E31FB5"/>
    <w:multiLevelType w:val="multilevel"/>
    <w:tmpl w:val="1F345A5C"/>
    <w:lvl w:ilvl="0">
      <w:start w:val="1"/>
      <w:numFmt w:val="bullet"/>
      <w:pStyle w:val="Dot-points"/>
      <w:lvlText w:val=""/>
      <w:lvlJc w:val="left"/>
      <w:pPr>
        <w:tabs>
          <w:tab w:val="num" w:pos="360"/>
        </w:tabs>
        <w:ind w:left="360" w:hanging="360"/>
      </w:pPr>
      <w:rPr>
        <w:rFonts w:ascii="Symbol" w:hAnsi="Symbol" w:hint="default"/>
        <w:sz w:val="18"/>
      </w:rPr>
    </w:lvl>
    <w:lvl w:ilvl="1">
      <w:start w:val="1"/>
      <w:numFmt w:val="bullet"/>
      <w:lvlText w:val=""/>
      <w:lvlJc w:val="left"/>
      <w:pPr>
        <w:tabs>
          <w:tab w:val="num" w:pos="720"/>
        </w:tabs>
        <w:ind w:left="720" w:hanging="360"/>
      </w:pPr>
      <w:rPr>
        <w:rFonts w:ascii="Symbol" w:hAnsi="Symbol" w:hint="default"/>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29C4473"/>
    <w:multiLevelType w:val="multilevel"/>
    <w:tmpl w:val="3DCC15C2"/>
    <w:lvl w:ilvl="0">
      <w:start w:val="1"/>
      <w:numFmt w:val="decimal"/>
      <w:pStyle w:val="Heading1"/>
      <w:lvlText w:val="%1"/>
      <w:lvlJc w:val="left"/>
      <w:pPr>
        <w:tabs>
          <w:tab w:val="num" w:pos="720"/>
        </w:tabs>
        <w:ind w:left="720" w:hanging="720"/>
      </w:pPr>
      <w:rPr>
        <w:rFonts w:ascii="Book Antiqua" w:hAnsi="Book Antiqua" w:hint="default"/>
        <w:b/>
        <w:i w:val="0"/>
        <w:sz w:val="3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645F562F"/>
    <w:multiLevelType w:val="singleLevel"/>
    <w:tmpl w:val="19683378"/>
    <w:lvl w:ilvl="0">
      <w:start w:val="1"/>
      <w:numFmt w:val="decimal"/>
      <w:pStyle w:val="NumberedList"/>
      <w:lvlText w:val="%1."/>
      <w:lvlJc w:val="left"/>
      <w:pPr>
        <w:tabs>
          <w:tab w:val="num" w:pos="425"/>
        </w:tabs>
        <w:ind w:left="425" w:hanging="425"/>
      </w:pPr>
      <w:rPr>
        <w:rFonts w:hint="default"/>
      </w:rPr>
    </w:lvl>
  </w:abstractNum>
  <w:abstractNum w:abstractNumId="23">
    <w:nsid w:val="684B4745"/>
    <w:multiLevelType w:val="multilevel"/>
    <w:tmpl w:val="88E40C24"/>
    <w:lvl w:ilvl="0">
      <w:start w:val="1"/>
      <w:numFmt w:val="lowerRoman"/>
      <w:lvlText w:val="(%1)"/>
      <w:lvlJc w:val="left"/>
      <w:pPr>
        <w:tabs>
          <w:tab w:val="num" w:pos="1080"/>
        </w:tabs>
        <w:ind w:left="360" w:hanging="360"/>
      </w:pPr>
    </w:lvl>
    <w:lvl w:ilvl="1">
      <w:start w:val="1"/>
      <w:numFmt w:val="bullet"/>
      <w:pStyle w:val="Dotpoint2ndCONSITES"/>
      <w:lvlText w:val=""/>
      <w:lvlJc w:val="left"/>
      <w:pPr>
        <w:tabs>
          <w:tab w:val="num" w:pos="720"/>
        </w:tabs>
        <w:ind w:left="720" w:hanging="360"/>
      </w:pPr>
      <w:rPr>
        <w:rFonts w:ascii="Symbol" w:hAnsi="Symbol" w:hint="default"/>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23"/>
  </w:num>
  <w:num w:numId="14">
    <w:abstractNumId w:val="15"/>
  </w:num>
  <w:num w:numId="15">
    <w:abstractNumId w:val="20"/>
  </w:num>
  <w:num w:numId="16">
    <w:abstractNumId w:val="21"/>
  </w:num>
  <w:num w:numId="17">
    <w:abstractNumId w:val="18"/>
  </w:num>
  <w:num w:numId="18">
    <w:abstractNumId w:val="19"/>
  </w:num>
  <w:num w:numId="19">
    <w:abstractNumId w:val="13"/>
  </w:num>
  <w:num w:numId="20">
    <w:abstractNumId w:val="10"/>
  </w:num>
  <w:num w:numId="21">
    <w:abstractNumId w:val="22"/>
  </w:num>
  <w:num w:numId="22">
    <w:abstractNumId w:val="12"/>
  </w:num>
  <w:num w:numId="23">
    <w:abstractNumId w:val="14"/>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104"/>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A6C"/>
    <w:rsid w:val="0001007A"/>
    <w:rsid w:val="000136AF"/>
    <w:rsid w:val="00014B9A"/>
    <w:rsid w:val="000279D9"/>
    <w:rsid w:val="000614BF"/>
    <w:rsid w:val="0006666F"/>
    <w:rsid w:val="00087033"/>
    <w:rsid w:val="000D05EF"/>
    <w:rsid w:val="000D5999"/>
    <w:rsid w:val="000F21C1"/>
    <w:rsid w:val="001016D1"/>
    <w:rsid w:val="0010745C"/>
    <w:rsid w:val="0011206D"/>
    <w:rsid w:val="00166C2F"/>
    <w:rsid w:val="0018435F"/>
    <w:rsid w:val="001939E1"/>
    <w:rsid w:val="00195382"/>
    <w:rsid w:val="001B0F61"/>
    <w:rsid w:val="001C69C4"/>
    <w:rsid w:val="001E3590"/>
    <w:rsid w:val="001E7407"/>
    <w:rsid w:val="001F2093"/>
    <w:rsid w:val="001F2991"/>
    <w:rsid w:val="0021528E"/>
    <w:rsid w:val="00240749"/>
    <w:rsid w:val="0024239A"/>
    <w:rsid w:val="00297258"/>
    <w:rsid w:val="00297ECB"/>
    <w:rsid w:val="002D043A"/>
    <w:rsid w:val="00313C6F"/>
    <w:rsid w:val="003210B2"/>
    <w:rsid w:val="003415D3"/>
    <w:rsid w:val="00352B0F"/>
    <w:rsid w:val="00366A72"/>
    <w:rsid w:val="003D0BFE"/>
    <w:rsid w:val="003D5700"/>
    <w:rsid w:val="004116CD"/>
    <w:rsid w:val="00416CD3"/>
    <w:rsid w:val="00424CA9"/>
    <w:rsid w:val="0043512F"/>
    <w:rsid w:val="00440188"/>
    <w:rsid w:val="0044291A"/>
    <w:rsid w:val="00496F97"/>
    <w:rsid w:val="004A2F18"/>
    <w:rsid w:val="00516B8D"/>
    <w:rsid w:val="00521CD8"/>
    <w:rsid w:val="005230DA"/>
    <w:rsid w:val="005336B1"/>
    <w:rsid w:val="00537FBC"/>
    <w:rsid w:val="00584811"/>
    <w:rsid w:val="00593AA6"/>
    <w:rsid w:val="00594161"/>
    <w:rsid w:val="00594749"/>
    <w:rsid w:val="005B4067"/>
    <w:rsid w:val="005C3F41"/>
    <w:rsid w:val="005E53EB"/>
    <w:rsid w:val="005E772B"/>
    <w:rsid w:val="00600219"/>
    <w:rsid w:val="00664C63"/>
    <w:rsid w:val="00677CC2"/>
    <w:rsid w:val="0069207B"/>
    <w:rsid w:val="006B0CF5"/>
    <w:rsid w:val="006C5791"/>
    <w:rsid w:val="006C7F8C"/>
    <w:rsid w:val="00700B2C"/>
    <w:rsid w:val="00713084"/>
    <w:rsid w:val="00731E00"/>
    <w:rsid w:val="007440B7"/>
    <w:rsid w:val="007636B0"/>
    <w:rsid w:val="007677A6"/>
    <w:rsid w:val="007715C9"/>
    <w:rsid w:val="00774EDD"/>
    <w:rsid w:val="007757EC"/>
    <w:rsid w:val="007A7A7F"/>
    <w:rsid w:val="007C6B5D"/>
    <w:rsid w:val="007E335B"/>
    <w:rsid w:val="00830815"/>
    <w:rsid w:val="00856A31"/>
    <w:rsid w:val="00861BCA"/>
    <w:rsid w:val="008754D0"/>
    <w:rsid w:val="008D0EE0"/>
    <w:rsid w:val="00932377"/>
    <w:rsid w:val="009620C2"/>
    <w:rsid w:val="00983A6C"/>
    <w:rsid w:val="009C6751"/>
    <w:rsid w:val="00A0097F"/>
    <w:rsid w:val="00A231E2"/>
    <w:rsid w:val="00A24CB9"/>
    <w:rsid w:val="00A25627"/>
    <w:rsid w:val="00A6121F"/>
    <w:rsid w:val="00A64912"/>
    <w:rsid w:val="00A70A74"/>
    <w:rsid w:val="00AA5B8D"/>
    <w:rsid w:val="00AD5641"/>
    <w:rsid w:val="00AE59F7"/>
    <w:rsid w:val="00AE7BD7"/>
    <w:rsid w:val="00B011E4"/>
    <w:rsid w:val="00B33B3C"/>
    <w:rsid w:val="00B340B6"/>
    <w:rsid w:val="00B45DD6"/>
    <w:rsid w:val="00B568CC"/>
    <w:rsid w:val="00B90D47"/>
    <w:rsid w:val="00BC66A3"/>
    <w:rsid w:val="00BD5689"/>
    <w:rsid w:val="00BD6B2E"/>
    <w:rsid w:val="00BE5054"/>
    <w:rsid w:val="00BE719A"/>
    <w:rsid w:val="00BE720A"/>
    <w:rsid w:val="00C009BA"/>
    <w:rsid w:val="00C21A4E"/>
    <w:rsid w:val="00C255AB"/>
    <w:rsid w:val="00C42BF8"/>
    <w:rsid w:val="00C50043"/>
    <w:rsid w:val="00C67D51"/>
    <w:rsid w:val="00C7573B"/>
    <w:rsid w:val="00C8494E"/>
    <w:rsid w:val="00CE164B"/>
    <w:rsid w:val="00CF0BB2"/>
    <w:rsid w:val="00CF4975"/>
    <w:rsid w:val="00D13441"/>
    <w:rsid w:val="00D3213F"/>
    <w:rsid w:val="00D70DFB"/>
    <w:rsid w:val="00D766DF"/>
    <w:rsid w:val="00DF09AC"/>
    <w:rsid w:val="00E02F5D"/>
    <w:rsid w:val="00E05704"/>
    <w:rsid w:val="00E37595"/>
    <w:rsid w:val="00E4146C"/>
    <w:rsid w:val="00E74DC7"/>
    <w:rsid w:val="00E80517"/>
    <w:rsid w:val="00E9136A"/>
    <w:rsid w:val="00ED1A6C"/>
    <w:rsid w:val="00EF2E3A"/>
    <w:rsid w:val="00F078DC"/>
    <w:rsid w:val="00F1779C"/>
    <w:rsid w:val="00F46106"/>
    <w:rsid w:val="00F5076A"/>
    <w:rsid w:val="00F55FC5"/>
    <w:rsid w:val="00FA3991"/>
    <w:rsid w:val="00FB68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qFormat="1"/>
    <w:lsdException w:name="footnote reference" w:uiPriority="0"/>
    <w:lsdException w:name="annotation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3"/>
    <w:lsdException w:name="Strong" w:semiHidden="0" w:uiPriority="22" w:unhideWhenUsed="0" w:qFormat="1"/>
    <w:lsdException w:name="Emphasis" w:semiHidden="0" w:uiPriority="0" w:unhideWhenUsed="0" w:qFormat="1"/>
    <w:lsdException w:name="Normal (Web)"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41"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4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46"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paragraph" w:styleId="Heading1">
    <w:name w:val="heading 1"/>
    <w:aliases w:val="Chapter Heading,Chapter Heading1,Chapter Heading2,Chapter Heading3,Chapter Heading4,Chapter Heading5,Chapter Heading6,Chapter Heading7,Chapter Heading8,Chapter Heading9,Chapter Heading10,Chapter Heading11,Chapter Heading21,Chapter Heading31,h1"/>
    <w:basedOn w:val="text"/>
    <w:next w:val="text"/>
    <w:link w:val="Heading1Char"/>
    <w:autoRedefine/>
    <w:uiPriority w:val="9"/>
    <w:qFormat/>
    <w:rsid w:val="007636B0"/>
    <w:pPr>
      <w:keepNext/>
      <w:pageBreakBefore/>
      <w:numPr>
        <w:numId w:val="16"/>
      </w:numPr>
      <w:tabs>
        <w:tab w:val="clear" w:pos="720"/>
        <w:tab w:val="num" w:pos="1209"/>
        <w:tab w:val="right" w:pos="9072"/>
      </w:tabs>
      <w:spacing w:before="0"/>
      <w:ind w:left="709" w:hanging="709"/>
      <w:outlineLvl w:val="0"/>
    </w:pPr>
    <w:rPr>
      <w:b/>
      <w:kern w:val="28"/>
      <w:sz w:val="32"/>
    </w:rPr>
  </w:style>
  <w:style w:type="paragraph" w:styleId="Heading2">
    <w:name w:val="heading 2"/>
    <w:aliases w:val="Major Heading,Major Heading1,Major Heading2,Major Heading3,Major Heading4,Major Heading5,Major Heading6,Major Heading11,Major Heading21,Major Heading31,Major Heading7,Major Heading12,Major Heading22,Major Heading32,Major Heading8,h2,H2,2,Para2"/>
    <w:basedOn w:val="Heading1"/>
    <w:next w:val="Normal"/>
    <w:link w:val="Heading2Char"/>
    <w:autoRedefine/>
    <w:uiPriority w:val="9"/>
    <w:qFormat/>
    <w:rsid w:val="007636B0"/>
    <w:pPr>
      <w:keepLines/>
      <w:pageBreakBefore w:val="0"/>
      <w:numPr>
        <w:ilvl w:val="1"/>
      </w:numPr>
      <w:tabs>
        <w:tab w:val="clear" w:pos="576"/>
        <w:tab w:val="right" w:pos="709"/>
        <w:tab w:val="num" w:pos="1209"/>
        <w:tab w:val="left" w:pos="9180"/>
      </w:tabs>
      <w:autoSpaceDE w:val="0"/>
      <w:autoSpaceDN w:val="0"/>
      <w:adjustRightInd w:val="0"/>
      <w:spacing w:before="240"/>
      <w:ind w:left="709" w:hanging="709"/>
      <w:outlineLvl w:val="1"/>
    </w:pPr>
    <w:rPr>
      <w:sz w:val="24"/>
      <w:lang w:eastAsia="en-US"/>
    </w:rPr>
  </w:style>
  <w:style w:type="paragraph" w:styleId="Heading3">
    <w:name w:val="heading 3"/>
    <w:aliases w:val="Sub-heading,Sub-heading1,Sub-heading2,Sub-heading3,Sub-heading4,Sub-heading5,Sub-heading6,Sub-heading11,Sub-heading21,Sub-heading31,Sub-heading7,Sub-heading12,Sub-heading22,Sub-heading32,Sub-heading8,Sub-heading13,Sub-heading23,Sub-heading33"/>
    <w:basedOn w:val="Heading2"/>
    <w:next w:val="Normal"/>
    <w:link w:val="Heading3Char"/>
    <w:uiPriority w:val="9"/>
    <w:qFormat/>
    <w:rsid w:val="007636B0"/>
    <w:pPr>
      <w:numPr>
        <w:ilvl w:val="2"/>
      </w:numPr>
      <w:outlineLvl w:val="2"/>
    </w:pPr>
    <w:rPr>
      <w:sz w:val="22"/>
    </w:rPr>
  </w:style>
  <w:style w:type="paragraph" w:styleId="Heading4">
    <w:name w:val="heading 4"/>
    <w:aliases w:val="Minor Heading,Minor Heading1,Minor Heading2,Minor Heading3,Minor Heading4,Minor Heading5,Minor Heading6,Minor Heading7,Minor Heading8,Minor Heading11,Minor Heading21,Minor Heading31,Minor Heading41,Minor Heading51,Minor Heading9,D&amp;M,h4,h41,h42"/>
    <w:basedOn w:val="Normal"/>
    <w:next w:val="Normal"/>
    <w:link w:val="Heading4Char"/>
    <w:uiPriority w:val="9"/>
    <w:qFormat/>
    <w:rsid w:val="007636B0"/>
    <w:pPr>
      <w:keepNext/>
      <w:numPr>
        <w:ilvl w:val="3"/>
        <w:numId w:val="16"/>
      </w:numPr>
      <w:tabs>
        <w:tab w:val="left" w:pos="1134"/>
      </w:tabs>
      <w:spacing w:before="240" w:after="120" w:line="240" w:lineRule="auto"/>
      <w:jc w:val="both"/>
      <w:outlineLvl w:val="3"/>
    </w:pPr>
    <w:rPr>
      <w:rFonts w:ascii="Book Antiqua" w:eastAsia="Times New Roman" w:hAnsi="Book Antiqua" w:cs="Times New Roman"/>
      <w:i/>
      <w:lang w:eastAsia="en-AU"/>
    </w:rPr>
  </w:style>
  <w:style w:type="paragraph" w:styleId="Heading5">
    <w:name w:val="heading 5"/>
    <w:aliases w:val="Further Points,Further Points1,Further Points2,Further Points3,Further Points11,Further Points4,Further Points5,Further Points12,Further Points21,Further Points111,Further Points6,Further Points13,Further Points22,Further Points112,h5,Para5"/>
    <w:basedOn w:val="Normal"/>
    <w:next w:val="Normal"/>
    <w:link w:val="Heading5Char"/>
    <w:uiPriority w:val="9"/>
    <w:rsid w:val="007636B0"/>
    <w:pPr>
      <w:keepNext/>
      <w:numPr>
        <w:ilvl w:val="4"/>
        <w:numId w:val="16"/>
      </w:numPr>
      <w:spacing w:before="120" w:after="120" w:line="240" w:lineRule="auto"/>
      <w:ind w:right="-2"/>
      <w:outlineLvl w:val="4"/>
    </w:pPr>
    <w:rPr>
      <w:rFonts w:ascii="Book Antiqua" w:eastAsia="Times New Roman" w:hAnsi="Book Antiqua" w:cs="Times New Roman"/>
      <w:b/>
      <w:sz w:val="20"/>
      <w:lang w:eastAsia="en-AU"/>
    </w:rPr>
  </w:style>
  <w:style w:type="paragraph" w:styleId="Heading6">
    <w:name w:val="heading 6"/>
    <w:aliases w:val="Points in Text,Points in Text1,Points in Text2,Points in Text3,Points in Text4,Points in Text5,Points in Text11,Points in Text21,Points in Text6,Points in Text12,Points in Text22,Points in Text7,Points in Text13,Points in Text23,not Kinhill,H"/>
    <w:basedOn w:val="Normal"/>
    <w:next w:val="Normal"/>
    <w:link w:val="Heading6Char"/>
    <w:uiPriority w:val="9"/>
    <w:rsid w:val="007636B0"/>
    <w:pPr>
      <w:numPr>
        <w:ilvl w:val="5"/>
        <w:numId w:val="16"/>
      </w:numPr>
      <w:spacing w:before="240" w:after="60" w:line="240" w:lineRule="auto"/>
      <w:jc w:val="both"/>
      <w:outlineLvl w:val="5"/>
    </w:pPr>
    <w:rPr>
      <w:rFonts w:eastAsia="Times New Roman" w:cs="Times New Roman"/>
      <w:i/>
      <w:lang w:eastAsia="en-AU"/>
    </w:rPr>
  </w:style>
  <w:style w:type="paragraph" w:styleId="Heading7">
    <w:name w:val="heading 7"/>
    <w:aliases w:val="DO NOT USE 7,DO NOT USE 71,H7,H71,H72,H711,DO NOT USE 72,DO NOT USE 711,H73,H712,DO NOT USE 73,DO NOT USE 712,H74,H713,DO NOT USE 74,DO NOT USE 713,H75,H714,DO NOT USE 75,DO NOT USE 714,H76,H715,DO NOT USE 76,DO NOT USE 715,H77,H716,H78,H717"/>
    <w:basedOn w:val="Normal"/>
    <w:next w:val="Normal"/>
    <w:link w:val="Heading7Char"/>
    <w:uiPriority w:val="9"/>
    <w:rsid w:val="007636B0"/>
    <w:pPr>
      <w:numPr>
        <w:ilvl w:val="6"/>
        <w:numId w:val="16"/>
      </w:numPr>
      <w:spacing w:before="240" w:after="60" w:line="240" w:lineRule="auto"/>
      <w:jc w:val="both"/>
      <w:outlineLvl w:val="6"/>
    </w:pPr>
    <w:rPr>
      <w:rFonts w:ascii="Arial" w:eastAsia="Times New Roman" w:hAnsi="Arial" w:cs="Times New Roman"/>
      <w:sz w:val="20"/>
      <w:lang w:eastAsia="en-AU"/>
    </w:rPr>
  </w:style>
  <w:style w:type="paragraph" w:styleId="Heading8">
    <w:name w:val="heading 8"/>
    <w:aliases w:val="Appendix Level 2,not Kinhill1,Appendix Level 21,Appendix Level 22,Appendix Level 23,Appendix Level 24,Appendix Level 25,Appendix Level 26,Appendix Level 27,DO NOT USE 8,Appendix Level 28,Appendix Level 211,Appendix Level 221"/>
    <w:basedOn w:val="Normal"/>
    <w:next w:val="Normal"/>
    <w:link w:val="Heading8Char"/>
    <w:uiPriority w:val="9"/>
    <w:rsid w:val="007636B0"/>
    <w:pPr>
      <w:numPr>
        <w:ilvl w:val="7"/>
        <w:numId w:val="16"/>
      </w:numPr>
      <w:spacing w:before="240" w:after="60" w:line="240" w:lineRule="auto"/>
      <w:jc w:val="both"/>
      <w:outlineLvl w:val="7"/>
    </w:pPr>
    <w:rPr>
      <w:rFonts w:ascii="Arial" w:eastAsia="Times New Roman" w:hAnsi="Arial" w:cs="Times New Roman"/>
      <w:i/>
      <w:sz w:val="20"/>
      <w:lang w:eastAsia="en-AU"/>
    </w:rPr>
  </w:style>
  <w:style w:type="paragraph" w:styleId="Heading9">
    <w:name w:val="heading 9"/>
    <w:aliases w:val="Appendix Level 3,Appendix Level 31,Appendix Level 32,Appendix Level 33,Appendix Level 34,Appendix Level 35,Appendix Level 36,Appendix Level 37,DO NOT USE 9,Appendix Level 38,Appendix Level 311,Appendix Level 321,Appendix Level 331,H9,H91,H92"/>
    <w:basedOn w:val="Normal"/>
    <w:next w:val="Normal"/>
    <w:link w:val="Heading9Char"/>
    <w:uiPriority w:val="9"/>
    <w:rsid w:val="007636B0"/>
    <w:pPr>
      <w:numPr>
        <w:ilvl w:val="8"/>
        <w:numId w:val="16"/>
      </w:numPr>
      <w:spacing w:before="240" w:after="60" w:line="240" w:lineRule="auto"/>
      <w:jc w:val="both"/>
      <w:outlineLvl w:val="8"/>
    </w:pPr>
    <w:rPr>
      <w:rFonts w:ascii="Arial" w:eastAsia="Times New Roman" w:hAnsi="Arial" w:cs="Times New Roman"/>
      <w:b/>
      <w:i/>
      <w:sz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A24CB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1B0F61"/>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D1344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54D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754D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754D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B0F6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116C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F0B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F0B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F0B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664C6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664C63"/>
    <w:rPr>
      <w:rFonts w:eastAsia="Times New Roman" w:cs="Times New Roman"/>
      <w:sz w:val="22"/>
      <w:szCs w:val="24"/>
      <w:lang w:eastAsia="en-AU"/>
    </w:rPr>
  </w:style>
  <w:style w:type="character" w:styleId="LineNumber">
    <w:name w:val="line number"/>
    <w:basedOn w:val="OPCCharBase"/>
    <w:unhideWhenUsed/>
    <w:rsid w:val="001B0F61"/>
    <w:rPr>
      <w:sz w:val="16"/>
    </w:rPr>
  </w:style>
  <w:style w:type="table" w:customStyle="1" w:styleId="CFlag">
    <w:name w:val="CFlag"/>
    <w:basedOn w:val="TableNormal"/>
    <w:uiPriority w:val="99"/>
    <w:rsid w:val="0018435F"/>
    <w:rPr>
      <w:rFonts w:eastAsia="Times New Roman" w:cs="Times New Roman"/>
      <w:lang w:eastAsia="en-AU"/>
    </w:rPr>
    <w:tblPr>
      <w:tblInd w:w="0" w:type="dxa"/>
      <w:tblCellMar>
        <w:top w:w="0" w:type="dxa"/>
        <w:left w:w="108" w:type="dxa"/>
        <w:bottom w:w="0" w:type="dxa"/>
        <w:right w:w="108" w:type="dxa"/>
      </w:tblCellMar>
    </w:tblPr>
  </w:style>
  <w:style w:type="table" w:styleId="TableGrid">
    <w:name w:val="Table Grid"/>
    <w:basedOn w:val="TableNormal"/>
    <w:uiPriority w:val="1"/>
    <w:rsid w:val="00A6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PartCASA">
    <w:name w:val="SubPart(CASA)"/>
    <w:aliases w:val="csp"/>
    <w:basedOn w:val="OPCParaBase"/>
    <w:next w:val="ActHead3"/>
    <w:rsid w:val="007E335B"/>
    <w:pPr>
      <w:keepNext/>
      <w:keepLines/>
      <w:spacing w:before="280"/>
      <w:outlineLvl w:val="1"/>
    </w:pPr>
    <w:rPr>
      <w:b/>
      <w:kern w:val="28"/>
      <w:sz w:val="32"/>
    </w:rPr>
  </w:style>
  <w:style w:type="paragraph" w:customStyle="1" w:styleId="ENotesHeading1">
    <w:name w:val="ENotesHeading 1"/>
    <w:aliases w:val="Enh1"/>
    <w:basedOn w:val="OPCParaBase"/>
    <w:next w:val="Normal"/>
    <w:rsid w:val="00DF09AC"/>
    <w:pPr>
      <w:spacing w:before="120"/>
      <w:outlineLvl w:val="0"/>
    </w:pPr>
    <w:rPr>
      <w:b/>
      <w:sz w:val="28"/>
      <w:szCs w:val="28"/>
    </w:rPr>
  </w:style>
  <w:style w:type="paragraph" w:customStyle="1" w:styleId="ENotesHeading2">
    <w:name w:val="ENotesHeading 2"/>
    <w:aliases w:val="Enh2"/>
    <w:basedOn w:val="OPCParaBase"/>
    <w:next w:val="Normal"/>
    <w:rsid w:val="00DF09AC"/>
    <w:pPr>
      <w:spacing w:before="120" w:after="120"/>
      <w:outlineLvl w:val="6"/>
    </w:pPr>
    <w:rPr>
      <w:b/>
      <w:sz w:val="24"/>
      <w:szCs w:val="28"/>
    </w:rPr>
  </w:style>
  <w:style w:type="paragraph" w:customStyle="1" w:styleId="ENotesHeading3">
    <w:name w:val="ENotesHeading 3"/>
    <w:aliases w:val="Enh3"/>
    <w:basedOn w:val="OPCParaBase"/>
    <w:next w:val="Normal"/>
    <w:rsid w:val="00DF09AC"/>
    <w:pPr>
      <w:spacing w:before="120" w:line="240" w:lineRule="auto"/>
      <w:outlineLvl w:val="7"/>
    </w:pPr>
    <w:rPr>
      <w:b/>
      <w:szCs w:val="24"/>
    </w:rPr>
  </w:style>
  <w:style w:type="paragraph" w:customStyle="1" w:styleId="ENotesText">
    <w:name w:val="ENotesText"/>
    <w:aliases w:val="Ent"/>
    <w:basedOn w:val="OPCParaBase"/>
    <w:next w:val="Normal"/>
    <w:rsid w:val="00DF09AC"/>
    <w:pPr>
      <w:spacing w:before="120"/>
    </w:pPr>
  </w:style>
  <w:style w:type="paragraph" w:customStyle="1" w:styleId="CompiledActNo">
    <w:name w:val="CompiledActNo"/>
    <w:basedOn w:val="OPCParaBase"/>
    <w:next w:val="Normal"/>
    <w:rsid w:val="00C255AB"/>
    <w:rPr>
      <w:b/>
      <w:sz w:val="24"/>
      <w:szCs w:val="24"/>
    </w:rPr>
  </w:style>
  <w:style w:type="paragraph" w:customStyle="1" w:styleId="CompiledMadeUnder">
    <w:name w:val="CompiledMadeUnder"/>
    <w:basedOn w:val="OPCParaBase"/>
    <w:next w:val="Normal"/>
    <w:rsid w:val="00C255AB"/>
    <w:rPr>
      <w:i/>
      <w:sz w:val="24"/>
      <w:szCs w:val="24"/>
    </w:rPr>
  </w:style>
  <w:style w:type="paragraph" w:customStyle="1" w:styleId="Paragraphsub-sub-sub">
    <w:name w:val="Paragraph(sub-sub-sub)"/>
    <w:aliases w:val="aaaa"/>
    <w:basedOn w:val="OPCParaBase"/>
    <w:rsid w:val="00BD6B2E"/>
    <w:pPr>
      <w:tabs>
        <w:tab w:val="right" w:pos="3402"/>
      </w:tabs>
      <w:spacing w:before="40" w:line="240" w:lineRule="auto"/>
      <w:ind w:left="3402" w:hanging="3402"/>
    </w:pPr>
  </w:style>
  <w:style w:type="paragraph" w:customStyle="1" w:styleId="EndNotespara">
    <w:name w:val="EndNotes(para)"/>
    <w:aliases w:val="eta"/>
    <w:basedOn w:val="OPCParaBase"/>
    <w:next w:val="Normal"/>
    <w:rsid w:val="00DF09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F09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F09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F09A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F09AC"/>
    <w:pPr>
      <w:spacing w:before="60" w:line="240" w:lineRule="auto"/>
    </w:pPr>
    <w:rPr>
      <w:rFonts w:cs="Arial"/>
      <w:sz w:val="20"/>
      <w:szCs w:val="22"/>
    </w:rPr>
  </w:style>
  <w:style w:type="paragraph" w:customStyle="1" w:styleId="TableHeading">
    <w:name w:val="TableHeading"/>
    <w:aliases w:val="th"/>
    <w:basedOn w:val="OPCParaBase"/>
    <w:next w:val="Tabletext"/>
    <w:rsid w:val="00F1779C"/>
    <w:pPr>
      <w:spacing w:before="60" w:line="240" w:lineRule="atLeast"/>
    </w:pPr>
    <w:rPr>
      <w:b/>
      <w:sz w:val="20"/>
    </w:rPr>
  </w:style>
  <w:style w:type="paragraph" w:customStyle="1" w:styleId="NoteToSubpara">
    <w:name w:val="NoteToSubpara"/>
    <w:aliases w:val="nts"/>
    <w:basedOn w:val="OPCParaBase"/>
    <w:rsid w:val="00E9136A"/>
    <w:pPr>
      <w:spacing w:before="40" w:line="198" w:lineRule="exact"/>
      <w:ind w:left="2835" w:hanging="709"/>
    </w:pPr>
    <w:rPr>
      <w:sz w:val="18"/>
    </w:rPr>
  </w:style>
  <w:style w:type="character" w:customStyle="1" w:styleId="Heading1Char">
    <w:name w:val="Heading 1 Char"/>
    <w:aliases w:val="Chapter Heading Char,Chapter Heading1 Char,Chapter Heading2 Char,Chapter Heading3 Char,Chapter Heading4 Char,Chapter Heading5 Char,Chapter Heading6 Char,Chapter Heading7 Char,Chapter Heading8 Char,Chapter Heading9 Char,h1 Char"/>
    <w:basedOn w:val="DefaultParagraphFont"/>
    <w:link w:val="Heading1"/>
    <w:uiPriority w:val="9"/>
    <w:rsid w:val="007636B0"/>
    <w:rPr>
      <w:rFonts w:ascii="Book Antiqua" w:eastAsia="Times New Roman" w:hAnsi="Book Antiqua" w:cs="Times New Roman"/>
      <w:b/>
      <w:kern w:val="28"/>
      <w:sz w:val="32"/>
      <w:lang w:eastAsia="en-AU"/>
    </w:rPr>
  </w:style>
  <w:style w:type="character" w:customStyle="1" w:styleId="Heading2Char">
    <w:name w:val="Heading 2 Char"/>
    <w:aliases w:val="Major Heading Char,Major Heading1 Char,Major Heading2 Char,Major Heading3 Char,Major Heading4 Char,Major Heading5 Char,Major Heading6 Char,Major Heading11 Char,Major Heading21 Char,Major Heading31 Char,Major Heading7 Char,h2 Char,H2 Char"/>
    <w:basedOn w:val="DefaultParagraphFont"/>
    <w:link w:val="Heading2"/>
    <w:uiPriority w:val="9"/>
    <w:rsid w:val="007636B0"/>
    <w:rPr>
      <w:rFonts w:ascii="Book Antiqua" w:eastAsia="Times New Roman" w:hAnsi="Book Antiqua" w:cs="Times New Roman"/>
      <w:b/>
      <w:kern w:val="28"/>
      <w:sz w:val="24"/>
    </w:rPr>
  </w:style>
  <w:style w:type="character" w:customStyle="1" w:styleId="Heading3Char">
    <w:name w:val="Heading 3 Char"/>
    <w:aliases w:val="Sub-heading Char,Sub-heading1 Char,Sub-heading2 Char,Sub-heading3 Char,Sub-heading4 Char,Sub-heading5 Char,Sub-heading6 Char,Sub-heading11 Char,Sub-heading21 Char,Sub-heading31 Char,Sub-heading7 Char,Sub-heading12 Char,Sub-heading22 Char"/>
    <w:basedOn w:val="DefaultParagraphFont"/>
    <w:link w:val="Heading3"/>
    <w:uiPriority w:val="9"/>
    <w:rsid w:val="007636B0"/>
    <w:rPr>
      <w:rFonts w:ascii="Book Antiqua" w:eastAsia="Times New Roman" w:hAnsi="Book Antiqua" w:cs="Times New Roman"/>
      <w:b/>
      <w:kern w:val="28"/>
      <w:sz w:val="22"/>
    </w:rPr>
  </w:style>
  <w:style w:type="character" w:customStyle="1" w:styleId="Heading4Char">
    <w:name w:val="Heading 4 Char"/>
    <w:aliases w:val="Minor Heading Char,Minor Heading1 Char,Minor Heading2 Char,Minor Heading3 Char,Minor Heading4 Char,Minor Heading5 Char,Minor Heading6 Char,Minor Heading7 Char,Minor Heading8 Char,Minor Heading11 Char,Minor Heading21 Char,D&amp;M Char,h4 Char"/>
    <w:basedOn w:val="DefaultParagraphFont"/>
    <w:link w:val="Heading4"/>
    <w:uiPriority w:val="9"/>
    <w:rsid w:val="007636B0"/>
    <w:rPr>
      <w:rFonts w:ascii="Book Antiqua" w:eastAsia="Times New Roman" w:hAnsi="Book Antiqua" w:cs="Times New Roman"/>
      <w:i/>
      <w:sz w:val="22"/>
      <w:lang w:eastAsia="en-AU"/>
    </w:rPr>
  </w:style>
  <w:style w:type="character" w:customStyle="1" w:styleId="Heading5Char">
    <w:name w:val="Heading 5 Char"/>
    <w:aliases w:val="Further Points Char,Further Points1 Char,Further Points2 Char,Further Points3 Char,Further Points11 Char,Further Points4 Char,Further Points5 Char,Further Points12 Char,Further Points21 Char,Further Points111 Char,Further Points6 Char"/>
    <w:basedOn w:val="DefaultParagraphFont"/>
    <w:link w:val="Heading5"/>
    <w:uiPriority w:val="9"/>
    <w:rsid w:val="007636B0"/>
    <w:rPr>
      <w:rFonts w:ascii="Book Antiqua" w:eastAsia="Times New Roman" w:hAnsi="Book Antiqua" w:cs="Times New Roman"/>
      <w:b/>
      <w:lang w:eastAsia="en-AU"/>
    </w:rPr>
  </w:style>
  <w:style w:type="character" w:customStyle="1" w:styleId="Heading6Char">
    <w:name w:val="Heading 6 Char"/>
    <w:aliases w:val="Points in Text Char,Points in Text1 Char,Points in Text2 Char,Points in Text3 Char,Points in Text4 Char,Points in Text5 Char,Points in Text11 Char,Points in Text21 Char,Points in Text6 Char,Points in Text12 Char,Points in Text22 Char"/>
    <w:basedOn w:val="DefaultParagraphFont"/>
    <w:link w:val="Heading6"/>
    <w:uiPriority w:val="9"/>
    <w:rsid w:val="007636B0"/>
    <w:rPr>
      <w:rFonts w:eastAsia="Times New Roman" w:cs="Times New Roman"/>
      <w:i/>
      <w:sz w:val="22"/>
      <w:lang w:eastAsia="en-AU"/>
    </w:rPr>
  </w:style>
  <w:style w:type="character" w:customStyle="1" w:styleId="Heading7Char">
    <w:name w:val="Heading 7 Char"/>
    <w:aliases w:val="DO NOT USE 7 Char,DO NOT USE 71 Char,H7 Char,H71 Char,H72 Char,H711 Char,DO NOT USE 72 Char,DO NOT USE 711 Char,H73 Char,H712 Char,DO NOT USE 73 Char,DO NOT USE 712 Char,H74 Char,H713 Char,DO NOT USE 74 Char,DO NOT USE 713 Char,H75 Char"/>
    <w:basedOn w:val="DefaultParagraphFont"/>
    <w:link w:val="Heading7"/>
    <w:uiPriority w:val="9"/>
    <w:rsid w:val="007636B0"/>
    <w:rPr>
      <w:rFonts w:ascii="Arial" w:eastAsia="Times New Roman" w:hAnsi="Arial" w:cs="Times New Roman"/>
      <w:lang w:eastAsia="en-AU"/>
    </w:rPr>
  </w:style>
  <w:style w:type="character" w:customStyle="1" w:styleId="Heading8Char">
    <w:name w:val="Heading 8 Char"/>
    <w:aliases w:val="Appendix Level 2 Char,not Kinhill1 Char,Appendix Level 21 Char,Appendix Level 22 Char,Appendix Level 23 Char,Appendix Level 24 Char,Appendix Level 25 Char,Appendix Level 26 Char,Appendix Level 27 Char,DO NOT USE 8 Char"/>
    <w:basedOn w:val="DefaultParagraphFont"/>
    <w:link w:val="Heading8"/>
    <w:uiPriority w:val="9"/>
    <w:rsid w:val="007636B0"/>
    <w:rPr>
      <w:rFonts w:ascii="Arial" w:eastAsia="Times New Roman" w:hAnsi="Arial" w:cs="Times New Roman"/>
      <w:i/>
      <w:lang w:eastAsia="en-AU"/>
    </w:rPr>
  </w:style>
  <w:style w:type="character" w:customStyle="1" w:styleId="Heading9Char">
    <w:name w:val="Heading 9 Char"/>
    <w:aliases w:val="Appendix Level 3 Char,Appendix Level 31 Char,Appendix Level 32 Char,Appendix Level 33 Char,Appendix Level 34 Char,Appendix Level 35 Char,Appendix Level 36 Char,Appendix Level 37 Char,DO NOT USE 9 Char,Appendix Level 38 Char,H9 Char"/>
    <w:basedOn w:val="DefaultParagraphFont"/>
    <w:link w:val="Heading9"/>
    <w:uiPriority w:val="9"/>
    <w:rsid w:val="007636B0"/>
    <w:rPr>
      <w:rFonts w:ascii="Arial" w:eastAsia="Times New Roman" w:hAnsi="Arial" w:cs="Times New Roman"/>
      <w:b/>
      <w:i/>
      <w:sz w:val="18"/>
      <w:lang w:eastAsia="en-AU"/>
    </w:rPr>
  </w:style>
  <w:style w:type="paragraph" w:customStyle="1" w:styleId="DotpointCONSITES">
    <w:name w:val="Dotpoint CON SITES"/>
    <w:basedOn w:val="Normal"/>
    <w:next w:val="Normal"/>
    <w:autoRedefine/>
    <w:rsid w:val="007636B0"/>
    <w:pPr>
      <w:spacing w:before="120" w:after="120" w:line="240" w:lineRule="auto"/>
      <w:jc w:val="both"/>
    </w:pPr>
    <w:rPr>
      <w:rFonts w:ascii="Book Antiqua" w:eastAsia="Times New Roman" w:hAnsi="Book Antiqua" w:cs="Times New Roman"/>
      <w:b/>
      <w:lang w:eastAsia="en-AU"/>
    </w:rPr>
  </w:style>
  <w:style w:type="paragraph" w:customStyle="1" w:styleId="TableheadCONSITES">
    <w:name w:val="Tablehead CON SITES"/>
    <w:basedOn w:val="Normal"/>
    <w:next w:val="Normal"/>
    <w:rsid w:val="007636B0"/>
    <w:pPr>
      <w:spacing w:before="120" w:after="120" w:line="240" w:lineRule="auto"/>
      <w:jc w:val="center"/>
    </w:pPr>
    <w:rPr>
      <w:rFonts w:ascii="Book Antiqua" w:eastAsia="Times New Roman" w:hAnsi="Book Antiqua" w:cs="Times New Roman"/>
      <w:b/>
      <w:lang w:eastAsia="en-AU"/>
    </w:rPr>
  </w:style>
  <w:style w:type="character" w:styleId="PageNumber">
    <w:name w:val="page number"/>
    <w:basedOn w:val="DefaultParagraphFont"/>
    <w:rsid w:val="007636B0"/>
  </w:style>
  <w:style w:type="paragraph" w:styleId="BlockText">
    <w:name w:val="Block Text"/>
    <w:basedOn w:val="Normal"/>
    <w:uiPriority w:val="3"/>
    <w:rsid w:val="007636B0"/>
    <w:pPr>
      <w:pBdr>
        <w:top w:val="thinThickSmallGap" w:sz="24" w:space="12" w:color="auto"/>
        <w:left w:val="thinThickSmallGap" w:sz="24" w:space="12" w:color="auto"/>
        <w:bottom w:val="thickThinSmallGap" w:sz="24" w:space="12" w:color="auto"/>
        <w:right w:val="thickThinSmallGap" w:sz="24" w:space="12" w:color="auto"/>
      </w:pBdr>
      <w:spacing w:before="120" w:after="120" w:line="480" w:lineRule="auto"/>
      <w:ind w:left="567" w:right="567"/>
      <w:jc w:val="both"/>
    </w:pPr>
    <w:rPr>
      <w:rFonts w:ascii="Book Antiqua" w:eastAsia="Times New Roman" w:hAnsi="Book Antiqua" w:cs="Times New Roman"/>
      <w:lang w:eastAsia="en-AU"/>
    </w:rPr>
  </w:style>
  <w:style w:type="paragraph" w:customStyle="1" w:styleId="Glossary">
    <w:name w:val="Glossary"/>
    <w:basedOn w:val="Normal"/>
    <w:rsid w:val="007636B0"/>
    <w:pPr>
      <w:keepLines/>
      <w:spacing w:before="120" w:after="120" w:line="240" w:lineRule="auto"/>
      <w:jc w:val="both"/>
    </w:pPr>
    <w:rPr>
      <w:rFonts w:ascii="Book Antiqua" w:eastAsia="Times New Roman" w:hAnsi="Book Antiqua" w:cs="Times New Roman"/>
      <w:lang w:eastAsia="en-AU"/>
    </w:rPr>
  </w:style>
  <w:style w:type="paragraph" w:customStyle="1" w:styleId="TableText0">
    <w:name w:val="Table Text"/>
    <w:basedOn w:val="Normal"/>
    <w:rsid w:val="007636B0"/>
    <w:pPr>
      <w:spacing w:before="60" w:after="60" w:line="240" w:lineRule="auto"/>
    </w:pPr>
    <w:rPr>
      <w:rFonts w:ascii="Book Antiqua" w:eastAsia="Times New Roman" w:hAnsi="Book Antiqua" w:cs="Times New Roman"/>
      <w:sz w:val="20"/>
      <w:lang w:eastAsia="en-AU"/>
    </w:rPr>
  </w:style>
  <w:style w:type="paragraph" w:customStyle="1" w:styleId="Dotpoint2ndCONSITES">
    <w:name w:val="Dotpoint 2ndCON SITES"/>
    <w:basedOn w:val="DotpointCONSITES"/>
    <w:rsid w:val="007636B0"/>
    <w:pPr>
      <w:numPr>
        <w:ilvl w:val="1"/>
        <w:numId w:val="13"/>
      </w:numPr>
      <w:tabs>
        <w:tab w:val="clear" w:pos="720"/>
        <w:tab w:val="num" w:pos="851"/>
      </w:tabs>
      <w:ind w:left="851" w:hanging="284"/>
    </w:pPr>
  </w:style>
  <w:style w:type="paragraph" w:customStyle="1" w:styleId="DotpointiCONSITES">
    <w:name w:val="Dotpoint (i)CON SITES"/>
    <w:basedOn w:val="DotpointCONSITES"/>
    <w:rsid w:val="007636B0"/>
    <w:pPr>
      <w:numPr>
        <w:numId w:val="14"/>
      </w:numPr>
      <w:tabs>
        <w:tab w:val="clear" w:pos="720"/>
        <w:tab w:val="num" w:pos="567"/>
      </w:tabs>
      <w:ind w:left="567" w:hanging="567"/>
    </w:pPr>
  </w:style>
  <w:style w:type="paragraph" w:customStyle="1" w:styleId="AppendixHeading">
    <w:name w:val="Appendix Heading"/>
    <w:basedOn w:val="Heading1"/>
    <w:rsid w:val="007636B0"/>
    <w:pPr>
      <w:numPr>
        <w:numId w:val="0"/>
      </w:numPr>
      <w:spacing w:after="0"/>
      <w:jc w:val="center"/>
    </w:pPr>
  </w:style>
  <w:style w:type="paragraph" w:customStyle="1" w:styleId="text">
    <w:name w:val="text"/>
    <w:basedOn w:val="Normal"/>
    <w:link w:val="textChar"/>
    <w:rsid w:val="007636B0"/>
    <w:pPr>
      <w:spacing w:before="120" w:after="120" w:line="240" w:lineRule="auto"/>
      <w:jc w:val="both"/>
    </w:pPr>
    <w:rPr>
      <w:rFonts w:ascii="Book Antiqua" w:eastAsia="Times New Roman" w:hAnsi="Book Antiqua" w:cs="Times New Roman"/>
      <w:lang w:eastAsia="en-AU"/>
    </w:rPr>
  </w:style>
  <w:style w:type="paragraph" w:customStyle="1" w:styleId="Dot-points">
    <w:name w:val="Dot-points"/>
    <w:basedOn w:val="text"/>
    <w:qFormat/>
    <w:rsid w:val="007636B0"/>
    <w:pPr>
      <w:numPr>
        <w:numId w:val="15"/>
      </w:numPr>
      <w:tabs>
        <w:tab w:val="clear" w:pos="360"/>
        <w:tab w:val="num" w:pos="926"/>
      </w:tabs>
      <w:spacing w:before="0"/>
      <w:ind w:left="357" w:hanging="357"/>
    </w:pPr>
  </w:style>
  <w:style w:type="paragraph" w:customStyle="1" w:styleId="GlossaryHeading">
    <w:name w:val="Glossary Heading"/>
    <w:basedOn w:val="Heading1"/>
    <w:rsid w:val="007636B0"/>
    <w:pPr>
      <w:numPr>
        <w:numId w:val="0"/>
      </w:numPr>
      <w:spacing w:after="0"/>
      <w:jc w:val="center"/>
    </w:pPr>
  </w:style>
  <w:style w:type="character" w:customStyle="1" w:styleId="Highlight">
    <w:name w:val="Highlight"/>
    <w:basedOn w:val="DefaultParagraphFont"/>
    <w:uiPriority w:val="99"/>
    <w:rsid w:val="007636B0"/>
    <w:rPr>
      <w:rFonts w:ascii="Arial" w:hAnsi="Arial"/>
      <w:b/>
      <w:sz w:val="24"/>
    </w:rPr>
  </w:style>
  <w:style w:type="paragraph" w:customStyle="1" w:styleId="Level1">
    <w:name w:val="Level 1"/>
    <w:basedOn w:val="Heading2"/>
    <w:rsid w:val="007636B0"/>
    <w:pPr>
      <w:numPr>
        <w:ilvl w:val="0"/>
        <w:numId w:val="0"/>
      </w:numPr>
    </w:pPr>
  </w:style>
  <w:style w:type="paragraph" w:customStyle="1" w:styleId="Level2">
    <w:name w:val="Level 2"/>
    <w:basedOn w:val="Heading3"/>
    <w:rsid w:val="007636B0"/>
    <w:pPr>
      <w:numPr>
        <w:ilvl w:val="0"/>
        <w:numId w:val="0"/>
      </w:numPr>
    </w:pPr>
  </w:style>
  <w:style w:type="paragraph" w:customStyle="1" w:styleId="Level3">
    <w:name w:val="Level 3"/>
    <w:basedOn w:val="Heading4"/>
    <w:rsid w:val="007636B0"/>
    <w:pPr>
      <w:numPr>
        <w:ilvl w:val="0"/>
        <w:numId w:val="0"/>
      </w:numPr>
    </w:pPr>
  </w:style>
  <w:style w:type="paragraph" w:customStyle="1" w:styleId="TitleHeading">
    <w:name w:val="Title Heading"/>
    <w:basedOn w:val="text"/>
    <w:rsid w:val="007636B0"/>
    <w:pPr>
      <w:spacing w:before="20" w:after="20"/>
      <w:ind w:left="1985"/>
      <w:jc w:val="center"/>
    </w:pPr>
    <w:rPr>
      <w:rFonts w:ascii="Arial Bold" w:hAnsi="Arial Bold"/>
      <w:b/>
      <w:sz w:val="40"/>
    </w:rPr>
  </w:style>
  <w:style w:type="paragraph" w:customStyle="1" w:styleId="NationalHeading">
    <w:name w:val="National Heading"/>
    <w:basedOn w:val="TitleHeading"/>
    <w:rsid w:val="007636B0"/>
  </w:style>
  <w:style w:type="paragraph" w:styleId="FootnoteText">
    <w:name w:val="footnote text"/>
    <w:basedOn w:val="Normal"/>
    <w:link w:val="FootnoteTextChar"/>
    <w:semiHidden/>
    <w:rsid w:val="007636B0"/>
    <w:pPr>
      <w:spacing w:before="120" w:after="120" w:line="240" w:lineRule="auto"/>
      <w:ind w:left="142" w:hanging="142"/>
      <w:jc w:val="both"/>
    </w:pPr>
    <w:rPr>
      <w:rFonts w:ascii="Book Antiqua" w:eastAsia="Times New Roman" w:hAnsi="Book Antiqua" w:cs="Times New Roman"/>
      <w:sz w:val="14"/>
    </w:rPr>
  </w:style>
  <w:style w:type="character" w:customStyle="1" w:styleId="FootnoteTextChar">
    <w:name w:val="Footnote Text Char"/>
    <w:basedOn w:val="DefaultParagraphFont"/>
    <w:link w:val="FootnoteText"/>
    <w:semiHidden/>
    <w:rsid w:val="007636B0"/>
    <w:rPr>
      <w:rFonts w:ascii="Book Antiqua" w:eastAsia="Times New Roman" w:hAnsi="Book Antiqua" w:cs="Times New Roman"/>
      <w:sz w:val="14"/>
    </w:rPr>
  </w:style>
  <w:style w:type="paragraph" w:customStyle="1" w:styleId="OutlineLev1">
    <w:name w:val="Outline Lev 1"/>
    <w:basedOn w:val="Normal"/>
    <w:rsid w:val="007636B0"/>
    <w:pPr>
      <w:numPr>
        <w:numId w:val="17"/>
      </w:numPr>
      <w:spacing w:before="240" w:after="100" w:line="240" w:lineRule="auto"/>
      <w:jc w:val="both"/>
    </w:pPr>
    <w:rPr>
      <w:rFonts w:ascii="Book Antiqua" w:eastAsia="Times New Roman" w:hAnsi="Book Antiqua" w:cs="Times New Roman"/>
      <w:lang w:eastAsia="en-AU"/>
    </w:rPr>
  </w:style>
  <w:style w:type="paragraph" w:customStyle="1" w:styleId="OutlineLev2">
    <w:name w:val="Outline Lev 2"/>
    <w:basedOn w:val="Normal"/>
    <w:rsid w:val="007636B0"/>
    <w:pPr>
      <w:numPr>
        <w:ilvl w:val="1"/>
        <w:numId w:val="17"/>
      </w:numPr>
      <w:spacing w:before="20" w:after="20" w:line="240" w:lineRule="auto"/>
      <w:jc w:val="both"/>
    </w:pPr>
    <w:rPr>
      <w:rFonts w:ascii="Book Antiqua" w:eastAsia="Times New Roman" w:hAnsi="Book Antiqua" w:cs="Times New Roman"/>
      <w:lang w:eastAsia="en-AU"/>
    </w:rPr>
  </w:style>
  <w:style w:type="paragraph" w:styleId="TOCHeading">
    <w:name w:val="TOC Heading"/>
    <w:basedOn w:val="Heading2"/>
    <w:uiPriority w:val="39"/>
    <w:rsid w:val="007636B0"/>
    <w:pPr>
      <w:numPr>
        <w:ilvl w:val="0"/>
        <w:numId w:val="0"/>
      </w:numPr>
      <w:spacing w:before="120"/>
      <w:jc w:val="center"/>
    </w:pPr>
    <w:rPr>
      <w:rFonts w:ascii="Arial" w:hAnsi="Arial"/>
      <w:sz w:val="32"/>
    </w:rPr>
  </w:style>
  <w:style w:type="paragraph" w:styleId="BalloonText">
    <w:name w:val="Balloon Text"/>
    <w:basedOn w:val="Normal"/>
    <w:link w:val="BalloonTextChar"/>
    <w:uiPriority w:val="99"/>
    <w:semiHidden/>
    <w:rsid w:val="007636B0"/>
    <w:pPr>
      <w:spacing w:before="120" w:after="120" w:line="240" w:lineRule="auto"/>
      <w:jc w:val="both"/>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7636B0"/>
    <w:rPr>
      <w:rFonts w:ascii="Tahoma" w:eastAsia="Times New Roman" w:hAnsi="Tahoma" w:cs="Tahoma"/>
      <w:sz w:val="16"/>
      <w:szCs w:val="16"/>
      <w:lang w:eastAsia="en-AU"/>
    </w:rPr>
  </w:style>
  <w:style w:type="character" w:styleId="CommentReference">
    <w:name w:val="annotation reference"/>
    <w:basedOn w:val="DefaultParagraphFont"/>
    <w:rsid w:val="007636B0"/>
    <w:rPr>
      <w:sz w:val="16"/>
      <w:szCs w:val="16"/>
    </w:rPr>
  </w:style>
  <w:style w:type="paragraph" w:styleId="CommentText">
    <w:name w:val="annotation text"/>
    <w:basedOn w:val="Normal"/>
    <w:link w:val="CommentTextChar"/>
    <w:rsid w:val="007636B0"/>
    <w:pPr>
      <w:spacing w:before="120" w:after="120" w:line="240" w:lineRule="auto"/>
      <w:jc w:val="both"/>
    </w:pPr>
    <w:rPr>
      <w:rFonts w:ascii="Book Antiqua" w:eastAsia="Times New Roman" w:hAnsi="Book Antiqua" w:cs="Times New Roman"/>
      <w:sz w:val="20"/>
      <w:lang w:eastAsia="en-AU"/>
    </w:rPr>
  </w:style>
  <w:style w:type="character" w:customStyle="1" w:styleId="CommentTextChar">
    <w:name w:val="Comment Text Char"/>
    <w:basedOn w:val="DefaultParagraphFont"/>
    <w:link w:val="CommentText"/>
    <w:rsid w:val="007636B0"/>
    <w:rPr>
      <w:rFonts w:ascii="Book Antiqua" w:eastAsia="Times New Roman" w:hAnsi="Book Antiqua" w:cs="Times New Roman"/>
      <w:lang w:eastAsia="en-AU"/>
    </w:rPr>
  </w:style>
  <w:style w:type="paragraph" w:styleId="CommentSubject">
    <w:name w:val="annotation subject"/>
    <w:basedOn w:val="CommentText"/>
    <w:next w:val="CommentText"/>
    <w:link w:val="CommentSubjectChar"/>
    <w:uiPriority w:val="99"/>
    <w:rsid w:val="007636B0"/>
    <w:rPr>
      <w:b/>
      <w:bCs/>
    </w:rPr>
  </w:style>
  <w:style w:type="character" w:customStyle="1" w:styleId="CommentSubjectChar">
    <w:name w:val="Comment Subject Char"/>
    <w:basedOn w:val="CommentTextChar"/>
    <w:link w:val="CommentSubject"/>
    <w:uiPriority w:val="99"/>
    <w:rsid w:val="007636B0"/>
    <w:rPr>
      <w:rFonts w:ascii="Book Antiqua" w:eastAsia="Times New Roman" w:hAnsi="Book Antiqua" w:cs="Times New Roman"/>
      <w:b/>
      <w:bCs/>
      <w:lang w:eastAsia="en-AU"/>
    </w:rPr>
  </w:style>
  <w:style w:type="character" w:styleId="FootnoteReference">
    <w:name w:val="footnote reference"/>
    <w:basedOn w:val="DefaultParagraphFont"/>
    <w:semiHidden/>
    <w:rsid w:val="007636B0"/>
    <w:rPr>
      <w:rFonts w:ascii="Book Antiqua" w:hAnsi="Book Antiqua"/>
      <w:vertAlign w:val="superscript"/>
    </w:rPr>
  </w:style>
  <w:style w:type="paragraph" w:styleId="BodyText3">
    <w:name w:val="Body Text 3"/>
    <w:basedOn w:val="Normal"/>
    <w:link w:val="BodyText3Char"/>
    <w:rsid w:val="007636B0"/>
    <w:pPr>
      <w:spacing w:before="120" w:after="120" w:line="240" w:lineRule="auto"/>
    </w:pPr>
    <w:rPr>
      <w:rFonts w:ascii="Book Antiqua" w:eastAsia="Times New Roman" w:hAnsi="Book Antiqua" w:cs="Times New Roman"/>
      <w:i/>
      <w:color w:val="FF0000"/>
    </w:rPr>
  </w:style>
  <w:style w:type="character" w:customStyle="1" w:styleId="BodyText3Char">
    <w:name w:val="Body Text 3 Char"/>
    <w:basedOn w:val="DefaultParagraphFont"/>
    <w:link w:val="BodyText3"/>
    <w:rsid w:val="007636B0"/>
    <w:rPr>
      <w:rFonts w:ascii="Book Antiqua" w:eastAsia="Times New Roman" w:hAnsi="Book Antiqua" w:cs="Times New Roman"/>
      <w:i/>
      <w:color w:val="FF0000"/>
      <w:sz w:val="22"/>
    </w:rPr>
  </w:style>
  <w:style w:type="paragraph" w:styleId="Revision">
    <w:name w:val="Revision"/>
    <w:hidden/>
    <w:semiHidden/>
    <w:rsid w:val="007636B0"/>
    <w:rPr>
      <w:rFonts w:ascii="Book Antiqua" w:eastAsia="Times New Roman" w:hAnsi="Book Antiqua" w:cs="Times New Roman"/>
      <w:sz w:val="24"/>
      <w:lang w:eastAsia="en-AU"/>
    </w:rPr>
  </w:style>
  <w:style w:type="character" w:styleId="Hyperlink">
    <w:name w:val="Hyperlink"/>
    <w:basedOn w:val="DefaultParagraphFont"/>
    <w:uiPriority w:val="99"/>
    <w:rsid w:val="007636B0"/>
    <w:rPr>
      <w:color w:val="0000FF"/>
      <w:u w:val="single"/>
    </w:rPr>
  </w:style>
  <w:style w:type="paragraph" w:customStyle="1" w:styleId="Default">
    <w:name w:val="Default"/>
    <w:rsid w:val="007636B0"/>
    <w:pPr>
      <w:autoSpaceDE w:val="0"/>
      <w:autoSpaceDN w:val="0"/>
      <w:adjustRightInd w:val="0"/>
    </w:pPr>
    <w:rPr>
      <w:rFonts w:ascii="Arial" w:eastAsia="Times New Roman" w:hAnsi="Arial" w:cs="Arial"/>
      <w:color w:val="000000"/>
      <w:sz w:val="24"/>
      <w:szCs w:val="24"/>
      <w:lang w:val="en-US"/>
    </w:rPr>
  </w:style>
  <w:style w:type="paragraph" w:customStyle="1" w:styleId="Normal1">
    <w:name w:val="Normal+1"/>
    <w:basedOn w:val="Default"/>
    <w:next w:val="Default"/>
    <w:rsid w:val="007636B0"/>
    <w:rPr>
      <w:rFonts w:cs="Times New Roman"/>
      <w:color w:val="auto"/>
    </w:rPr>
  </w:style>
  <w:style w:type="paragraph" w:customStyle="1" w:styleId="glossary0">
    <w:name w:val="glossary"/>
    <w:basedOn w:val="Normal"/>
    <w:rsid w:val="007636B0"/>
    <w:pPr>
      <w:autoSpaceDE w:val="0"/>
      <w:autoSpaceDN w:val="0"/>
      <w:spacing w:before="100" w:after="100" w:line="240" w:lineRule="auto"/>
    </w:pPr>
    <w:rPr>
      <w:rFonts w:ascii="Book Antiqua" w:eastAsia="Times New Roman" w:hAnsi="Book Antiqua" w:cs="Times New Roman"/>
      <w:szCs w:val="24"/>
      <w:lang w:eastAsia="en-AU"/>
    </w:rPr>
  </w:style>
  <w:style w:type="paragraph" w:customStyle="1" w:styleId="Style1">
    <w:name w:val="Style1"/>
    <w:basedOn w:val="Heading2"/>
    <w:rsid w:val="007636B0"/>
    <w:rPr>
      <w:rFonts w:ascii="Arial" w:hAnsi="Arial"/>
    </w:rPr>
  </w:style>
  <w:style w:type="paragraph" w:customStyle="1" w:styleId="StyleTitleHeading22pt">
    <w:name w:val="Style Title Heading + 22 pt"/>
    <w:basedOn w:val="TitleHeading"/>
    <w:rsid w:val="007636B0"/>
    <w:rPr>
      <w:bCs/>
      <w:caps/>
    </w:rPr>
  </w:style>
  <w:style w:type="paragraph" w:customStyle="1" w:styleId="StyleglossaryJustified">
    <w:name w:val="Style glossary + Justified"/>
    <w:basedOn w:val="glossary0"/>
    <w:rsid w:val="007636B0"/>
    <w:pPr>
      <w:jc w:val="both"/>
    </w:pPr>
    <w:rPr>
      <w:szCs w:val="20"/>
    </w:rPr>
  </w:style>
  <w:style w:type="paragraph" w:customStyle="1" w:styleId="StyletextArialBold">
    <w:name w:val="Style text + Arial Bold"/>
    <w:basedOn w:val="text"/>
    <w:link w:val="StyletextArialBoldChar"/>
    <w:rsid w:val="007636B0"/>
    <w:rPr>
      <w:rFonts w:ascii="Arial" w:hAnsi="Arial"/>
      <w:b/>
      <w:bCs/>
    </w:rPr>
  </w:style>
  <w:style w:type="character" w:customStyle="1" w:styleId="textChar">
    <w:name w:val="text Char"/>
    <w:basedOn w:val="DefaultParagraphFont"/>
    <w:link w:val="text"/>
    <w:rsid w:val="007636B0"/>
    <w:rPr>
      <w:rFonts w:ascii="Book Antiqua" w:eastAsia="Times New Roman" w:hAnsi="Book Antiqua" w:cs="Times New Roman"/>
      <w:sz w:val="22"/>
      <w:lang w:eastAsia="en-AU"/>
    </w:rPr>
  </w:style>
  <w:style w:type="character" w:customStyle="1" w:styleId="StyletextArialBoldChar">
    <w:name w:val="Style text + Arial Bold Char"/>
    <w:basedOn w:val="textChar"/>
    <w:link w:val="StyletextArialBold"/>
    <w:rsid w:val="007636B0"/>
    <w:rPr>
      <w:rFonts w:ascii="Arial" w:eastAsia="Times New Roman" w:hAnsi="Arial" w:cs="Times New Roman"/>
      <w:b/>
      <w:bCs/>
      <w:sz w:val="22"/>
      <w:lang w:eastAsia="en-AU"/>
    </w:rPr>
  </w:style>
  <w:style w:type="character" w:styleId="Strong">
    <w:name w:val="Strong"/>
    <w:basedOn w:val="DefaultParagraphFont"/>
    <w:uiPriority w:val="22"/>
    <w:rsid w:val="007636B0"/>
    <w:rPr>
      <w:b/>
      <w:bCs/>
    </w:rPr>
  </w:style>
  <w:style w:type="paragraph" w:customStyle="1" w:styleId="Numbers">
    <w:name w:val="Numbers"/>
    <w:basedOn w:val="OutlineLev1"/>
    <w:rsid w:val="007636B0"/>
    <w:pPr>
      <w:keepNext/>
      <w:numPr>
        <w:numId w:val="0"/>
      </w:numPr>
      <w:tabs>
        <w:tab w:val="num" w:pos="426"/>
        <w:tab w:val="right" w:pos="9071"/>
      </w:tabs>
      <w:ind w:left="425" w:hanging="425"/>
    </w:pPr>
    <w:rPr>
      <w:b/>
      <w:szCs w:val="22"/>
    </w:rPr>
  </w:style>
  <w:style w:type="paragraph" w:styleId="Caption">
    <w:name w:val="caption"/>
    <w:basedOn w:val="Normal"/>
    <w:next w:val="Normal"/>
    <w:autoRedefine/>
    <w:uiPriority w:val="99"/>
    <w:qFormat/>
    <w:rsid w:val="007636B0"/>
    <w:pPr>
      <w:tabs>
        <w:tab w:val="right" w:pos="9071"/>
      </w:tabs>
      <w:spacing w:before="120" w:after="120" w:line="240" w:lineRule="auto"/>
      <w:ind w:left="142"/>
    </w:pPr>
    <w:rPr>
      <w:rFonts w:ascii="Book Antiqua" w:eastAsia="Times New Roman" w:hAnsi="Book Antiqua" w:cs="Times New Roman"/>
      <w:b/>
      <w:szCs w:val="22"/>
      <w:lang w:eastAsia="en-AU"/>
    </w:rPr>
  </w:style>
  <w:style w:type="paragraph" w:styleId="NormalWeb">
    <w:name w:val="Normal (Web)"/>
    <w:basedOn w:val="Normal"/>
    <w:rsid w:val="007636B0"/>
    <w:pPr>
      <w:spacing w:before="100" w:beforeAutospacing="1" w:after="100" w:afterAutospacing="1" w:line="240" w:lineRule="auto"/>
    </w:pPr>
    <w:rPr>
      <w:rFonts w:eastAsia="Times New Roman" w:cs="Times New Roman"/>
      <w:szCs w:val="24"/>
      <w:lang w:eastAsia="en-AU"/>
    </w:rPr>
  </w:style>
  <w:style w:type="character" w:customStyle="1" w:styleId="data">
    <w:name w:val="data"/>
    <w:basedOn w:val="DefaultParagraphFont"/>
    <w:rsid w:val="007636B0"/>
  </w:style>
  <w:style w:type="paragraph" w:customStyle="1" w:styleId="Indent2cm">
    <w:name w:val="Indent 2cm"/>
    <w:basedOn w:val="Normal"/>
    <w:rsid w:val="007636B0"/>
    <w:pPr>
      <w:spacing w:before="160" w:after="160" w:line="240" w:lineRule="auto"/>
      <w:jc w:val="both"/>
    </w:pPr>
    <w:rPr>
      <w:rFonts w:ascii="Book Antiqua" w:eastAsia="Times New Roman" w:hAnsi="Book Antiqua" w:cs="Times New Roman"/>
      <w:lang w:eastAsia="en-AU"/>
    </w:rPr>
  </w:style>
  <w:style w:type="paragraph" w:customStyle="1" w:styleId="StyleHeading1ChapterHeadingChapterHeading1ChapterHeading2C">
    <w:name w:val="Style Heading 1Chapter HeadingChapter Heading1Chapter Heading2C..."/>
    <w:basedOn w:val="Heading1"/>
    <w:rsid w:val="007636B0"/>
    <w:pPr>
      <w:tabs>
        <w:tab w:val="right" w:pos="709"/>
      </w:tabs>
    </w:pPr>
    <w:rPr>
      <w:bCs/>
    </w:rPr>
  </w:style>
  <w:style w:type="paragraph" w:customStyle="1" w:styleId="FigureTableHeading">
    <w:name w:val="FigureTableHeading"/>
    <w:basedOn w:val="text"/>
    <w:rsid w:val="007636B0"/>
    <w:pPr>
      <w:ind w:left="993" w:hanging="993"/>
    </w:pPr>
    <w:rPr>
      <w:b/>
      <w:sz w:val="20"/>
    </w:rPr>
  </w:style>
  <w:style w:type="paragraph" w:customStyle="1" w:styleId="Tableheader">
    <w:name w:val="Tableheader"/>
    <w:basedOn w:val="text"/>
    <w:rsid w:val="007636B0"/>
    <w:pPr>
      <w:jc w:val="center"/>
    </w:pPr>
    <w:rPr>
      <w:b/>
      <w:sz w:val="20"/>
    </w:rPr>
  </w:style>
  <w:style w:type="paragraph" w:customStyle="1" w:styleId="StyleHeading1ChapterHeadingMainHeadingh1H1AMAJORBOLDPar">
    <w:name w:val="Style Heading 1Chapter HeadingMain Headingh1H1A MAJOR/BOLDPar..."/>
    <w:basedOn w:val="Heading1"/>
    <w:uiPriority w:val="99"/>
    <w:rsid w:val="007636B0"/>
    <w:pPr>
      <w:keepLines/>
      <w:tabs>
        <w:tab w:val="clear" w:pos="9072"/>
        <w:tab w:val="num" w:pos="360"/>
      </w:tabs>
      <w:ind w:left="0" w:firstLine="0"/>
    </w:pPr>
    <w:rPr>
      <w:rFonts w:cs="Book Antiqua"/>
      <w:bCs/>
      <w:szCs w:val="32"/>
    </w:rPr>
  </w:style>
  <w:style w:type="character" w:customStyle="1" w:styleId="CommentTextChar1">
    <w:name w:val="Comment Text Char1"/>
    <w:rsid w:val="007636B0"/>
    <w:rPr>
      <w:rFonts w:ascii="Book Antiqua" w:hAnsi="Book Antiqua"/>
    </w:rPr>
  </w:style>
  <w:style w:type="paragraph" w:customStyle="1" w:styleId="StyletextLeft0cmHanging1cm">
    <w:name w:val="Style text + Left:  0 cm Hanging:  1 cm"/>
    <w:basedOn w:val="text"/>
    <w:qFormat/>
    <w:rsid w:val="007636B0"/>
    <w:pPr>
      <w:ind w:left="720" w:hanging="720"/>
    </w:pPr>
  </w:style>
  <w:style w:type="paragraph" w:styleId="Title">
    <w:name w:val="Title"/>
    <w:basedOn w:val="Normal"/>
    <w:link w:val="TitleChar"/>
    <w:uiPriority w:val="10"/>
    <w:rsid w:val="007636B0"/>
    <w:pPr>
      <w:spacing w:before="400" w:after="200" w:line="276" w:lineRule="auto"/>
    </w:pPr>
    <w:rPr>
      <w:rFonts w:ascii="Verdana" w:eastAsia="Verdana" w:hAnsi="Verdana" w:cs="Times New Roman"/>
      <w:color w:val="365F91"/>
      <w:sz w:val="56"/>
      <w:szCs w:val="56"/>
      <w:lang w:eastAsia="ja-JP"/>
    </w:rPr>
  </w:style>
  <w:style w:type="character" w:customStyle="1" w:styleId="TitleChar">
    <w:name w:val="Title Char"/>
    <w:basedOn w:val="DefaultParagraphFont"/>
    <w:link w:val="Title"/>
    <w:uiPriority w:val="10"/>
    <w:rsid w:val="007636B0"/>
    <w:rPr>
      <w:rFonts w:ascii="Verdana" w:eastAsia="Verdana" w:hAnsi="Verdana" w:cs="Times New Roman"/>
      <w:color w:val="365F91"/>
      <w:sz w:val="56"/>
      <w:szCs w:val="56"/>
      <w:lang w:eastAsia="ja-JP"/>
    </w:rPr>
  </w:style>
  <w:style w:type="paragraph" w:styleId="Subtitle">
    <w:name w:val="Subtitle"/>
    <w:basedOn w:val="Normal"/>
    <w:link w:val="SubtitleChar"/>
    <w:uiPriority w:val="11"/>
    <w:rsid w:val="007636B0"/>
    <w:pPr>
      <w:spacing w:after="480" w:line="276" w:lineRule="auto"/>
    </w:pPr>
    <w:rPr>
      <w:rFonts w:ascii="Verdana" w:eastAsia="Verdana" w:hAnsi="Verdana" w:cs="Times New Roman"/>
      <w:i/>
      <w:color w:val="1F497D"/>
      <w:sz w:val="24"/>
      <w:szCs w:val="24"/>
      <w:lang w:eastAsia="ja-JP"/>
    </w:rPr>
  </w:style>
  <w:style w:type="character" w:customStyle="1" w:styleId="SubtitleChar">
    <w:name w:val="Subtitle Char"/>
    <w:basedOn w:val="DefaultParagraphFont"/>
    <w:link w:val="Subtitle"/>
    <w:uiPriority w:val="11"/>
    <w:rsid w:val="007636B0"/>
    <w:rPr>
      <w:rFonts w:ascii="Verdana" w:eastAsia="Verdana" w:hAnsi="Verdana" w:cs="Times New Roman"/>
      <w:i/>
      <w:color w:val="1F497D"/>
      <w:sz w:val="24"/>
      <w:szCs w:val="24"/>
      <w:lang w:eastAsia="ja-JP"/>
    </w:rPr>
  </w:style>
  <w:style w:type="character" w:styleId="IntenseEmphasis">
    <w:name w:val="Intense Emphasis"/>
    <w:uiPriority w:val="21"/>
    <w:rsid w:val="007636B0"/>
    <w:rPr>
      <w:rFonts w:ascii="Verdana" w:hAnsi="Verdana" w:cs="Verdana"/>
      <w:b/>
      <w:i/>
      <w:caps/>
      <w:color w:val="438086"/>
      <w:spacing w:val="5"/>
    </w:rPr>
  </w:style>
  <w:style w:type="character" w:styleId="SubtleEmphasis">
    <w:name w:val="Subtle Emphasis"/>
    <w:uiPriority w:val="19"/>
    <w:rsid w:val="007636B0"/>
    <w:rPr>
      <w:rFonts w:ascii="Verdana" w:hAnsi="Verdana"/>
      <w:i/>
      <w:color w:val="006666"/>
    </w:rPr>
  </w:style>
  <w:style w:type="character" w:styleId="IntenseReference">
    <w:name w:val="Intense Reference"/>
    <w:uiPriority w:val="32"/>
    <w:rsid w:val="007636B0"/>
    <w:rPr>
      <w:rFonts w:ascii="Verdana" w:hAnsi="Verdana" w:cs="Times New Roman"/>
      <w:b/>
      <w:i/>
      <w:caps/>
      <w:color w:val="4E4F89"/>
      <w:spacing w:val="5"/>
    </w:rPr>
  </w:style>
  <w:style w:type="character" w:styleId="SubtleReference">
    <w:name w:val="Subtle Reference"/>
    <w:uiPriority w:val="31"/>
    <w:rsid w:val="007636B0"/>
    <w:rPr>
      <w:rFonts w:cs="Times New Roman"/>
      <w:i/>
      <w:color w:val="4E4F89"/>
    </w:rPr>
  </w:style>
  <w:style w:type="character" w:styleId="Emphasis">
    <w:name w:val="Emphasis"/>
    <w:rsid w:val="007636B0"/>
    <w:rPr>
      <w:rFonts w:ascii="Verdana" w:hAnsi="Verdana"/>
      <w:b/>
      <w:color w:val="C0504D"/>
      <w:spacing w:val="10"/>
    </w:rPr>
  </w:style>
  <w:style w:type="character" w:styleId="BookTitle">
    <w:name w:val="Book Title"/>
    <w:uiPriority w:val="33"/>
    <w:rsid w:val="007636B0"/>
    <w:rPr>
      <w:rFonts w:ascii="Cambria" w:hAnsi="Cambria" w:cs="Times New Roman"/>
      <w:i/>
      <w:color w:val="000000"/>
      <w:sz w:val="20"/>
      <w:szCs w:val="20"/>
    </w:rPr>
  </w:style>
  <w:style w:type="paragraph" w:styleId="NormalIndent">
    <w:name w:val="Normal Indent"/>
    <w:basedOn w:val="Normal"/>
    <w:uiPriority w:val="99"/>
    <w:unhideWhenUsed/>
    <w:rsid w:val="007636B0"/>
    <w:pPr>
      <w:spacing w:after="200" w:line="276" w:lineRule="auto"/>
      <w:ind w:left="720"/>
      <w:contextualSpacing/>
    </w:pPr>
    <w:rPr>
      <w:rFonts w:ascii="Arial" w:eastAsia="Verdana" w:hAnsi="Arial" w:cs="Verdana"/>
      <w:sz w:val="20"/>
      <w:lang w:eastAsia="ja-JP"/>
    </w:rPr>
  </w:style>
  <w:style w:type="paragraph" w:styleId="IntenseQuote">
    <w:name w:val="Intense Quote"/>
    <w:basedOn w:val="Normal"/>
    <w:link w:val="IntenseQuoteChar"/>
    <w:uiPriority w:val="30"/>
    <w:rsid w:val="007636B0"/>
    <w:pPr>
      <w:pBdr>
        <w:top w:val="threeDEngrave" w:sz="6" w:space="10" w:color="C0504D"/>
        <w:bottom w:val="single" w:sz="4" w:space="10" w:color="C0504D"/>
      </w:pBdr>
      <w:spacing w:before="360" w:after="360" w:line="324" w:lineRule="auto"/>
      <w:ind w:left="1080" w:right="1080"/>
    </w:pPr>
    <w:rPr>
      <w:rFonts w:ascii="Arial" w:eastAsia="Verdana" w:hAnsi="Arial" w:cs="Verdana"/>
      <w:i/>
      <w:color w:val="C0504D"/>
      <w:szCs w:val="22"/>
      <w:lang w:eastAsia="ja-JP"/>
    </w:rPr>
  </w:style>
  <w:style w:type="character" w:customStyle="1" w:styleId="IntenseQuoteChar">
    <w:name w:val="Intense Quote Char"/>
    <w:basedOn w:val="DefaultParagraphFont"/>
    <w:link w:val="IntenseQuote"/>
    <w:uiPriority w:val="30"/>
    <w:rsid w:val="007636B0"/>
    <w:rPr>
      <w:rFonts w:ascii="Arial" w:eastAsia="Verdana" w:hAnsi="Arial" w:cs="Verdana"/>
      <w:i/>
      <w:color w:val="C0504D"/>
      <w:sz w:val="22"/>
      <w:szCs w:val="22"/>
      <w:lang w:eastAsia="ja-JP"/>
    </w:rPr>
  </w:style>
  <w:style w:type="numbering" w:customStyle="1" w:styleId="UrbanBulletedList">
    <w:name w:val="Urban Bulleted List"/>
    <w:uiPriority w:val="99"/>
    <w:rsid w:val="007636B0"/>
    <w:pPr>
      <w:numPr>
        <w:numId w:val="18"/>
      </w:numPr>
    </w:pPr>
  </w:style>
  <w:style w:type="numbering" w:customStyle="1" w:styleId="UrbanNumberedList">
    <w:name w:val="Urban Numbered List"/>
    <w:uiPriority w:val="99"/>
    <w:rsid w:val="007636B0"/>
    <w:pPr>
      <w:numPr>
        <w:numId w:val="19"/>
      </w:numPr>
    </w:pPr>
  </w:style>
  <w:style w:type="paragraph" w:styleId="ListParagraph">
    <w:name w:val="List Paragraph"/>
    <w:basedOn w:val="Normal"/>
    <w:uiPriority w:val="34"/>
    <w:rsid w:val="007636B0"/>
    <w:pPr>
      <w:spacing w:after="200" w:line="276" w:lineRule="auto"/>
      <w:ind w:left="720"/>
      <w:contextualSpacing/>
    </w:pPr>
    <w:rPr>
      <w:rFonts w:ascii="Arial" w:eastAsia="Verdana" w:hAnsi="Arial" w:cs="Verdana"/>
      <w:sz w:val="20"/>
      <w:lang w:eastAsia="ja-JP"/>
    </w:rPr>
  </w:style>
  <w:style w:type="paragraph" w:styleId="NoSpacing">
    <w:name w:val="No Spacing"/>
    <w:basedOn w:val="Normal"/>
    <w:uiPriority w:val="1"/>
    <w:rsid w:val="007636B0"/>
    <w:pPr>
      <w:spacing w:line="240" w:lineRule="auto"/>
    </w:pPr>
    <w:rPr>
      <w:rFonts w:ascii="Arial" w:eastAsia="Verdana" w:hAnsi="Arial" w:cs="Verdana"/>
      <w:sz w:val="20"/>
      <w:szCs w:val="32"/>
      <w:lang w:eastAsia="ja-JP"/>
    </w:rPr>
  </w:style>
  <w:style w:type="character" w:styleId="PlaceholderText">
    <w:name w:val="Placeholder Text"/>
    <w:uiPriority w:val="99"/>
    <w:unhideWhenUsed/>
    <w:rsid w:val="007636B0"/>
    <w:rPr>
      <w:color w:val="808080"/>
    </w:rPr>
  </w:style>
  <w:style w:type="paragraph" w:customStyle="1" w:styleId="HeaderEven">
    <w:name w:val="Header Even"/>
    <w:basedOn w:val="Header"/>
    <w:uiPriority w:val="39"/>
    <w:rsid w:val="007636B0"/>
    <w:pPr>
      <w:keepNext w:val="0"/>
      <w:keepLines w:val="0"/>
      <w:pBdr>
        <w:bottom w:val="single" w:sz="4" w:space="1" w:color="auto"/>
      </w:pBdr>
      <w:tabs>
        <w:tab w:val="clear" w:pos="4150"/>
        <w:tab w:val="clear" w:pos="8307"/>
        <w:tab w:val="center" w:pos="4320"/>
        <w:tab w:val="right" w:pos="8640"/>
      </w:tabs>
      <w:spacing w:after="200" w:line="276" w:lineRule="auto"/>
    </w:pPr>
    <w:rPr>
      <w:rFonts w:ascii="Verdana" w:eastAsia="Verdana" w:hAnsi="Verdana"/>
      <w:sz w:val="20"/>
      <w:lang w:eastAsia="ja-JP"/>
    </w:rPr>
  </w:style>
  <w:style w:type="paragraph" w:customStyle="1" w:styleId="HeaderOdd">
    <w:name w:val="Header Odd"/>
    <w:basedOn w:val="Header"/>
    <w:uiPriority w:val="39"/>
    <w:rsid w:val="007636B0"/>
    <w:pPr>
      <w:keepNext w:val="0"/>
      <w:keepLines w:val="0"/>
      <w:pBdr>
        <w:bottom w:val="single" w:sz="4" w:space="1" w:color="auto"/>
      </w:pBdr>
      <w:tabs>
        <w:tab w:val="clear" w:pos="4150"/>
        <w:tab w:val="clear" w:pos="8307"/>
        <w:tab w:val="center" w:pos="4320"/>
        <w:tab w:val="right" w:pos="8640"/>
      </w:tabs>
      <w:spacing w:after="200" w:line="276" w:lineRule="auto"/>
      <w:jc w:val="right"/>
    </w:pPr>
    <w:rPr>
      <w:rFonts w:ascii="Verdana" w:eastAsia="Verdana" w:hAnsi="Verdana"/>
      <w:sz w:val="20"/>
      <w:lang w:eastAsia="ja-JP"/>
    </w:rPr>
  </w:style>
  <w:style w:type="paragraph" w:customStyle="1" w:styleId="Bullet1">
    <w:name w:val="Bullet 1"/>
    <w:basedOn w:val="ListParagraph"/>
    <w:uiPriority w:val="38"/>
    <w:rsid w:val="007636B0"/>
    <w:pPr>
      <w:numPr>
        <w:numId w:val="18"/>
      </w:numPr>
      <w:spacing w:after="0"/>
    </w:pPr>
  </w:style>
  <w:style w:type="paragraph" w:customStyle="1" w:styleId="Bullet20">
    <w:name w:val="Bullet 2"/>
    <w:basedOn w:val="ListParagraph"/>
    <w:uiPriority w:val="38"/>
    <w:rsid w:val="007636B0"/>
    <w:pPr>
      <w:numPr>
        <w:ilvl w:val="1"/>
        <w:numId w:val="18"/>
      </w:numPr>
      <w:spacing w:after="0"/>
    </w:pPr>
  </w:style>
  <w:style w:type="paragraph" w:customStyle="1" w:styleId="Bullet30">
    <w:name w:val="Bullet 3"/>
    <w:basedOn w:val="ListParagraph"/>
    <w:uiPriority w:val="38"/>
    <w:rsid w:val="007636B0"/>
    <w:pPr>
      <w:numPr>
        <w:ilvl w:val="2"/>
        <w:numId w:val="18"/>
      </w:numPr>
      <w:spacing w:after="0"/>
    </w:pPr>
  </w:style>
  <w:style w:type="paragraph" w:customStyle="1" w:styleId="DefaultPlaceholderSubject10">
    <w:name w:val="DefaultPlaceholder_Subject10"/>
    <w:uiPriority w:val="39"/>
    <w:rsid w:val="007636B0"/>
    <w:pPr>
      <w:spacing w:after="200" w:line="276" w:lineRule="auto"/>
    </w:pPr>
    <w:rPr>
      <w:rFonts w:ascii="Verdana" w:eastAsia="Verdana" w:hAnsi="Verdana" w:cs="Verdana"/>
      <w:i/>
      <w:color w:val="1F497D"/>
      <w:sz w:val="24"/>
      <w:szCs w:val="24"/>
      <w:lang w:val="en-US"/>
    </w:rPr>
  </w:style>
  <w:style w:type="paragraph" w:customStyle="1" w:styleId="Category">
    <w:name w:val="Category"/>
    <w:basedOn w:val="Normal"/>
    <w:link w:val="CategoryChar"/>
    <w:uiPriority w:val="39"/>
    <w:rsid w:val="007636B0"/>
    <w:pPr>
      <w:framePr w:hSpace="187" w:wrap="around" w:hAnchor="margin" w:xAlign="center" w:y="721"/>
      <w:spacing w:line="240" w:lineRule="auto"/>
    </w:pPr>
    <w:rPr>
      <w:rFonts w:ascii="Verdana" w:eastAsia="Verdana" w:hAnsi="Verdana" w:cs="Times New Roman"/>
      <w:caps/>
      <w:sz w:val="20"/>
      <w:lang w:eastAsia="ja-JP"/>
    </w:rPr>
  </w:style>
  <w:style w:type="paragraph" w:customStyle="1" w:styleId="Comments">
    <w:name w:val="Comments"/>
    <w:basedOn w:val="Normal"/>
    <w:link w:val="CommentsChar"/>
    <w:uiPriority w:val="39"/>
    <w:rsid w:val="007636B0"/>
    <w:pPr>
      <w:spacing w:after="120" w:line="240" w:lineRule="auto"/>
    </w:pPr>
    <w:rPr>
      <w:rFonts w:ascii="Verdana" w:eastAsia="Verdana" w:hAnsi="Verdana" w:cs="Times New Roman"/>
      <w:b/>
      <w:sz w:val="20"/>
      <w:lang w:eastAsia="ja-JP"/>
    </w:rPr>
  </w:style>
  <w:style w:type="character" w:customStyle="1" w:styleId="CategoryChar">
    <w:name w:val="Category Char"/>
    <w:link w:val="Category"/>
    <w:uiPriority w:val="39"/>
    <w:rsid w:val="007636B0"/>
    <w:rPr>
      <w:rFonts w:ascii="Verdana" w:eastAsia="Verdana" w:hAnsi="Verdana" w:cs="Times New Roman"/>
      <w:caps/>
      <w:lang w:eastAsia="ja-JP"/>
    </w:rPr>
  </w:style>
  <w:style w:type="character" w:customStyle="1" w:styleId="CommentsChar">
    <w:name w:val="Comments Char"/>
    <w:link w:val="Comments"/>
    <w:uiPriority w:val="39"/>
    <w:rsid w:val="007636B0"/>
    <w:rPr>
      <w:rFonts w:ascii="Verdana" w:eastAsia="Verdana" w:hAnsi="Verdana" w:cs="Times New Roman"/>
      <w:b/>
      <w:lang w:eastAsia="ja-JP"/>
    </w:rPr>
  </w:style>
  <w:style w:type="paragraph" w:customStyle="1" w:styleId="CommentsText">
    <w:name w:val="Comments Text"/>
    <w:basedOn w:val="Normal"/>
    <w:uiPriority w:val="39"/>
    <w:rsid w:val="007636B0"/>
    <w:pPr>
      <w:spacing w:after="120" w:line="288" w:lineRule="auto"/>
    </w:pPr>
    <w:rPr>
      <w:rFonts w:ascii="Arial" w:eastAsia="Verdana" w:hAnsi="Arial" w:cs="Verdana"/>
      <w:sz w:val="20"/>
      <w:szCs w:val="22"/>
      <w:lang w:eastAsia="ja-JP"/>
    </w:rPr>
  </w:style>
  <w:style w:type="paragraph" w:styleId="BodyText">
    <w:name w:val="Body Text"/>
    <w:aliases w:val="(Alt+1),Body,BodyText,body,b,block,Body Text before bullet,D&amp;M Body Text,IRMS (T),Body Text Char Char Char Char,Body Text Char1,Body Text Char Char,Body Text Char Char Char Char Char1 Char,BT"/>
    <w:basedOn w:val="Normal"/>
    <w:link w:val="BodyTextChar"/>
    <w:rsid w:val="007636B0"/>
    <w:pPr>
      <w:spacing w:after="200" w:line="240" w:lineRule="auto"/>
    </w:pPr>
    <w:rPr>
      <w:rFonts w:eastAsia="Times New Roman" w:cs="Times New Roman"/>
      <w:sz w:val="24"/>
      <w:lang w:eastAsia="ja-JP"/>
    </w:rPr>
  </w:style>
  <w:style w:type="character" w:customStyle="1" w:styleId="BodyTextChar">
    <w:name w:val="Body Text Char"/>
    <w:aliases w:val="(Alt+1) Char,Body Char,BodyText Char,body Char,b Char,block Char,Body Text before bullet Char,D&amp;M Body Text Char,IRMS (T) Char,Body Text Char Char Char Char Char,Body Text Char1 Char,Body Text Char Char Char,BT Char"/>
    <w:basedOn w:val="DefaultParagraphFont"/>
    <w:link w:val="BodyText"/>
    <w:rsid w:val="007636B0"/>
    <w:rPr>
      <w:rFonts w:eastAsia="Times New Roman" w:cs="Times New Roman"/>
      <w:sz w:val="24"/>
      <w:lang w:eastAsia="ja-JP"/>
    </w:rPr>
  </w:style>
  <w:style w:type="table" w:styleId="ColorfulList-Accent1">
    <w:name w:val="Colorful List Accent 1"/>
    <w:basedOn w:val="TableNormal"/>
    <w:uiPriority w:val="41"/>
    <w:rsid w:val="007636B0"/>
    <w:rPr>
      <w:rFonts w:ascii="Verdana" w:eastAsia="Verdana" w:hAnsi="Verdana" w:cs="Verdana"/>
      <w:color w:val="000000"/>
      <w:lang w:eastAsia="en-AU"/>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ulletedList">
    <w:name w:val="BulletedList"/>
    <w:link w:val="BulletedListChar"/>
    <w:locked/>
    <w:rsid w:val="007636B0"/>
    <w:pPr>
      <w:numPr>
        <w:numId w:val="20"/>
      </w:numPr>
      <w:spacing w:after="160"/>
    </w:pPr>
    <w:rPr>
      <w:rFonts w:ascii="Arial" w:eastAsia="Times New Roman" w:hAnsi="Arial" w:cs="Arial"/>
    </w:rPr>
  </w:style>
  <w:style w:type="paragraph" w:customStyle="1" w:styleId="CaptionTable">
    <w:name w:val="Caption Table"/>
    <w:basedOn w:val="Caption"/>
    <w:next w:val="BodyText"/>
    <w:rsid w:val="007636B0"/>
    <w:pPr>
      <w:tabs>
        <w:tab w:val="clear" w:pos="9071"/>
      </w:tabs>
      <w:spacing w:after="240"/>
      <w:ind w:left="0"/>
      <w:jc w:val="center"/>
    </w:pPr>
    <w:rPr>
      <w:rFonts w:ascii="Arial" w:hAnsi="Arial" w:cs="Arial"/>
      <w:bCs/>
      <w:color w:val="0C479D"/>
      <w:szCs w:val="20"/>
      <w:lang w:eastAsia="en-US"/>
    </w:rPr>
  </w:style>
  <w:style w:type="paragraph" w:customStyle="1" w:styleId="TableHeadings">
    <w:name w:val="TableHeadings"/>
    <w:basedOn w:val="Normal"/>
    <w:next w:val="BodyText"/>
    <w:rsid w:val="007636B0"/>
    <w:pPr>
      <w:spacing w:before="60" w:after="60" w:line="240" w:lineRule="auto"/>
      <w:jc w:val="center"/>
    </w:pPr>
    <w:rPr>
      <w:rFonts w:ascii="Arial Black" w:eastAsia="Times New Roman" w:hAnsi="Arial Black" w:cs="Arial"/>
      <w:b/>
      <w:sz w:val="20"/>
    </w:rPr>
  </w:style>
  <w:style w:type="paragraph" w:customStyle="1" w:styleId="TableRows">
    <w:name w:val="TableRows"/>
    <w:basedOn w:val="Normal"/>
    <w:next w:val="BodyText"/>
    <w:rsid w:val="007636B0"/>
    <w:pPr>
      <w:spacing w:before="40" w:after="40" w:line="240" w:lineRule="auto"/>
    </w:pPr>
    <w:rPr>
      <w:rFonts w:ascii="Arial" w:eastAsia="Times New Roman" w:hAnsi="Arial" w:cs="Arial"/>
      <w:sz w:val="18"/>
    </w:rPr>
  </w:style>
  <w:style w:type="paragraph" w:customStyle="1" w:styleId="SubHeading">
    <w:name w:val="Sub Heading"/>
    <w:basedOn w:val="Normal"/>
    <w:next w:val="BodyText"/>
    <w:link w:val="SubHeadingChar"/>
    <w:rsid w:val="007636B0"/>
    <w:pPr>
      <w:keepNext/>
      <w:spacing w:before="240" w:after="160" w:line="240" w:lineRule="auto"/>
    </w:pPr>
    <w:rPr>
      <w:rFonts w:ascii="Arial" w:eastAsia="Times New Roman" w:hAnsi="Arial" w:cs="Times New Roman"/>
      <w:b/>
      <w:i/>
      <w:sz w:val="20"/>
      <w:szCs w:val="24"/>
      <w:lang w:eastAsia="ja-JP"/>
    </w:rPr>
  </w:style>
  <w:style w:type="table" w:styleId="ColorfulList-Accent4">
    <w:name w:val="Colorful List Accent 4"/>
    <w:basedOn w:val="TableNormal"/>
    <w:uiPriority w:val="72"/>
    <w:rsid w:val="007636B0"/>
    <w:rPr>
      <w:rFonts w:eastAsia="Times New Roman" w:cs="Times New Roman"/>
      <w:color w:val="000000"/>
      <w:lang w:eastAsia="en-AU"/>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2">
    <w:name w:val="Colorful List Accent 2"/>
    <w:basedOn w:val="TableNormal"/>
    <w:uiPriority w:val="42"/>
    <w:rsid w:val="007636B0"/>
    <w:rPr>
      <w:rFonts w:ascii="Verdana" w:eastAsia="Verdana" w:hAnsi="Verdana" w:cs="Verdana"/>
      <w:color w:val="000000"/>
      <w:lang w:eastAsia="en-AU"/>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character" w:customStyle="1" w:styleId="BulletedListChar">
    <w:name w:val="BulletedList Char"/>
    <w:link w:val="BulletedList"/>
    <w:rsid w:val="007636B0"/>
    <w:rPr>
      <w:rFonts w:ascii="Arial" w:eastAsia="Times New Roman" w:hAnsi="Arial" w:cs="Arial"/>
    </w:rPr>
  </w:style>
  <w:style w:type="table" w:styleId="MediumShading2-Accent6">
    <w:name w:val="Medium Shading 2 Accent 6"/>
    <w:basedOn w:val="TableNormal"/>
    <w:uiPriority w:val="46"/>
    <w:rsid w:val="007636B0"/>
    <w:rPr>
      <w:rFonts w:ascii="Verdana" w:eastAsia="Verdana" w:hAnsi="Verdana" w:cs="Verdana"/>
      <w:lang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SubHeadingChar">
    <w:name w:val="Sub Heading Char"/>
    <w:link w:val="SubHeading"/>
    <w:rsid w:val="007636B0"/>
    <w:rPr>
      <w:rFonts w:ascii="Arial" w:eastAsia="Times New Roman" w:hAnsi="Arial" w:cs="Times New Roman"/>
      <w:b/>
      <w:i/>
      <w:szCs w:val="24"/>
      <w:lang w:eastAsia="ja-JP"/>
    </w:rPr>
  </w:style>
  <w:style w:type="paragraph" w:customStyle="1" w:styleId="TableBody">
    <w:name w:val="TableBody"/>
    <w:basedOn w:val="Normal"/>
    <w:rsid w:val="007636B0"/>
    <w:pPr>
      <w:tabs>
        <w:tab w:val="left" w:pos="1985"/>
      </w:tabs>
      <w:spacing w:before="60" w:after="60" w:line="240" w:lineRule="atLeast"/>
    </w:pPr>
    <w:rPr>
      <w:rFonts w:ascii="Arial" w:eastAsia="Times" w:hAnsi="Arial" w:cs="Times New Roman"/>
      <w:sz w:val="20"/>
      <w:lang w:eastAsia="ja-JP"/>
    </w:rPr>
  </w:style>
  <w:style w:type="paragraph" w:styleId="Bibliography">
    <w:name w:val="Bibliography"/>
    <w:basedOn w:val="Normal"/>
    <w:next w:val="Normal"/>
    <w:uiPriority w:val="37"/>
    <w:unhideWhenUsed/>
    <w:rsid w:val="007636B0"/>
    <w:pPr>
      <w:spacing w:after="240" w:line="240" w:lineRule="auto"/>
      <w:jc w:val="both"/>
    </w:pPr>
    <w:rPr>
      <w:rFonts w:ascii="Arial" w:eastAsia="Times New Roman" w:hAnsi="Arial" w:cs="Times New Roman"/>
    </w:rPr>
  </w:style>
  <w:style w:type="paragraph" w:styleId="EndnoteText">
    <w:name w:val="endnote text"/>
    <w:basedOn w:val="Normal"/>
    <w:link w:val="EndnoteTextChar"/>
    <w:uiPriority w:val="99"/>
    <w:unhideWhenUsed/>
    <w:rsid w:val="007636B0"/>
    <w:pPr>
      <w:spacing w:line="240" w:lineRule="auto"/>
    </w:pPr>
    <w:rPr>
      <w:rFonts w:ascii="Arial" w:eastAsia="Verdana" w:hAnsi="Arial" w:cs="Times New Roman"/>
      <w:sz w:val="20"/>
      <w:lang w:eastAsia="ja-JP"/>
    </w:rPr>
  </w:style>
  <w:style w:type="character" w:customStyle="1" w:styleId="EndnoteTextChar">
    <w:name w:val="Endnote Text Char"/>
    <w:basedOn w:val="DefaultParagraphFont"/>
    <w:link w:val="EndnoteText"/>
    <w:uiPriority w:val="99"/>
    <w:rsid w:val="007636B0"/>
    <w:rPr>
      <w:rFonts w:ascii="Arial" w:eastAsia="Verdana" w:hAnsi="Arial" w:cs="Times New Roman"/>
      <w:lang w:eastAsia="ja-JP"/>
    </w:rPr>
  </w:style>
  <w:style w:type="character" w:styleId="EndnoteReference">
    <w:name w:val="endnote reference"/>
    <w:uiPriority w:val="99"/>
    <w:unhideWhenUsed/>
    <w:rsid w:val="007636B0"/>
    <w:rPr>
      <w:vertAlign w:val="superscript"/>
    </w:rPr>
  </w:style>
  <w:style w:type="paragraph" w:customStyle="1" w:styleId="NumberedList">
    <w:name w:val="NumberedList"/>
    <w:basedOn w:val="BodyText"/>
    <w:rsid w:val="007636B0"/>
    <w:pPr>
      <w:numPr>
        <w:numId w:val="21"/>
      </w:numPr>
      <w:spacing w:after="240"/>
    </w:pPr>
    <w:rPr>
      <w:rFonts w:ascii="Arial" w:hAnsi="Arial"/>
      <w:sz w:val="22"/>
    </w:rPr>
  </w:style>
  <w:style w:type="paragraph" w:styleId="ListBullet">
    <w:name w:val="List Bullet"/>
    <w:basedOn w:val="Normal"/>
    <w:rsid w:val="007636B0"/>
    <w:pPr>
      <w:tabs>
        <w:tab w:val="left" w:pos="284"/>
        <w:tab w:val="left" w:pos="567"/>
        <w:tab w:val="num" w:pos="2835"/>
      </w:tabs>
      <w:spacing w:after="240" w:line="260" w:lineRule="exact"/>
      <w:ind w:left="2836" w:hanging="284"/>
      <w:contextualSpacing/>
      <w:jc w:val="both"/>
    </w:pPr>
    <w:rPr>
      <w:rFonts w:ascii="Arial Narrow" w:eastAsia="Times New Roman" w:hAnsi="Arial Narrow" w:cs="Times New Roman"/>
      <w:sz w:val="20"/>
      <w:lang w:eastAsia="en-AU"/>
    </w:rPr>
  </w:style>
  <w:style w:type="character" w:styleId="FollowedHyperlink">
    <w:name w:val="FollowedHyperlink"/>
    <w:uiPriority w:val="99"/>
    <w:unhideWhenUsed/>
    <w:rsid w:val="007636B0"/>
    <w:rPr>
      <w:color w:val="800080"/>
      <w:u w:val="single"/>
    </w:rPr>
  </w:style>
  <w:style w:type="paragraph" w:styleId="HTMLPreformatted">
    <w:name w:val="HTML Preformatted"/>
    <w:basedOn w:val="Normal"/>
    <w:link w:val="HTMLPreformattedChar"/>
    <w:uiPriority w:val="99"/>
    <w:unhideWhenUsed/>
    <w:rsid w:val="0076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lang w:eastAsia="en-AU"/>
    </w:rPr>
  </w:style>
  <w:style w:type="character" w:customStyle="1" w:styleId="HTMLPreformattedChar">
    <w:name w:val="HTML Preformatted Char"/>
    <w:basedOn w:val="DefaultParagraphFont"/>
    <w:link w:val="HTMLPreformatted"/>
    <w:uiPriority w:val="99"/>
    <w:rsid w:val="007636B0"/>
    <w:rPr>
      <w:rFonts w:ascii="Courier New" w:eastAsia="Times New Roman" w:hAnsi="Courier New" w:cs="Times New Roman"/>
      <w:lang w:eastAsia="en-AU"/>
    </w:rPr>
  </w:style>
  <w:style w:type="paragraph" w:customStyle="1" w:styleId="Bullet">
    <w:name w:val="Bullet"/>
    <w:aliases w:val="b1"/>
    <w:basedOn w:val="Normal"/>
    <w:link w:val="BulletChar1"/>
    <w:rsid w:val="007636B0"/>
    <w:pPr>
      <w:numPr>
        <w:numId w:val="22"/>
      </w:numPr>
      <w:spacing w:after="120" w:line="240" w:lineRule="atLeast"/>
    </w:pPr>
    <w:rPr>
      <w:rFonts w:ascii="Arial" w:eastAsia="Times New Roman" w:hAnsi="Arial" w:cs="Times New Roman"/>
      <w:sz w:val="20"/>
      <w:lang w:eastAsia="ja-JP"/>
    </w:rPr>
  </w:style>
  <w:style w:type="paragraph" w:customStyle="1" w:styleId="Bullet2">
    <w:name w:val="Bullet2"/>
    <w:aliases w:val="b2"/>
    <w:basedOn w:val="Bullet"/>
    <w:rsid w:val="007636B0"/>
    <w:pPr>
      <w:numPr>
        <w:ilvl w:val="1"/>
      </w:numPr>
      <w:tabs>
        <w:tab w:val="clear" w:pos="1701"/>
        <w:tab w:val="num" w:pos="720"/>
      </w:tabs>
      <w:ind w:left="720" w:hanging="360"/>
    </w:pPr>
  </w:style>
  <w:style w:type="paragraph" w:customStyle="1" w:styleId="Bullet3">
    <w:name w:val="Bullet3"/>
    <w:basedOn w:val="Bullet"/>
    <w:rsid w:val="007636B0"/>
    <w:pPr>
      <w:numPr>
        <w:ilvl w:val="2"/>
      </w:numPr>
      <w:tabs>
        <w:tab w:val="clear" w:pos="2268"/>
        <w:tab w:val="num" w:pos="1080"/>
      </w:tabs>
      <w:ind w:left="1080" w:hanging="360"/>
    </w:pPr>
  </w:style>
  <w:style w:type="character" w:customStyle="1" w:styleId="BulletChar1">
    <w:name w:val="Bullet Char1"/>
    <w:link w:val="Bullet"/>
    <w:rsid w:val="007636B0"/>
    <w:rPr>
      <w:rFonts w:ascii="Arial" w:eastAsia="Times New Roman" w:hAnsi="Arial" w:cs="Times New Roman"/>
      <w:lang w:eastAsia="ja-JP"/>
    </w:rPr>
  </w:style>
  <w:style w:type="character" w:styleId="HTMLCode">
    <w:name w:val="HTML Code"/>
    <w:uiPriority w:val="99"/>
    <w:unhideWhenUsed/>
    <w:rsid w:val="007636B0"/>
    <w:rPr>
      <w:rFonts w:ascii="Courier New" w:eastAsia="Times New Roman" w:hAnsi="Courier New" w:cs="Courier New"/>
      <w:sz w:val="20"/>
      <w:szCs w:val="20"/>
    </w:rPr>
  </w:style>
  <w:style w:type="paragraph" w:customStyle="1" w:styleId="StyleTOC2After2ptLinespacingsingle">
    <w:name w:val="Style TOC 2 + After:  2 pt Line spacing:  single"/>
    <w:basedOn w:val="TOC2"/>
    <w:rsid w:val="007636B0"/>
    <w:pPr>
      <w:keepNext w:val="0"/>
      <w:keepLines w:val="0"/>
      <w:tabs>
        <w:tab w:val="clear" w:pos="7088"/>
        <w:tab w:val="right" w:leader="dot" w:pos="9639"/>
        <w:tab w:val="right" w:leader="dot" w:pos="9737"/>
      </w:tabs>
      <w:spacing w:before="0" w:after="20"/>
      <w:ind w:left="238" w:right="0" w:firstLine="0"/>
    </w:pPr>
    <w:rPr>
      <w:rFonts w:ascii="Arial" w:hAnsi="Arial"/>
      <w:b w:val="0"/>
      <w:noProof/>
      <w:kern w:val="0"/>
      <w:sz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qFormat="1"/>
    <w:lsdException w:name="footnote reference" w:uiPriority="0"/>
    <w:lsdException w:name="annotation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3"/>
    <w:lsdException w:name="Strong" w:semiHidden="0" w:uiPriority="22" w:unhideWhenUsed="0" w:qFormat="1"/>
    <w:lsdException w:name="Emphasis" w:semiHidden="0" w:uiPriority="0" w:unhideWhenUsed="0" w:qFormat="1"/>
    <w:lsdException w:name="Normal (Web)"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41"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4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46"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paragraph" w:styleId="Heading1">
    <w:name w:val="heading 1"/>
    <w:aliases w:val="Chapter Heading,Chapter Heading1,Chapter Heading2,Chapter Heading3,Chapter Heading4,Chapter Heading5,Chapter Heading6,Chapter Heading7,Chapter Heading8,Chapter Heading9,Chapter Heading10,Chapter Heading11,Chapter Heading21,Chapter Heading31,h1"/>
    <w:basedOn w:val="text"/>
    <w:next w:val="text"/>
    <w:link w:val="Heading1Char"/>
    <w:autoRedefine/>
    <w:uiPriority w:val="9"/>
    <w:qFormat/>
    <w:rsid w:val="007636B0"/>
    <w:pPr>
      <w:keepNext/>
      <w:pageBreakBefore/>
      <w:numPr>
        <w:numId w:val="16"/>
      </w:numPr>
      <w:tabs>
        <w:tab w:val="clear" w:pos="720"/>
        <w:tab w:val="num" w:pos="1209"/>
        <w:tab w:val="right" w:pos="9072"/>
      </w:tabs>
      <w:spacing w:before="0"/>
      <w:ind w:left="709" w:hanging="709"/>
      <w:outlineLvl w:val="0"/>
    </w:pPr>
    <w:rPr>
      <w:b/>
      <w:kern w:val="28"/>
      <w:sz w:val="32"/>
    </w:rPr>
  </w:style>
  <w:style w:type="paragraph" w:styleId="Heading2">
    <w:name w:val="heading 2"/>
    <w:aliases w:val="Major Heading,Major Heading1,Major Heading2,Major Heading3,Major Heading4,Major Heading5,Major Heading6,Major Heading11,Major Heading21,Major Heading31,Major Heading7,Major Heading12,Major Heading22,Major Heading32,Major Heading8,h2,H2,2,Para2"/>
    <w:basedOn w:val="Heading1"/>
    <w:next w:val="Normal"/>
    <w:link w:val="Heading2Char"/>
    <w:autoRedefine/>
    <w:uiPriority w:val="9"/>
    <w:qFormat/>
    <w:rsid w:val="007636B0"/>
    <w:pPr>
      <w:keepLines/>
      <w:pageBreakBefore w:val="0"/>
      <w:numPr>
        <w:ilvl w:val="1"/>
      </w:numPr>
      <w:tabs>
        <w:tab w:val="clear" w:pos="576"/>
        <w:tab w:val="right" w:pos="709"/>
        <w:tab w:val="num" w:pos="1209"/>
        <w:tab w:val="left" w:pos="9180"/>
      </w:tabs>
      <w:autoSpaceDE w:val="0"/>
      <w:autoSpaceDN w:val="0"/>
      <w:adjustRightInd w:val="0"/>
      <w:spacing w:before="240"/>
      <w:ind w:left="709" w:hanging="709"/>
      <w:outlineLvl w:val="1"/>
    </w:pPr>
    <w:rPr>
      <w:sz w:val="24"/>
      <w:lang w:eastAsia="en-US"/>
    </w:rPr>
  </w:style>
  <w:style w:type="paragraph" w:styleId="Heading3">
    <w:name w:val="heading 3"/>
    <w:aliases w:val="Sub-heading,Sub-heading1,Sub-heading2,Sub-heading3,Sub-heading4,Sub-heading5,Sub-heading6,Sub-heading11,Sub-heading21,Sub-heading31,Sub-heading7,Sub-heading12,Sub-heading22,Sub-heading32,Sub-heading8,Sub-heading13,Sub-heading23,Sub-heading33"/>
    <w:basedOn w:val="Heading2"/>
    <w:next w:val="Normal"/>
    <w:link w:val="Heading3Char"/>
    <w:uiPriority w:val="9"/>
    <w:qFormat/>
    <w:rsid w:val="007636B0"/>
    <w:pPr>
      <w:numPr>
        <w:ilvl w:val="2"/>
      </w:numPr>
      <w:outlineLvl w:val="2"/>
    </w:pPr>
    <w:rPr>
      <w:sz w:val="22"/>
    </w:rPr>
  </w:style>
  <w:style w:type="paragraph" w:styleId="Heading4">
    <w:name w:val="heading 4"/>
    <w:aliases w:val="Minor Heading,Minor Heading1,Minor Heading2,Minor Heading3,Minor Heading4,Minor Heading5,Minor Heading6,Minor Heading7,Minor Heading8,Minor Heading11,Minor Heading21,Minor Heading31,Minor Heading41,Minor Heading51,Minor Heading9,D&amp;M,h4,h41,h42"/>
    <w:basedOn w:val="Normal"/>
    <w:next w:val="Normal"/>
    <w:link w:val="Heading4Char"/>
    <w:uiPriority w:val="9"/>
    <w:qFormat/>
    <w:rsid w:val="007636B0"/>
    <w:pPr>
      <w:keepNext/>
      <w:numPr>
        <w:ilvl w:val="3"/>
        <w:numId w:val="16"/>
      </w:numPr>
      <w:tabs>
        <w:tab w:val="left" w:pos="1134"/>
      </w:tabs>
      <w:spacing w:before="240" w:after="120" w:line="240" w:lineRule="auto"/>
      <w:jc w:val="both"/>
      <w:outlineLvl w:val="3"/>
    </w:pPr>
    <w:rPr>
      <w:rFonts w:ascii="Book Antiqua" w:eastAsia="Times New Roman" w:hAnsi="Book Antiqua" w:cs="Times New Roman"/>
      <w:i/>
      <w:lang w:eastAsia="en-AU"/>
    </w:rPr>
  </w:style>
  <w:style w:type="paragraph" w:styleId="Heading5">
    <w:name w:val="heading 5"/>
    <w:aliases w:val="Further Points,Further Points1,Further Points2,Further Points3,Further Points11,Further Points4,Further Points5,Further Points12,Further Points21,Further Points111,Further Points6,Further Points13,Further Points22,Further Points112,h5,Para5"/>
    <w:basedOn w:val="Normal"/>
    <w:next w:val="Normal"/>
    <w:link w:val="Heading5Char"/>
    <w:uiPriority w:val="9"/>
    <w:rsid w:val="007636B0"/>
    <w:pPr>
      <w:keepNext/>
      <w:numPr>
        <w:ilvl w:val="4"/>
        <w:numId w:val="16"/>
      </w:numPr>
      <w:spacing w:before="120" w:after="120" w:line="240" w:lineRule="auto"/>
      <w:ind w:right="-2"/>
      <w:outlineLvl w:val="4"/>
    </w:pPr>
    <w:rPr>
      <w:rFonts w:ascii="Book Antiqua" w:eastAsia="Times New Roman" w:hAnsi="Book Antiqua" w:cs="Times New Roman"/>
      <w:b/>
      <w:sz w:val="20"/>
      <w:lang w:eastAsia="en-AU"/>
    </w:rPr>
  </w:style>
  <w:style w:type="paragraph" w:styleId="Heading6">
    <w:name w:val="heading 6"/>
    <w:aliases w:val="Points in Text,Points in Text1,Points in Text2,Points in Text3,Points in Text4,Points in Text5,Points in Text11,Points in Text21,Points in Text6,Points in Text12,Points in Text22,Points in Text7,Points in Text13,Points in Text23,not Kinhill,H"/>
    <w:basedOn w:val="Normal"/>
    <w:next w:val="Normal"/>
    <w:link w:val="Heading6Char"/>
    <w:uiPriority w:val="9"/>
    <w:rsid w:val="007636B0"/>
    <w:pPr>
      <w:numPr>
        <w:ilvl w:val="5"/>
        <w:numId w:val="16"/>
      </w:numPr>
      <w:spacing w:before="240" w:after="60" w:line="240" w:lineRule="auto"/>
      <w:jc w:val="both"/>
      <w:outlineLvl w:val="5"/>
    </w:pPr>
    <w:rPr>
      <w:rFonts w:eastAsia="Times New Roman" w:cs="Times New Roman"/>
      <w:i/>
      <w:lang w:eastAsia="en-AU"/>
    </w:rPr>
  </w:style>
  <w:style w:type="paragraph" w:styleId="Heading7">
    <w:name w:val="heading 7"/>
    <w:aliases w:val="DO NOT USE 7,DO NOT USE 71,H7,H71,H72,H711,DO NOT USE 72,DO NOT USE 711,H73,H712,DO NOT USE 73,DO NOT USE 712,H74,H713,DO NOT USE 74,DO NOT USE 713,H75,H714,DO NOT USE 75,DO NOT USE 714,H76,H715,DO NOT USE 76,DO NOT USE 715,H77,H716,H78,H717"/>
    <w:basedOn w:val="Normal"/>
    <w:next w:val="Normal"/>
    <w:link w:val="Heading7Char"/>
    <w:uiPriority w:val="9"/>
    <w:rsid w:val="007636B0"/>
    <w:pPr>
      <w:numPr>
        <w:ilvl w:val="6"/>
        <w:numId w:val="16"/>
      </w:numPr>
      <w:spacing w:before="240" w:after="60" w:line="240" w:lineRule="auto"/>
      <w:jc w:val="both"/>
      <w:outlineLvl w:val="6"/>
    </w:pPr>
    <w:rPr>
      <w:rFonts w:ascii="Arial" w:eastAsia="Times New Roman" w:hAnsi="Arial" w:cs="Times New Roman"/>
      <w:sz w:val="20"/>
      <w:lang w:eastAsia="en-AU"/>
    </w:rPr>
  </w:style>
  <w:style w:type="paragraph" w:styleId="Heading8">
    <w:name w:val="heading 8"/>
    <w:aliases w:val="Appendix Level 2,not Kinhill1,Appendix Level 21,Appendix Level 22,Appendix Level 23,Appendix Level 24,Appendix Level 25,Appendix Level 26,Appendix Level 27,DO NOT USE 8,Appendix Level 28,Appendix Level 211,Appendix Level 221"/>
    <w:basedOn w:val="Normal"/>
    <w:next w:val="Normal"/>
    <w:link w:val="Heading8Char"/>
    <w:uiPriority w:val="9"/>
    <w:rsid w:val="007636B0"/>
    <w:pPr>
      <w:numPr>
        <w:ilvl w:val="7"/>
        <w:numId w:val="16"/>
      </w:numPr>
      <w:spacing w:before="240" w:after="60" w:line="240" w:lineRule="auto"/>
      <w:jc w:val="both"/>
      <w:outlineLvl w:val="7"/>
    </w:pPr>
    <w:rPr>
      <w:rFonts w:ascii="Arial" w:eastAsia="Times New Roman" w:hAnsi="Arial" w:cs="Times New Roman"/>
      <w:i/>
      <w:sz w:val="20"/>
      <w:lang w:eastAsia="en-AU"/>
    </w:rPr>
  </w:style>
  <w:style w:type="paragraph" w:styleId="Heading9">
    <w:name w:val="heading 9"/>
    <w:aliases w:val="Appendix Level 3,Appendix Level 31,Appendix Level 32,Appendix Level 33,Appendix Level 34,Appendix Level 35,Appendix Level 36,Appendix Level 37,DO NOT USE 9,Appendix Level 38,Appendix Level 311,Appendix Level 321,Appendix Level 331,H9,H91,H92"/>
    <w:basedOn w:val="Normal"/>
    <w:next w:val="Normal"/>
    <w:link w:val="Heading9Char"/>
    <w:uiPriority w:val="9"/>
    <w:rsid w:val="007636B0"/>
    <w:pPr>
      <w:numPr>
        <w:ilvl w:val="8"/>
        <w:numId w:val="16"/>
      </w:numPr>
      <w:spacing w:before="240" w:after="60" w:line="240" w:lineRule="auto"/>
      <w:jc w:val="both"/>
      <w:outlineLvl w:val="8"/>
    </w:pPr>
    <w:rPr>
      <w:rFonts w:ascii="Arial" w:eastAsia="Times New Roman" w:hAnsi="Arial" w:cs="Times New Roman"/>
      <w:b/>
      <w:i/>
      <w:sz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A24CB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1B0F61"/>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D1344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54D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754D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754D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B0F6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116C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F0B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F0B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F0B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664C6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664C63"/>
    <w:rPr>
      <w:rFonts w:eastAsia="Times New Roman" w:cs="Times New Roman"/>
      <w:sz w:val="22"/>
      <w:szCs w:val="24"/>
      <w:lang w:eastAsia="en-AU"/>
    </w:rPr>
  </w:style>
  <w:style w:type="character" w:styleId="LineNumber">
    <w:name w:val="line number"/>
    <w:basedOn w:val="OPCCharBase"/>
    <w:unhideWhenUsed/>
    <w:rsid w:val="001B0F61"/>
    <w:rPr>
      <w:sz w:val="16"/>
    </w:rPr>
  </w:style>
  <w:style w:type="table" w:customStyle="1" w:styleId="CFlag">
    <w:name w:val="CFlag"/>
    <w:basedOn w:val="TableNormal"/>
    <w:uiPriority w:val="99"/>
    <w:rsid w:val="0018435F"/>
    <w:rPr>
      <w:rFonts w:eastAsia="Times New Roman" w:cs="Times New Roman"/>
      <w:lang w:eastAsia="en-AU"/>
    </w:rPr>
    <w:tblPr>
      <w:tblInd w:w="0" w:type="dxa"/>
      <w:tblCellMar>
        <w:top w:w="0" w:type="dxa"/>
        <w:left w:w="108" w:type="dxa"/>
        <w:bottom w:w="0" w:type="dxa"/>
        <w:right w:w="108" w:type="dxa"/>
      </w:tblCellMar>
    </w:tblPr>
  </w:style>
  <w:style w:type="table" w:styleId="TableGrid">
    <w:name w:val="Table Grid"/>
    <w:basedOn w:val="TableNormal"/>
    <w:uiPriority w:val="1"/>
    <w:rsid w:val="00A6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PartCASA">
    <w:name w:val="SubPart(CASA)"/>
    <w:aliases w:val="csp"/>
    <w:basedOn w:val="OPCParaBase"/>
    <w:next w:val="ActHead3"/>
    <w:rsid w:val="007E335B"/>
    <w:pPr>
      <w:keepNext/>
      <w:keepLines/>
      <w:spacing w:before="280"/>
      <w:outlineLvl w:val="1"/>
    </w:pPr>
    <w:rPr>
      <w:b/>
      <w:kern w:val="28"/>
      <w:sz w:val="32"/>
    </w:rPr>
  </w:style>
  <w:style w:type="paragraph" w:customStyle="1" w:styleId="ENotesHeading1">
    <w:name w:val="ENotesHeading 1"/>
    <w:aliases w:val="Enh1"/>
    <w:basedOn w:val="OPCParaBase"/>
    <w:next w:val="Normal"/>
    <w:rsid w:val="00DF09AC"/>
    <w:pPr>
      <w:spacing w:before="120"/>
      <w:outlineLvl w:val="0"/>
    </w:pPr>
    <w:rPr>
      <w:b/>
      <w:sz w:val="28"/>
      <w:szCs w:val="28"/>
    </w:rPr>
  </w:style>
  <w:style w:type="paragraph" w:customStyle="1" w:styleId="ENotesHeading2">
    <w:name w:val="ENotesHeading 2"/>
    <w:aliases w:val="Enh2"/>
    <w:basedOn w:val="OPCParaBase"/>
    <w:next w:val="Normal"/>
    <w:rsid w:val="00DF09AC"/>
    <w:pPr>
      <w:spacing w:before="120" w:after="120"/>
      <w:outlineLvl w:val="6"/>
    </w:pPr>
    <w:rPr>
      <w:b/>
      <w:sz w:val="24"/>
      <w:szCs w:val="28"/>
    </w:rPr>
  </w:style>
  <w:style w:type="paragraph" w:customStyle="1" w:styleId="ENotesHeading3">
    <w:name w:val="ENotesHeading 3"/>
    <w:aliases w:val="Enh3"/>
    <w:basedOn w:val="OPCParaBase"/>
    <w:next w:val="Normal"/>
    <w:rsid w:val="00DF09AC"/>
    <w:pPr>
      <w:spacing w:before="120" w:line="240" w:lineRule="auto"/>
      <w:outlineLvl w:val="7"/>
    </w:pPr>
    <w:rPr>
      <w:b/>
      <w:szCs w:val="24"/>
    </w:rPr>
  </w:style>
  <w:style w:type="paragraph" w:customStyle="1" w:styleId="ENotesText">
    <w:name w:val="ENotesText"/>
    <w:aliases w:val="Ent"/>
    <w:basedOn w:val="OPCParaBase"/>
    <w:next w:val="Normal"/>
    <w:rsid w:val="00DF09AC"/>
    <w:pPr>
      <w:spacing w:before="120"/>
    </w:pPr>
  </w:style>
  <w:style w:type="paragraph" w:customStyle="1" w:styleId="CompiledActNo">
    <w:name w:val="CompiledActNo"/>
    <w:basedOn w:val="OPCParaBase"/>
    <w:next w:val="Normal"/>
    <w:rsid w:val="00C255AB"/>
    <w:rPr>
      <w:b/>
      <w:sz w:val="24"/>
      <w:szCs w:val="24"/>
    </w:rPr>
  </w:style>
  <w:style w:type="paragraph" w:customStyle="1" w:styleId="CompiledMadeUnder">
    <w:name w:val="CompiledMadeUnder"/>
    <w:basedOn w:val="OPCParaBase"/>
    <w:next w:val="Normal"/>
    <w:rsid w:val="00C255AB"/>
    <w:rPr>
      <w:i/>
      <w:sz w:val="24"/>
      <w:szCs w:val="24"/>
    </w:rPr>
  </w:style>
  <w:style w:type="paragraph" w:customStyle="1" w:styleId="Paragraphsub-sub-sub">
    <w:name w:val="Paragraph(sub-sub-sub)"/>
    <w:aliases w:val="aaaa"/>
    <w:basedOn w:val="OPCParaBase"/>
    <w:rsid w:val="00BD6B2E"/>
    <w:pPr>
      <w:tabs>
        <w:tab w:val="right" w:pos="3402"/>
      </w:tabs>
      <w:spacing w:before="40" w:line="240" w:lineRule="auto"/>
      <w:ind w:left="3402" w:hanging="3402"/>
    </w:pPr>
  </w:style>
  <w:style w:type="paragraph" w:customStyle="1" w:styleId="EndNotespara">
    <w:name w:val="EndNotes(para)"/>
    <w:aliases w:val="eta"/>
    <w:basedOn w:val="OPCParaBase"/>
    <w:next w:val="Normal"/>
    <w:rsid w:val="00DF09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F09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F09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F09A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F09AC"/>
    <w:pPr>
      <w:spacing w:before="60" w:line="240" w:lineRule="auto"/>
    </w:pPr>
    <w:rPr>
      <w:rFonts w:cs="Arial"/>
      <w:sz w:val="20"/>
      <w:szCs w:val="22"/>
    </w:rPr>
  </w:style>
  <w:style w:type="paragraph" w:customStyle="1" w:styleId="TableHeading">
    <w:name w:val="TableHeading"/>
    <w:aliases w:val="th"/>
    <w:basedOn w:val="OPCParaBase"/>
    <w:next w:val="Tabletext"/>
    <w:rsid w:val="00F1779C"/>
    <w:pPr>
      <w:spacing w:before="60" w:line="240" w:lineRule="atLeast"/>
    </w:pPr>
    <w:rPr>
      <w:b/>
      <w:sz w:val="20"/>
    </w:rPr>
  </w:style>
  <w:style w:type="paragraph" w:customStyle="1" w:styleId="NoteToSubpara">
    <w:name w:val="NoteToSubpara"/>
    <w:aliases w:val="nts"/>
    <w:basedOn w:val="OPCParaBase"/>
    <w:rsid w:val="00E9136A"/>
    <w:pPr>
      <w:spacing w:before="40" w:line="198" w:lineRule="exact"/>
      <w:ind w:left="2835" w:hanging="709"/>
    </w:pPr>
    <w:rPr>
      <w:sz w:val="18"/>
    </w:rPr>
  </w:style>
  <w:style w:type="character" w:customStyle="1" w:styleId="Heading1Char">
    <w:name w:val="Heading 1 Char"/>
    <w:aliases w:val="Chapter Heading Char,Chapter Heading1 Char,Chapter Heading2 Char,Chapter Heading3 Char,Chapter Heading4 Char,Chapter Heading5 Char,Chapter Heading6 Char,Chapter Heading7 Char,Chapter Heading8 Char,Chapter Heading9 Char,h1 Char"/>
    <w:basedOn w:val="DefaultParagraphFont"/>
    <w:link w:val="Heading1"/>
    <w:uiPriority w:val="9"/>
    <w:rsid w:val="007636B0"/>
    <w:rPr>
      <w:rFonts w:ascii="Book Antiqua" w:eastAsia="Times New Roman" w:hAnsi="Book Antiqua" w:cs="Times New Roman"/>
      <w:b/>
      <w:kern w:val="28"/>
      <w:sz w:val="32"/>
      <w:lang w:eastAsia="en-AU"/>
    </w:rPr>
  </w:style>
  <w:style w:type="character" w:customStyle="1" w:styleId="Heading2Char">
    <w:name w:val="Heading 2 Char"/>
    <w:aliases w:val="Major Heading Char,Major Heading1 Char,Major Heading2 Char,Major Heading3 Char,Major Heading4 Char,Major Heading5 Char,Major Heading6 Char,Major Heading11 Char,Major Heading21 Char,Major Heading31 Char,Major Heading7 Char,h2 Char,H2 Char"/>
    <w:basedOn w:val="DefaultParagraphFont"/>
    <w:link w:val="Heading2"/>
    <w:uiPriority w:val="9"/>
    <w:rsid w:val="007636B0"/>
    <w:rPr>
      <w:rFonts w:ascii="Book Antiqua" w:eastAsia="Times New Roman" w:hAnsi="Book Antiqua" w:cs="Times New Roman"/>
      <w:b/>
      <w:kern w:val="28"/>
      <w:sz w:val="24"/>
    </w:rPr>
  </w:style>
  <w:style w:type="character" w:customStyle="1" w:styleId="Heading3Char">
    <w:name w:val="Heading 3 Char"/>
    <w:aliases w:val="Sub-heading Char,Sub-heading1 Char,Sub-heading2 Char,Sub-heading3 Char,Sub-heading4 Char,Sub-heading5 Char,Sub-heading6 Char,Sub-heading11 Char,Sub-heading21 Char,Sub-heading31 Char,Sub-heading7 Char,Sub-heading12 Char,Sub-heading22 Char"/>
    <w:basedOn w:val="DefaultParagraphFont"/>
    <w:link w:val="Heading3"/>
    <w:uiPriority w:val="9"/>
    <w:rsid w:val="007636B0"/>
    <w:rPr>
      <w:rFonts w:ascii="Book Antiqua" w:eastAsia="Times New Roman" w:hAnsi="Book Antiqua" w:cs="Times New Roman"/>
      <w:b/>
      <w:kern w:val="28"/>
      <w:sz w:val="22"/>
    </w:rPr>
  </w:style>
  <w:style w:type="character" w:customStyle="1" w:styleId="Heading4Char">
    <w:name w:val="Heading 4 Char"/>
    <w:aliases w:val="Minor Heading Char,Minor Heading1 Char,Minor Heading2 Char,Minor Heading3 Char,Minor Heading4 Char,Minor Heading5 Char,Minor Heading6 Char,Minor Heading7 Char,Minor Heading8 Char,Minor Heading11 Char,Minor Heading21 Char,D&amp;M Char,h4 Char"/>
    <w:basedOn w:val="DefaultParagraphFont"/>
    <w:link w:val="Heading4"/>
    <w:uiPriority w:val="9"/>
    <w:rsid w:val="007636B0"/>
    <w:rPr>
      <w:rFonts w:ascii="Book Antiqua" w:eastAsia="Times New Roman" w:hAnsi="Book Antiqua" w:cs="Times New Roman"/>
      <w:i/>
      <w:sz w:val="22"/>
      <w:lang w:eastAsia="en-AU"/>
    </w:rPr>
  </w:style>
  <w:style w:type="character" w:customStyle="1" w:styleId="Heading5Char">
    <w:name w:val="Heading 5 Char"/>
    <w:aliases w:val="Further Points Char,Further Points1 Char,Further Points2 Char,Further Points3 Char,Further Points11 Char,Further Points4 Char,Further Points5 Char,Further Points12 Char,Further Points21 Char,Further Points111 Char,Further Points6 Char"/>
    <w:basedOn w:val="DefaultParagraphFont"/>
    <w:link w:val="Heading5"/>
    <w:uiPriority w:val="9"/>
    <w:rsid w:val="007636B0"/>
    <w:rPr>
      <w:rFonts w:ascii="Book Antiqua" w:eastAsia="Times New Roman" w:hAnsi="Book Antiqua" w:cs="Times New Roman"/>
      <w:b/>
      <w:lang w:eastAsia="en-AU"/>
    </w:rPr>
  </w:style>
  <w:style w:type="character" w:customStyle="1" w:styleId="Heading6Char">
    <w:name w:val="Heading 6 Char"/>
    <w:aliases w:val="Points in Text Char,Points in Text1 Char,Points in Text2 Char,Points in Text3 Char,Points in Text4 Char,Points in Text5 Char,Points in Text11 Char,Points in Text21 Char,Points in Text6 Char,Points in Text12 Char,Points in Text22 Char"/>
    <w:basedOn w:val="DefaultParagraphFont"/>
    <w:link w:val="Heading6"/>
    <w:uiPriority w:val="9"/>
    <w:rsid w:val="007636B0"/>
    <w:rPr>
      <w:rFonts w:eastAsia="Times New Roman" w:cs="Times New Roman"/>
      <w:i/>
      <w:sz w:val="22"/>
      <w:lang w:eastAsia="en-AU"/>
    </w:rPr>
  </w:style>
  <w:style w:type="character" w:customStyle="1" w:styleId="Heading7Char">
    <w:name w:val="Heading 7 Char"/>
    <w:aliases w:val="DO NOT USE 7 Char,DO NOT USE 71 Char,H7 Char,H71 Char,H72 Char,H711 Char,DO NOT USE 72 Char,DO NOT USE 711 Char,H73 Char,H712 Char,DO NOT USE 73 Char,DO NOT USE 712 Char,H74 Char,H713 Char,DO NOT USE 74 Char,DO NOT USE 713 Char,H75 Char"/>
    <w:basedOn w:val="DefaultParagraphFont"/>
    <w:link w:val="Heading7"/>
    <w:uiPriority w:val="9"/>
    <w:rsid w:val="007636B0"/>
    <w:rPr>
      <w:rFonts w:ascii="Arial" w:eastAsia="Times New Roman" w:hAnsi="Arial" w:cs="Times New Roman"/>
      <w:lang w:eastAsia="en-AU"/>
    </w:rPr>
  </w:style>
  <w:style w:type="character" w:customStyle="1" w:styleId="Heading8Char">
    <w:name w:val="Heading 8 Char"/>
    <w:aliases w:val="Appendix Level 2 Char,not Kinhill1 Char,Appendix Level 21 Char,Appendix Level 22 Char,Appendix Level 23 Char,Appendix Level 24 Char,Appendix Level 25 Char,Appendix Level 26 Char,Appendix Level 27 Char,DO NOT USE 8 Char"/>
    <w:basedOn w:val="DefaultParagraphFont"/>
    <w:link w:val="Heading8"/>
    <w:uiPriority w:val="9"/>
    <w:rsid w:val="007636B0"/>
    <w:rPr>
      <w:rFonts w:ascii="Arial" w:eastAsia="Times New Roman" w:hAnsi="Arial" w:cs="Times New Roman"/>
      <w:i/>
      <w:lang w:eastAsia="en-AU"/>
    </w:rPr>
  </w:style>
  <w:style w:type="character" w:customStyle="1" w:styleId="Heading9Char">
    <w:name w:val="Heading 9 Char"/>
    <w:aliases w:val="Appendix Level 3 Char,Appendix Level 31 Char,Appendix Level 32 Char,Appendix Level 33 Char,Appendix Level 34 Char,Appendix Level 35 Char,Appendix Level 36 Char,Appendix Level 37 Char,DO NOT USE 9 Char,Appendix Level 38 Char,H9 Char"/>
    <w:basedOn w:val="DefaultParagraphFont"/>
    <w:link w:val="Heading9"/>
    <w:uiPriority w:val="9"/>
    <w:rsid w:val="007636B0"/>
    <w:rPr>
      <w:rFonts w:ascii="Arial" w:eastAsia="Times New Roman" w:hAnsi="Arial" w:cs="Times New Roman"/>
      <w:b/>
      <w:i/>
      <w:sz w:val="18"/>
      <w:lang w:eastAsia="en-AU"/>
    </w:rPr>
  </w:style>
  <w:style w:type="paragraph" w:customStyle="1" w:styleId="DotpointCONSITES">
    <w:name w:val="Dotpoint CON SITES"/>
    <w:basedOn w:val="Normal"/>
    <w:next w:val="Normal"/>
    <w:autoRedefine/>
    <w:rsid w:val="007636B0"/>
    <w:pPr>
      <w:spacing w:before="120" w:after="120" w:line="240" w:lineRule="auto"/>
      <w:jc w:val="both"/>
    </w:pPr>
    <w:rPr>
      <w:rFonts w:ascii="Book Antiqua" w:eastAsia="Times New Roman" w:hAnsi="Book Antiqua" w:cs="Times New Roman"/>
      <w:b/>
      <w:lang w:eastAsia="en-AU"/>
    </w:rPr>
  </w:style>
  <w:style w:type="paragraph" w:customStyle="1" w:styleId="TableheadCONSITES">
    <w:name w:val="Tablehead CON SITES"/>
    <w:basedOn w:val="Normal"/>
    <w:next w:val="Normal"/>
    <w:rsid w:val="007636B0"/>
    <w:pPr>
      <w:spacing w:before="120" w:after="120" w:line="240" w:lineRule="auto"/>
      <w:jc w:val="center"/>
    </w:pPr>
    <w:rPr>
      <w:rFonts w:ascii="Book Antiqua" w:eastAsia="Times New Roman" w:hAnsi="Book Antiqua" w:cs="Times New Roman"/>
      <w:b/>
      <w:lang w:eastAsia="en-AU"/>
    </w:rPr>
  </w:style>
  <w:style w:type="character" w:styleId="PageNumber">
    <w:name w:val="page number"/>
    <w:basedOn w:val="DefaultParagraphFont"/>
    <w:rsid w:val="007636B0"/>
  </w:style>
  <w:style w:type="paragraph" w:styleId="BlockText">
    <w:name w:val="Block Text"/>
    <w:basedOn w:val="Normal"/>
    <w:uiPriority w:val="3"/>
    <w:rsid w:val="007636B0"/>
    <w:pPr>
      <w:pBdr>
        <w:top w:val="thinThickSmallGap" w:sz="24" w:space="12" w:color="auto"/>
        <w:left w:val="thinThickSmallGap" w:sz="24" w:space="12" w:color="auto"/>
        <w:bottom w:val="thickThinSmallGap" w:sz="24" w:space="12" w:color="auto"/>
        <w:right w:val="thickThinSmallGap" w:sz="24" w:space="12" w:color="auto"/>
      </w:pBdr>
      <w:spacing w:before="120" w:after="120" w:line="480" w:lineRule="auto"/>
      <w:ind w:left="567" w:right="567"/>
      <w:jc w:val="both"/>
    </w:pPr>
    <w:rPr>
      <w:rFonts w:ascii="Book Antiqua" w:eastAsia="Times New Roman" w:hAnsi="Book Antiqua" w:cs="Times New Roman"/>
      <w:lang w:eastAsia="en-AU"/>
    </w:rPr>
  </w:style>
  <w:style w:type="paragraph" w:customStyle="1" w:styleId="Glossary">
    <w:name w:val="Glossary"/>
    <w:basedOn w:val="Normal"/>
    <w:rsid w:val="007636B0"/>
    <w:pPr>
      <w:keepLines/>
      <w:spacing w:before="120" w:after="120" w:line="240" w:lineRule="auto"/>
      <w:jc w:val="both"/>
    </w:pPr>
    <w:rPr>
      <w:rFonts w:ascii="Book Antiqua" w:eastAsia="Times New Roman" w:hAnsi="Book Antiqua" w:cs="Times New Roman"/>
      <w:lang w:eastAsia="en-AU"/>
    </w:rPr>
  </w:style>
  <w:style w:type="paragraph" w:customStyle="1" w:styleId="TableText0">
    <w:name w:val="Table Text"/>
    <w:basedOn w:val="Normal"/>
    <w:rsid w:val="007636B0"/>
    <w:pPr>
      <w:spacing w:before="60" w:after="60" w:line="240" w:lineRule="auto"/>
    </w:pPr>
    <w:rPr>
      <w:rFonts w:ascii="Book Antiqua" w:eastAsia="Times New Roman" w:hAnsi="Book Antiqua" w:cs="Times New Roman"/>
      <w:sz w:val="20"/>
      <w:lang w:eastAsia="en-AU"/>
    </w:rPr>
  </w:style>
  <w:style w:type="paragraph" w:customStyle="1" w:styleId="Dotpoint2ndCONSITES">
    <w:name w:val="Dotpoint 2ndCON SITES"/>
    <w:basedOn w:val="DotpointCONSITES"/>
    <w:rsid w:val="007636B0"/>
    <w:pPr>
      <w:numPr>
        <w:ilvl w:val="1"/>
        <w:numId w:val="13"/>
      </w:numPr>
      <w:tabs>
        <w:tab w:val="clear" w:pos="720"/>
        <w:tab w:val="num" w:pos="851"/>
      </w:tabs>
      <w:ind w:left="851" w:hanging="284"/>
    </w:pPr>
  </w:style>
  <w:style w:type="paragraph" w:customStyle="1" w:styleId="DotpointiCONSITES">
    <w:name w:val="Dotpoint (i)CON SITES"/>
    <w:basedOn w:val="DotpointCONSITES"/>
    <w:rsid w:val="007636B0"/>
    <w:pPr>
      <w:numPr>
        <w:numId w:val="14"/>
      </w:numPr>
      <w:tabs>
        <w:tab w:val="clear" w:pos="720"/>
        <w:tab w:val="num" w:pos="567"/>
      </w:tabs>
      <w:ind w:left="567" w:hanging="567"/>
    </w:pPr>
  </w:style>
  <w:style w:type="paragraph" w:customStyle="1" w:styleId="AppendixHeading">
    <w:name w:val="Appendix Heading"/>
    <w:basedOn w:val="Heading1"/>
    <w:rsid w:val="007636B0"/>
    <w:pPr>
      <w:numPr>
        <w:numId w:val="0"/>
      </w:numPr>
      <w:spacing w:after="0"/>
      <w:jc w:val="center"/>
    </w:pPr>
  </w:style>
  <w:style w:type="paragraph" w:customStyle="1" w:styleId="text">
    <w:name w:val="text"/>
    <w:basedOn w:val="Normal"/>
    <w:link w:val="textChar"/>
    <w:rsid w:val="007636B0"/>
    <w:pPr>
      <w:spacing w:before="120" w:after="120" w:line="240" w:lineRule="auto"/>
      <w:jc w:val="both"/>
    </w:pPr>
    <w:rPr>
      <w:rFonts w:ascii="Book Antiqua" w:eastAsia="Times New Roman" w:hAnsi="Book Antiqua" w:cs="Times New Roman"/>
      <w:lang w:eastAsia="en-AU"/>
    </w:rPr>
  </w:style>
  <w:style w:type="paragraph" w:customStyle="1" w:styleId="Dot-points">
    <w:name w:val="Dot-points"/>
    <w:basedOn w:val="text"/>
    <w:qFormat/>
    <w:rsid w:val="007636B0"/>
    <w:pPr>
      <w:numPr>
        <w:numId w:val="15"/>
      </w:numPr>
      <w:tabs>
        <w:tab w:val="clear" w:pos="360"/>
        <w:tab w:val="num" w:pos="926"/>
      </w:tabs>
      <w:spacing w:before="0"/>
      <w:ind w:left="357" w:hanging="357"/>
    </w:pPr>
  </w:style>
  <w:style w:type="paragraph" w:customStyle="1" w:styleId="GlossaryHeading">
    <w:name w:val="Glossary Heading"/>
    <w:basedOn w:val="Heading1"/>
    <w:rsid w:val="007636B0"/>
    <w:pPr>
      <w:numPr>
        <w:numId w:val="0"/>
      </w:numPr>
      <w:spacing w:after="0"/>
      <w:jc w:val="center"/>
    </w:pPr>
  </w:style>
  <w:style w:type="character" w:customStyle="1" w:styleId="Highlight">
    <w:name w:val="Highlight"/>
    <w:basedOn w:val="DefaultParagraphFont"/>
    <w:uiPriority w:val="99"/>
    <w:rsid w:val="007636B0"/>
    <w:rPr>
      <w:rFonts w:ascii="Arial" w:hAnsi="Arial"/>
      <w:b/>
      <w:sz w:val="24"/>
    </w:rPr>
  </w:style>
  <w:style w:type="paragraph" w:customStyle="1" w:styleId="Level1">
    <w:name w:val="Level 1"/>
    <w:basedOn w:val="Heading2"/>
    <w:rsid w:val="007636B0"/>
    <w:pPr>
      <w:numPr>
        <w:ilvl w:val="0"/>
        <w:numId w:val="0"/>
      </w:numPr>
    </w:pPr>
  </w:style>
  <w:style w:type="paragraph" w:customStyle="1" w:styleId="Level2">
    <w:name w:val="Level 2"/>
    <w:basedOn w:val="Heading3"/>
    <w:rsid w:val="007636B0"/>
    <w:pPr>
      <w:numPr>
        <w:ilvl w:val="0"/>
        <w:numId w:val="0"/>
      </w:numPr>
    </w:pPr>
  </w:style>
  <w:style w:type="paragraph" w:customStyle="1" w:styleId="Level3">
    <w:name w:val="Level 3"/>
    <w:basedOn w:val="Heading4"/>
    <w:rsid w:val="007636B0"/>
    <w:pPr>
      <w:numPr>
        <w:ilvl w:val="0"/>
        <w:numId w:val="0"/>
      </w:numPr>
    </w:pPr>
  </w:style>
  <w:style w:type="paragraph" w:customStyle="1" w:styleId="TitleHeading">
    <w:name w:val="Title Heading"/>
    <w:basedOn w:val="text"/>
    <w:rsid w:val="007636B0"/>
    <w:pPr>
      <w:spacing w:before="20" w:after="20"/>
      <w:ind w:left="1985"/>
      <w:jc w:val="center"/>
    </w:pPr>
    <w:rPr>
      <w:rFonts w:ascii="Arial Bold" w:hAnsi="Arial Bold"/>
      <w:b/>
      <w:sz w:val="40"/>
    </w:rPr>
  </w:style>
  <w:style w:type="paragraph" w:customStyle="1" w:styleId="NationalHeading">
    <w:name w:val="National Heading"/>
    <w:basedOn w:val="TitleHeading"/>
    <w:rsid w:val="007636B0"/>
  </w:style>
  <w:style w:type="paragraph" w:styleId="FootnoteText">
    <w:name w:val="footnote text"/>
    <w:basedOn w:val="Normal"/>
    <w:link w:val="FootnoteTextChar"/>
    <w:semiHidden/>
    <w:rsid w:val="007636B0"/>
    <w:pPr>
      <w:spacing w:before="120" w:after="120" w:line="240" w:lineRule="auto"/>
      <w:ind w:left="142" w:hanging="142"/>
      <w:jc w:val="both"/>
    </w:pPr>
    <w:rPr>
      <w:rFonts w:ascii="Book Antiqua" w:eastAsia="Times New Roman" w:hAnsi="Book Antiqua" w:cs="Times New Roman"/>
      <w:sz w:val="14"/>
    </w:rPr>
  </w:style>
  <w:style w:type="character" w:customStyle="1" w:styleId="FootnoteTextChar">
    <w:name w:val="Footnote Text Char"/>
    <w:basedOn w:val="DefaultParagraphFont"/>
    <w:link w:val="FootnoteText"/>
    <w:semiHidden/>
    <w:rsid w:val="007636B0"/>
    <w:rPr>
      <w:rFonts w:ascii="Book Antiqua" w:eastAsia="Times New Roman" w:hAnsi="Book Antiqua" w:cs="Times New Roman"/>
      <w:sz w:val="14"/>
    </w:rPr>
  </w:style>
  <w:style w:type="paragraph" w:customStyle="1" w:styleId="OutlineLev1">
    <w:name w:val="Outline Lev 1"/>
    <w:basedOn w:val="Normal"/>
    <w:rsid w:val="007636B0"/>
    <w:pPr>
      <w:numPr>
        <w:numId w:val="17"/>
      </w:numPr>
      <w:spacing w:before="240" w:after="100" w:line="240" w:lineRule="auto"/>
      <w:jc w:val="both"/>
    </w:pPr>
    <w:rPr>
      <w:rFonts w:ascii="Book Antiqua" w:eastAsia="Times New Roman" w:hAnsi="Book Antiqua" w:cs="Times New Roman"/>
      <w:lang w:eastAsia="en-AU"/>
    </w:rPr>
  </w:style>
  <w:style w:type="paragraph" w:customStyle="1" w:styleId="OutlineLev2">
    <w:name w:val="Outline Lev 2"/>
    <w:basedOn w:val="Normal"/>
    <w:rsid w:val="007636B0"/>
    <w:pPr>
      <w:numPr>
        <w:ilvl w:val="1"/>
        <w:numId w:val="17"/>
      </w:numPr>
      <w:spacing w:before="20" w:after="20" w:line="240" w:lineRule="auto"/>
      <w:jc w:val="both"/>
    </w:pPr>
    <w:rPr>
      <w:rFonts w:ascii="Book Antiqua" w:eastAsia="Times New Roman" w:hAnsi="Book Antiqua" w:cs="Times New Roman"/>
      <w:lang w:eastAsia="en-AU"/>
    </w:rPr>
  </w:style>
  <w:style w:type="paragraph" w:styleId="TOCHeading">
    <w:name w:val="TOC Heading"/>
    <w:basedOn w:val="Heading2"/>
    <w:uiPriority w:val="39"/>
    <w:rsid w:val="007636B0"/>
    <w:pPr>
      <w:numPr>
        <w:ilvl w:val="0"/>
        <w:numId w:val="0"/>
      </w:numPr>
      <w:spacing w:before="120"/>
      <w:jc w:val="center"/>
    </w:pPr>
    <w:rPr>
      <w:rFonts w:ascii="Arial" w:hAnsi="Arial"/>
      <w:sz w:val="32"/>
    </w:rPr>
  </w:style>
  <w:style w:type="paragraph" w:styleId="BalloonText">
    <w:name w:val="Balloon Text"/>
    <w:basedOn w:val="Normal"/>
    <w:link w:val="BalloonTextChar"/>
    <w:uiPriority w:val="99"/>
    <w:semiHidden/>
    <w:rsid w:val="007636B0"/>
    <w:pPr>
      <w:spacing w:before="120" w:after="120" w:line="240" w:lineRule="auto"/>
      <w:jc w:val="both"/>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7636B0"/>
    <w:rPr>
      <w:rFonts w:ascii="Tahoma" w:eastAsia="Times New Roman" w:hAnsi="Tahoma" w:cs="Tahoma"/>
      <w:sz w:val="16"/>
      <w:szCs w:val="16"/>
      <w:lang w:eastAsia="en-AU"/>
    </w:rPr>
  </w:style>
  <w:style w:type="character" w:styleId="CommentReference">
    <w:name w:val="annotation reference"/>
    <w:basedOn w:val="DefaultParagraphFont"/>
    <w:rsid w:val="007636B0"/>
    <w:rPr>
      <w:sz w:val="16"/>
      <w:szCs w:val="16"/>
    </w:rPr>
  </w:style>
  <w:style w:type="paragraph" w:styleId="CommentText">
    <w:name w:val="annotation text"/>
    <w:basedOn w:val="Normal"/>
    <w:link w:val="CommentTextChar"/>
    <w:rsid w:val="007636B0"/>
    <w:pPr>
      <w:spacing w:before="120" w:after="120" w:line="240" w:lineRule="auto"/>
      <w:jc w:val="both"/>
    </w:pPr>
    <w:rPr>
      <w:rFonts w:ascii="Book Antiqua" w:eastAsia="Times New Roman" w:hAnsi="Book Antiqua" w:cs="Times New Roman"/>
      <w:sz w:val="20"/>
      <w:lang w:eastAsia="en-AU"/>
    </w:rPr>
  </w:style>
  <w:style w:type="character" w:customStyle="1" w:styleId="CommentTextChar">
    <w:name w:val="Comment Text Char"/>
    <w:basedOn w:val="DefaultParagraphFont"/>
    <w:link w:val="CommentText"/>
    <w:rsid w:val="007636B0"/>
    <w:rPr>
      <w:rFonts w:ascii="Book Antiqua" w:eastAsia="Times New Roman" w:hAnsi="Book Antiqua" w:cs="Times New Roman"/>
      <w:lang w:eastAsia="en-AU"/>
    </w:rPr>
  </w:style>
  <w:style w:type="paragraph" w:styleId="CommentSubject">
    <w:name w:val="annotation subject"/>
    <w:basedOn w:val="CommentText"/>
    <w:next w:val="CommentText"/>
    <w:link w:val="CommentSubjectChar"/>
    <w:uiPriority w:val="99"/>
    <w:rsid w:val="007636B0"/>
    <w:rPr>
      <w:b/>
      <w:bCs/>
    </w:rPr>
  </w:style>
  <w:style w:type="character" w:customStyle="1" w:styleId="CommentSubjectChar">
    <w:name w:val="Comment Subject Char"/>
    <w:basedOn w:val="CommentTextChar"/>
    <w:link w:val="CommentSubject"/>
    <w:uiPriority w:val="99"/>
    <w:rsid w:val="007636B0"/>
    <w:rPr>
      <w:rFonts w:ascii="Book Antiqua" w:eastAsia="Times New Roman" w:hAnsi="Book Antiqua" w:cs="Times New Roman"/>
      <w:b/>
      <w:bCs/>
      <w:lang w:eastAsia="en-AU"/>
    </w:rPr>
  </w:style>
  <w:style w:type="character" w:styleId="FootnoteReference">
    <w:name w:val="footnote reference"/>
    <w:basedOn w:val="DefaultParagraphFont"/>
    <w:semiHidden/>
    <w:rsid w:val="007636B0"/>
    <w:rPr>
      <w:rFonts w:ascii="Book Antiqua" w:hAnsi="Book Antiqua"/>
      <w:vertAlign w:val="superscript"/>
    </w:rPr>
  </w:style>
  <w:style w:type="paragraph" w:styleId="BodyText3">
    <w:name w:val="Body Text 3"/>
    <w:basedOn w:val="Normal"/>
    <w:link w:val="BodyText3Char"/>
    <w:rsid w:val="007636B0"/>
    <w:pPr>
      <w:spacing w:before="120" w:after="120" w:line="240" w:lineRule="auto"/>
    </w:pPr>
    <w:rPr>
      <w:rFonts w:ascii="Book Antiqua" w:eastAsia="Times New Roman" w:hAnsi="Book Antiqua" w:cs="Times New Roman"/>
      <w:i/>
      <w:color w:val="FF0000"/>
    </w:rPr>
  </w:style>
  <w:style w:type="character" w:customStyle="1" w:styleId="BodyText3Char">
    <w:name w:val="Body Text 3 Char"/>
    <w:basedOn w:val="DefaultParagraphFont"/>
    <w:link w:val="BodyText3"/>
    <w:rsid w:val="007636B0"/>
    <w:rPr>
      <w:rFonts w:ascii="Book Antiqua" w:eastAsia="Times New Roman" w:hAnsi="Book Antiqua" w:cs="Times New Roman"/>
      <w:i/>
      <w:color w:val="FF0000"/>
      <w:sz w:val="22"/>
    </w:rPr>
  </w:style>
  <w:style w:type="paragraph" w:styleId="Revision">
    <w:name w:val="Revision"/>
    <w:hidden/>
    <w:semiHidden/>
    <w:rsid w:val="007636B0"/>
    <w:rPr>
      <w:rFonts w:ascii="Book Antiqua" w:eastAsia="Times New Roman" w:hAnsi="Book Antiqua" w:cs="Times New Roman"/>
      <w:sz w:val="24"/>
      <w:lang w:eastAsia="en-AU"/>
    </w:rPr>
  </w:style>
  <w:style w:type="character" w:styleId="Hyperlink">
    <w:name w:val="Hyperlink"/>
    <w:basedOn w:val="DefaultParagraphFont"/>
    <w:uiPriority w:val="99"/>
    <w:rsid w:val="007636B0"/>
    <w:rPr>
      <w:color w:val="0000FF"/>
      <w:u w:val="single"/>
    </w:rPr>
  </w:style>
  <w:style w:type="paragraph" w:customStyle="1" w:styleId="Default">
    <w:name w:val="Default"/>
    <w:rsid w:val="007636B0"/>
    <w:pPr>
      <w:autoSpaceDE w:val="0"/>
      <w:autoSpaceDN w:val="0"/>
      <w:adjustRightInd w:val="0"/>
    </w:pPr>
    <w:rPr>
      <w:rFonts w:ascii="Arial" w:eastAsia="Times New Roman" w:hAnsi="Arial" w:cs="Arial"/>
      <w:color w:val="000000"/>
      <w:sz w:val="24"/>
      <w:szCs w:val="24"/>
      <w:lang w:val="en-US"/>
    </w:rPr>
  </w:style>
  <w:style w:type="paragraph" w:customStyle="1" w:styleId="Normal1">
    <w:name w:val="Normal+1"/>
    <w:basedOn w:val="Default"/>
    <w:next w:val="Default"/>
    <w:rsid w:val="007636B0"/>
    <w:rPr>
      <w:rFonts w:cs="Times New Roman"/>
      <w:color w:val="auto"/>
    </w:rPr>
  </w:style>
  <w:style w:type="paragraph" w:customStyle="1" w:styleId="glossary0">
    <w:name w:val="glossary"/>
    <w:basedOn w:val="Normal"/>
    <w:rsid w:val="007636B0"/>
    <w:pPr>
      <w:autoSpaceDE w:val="0"/>
      <w:autoSpaceDN w:val="0"/>
      <w:spacing w:before="100" w:after="100" w:line="240" w:lineRule="auto"/>
    </w:pPr>
    <w:rPr>
      <w:rFonts w:ascii="Book Antiqua" w:eastAsia="Times New Roman" w:hAnsi="Book Antiqua" w:cs="Times New Roman"/>
      <w:szCs w:val="24"/>
      <w:lang w:eastAsia="en-AU"/>
    </w:rPr>
  </w:style>
  <w:style w:type="paragraph" w:customStyle="1" w:styleId="Style1">
    <w:name w:val="Style1"/>
    <w:basedOn w:val="Heading2"/>
    <w:rsid w:val="007636B0"/>
    <w:rPr>
      <w:rFonts w:ascii="Arial" w:hAnsi="Arial"/>
    </w:rPr>
  </w:style>
  <w:style w:type="paragraph" w:customStyle="1" w:styleId="StyleTitleHeading22pt">
    <w:name w:val="Style Title Heading + 22 pt"/>
    <w:basedOn w:val="TitleHeading"/>
    <w:rsid w:val="007636B0"/>
    <w:rPr>
      <w:bCs/>
      <w:caps/>
    </w:rPr>
  </w:style>
  <w:style w:type="paragraph" w:customStyle="1" w:styleId="StyleglossaryJustified">
    <w:name w:val="Style glossary + Justified"/>
    <w:basedOn w:val="glossary0"/>
    <w:rsid w:val="007636B0"/>
    <w:pPr>
      <w:jc w:val="both"/>
    </w:pPr>
    <w:rPr>
      <w:szCs w:val="20"/>
    </w:rPr>
  </w:style>
  <w:style w:type="paragraph" w:customStyle="1" w:styleId="StyletextArialBold">
    <w:name w:val="Style text + Arial Bold"/>
    <w:basedOn w:val="text"/>
    <w:link w:val="StyletextArialBoldChar"/>
    <w:rsid w:val="007636B0"/>
    <w:rPr>
      <w:rFonts w:ascii="Arial" w:hAnsi="Arial"/>
      <w:b/>
      <w:bCs/>
    </w:rPr>
  </w:style>
  <w:style w:type="character" w:customStyle="1" w:styleId="textChar">
    <w:name w:val="text Char"/>
    <w:basedOn w:val="DefaultParagraphFont"/>
    <w:link w:val="text"/>
    <w:rsid w:val="007636B0"/>
    <w:rPr>
      <w:rFonts w:ascii="Book Antiqua" w:eastAsia="Times New Roman" w:hAnsi="Book Antiqua" w:cs="Times New Roman"/>
      <w:sz w:val="22"/>
      <w:lang w:eastAsia="en-AU"/>
    </w:rPr>
  </w:style>
  <w:style w:type="character" w:customStyle="1" w:styleId="StyletextArialBoldChar">
    <w:name w:val="Style text + Arial Bold Char"/>
    <w:basedOn w:val="textChar"/>
    <w:link w:val="StyletextArialBold"/>
    <w:rsid w:val="007636B0"/>
    <w:rPr>
      <w:rFonts w:ascii="Arial" w:eastAsia="Times New Roman" w:hAnsi="Arial" w:cs="Times New Roman"/>
      <w:b/>
      <w:bCs/>
      <w:sz w:val="22"/>
      <w:lang w:eastAsia="en-AU"/>
    </w:rPr>
  </w:style>
  <w:style w:type="character" w:styleId="Strong">
    <w:name w:val="Strong"/>
    <w:basedOn w:val="DefaultParagraphFont"/>
    <w:uiPriority w:val="22"/>
    <w:rsid w:val="007636B0"/>
    <w:rPr>
      <w:b/>
      <w:bCs/>
    </w:rPr>
  </w:style>
  <w:style w:type="paragraph" w:customStyle="1" w:styleId="Numbers">
    <w:name w:val="Numbers"/>
    <w:basedOn w:val="OutlineLev1"/>
    <w:rsid w:val="007636B0"/>
    <w:pPr>
      <w:keepNext/>
      <w:numPr>
        <w:numId w:val="0"/>
      </w:numPr>
      <w:tabs>
        <w:tab w:val="num" w:pos="426"/>
        <w:tab w:val="right" w:pos="9071"/>
      </w:tabs>
      <w:ind w:left="425" w:hanging="425"/>
    </w:pPr>
    <w:rPr>
      <w:b/>
      <w:szCs w:val="22"/>
    </w:rPr>
  </w:style>
  <w:style w:type="paragraph" w:styleId="Caption">
    <w:name w:val="caption"/>
    <w:basedOn w:val="Normal"/>
    <w:next w:val="Normal"/>
    <w:autoRedefine/>
    <w:uiPriority w:val="99"/>
    <w:qFormat/>
    <w:rsid w:val="007636B0"/>
    <w:pPr>
      <w:tabs>
        <w:tab w:val="right" w:pos="9071"/>
      </w:tabs>
      <w:spacing w:before="120" w:after="120" w:line="240" w:lineRule="auto"/>
      <w:ind w:left="142"/>
    </w:pPr>
    <w:rPr>
      <w:rFonts w:ascii="Book Antiqua" w:eastAsia="Times New Roman" w:hAnsi="Book Antiqua" w:cs="Times New Roman"/>
      <w:b/>
      <w:szCs w:val="22"/>
      <w:lang w:eastAsia="en-AU"/>
    </w:rPr>
  </w:style>
  <w:style w:type="paragraph" w:styleId="NormalWeb">
    <w:name w:val="Normal (Web)"/>
    <w:basedOn w:val="Normal"/>
    <w:rsid w:val="007636B0"/>
    <w:pPr>
      <w:spacing w:before="100" w:beforeAutospacing="1" w:after="100" w:afterAutospacing="1" w:line="240" w:lineRule="auto"/>
    </w:pPr>
    <w:rPr>
      <w:rFonts w:eastAsia="Times New Roman" w:cs="Times New Roman"/>
      <w:szCs w:val="24"/>
      <w:lang w:eastAsia="en-AU"/>
    </w:rPr>
  </w:style>
  <w:style w:type="character" w:customStyle="1" w:styleId="data">
    <w:name w:val="data"/>
    <w:basedOn w:val="DefaultParagraphFont"/>
    <w:rsid w:val="007636B0"/>
  </w:style>
  <w:style w:type="paragraph" w:customStyle="1" w:styleId="Indent2cm">
    <w:name w:val="Indent 2cm"/>
    <w:basedOn w:val="Normal"/>
    <w:rsid w:val="007636B0"/>
    <w:pPr>
      <w:spacing w:before="160" w:after="160" w:line="240" w:lineRule="auto"/>
      <w:jc w:val="both"/>
    </w:pPr>
    <w:rPr>
      <w:rFonts w:ascii="Book Antiqua" w:eastAsia="Times New Roman" w:hAnsi="Book Antiqua" w:cs="Times New Roman"/>
      <w:lang w:eastAsia="en-AU"/>
    </w:rPr>
  </w:style>
  <w:style w:type="paragraph" w:customStyle="1" w:styleId="StyleHeading1ChapterHeadingChapterHeading1ChapterHeading2C">
    <w:name w:val="Style Heading 1Chapter HeadingChapter Heading1Chapter Heading2C..."/>
    <w:basedOn w:val="Heading1"/>
    <w:rsid w:val="007636B0"/>
    <w:pPr>
      <w:tabs>
        <w:tab w:val="right" w:pos="709"/>
      </w:tabs>
    </w:pPr>
    <w:rPr>
      <w:bCs/>
    </w:rPr>
  </w:style>
  <w:style w:type="paragraph" w:customStyle="1" w:styleId="FigureTableHeading">
    <w:name w:val="FigureTableHeading"/>
    <w:basedOn w:val="text"/>
    <w:rsid w:val="007636B0"/>
    <w:pPr>
      <w:ind w:left="993" w:hanging="993"/>
    </w:pPr>
    <w:rPr>
      <w:b/>
      <w:sz w:val="20"/>
    </w:rPr>
  </w:style>
  <w:style w:type="paragraph" w:customStyle="1" w:styleId="Tableheader">
    <w:name w:val="Tableheader"/>
    <w:basedOn w:val="text"/>
    <w:rsid w:val="007636B0"/>
    <w:pPr>
      <w:jc w:val="center"/>
    </w:pPr>
    <w:rPr>
      <w:b/>
      <w:sz w:val="20"/>
    </w:rPr>
  </w:style>
  <w:style w:type="paragraph" w:customStyle="1" w:styleId="StyleHeading1ChapterHeadingMainHeadingh1H1AMAJORBOLDPar">
    <w:name w:val="Style Heading 1Chapter HeadingMain Headingh1H1A MAJOR/BOLDPar..."/>
    <w:basedOn w:val="Heading1"/>
    <w:uiPriority w:val="99"/>
    <w:rsid w:val="007636B0"/>
    <w:pPr>
      <w:keepLines/>
      <w:tabs>
        <w:tab w:val="clear" w:pos="9072"/>
        <w:tab w:val="num" w:pos="360"/>
      </w:tabs>
      <w:ind w:left="0" w:firstLine="0"/>
    </w:pPr>
    <w:rPr>
      <w:rFonts w:cs="Book Antiqua"/>
      <w:bCs/>
      <w:szCs w:val="32"/>
    </w:rPr>
  </w:style>
  <w:style w:type="character" w:customStyle="1" w:styleId="CommentTextChar1">
    <w:name w:val="Comment Text Char1"/>
    <w:rsid w:val="007636B0"/>
    <w:rPr>
      <w:rFonts w:ascii="Book Antiqua" w:hAnsi="Book Antiqua"/>
    </w:rPr>
  </w:style>
  <w:style w:type="paragraph" w:customStyle="1" w:styleId="StyletextLeft0cmHanging1cm">
    <w:name w:val="Style text + Left:  0 cm Hanging:  1 cm"/>
    <w:basedOn w:val="text"/>
    <w:qFormat/>
    <w:rsid w:val="007636B0"/>
    <w:pPr>
      <w:ind w:left="720" w:hanging="720"/>
    </w:pPr>
  </w:style>
  <w:style w:type="paragraph" w:styleId="Title">
    <w:name w:val="Title"/>
    <w:basedOn w:val="Normal"/>
    <w:link w:val="TitleChar"/>
    <w:uiPriority w:val="10"/>
    <w:rsid w:val="007636B0"/>
    <w:pPr>
      <w:spacing w:before="400" w:after="200" w:line="276" w:lineRule="auto"/>
    </w:pPr>
    <w:rPr>
      <w:rFonts w:ascii="Verdana" w:eastAsia="Verdana" w:hAnsi="Verdana" w:cs="Times New Roman"/>
      <w:color w:val="365F91"/>
      <w:sz w:val="56"/>
      <w:szCs w:val="56"/>
      <w:lang w:eastAsia="ja-JP"/>
    </w:rPr>
  </w:style>
  <w:style w:type="character" w:customStyle="1" w:styleId="TitleChar">
    <w:name w:val="Title Char"/>
    <w:basedOn w:val="DefaultParagraphFont"/>
    <w:link w:val="Title"/>
    <w:uiPriority w:val="10"/>
    <w:rsid w:val="007636B0"/>
    <w:rPr>
      <w:rFonts w:ascii="Verdana" w:eastAsia="Verdana" w:hAnsi="Verdana" w:cs="Times New Roman"/>
      <w:color w:val="365F91"/>
      <w:sz w:val="56"/>
      <w:szCs w:val="56"/>
      <w:lang w:eastAsia="ja-JP"/>
    </w:rPr>
  </w:style>
  <w:style w:type="paragraph" w:styleId="Subtitle">
    <w:name w:val="Subtitle"/>
    <w:basedOn w:val="Normal"/>
    <w:link w:val="SubtitleChar"/>
    <w:uiPriority w:val="11"/>
    <w:rsid w:val="007636B0"/>
    <w:pPr>
      <w:spacing w:after="480" w:line="276" w:lineRule="auto"/>
    </w:pPr>
    <w:rPr>
      <w:rFonts w:ascii="Verdana" w:eastAsia="Verdana" w:hAnsi="Verdana" w:cs="Times New Roman"/>
      <w:i/>
      <w:color w:val="1F497D"/>
      <w:sz w:val="24"/>
      <w:szCs w:val="24"/>
      <w:lang w:eastAsia="ja-JP"/>
    </w:rPr>
  </w:style>
  <w:style w:type="character" w:customStyle="1" w:styleId="SubtitleChar">
    <w:name w:val="Subtitle Char"/>
    <w:basedOn w:val="DefaultParagraphFont"/>
    <w:link w:val="Subtitle"/>
    <w:uiPriority w:val="11"/>
    <w:rsid w:val="007636B0"/>
    <w:rPr>
      <w:rFonts w:ascii="Verdana" w:eastAsia="Verdana" w:hAnsi="Verdana" w:cs="Times New Roman"/>
      <w:i/>
      <w:color w:val="1F497D"/>
      <w:sz w:val="24"/>
      <w:szCs w:val="24"/>
      <w:lang w:eastAsia="ja-JP"/>
    </w:rPr>
  </w:style>
  <w:style w:type="character" w:styleId="IntenseEmphasis">
    <w:name w:val="Intense Emphasis"/>
    <w:uiPriority w:val="21"/>
    <w:rsid w:val="007636B0"/>
    <w:rPr>
      <w:rFonts w:ascii="Verdana" w:hAnsi="Verdana" w:cs="Verdana"/>
      <w:b/>
      <w:i/>
      <w:caps/>
      <w:color w:val="438086"/>
      <w:spacing w:val="5"/>
    </w:rPr>
  </w:style>
  <w:style w:type="character" w:styleId="SubtleEmphasis">
    <w:name w:val="Subtle Emphasis"/>
    <w:uiPriority w:val="19"/>
    <w:rsid w:val="007636B0"/>
    <w:rPr>
      <w:rFonts w:ascii="Verdana" w:hAnsi="Verdana"/>
      <w:i/>
      <w:color w:val="006666"/>
    </w:rPr>
  </w:style>
  <w:style w:type="character" w:styleId="IntenseReference">
    <w:name w:val="Intense Reference"/>
    <w:uiPriority w:val="32"/>
    <w:rsid w:val="007636B0"/>
    <w:rPr>
      <w:rFonts w:ascii="Verdana" w:hAnsi="Verdana" w:cs="Times New Roman"/>
      <w:b/>
      <w:i/>
      <w:caps/>
      <w:color w:val="4E4F89"/>
      <w:spacing w:val="5"/>
    </w:rPr>
  </w:style>
  <w:style w:type="character" w:styleId="SubtleReference">
    <w:name w:val="Subtle Reference"/>
    <w:uiPriority w:val="31"/>
    <w:rsid w:val="007636B0"/>
    <w:rPr>
      <w:rFonts w:cs="Times New Roman"/>
      <w:i/>
      <w:color w:val="4E4F89"/>
    </w:rPr>
  </w:style>
  <w:style w:type="character" w:styleId="Emphasis">
    <w:name w:val="Emphasis"/>
    <w:rsid w:val="007636B0"/>
    <w:rPr>
      <w:rFonts w:ascii="Verdana" w:hAnsi="Verdana"/>
      <w:b/>
      <w:color w:val="C0504D"/>
      <w:spacing w:val="10"/>
    </w:rPr>
  </w:style>
  <w:style w:type="character" w:styleId="BookTitle">
    <w:name w:val="Book Title"/>
    <w:uiPriority w:val="33"/>
    <w:rsid w:val="007636B0"/>
    <w:rPr>
      <w:rFonts w:ascii="Cambria" w:hAnsi="Cambria" w:cs="Times New Roman"/>
      <w:i/>
      <w:color w:val="000000"/>
      <w:sz w:val="20"/>
      <w:szCs w:val="20"/>
    </w:rPr>
  </w:style>
  <w:style w:type="paragraph" w:styleId="NormalIndent">
    <w:name w:val="Normal Indent"/>
    <w:basedOn w:val="Normal"/>
    <w:uiPriority w:val="99"/>
    <w:unhideWhenUsed/>
    <w:rsid w:val="007636B0"/>
    <w:pPr>
      <w:spacing w:after="200" w:line="276" w:lineRule="auto"/>
      <w:ind w:left="720"/>
      <w:contextualSpacing/>
    </w:pPr>
    <w:rPr>
      <w:rFonts w:ascii="Arial" w:eastAsia="Verdana" w:hAnsi="Arial" w:cs="Verdana"/>
      <w:sz w:val="20"/>
      <w:lang w:eastAsia="ja-JP"/>
    </w:rPr>
  </w:style>
  <w:style w:type="paragraph" w:styleId="IntenseQuote">
    <w:name w:val="Intense Quote"/>
    <w:basedOn w:val="Normal"/>
    <w:link w:val="IntenseQuoteChar"/>
    <w:uiPriority w:val="30"/>
    <w:rsid w:val="007636B0"/>
    <w:pPr>
      <w:pBdr>
        <w:top w:val="threeDEngrave" w:sz="6" w:space="10" w:color="C0504D"/>
        <w:bottom w:val="single" w:sz="4" w:space="10" w:color="C0504D"/>
      </w:pBdr>
      <w:spacing w:before="360" w:after="360" w:line="324" w:lineRule="auto"/>
      <w:ind w:left="1080" w:right="1080"/>
    </w:pPr>
    <w:rPr>
      <w:rFonts w:ascii="Arial" w:eastAsia="Verdana" w:hAnsi="Arial" w:cs="Verdana"/>
      <w:i/>
      <w:color w:val="C0504D"/>
      <w:szCs w:val="22"/>
      <w:lang w:eastAsia="ja-JP"/>
    </w:rPr>
  </w:style>
  <w:style w:type="character" w:customStyle="1" w:styleId="IntenseQuoteChar">
    <w:name w:val="Intense Quote Char"/>
    <w:basedOn w:val="DefaultParagraphFont"/>
    <w:link w:val="IntenseQuote"/>
    <w:uiPriority w:val="30"/>
    <w:rsid w:val="007636B0"/>
    <w:rPr>
      <w:rFonts w:ascii="Arial" w:eastAsia="Verdana" w:hAnsi="Arial" w:cs="Verdana"/>
      <w:i/>
      <w:color w:val="C0504D"/>
      <w:sz w:val="22"/>
      <w:szCs w:val="22"/>
      <w:lang w:eastAsia="ja-JP"/>
    </w:rPr>
  </w:style>
  <w:style w:type="numbering" w:customStyle="1" w:styleId="UrbanBulletedList">
    <w:name w:val="Urban Bulleted List"/>
    <w:uiPriority w:val="99"/>
    <w:rsid w:val="007636B0"/>
    <w:pPr>
      <w:numPr>
        <w:numId w:val="18"/>
      </w:numPr>
    </w:pPr>
  </w:style>
  <w:style w:type="numbering" w:customStyle="1" w:styleId="UrbanNumberedList">
    <w:name w:val="Urban Numbered List"/>
    <w:uiPriority w:val="99"/>
    <w:rsid w:val="007636B0"/>
    <w:pPr>
      <w:numPr>
        <w:numId w:val="19"/>
      </w:numPr>
    </w:pPr>
  </w:style>
  <w:style w:type="paragraph" w:styleId="ListParagraph">
    <w:name w:val="List Paragraph"/>
    <w:basedOn w:val="Normal"/>
    <w:uiPriority w:val="34"/>
    <w:rsid w:val="007636B0"/>
    <w:pPr>
      <w:spacing w:after="200" w:line="276" w:lineRule="auto"/>
      <w:ind w:left="720"/>
      <w:contextualSpacing/>
    </w:pPr>
    <w:rPr>
      <w:rFonts w:ascii="Arial" w:eastAsia="Verdana" w:hAnsi="Arial" w:cs="Verdana"/>
      <w:sz w:val="20"/>
      <w:lang w:eastAsia="ja-JP"/>
    </w:rPr>
  </w:style>
  <w:style w:type="paragraph" w:styleId="NoSpacing">
    <w:name w:val="No Spacing"/>
    <w:basedOn w:val="Normal"/>
    <w:uiPriority w:val="1"/>
    <w:rsid w:val="007636B0"/>
    <w:pPr>
      <w:spacing w:line="240" w:lineRule="auto"/>
    </w:pPr>
    <w:rPr>
      <w:rFonts w:ascii="Arial" w:eastAsia="Verdana" w:hAnsi="Arial" w:cs="Verdana"/>
      <w:sz w:val="20"/>
      <w:szCs w:val="32"/>
      <w:lang w:eastAsia="ja-JP"/>
    </w:rPr>
  </w:style>
  <w:style w:type="character" w:styleId="PlaceholderText">
    <w:name w:val="Placeholder Text"/>
    <w:uiPriority w:val="99"/>
    <w:unhideWhenUsed/>
    <w:rsid w:val="007636B0"/>
    <w:rPr>
      <w:color w:val="808080"/>
    </w:rPr>
  </w:style>
  <w:style w:type="paragraph" w:customStyle="1" w:styleId="HeaderEven">
    <w:name w:val="Header Even"/>
    <w:basedOn w:val="Header"/>
    <w:uiPriority w:val="39"/>
    <w:rsid w:val="007636B0"/>
    <w:pPr>
      <w:keepNext w:val="0"/>
      <w:keepLines w:val="0"/>
      <w:pBdr>
        <w:bottom w:val="single" w:sz="4" w:space="1" w:color="auto"/>
      </w:pBdr>
      <w:tabs>
        <w:tab w:val="clear" w:pos="4150"/>
        <w:tab w:val="clear" w:pos="8307"/>
        <w:tab w:val="center" w:pos="4320"/>
        <w:tab w:val="right" w:pos="8640"/>
      </w:tabs>
      <w:spacing w:after="200" w:line="276" w:lineRule="auto"/>
    </w:pPr>
    <w:rPr>
      <w:rFonts w:ascii="Verdana" w:eastAsia="Verdana" w:hAnsi="Verdana"/>
      <w:sz w:val="20"/>
      <w:lang w:eastAsia="ja-JP"/>
    </w:rPr>
  </w:style>
  <w:style w:type="paragraph" w:customStyle="1" w:styleId="HeaderOdd">
    <w:name w:val="Header Odd"/>
    <w:basedOn w:val="Header"/>
    <w:uiPriority w:val="39"/>
    <w:rsid w:val="007636B0"/>
    <w:pPr>
      <w:keepNext w:val="0"/>
      <w:keepLines w:val="0"/>
      <w:pBdr>
        <w:bottom w:val="single" w:sz="4" w:space="1" w:color="auto"/>
      </w:pBdr>
      <w:tabs>
        <w:tab w:val="clear" w:pos="4150"/>
        <w:tab w:val="clear" w:pos="8307"/>
        <w:tab w:val="center" w:pos="4320"/>
        <w:tab w:val="right" w:pos="8640"/>
      </w:tabs>
      <w:spacing w:after="200" w:line="276" w:lineRule="auto"/>
      <w:jc w:val="right"/>
    </w:pPr>
    <w:rPr>
      <w:rFonts w:ascii="Verdana" w:eastAsia="Verdana" w:hAnsi="Verdana"/>
      <w:sz w:val="20"/>
      <w:lang w:eastAsia="ja-JP"/>
    </w:rPr>
  </w:style>
  <w:style w:type="paragraph" w:customStyle="1" w:styleId="Bullet1">
    <w:name w:val="Bullet 1"/>
    <w:basedOn w:val="ListParagraph"/>
    <w:uiPriority w:val="38"/>
    <w:rsid w:val="007636B0"/>
    <w:pPr>
      <w:numPr>
        <w:numId w:val="18"/>
      </w:numPr>
      <w:spacing w:after="0"/>
    </w:pPr>
  </w:style>
  <w:style w:type="paragraph" w:customStyle="1" w:styleId="Bullet20">
    <w:name w:val="Bullet 2"/>
    <w:basedOn w:val="ListParagraph"/>
    <w:uiPriority w:val="38"/>
    <w:rsid w:val="007636B0"/>
    <w:pPr>
      <w:numPr>
        <w:ilvl w:val="1"/>
        <w:numId w:val="18"/>
      </w:numPr>
      <w:spacing w:after="0"/>
    </w:pPr>
  </w:style>
  <w:style w:type="paragraph" w:customStyle="1" w:styleId="Bullet30">
    <w:name w:val="Bullet 3"/>
    <w:basedOn w:val="ListParagraph"/>
    <w:uiPriority w:val="38"/>
    <w:rsid w:val="007636B0"/>
    <w:pPr>
      <w:numPr>
        <w:ilvl w:val="2"/>
        <w:numId w:val="18"/>
      </w:numPr>
      <w:spacing w:after="0"/>
    </w:pPr>
  </w:style>
  <w:style w:type="paragraph" w:customStyle="1" w:styleId="DefaultPlaceholderSubject10">
    <w:name w:val="DefaultPlaceholder_Subject10"/>
    <w:uiPriority w:val="39"/>
    <w:rsid w:val="007636B0"/>
    <w:pPr>
      <w:spacing w:after="200" w:line="276" w:lineRule="auto"/>
    </w:pPr>
    <w:rPr>
      <w:rFonts w:ascii="Verdana" w:eastAsia="Verdana" w:hAnsi="Verdana" w:cs="Verdana"/>
      <w:i/>
      <w:color w:val="1F497D"/>
      <w:sz w:val="24"/>
      <w:szCs w:val="24"/>
      <w:lang w:val="en-US"/>
    </w:rPr>
  </w:style>
  <w:style w:type="paragraph" w:customStyle="1" w:styleId="Category">
    <w:name w:val="Category"/>
    <w:basedOn w:val="Normal"/>
    <w:link w:val="CategoryChar"/>
    <w:uiPriority w:val="39"/>
    <w:rsid w:val="007636B0"/>
    <w:pPr>
      <w:framePr w:hSpace="187" w:wrap="around" w:hAnchor="margin" w:xAlign="center" w:y="721"/>
      <w:spacing w:line="240" w:lineRule="auto"/>
    </w:pPr>
    <w:rPr>
      <w:rFonts w:ascii="Verdana" w:eastAsia="Verdana" w:hAnsi="Verdana" w:cs="Times New Roman"/>
      <w:caps/>
      <w:sz w:val="20"/>
      <w:lang w:eastAsia="ja-JP"/>
    </w:rPr>
  </w:style>
  <w:style w:type="paragraph" w:customStyle="1" w:styleId="Comments">
    <w:name w:val="Comments"/>
    <w:basedOn w:val="Normal"/>
    <w:link w:val="CommentsChar"/>
    <w:uiPriority w:val="39"/>
    <w:rsid w:val="007636B0"/>
    <w:pPr>
      <w:spacing w:after="120" w:line="240" w:lineRule="auto"/>
    </w:pPr>
    <w:rPr>
      <w:rFonts w:ascii="Verdana" w:eastAsia="Verdana" w:hAnsi="Verdana" w:cs="Times New Roman"/>
      <w:b/>
      <w:sz w:val="20"/>
      <w:lang w:eastAsia="ja-JP"/>
    </w:rPr>
  </w:style>
  <w:style w:type="character" w:customStyle="1" w:styleId="CategoryChar">
    <w:name w:val="Category Char"/>
    <w:link w:val="Category"/>
    <w:uiPriority w:val="39"/>
    <w:rsid w:val="007636B0"/>
    <w:rPr>
      <w:rFonts w:ascii="Verdana" w:eastAsia="Verdana" w:hAnsi="Verdana" w:cs="Times New Roman"/>
      <w:caps/>
      <w:lang w:eastAsia="ja-JP"/>
    </w:rPr>
  </w:style>
  <w:style w:type="character" w:customStyle="1" w:styleId="CommentsChar">
    <w:name w:val="Comments Char"/>
    <w:link w:val="Comments"/>
    <w:uiPriority w:val="39"/>
    <w:rsid w:val="007636B0"/>
    <w:rPr>
      <w:rFonts w:ascii="Verdana" w:eastAsia="Verdana" w:hAnsi="Verdana" w:cs="Times New Roman"/>
      <w:b/>
      <w:lang w:eastAsia="ja-JP"/>
    </w:rPr>
  </w:style>
  <w:style w:type="paragraph" w:customStyle="1" w:styleId="CommentsText">
    <w:name w:val="Comments Text"/>
    <w:basedOn w:val="Normal"/>
    <w:uiPriority w:val="39"/>
    <w:rsid w:val="007636B0"/>
    <w:pPr>
      <w:spacing w:after="120" w:line="288" w:lineRule="auto"/>
    </w:pPr>
    <w:rPr>
      <w:rFonts w:ascii="Arial" w:eastAsia="Verdana" w:hAnsi="Arial" w:cs="Verdana"/>
      <w:sz w:val="20"/>
      <w:szCs w:val="22"/>
      <w:lang w:eastAsia="ja-JP"/>
    </w:rPr>
  </w:style>
  <w:style w:type="paragraph" w:styleId="BodyText">
    <w:name w:val="Body Text"/>
    <w:aliases w:val="(Alt+1),Body,BodyText,body,b,block,Body Text before bullet,D&amp;M Body Text,IRMS (T),Body Text Char Char Char Char,Body Text Char1,Body Text Char Char,Body Text Char Char Char Char Char1 Char,BT"/>
    <w:basedOn w:val="Normal"/>
    <w:link w:val="BodyTextChar"/>
    <w:rsid w:val="007636B0"/>
    <w:pPr>
      <w:spacing w:after="200" w:line="240" w:lineRule="auto"/>
    </w:pPr>
    <w:rPr>
      <w:rFonts w:eastAsia="Times New Roman" w:cs="Times New Roman"/>
      <w:sz w:val="24"/>
      <w:lang w:eastAsia="ja-JP"/>
    </w:rPr>
  </w:style>
  <w:style w:type="character" w:customStyle="1" w:styleId="BodyTextChar">
    <w:name w:val="Body Text Char"/>
    <w:aliases w:val="(Alt+1) Char,Body Char,BodyText Char,body Char,b Char,block Char,Body Text before bullet Char,D&amp;M Body Text Char,IRMS (T) Char,Body Text Char Char Char Char Char,Body Text Char1 Char,Body Text Char Char Char,BT Char"/>
    <w:basedOn w:val="DefaultParagraphFont"/>
    <w:link w:val="BodyText"/>
    <w:rsid w:val="007636B0"/>
    <w:rPr>
      <w:rFonts w:eastAsia="Times New Roman" w:cs="Times New Roman"/>
      <w:sz w:val="24"/>
      <w:lang w:eastAsia="ja-JP"/>
    </w:rPr>
  </w:style>
  <w:style w:type="table" w:styleId="ColorfulList-Accent1">
    <w:name w:val="Colorful List Accent 1"/>
    <w:basedOn w:val="TableNormal"/>
    <w:uiPriority w:val="41"/>
    <w:rsid w:val="007636B0"/>
    <w:rPr>
      <w:rFonts w:ascii="Verdana" w:eastAsia="Verdana" w:hAnsi="Verdana" w:cs="Verdana"/>
      <w:color w:val="000000"/>
      <w:lang w:eastAsia="en-AU"/>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ulletedList">
    <w:name w:val="BulletedList"/>
    <w:link w:val="BulletedListChar"/>
    <w:locked/>
    <w:rsid w:val="007636B0"/>
    <w:pPr>
      <w:numPr>
        <w:numId w:val="20"/>
      </w:numPr>
      <w:spacing w:after="160"/>
    </w:pPr>
    <w:rPr>
      <w:rFonts w:ascii="Arial" w:eastAsia="Times New Roman" w:hAnsi="Arial" w:cs="Arial"/>
    </w:rPr>
  </w:style>
  <w:style w:type="paragraph" w:customStyle="1" w:styleId="CaptionTable">
    <w:name w:val="Caption Table"/>
    <w:basedOn w:val="Caption"/>
    <w:next w:val="BodyText"/>
    <w:rsid w:val="007636B0"/>
    <w:pPr>
      <w:tabs>
        <w:tab w:val="clear" w:pos="9071"/>
      </w:tabs>
      <w:spacing w:after="240"/>
      <w:ind w:left="0"/>
      <w:jc w:val="center"/>
    </w:pPr>
    <w:rPr>
      <w:rFonts w:ascii="Arial" w:hAnsi="Arial" w:cs="Arial"/>
      <w:bCs/>
      <w:color w:val="0C479D"/>
      <w:szCs w:val="20"/>
      <w:lang w:eastAsia="en-US"/>
    </w:rPr>
  </w:style>
  <w:style w:type="paragraph" w:customStyle="1" w:styleId="TableHeadings">
    <w:name w:val="TableHeadings"/>
    <w:basedOn w:val="Normal"/>
    <w:next w:val="BodyText"/>
    <w:rsid w:val="007636B0"/>
    <w:pPr>
      <w:spacing w:before="60" w:after="60" w:line="240" w:lineRule="auto"/>
      <w:jc w:val="center"/>
    </w:pPr>
    <w:rPr>
      <w:rFonts w:ascii="Arial Black" w:eastAsia="Times New Roman" w:hAnsi="Arial Black" w:cs="Arial"/>
      <w:b/>
      <w:sz w:val="20"/>
    </w:rPr>
  </w:style>
  <w:style w:type="paragraph" w:customStyle="1" w:styleId="TableRows">
    <w:name w:val="TableRows"/>
    <w:basedOn w:val="Normal"/>
    <w:next w:val="BodyText"/>
    <w:rsid w:val="007636B0"/>
    <w:pPr>
      <w:spacing w:before="40" w:after="40" w:line="240" w:lineRule="auto"/>
    </w:pPr>
    <w:rPr>
      <w:rFonts w:ascii="Arial" w:eastAsia="Times New Roman" w:hAnsi="Arial" w:cs="Arial"/>
      <w:sz w:val="18"/>
    </w:rPr>
  </w:style>
  <w:style w:type="paragraph" w:customStyle="1" w:styleId="SubHeading">
    <w:name w:val="Sub Heading"/>
    <w:basedOn w:val="Normal"/>
    <w:next w:val="BodyText"/>
    <w:link w:val="SubHeadingChar"/>
    <w:rsid w:val="007636B0"/>
    <w:pPr>
      <w:keepNext/>
      <w:spacing w:before="240" w:after="160" w:line="240" w:lineRule="auto"/>
    </w:pPr>
    <w:rPr>
      <w:rFonts w:ascii="Arial" w:eastAsia="Times New Roman" w:hAnsi="Arial" w:cs="Times New Roman"/>
      <w:b/>
      <w:i/>
      <w:sz w:val="20"/>
      <w:szCs w:val="24"/>
      <w:lang w:eastAsia="ja-JP"/>
    </w:rPr>
  </w:style>
  <w:style w:type="table" w:styleId="ColorfulList-Accent4">
    <w:name w:val="Colorful List Accent 4"/>
    <w:basedOn w:val="TableNormal"/>
    <w:uiPriority w:val="72"/>
    <w:rsid w:val="007636B0"/>
    <w:rPr>
      <w:rFonts w:eastAsia="Times New Roman" w:cs="Times New Roman"/>
      <w:color w:val="000000"/>
      <w:lang w:eastAsia="en-AU"/>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2">
    <w:name w:val="Colorful List Accent 2"/>
    <w:basedOn w:val="TableNormal"/>
    <w:uiPriority w:val="42"/>
    <w:rsid w:val="007636B0"/>
    <w:rPr>
      <w:rFonts w:ascii="Verdana" w:eastAsia="Verdana" w:hAnsi="Verdana" w:cs="Verdana"/>
      <w:color w:val="000000"/>
      <w:lang w:eastAsia="en-AU"/>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character" w:customStyle="1" w:styleId="BulletedListChar">
    <w:name w:val="BulletedList Char"/>
    <w:link w:val="BulletedList"/>
    <w:rsid w:val="007636B0"/>
    <w:rPr>
      <w:rFonts w:ascii="Arial" w:eastAsia="Times New Roman" w:hAnsi="Arial" w:cs="Arial"/>
    </w:rPr>
  </w:style>
  <w:style w:type="table" w:styleId="MediumShading2-Accent6">
    <w:name w:val="Medium Shading 2 Accent 6"/>
    <w:basedOn w:val="TableNormal"/>
    <w:uiPriority w:val="46"/>
    <w:rsid w:val="007636B0"/>
    <w:rPr>
      <w:rFonts w:ascii="Verdana" w:eastAsia="Verdana" w:hAnsi="Verdana" w:cs="Verdana"/>
      <w:lang w:eastAsia="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SubHeadingChar">
    <w:name w:val="Sub Heading Char"/>
    <w:link w:val="SubHeading"/>
    <w:rsid w:val="007636B0"/>
    <w:rPr>
      <w:rFonts w:ascii="Arial" w:eastAsia="Times New Roman" w:hAnsi="Arial" w:cs="Times New Roman"/>
      <w:b/>
      <w:i/>
      <w:szCs w:val="24"/>
      <w:lang w:eastAsia="ja-JP"/>
    </w:rPr>
  </w:style>
  <w:style w:type="paragraph" w:customStyle="1" w:styleId="TableBody">
    <w:name w:val="TableBody"/>
    <w:basedOn w:val="Normal"/>
    <w:rsid w:val="007636B0"/>
    <w:pPr>
      <w:tabs>
        <w:tab w:val="left" w:pos="1985"/>
      </w:tabs>
      <w:spacing w:before="60" w:after="60" w:line="240" w:lineRule="atLeast"/>
    </w:pPr>
    <w:rPr>
      <w:rFonts w:ascii="Arial" w:eastAsia="Times" w:hAnsi="Arial" w:cs="Times New Roman"/>
      <w:sz w:val="20"/>
      <w:lang w:eastAsia="ja-JP"/>
    </w:rPr>
  </w:style>
  <w:style w:type="paragraph" w:styleId="Bibliography">
    <w:name w:val="Bibliography"/>
    <w:basedOn w:val="Normal"/>
    <w:next w:val="Normal"/>
    <w:uiPriority w:val="37"/>
    <w:unhideWhenUsed/>
    <w:rsid w:val="007636B0"/>
    <w:pPr>
      <w:spacing w:after="240" w:line="240" w:lineRule="auto"/>
      <w:jc w:val="both"/>
    </w:pPr>
    <w:rPr>
      <w:rFonts w:ascii="Arial" w:eastAsia="Times New Roman" w:hAnsi="Arial" w:cs="Times New Roman"/>
    </w:rPr>
  </w:style>
  <w:style w:type="paragraph" w:styleId="EndnoteText">
    <w:name w:val="endnote text"/>
    <w:basedOn w:val="Normal"/>
    <w:link w:val="EndnoteTextChar"/>
    <w:uiPriority w:val="99"/>
    <w:unhideWhenUsed/>
    <w:rsid w:val="007636B0"/>
    <w:pPr>
      <w:spacing w:line="240" w:lineRule="auto"/>
    </w:pPr>
    <w:rPr>
      <w:rFonts w:ascii="Arial" w:eastAsia="Verdana" w:hAnsi="Arial" w:cs="Times New Roman"/>
      <w:sz w:val="20"/>
      <w:lang w:eastAsia="ja-JP"/>
    </w:rPr>
  </w:style>
  <w:style w:type="character" w:customStyle="1" w:styleId="EndnoteTextChar">
    <w:name w:val="Endnote Text Char"/>
    <w:basedOn w:val="DefaultParagraphFont"/>
    <w:link w:val="EndnoteText"/>
    <w:uiPriority w:val="99"/>
    <w:rsid w:val="007636B0"/>
    <w:rPr>
      <w:rFonts w:ascii="Arial" w:eastAsia="Verdana" w:hAnsi="Arial" w:cs="Times New Roman"/>
      <w:lang w:eastAsia="ja-JP"/>
    </w:rPr>
  </w:style>
  <w:style w:type="character" w:styleId="EndnoteReference">
    <w:name w:val="endnote reference"/>
    <w:uiPriority w:val="99"/>
    <w:unhideWhenUsed/>
    <w:rsid w:val="007636B0"/>
    <w:rPr>
      <w:vertAlign w:val="superscript"/>
    </w:rPr>
  </w:style>
  <w:style w:type="paragraph" w:customStyle="1" w:styleId="NumberedList">
    <w:name w:val="NumberedList"/>
    <w:basedOn w:val="BodyText"/>
    <w:rsid w:val="007636B0"/>
    <w:pPr>
      <w:numPr>
        <w:numId w:val="21"/>
      </w:numPr>
      <w:spacing w:after="240"/>
    </w:pPr>
    <w:rPr>
      <w:rFonts w:ascii="Arial" w:hAnsi="Arial"/>
      <w:sz w:val="22"/>
    </w:rPr>
  </w:style>
  <w:style w:type="paragraph" w:styleId="ListBullet">
    <w:name w:val="List Bullet"/>
    <w:basedOn w:val="Normal"/>
    <w:rsid w:val="007636B0"/>
    <w:pPr>
      <w:tabs>
        <w:tab w:val="left" w:pos="284"/>
        <w:tab w:val="left" w:pos="567"/>
        <w:tab w:val="num" w:pos="2835"/>
      </w:tabs>
      <w:spacing w:after="240" w:line="260" w:lineRule="exact"/>
      <w:ind w:left="2836" w:hanging="284"/>
      <w:contextualSpacing/>
      <w:jc w:val="both"/>
    </w:pPr>
    <w:rPr>
      <w:rFonts w:ascii="Arial Narrow" w:eastAsia="Times New Roman" w:hAnsi="Arial Narrow" w:cs="Times New Roman"/>
      <w:sz w:val="20"/>
      <w:lang w:eastAsia="en-AU"/>
    </w:rPr>
  </w:style>
  <w:style w:type="character" w:styleId="FollowedHyperlink">
    <w:name w:val="FollowedHyperlink"/>
    <w:uiPriority w:val="99"/>
    <w:unhideWhenUsed/>
    <w:rsid w:val="007636B0"/>
    <w:rPr>
      <w:color w:val="800080"/>
      <w:u w:val="single"/>
    </w:rPr>
  </w:style>
  <w:style w:type="paragraph" w:styleId="HTMLPreformatted">
    <w:name w:val="HTML Preformatted"/>
    <w:basedOn w:val="Normal"/>
    <w:link w:val="HTMLPreformattedChar"/>
    <w:uiPriority w:val="99"/>
    <w:unhideWhenUsed/>
    <w:rsid w:val="0076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lang w:eastAsia="en-AU"/>
    </w:rPr>
  </w:style>
  <w:style w:type="character" w:customStyle="1" w:styleId="HTMLPreformattedChar">
    <w:name w:val="HTML Preformatted Char"/>
    <w:basedOn w:val="DefaultParagraphFont"/>
    <w:link w:val="HTMLPreformatted"/>
    <w:uiPriority w:val="99"/>
    <w:rsid w:val="007636B0"/>
    <w:rPr>
      <w:rFonts w:ascii="Courier New" w:eastAsia="Times New Roman" w:hAnsi="Courier New" w:cs="Times New Roman"/>
      <w:lang w:eastAsia="en-AU"/>
    </w:rPr>
  </w:style>
  <w:style w:type="paragraph" w:customStyle="1" w:styleId="Bullet">
    <w:name w:val="Bullet"/>
    <w:aliases w:val="b1"/>
    <w:basedOn w:val="Normal"/>
    <w:link w:val="BulletChar1"/>
    <w:rsid w:val="007636B0"/>
    <w:pPr>
      <w:numPr>
        <w:numId w:val="22"/>
      </w:numPr>
      <w:spacing w:after="120" w:line="240" w:lineRule="atLeast"/>
    </w:pPr>
    <w:rPr>
      <w:rFonts w:ascii="Arial" w:eastAsia="Times New Roman" w:hAnsi="Arial" w:cs="Times New Roman"/>
      <w:sz w:val="20"/>
      <w:lang w:eastAsia="ja-JP"/>
    </w:rPr>
  </w:style>
  <w:style w:type="paragraph" w:customStyle="1" w:styleId="Bullet2">
    <w:name w:val="Bullet2"/>
    <w:aliases w:val="b2"/>
    <w:basedOn w:val="Bullet"/>
    <w:rsid w:val="007636B0"/>
    <w:pPr>
      <w:numPr>
        <w:ilvl w:val="1"/>
      </w:numPr>
      <w:tabs>
        <w:tab w:val="clear" w:pos="1701"/>
        <w:tab w:val="num" w:pos="720"/>
      </w:tabs>
      <w:ind w:left="720" w:hanging="360"/>
    </w:pPr>
  </w:style>
  <w:style w:type="paragraph" w:customStyle="1" w:styleId="Bullet3">
    <w:name w:val="Bullet3"/>
    <w:basedOn w:val="Bullet"/>
    <w:rsid w:val="007636B0"/>
    <w:pPr>
      <w:numPr>
        <w:ilvl w:val="2"/>
      </w:numPr>
      <w:tabs>
        <w:tab w:val="clear" w:pos="2268"/>
        <w:tab w:val="num" w:pos="1080"/>
      </w:tabs>
      <w:ind w:left="1080" w:hanging="360"/>
    </w:pPr>
  </w:style>
  <w:style w:type="character" w:customStyle="1" w:styleId="BulletChar1">
    <w:name w:val="Bullet Char1"/>
    <w:link w:val="Bullet"/>
    <w:rsid w:val="007636B0"/>
    <w:rPr>
      <w:rFonts w:ascii="Arial" w:eastAsia="Times New Roman" w:hAnsi="Arial" w:cs="Times New Roman"/>
      <w:lang w:eastAsia="ja-JP"/>
    </w:rPr>
  </w:style>
  <w:style w:type="character" w:styleId="HTMLCode">
    <w:name w:val="HTML Code"/>
    <w:uiPriority w:val="99"/>
    <w:unhideWhenUsed/>
    <w:rsid w:val="007636B0"/>
    <w:rPr>
      <w:rFonts w:ascii="Courier New" w:eastAsia="Times New Roman" w:hAnsi="Courier New" w:cs="Courier New"/>
      <w:sz w:val="20"/>
      <w:szCs w:val="20"/>
    </w:rPr>
  </w:style>
  <w:style w:type="paragraph" w:customStyle="1" w:styleId="StyleTOC2After2ptLinespacingsingle">
    <w:name w:val="Style TOC 2 + After:  2 pt Line spacing:  single"/>
    <w:basedOn w:val="TOC2"/>
    <w:rsid w:val="007636B0"/>
    <w:pPr>
      <w:keepNext w:val="0"/>
      <w:keepLines w:val="0"/>
      <w:tabs>
        <w:tab w:val="clear" w:pos="7088"/>
        <w:tab w:val="right" w:leader="dot" w:pos="9639"/>
        <w:tab w:val="right" w:leader="dot" w:pos="9737"/>
      </w:tabs>
      <w:spacing w:before="0" w:after="20"/>
      <w:ind w:left="238" w:right="0" w:firstLine="0"/>
    </w:pPr>
    <w:rPr>
      <w:rFonts w:ascii="Arial" w:hAnsi="Arial"/>
      <w:b w:val="0"/>
      <w:noProof/>
      <w:kern w:val="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epa.gov/reg3hwmd/risk/human/info/solabsg2.htm" TargetMode="External"/><Relationship Id="rId26" Type="http://schemas.openxmlformats.org/officeDocument/2006/relationships/hyperlink" Target="http://www.epa.gov/reg3hwmd/risk/human/info/solabsg2.htm" TargetMode="External"/><Relationship Id="rId39" Type="http://schemas.openxmlformats.org/officeDocument/2006/relationships/hyperlink" Target="http://www.environment.gov.au/atmosphere/airquality/publications/sok/chapter7.html" TargetMode="External"/><Relationship Id="rId21" Type="http://schemas.openxmlformats.org/officeDocument/2006/relationships/hyperlink" Target="http://www.apvma.gov.au" TargetMode="External"/><Relationship Id="rId34" Type="http://schemas.openxmlformats.org/officeDocument/2006/relationships/hyperlink" Target="http://www.who.int/water_sanitation_health/dwq/chemicals/en/index.html" TargetMode="External"/><Relationship Id="rId42" Type="http://schemas.openxmlformats.org/officeDocument/2006/relationships/hyperlink" Target="http://www.who.int/water_sanitation_health/dwq/chemicals/en/index.html" TargetMode="External"/><Relationship Id="rId47" Type="http://schemas.openxmlformats.org/officeDocument/2006/relationships/hyperlink" Target="http://www.epa.gov/iris/" TargetMode="External"/><Relationship Id="rId50" Type="http://schemas.openxmlformats.org/officeDocument/2006/relationships/footer" Target="footer5.xml"/><Relationship Id="rId55"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toxnet.nlm.nih.gov/cgi-bin/sis/htmlgen?HSDB" TargetMode="External"/><Relationship Id="rId25" Type="http://schemas.openxmlformats.org/officeDocument/2006/relationships/hyperlink" Target="http://toxnet.nlm.nih.gov/cgi-bin/sis/htmlgen?HSDB" TargetMode="External"/><Relationship Id="rId33" Type="http://schemas.openxmlformats.org/officeDocument/2006/relationships/hyperlink" Target="http://www.epa.gov/reg3hwmd/risk/human/info/solabsg2.htm" TargetMode="External"/><Relationship Id="rId38" Type="http://schemas.openxmlformats.org/officeDocument/2006/relationships/hyperlink" Target="http://www.who.int/water_sanitation_health/dwq/chemicals/en/index.html" TargetMode="External"/><Relationship Id="rId46" Type="http://schemas.openxmlformats.org/officeDocument/2006/relationships/hyperlink" Target="http://www.epa.gov:80/opp00001/SAP/1999/february/pyreth.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who.int/water_sanitation_health/dwq/chemicals/en/index.html" TargetMode="External"/><Relationship Id="rId29" Type="http://schemas.openxmlformats.org/officeDocument/2006/relationships/hyperlink" Target="http://www.apvma.gov.au/chemrev/ChemRevProgram.shtml" TargetMode="External"/><Relationship Id="rId41" Type="http://schemas.openxmlformats.org/officeDocument/2006/relationships/hyperlink" Target="http://www.epa.gov/iris/"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anzfa.gov.au/" TargetMode="External"/><Relationship Id="rId32" Type="http://schemas.openxmlformats.org/officeDocument/2006/relationships/hyperlink" Target="http://www.epa.gov/iris/" TargetMode="External"/><Relationship Id="rId37" Type="http://schemas.openxmlformats.org/officeDocument/2006/relationships/hyperlink" Target="http://www.epa.gov/iris/" TargetMode="External"/><Relationship Id="rId40" Type="http://schemas.openxmlformats.org/officeDocument/2006/relationships/hyperlink" Target="http://www.inchem.org/documents/jmpr/jmpmono/v072pr10.htm" TargetMode="External"/><Relationship Id="rId45" Type="http://schemas.openxmlformats.org/officeDocument/2006/relationships/hyperlink" Target="http://www.epa.gov/reg3hwmd/risk/human/info/solabsg2.htm" TargetMode="External"/><Relationship Id="rId53" Type="http://schemas.openxmlformats.org/officeDocument/2006/relationships/header" Target="header9.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who.int/water_sanitation_health/dwq/chemicals/en/index.html" TargetMode="External"/><Relationship Id="rId28" Type="http://schemas.openxmlformats.org/officeDocument/2006/relationships/hyperlink" Target="http://www.who.int/water_sanitation_health/dwq/chemicals/en/index.html" TargetMode="External"/><Relationship Id="rId36" Type="http://schemas.openxmlformats.org/officeDocument/2006/relationships/hyperlink" Target="http://www.epa.gov/reg3hwmd/risk/human/info/solabsg2.htm" TargetMode="External"/><Relationship Id="rId49" Type="http://schemas.openxmlformats.org/officeDocument/2006/relationships/header" Target="header6.xml"/><Relationship Id="rId57"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www.epa.gov/iris/" TargetMode="External"/><Relationship Id="rId31" Type="http://schemas.openxmlformats.org/officeDocument/2006/relationships/hyperlink" Target="http://www.hc-sc.gc.ca/ewh-semt/pubs/water-eau/picloram-piclorame/index-eng.php" TargetMode="External"/><Relationship Id="rId44" Type="http://schemas.openxmlformats.org/officeDocument/2006/relationships/hyperlink" Target="http://www.rivm.nl/bibliotheek/rapporten/711701025.html" TargetMode="External"/><Relationship Id="rId52"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epa.gov/iris/" TargetMode="External"/><Relationship Id="rId27" Type="http://schemas.openxmlformats.org/officeDocument/2006/relationships/hyperlink" Target="http://www.epa.gov/iris/" TargetMode="External"/><Relationship Id="rId30" Type="http://schemas.openxmlformats.org/officeDocument/2006/relationships/hyperlink" Target="http://www.anzfa.gov.au/" TargetMode="External"/><Relationship Id="rId35" Type="http://schemas.openxmlformats.org/officeDocument/2006/relationships/hyperlink" Target="http://www.rivm.nl/bibliotheek/rapporten/711701025.html" TargetMode="External"/><Relationship Id="rId43" Type="http://schemas.openxmlformats.org/officeDocument/2006/relationships/hyperlink" Target="http://www.pw.ucr.edu/textfiles/bifentn.pdf" TargetMode="External"/><Relationship Id="rId48" Type="http://schemas.openxmlformats.org/officeDocument/2006/relationships/header" Target="header5.xml"/><Relationship Id="rId56" Type="http://schemas.openxmlformats.org/officeDocument/2006/relationships/header" Target="header10.xml"/><Relationship Id="rId8" Type="http://schemas.openxmlformats.org/officeDocument/2006/relationships/endnotes" Target="endnotes.xml"/><Relationship Id="rId51" Type="http://schemas.openxmlformats.org/officeDocument/2006/relationships/header" Target="header7.xml"/><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services.apvma.gov.au/PubcrisWebClient/welcome.d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71FF9-69DB-4C36-A80F-E222B614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INST_INS.DOTX</Template>
  <TotalTime>52</TotalTime>
  <Pages>43</Pages>
  <Words>13946</Words>
  <Characters>79634</Characters>
  <Application>Microsoft Office Word</Application>
  <DocSecurity>0</DocSecurity>
  <Lines>2212</Lines>
  <Paragraphs>1264</Paragraphs>
  <ScaleCrop>false</ScaleCrop>
  <HeadingPairs>
    <vt:vector size="2" baseType="variant">
      <vt:variant>
        <vt:lpstr>Title</vt:lpstr>
      </vt:variant>
      <vt:variant>
        <vt:i4>1</vt:i4>
      </vt:variant>
    </vt:vector>
  </HeadingPairs>
  <TitlesOfParts>
    <vt:vector size="1" baseType="lpstr">
      <vt:lpstr>National Environment Protection (Assessment of Site Contamination) Amendment Measure 2013 (No. A):Schedule B7 Appendix A4</vt:lpstr>
    </vt:vector>
  </TitlesOfParts>
  <Company>Office of Parliamentary Counsel</Company>
  <LinksUpToDate>false</LinksUpToDate>
  <CharactersWithSpaces>92316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Environment Protection (Assessment of Site Contamination) Amendment Measure 2013 (No. A):Schedule B7 Appendix A4</dc:title>
  <dc:creator>Larsen, Susan</dc:creator>
  <cp:lastModifiedBy>Anuj I. McFarland</cp:lastModifiedBy>
  <cp:revision>30</cp:revision>
  <cp:lastPrinted>2013-03-14T05:50:00Z</cp:lastPrinted>
  <dcterms:created xsi:type="dcterms:W3CDTF">2013-03-12T02:24:00Z</dcterms:created>
  <dcterms:modified xsi:type="dcterms:W3CDTF">2013-03-22T01:53:00Z</dcterms:modified>
  <cp:category>To send to instructors, etc.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LI</vt:lpwstr>
  </property>
  <property fmtid="{D5CDD505-2E9C-101B-9397-08002B2CF9AE}" pid="3" name="ShortT">
    <vt:lpwstr>National Environment Protection (Assessment of Site Contamination) Amendment Measure 2013 (No. A):Schedule B7 Appendix A4;</vt:lpwstr>
  </property>
  <property fmtid="{D5CDD505-2E9C-101B-9397-08002B2CF9AE}" pid="4" name="Class">
    <vt:lpwstr>By-Law</vt:lpwstr>
  </property>
  <property fmtid="{D5CDD505-2E9C-101B-9397-08002B2CF9AE}" pid="5" name="DocType">
    <vt:lpwstr>INS</vt:lpwstr>
  </property>
  <property fmtid="{D5CDD505-2E9C-101B-9397-08002B2CF9AE}" pid="6" name="ID">
    <vt:lpwstr>OPC50357</vt:lpwstr>
  </property>
  <property fmtid="{D5CDD505-2E9C-101B-9397-08002B2CF9AE}" pid="7" name="ActMadeUnder">
    <vt:lpwstr/>
  </property>
  <property fmtid="{D5CDD505-2E9C-101B-9397-08002B2CF9AE}" pid="8" name="NonLegInst">
    <vt:lpwstr>0</vt:lpwstr>
  </property>
  <property fmtid="{D5CDD505-2E9C-101B-9397-08002B2CF9AE}" pid="9" name="Classification">
    <vt:lpwstr>DRAFT-IN-CONFIDENCE</vt:lpwstr>
  </property>
  <property fmtid="{D5CDD505-2E9C-101B-9397-08002B2CF9AE}" pid="10" name="TrimID">
    <vt:lpwstr>PC:D13/3285</vt:lpwstr>
  </property>
</Properties>
</file>