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D54" w:rsidRDefault="00BD4D54" w:rsidP="00515EFE">
      <w:pPr>
        <w:ind w:left="-1134"/>
        <w:jc w:val="center"/>
      </w:pPr>
      <w:r>
        <w:rPr>
          <w:noProof/>
          <w:lang w:eastAsia="en-AU"/>
        </w:rPr>
        <mc:AlternateContent>
          <mc:Choice Requires="wps">
            <w:drawing>
              <wp:inline distT="0" distB="0" distL="0" distR="0">
                <wp:extent cx="6934200" cy="3924300"/>
                <wp:effectExtent l="0" t="0" r="0" b="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924300"/>
                        </a:xfrm>
                        <a:prstGeom prst="rect">
                          <a:avLst/>
                        </a:prstGeom>
                        <a:gradFill rotWithShape="1">
                          <a:gsLst>
                            <a:gs pos="0">
                              <a:srgbClr val="DDDDDD">
                                <a:alpha val="0"/>
                              </a:srgbClr>
                            </a:gs>
                            <a:gs pos="100000">
                              <a:srgbClr val="DDDDDD">
                                <a:gamma/>
                                <a:shade val="46275"/>
                                <a:invGamma/>
                                <a:alpha val="34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C84" w:rsidRDefault="00480C84" w:rsidP="00BD4D54">
                            <w:pPr>
                              <w:pStyle w:val="TitleHeading"/>
                              <w:ind w:left="0"/>
                              <w:jc w:val="both"/>
                              <w:rPr>
                                <w:rFonts w:ascii="Calibri" w:hAnsi="Calibri"/>
                                <w:color w:val="C0C0C0"/>
                                <w:sz w:val="30"/>
                                <w:szCs w:val="30"/>
                              </w:rPr>
                            </w:pPr>
                            <w:r w:rsidRPr="00E70BF3">
                              <w:rPr>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color w:val="C0C0C0"/>
                                <w:sz w:val="30"/>
                                <w:szCs w:val="30"/>
                              </w:rPr>
                              <w:t xml:space="preserve"> </w:t>
                            </w:r>
                            <w:r w:rsidRPr="00E70BF3">
                              <w:rPr>
                                <w:rFonts w:ascii="Book Antiqua" w:hAnsi="Book Antiqua"/>
                                <w:b w:val="0"/>
                                <w:bCs/>
                                <w:color w:val="C0C0C0"/>
                                <w:sz w:val="30"/>
                                <w:szCs w:val="30"/>
                              </w:rPr>
                              <w:t xml:space="preserve">National Environment Protection (Assessment of Site Contamination) Measure </w:t>
                            </w:r>
                            <w:r w:rsidRPr="00F91573">
                              <w:rPr>
                                <w:rFonts w:ascii="Arial" w:hAnsi="Arial" w:cs="Arial"/>
                                <w:bCs/>
                                <w:color w:val="C0C0C0"/>
                                <w:sz w:val="30"/>
                                <w:szCs w:val="30"/>
                              </w:rPr>
                              <w:t>1999</w:t>
                            </w:r>
                            <w:r w:rsidRPr="00E70BF3">
                              <w:rPr>
                                <w:rFonts w:ascii="Book Antiqua" w:hAnsi="Book Antiqua"/>
                                <w:color w:val="C0C0C0"/>
                                <w:sz w:val="30"/>
                                <w:szCs w:val="30"/>
                              </w:rPr>
                              <w:t xml:space="preserve"> </w:t>
                            </w:r>
                            <w:r w:rsidRPr="00E70BF3">
                              <w:rPr>
                                <w:rFonts w:ascii="Calibri" w:hAnsi="Calibri"/>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rFonts w:ascii="Calibri" w:hAnsi="Calibri"/>
                                <w:color w:val="C0C0C0"/>
                                <w:sz w:val="30"/>
                                <w:szCs w:val="30"/>
                              </w:rPr>
                              <w:t xml:space="preserve"> </w:t>
                            </w:r>
                            <w:r w:rsidRPr="00E70BF3">
                              <w:rPr>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color w:val="C0C0C0"/>
                                <w:sz w:val="30"/>
                                <w:szCs w:val="30"/>
                              </w:rPr>
                              <w:t xml:space="preserve"> </w:t>
                            </w:r>
                            <w:r w:rsidRPr="00E70BF3">
                              <w:rPr>
                                <w:rFonts w:ascii="Book Antiqua" w:hAnsi="Book Antiqua"/>
                                <w:b w:val="0"/>
                                <w:bCs/>
                                <w:color w:val="C0C0C0"/>
                                <w:sz w:val="30"/>
                                <w:szCs w:val="30"/>
                              </w:rPr>
                              <w:t xml:space="preserve">National Environment Protection (Assessment of Site Contamination) Measure </w:t>
                            </w:r>
                            <w:r w:rsidRPr="00F91573">
                              <w:rPr>
                                <w:rFonts w:ascii="Arial" w:hAnsi="Arial" w:cs="Arial"/>
                                <w:bCs/>
                                <w:color w:val="C0C0C0"/>
                                <w:sz w:val="30"/>
                                <w:szCs w:val="30"/>
                              </w:rPr>
                              <w:t>1999</w:t>
                            </w:r>
                            <w:r w:rsidRPr="00E70BF3">
                              <w:rPr>
                                <w:rFonts w:ascii="Book Antiqua" w:hAnsi="Book Antiqua"/>
                                <w:color w:val="C0C0C0"/>
                                <w:sz w:val="30"/>
                                <w:szCs w:val="30"/>
                              </w:rPr>
                              <w:t xml:space="preserve"> </w:t>
                            </w:r>
                            <w:r w:rsidRPr="00E70BF3">
                              <w:rPr>
                                <w:rFonts w:ascii="Calibri" w:hAnsi="Calibri"/>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rFonts w:ascii="Calibri" w:hAnsi="Calibri"/>
                                <w:color w:val="C0C0C0"/>
                                <w:sz w:val="30"/>
                                <w:szCs w:val="30"/>
                              </w:rPr>
                              <w:t xml:space="preserve"> </w:t>
                            </w:r>
                            <w:r w:rsidRPr="00E70BF3">
                              <w:rPr>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color w:val="C0C0C0"/>
                                <w:sz w:val="30"/>
                                <w:szCs w:val="30"/>
                              </w:rPr>
                              <w:t xml:space="preserve"> </w:t>
                            </w:r>
                            <w:r w:rsidRPr="00E70BF3">
                              <w:rPr>
                                <w:rFonts w:ascii="Book Antiqua" w:hAnsi="Book Antiqua"/>
                                <w:b w:val="0"/>
                                <w:bCs/>
                                <w:color w:val="C0C0C0"/>
                                <w:sz w:val="30"/>
                                <w:szCs w:val="30"/>
                              </w:rPr>
                              <w:t xml:space="preserve">National Environment Protection (Assessment of Site Contamination) Measure </w:t>
                            </w:r>
                            <w:r w:rsidRPr="00F91573">
                              <w:rPr>
                                <w:rFonts w:ascii="Arial" w:hAnsi="Arial" w:cs="Arial"/>
                                <w:bCs/>
                                <w:color w:val="C0C0C0"/>
                                <w:sz w:val="30"/>
                                <w:szCs w:val="30"/>
                              </w:rPr>
                              <w:t>1999</w:t>
                            </w:r>
                            <w:r w:rsidRPr="00E70BF3">
                              <w:rPr>
                                <w:rFonts w:ascii="Book Antiqua" w:hAnsi="Book Antiqua"/>
                                <w:color w:val="C0C0C0"/>
                                <w:sz w:val="30"/>
                                <w:szCs w:val="30"/>
                              </w:rPr>
                              <w:t xml:space="preserve"> </w:t>
                            </w:r>
                            <w:r w:rsidRPr="00E70BF3">
                              <w:rPr>
                                <w:rFonts w:ascii="Calibri" w:hAnsi="Calibri"/>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rFonts w:ascii="Calibri" w:hAnsi="Calibri"/>
                                <w:color w:val="C0C0C0"/>
                                <w:sz w:val="30"/>
                                <w:szCs w:val="30"/>
                              </w:rPr>
                              <w:t xml:space="preserve"> </w:t>
                            </w:r>
                            <w:r w:rsidRPr="00E70BF3">
                              <w:rPr>
                                <w:color w:val="C0C0C0"/>
                                <w:sz w:val="30"/>
                                <w:szCs w:val="30"/>
                              </w:rPr>
                              <w:t>National Environment Protection (Assessment of Site</w:t>
                            </w:r>
                            <w:r w:rsidRPr="00A76A0B">
                              <w:rPr>
                                <w:rFonts w:ascii="Calibri" w:hAnsi="Calibri"/>
                                <w:color w:val="C0C0C0"/>
                                <w:sz w:val="30"/>
                                <w:szCs w:val="30"/>
                              </w:rPr>
                              <w:t xml:space="preserve"> </w:t>
                            </w:r>
                            <w:r w:rsidRPr="00E70BF3">
                              <w:rPr>
                                <w:rFonts w:ascii="Calibri" w:hAnsi="Calibri"/>
                                <w:color w:val="C0C0C0"/>
                                <w:sz w:val="30"/>
                                <w:szCs w:val="30"/>
                              </w:rPr>
                              <w:t xml:space="preserve">Contamination) Measure </w:t>
                            </w:r>
                            <w:r w:rsidRPr="00F91573">
                              <w:rPr>
                                <w:rFonts w:ascii="Arial" w:hAnsi="Arial" w:cs="Arial"/>
                                <w:color w:val="C0C0C0"/>
                                <w:sz w:val="30"/>
                                <w:szCs w:val="30"/>
                              </w:rPr>
                              <w:t>1999</w:t>
                            </w:r>
                            <w:r>
                              <w:rPr>
                                <w:rFonts w:ascii="Calibri" w:hAnsi="Calibri"/>
                                <w:color w:val="C0C0C0"/>
                                <w:sz w:val="30"/>
                                <w:szCs w:val="30"/>
                              </w:rPr>
                              <w:t xml:space="preserve"> </w:t>
                            </w:r>
                            <w:r w:rsidRPr="00E70BF3">
                              <w:rPr>
                                <w:rFonts w:ascii="Book Antiqua" w:hAnsi="Book Antiqua"/>
                                <w:b w:val="0"/>
                                <w:bCs/>
                                <w:color w:val="C0C0C0"/>
                                <w:sz w:val="30"/>
                                <w:szCs w:val="30"/>
                              </w:rPr>
                              <w:t>National Environmen</w:t>
                            </w:r>
                            <w:r>
                              <w:rPr>
                                <w:rFonts w:ascii="Book Antiqua" w:hAnsi="Book Antiqua"/>
                                <w:b w:val="0"/>
                                <w:bCs/>
                                <w:color w:val="C0C0C0"/>
                                <w:sz w:val="30"/>
                                <w:szCs w:val="30"/>
                              </w:rPr>
                              <w:t>t Protection (Assessment of</w:t>
                            </w:r>
                            <w:r>
                              <w:rPr>
                                <w:rFonts w:ascii="Book Antiqua" w:hAnsi="Book Antiqua"/>
                                <w:b w:val="0"/>
                                <w:bCs/>
                                <w:color w:val="C0C0C0"/>
                                <w:sz w:val="30"/>
                                <w:szCs w:val="30"/>
                              </w:rPr>
                              <w:br/>
                            </w:r>
                          </w:p>
                          <w:p w:rsidR="00480C84" w:rsidRPr="00E70BF3" w:rsidRDefault="00480C84" w:rsidP="00BD4D54">
                            <w:pPr>
                              <w:pStyle w:val="TitleHeading"/>
                              <w:ind w:left="0"/>
                              <w:jc w:val="right"/>
                              <w:rPr>
                                <w:rFonts w:ascii="Calibri" w:hAnsi="Calibri"/>
                                <w:color w:val="C0C0C0"/>
                                <w:sz w:val="30"/>
                                <w:szCs w:val="30"/>
                              </w:rPr>
                            </w:pPr>
                            <w:r w:rsidRPr="000E0F3F">
                              <w:rPr>
                                <w:rFonts w:ascii="Georgia" w:eastAsia="Kozuka Mincho Pro B" w:hAnsi="Georgia"/>
                                <w:color w:val="000000"/>
                                <w:sz w:val="80"/>
                                <w:szCs w:val="80"/>
                              </w:rPr>
                              <w:t>Schedule B</w:t>
                            </w:r>
                            <w:r>
                              <w:rPr>
                                <w:rFonts w:ascii="Georgia" w:eastAsia="Kozuka Mincho Pro B" w:hAnsi="Georgia"/>
                                <w:color w:val="000000"/>
                                <w:sz w:val="80"/>
                                <w:szCs w:val="80"/>
                              </w:rPr>
                              <w:t>7</w:t>
                            </w:r>
                          </w:p>
                          <w:p w:rsidR="00480C84" w:rsidRPr="00E70BF3" w:rsidRDefault="00480C84" w:rsidP="00BD4D54">
                            <w:pPr>
                              <w:pStyle w:val="TitleHeading"/>
                              <w:ind w:left="0"/>
                              <w:jc w:val="both"/>
                              <w:rPr>
                                <w:rFonts w:ascii="Calibri" w:hAnsi="Calibri"/>
                                <w:color w:val="C0C0C0"/>
                                <w:sz w:val="30"/>
                                <w:szCs w:val="30"/>
                              </w:rPr>
                            </w:pPr>
                            <w:r w:rsidRPr="00E70BF3">
                              <w:rPr>
                                <w:rFonts w:ascii="Calibri" w:hAnsi="Calibri"/>
                                <w:color w:val="C0C0C0"/>
                                <w:sz w:val="30"/>
                                <w:szCs w:val="30"/>
                              </w:rPr>
                              <w:br/>
                            </w:r>
                          </w:p>
                          <w:p w:rsidR="00480C84" w:rsidRPr="00E70BF3" w:rsidRDefault="00480C84" w:rsidP="00BD4D54">
                            <w:pPr>
                              <w:pStyle w:val="TitleHeading"/>
                              <w:ind w:left="0"/>
                              <w:jc w:val="both"/>
                              <w:rPr>
                                <w:rFonts w:ascii="Calibri" w:hAnsi="Calibri"/>
                                <w:color w:val="C0C0C0"/>
                                <w:sz w:val="30"/>
                                <w:szCs w:val="30"/>
                              </w:rPr>
                            </w:pPr>
                          </w:p>
                          <w:p w:rsidR="00480C84" w:rsidRPr="00E70BF3" w:rsidRDefault="00480C84" w:rsidP="00BD4D54">
                            <w:pPr>
                              <w:pStyle w:val="TitleHeading"/>
                              <w:ind w:left="0"/>
                              <w:jc w:val="both"/>
                              <w:rPr>
                                <w:rFonts w:ascii="Calibri" w:hAnsi="Calibri"/>
                                <w:color w:val="C0C0C0"/>
                                <w:sz w:val="30"/>
                                <w:szCs w:val="30"/>
                              </w:rPr>
                            </w:pPr>
                          </w:p>
                          <w:p w:rsidR="00480C84" w:rsidRPr="00E70BF3" w:rsidRDefault="00480C84" w:rsidP="00BD4D54">
                            <w:pPr>
                              <w:rPr>
                                <w:color w:val="C0C0C0"/>
                                <w:sz w:val="30"/>
                                <w:szCs w:val="30"/>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7" o:spid="_x0000_s1026" type="#_x0000_t202" style="width:546pt;height:3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" fillcolor="#ddd" stroked="f">
                <v:fill opacity="0" color2="#666" o:opacity2="22282f" rotate="t" focus="100%" type="gradient"/>
                <v:textbox>
                  <w:txbxContent>
                    <w:p w:rsidR="00480C84" w:rsidRDefault="00480C84" w:rsidP="00BD4D54">
                      <w:pPr>
                        <w:pStyle w:val="TitleHeading"/>
                        <w:ind w:left="0"/>
                        <w:jc w:val="both"/>
                        <w:rPr>
                          <w:rFonts w:ascii="Calibri" w:hAnsi="Calibri"/>
                          <w:color w:val="C0C0C0"/>
                          <w:sz w:val="30"/>
                          <w:szCs w:val="30"/>
                        </w:rPr>
                      </w:pPr>
                      <w:r w:rsidRPr="00E70BF3">
                        <w:rPr>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color w:val="C0C0C0"/>
                          <w:sz w:val="30"/>
                          <w:szCs w:val="30"/>
                        </w:rPr>
                        <w:t xml:space="preserve"> </w:t>
                      </w:r>
                      <w:r w:rsidRPr="00E70BF3">
                        <w:rPr>
                          <w:rFonts w:ascii="Book Antiqua" w:hAnsi="Book Antiqua"/>
                          <w:b w:val="0"/>
                          <w:bCs/>
                          <w:color w:val="C0C0C0"/>
                          <w:sz w:val="30"/>
                          <w:szCs w:val="30"/>
                        </w:rPr>
                        <w:t xml:space="preserve">National Environment Protection (Assessment of Site Contamination) Measure </w:t>
                      </w:r>
                      <w:r w:rsidRPr="00F91573">
                        <w:rPr>
                          <w:rFonts w:ascii="Arial" w:hAnsi="Arial" w:cs="Arial"/>
                          <w:bCs/>
                          <w:color w:val="C0C0C0"/>
                          <w:sz w:val="30"/>
                          <w:szCs w:val="30"/>
                        </w:rPr>
                        <w:t>1999</w:t>
                      </w:r>
                      <w:r w:rsidRPr="00E70BF3">
                        <w:rPr>
                          <w:rFonts w:ascii="Book Antiqua" w:hAnsi="Book Antiqua"/>
                          <w:color w:val="C0C0C0"/>
                          <w:sz w:val="30"/>
                          <w:szCs w:val="30"/>
                        </w:rPr>
                        <w:t xml:space="preserve"> </w:t>
                      </w:r>
                      <w:r w:rsidRPr="00E70BF3">
                        <w:rPr>
                          <w:rFonts w:ascii="Calibri" w:hAnsi="Calibri"/>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rFonts w:ascii="Calibri" w:hAnsi="Calibri"/>
                          <w:color w:val="C0C0C0"/>
                          <w:sz w:val="30"/>
                          <w:szCs w:val="30"/>
                        </w:rPr>
                        <w:t xml:space="preserve"> </w:t>
                      </w:r>
                      <w:r w:rsidRPr="00E70BF3">
                        <w:rPr>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color w:val="C0C0C0"/>
                          <w:sz w:val="30"/>
                          <w:szCs w:val="30"/>
                        </w:rPr>
                        <w:t xml:space="preserve"> </w:t>
                      </w:r>
                      <w:r w:rsidRPr="00E70BF3">
                        <w:rPr>
                          <w:rFonts w:ascii="Book Antiqua" w:hAnsi="Book Antiqua"/>
                          <w:b w:val="0"/>
                          <w:bCs/>
                          <w:color w:val="C0C0C0"/>
                          <w:sz w:val="30"/>
                          <w:szCs w:val="30"/>
                        </w:rPr>
                        <w:t xml:space="preserve">National Environment Protection (Assessment of Site Contamination) Measure </w:t>
                      </w:r>
                      <w:r w:rsidRPr="00F91573">
                        <w:rPr>
                          <w:rFonts w:ascii="Arial" w:hAnsi="Arial" w:cs="Arial"/>
                          <w:bCs/>
                          <w:color w:val="C0C0C0"/>
                          <w:sz w:val="30"/>
                          <w:szCs w:val="30"/>
                        </w:rPr>
                        <w:t>1999</w:t>
                      </w:r>
                      <w:r w:rsidRPr="00E70BF3">
                        <w:rPr>
                          <w:rFonts w:ascii="Book Antiqua" w:hAnsi="Book Antiqua"/>
                          <w:color w:val="C0C0C0"/>
                          <w:sz w:val="30"/>
                          <w:szCs w:val="30"/>
                        </w:rPr>
                        <w:t xml:space="preserve"> </w:t>
                      </w:r>
                      <w:r w:rsidRPr="00E70BF3">
                        <w:rPr>
                          <w:rFonts w:ascii="Calibri" w:hAnsi="Calibri"/>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rFonts w:ascii="Calibri" w:hAnsi="Calibri"/>
                          <w:color w:val="C0C0C0"/>
                          <w:sz w:val="30"/>
                          <w:szCs w:val="30"/>
                        </w:rPr>
                        <w:t xml:space="preserve"> </w:t>
                      </w:r>
                      <w:r w:rsidRPr="00E70BF3">
                        <w:rPr>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color w:val="C0C0C0"/>
                          <w:sz w:val="30"/>
                          <w:szCs w:val="30"/>
                        </w:rPr>
                        <w:t xml:space="preserve"> </w:t>
                      </w:r>
                      <w:r w:rsidRPr="00E70BF3">
                        <w:rPr>
                          <w:rFonts w:ascii="Book Antiqua" w:hAnsi="Book Antiqua"/>
                          <w:b w:val="0"/>
                          <w:bCs/>
                          <w:color w:val="C0C0C0"/>
                          <w:sz w:val="30"/>
                          <w:szCs w:val="30"/>
                        </w:rPr>
                        <w:t xml:space="preserve">National Environment Protection (Assessment of Site Contamination) Measure </w:t>
                      </w:r>
                      <w:r w:rsidRPr="00F91573">
                        <w:rPr>
                          <w:rFonts w:ascii="Arial" w:hAnsi="Arial" w:cs="Arial"/>
                          <w:bCs/>
                          <w:color w:val="C0C0C0"/>
                          <w:sz w:val="30"/>
                          <w:szCs w:val="30"/>
                        </w:rPr>
                        <w:t>1999</w:t>
                      </w:r>
                      <w:r w:rsidRPr="00E70BF3">
                        <w:rPr>
                          <w:rFonts w:ascii="Book Antiqua" w:hAnsi="Book Antiqua"/>
                          <w:color w:val="C0C0C0"/>
                          <w:sz w:val="30"/>
                          <w:szCs w:val="30"/>
                        </w:rPr>
                        <w:t xml:space="preserve"> </w:t>
                      </w:r>
                      <w:r w:rsidRPr="00E70BF3">
                        <w:rPr>
                          <w:rFonts w:ascii="Calibri" w:hAnsi="Calibri"/>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rFonts w:ascii="Calibri" w:hAnsi="Calibri"/>
                          <w:color w:val="C0C0C0"/>
                          <w:sz w:val="30"/>
                          <w:szCs w:val="30"/>
                        </w:rPr>
                        <w:t xml:space="preserve"> </w:t>
                      </w:r>
                      <w:r w:rsidRPr="00E70BF3">
                        <w:rPr>
                          <w:color w:val="C0C0C0"/>
                          <w:sz w:val="30"/>
                          <w:szCs w:val="30"/>
                        </w:rPr>
                        <w:t>National Environment Protection (Assessment of Site</w:t>
                      </w:r>
                      <w:r w:rsidRPr="00A76A0B">
                        <w:rPr>
                          <w:rFonts w:ascii="Calibri" w:hAnsi="Calibri"/>
                          <w:color w:val="C0C0C0"/>
                          <w:sz w:val="30"/>
                          <w:szCs w:val="30"/>
                        </w:rPr>
                        <w:t xml:space="preserve"> </w:t>
                      </w:r>
                      <w:r w:rsidRPr="00E70BF3">
                        <w:rPr>
                          <w:rFonts w:ascii="Calibri" w:hAnsi="Calibri"/>
                          <w:color w:val="C0C0C0"/>
                          <w:sz w:val="30"/>
                          <w:szCs w:val="30"/>
                        </w:rPr>
                        <w:t xml:space="preserve">Contamination) Measure </w:t>
                      </w:r>
                      <w:r w:rsidRPr="00F91573">
                        <w:rPr>
                          <w:rFonts w:ascii="Arial" w:hAnsi="Arial" w:cs="Arial"/>
                          <w:color w:val="C0C0C0"/>
                          <w:sz w:val="30"/>
                          <w:szCs w:val="30"/>
                        </w:rPr>
                        <w:t>1999</w:t>
                      </w:r>
                      <w:r>
                        <w:rPr>
                          <w:rFonts w:ascii="Calibri" w:hAnsi="Calibri"/>
                          <w:color w:val="C0C0C0"/>
                          <w:sz w:val="30"/>
                          <w:szCs w:val="30"/>
                        </w:rPr>
                        <w:t xml:space="preserve"> </w:t>
                      </w:r>
                      <w:r w:rsidRPr="00E70BF3">
                        <w:rPr>
                          <w:rFonts w:ascii="Book Antiqua" w:hAnsi="Book Antiqua"/>
                          <w:b w:val="0"/>
                          <w:bCs/>
                          <w:color w:val="C0C0C0"/>
                          <w:sz w:val="30"/>
                          <w:szCs w:val="30"/>
                        </w:rPr>
                        <w:t>National Environmen</w:t>
                      </w:r>
                      <w:r>
                        <w:rPr>
                          <w:rFonts w:ascii="Book Antiqua" w:hAnsi="Book Antiqua"/>
                          <w:b w:val="0"/>
                          <w:bCs/>
                          <w:color w:val="C0C0C0"/>
                          <w:sz w:val="30"/>
                          <w:szCs w:val="30"/>
                        </w:rPr>
                        <w:t>t Protection (Assessment of</w:t>
                      </w:r>
                      <w:r>
                        <w:rPr>
                          <w:rFonts w:ascii="Book Antiqua" w:hAnsi="Book Antiqua"/>
                          <w:b w:val="0"/>
                          <w:bCs/>
                          <w:color w:val="C0C0C0"/>
                          <w:sz w:val="30"/>
                          <w:szCs w:val="30"/>
                        </w:rPr>
                        <w:br/>
                      </w:r>
                    </w:p>
                    <w:p w:rsidR="00480C84" w:rsidRPr="00E70BF3" w:rsidRDefault="00480C84" w:rsidP="00BD4D54">
                      <w:pPr>
                        <w:pStyle w:val="TitleHeading"/>
                        <w:ind w:left="0"/>
                        <w:jc w:val="right"/>
                        <w:rPr>
                          <w:rFonts w:ascii="Calibri" w:hAnsi="Calibri"/>
                          <w:color w:val="C0C0C0"/>
                          <w:sz w:val="30"/>
                          <w:szCs w:val="30"/>
                        </w:rPr>
                      </w:pPr>
                      <w:r w:rsidRPr="000E0F3F">
                        <w:rPr>
                          <w:rFonts w:ascii="Georgia" w:eastAsia="Kozuka Mincho Pro B" w:hAnsi="Georgia"/>
                          <w:color w:val="000000"/>
                          <w:sz w:val="80"/>
                          <w:szCs w:val="80"/>
                        </w:rPr>
                        <w:t>Schedule B</w:t>
                      </w:r>
                      <w:r>
                        <w:rPr>
                          <w:rFonts w:ascii="Georgia" w:eastAsia="Kozuka Mincho Pro B" w:hAnsi="Georgia"/>
                          <w:color w:val="000000"/>
                          <w:sz w:val="80"/>
                          <w:szCs w:val="80"/>
                        </w:rPr>
                        <w:t>7</w:t>
                      </w:r>
                    </w:p>
                    <w:p w:rsidR="00480C84" w:rsidRPr="00E70BF3" w:rsidRDefault="00480C84" w:rsidP="00BD4D54">
                      <w:pPr>
                        <w:pStyle w:val="TitleHeading"/>
                        <w:ind w:left="0"/>
                        <w:jc w:val="both"/>
                        <w:rPr>
                          <w:rFonts w:ascii="Calibri" w:hAnsi="Calibri"/>
                          <w:color w:val="C0C0C0"/>
                          <w:sz w:val="30"/>
                          <w:szCs w:val="30"/>
                        </w:rPr>
                      </w:pPr>
                      <w:r w:rsidRPr="00E70BF3">
                        <w:rPr>
                          <w:rFonts w:ascii="Calibri" w:hAnsi="Calibri"/>
                          <w:color w:val="C0C0C0"/>
                          <w:sz w:val="30"/>
                          <w:szCs w:val="30"/>
                        </w:rPr>
                        <w:br/>
                      </w:r>
                    </w:p>
                    <w:p w:rsidR="00480C84" w:rsidRPr="00E70BF3" w:rsidRDefault="00480C84" w:rsidP="00BD4D54">
                      <w:pPr>
                        <w:pStyle w:val="TitleHeading"/>
                        <w:ind w:left="0"/>
                        <w:jc w:val="both"/>
                        <w:rPr>
                          <w:rFonts w:ascii="Calibri" w:hAnsi="Calibri"/>
                          <w:color w:val="C0C0C0"/>
                          <w:sz w:val="30"/>
                          <w:szCs w:val="30"/>
                        </w:rPr>
                      </w:pPr>
                    </w:p>
                    <w:p w:rsidR="00480C84" w:rsidRPr="00E70BF3" w:rsidRDefault="00480C84" w:rsidP="00BD4D54">
                      <w:pPr>
                        <w:pStyle w:val="TitleHeading"/>
                        <w:ind w:left="0"/>
                        <w:jc w:val="both"/>
                        <w:rPr>
                          <w:rFonts w:ascii="Calibri" w:hAnsi="Calibri"/>
                          <w:color w:val="C0C0C0"/>
                          <w:sz w:val="30"/>
                          <w:szCs w:val="30"/>
                        </w:rPr>
                      </w:pPr>
                    </w:p>
                    <w:p w:rsidR="00480C84" w:rsidRPr="00E70BF3" w:rsidRDefault="00480C84" w:rsidP="00BD4D54">
                      <w:pPr>
                        <w:rPr>
                          <w:color w:val="C0C0C0"/>
                          <w:sz w:val="30"/>
                          <w:szCs w:val="30"/>
                        </w:rPr>
                      </w:pPr>
                    </w:p>
                  </w:txbxContent>
                </v:textbox>
                <w10:anchorlock/>
              </v:shape>
            </w:pict>
          </mc:Fallback>
        </mc:AlternateContent>
      </w:r>
    </w:p>
    <w:p w:rsidR="00BD4D54" w:rsidRPr="003F4DD3" w:rsidRDefault="00BD4D54" w:rsidP="00515EFE">
      <w:pPr>
        <w:spacing w:before="240"/>
        <w:jc w:val="right"/>
      </w:pPr>
      <w:r>
        <w:rPr>
          <w:noProof/>
          <w:lang w:eastAsia="en-AU"/>
        </w:rPr>
        <mc:AlternateContent>
          <mc:Choice Requires="wps">
            <w:drawing>
              <wp:inline distT="0" distB="0" distL="0" distR="0">
                <wp:extent cx="0" cy="1828800"/>
                <wp:effectExtent l="38100" t="0" r="38100" b="0"/>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76200">
                          <a:solidFill>
                            <a:srgbClr val="808080"/>
                          </a:solidFill>
                          <a:prstDash val="dash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16" o:spid="_x0000_s1026" style="visibility:visible;mso-wrap-style:square;mso-left-percent:-10001;mso-top-percent:-10001;mso-position-horizontal:absolute;mso-position-horizontal-relative:char;mso-position-vertical:absolute;mso-position-vertical-relative:line;mso-left-percent:-10001;mso-top-percent:-10001" from="0,0" to="0,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" strokecolor="gray" strokeweight="6pt">
                <v:stroke dashstyle="dashDot"/>
                <w10:anchorlock/>
              </v:line>
            </w:pict>
          </mc:Fallback>
        </mc:AlternateContent>
      </w:r>
    </w:p>
    <w:p w:rsidR="00BD4D54" w:rsidRPr="003F4DD3" w:rsidRDefault="00515EFE" w:rsidP="00515EFE">
      <w:pPr>
        <w:spacing w:before="240"/>
        <w:ind w:left="-1560"/>
        <w:jc w:val="right"/>
      </w:pPr>
      <w:r>
        <w:rPr>
          <w:noProof/>
          <w:lang w:eastAsia="en-AU"/>
        </w:rPr>
        <mc:AlternateContent>
          <mc:Choice Requires="wps">
            <w:drawing>
              <wp:inline distT="0" distB="0" distL="0" distR="0" wp14:anchorId="47E83597" wp14:editId="325CB5C7">
                <wp:extent cx="0" cy="301925"/>
                <wp:effectExtent l="38100" t="0" r="38100" b="3175"/>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925"/>
                        </a:xfrm>
                        <a:prstGeom prst="line">
                          <a:avLst/>
                        </a:prstGeom>
                        <a:noFill/>
                        <a:ln w="76200">
                          <a:solidFill>
                            <a:srgbClr val="808080"/>
                          </a:solidFill>
                          <a:prstDash val="dash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0,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" strokecolor="gray" strokeweight="6pt">
                <v:stroke dashstyle="dashDot"/>
                <w10:anchorlock/>
              </v:line>
            </w:pict>
          </mc:Fallback>
        </mc:AlternateContent>
      </w:r>
      <w:r w:rsidR="00BD4D54">
        <w:rPr>
          <w:noProof/>
          <w:lang w:eastAsia="en-AU"/>
        </w:rPr>
        <mc:AlternateContent>
          <mc:Choice Requires="wps">
            <w:drawing>
              <wp:inline distT="0" distB="0" distL="0" distR="0" wp14:anchorId="29B6578E" wp14:editId="5349A845">
                <wp:extent cx="7429500" cy="2360930"/>
                <wp:effectExtent l="0" t="0" r="19050" b="2032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2360930"/>
                        </a:xfrm>
                        <a:prstGeom prst="rect">
                          <a:avLst/>
                        </a:prstGeom>
                        <a:solidFill>
                          <a:srgbClr val="FFFFFF"/>
                        </a:solidFill>
                        <a:ln w="9525">
                          <a:solidFill>
                            <a:srgbClr val="808080"/>
                          </a:solidFill>
                          <a:miter lim="800000"/>
                          <a:headEnd/>
                          <a:tailEnd/>
                        </a:ln>
                      </wps:spPr>
                      <wps:txbx>
                        <w:txbxContent>
                          <w:p w:rsidR="00480C84" w:rsidRPr="000E0F3F" w:rsidRDefault="00480C84" w:rsidP="00BD4D54">
                            <w:pPr>
                              <w:pStyle w:val="TitleHeading"/>
                              <w:spacing w:before="240"/>
                              <w:ind w:left="0" w:right="284"/>
                              <w:jc w:val="right"/>
                              <w:rPr>
                                <w:spacing w:val="60"/>
                                <w:sz w:val="50"/>
                                <w:szCs w:val="50"/>
                              </w:rPr>
                            </w:pPr>
                            <w:r>
                              <w:rPr>
                                <w:spacing w:val="60"/>
                                <w:sz w:val="50"/>
                                <w:szCs w:val="50"/>
                              </w:rPr>
                              <w:t>APPENDIX A3</w:t>
                            </w:r>
                          </w:p>
                          <w:p w:rsidR="00480C84" w:rsidRDefault="00480C84" w:rsidP="00BD4D54">
                            <w:pPr>
                              <w:pStyle w:val="TitleHeading"/>
                              <w:ind w:left="0" w:right="284"/>
                              <w:jc w:val="left"/>
                              <w:rPr>
                                <w:color w:val="CC0066"/>
                                <w:spacing w:val="60"/>
                                <w:sz w:val="50"/>
                                <w:szCs w:val="50"/>
                              </w:rPr>
                            </w:pPr>
                          </w:p>
                          <w:p w:rsidR="00480C84" w:rsidRPr="003711A3" w:rsidRDefault="00480C84" w:rsidP="00BD4D54">
                            <w:pPr>
                              <w:pStyle w:val="TitleHeading"/>
                              <w:ind w:left="0" w:right="284"/>
                              <w:jc w:val="right"/>
                              <w:rPr>
                                <w:color w:val="CC0066"/>
                                <w:spacing w:val="60"/>
                                <w:sz w:val="50"/>
                                <w:szCs w:val="50"/>
                              </w:rPr>
                            </w:pPr>
                            <w:r>
                              <w:rPr>
                                <w:color w:val="CC0066"/>
                                <w:spacing w:val="60"/>
                                <w:sz w:val="50"/>
                                <w:szCs w:val="50"/>
                              </w:rPr>
                              <w:t>Derivation of HILs for Organochlorine Pesticides</w:t>
                            </w:r>
                          </w:p>
                          <w:p w:rsidR="00480C84" w:rsidRPr="00B72F2E" w:rsidRDefault="00480C84" w:rsidP="00BD4D54">
                            <w:pPr>
                              <w:jc w:val="right"/>
                              <w:rPr>
                                <w:sz w:val="60"/>
                                <w:szCs w:val="60"/>
                              </w:rPr>
                            </w:pPr>
                          </w:p>
                          <w:p w:rsidR="00480C84" w:rsidRPr="002830CA" w:rsidRDefault="00480C84" w:rsidP="00515EFE">
                            <w:pPr>
                              <w:ind w:left="142"/>
                              <w:rPr>
                                <w:szCs w:val="60"/>
                              </w:rPr>
                            </w:pPr>
                          </w:p>
                        </w:txbxContent>
                      </wps:txbx>
                      <wps:bodyPr rot="0" vert="horz" wrap="square" lIns="91440" tIns="45720" rIns="91440" bIns="45720" anchor="t" anchorCtr="0" upright="1">
                        <a:noAutofit/>
                      </wps:bodyPr>
                    </wps:wsp>
                  </a:graphicData>
                </a:graphic>
              </wp:inline>
            </w:drawing>
          </mc:Choice>
          <mc:Fallback>
            <w:pict>
              <v:shape id="Text Box 15" o:spid="_x0000_s1027" type="#_x0000_t202" style="width:585pt;height:18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" strokecolor="gray">
                <v:textbox>
                  <w:txbxContent>
                    <w:p w:rsidR="00480C84" w:rsidRPr="000E0F3F" w:rsidRDefault="00480C84" w:rsidP="00BD4D54">
                      <w:pPr>
                        <w:pStyle w:val="TitleHeading"/>
                        <w:spacing w:before="240"/>
                        <w:ind w:left="0" w:right="284"/>
                        <w:jc w:val="right"/>
                        <w:rPr>
                          <w:spacing w:val="60"/>
                          <w:sz w:val="50"/>
                          <w:szCs w:val="50"/>
                        </w:rPr>
                      </w:pPr>
                      <w:r>
                        <w:rPr>
                          <w:spacing w:val="60"/>
                          <w:sz w:val="50"/>
                          <w:szCs w:val="50"/>
                        </w:rPr>
                        <w:t>APPENDIX A3</w:t>
                      </w:r>
                    </w:p>
                    <w:p w:rsidR="00480C84" w:rsidRDefault="00480C84" w:rsidP="00BD4D54">
                      <w:pPr>
                        <w:pStyle w:val="TitleHeading"/>
                        <w:ind w:left="0" w:right="284"/>
                        <w:jc w:val="left"/>
                        <w:rPr>
                          <w:color w:val="CC0066"/>
                          <w:spacing w:val="60"/>
                          <w:sz w:val="50"/>
                          <w:szCs w:val="50"/>
                        </w:rPr>
                      </w:pPr>
                    </w:p>
                    <w:p w:rsidR="00480C84" w:rsidRPr="003711A3" w:rsidRDefault="00480C84" w:rsidP="00BD4D54">
                      <w:pPr>
                        <w:pStyle w:val="TitleHeading"/>
                        <w:ind w:left="0" w:right="284"/>
                        <w:jc w:val="right"/>
                        <w:rPr>
                          <w:color w:val="CC0066"/>
                          <w:spacing w:val="60"/>
                          <w:sz w:val="50"/>
                          <w:szCs w:val="50"/>
                        </w:rPr>
                      </w:pPr>
                      <w:r>
                        <w:rPr>
                          <w:color w:val="CC0066"/>
                          <w:spacing w:val="60"/>
                          <w:sz w:val="50"/>
                          <w:szCs w:val="50"/>
                        </w:rPr>
                        <w:t>Derivation of HILs for Organochlorine Pesticides</w:t>
                      </w:r>
                    </w:p>
                    <w:p w:rsidR="00480C84" w:rsidRPr="00B72F2E" w:rsidRDefault="00480C84" w:rsidP="00BD4D54">
                      <w:pPr>
                        <w:jc w:val="right"/>
                        <w:rPr>
                          <w:sz w:val="60"/>
                          <w:szCs w:val="60"/>
                        </w:rPr>
                      </w:pPr>
                    </w:p>
                    <w:p w:rsidR="00480C84" w:rsidRPr="002830CA" w:rsidRDefault="00480C84" w:rsidP="00515EFE">
                      <w:pPr>
                        <w:ind w:left="142"/>
                        <w:rPr>
                          <w:szCs w:val="60"/>
                        </w:rPr>
                      </w:pPr>
                    </w:p>
                  </w:txbxContent>
                </v:textbox>
                <w10:anchorlock/>
              </v:shape>
            </w:pict>
          </mc:Fallback>
        </mc:AlternateContent>
      </w:r>
    </w:p>
    <w:p w:rsidR="00BD4D54" w:rsidRPr="003F4DD3" w:rsidRDefault="00BD4D54" w:rsidP="00515EFE">
      <w:pPr>
        <w:pStyle w:val="TitleHeading"/>
        <w:jc w:val="right"/>
      </w:pPr>
    </w:p>
    <w:p w:rsidR="00BD4D54" w:rsidRDefault="00BD4D54" w:rsidP="00BD4D54"/>
    <w:p w:rsidR="00BD4D54" w:rsidRPr="003F4DD3" w:rsidRDefault="00BD4D54" w:rsidP="00BD4D54">
      <w:pPr>
        <w:sectPr w:rsidR="00BD4D54" w:rsidRPr="003F4DD3" w:rsidSect="00515EFE">
          <w:footerReference w:type="even" r:id="rId9"/>
          <w:footerReference w:type="default" r:id="rId10"/>
          <w:headerReference w:type="first" r:id="rId11"/>
          <w:pgSz w:w="11906" w:h="16838" w:code="9"/>
          <w:pgMar w:top="1134" w:right="707" w:bottom="1134" w:left="1701" w:header="720" w:footer="720" w:gutter="0"/>
          <w:cols w:space="720"/>
        </w:sectPr>
      </w:pPr>
    </w:p>
    <w:p w:rsidR="00BD4D54" w:rsidRPr="003F4DD3" w:rsidRDefault="00BD4D54" w:rsidP="005056D9">
      <w:pPr>
        <w:pStyle w:val="TOC1"/>
      </w:pPr>
      <w:r>
        <w:rPr>
          <w:noProof/>
        </w:rPr>
        <w:lastRenderedPageBreak/>
        <mc:AlternateContent>
          <mc:Choice Requires="wps">
            <w:drawing>
              <wp:anchor distT="0" distB="0" distL="114300" distR="114300" simplePos="0" relativeHeight="251661312" behindDoc="0" locked="0" layoutInCell="0" allowOverlap="1" wp14:anchorId="345DB50D" wp14:editId="09F7725E">
                <wp:simplePos x="0" y="0"/>
                <wp:positionH relativeFrom="page">
                  <wp:posOffset>914400</wp:posOffset>
                </wp:positionH>
                <wp:positionV relativeFrom="page">
                  <wp:posOffset>824230</wp:posOffset>
                </wp:positionV>
                <wp:extent cx="6126480" cy="1328420"/>
                <wp:effectExtent l="9525" t="5080" r="7620" b="952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328420"/>
                        </a:xfrm>
                        <a:prstGeom prst="rect">
                          <a:avLst/>
                        </a:prstGeom>
                        <a:noFill/>
                        <a:ln w="9525">
                          <a:solidFill>
                            <a:srgbClr val="000000"/>
                          </a:solidFill>
                          <a:miter lim="800000"/>
                          <a:headEnd/>
                          <a:tailEnd/>
                        </a:ln>
                        <a:extLst>
                          <a:ext uri="{909E8E84-426E-40DD-AFC4-6F175D3DCCD1}">
                            <a14:hiddenFill xmlns:a14="http://schemas.microsoft.com/office/drawing/2010/main">
                              <a:gradFill rotWithShape="0">
                                <a:gsLst>
                                  <a:gs pos="0">
                                    <a:srgbClr val="FFFFFF">
                                      <a:gamma/>
                                      <a:shade val="46275"/>
                                      <a:invGamma/>
                                    </a:srgbClr>
                                  </a:gs>
                                  <a:gs pos="100000">
                                    <a:srgbClr val="FFFFFF"/>
                                  </a:gs>
                                </a:gsLst>
                                <a:lin ang="5400000" scaled="1"/>
                              </a:gradFill>
                            </a14:hiddenFill>
                          </a:ext>
                        </a:extLst>
                      </wps:spPr>
                      <wps:txbx>
                        <w:txbxContent>
                          <w:p w:rsidR="00480C84" w:rsidRPr="00E025E6" w:rsidRDefault="00480C84" w:rsidP="00BD4D54">
                            <w:pPr>
                              <w:jc w:val="center"/>
                              <w:rPr>
                                <w:rFonts w:ascii="Arial" w:hAnsi="Arial" w:cs="Arial"/>
                                <w:b/>
                                <w:sz w:val="32"/>
                                <w:szCs w:val="32"/>
                              </w:rPr>
                            </w:pPr>
                            <w:r w:rsidRPr="00E025E6">
                              <w:rPr>
                                <w:rFonts w:ascii="Arial" w:hAnsi="Arial" w:cs="Arial"/>
                                <w:b/>
                                <w:sz w:val="32"/>
                                <w:szCs w:val="32"/>
                              </w:rPr>
                              <w:t>Contents</w:t>
                            </w:r>
                          </w:p>
                          <w:p w:rsidR="00480C84" w:rsidRPr="00E025E6" w:rsidRDefault="00480C84" w:rsidP="00BD4D54">
                            <w:pPr>
                              <w:jc w:val="center"/>
                              <w:rPr>
                                <w:rFonts w:ascii="Arial" w:hAnsi="Arial" w:cs="Arial"/>
                                <w:b/>
                                <w:sz w:val="32"/>
                                <w:szCs w:val="32"/>
                              </w:rPr>
                            </w:pPr>
                            <w:r>
                              <w:rPr>
                                <w:rFonts w:ascii="Arial" w:hAnsi="Arial" w:cs="Arial"/>
                                <w:b/>
                                <w:sz w:val="32"/>
                                <w:szCs w:val="32"/>
                              </w:rPr>
                              <w:t>The Derivation of HILs for organochlorine pesticides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1in;margin-top:64.9pt;width:482.4pt;height:104.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" o:allowincell="f" filled="f" fillcolor="#767676">
                <v:fill focus="100%" type="gradient"/>
                <v:textbox>
                  <w:txbxContent>
                    <w:p w:rsidR="00480C84" w:rsidRPr="00E025E6" w:rsidRDefault="00480C84" w:rsidP="00BD4D54">
                      <w:pPr>
                        <w:jc w:val="center"/>
                        <w:rPr>
                          <w:rFonts w:ascii="Arial" w:hAnsi="Arial" w:cs="Arial"/>
                          <w:b/>
                          <w:sz w:val="32"/>
                          <w:szCs w:val="32"/>
                        </w:rPr>
                      </w:pPr>
                      <w:r w:rsidRPr="00E025E6">
                        <w:rPr>
                          <w:rFonts w:ascii="Arial" w:hAnsi="Arial" w:cs="Arial"/>
                          <w:b/>
                          <w:sz w:val="32"/>
                          <w:szCs w:val="32"/>
                        </w:rPr>
                        <w:t>Contents</w:t>
                      </w:r>
                    </w:p>
                    <w:p w:rsidR="00480C84" w:rsidRPr="00E025E6" w:rsidRDefault="00480C84" w:rsidP="00BD4D54">
                      <w:pPr>
                        <w:jc w:val="center"/>
                        <w:rPr>
                          <w:rFonts w:ascii="Arial" w:hAnsi="Arial" w:cs="Arial"/>
                          <w:b/>
                          <w:sz w:val="32"/>
                          <w:szCs w:val="32"/>
                        </w:rPr>
                      </w:pPr>
                      <w:r>
                        <w:rPr>
                          <w:rFonts w:ascii="Arial" w:hAnsi="Arial" w:cs="Arial"/>
                          <w:b/>
                          <w:sz w:val="32"/>
                          <w:szCs w:val="32"/>
                        </w:rPr>
                        <w:t>The Derivation of HILs for organochlorine pesticides</w:t>
                      </w:r>
                    </w:p>
                  </w:txbxContent>
                </v:textbox>
                <w10:wrap type="square" anchorx="page" anchory="page"/>
              </v:shape>
            </w:pict>
          </mc:Fallback>
        </mc:AlternateContent>
      </w:r>
      <w:r w:rsidR="005056D9">
        <w:tab/>
      </w:r>
      <w:r w:rsidR="005056D9">
        <w:tab/>
      </w:r>
      <w:r w:rsidRPr="003F4DD3">
        <w:t>Page</w:t>
      </w:r>
    </w:p>
    <w:p w:rsidR="003915F9" w:rsidRDefault="005056D9" w:rsidP="003915F9">
      <w:pPr>
        <w:pStyle w:val="TOC1"/>
        <w:keepNext w:val="0"/>
        <w:rPr>
          <w:rFonts w:asciiTheme="minorHAnsi" w:eastAsiaTheme="minorEastAsia" w:hAnsiTheme="minorHAnsi" w:cstheme="minorBidi"/>
          <w:b w:val="0"/>
          <w:noProof/>
          <w:kern w:val="0"/>
          <w:sz w:val="22"/>
          <w:szCs w:val="22"/>
        </w:rPr>
      </w:pPr>
      <w:r>
        <w:rPr>
          <w:b w:val="0"/>
          <w:noProof/>
        </w:rPr>
        <w:fldChar w:fldCharType="begin"/>
      </w:r>
      <w:r>
        <w:rPr>
          <w:b w:val="0"/>
          <w:noProof/>
        </w:rPr>
        <w:instrText xml:space="preserve"> TOC \o "1-9" </w:instrText>
      </w:r>
      <w:r>
        <w:rPr>
          <w:b w:val="0"/>
          <w:noProof/>
        </w:rPr>
        <w:fldChar w:fldCharType="separate"/>
      </w:r>
      <w:r w:rsidR="003915F9">
        <w:rPr>
          <w:noProof/>
        </w:rPr>
        <w:t>1</w:t>
      </w:r>
      <w:r w:rsidR="003915F9">
        <w:rPr>
          <w:rFonts w:asciiTheme="minorHAnsi" w:eastAsiaTheme="minorEastAsia" w:hAnsiTheme="minorHAnsi" w:cstheme="minorBidi"/>
          <w:b w:val="0"/>
          <w:noProof/>
          <w:kern w:val="0"/>
          <w:sz w:val="22"/>
          <w:szCs w:val="22"/>
        </w:rPr>
        <w:tab/>
      </w:r>
      <w:r w:rsidR="003915F9">
        <w:rPr>
          <w:noProof/>
        </w:rPr>
        <w:t>DDT+DDE+DDD Review</w:t>
      </w:r>
      <w:r w:rsidR="003915F9">
        <w:rPr>
          <w:noProof/>
        </w:rPr>
        <w:tab/>
      </w:r>
      <w:r w:rsidR="003915F9">
        <w:rPr>
          <w:noProof/>
        </w:rPr>
        <w:fldChar w:fldCharType="begin"/>
      </w:r>
      <w:r w:rsidR="003915F9">
        <w:rPr>
          <w:noProof/>
        </w:rPr>
        <w:instrText xml:space="preserve"> PAGEREF _Toc351714090 \h </w:instrText>
      </w:r>
      <w:r w:rsidR="003915F9">
        <w:rPr>
          <w:noProof/>
        </w:rPr>
      </w:r>
      <w:r w:rsidR="003915F9">
        <w:rPr>
          <w:noProof/>
        </w:rPr>
        <w:fldChar w:fldCharType="separate"/>
      </w:r>
      <w:r w:rsidR="00EE627C">
        <w:rPr>
          <w:noProof/>
        </w:rPr>
        <w:t>1</w:t>
      </w:r>
      <w:r w:rsidR="003915F9">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1.1</w:t>
      </w:r>
      <w:r>
        <w:rPr>
          <w:rFonts w:asciiTheme="minorHAnsi" w:eastAsiaTheme="minorEastAsia" w:hAnsiTheme="minorHAnsi" w:cstheme="minorBidi"/>
          <w:b w:val="0"/>
          <w:noProof/>
          <w:kern w:val="0"/>
          <w:sz w:val="22"/>
          <w:szCs w:val="22"/>
        </w:rPr>
        <w:tab/>
      </w:r>
      <w:r>
        <w:rPr>
          <w:noProof/>
        </w:rPr>
        <w:t>General</w:t>
      </w:r>
      <w:r>
        <w:rPr>
          <w:noProof/>
        </w:rPr>
        <w:tab/>
      </w:r>
      <w:r>
        <w:rPr>
          <w:noProof/>
        </w:rPr>
        <w:fldChar w:fldCharType="begin"/>
      </w:r>
      <w:r>
        <w:rPr>
          <w:noProof/>
        </w:rPr>
        <w:instrText xml:space="preserve"> PAGEREF _Toc351714091 \h </w:instrText>
      </w:r>
      <w:r>
        <w:rPr>
          <w:noProof/>
        </w:rPr>
      </w:r>
      <w:r>
        <w:rPr>
          <w:noProof/>
        </w:rPr>
        <w:fldChar w:fldCharType="separate"/>
      </w:r>
      <w:r w:rsidR="00EE627C">
        <w:rPr>
          <w:noProof/>
        </w:rPr>
        <w:t>1</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1.2</w:t>
      </w:r>
      <w:r>
        <w:rPr>
          <w:rFonts w:asciiTheme="minorHAnsi" w:eastAsiaTheme="minorEastAsia" w:hAnsiTheme="minorHAnsi" w:cstheme="minorBidi"/>
          <w:b w:val="0"/>
          <w:noProof/>
          <w:kern w:val="0"/>
          <w:sz w:val="22"/>
          <w:szCs w:val="22"/>
        </w:rPr>
        <w:tab/>
      </w:r>
      <w:r>
        <w:rPr>
          <w:noProof/>
        </w:rPr>
        <w:t>Previous HIL</w:t>
      </w:r>
      <w:r>
        <w:rPr>
          <w:noProof/>
        </w:rPr>
        <w:tab/>
      </w:r>
      <w:r>
        <w:rPr>
          <w:noProof/>
        </w:rPr>
        <w:fldChar w:fldCharType="begin"/>
      </w:r>
      <w:r>
        <w:rPr>
          <w:noProof/>
        </w:rPr>
        <w:instrText xml:space="preserve"> PAGEREF _Toc351714092 \h </w:instrText>
      </w:r>
      <w:r>
        <w:rPr>
          <w:noProof/>
        </w:rPr>
      </w:r>
      <w:r>
        <w:rPr>
          <w:noProof/>
        </w:rPr>
        <w:fldChar w:fldCharType="separate"/>
      </w:r>
      <w:r w:rsidR="00EE627C">
        <w:rPr>
          <w:noProof/>
        </w:rPr>
        <w:t>1</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1.3</w:t>
      </w:r>
      <w:r>
        <w:rPr>
          <w:rFonts w:asciiTheme="minorHAnsi" w:eastAsiaTheme="minorEastAsia" w:hAnsiTheme="minorHAnsi" w:cstheme="minorBidi"/>
          <w:b w:val="0"/>
          <w:noProof/>
          <w:kern w:val="0"/>
          <w:sz w:val="22"/>
          <w:szCs w:val="22"/>
        </w:rPr>
        <w:tab/>
      </w:r>
      <w:r>
        <w:rPr>
          <w:noProof/>
        </w:rPr>
        <w:t>Significance of Exposure Pathways</w:t>
      </w:r>
      <w:r>
        <w:rPr>
          <w:noProof/>
        </w:rPr>
        <w:tab/>
      </w:r>
      <w:r>
        <w:rPr>
          <w:noProof/>
        </w:rPr>
        <w:fldChar w:fldCharType="begin"/>
      </w:r>
      <w:r>
        <w:rPr>
          <w:noProof/>
        </w:rPr>
        <w:instrText xml:space="preserve"> PAGEREF _Toc351714093 \h </w:instrText>
      </w:r>
      <w:r>
        <w:rPr>
          <w:noProof/>
        </w:rPr>
      </w:r>
      <w:r>
        <w:rPr>
          <w:noProof/>
        </w:rPr>
        <w:fldChar w:fldCharType="separate"/>
      </w:r>
      <w:r w:rsidR="00EE627C">
        <w:rPr>
          <w:noProof/>
        </w:rPr>
        <w:t>2</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1.3.1</w:t>
      </w:r>
      <w:r>
        <w:rPr>
          <w:rFonts w:asciiTheme="minorHAnsi" w:eastAsiaTheme="minorEastAsia" w:hAnsiTheme="minorHAnsi" w:cstheme="minorBidi"/>
          <w:b w:val="0"/>
          <w:noProof/>
          <w:kern w:val="0"/>
          <w:szCs w:val="22"/>
        </w:rPr>
        <w:tab/>
      </w:r>
      <w:r>
        <w:rPr>
          <w:noProof/>
        </w:rPr>
        <w:t>Oral Bioavailability</w:t>
      </w:r>
      <w:r>
        <w:rPr>
          <w:noProof/>
        </w:rPr>
        <w:tab/>
      </w:r>
      <w:r>
        <w:rPr>
          <w:noProof/>
        </w:rPr>
        <w:fldChar w:fldCharType="begin"/>
      </w:r>
      <w:r>
        <w:rPr>
          <w:noProof/>
        </w:rPr>
        <w:instrText xml:space="preserve"> PAGEREF _Toc351714094 \h </w:instrText>
      </w:r>
      <w:r>
        <w:rPr>
          <w:noProof/>
        </w:rPr>
      </w:r>
      <w:r>
        <w:rPr>
          <w:noProof/>
        </w:rPr>
        <w:fldChar w:fldCharType="separate"/>
      </w:r>
      <w:r w:rsidR="00EE627C">
        <w:rPr>
          <w:noProof/>
        </w:rPr>
        <w:t>2</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1.3.2</w:t>
      </w:r>
      <w:r>
        <w:rPr>
          <w:rFonts w:asciiTheme="minorHAnsi" w:eastAsiaTheme="minorEastAsia" w:hAnsiTheme="minorHAnsi" w:cstheme="minorBidi"/>
          <w:b w:val="0"/>
          <w:noProof/>
          <w:kern w:val="0"/>
          <w:szCs w:val="22"/>
        </w:rPr>
        <w:tab/>
      </w:r>
      <w:r>
        <w:rPr>
          <w:noProof/>
        </w:rPr>
        <w:t>Dermal absorption</w:t>
      </w:r>
      <w:r>
        <w:rPr>
          <w:noProof/>
        </w:rPr>
        <w:tab/>
      </w:r>
      <w:r>
        <w:rPr>
          <w:noProof/>
        </w:rPr>
        <w:fldChar w:fldCharType="begin"/>
      </w:r>
      <w:r>
        <w:rPr>
          <w:noProof/>
        </w:rPr>
        <w:instrText xml:space="preserve"> PAGEREF _Toc351714095 \h </w:instrText>
      </w:r>
      <w:r>
        <w:rPr>
          <w:noProof/>
        </w:rPr>
      </w:r>
      <w:r>
        <w:rPr>
          <w:noProof/>
        </w:rPr>
        <w:fldChar w:fldCharType="separate"/>
      </w:r>
      <w:r w:rsidR="00EE627C">
        <w:rPr>
          <w:noProof/>
        </w:rPr>
        <w:t>2</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1.3.3</w:t>
      </w:r>
      <w:r>
        <w:rPr>
          <w:rFonts w:asciiTheme="minorHAnsi" w:eastAsiaTheme="minorEastAsia" w:hAnsiTheme="minorHAnsi" w:cstheme="minorBidi"/>
          <w:b w:val="0"/>
          <w:noProof/>
          <w:kern w:val="0"/>
          <w:szCs w:val="22"/>
        </w:rPr>
        <w:tab/>
      </w:r>
      <w:r>
        <w:rPr>
          <w:noProof/>
        </w:rPr>
        <w:t>Inhalation of Dust</w:t>
      </w:r>
      <w:r>
        <w:rPr>
          <w:noProof/>
        </w:rPr>
        <w:tab/>
      </w:r>
      <w:r>
        <w:rPr>
          <w:noProof/>
        </w:rPr>
        <w:fldChar w:fldCharType="begin"/>
      </w:r>
      <w:r>
        <w:rPr>
          <w:noProof/>
        </w:rPr>
        <w:instrText xml:space="preserve"> PAGEREF _Toc351714096 \h </w:instrText>
      </w:r>
      <w:r>
        <w:rPr>
          <w:noProof/>
        </w:rPr>
      </w:r>
      <w:r>
        <w:rPr>
          <w:noProof/>
        </w:rPr>
        <w:fldChar w:fldCharType="separate"/>
      </w:r>
      <w:r w:rsidR="00EE627C">
        <w:rPr>
          <w:noProof/>
        </w:rPr>
        <w:t>2</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1.3.4</w:t>
      </w:r>
      <w:r>
        <w:rPr>
          <w:rFonts w:asciiTheme="minorHAnsi" w:eastAsiaTheme="minorEastAsia" w:hAnsiTheme="minorHAnsi" w:cstheme="minorBidi"/>
          <w:b w:val="0"/>
          <w:noProof/>
          <w:kern w:val="0"/>
          <w:szCs w:val="22"/>
        </w:rPr>
        <w:tab/>
      </w:r>
      <w:r>
        <w:rPr>
          <w:noProof/>
        </w:rPr>
        <w:t>Plant Uptake</w:t>
      </w:r>
      <w:r>
        <w:rPr>
          <w:noProof/>
        </w:rPr>
        <w:tab/>
      </w:r>
      <w:r>
        <w:rPr>
          <w:noProof/>
        </w:rPr>
        <w:fldChar w:fldCharType="begin"/>
      </w:r>
      <w:r>
        <w:rPr>
          <w:noProof/>
        </w:rPr>
        <w:instrText xml:space="preserve"> PAGEREF _Toc351714097 \h </w:instrText>
      </w:r>
      <w:r>
        <w:rPr>
          <w:noProof/>
        </w:rPr>
      </w:r>
      <w:r>
        <w:rPr>
          <w:noProof/>
        </w:rPr>
        <w:fldChar w:fldCharType="separate"/>
      </w:r>
      <w:r w:rsidR="00EE627C">
        <w:rPr>
          <w:noProof/>
        </w:rPr>
        <w:t>2</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1.3.5</w:t>
      </w:r>
      <w:r>
        <w:rPr>
          <w:rFonts w:asciiTheme="minorHAnsi" w:eastAsiaTheme="minorEastAsia" w:hAnsiTheme="minorHAnsi" w:cstheme="minorBidi"/>
          <w:b w:val="0"/>
          <w:noProof/>
          <w:kern w:val="0"/>
          <w:szCs w:val="22"/>
        </w:rPr>
        <w:tab/>
      </w:r>
      <w:r>
        <w:rPr>
          <w:noProof/>
        </w:rPr>
        <w:t>Intakes from Other Sources – Background</w:t>
      </w:r>
      <w:r>
        <w:rPr>
          <w:noProof/>
        </w:rPr>
        <w:tab/>
      </w:r>
      <w:r>
        <w:rPr>
          <w:noProof/>
        </w:rPr>
        <w:fldChar w:fldCharType="begin"/>
      </w:r>
      <w:r>
        <w:rPr>
          <w:noProof/>
        </w:rPr>
        <w:instrText xml:space="preserve"> PAGEREF _Toc351714098 \h </w:instrText>
      </w:r>
      <w:r>
        <w:rPr>
          <w:noProof/>
        </w:rPr>
      </w:r>
      <w:r>
        <w:rPr>
          <w:noProof/>
        </w:rPr>
        <w:fldChar w:fldCharType="separate"/>
      </w:r>
      <w:r w:rsidR="00EE627C">
        <w:rPr>
          <w:noProof/>
        </w:rPr>
        <w:t>3</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1.4</w:t>
      </w:r>
      <w:r>
        <w:rPr>
          <w:rFonts w:asciiTheme="minorHAnsi" w:eastAsiaTheme="minorEastAsia" w:hAnsiTheme="minorHAnsi" w:cstheme="minorBidi"/>
          <w:b w:val="0"/>
          <w:noProof/>
          <w:kern w:val="0"/>
          <w:sz w:val="22"/>
          <w:szCs w:val="22"/>
        </w:rPr>
        <w:tab/>
      </w:r>
      <w:r>
        <w:rPr>
          <w:noProof/>
        </w:rPr>
        <w:t>Identification of Toxicity Reference Values</w:t>
      </w:r>
      <w:r>
        <w:rPr>
          <w:noProof/>
        </w:rPr>
        <w:tab/>
      </w:r>
      <w:r>
        <w:rPr>
          <w:noProof/>
        </w:rPr>
        <w:fldChar w:fldCharType="begin"/>
      </w:r>
      <w:r>
        <w:rPr>
          <w:noProof/>
        </w:rPr>
        <w:instrText xml:space="preserve"> PAGEREF _Toc351714099 \h </w:instrText>
      </w:r>
      <w:r>
        <w:rPr>
          <w:noProof/>
        </w:rPr>
      </w:r>
      <w:r>
        <w:rPr>
          <w:noProof/>
        </w:rPr>
        <w:fldChar w:fldCharType="separate"/>
      </w:r>
      <w:r w:rsidR="00EE627C">
        <w:rPr>
          <w:noProof/>
        </w:rPr>
        <w:t>3</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1.4.1</w:t>
      </w:r>
      <w:r>
        <w:rPr>
          <w:rFonts w:asciiTheme="minorHAnsi" w:eastAsiaTheme="minorEastAsia" w:hAnsiTheme="minorHAnsi" w:cstheme="minorBidi"/>
          <w:b w:val="0"/>
          <w:noProof/>
          <w:kern w:val="0"/>
          <w:szCs w:val="22"/>
        </w:rPr>
        <w:tab/>
      </w:r>
      <w:r>
        <w:rPr>
          <w:noProof/>
        </w:rPr>
        <w:t>Classification</w:t>
      </w:r>
      <w:r>
        <w:rPr>
          <w:noProof/>
        </w:rPr>
        <w:tab/>
      </w:r>
      <w:r>
        <w:rPr>
          <w:noProof/>
        </w:rPr>
        <w:fldChar w:fldCharType="begin"/>
      </w:r>
      <w:r>
        <w:rPr>
          <w:noProof/>
        </w:rPr>
        <w:instrText xml:space="preserve"> PAGEREF _Toc351714100 \h </w:instrText>
      </w:r>
      <w:r>
        <w:rPr>
          <w:noProof/>
        </w:rPr>
      </w:r>
      <w:r>
        <w:rPr>
          <w:noProof/>
        </w:rPr>
        <w:fldChar w:fldCharType="separate"/>
      </w:r>
      <w:r w:rsidR="00EE627C">
        <w:rPr>
          <w:noProof/>
        </w:rPr>
        <w:t>3</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1.4.2</w:t>
      </w:r>
      <w:r>
        <w:rPr>
          <w:rFonts w:asciiTheme="minorHAnsi" w:eastAsiaTheme="minorEastAsia" w:hAnsiTheme="minorHAnsi" w:cstheme="minorBidi"/>
          <w:b w:val="0"/>
          <w:noProof/>
          <w:kern w:val="0"/>
          <w:szCs w:val="22"/>
        </w:rPr>
        <w:tab/>
      </w:r>
      <w:r>
        <w:rPr>
          <w:noProof/>
        </w:rPr>
        <w:t>Review of Available Values/Information</w:t>
      </w:r>
      <w:r>
        <w:rPr>
          <w:noProof/>
        </w:rPr>
        <w:tab/>
      </w:r>
      <w:r>
        <w:rPr>
          <w:noProof/>
        </w:rPr>
        <w:fldChar w:fldCharType="begin"/>
      </w:r>
      <w:r>
        <w:rPr>
          <w:noProof/>
        </w:rPr>
        <w:instrText xml:space="preserve"> PAGEREF _Toc351714101 \h </w:instrText>
      </w:r>
      <w:r>
        <w:rPr>
          <w:noProof/>
        </w:rPr>
      </w:r>
      <w:r>
        <w:rPr>
          <w:noProof/>
        </w:rPr>
        <w:fldChar w:fldCharType="separate"/>
      </w:r>
      <w:r w:rsidR="00EE627C">
        <w:rPr>
          <w:noProof/>
        </w:rPr>
        <w:t>3</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1.4.3</w:t>
      </w:r>
      <w:r>
        <w:rPr>
          <w:rFonts w:asciiTheme="minorHAnsi" w:eastAsiaTheme="minorEastAsia" w:hAnsiTheme="minorHAnsi" w:cstheme="minorBidi"/>
          <w:b w:val="0"/>
          <w:noProof/>
          <w:kern w:val="0"/>
          <w:szCs w:val="22"/>
        </w:rPr>
        <w:tab/>
      </w:r>
      <w:r>
        <w:rPr>
          <w:noProof/>
        </w:rPr>
        <w:t>Recommendation</w:t>
      </w:r>
      <w:r>
        <w:rPr>
          <w:noProof/>
        </w:rPr>
        <w:tab/>
      </w:r>
      <w:r>
        <w:rPr>
          <w:noProof/>
        </w:rPr>
        <w:fldChar w:fldCharType="begin"/>
      </w:r>
      <w:r>
        <w:rPr>
          <w:noProof/>
        </w:rPr>
        <w:instrText xml:space="preserve"> PAGEREF _Toc351714102 \h </w:instrText>
      </w:r>
      <w:r>
        <w:rPr>
          <w:noProof/>
        </w:rPr>
      </w:r>
      <w:r>
        <w:rPr>
          <w:noProof/>
        </w:rPr>
        <w:fldChar w:fldCharType="separate"/>
      </w:r>
      <w:r w:rsidR="00EE627C">
        <w:rPr>
          <w:noProof/>
        </w:rPr>
        <w:t>4</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1.5</w:t>
      </w:r>
      <w:r>
        <w:rPr>
          <w:rFonts w:asciiTheme="minorHAnsi" w:eastAsiaTheme="minorEastAsia" w:hAnsiTheme="minorHAnsi" w:cstheme="minorBidi"/>
          <w:b w:val="0"/>
          <w:noProof/>
          <w:kern w:val="0"/>
          <w:sz w:val="22"/>
          <w:szCs w:val="22"/>
        </w:rPr>
        <w:tab/>
      </w:r>
      <w:r>
        <w:rPr>
          <w:noProof/>
        </w:rPr>
        <w:t>Calculated HILs</w:t>
      </w:r>
      <w:r>
        <w:rPr>
          <w:noProof/>
        </w:rPr>
        <w:tab/>
      </w:r>
      <w:r>
        <w:rPr>
          <w:noProof/>
        </w:rPr>
        <w:fldChar w:fldCharType="begin"/>
      </w:r>
      <w:r>
        <w:rPr>
          <w:noProof/>
        </w:rPr>
        <w:instrText xml:space="preserve"> PAGEREF _Toc351714103 \h </w:instrText>
      </w:r>
      <w:r>
        <w:rPr>
          <w:noProof/>
        </w:rPr>
      </w:r>
      <w:r>
        <w:rPr>
          <w:noProof/>
        </w:rPr>
        <w:fldChar w:fldCharType="separate"/>
      </w:r>
      <w:r w:rsidR="00EE627C">
        <w:rPr>
          <w:noProof/>
        </w:rPr>
        <w:t>4</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1.6</w:t>
      </w:r>
      <w:r>
        <w:rPr>
          <w:rFonts w:asciiTheme="minorHAnsi" w:eastAsiaTheme="minorEastAsia" w:hAnsiTheme="minorHAnsi" w:cstheme="minorBidi"/>
          <w:b w:val="0"/>
          <w:noProof/>
          <w:kern w:val="0"/>
          <w:sz w:val="22"/>
          <w:szCs w:val="22"/>
        </w:rPr>
        <w:tab/>
      </w:r>
      <w:r>
        <w:rPr>
          <w:noProof/>
        </w:rPr>
        <w:t>References</w:t>
      </w:r>
      <w:r>
        <w:rPr>
          <w:noProof/>
        </w:rPr>
        <w:tab/>
      </w:r>
      <w:r>
        <w:rPr>
          <w:noProof/>
        </w:rPr>
        <w:fldChar w:fldCharType="begin"/>
      </w:r>
      <w:r>
        <w:rPr>
          <w:noProof/>
        </w:rPr>
        <w:instrText xml:space="preserve"> PAGEREF _Toc351714104 \h </w:instrText>
      </w:r>
      <w:r>
        <w:rPr>
          <w:noProof/>
        </w:rPr>
      </w:r>
      <w:r>
        <w:rPr>
          <w:noProof/>
        </w:rPr>
        <w:fldChar w:fldCharType="separate"/>
      </w:r>
      <w:r w:rsidR="00EE627C">
        <w:rPr>
          <w:noProof/>
        </w:rPr>
        <w:t>5</w:t>
      </w:r>
      <w:r>
        <w:rPr>
          <w:noProof/>
        </w:rPr>
        <w:fldChar w:fldCharType="end"/>
      </w:r>
    </w:p>
    <w:p w:rsidR="003915F9" w:rsidRDefault="003915F9" w:rsidP="003915F9">
      <w:pPr>
        <w:pStyle w:val="TOC1"/>
        <w:keepNext w:val="0"/>
        <w:rPr>
          <w:rFonts w:asciiTheme="minorHAnsi" w:eastAsiaTheme="minorEastAsia" w:hAnsiTheme="minorHAnsi" w:cstheme="minorBidi"/>
          <w:b w:val="0"/>
          <w:noProof/>
          <w:kern w:val="0"/>
          <w:sz w:val="22"/>
          <w:szCs w:val="22"/>
        </w:rPr>
      </w:pPr>
      <w:r>
        <w:rPr>
          <w:noProof/>
        </w:rPr>
        <w:t>2</w:t>
      </w:r>
      <w:r>
        <w:rPr>
          <w:rFonts w:asciiTheme="minorHAnsi" w:eastAsiaTheme="minorEastAsia" w:hAnsiTheme="minorHAnsi" w:cstheme="minorBidi"/>
          <w:b w:val="0"/>
          <w:noProof/>
          <w:kern w:val="0"/>
          <w:sz w:val="22"/>
          <w:szCs w:val="22"/>
        </w:rPr>
        <w:tab/>
      </w:r>
      <w:r>
        <w:rPr>
          <w:noProof/>
        </w:rPr>
        <w:t>Aldrin + Dieldrin</w:t>
      </w:r>
      <w:r>
        <w:rPr>
          <w:noProof/>
        </w:rPr>
        <w:tab/>
      </w:r>
      <w:r>
        <w:rPr>
          <w:noProof/>
        </w:rPr>
        <w:fldChar w:fldCharType="begin"/>
      </w:r>
      <w:r>
        <w:rPr>
          <w:noProof/>
        </w:rPr>
        <w:instrText xml:space="preserve"> PAGEREF _Toc351714105 \h </w:instrText>
      </w:r>
      <w:r>
        <w:rPr>
          <w:noProof/>
        </w:rPr>
      </w:r>
      <w:r>
        <w:rPr>
          <w:noProof/>
        </w:rPr>
        <w:fldChar w:fldCharType="separate"/>
      </w:r>
      <w:r w:rsidR="00EE627C">
        <w:rPr>
          <w:noProof/>
        </w:rPr>
        <w:t>7</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2.1</w:t>
      </w:r>
      <w:r>
        <w:rPr>
          <w:rFonts w:asciiTheme="minorHAnsi" w:eastAsiaTheme="minorEastAsia" w:hAnsiTheme="minorHAnsi" w:cstheme="minorBidi"/>
          <w:b w:val="0"/>
          <w:noProof/>
          <w:kern w:val="0"/>
          <w:sz w:val="22"/>
          <w:szCs w:val="22"/>
        </w:rPr>
        <w:tab/>
      </w:r>
      <w:r>
        <w:rPr>
          <w:noProof/>
        </w:rPr>
        <w:t>General</w:t>
      </w:r>
      <w:r>
        <w:rPr>
          <w:noProof/>
        </w:rPr>
        <w:tab/>
      </w:r>
      <w:r>
        <w:rPr>
          <w:noProof/>
        </w:rPr>
        <w:fldChar w:fldCharType="begin"/>
      </w:r>
      <w:r>
        <w:rPr>
          <w:noProof/>
        </w:rPr>
        <w:instrText xml:space="preserve"> PAGEREF _Toc351714106 \h </w:instrText>
      </w:r>
      <w:r>
        <w:rPr>
          <w:noProof/>
        </w:rPr>
      </w:r>
      <w:r>
        <w:rPr>
          <w:noProof/>
        </w:rPr>
        <w:fldChar w:fldCharType="separate"/>
      </w:r>
      <w:r w:rsidR="00EE627C">
        <w:rPr>
          <w:noProof/>
        </w:rPr>
        <w:t>7</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2.2</w:t>
      </w:r>
      <w:r>
        <w:rPr>
          <w:rFonts w:asciiTheme="minorHAnsi" w:eastAsiaTheme="minorEastAsia" w:hAnsiTheme="minorHAnsi" w:cstheme="minorBidi"/>
          <w:b w:val="0"/>
          <w:noProof/>
          <w:kern w:val="0"/>
          <w:sz w:val="22"/>
          <w:szCs w:val="22"/>
        </w:rPr>
        <w:tab/>
      </w:r>
      <w:r>
        <w:rPr>
          <w:noProof/>
        </w:rPr>
        <w:t>Previous HIL</w:t>
      </w:r>
      <w:r>
        <w:rPr>
          <w:noProof/>
        </w:rPr>
        <w:tab/>
      </w:r>
      <w:r>
        <w:rPr>
          <w:noProof/>
        </w:rPr>
        <w:fldChar w:fldCharType="begin"/>
      </w:r>
      <w:r>
        <w:rPr>
          <w:noProof/>
        </w:rPr>
        <w:instrText xml:space="preserve"> PAGEREF _Toc351714107 \h </w:instrText>
      </w:r>
      <w:r>
        <w:rPr>
          <w:noProof/>
        </w:rPr>
      </w:r>
      <w:r>
        <w:rPr>
          <w:noProof/>
        </w:rPr>
        <w:fldChar w:fldCharType="separate"/>
      </w:r>
      <w:r w:rsidR="00EE627C">
        <w:rPr>
          <w:noProof/>
        </w:rPr>
        <w:t>7</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2.3</w:t>
      </w:r>
      <w:r>
        <w:rPr>
          <w:rFonts w:asciiTheme="minorHAnsi" w:eastAsiaTheme="minorEastAsia" w:hAnsiTheme="minorHAnsi" w:cstheme="minorBidi"/>
          <w:b w:val="0"/>
          <w:noProof/>
          <w:kern w:val="0"/>
          <w:sz w:val="22"/>
          <w:szCs w:val="22"/>
        </w:rPr>
        <w:tab/>
      </w:r>
      <w:r>
        <w:rPr>
          <w:noProof/>
        </w:rPr>
        <w:t>Significance of Exposure Pathways</w:t>
      </w:r>
      <w:r>
        <w:rPr>
          <w:noProof/>
        </w:rPr>
        <w:tab/>
      </w:r>
      <w:r>
        <w:rPr>
          <w:noProof/>
        </w:rPr>
        <w:fldChar w:fldCharType="begin"/>
      </w:r>
      <w:r>
        <w:rPr>
          <w:noProof/>
        </w:rPr>
        <w:instrText xml:space="preserve"> PAGEREF _Toc351714108 \h </w:instrText>
      </w:r>
      <w:r>
        <w:rPr>
          <w:noProof/>
        </w:rPr>
      </w:r>
      <w:r>
        <w:rPr>
          <w:noProof/>
        </w:rPr>
        <w:fldChar w:fldCharType="separate"/>
      </w:r>
      <w:r w:rsidR="00EE627C">
        <w:rPr>
          <w:noProof/>
        </w:rPr>
        <w:t>8</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2.3.1</w:t>
      </w:r>
      <w:r>
        <w:rPr>
          <w:rFonts w:asciiTheme="minorHAnsi" w:eastAsiaTheme="minorEastAsia" w:hAnsiTheme="minorHAnsi" w:cstheme="minorBidi"/>
          <w:b w:val="0"/>
          <w:noProof/>
          <w:kern w:val="0"/>
          <w:szCs w:val="22"/>
        </w:rPr>
        <w:tab/>
      </w:r>
      <w:r>
        <w:rPr>
          <w:noProof/>
        </w:rPr>
        <w:t>Oral Bioavailability</w:t>
      </w:r>
      <w:r>
        <w:rPr>
          <w:noProof/>
        </w:rPr>
        <w:tab/>
      </w:r>
      <w:r>
        <w:rPr>
          <w:noProof/>
        </w:rPr>
        <w:fldChar w:fldCharType="begin"/>
      </w:r>
      <w:r>
        <w:rPr>
          <w:noProof/>
        </w:rPr>
        <w:instrText xml:space="preserve"> PAGEREF _Toc351714109 \h </w:instrText>
      </w:r>
      <w:r>
        <w:rPr>
          <w:noProof/>
        </w:rPr>
      </w:r>
      <w:r>
        <w:rPr>
          <w:noProof/>
        </w:rPr>
        <w:fldChar w:fldCharType="separate"/>
      </w:r>
      <w:r w:rsidR="00EE627C">
        <w:rPr>
          <w:noProof/>
        </w:rPr>
        <w:t>8</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2.3.2</w:t>
      </w:r>
      <w:r>
        <w:rPr>
          <w:rFonts w:asciiTheme="minorHAnsi" w:eastAsiaTheme="minorEastAsia" w:hAnsiTheme="minorHAnsi" w:cstheme="minorBidi"/>
          <w:b w:val="0"/>
          <w:noProof/>
          <w:kern w:val="0"/>
          <w:szCs w:val="22"/>
        </w:rPr>
        <w:tab/>
      </w:r>
      <w:r>
        <w:rPr>
          <w:noProof/>
        </w:rPr>
        <w:t>Dermal absorption</w:t>
      </w:r>
      <w:r>
        <w:rPr>
          <w:noProof/>
        </w:rPr>
        <w:tab/>
      </w:r>
      <w:r>
        <w:rPr>
          <w:noProof/>
        </w:rPr>
        <w:fldChar w:fldCharType="begin"/>
      </w:r>
      <w:r>
        <w:rPr>
          <w:noProof/>
        </w:rPr>
        <w:instrText xml:space="preserve"> PAGEREF _Toc351714110 \h </w:instrText>
      </w:r>
      <w:r>
        <w:rPr>
          <w:noProof/>
        </w:rPr>
      </w:r>
      <w:r>
        <w:rPr>
          <w:noProof/>
        </w:rPr>
        <w:fldChar w:fldCharType="separate"/>
      </w:r>
      <w:r w:rsidR="00EE627C">
        <w:rPr>
          <w:noProof/>
        </w:rPr>
        <w:t>8</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2.3.3</w:t>
      </w:r>
      <w:r>
        <w:rPr>
          <w:rFonts w:asciiTheme="minorHAnsi" w:eastAsiaTheme="minorEastAsia" w:hAnsiTheme="minorHAnsi" w:cstheme="minorBidi"/>
          <w:b w:val="0"/>
          <w:noProof/>
          <w:kern w:val="0"/>
          <w:szCs w:val="22"/>
        </w:rPr>
        <w:tab/>
      </w:r>
      <w:r>
        <w:rPr>
          <w:noProof/>
        </w:rPr>
        <w:t>Inhalation of Dust</w:t>
      </w:r>
      <w:r>
        <w:rPr>
          <w:noProof/>
        </w:rPr>
        <w:tab/>
      </w:r>
      <w:r>
        <w:rPr>
          <w:noProof/>
        </w:rPr>
        <w:fldChar w:fldCharType="begin"/>
      </w:r>
      <w:r>
        <w:rPr>
          <w:noProof/>
        </w:rPr>
        <w:instrText xml:space="preserve"> PAGEREF _Toc351714111 \h </w:instrText>
      </w:r>
      <w:r>
        <w:rPr>
          <w:noProof/>
        </w:rPr>
      </w:r>
      <w:r>
        <w:rPr>
          <w:noProof/>
        </w:rPr>
        <w:fldChar w:fldCharType="separate"/>
      </w:r>
      <w:r w:rsidR="00EE627C">
        <w:rPr>
          <w:noProof/>
        </w:rPr>
        <w:t>8</w:t>
      </w:r>
      <w:r>
        <w:rPr>
          <w:noProof/>
        </w:rPr>
        <w:fldChar w:fldCharType="end"/>
      </w:r>
      <w:bookmarkStart w:id="0" w:name="_GoBack"/>
      <w:bookmarkEnd w:id="0"/>
    </w:p>
    <w:p w:rsidR="003915F9" w:rsidRDefault="003915F9" w:rsidP="003915F9">
      <w:pPr>
        <w:pStyle w:val="TOC3"/>
        <w:keepNext w:val="0"/>
        <w:rPr>
          <w:rFonts w:asciiTheme="minorHAnsi" w:eastAsiaTheme="minorEastAsia" w:hAnsiTheme="minorHAnsi" w:cstheme="minorBidi"/>
          <w:b w:val="0"/>
          <w:noProof/>
          <w:kern w:val="0"/>
          <w:szCs w:val="22"/>
        </w:rPr>
      </w:pPr>
      <w:r>
        <w:rPr>
          <w:noProof/>
        </w:rPr>
        <w:t>2.3.4</w:t>
      </w:r>
      <w:r>
        <w:rPr>
          <w:rFonts w:asciiTheme="minorHAnsi" w:eastAsiaTheme="minorEastAsia" w:hAnsiTheme="minorHAnsi" w:cstheme="minorBidi"/>
          <w:b w:val="0"/>
          <w:noProof/>
          <w:kern w:val="0"/>
          <w:szCs w:val="22"/>
        </w:rPr>
        <w:tab/>
      </w:r>
      <w:r>
        <w:rPr>
          <w:noProof/>
        </w:rPr>
        <w:t>Plant Uptake</w:t>
      </w:r>
      <w:r>
        <w:rPr>
          <w:noProof/>
        </w:rPr>
        <w:tab/>
      </w:r>
      <w:r>
        <w:rPr>
          <w:noProof/>
        </w:rPr>
        <w:fldChar w:fldCharType="begin"/>
      </w:r>
      <w:r>
        <w:rPr>
          <w:noProof/>
        </w:rPr>
        <w:instrText xml:space="preserve"> PAGEREF _Toc351714112 \h </w:instrText>
      </w:r>
      <w:r>
        <w:rPr>
          <w:noProof/>
        </w:rPr>
      </w:r>
      <w:r>
        <w:rPr>
          <w:noProof/>
        </w:rPr>
        <w:fldChar w:fldCharType="separate"/>
      </w:r>
      <w:r w:rsidR="00EE627C">
        <w:rPr>
          <w:noProof/>
        </w:rPr>
        <w:t>8</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2.3.5</w:t>
      </w:r>
      <w:r>
        <w:rPr>
          <w:rFonts w:asciiTheme="minorHAnsi" w:eastAsiaTheme="minorEastAsia" w:hAnsiTheme="minorHAnsi" w:cstheme="minorBidi"/>
          <w:b w:val="0"/>
          <w:noProof/>
          <w:kern w:val="0"/>
          <w:szCs w:val="22"/>
        </w:rPr>
        <w:tab/>
      </w:r>
      <w:r>
        <w:rPr>
          <w:noProof/>
        </w:rPr>
        <w:t>Intakes from Other Sources – Background</w:t>
      </w:r>
      <w:r>
        <w:rPr>
          <w:noProof/>
        </w:rPr>
        <w:tab/>
      </w:r>
      <w:r>
        <w:rPr>
          <w:noProof/>
        </w:rPr>
        <w:fldChar w:fldCharType="begin"/>
      </w:r>
      <w:r>
        <w:rPr>
          <w:noProof/>
        </w:rPr>
        <w:instrText xml:space="preserve"> PAGEREF _Toc351714113 \h </w:instrText>
      </w:r>
      <w:r>
        <w:rPr>
          <w:noProof/>
        </w:rPr>
      </w:r>
      <w:r>
        <w:rPr>
          <w:noProof/>
        </w:rPr>
        <w:fldChar w:fldCharType="separate"/>
      </w:r>
      <w:r w:rsidR="00EE627C">
        <w:rPr>
          <w:noProof/>
        </w:rPr>
        <w:t>8</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2.4</w:t>
      </w:r>
      <w:r>
        <w:rPr>
          <w:rFonts w:asciiTheme="minorHAnsi" w:eastAsiaTheme="minorEastAsia" w:hAnsiTheme="minorHAnsi" w:cstheme="minorBidi"/>
          <w:b w:val="0"/>
          <w:noProof/>
          <w:kern w:val="0"/>
          <w:sz w:val="22"/>
          <w:szCs w:val="22"/>
        </w:rPr>
        <w:tab/>
      </w:r>
      <w:r>
        <w:rPr>
          <w:noProof/>
        </w:rPr>
        <w:t>Identification of Toxicity Reference Values</w:t>
      </w:r>
      <w:r>
        <w:rPr>
          <w:noProof/>
        </w:rPr>
        <w:tab/>
      </w:r>
      <w:r>
        <w:rPr>
          <w:noProof/>
        </w:rPr>
        <w:fldChar w:fldCharType="begin"/>
      </w:r>
      <w:r>
        <w:rPr>
          <w:noProof/>
        </w:rPr>
        <w:instrText xml:space="preserve"> PAGEREF _Toc351714114 \h </w:instrText>
      </w:r>
      <w:r>
        <w:rPr>
          <w:noProof/>
        </w:rPr>
      </w:r>
      <w:r>
        <w:rPr>
          <w:noProof/>
        </w:rPr>
        <w:fldChar w:fldCharType="separate"/>
      </w:r>
      <w:r w:rsidR="00EE627C">
        <w:rPr>
          <w:noProof/>
        </w:rPr>
        <w:t>9</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2.4.1</w:t>
      </w:r>
      <w:r>
        <w:rPr>
          <w:rFonts w:asciiTheme="minorHAnsi" w:eastAsiaTheme="minorEastAsia" w:hAnsiTheme="minorHAnsi" w:cstheme="minorBidi"/>
          <w:b w:val="0"/>
          <w:noProof/>
          <w:kern w:val="0"/>
          <w:szCs w:val="22"/>
        </w:rPr>
        <w:tab/>
      </w:r>
      <w:r>
        <w:rPr>
          <w:noProof/>
        </w:rPr>
        <w:t>Classification</w:t>
      </w:r>
      <w:r>
        <w:rPr>
          <w:noProof/>
        </w:rPr>
        <w:tab/>
      </w:r>
      <w:r>
        <w:rPr>
          <w:noProof/>
        </w:rPr>
        <w:fldChar w:fldCharType="begin"/>
      </w:r>
      <w:r>
        <w:rPr>
          <w:noProof/>
        </w:rPr>
        <w:instrText xml:space="preserve"> PAGEREF _Toc351714115 \h </w:instrText>
      </w:r>
      <w:r>
        <w:rPr>
          <w:noProof/>
        </w:rPr>
      </w:r>
      <w:r>
        <w:rPr>
          <w:noProof/>
        </w:rPr>
        <w:fldChar w:fldCharType="separate"/>
      </w:r>
      <w:r w:rsidR="00EE627C">
        <w:rPr>
          <w:noProof/>
        </w:rPr>
        <w:t>9</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2.4.2</w:t>
      </w:r>
      <w:r>
        <w:rPr>
          <w:rFonts w:asciiTheme="minorHAnsi" w:eastAsiaTheme="minorEastAsia" w:hAnsiTheme="minorHAnsi" w:cstheme="minorBidi"/>
          <w:b w:val="0"/>
          <w:noProof/>
          <w:kern w:val="0"/>
          <w:szCs w:val="22"/>
        </w:rPr>
        <w:tab/>
      </w:r>
      <w:r>
        <w:rPr>
          <w:noProof/>
        </w:rPr>
        <w:t>Review of Available Values/Information</w:t>
      </w:r>
      <w:r>
        <w:rPr>
          <w:noProof/>
        </w:rPr>
        <w:tab/>
      </w:r>
      <w:r>
        <w:rPr>
          <w:noProof/>
        </w:rPr>
        <w:fldChar w:fldCharType="begin"/>
      </w:r>
      <w:r>
        <w:rPr>
          <w:noProof/>
        </w:rPr>
        <w:instrText xml:space="preserve"> PAGEREF _Toc351714116 \h </w:instrText>
      </w:r>
      <w:r>
        <w:rPr>
          <w:noProof/>
        </w:rPr>
      </w:r>
      <w:r>
        <w:rPr>
          <w:noProof/>
        </w:rPr>
        <w:fldChar w:fldCharType="separate"/>
      </w:r>
      <w:r w:rsidR="00EE627C">
        <w:rPr>
          <w:noProof/>
        </w:rPr>
        <w:t>9</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2.4.3</w:t>
      </w:r>
      <w:r>
        <w:rPr>
          <w:rFonts w:asciiTheme="minorHAnsi" w:eastAsiaTheme="minorEastAsia" w:hAnsiTheme="minorHAnsi" w:cstheme="minorBidi"/>
          <w:b w:val="0"/>
          <w:noProof/>
          <w:kern w:val="0"/>
          <w:szCs w:val="22"/>
        </w:rPr>
        <w:tab/>
      </w:r>
      <w:r>
        <w:rPr>
          <w:noProof/>
        </w:rPr>
        <w:t>Recommendation</w:t>
      </w:r>
      <w:r>
        <w:rPr>
          <w:noProof/>
        </w:rPr>
        <w:tab/>
      </w:r>
      <w:r>
        <w:rPr>
          <w:noProof/>
        </w:rPr>
        <w:fldChar w:fldCharType="begin"/>
      </w:r>
      <w:r>
        <w:rPr>
          <w:noProof/>
        </w:rPr>
        <w:instrText xml:space="preserve"> PAGEREF _Toc351714117 \h </w:instrText>
      </w:r>
      <w:r>
        <w:rPr>
          <w:noProof/>
        </w:rPr>
      </w:r>
      <w:r>
        <w:rPr>
          <w:noProof/>
        </w:rPr>
        <w:fldChar w:fldCharType="separate"/>
      </w:r>
      <w:r w:rsidR="00EE627C">
        <w:rPr>
          <w:noProof/>
        </w:rPr>
        <w:t>10</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2.5</w:t>
      </w:r>
      <w:r>
        <w:rPr>
          <w:rFonts w:asciiTheme="minorHAnsi" w:eastAsiaTheme="minorEastAsia" w:hAnsiTheme="minorHAnsi" w:cstheme="minorBidi"/>
          <w:b w:val="0"/>
          <w:noProof/>
          <w:kern w:val="0"/>
          <w:sz w:val="22"/>
          <w:szCs w:val="22"/>
        </w:rPr>
        <w:tab/>
      </w:r>
      <w:r>
        <w:rPr>
          <w:noProof/>
        </w:rPr>
        <w:t>Calculated HILs</w:t>
      </w:r>
      <w:r>
        <w:rPr>
          <w:noProof/>
        </w:rPr>
        <w:tab/>
      </w:r>
      <w:r>
        <w:rPr>
          <w:noProof/>
        </w:rPr>
        <w:fldChar w:fldCharType="begin"/>
      </w:r>
      <w:r>
        <w:rPr>
          <w:noProof/>
        </w:rPr>
        <w:instrText xml:space="preserve"> PAGEREF _Toc351714118 \h </w:instrText>
      </w:r>
      <w:r>
        <w:rPr>
          <w:noProof/>
        </w:rPr>
      </w:r>
      <w:r>
        <w:rPr>
          <w:noProof/>
        </w:rPr>
        <w:fldChar w:fldCharType="separate"/>
      </w:r>
      <w:r w:rsidR="00EE627C">
        <w:rPr>
          <w:noProof/>
        </w:rPr>
        <w:t>11</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2.6</w:t>
      </w:r>
      <w:r>
        <w:rPr>
          <w:rFonts w:asciiTheme="minorHAnsi" w:eastAsiaTheme="minorEastAsia" w:hAnsiTheme="minorHAnsi" w:cstheme="minorBidi"/>
          <w:b w:val="0"/>
          <w:noProof/>
          <w:kern w:val="0"/>
          <w:sz w:val="22"/>
          <w:szCs w:val="22"/>
        </w:rPr>
        <w:tab/>
      </w:r>
      <w:r>
        <w:rPr>
          <w:noProof/>
        </w:rPr>
        <w:t>References</w:t>
      </w:r>
      <w:r>
        <w:rPr>
          <w:noProof/>
        </w:rPr>
        <w:tab/>
      </w:r>
      <w:r>
        <w:rPr>
          <w:noProof/>
        </w:rPr>
        <w:fldChar w:fldCharType="begin"/>
      </w:r>
      <w:r>
        <w:rPr>
          <w:noProof/>
        </w:rPr>
        <w:instrText xml:space="preserve"> PAGEREF _Toc351714119 \h </w:instrText>
      </w:r>
      <w:r>
        <w:rPr>
          <w:noProof/>
        </w:rPr>
      </w:r>
      <w:r>
        <w:rPr>
          <w:noProof/>
        </w:rPr>
        <w:fldChar w:fldCharType="separate"/>
      </w:r>
      <w:r w:rsidR="00EE627C">
        <w:rPr>
          <w:noProof/>
        </w:rPr>
        <w:t>11</w:t>
      </w:r>
      <w:r>
        <w:rPr>
          <w:noProof/>
        </w:rPr>
        <w:fldChar w:fldCharType="end"/>
      </w:r>
    </w:p>
    <w:p w:rsidR="003915F9" w:rsidRDefault="003915F9" w:rsidP="003915F9">
      <w:pPr>
        <w:pStyle w:val="TOC1"/>
        <w:keepNext w:val="0"/>
        <w:rPr>
          <w:rFonts w:asciiTheme="minorHAnsi" w:eastAsiaTheme="minorEastAsia" w:hAnsiTheme="minorHAnsi" w:cstheme="minorBidi"/>
          <w:b w:val="0"/>
          <w:noProof/>
          <w:kern w:val="0"/>
          <w:sz w:val="22"/>
          <w:szCs w:val="22"/>
        </w:rPr>
      </w:pPr>
      <w:r>
        <w:rPr>
          <w:noProof/>
        </w:rPr>
        <w:t>3</w:t>
      </w:r>
      <w:r>
        <w:rPr>
          <w:rFonts w:asciiTheme="minorHAnsi" w:eastAsiaTheme="minorEastAsia" w:hAnsiTheme="minorHAnsi" w:cstheme="minorBidi"/>
          <w:b w:val="0"/>
          <w:noProof/>
          <w:kern w:val="0"/>
          <w:sz w:val="22"/>
          <w:szCs w:val="22"/>
        </w:rPr>
        <w:tab/>
      </w:r>
      <w:r>
        <w:rPr>
          <w:noProof/>
        </w:rPr>
        <w:t>Chlordane (total)</w:t>
      </w:r>
      <w:r>
        <w:rPr>
          <w:noProof/>
        </w:rPr>
        <w:tab/>
      </w:r>
      <w:r>
        <w:rPr>
          <w:noProof/>
        </w:rPr>
        <w:fldChar w:fldCharType="begin"/>
      </w:r>
      <w:r>
        <w:rPr>
          <w:noProof/>
        </w:rPr>
        <w:instrText xml:space="preserve"> PAGEREF _Toc351714120 \h </w:instrText>
      </w:r>
      <w:r>
        <w:rPr>
          <w:noProof/>
        </w:rPr>
      </w:r>
      <w:r>
        <w:rPr>
          <w:noProof/>
        </w:rPr>
        <w:fldChar w:fldCharType="separate"/>
      </w:r>
      <w:r w:rsidR="00EE627C">
        <w:rPr>
          <w:noProof/>
        </w:rPr>
        <w:t>13</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3.1</w:t>
      </w:r>
      <w:r>
        <w:rPr>
          <w:rFonts w:asciiTheme="minorHAnsi" w:eastAsiaTheme="minorEastAsia" w:hAnsiTheme="minorHAnsi" w:cstheme="minorBidi"/>
          <w:b w:val="0"/>
          <w:noProof/>
          <w:kern w:val="0"/>
          <w:sz w:val="22"/>
          <w:szCs w:val="22"/>
        </w:rPr>
        <w:tab/>
      </w:r>
      <w:r>
        <w:rPr>
          <w:noProof/>
        </w:rPr>
        <w:t>General</w:t>
      </w:r>
      <w:r>
        <w:rPr>
          <w:noProof/>
        </w:rPr>
        <w:tab/>
      </w:r>
      <w:r>
        <w:rPr>
          <w:noProof/>
        </w:rPr>
        <w:fldChar w:fldCharType="begin"/>
      </w:r>
      <w:r>
        <w:rPr>
          <w:noProof/>
        </w:rPr>
        <w:instrText xml:space="preserve"> PAGEREF _Toc351714121 \h </w:instrText>
      </w:r>
      <w:r>
        <w:rPr>
          <w:noProof/>
        </w:rPr>
      </w:r>
      <w:r>
        <w:rPr>
          <w:noProof/>
        </w:rPr>
        <w:fldChar w:fldCharType="separate"/>
      </w:r>
      <w:r w:rsidR="00EE627C">
        <w:rPr>
          <w:noProof/>
        </w:rPr>
        <w:t>13</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lastRenderedPageBreak/>
        <w:t>3.2</w:t>
      </w:r>
      <w:r>
        <w:rPr>
          <w:rFonts w:asciiTheme="minorHAnsi" w:eastAsiaTheme="minorEastAsia" w:hAnsiTheme="minorHAnsi" w:cstheme="minorBidi"/>
          <w:b w:val="0"/>
          <w:noProof/>
          <w:kern w:val="0"/>
          <w:sz w:val="22"/>
          <w:szCs w:val="22"/>
        </w:rPr>
        <w:tab/>
      </w:r>
      <w:r>
        <w:rPr>
          <w:noProof/>
        </w:rPr>
        <w:t>Previous HIL</w:t>
      </w:r>
      <w:r>
        <w:rPr>
          <w:noProof/>
        </w:rPr>
        <w:tab/>
      </w:r>
      <w:r>
        <w:rPr>
          <w:noProof/>
        </w:rPr>
        <w:fldChar w:fldCharType="begin"/>
      </w:r>
      <w:r>
        <w:rPr>
          <w:noProof/>
        </w:rPr>
        <w:instrText xml:space="preserve"> PAGEREF _Toc351714122 \h </w:instrText>
      </w:r>
      <w:r>
        <w:rPr>
          <w:noProof/>
        </w:rPr>
      </w:r>
      <w:r>
        <w:rPr>
          <w:noProof/>
        </w:rPr>
        <w:fldChar w:fldCharType="separate"/>
      </w:r>
      <w:r w:rsidR="00EE627C">
        <w:rPr>
          <w:noProof/>
        </w:rPr>
        <w:t>13</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3.3</w:t>
      </w:r>
      <w:r>
        <w:rPr>
          <w:rFonts w:asciiTheme="minorHAnsi" w:eastAsiaTheme="minorEastAsia" w:hAnsiTheme="minorHAnsi" w:cstheme="minorBidi"/>
          <w:b w:val="0"/>
          <w:noProof/>
          <w:kern w:val="0"/>
          <w:sz w:val="22"/>
          <w:szCs w:val="22"/>
        </w:rPr>
        <w:tab/>
      </w:r>
      <w:r>
        <w:rPr>
          <w:noProof/>
        </w:rPr>
        <w:t>Significance of Exposure Pathways</w:t>
      </w:r>
      <w:r>
        <w:rPr>
          <w:noProof/>
        </w:rPr>
        <w:tab/>
      </w:r>
      <w:r>
        <w:rPr>
          <w:noProof/>
        </w:rPr>
        <w:fldChar w:fldCharType="begin"/>
      </w:r>
      <w:r>
        <w:rPr>
          <w:noProof/>
        </w:rPr>
        <w:instrText xml:space="preserve"> PAGEREF _Toc351714123 \h </w:instrText>
      </w:r>
      <w:r>
        <w:rPr>
          <w:noProof/>
        </w:rPr>
      </w:r>
      <w:r>
        <w:rPr>
          <w:noProof/>
        </w:rPr>
        <w:fldChar w:fldCharType="separate"/>
      </w:r>
      <w:r w:rsidR="00EE627C">
        <w:rPr>
          <w:noProof/>
        </w:rPr>
        <w:t>13</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3.3.1</w:t>
      </w:r>
      <w:r>
        <w:rPr>
          <w:rFonts w:asciiTheme="minorHAnsi" w:eastAsiaTheme="minorEastAsia" w:hAnsiTheme="minorHAnsi" w:cstheme="minorBidi"/>
          <w:b w:val="0"/>
          <w:noProof/>
          <w:kern w:val="0"/>
          <w:szCs w:val="22"/>
        </w:rPr>
        <w:tab/>
      </w:r>
      <w:r>
        <w:rPr>
          <w:noProof/>
        </w:rPr>
        <w:t>Oral Bioavailability</w:t>
      </w:r>
      <w:r>
        <w:rPr>
          <w:noProof/>
        </w:rPr>
        <w:tab/>
      </w:r>
      <w:r>
        <w:rPr>
          <w:noProof/>
        </w:rPr>
        <w:fldChar w:fldCharType="begin"/>
      </w:r>
      <w:r>
        <w:rPr>
          <w:noProof/>
        </w:rPr>
        <w:instrText xml:space="preserve"> PAGEREF _Toc351714124 \h </w:instrText>
      </w:r>
      <w:r>
        <w:rPr>
          <w:noProof/>
        </w:rPr>
      </w:r>
      <w:r>
        <w:rPr>
          <w:noProof/>
        </w:rPr>
        <w:fldChar w:fldCharType="separate"/>
      </w:r>
      <w:r w:rsidR="00EE627C">
        <w:rPr>
          <w:noProof/>
        </w:rPr>
        <w:t>13</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3.3.2</w:t>
      </w:r>
      <w:r>
        <w:rPr>
          <w:rFonts w:asciiTheme="minorHAnsi" w:eastAsiaTheme="minorEastAsia" w:hAnsiTheme="minorHAnsi" w:cstheme="minorBidi"/>
          <w:b w:val="0"/>
          <w:noProof/>
          <w:kern w:val="0"/>
          <w:szCs w:val="22"/>
        </w:rPr>
        <w:tab/>
      </w:r>
      <w:r>
        <w:rPr>
          <w:noProof/>
        </w:rPr>
        <w:t>Dermal absorption</w:t>
      </w:r>
      <w:r>
        <w:rPr>
          <w:noProof/>
        </w:rPr>
        <w:tab/>
      </w:r>
      <w:r>
        <w:rPr>
          <w:noProof/>
        </w:rPr>
        <w:fldChar w:fldCharType="begin"/>
      </w:r>
      <w:r>
        <w:rPr>
          <w:noProof/>
        </w:rPr>
        <w:instrText xml:space="preserve"> PAGEREF _Toc351714125 \h </w:instrText>
      </w:r>
      <w:r>
        <w:rPr>
          <w:noProof/>
        </w:rPr>
      </w:r>
      <w:r>
        <w:rPr>
          <w:noProof/>
        </w:rPr>
        <w:fldChar w:fldCharType="separate"/>
      </w:r>
      <w:r w:rsidR="00EE627C">
        <w:rPr>
          <w:noProof/>
        </w:rPr>
        <w:t>13</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3.3.3</w:t>
      </w:r>
      <w:r>
        <w:rPr>
          <w:rFonts w:asciiTheme="minorHAnsi" w:eastAsiaTheme="minorEastAsia" w:hAnsiTheme="minorHAnsi" w:cstheme="minorBidi"/>
          <w:b w:val="0"/>
          <w:noProof/>
          <w:kern w:val="0"/>
          <w:szCs w:val="22"/>
        </w:rPr>
        <w:tab/>
      </w:r>
      <w:r>
        <w:rPr>
          <w:noProof/>
        </w:rPr>
        <w:t>Inhalation of Dust</w:t>
      </w:r>
      <w:r>
        <w:rPr>
          <w:noProof/>
        </w:rPr>
        <w:tab/>
      </w:r>
      <w:r>
        <w:rPr>
          <w:noProof/>
        </w:rPr>
        <w:fldChar w:fldCharType="begin"/>
      </w:r>
      <w:r>
        <w:rPr>
          <w:noProof/>
        </w:rPr>
        <w:instrText xml:space="preserve"> PAGEREF _Toc351714126 \h </w:instrText>
      </w:r>
      <w:r>
        <w:rPr>
          <w:noProof/>
        </w:rPr>
      </w:r>
      <w:r>
        <w:rPr>
          <w:noProof/>
        </w:rPr>
        <w:fldChar w:fldCharType="separate"/>
      </w:r>
      <w:r w:rsidR="00EE627C">
        <w:rPr>
          <w:noProof/>
        </w:rPr>
        <w:t>13</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3.3.4</w:t>
      </w:r>
      <w:r>
        <w:rPr>
          <w:rFonts w:asciiTheme="minorHAnsi" w:eastAsiaTheme="minorEastAsia" w:hAnsiTheme="minorHAnsi" w:cstheme="minorBidi"/>
          <w:b w:val="0"/>
          <w:noProof/>
          <w:kern w:val="0"/>
          <w:szCs w:val="22"/>
        </w:rPr>
        <w:tab/>
      </w:r>
      <w:r>
        <w:rPr>
          <w:noProof/>
        </w:rPr>
        <w:t>Plant Uptake</w:t>
      </w:r>
      <w:r>
        <w:rPr>
          <w:noProof/>
        </w:rPr>
        <w:tab/>
      </w:r>
      <w:r>
        <w:rPr>
          <w:noProof/>
        </w:rPr>
        <w:fldChar w:fldCharType="begin"/>
      </w:r>
      <w:r>
        <w:rPr>
          <w:noProof/>
        </w:rPr>
        <w:instrText xml:space="preserve"> PAGEREF _Toc351714127 \h </w:instrText>
      </w:r>
      <w:r>
        <w:rPr>
          <w:noProof/>
        </w:rPr>
      </w:r>
      <w:r>
        <w:rPr>
          <w:noProof/>
        </w:rPr>
        <w:fldChar w:fldCharType="separate"/>
      </w:r>
      <w:r w:rsidR="00EE627C">
        <w:rPr>
          <w:noProof/>
        </w:rPr>
        <w:t>14</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3.3.5</w:t>
      </w:r>
      <w:r>
        <w:rPr>
          <w:rFonts w:asciiTheme="minorHAnsi" w:eastAsiaTheme="minorEastAsia" w:hAnsiTheme="minorHAnsi" w:cstheme="minorBidi"/>
          <w:b w:val="0"/>
          <w:noProof/>
          <w:kern w:val="0"/>
          <w:szCs w:val="22"/>
        </w:rPr>
        <w:tab/>
      </w:r>
      <w:r>
        <w:rPr>
          <w:noProof/>
        </w:rPr>
        <w:t>Intakes from Other Sources – Background</w:t>
      </w:r>
      <w:r>
        <w:rPr>
          <w:noProof/>
        </w:rPr>
        <w:tab/>
      </w:r>
      <w:r>
        <w:rPr>
          <w:noProof/>
        </w:rPr>
        <w:fldChar w:fldCharType="begin"/>
      </w:r>
      <w:r>
        <w:rPr>
          <w:noProof/>
        </w:rPr>
        <w:instrText xml:space="preserve"> PAGEREF _Toc351714128 \h </w:instrText>
      </w:r>
      <w:r>
        <w:rPr>
          <w:noProof/>
        </w:rPr>
      </w:r>
      <w:r>
        <w:rPr>
          <w:noProof/>
        </w:rPr>
        <w:fldChar w:fldCharType="separate"/>
      </w:r>
      <w:r w:rsidR="00EE627C">
        <w:rPr>
          <w:noProof/>
        </w:rPr>
        <w:t>14</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3.4</w:t>
      </w:r>
      <w:r>
        <w:rPr>
          <w:rFonts w:asciiTheme="minorHAnsi" w:eastAsiaTheme="minorEastAsia" w:hAnsiTheme="minorHAnsi" w:cstheme="minorBidi"/>
          <w:b w:val="0"/>
          <w:noProof/>
          <w:kern w:val="0"/>
          <w:sz w:val="22"/>
          <w:szCs w:val="22"/>
        </w:rPr>
        <w:tab/>
      </w:r>
      <w:r>
        <w:rPr>
          <w:noProof/>
        </w:rPr>
        <w:t>Identification of Toxicity Reference Values</w:t>
      </w:r>
      <w:r>
        <w:rPr>
          <w:noProof/>
        </w:rPr>
        <w:tab/>
      </w:r>
      <w:r>
        <w:rPr>
          <w:noProof/>
        </w:rPr>
        <w:fldChar w:fldCharType="begin"/>
      </w:r>
      <w:r>
        <w:rPr>
          <w:noProof/>
        </w:rPr>
        <w:instrText xml:space="preserve"> PAGEREF _Toc351714129 \h </w:instrText>
      </w:r>
      <w:r>
        <w:rPr>
          <w:noProof/>
        </w:rPr>
      </w:r>
      <w:r>
        <w:rPr>
          <w:noProof/>
        </w:rPr>
        <w:fldChar w:fldCharType="separate"/>
      </w:r>
      <w:r w:rsidR="00EE627C">
        <w:rPr>
          <w:noProof/>
        </w:rPr>
        <w:t>14</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3.4.1</w:t>
      </w:r>
      <w:r>
        <w:rPr>
          <w:rFonts w:asciiTheme="minorHAnsi" w:eastAsiaTheme="minorEastAsia" w:hAnsiTheme="minorHAnsi" w:cstheme="minorBidi"/>
          <w:b w:val="0"/>
          <w:noProof/>
          <w:kern w:val="0"/>
          <w:szCs w:val="22"/>
        </w:rPr>
        <w:tab/>
      </w:r>
      <w:r>
        <w:rPr>
          <w:noProof/>
        </w:rPr>
        <w:t>Classification</w:t>
      </w:r>
      <w:r>
        <w:rPr>
          <w:noProof/>
        </w:rPr>
        <w:tab/>
      </w:r>
      <w:r>
        <w:rPr>
          <w:noProof/>
        </w:rPr>
        <w:fldChar w:fldCharType="begin"/>
      </w:r>
      <w:r>
        <w:rPr>
          <w:noProof/>
        </w:rPr>
        <w:instrText xml:space="preserve"> PAGEREF _Toc351714130 \h </w:instrText>
      </w:r>
      <w:r>
        <w:rPr>
          <w:noProof/>
        </w:rPr>
      </w:r>
      <w:r>
        <w:rPr>
          <w:noProof/>
        </w:rPr>
        <w:fldChar w:fldCharType="separate"/>
      </w:r>
      <w:r w:rsidR="00EE627C">
        <w:rPr>
          <w:noProof/>
        </w:rPr>
        <w:t>14</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3.4.2</w:t>
      </w:r>
      <w:r>
        <w:rPr>
          <w:rFonts w:asciiTheme="minorHAnsi" w:eastAsiaTheme="minorEastAsia" w:hAnsiTheme="minorHAnsi" w:cstheme="minorBidi"/>
          <w:b w:val="0"/>
          <w:noProof/>
          <w:kern w:val="0"/>
          <w:szCs w:val="22"/>
        </w:rPr>
        <w:tab/>
      </w:r>
      <w:r>
        <w:rPr>
          <w:noProof/>
        </w:rPr>
        <w:t>Review of Available Values/Information</w:t>
      </w:r>
      <w:r>
        <w:rPr>
          <w:noProof/>
        </w:rPr>
        <w:tab/>
      </w:r>
      <w:r>
        <w:rPr>
          <w:noProof/>
        </w:rPr>
        <w:fldChar w:fldCharType="begin"/>
      </w:r>
      <w:r>
        <w:rPr>
          <w:noProof/>
        </w:rPr>
        <w:instrText xml:space="preserve"> PAGEREF _Toc351714131 \h </w:instrText>
      </w:r>
      <w:r>
        <w:rPr>
          <w:noProof/>
        </w:rPr>
      </w:r>
      <w:r>
        <w:rPr>
          <w:noProof/>
        </w:rPr>
        <w:fldChar w:fldCharType="separate"/>
      </w:r>
      <w:r w:rsidR="00EE627C">
        <w:rPr>
          <w:noProof/>
        </w:rPr>
        <w:t>14</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3.4.3</w:t>
      </w:r>
      <w:r>
        <w:rPr>
          <w:rFonts w:asciiTheme="minorHAnsi" w:eastAsiaTheme="minorEastAsia" w:hAnsiTheme="minorHAnsi" w:cstheme="minorBidi"/>
          <w:b w:val="0"/>
          <w:noProof/>
          <w:kern w:val="0"/>
          <w:szCs w:val="22"/>
        </w:rPr>
        <w:tab/>
      </w:r>
      <w:r>
        <w:rPr>
          <w:noProof/>
        </w:rPr>
        <w:t>Recommendation</w:t>
      </w:r>
      <w:r>
        <w:rPr>
          <w:noProof/>
        </w:rPr>
        <w:tab/>
      </w:r>
      <w:r>
        <w:rPr>
          <w:noProof/>
        </w:rPr>
        <w:fldChar w:fldCharType="begin"/>
      </w:r>
      <w:r>
        <w:rPr>
          <w:noProof/>
        </w:rPr>
        <w:instrText xml:space="preserve"> PAGEREF _Toc351714132 \h </w:instrText>
      </w:r>
      <w:r>
        <w:rPr>
          <w:noProof/>
        </w:rPr>
      </w:r>
      <w:r>
        <w:rPr>
          <w:noProof/>
        </w:rPr>
        <w:fldChar w:fldCharType="separate"/>
      </w:r>
      <w:r w:rsidR="00EE627C">
        <w:rPr>
          <w:noProof/>
        </w:rPr>
        <w:t>15</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3.5</w:t>
      </w:r>
      <w:r>
        <w:rPr>
          <w:rFonts w:asciiTheme="minorHAnsi" w:eastAsiaTheme="minorEastAsia" w:hAnsiTheme="minorHAnsi" w:cstheme="minorBidi"/>
          <w:b w:val="0"/>
          <w:noProof/>
          <w:kern w:val="0"/>
          <w:sz w:val="22"/>
          <w:szCs w:val="22"/>
        </w:rPr>
        <w:tab/>
      </w:r>
      <w:r>
        <w:rPr>
          <w:noProof/>
        </w:rPr>
        <w:t>Calculated HILs</w:t>
      </w:r>
      <w:r>
        <w:rPr>
          <w:noProof/>
        </w:rPr>
        <w:tab/>
      </w:r>
      <w:r>
        <w:rPr>
          <w:noProof/>
        </w:rPr>
        <w:fldChar w:fldCharType="begin"/>
      </w:r>
      <w:r>
        <w:rPr>
          <w:noProof/>
        </w:rPr>
        <w:instrText xml:space="preserve"> PAGEREF _Toc351714133 \h </w:instrText>
      </w:r>
      <w:r>
        <w:rPr>
          <w:noProof/>
        </w:rPr>
      </w:r>
      <w:r>
        <w:rPr>
          <w:noProof/>
        </w:rPr>
        <w:fldChar w:fldCharType="separate"/>
      </w:r>
      <w:r w:rsidR="00EE627C">
        <w:rPr>
          <w:noProof/>
        </w:rPr>
        <w:t>16</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3.6</w:t>
      </w:r>
      <w:r>
        <w:rPr>
          <w:rFonts w:asciiTheme="minorHAnsi" w:eastAsiaTheme="minorEastAsia" w:hAnsiTheme="minorHAnsi" w:cstheme="minorBidi"/>
          <w:b w:val="0"/>
          <w:noProof/>
          <w:kern w:val="0"/>
          <w:sz w:val="22"/>
          <w:szCs w:val="22"/>
        </w:rPr>
        <w:tab/>
      </w:r>
      <w:r>
        <w:rPr>
          <w:noProof/>
        </w:rPr>
        <w:t>References</w:t>
      </w:r>
      <w:r>
        <w:rPr>
          <w:noProof/>
        </w:rPr>
        <w:tab/>
      </w:r>
      <w:r>
        <w:rPr>
          <w:noProof/>
        </w:rPr>
        <w:fldChar w:fldCharType="begin"/>
      </w:r>
      <w:r>
        <w:rPr>
          <w:noProof/>
        </w:rPr>
        <w:instrText xml:space="preserve"> PAGEREF _Toc351714134 \h </w:instrText>
      </w:r>
      <w:r>
        <w:rPr>
          <w:noProof/>
        </w:rPr>
      </w:r>
      <w:r>
        <w:rPr>
          <w:noProof/>
        </w:rPr>
        <w:fldChar w:fldCharType="separate"/>
      </w:r>
      <w:r w:rsidR="00EE627C">
        <w:rPr>
          <w:noProof/>
        </w:rPr>
        <w:t>16</w:t>
      </w:r>
      <w:r>
        <w:rPr>
          <w:noProof/>
        </w:rPr>
        <w:fldChar w:fldCharType="end"/>
      </w:r>
    </w:p>
    <w:p w:rsidR="003915F9" w:rsidRDefault="003915F9" w:rsidP="003915F9">
      <w:pPr>
        <w:pStyle w:val="TOC1"/>
        <w:keepNext w:val="0"/>
        <w:rPr>
          <w:rFonts w:asciiTheme="minorHAnsi" w:eastAsiaTheme="minorEastAsia" w:hAnsiTheme="minorHAnsi" w:cstheme="minorBidi"/>
          <w:b w:val="0"/>
          <w:noProof/>
          <w:kern w:val="0"/>
          <w:sz w:val="22"/>
          <w:szCs w:val="22"/>
        </w:rPr>
      </w:pPr>
      <w:r>
        <w:rPr>
          <w:noProof/>
        </w:rPr>
        <w:t>4</w:t>
      </w:r>
      <w:r>
        <w:rPr>
          <w:rFonts w:asciiTheme="minorHAnsi" w:eastAsiaTheme="minorEastAsia" w:hAnsiTheme="minorHAnsi" w:cstheme="minorBidi"/>
          <w:b w:val="0"/>
          <w:noProof/>
          <w:kern w:val="0"/>
          <w:sz w:val="22"/>
          <w:szCs w:val="22"/>
        </w:rPr>
        <w:tab/>
      </w:r>
      <w:r>
        <w:rPr>
          <w:noProof/>
        </w:rPr>
        <w:t>Endosulfan (total)</w:t>
      </w:r>
      <w:r>
        <w:rPr>
          <w:noProof/>
        </w:rPr>
        <w:tab/>
      </w:r>
      <w:r>
        <w:rPr>
          <w:noProof/>
        </w:rPr>
        <w:fldChar w:fldCharType="begin"/>
      </w:r>
      <w:r>
        <w:rPr>
          <w:noProof/>
        </w:rPr>
        <w:instrText xml:space="preserve"> PAGEREF _Toc351714135 \h </w:instrText>
      </w:r>
      <w:r>
        <w:rPr>
          <w:noProof/>
        </w:rPr>
      </w:r>
      <w:r>
        <w:rPr>
          <w:noProof/>
        </w:rPr>
        <w:fldChar w:fldCharType="separate"/>
      </w:r>
      <w:r w:rsidR="00EE627C">
        <w:rPr>
          <w:noProof/>
        </w:rPr>
        <w:t>18</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4.1</w:t>
      </w:r>
      <w:r>
        <w:rPr>
          <w:rFonts w:asciiTheme="minorHAnsi" w:eastAsiaTheme="minorEastAsia" w:hAnsiTheme="minorHAnsi" w:cstheme="minorBidi"/>
          <w:b w:val="0"/>
          <w:noProof/>
          <w:kern w:val="0"/>
          <w:sz w:val="22"/>
          <w:szCs w:val="22"/>
        </w:rPr>
        <w:tab/>
      </w:r>
      <w:r>
        <w:rPr>
          <w:noProof/>
        </w:rPr>
        <w:t>General</w:t>
      </w:r>
      <w:r>
        <w:rPr>
          <w:noProof/>
        </w:rPr>
        <w:tab/>
      </w:r>
      <w:r>
        <w:rPr>
          <w:noProof/>
        </w:rPr>
        <w:fldChar w:fldCharType="begin"/>
      </w:r>
      <w:r>
        <w:rPr>
          <w:noProof/>
        </w:rPr>
        <w:instrText xml:space="preserve"> PAGEREF _Toc351714136 \h </w:instrText>
      </w:r>
      <w:r>
        <w:rPr>
          <w:noProof/>
        </w:rPr>
      </w:r>
      <w:r>
        <w:rPr>
          <w:noProof/>
        </w:rPr>
        <w:fldChar w:fldCharType="separate"/>
      </w:r>
      <w:r w:rsidR="00EE627C">
        <w:rPr>
          <w:noProof/>
        </w:rPr>
        <w:t>18</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4.2</w:t>
      </w:r>
      <w:r>
        <w:rPr>
          <w:rFonts w:asciiTheme="minorHAnsi" w:eastAsiaTheme="minorEastAsia" w:hAnsiTheme="minorHAnsi" w:cstheme="minorBidi"/>
          <w:b w:val="0"/>
          <w:noProof/>
          <w:kern w:val="0"/>
          <w:sz w:val="22"/>
          <w:szCs w:val="22"/>
        </w:rPr>
        <w:tab/>
      </w:r>
      <w:r>
        <w:rPr>
          <w:noProof/>
        </w:rPr>
        <w:t>Previous HIL</w:t>
      </w:r>
      <w:r>
        <w:rPr>
          <w:noProof/>
        </w:rPr>
        <w:tab/>
      </w:r>
      <w:r>
        <w:rPr>
          <w:noProof/>
        </w:rPr>
        <w:fldChar w:fldCharType="begin"/>
      </w:r>
      <w:r>
        <w:rPr>
          <w:noProof/>
        </w:rPr>
        <w:instrText xml:space="preserve"> PAGEREF _Toc351714137 \h </w:instrText>
      </w:r>
      <w:r>
        <w:rPr>
          <w:noProof/>
        </w:rPr>
      </w:r>
      <w:r>
        <w:rPr>
          <w:noProof/>
        </w:rPr>
        <w:fldChar w:fldCharType="separate"/>
      </w:r>
      <w:r w:rsidR="00EE627C">
        <w:rPr>
          <w:noProof/>
        </w:rPr>
        <w:t>18</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4.3</w:t>
      </w:r>
      <w:r>
        <w:rPr>
          <w:rFonts w:asciiTheme="minorHAnsi" w:eastAsiaTheme="minorEastAsia" w:hAnsiTheme="minorHAnsi" w:cstheme="minorBidi"/>
          <w:b w:val="0"/>
          <w:noProof/>
          <w:kern w:val="0"/>
          <w:sz w:val="22"/>
          <w:szCs w:val="22"/>
        </w:rPr>
        <w:tab/>
      </w:r>
      <w:r>
        <w:rPr>
          <w:noProof/>
        </w:rPr>
        <w:t>Significance of Exposure Pathways</w:t>
      </w:r>
      <w:r>
        <w:rPr>
          <w:noProof/>
        </w:rPr>
        <w:tab/>
      </w:r>
      <w:r>
        <w:rPr>
          <w:noProof/>
        </w:rPr>
        <w:fldChar w:fldCharType="begin"/>
      </w:r>
      <w:r>
        <w:rPr>
          <w:noProof/>
        </w:rPr>
        <w:instrText xml:space="preserve"> PAGEREF _Toc351714138 \h </w:instrText>
      </w:r>
      <w:r>
        <w:rPr>
          <w:noProof/>
        </w:rPr>
      </w:r>
      <w:r>
        <w:rPr>
          <w:noProof/>
        </w:rPr>
        <w:fldChar w:fldCharType="separate"/>
      </w:r>
      <w:r w:rsidR="00EE627C">
        <w:rPr>
          <w:noProof/>
        </w:rPr>
        <w:t>18</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4.3.1</w:t>
      </w:r>
      <w:r>
        <w:rPr>
          <w:rFonts w:asciiTheme="minorHAnsi" w:eastAsiaTheme="minorEastAsia" w:hAnsiTheme="minorHAnsi" w:cstheme="minorBidi"/>
          <w:b w:val="0"/>
          <w:noProof/>
          <w:kern w:val="0"/>
          <w:szCs w:val="22"/>
        </w:rPr>
        <w:tab/>
      </w:r>
      <w:r>
        <w:rPr>
          <w:noProof/>
        </w:rPr>
        <w:t>Oral Bioavailability</w:t>
      </w:r>
      <w:r>
        <w:rPr>
          <w:noProof/>
        </w:rPr>
        <w:tab/>
      </w:r>
      <w:r>
        <w:rPr>
          <w:noProof/>
        </w:rPr>
        <w:fldChar w:fldCharType="begin"/>
      </w:r>
      <w:r>
        <w:rPr>
          <w:noProof/>
        </w:rPr>
        <w:instrText xml:space="preserve"> PAGEREF _Toc351714139 \h </w:instrText>
      </w:r>
      <w:r>
        <w:rPr>
          <w:noProof/>
        </w:rPr>
      </w:r>
      <w:r>
        <w:rPr>
          <w:noProof/>
        </w:rPr>
        <w:fldChar w:fldCharType="separate"/>
      </w:r>
      <w:r w:rsidR="00EE627C">
        <w:rPr>
          <w:noProof/>
        </w:rPr>
        <w:t>18</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4.3.2</w:t>
      </w:r>
      <w:r>
        <w:rPr>
          <w:rFonts w:asciiTheme="minorHAnsi" w:eastAsiaTheme="minorEastAsia" w:hAnsiTheme="minorHAnsi" w:cstheme="minorBidi"/>
          <w:b w:val="0"/>
          <w:noProof/>
          <w:kern w:val="0"/>
          <w:szCs w:val="22"/>
        </w:rPr>
        <w:tab/>
      </w:r>
      <w:r>
        <w:rPr>
          <w:noProof/>
        </w:rPr>
        <w:t>Dermal absorption</w:t>
      </w:r>
      <w:r>
        <w:rPr>
          <w:noProof/>
        </w:rPr>
        <w:tab/>
      </w:r>
      <w:r>
        <w:rPr>
          <w:noProof/>
        </w:rPr>
        <w:fldChar w:fldCharType="begin"/>
      </w:r>
      <w:r>
        <w:rPr>
          <w:noProof/>
        </w:rPr>
        <w:instrText xml:space="preserve"> PAGEREF _Toc351714140 \h </w:instrText>
      </w:r>
      <w:r>
        <w:rPr>
          <w:noProof/>
        </w:rPr>
      </w:r>
      <w:r>
        <w:rPr>
          <w:noProof/>
        </w:rPr>
        <w:fldChar w:fldCharType="separate"/>
      </w:r>
      <w:r w:rsidR="00EE627C">
        <w:rPr>
          <w:noProof/>
        </w:rPr>
        <w:t>18</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4.3.3</w:t>
      </w:r>
      <w:r>
        <w:rPr>
          <w:rFonts w:asciiTheme="minorHAnsi" w:eastAsiaTheme="minorEastAsia" w:hAnsiTheme="minorHAnsi" w:cstheme="minorBidi"/>
          <w:b w:val="0"/>
          <w:noProof/>
          <w:kern w:val="0"/>
          <w:szCs w:val="22"/>
        </w:rPr>
        <w:tab/>
      </w:r>
      <w:r>
        <w:rPr>
          <w:noProof/>
        </w:rPr>
        <w:t>Inhalation of Dust</w:t>
      </w:r>
      <w:r>
        <w:rPr>
          <w:noProof/>
        </w:rPr>
        <w:tab/>
      </w:r>
      <w:r>
        <w:rPr>
          <w:noProof/>
        </w:rPr>
        <w:fldChar w:fldCharType="begin"/>
      </w:r>
      <w:r>
        <w:rPr>
          <w:noProof/>
        </w:rPr>
        <w:instrText xml:space="preserve"> PAGEREF _Toc351714141 \h </w:instrText>
      </w:r>
      <w:r>
        <w:rPr>
          <w:noProof/>
        </w:rPr>
      </w:r>
      <w:r>
        <w:rPr>
          <w:noProof/>
        </w:rPr>
        <w:fldChar w:fldCharType="separate"/>
      </w:r>
      <w:r w:rsidR="00EE627C">
        <w:rPr>
          <w:noProof/>
        </w:rPr>
        <w:t>19</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4.3.4</w:t>
      </w:r>
      <w:r>
        <w:rPr>
          <w:rFonts w:asciiTheme="minorHAnsi" w:eastAsiaTheme="minorEastAsia" w:hAnsiTheme="minorHAnsi" w:cstheme="minorBidi"/>
          <w:b w:val="0"/>
          <w:noProof/>
          <w:kern w:val="0"/>
          <w:szCs w:val="22"/>
        </w:rPr>
        <w:tab/>
      </w:r>
      <w:r>
        <w:rPr>
          <w:noProof/>
        </w:rPr>
        <w:t>Plant Uptake</w:t>
      </w:r>
      <w:r>
        <w:rPr>
          <w:noProof/>
        </w:rPr>
        <w:tab/>
      </w:r>
      <w:r>
        <w:rPr>
          <w:noProof/>
        </w:rPr>
        <w:fldChar w:fldCharType="begin"/>
      </w:r>
      <w:r>
        <w:rPr>
          <w:noProof/>
        </w:rPr>
        <w:instrText xml:space="preserve"> PAGEREF _Toc351714142 \h </w:instrText>
      </w:r>
      <w:r>
        <w:rPr>
          <w:noProof/>
        </w:rPr>
      </w:r>
      <w:r>
        <w:rPr>
          <w:noProof/>
        </w:rPr>
        <w:fldChar w:fldCharType="separate"/>
      </w:r>
      <w:r w:rsidR="00EE627C">
        <w:rPr>
          <w:noProof/>
        </w:rPr>
        <w:t>19</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4.3.5</w:t>
      </w:r>
      <w:r>
        <w:rPr>
          <w:rFonts w:asciiTheme="minorHAnsi" w:eastAsiaTheme="minorEastAsia" w:hAnsiTheme="minorHAnsi" w:cstheme="minorBidi"/>
          <w:b w:val="0"/>
          <w:noProof/>
          <w:kern w:val="0"/>
          <w:szCs w:val="22"/>
        </w:rPr>
        <w:tab/>
      </w:r>
      <w:r>
        <w:rPr>
          <w:noProof/>
        </w:rPr>
        <w:t>Intakes from Other Sources – Background</w:t>
      </w:r>
      <w:r>
        <w:rPr>
          <w:noProof/>
        </w:rPr>
        <w:tab/>
      </w:r>
      <w:r>
        <w:rPr>
          <w:noProof/>
        </w:rPr>
        <w:fldChar w:fldCharType="begin"/>
      </w:r>
      <w:r>
        <w:rPr>
          <w:noProof/>
        </w:rPr>
        <w:instrText xml:space="preserve"> PAGEREF _Toc351714143 \h </w:instrText>
      </w:r>
      <w:r>
        <w:rPr>
          <w:noProof/>
        </w:rPr>
      </w:r>
      <w:r>
        <w:rPr>
          <w:noProof/>
        </w:rPr>
        <w:fldChar w:fldCharType="separate"/>
      </w:r>
      <w:r w:rsidR="00EE627C">
        <w:rPr>
          <w:noProof/>
        </w:rPr>
        <w:t>19</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4.4</w:t>
      </w:r>
      <w:r>
        <w:rPr>
          <w:rFonts w:asciiTheme="minorHAnsi" w:eastAsiaTheme="minorEastAsia" w:hAnsiTheme="minorHAnsi" w:cstheme="minorBidi"/>
          <w:b w:val="0"/>
          <w:noProof/>
          <w:kern w:val="0"/>
          <w:sz w:val="22"/>
          <w:szCs w:val="22"/>
        </w:rPr>
        <w:tab/>
      </w:r>
      <w:r>
        <w:rPr>
          <w:noProof/>
        </w:rPr>
        <w:t>Identification of Toxicity Reference Values</w:t>
      </w:r>
      <w:r>
        <w:rPr>
          <w:noProof/>
        </w:rPr>
        <w:tab/>
      </w:r>
      <w:r>
        <w:rPr>
          <w:noProof/>
        </w:rPr>
        <w:fldChar w:fldCharType="begin"/>
      </w:r>
      <w:r>
        <w:rPr>
          <w:noProof/>
        </w:rPr>
        <w:instrText xml:space="preserve"> PAGEREF _Toc351714144 \h </w:instrText>
      </w:r>
      <w:r>
        <w:rPr>
          <w:noProof/>
        </w:rPr>
      </w:r>
      <w:r>
        <w:rPr>
          <w:noProof/>
        </w:rPr>
        <w:fldChar w:fldCharType="separate"/>
      </w:r>
      <w:r w:rsidR="00EE627C">
        <w:rPr>
          <w:noProof/>
        </w:rPr>
        <w:t>19</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4.4.1</w:t>
      </w:r>
      <w:r>
        <w:rPr>
          <w:rFonts w:asciiTheme="minorHAnsi" w:eastAsiaTheme="minorEastAsia" w:hAnsiTheme="minorHAnsi" w:cstheme="minorBidi"/>
          <w:b w:val="0"/>
          <w:noProof/>
          <w:kern w:val="0"/>
          <w:szCs w:val="22"/>
        </w:rPr>
        <w:tab/>
      </w:r>
      <w:r>
        <w:rPr>
          <w:noProof/>
        </w:rPr>
        <w:t>Classification</w:t>
      </w:r>
      <w:r>
        <w:rPr>
          <w:noProof/>
        </w:rPr>
        <w:tab/>
      </w:r>
      <w:r>
        <w:rPr>
          <w:noProof/>
        </w:rPr>
        <w:fldChar w:fldCharType="begin"/>
      </w:r>
      <w:r>
        <w:rPr>
          <w:noProof/>
        </w:rPr>
        <w:instrText xml:space="preserve"> PAGEREF _Toc351714145 \h </w:instrText>
      </w:r>
      <w:r>
        <w:rPr>
          <w:noProof/>
        </w:rPr>
      </w:r>
      <w:r>
        <w:rPr>
          <w:noProof/>
        </w:rPr>
        <w:fldChar w:fldCharType="separate"/>
      </w:r>
      <w:r w:rsidR="00EE627C">
        <w:rPr>
          <w:noProof/>
        </w:rPr>
        <w:t>19</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4.4.2</w:t>
      </w:r>
      <w:r>
        <w:rPr>
          <w:rFonts w:asciiTheme="minorHAnsi" w:eastAsiaTheme="minorEastAsia" w:hAnsiTheme="minorHAnsi" w:cstheme="minorBidi"/>
          <w:b w:val="0"/>
          <w:noProof/>
          <w:kern w:val="0"/>
          <w:szCs w:val="22"/>
        </w:rPr>
        <w:tab/>
      </w:r>
      <w:r>
        <w:rPr>
          <w:noProof/>
        </w:rPr>
        <w:t>Review of Available Values/Information</w:t>
      </w:r>
      <w:r>
        <w:rPr>
          <w:noProof/>
        </w:rPr>
        <w:tab/>
      </w:r>
      <w:r>
        <w:rPr>
          <w:noProof/>
        </w:rPr>
        <w:fldChar w:fldCharType="begin"/>
      </w:r>
      <w:r>
        <w:rPr>
          <w:noProof/>
        </w:rPr>
        <w:instrText xml:space="preserve"> PAGEREF _Toc351714146 \h </w:instrText>
      </w:r>
      <w:r>
        <w:rPr>
          <w:noProof/>
        </w:rPr>
      </w:r>
      <w:r>
        <w:rPr>
          <w:noProof/>
        </w:rPr>
        <w:fldChar w:fldCharType="separate"/>
      </w:r>
      <w:r w:rsidR="00EE627C">
        <w:rPr>
          <w:noProof/>
        </w:rPr>
        <w:t>19</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4.4.3</w:t>
      </w:r>
      <w:r>
        <w:rPr>
          <w:rFonts w:asciiTheme="minorHAnsi" w:eastAsiaTheme="minorEastAsia" w:hAnsiTheme="minorHAnsi" w:cstheme="minorBidi"/>
          <w:b w:val="0"/>
          <w:noProof/>
          <w:kern w:val="0"/>
          <w:szCs w:val="22"/>
        </w:rPr>
        <w:tab/>
      </w:r>
      <w:r>
        <w:rPr>
          <w:noProof/>
        </w:rPr>
        <w:t>Recommendation</w:t>
      </w:r>
      <w:r>
        <w:rPr>
          <w:noProof/>
        </w:rPr>
        <w:tab/>
      </w:r>
      <w:r>
        <w:rPr>
          <w:noProof/>
        </w:rPr>
        <w:fldChar w:fldCharType="begin"/>
      </w:r>
      <w:r>
        <w:rPr>
          <w:noProof/>
        </w:rPr>
        <w:instrText xml:space="preserve"> PAGEREF _Toc351714147 \h </w:instrText>
      </w:r>
      <w:r>
        <w:rPr>
          <w:noProof/>
        </w:rPr>
      </w:r>
      <w:r>
        <w:rPr>
          <w:noProof/>
        </w:rPr>
        <w:fldChar w:fldCharType="separate"/>
      </w:r>
      <w:r w:rsidR="00EE627C">
        <w:rPr>
          <w:noProof/>
        </w:rPr>
        <w:t>21</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4.5</w:t>
      </w:r>
      <w:r>
        <w:rPr>
          <w:rFonts w:asciiTheme="minorHAnsi" w:eastAsiaTheme="minorEastAsia" w:hAnsiTheme="minorHAnsi" w:cstheme="minorBidi"/>
          <w:b w:val="0"/>
          <w:noProof/>
          <w:kern w:val="0"/>
          <w:sz w:val="22"/>
          <w:szCs w:val="22"/>
        </w:rPr>
        <w:tab/>
      </w:r>
      <w:r>
        <w:rPr>
          <w:noProof/>
        </w:rPr>
        <w:t>Calculated HILs</w:t>
      </w:r>
      <w:r>
        <w:rPr>
          <w:noProof/>
        </w:rPr>
        <w:tab/>
      </w:r>
      <w:r>
        <w:rPr>
          <w:noProof/>
        </w:rPr>
        <w:fldChar w:fldCharType="begin"/>
      </w:r>
      <w:r>
        <w:rPr>
          <w:noProof/>
        </w:rPr>
        <w:instrText xml:space="preserve"> PAGEREF _Toc351714148 \h </w:instrText>
      </w:r>
      <w:r>
        <w:rPr>
          <w:noProof/>
        </w:rPr>
      </w:r>
      <w:r>
        <w:rPr>
          <w:noProof/>
        </w:rPr>
        <w:fldChar w:fldCharType="separate"/>
      </w:r>
      <w:r w:rsidR="00EE627C">
        <w:rPr>
          <w:noProof/>
        </w:rPr>
        <w:t>21</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4.6</w:t>
      </w:r>
      <w:r>
        <w:rPr>
          <w:rFonts w:asciiTheme="minorHAnsi" w:eastAsiaTheme="minorEastAsia" w:hAnsiTheme="minorHAnsi" w:cstheme="minorBidi"/>
          <w:b w:val="0"/>
          <w:noProof/>
          <w:kern w:val="0"/>
          <w:sz w:val="22"/>
          <w:szCs w:val="22"/>
        </w:rPr>
        <w:tab/>
      </w:r>
      <w:r>
        <w:rPr>
          <w:noProof/>
        </w:rPr>
        <w:t>References</w:t>
      </w:r>
      <w:r>
        <w:rPr>
          <w:noProof/>
        </w:rPr>
        <w:tab/>
      </w:r>
      <w:r>
        <w:rPr>
          <w:noProof/>
        </w:rPr>
        <w:fldChar w:fldCharType="begin"/>
      </w:r>
      <w:r>
        <w:rPr>
          <w:noProof/>
        </w:rPr>
        <w:instrText xml:space="preserve"> PAGEREF _Toc351714149 \h </w:instrText>
      </w:r>
      <w:r>
        <w:rPr>
          <w:noProof/>
        </w:rPr>
      </w:r>
      <w:r>
        <w:rPr>
          <w:noProof/>
        </w:rPr>
        <w:fldChar w:fldCharType="separate"/>
      </w:r>
      <w:r w:rsidR="00EE627C">
        <w:rPr>
          <w:noProof/>
        </w:rPr>
        <w:t>21</w:t>
      </w:r>
      <w:r>
        <w:rPr>
          <w:noProof/>
        </w:rPr>
        <w:fldChar w:fldCharType="end"/>
      </w:r>
    </w:p>
    <w:p w:rsidR="003915F9" w:rsidRDefault="003915F9" w:rsidP="003915F9">
      <w:pPr>
        <w:pStyle w:val="TOC1"/>
        <w:keepNext w:val="0"/>
        <w:rPr>
          <w:rFonts w:asciiTheme="minorHAnsi" w:eastAsiaTheme="minorEastAsia" w:hAnsiTheme="minorHAnsi" w:cstheme="minorBidi"/>
          <w:b w:val="0"/>
          <w:noProof/>
          <w:kern w:val="0"/>
          <w:sz w:val="22"/>
          <w:szCs w:val="22"/>
        </w:rPr>
      </w:pPr>
      <w:r>
        <w:rPr>
          <w:noProof/>
        </w:rPr>
        <w:t>5</w:t>
      </w:r>
      <w:r>
        <w:rPr>
          <w:rFonts w:asciiTheme="minorHAnsi" w:eastAsiaTheme="minorEastAsia" w:hAnsiTheme="minorHAnsi" w:cstheme="minorBidi"/>
          <w:b w:val="0"/>
          <w:noProof/>
          <w:kern w:val="0"/>
          <w:sz w:val="22"/>
          <w:szCs w:val="22"/>
        </w:rPr>
        <w:tab/>
      </w:r>
      <w:r>
        <w:rPr>
          <w:noProof/>
        </w:rPr>
        <w:t>Endrin (total)</w:t>
      </w:r>
      <w:r>
        <w:rPr>
          <w:noProof/>
        </w:rPr>
        <w:tab/>
      </w:r>
      <w:r>
        <w:rPr>
          <w:noProof/>
        </w:rPr>
        <w:fldChar w:fldCharType="begin"/>
      </w:r>
      <w:r>
        <w:rPr>
          <w:noProof/>
        </w:rPr>
        <w:instrText xml:space="preserve"> PAGEREF _Toc351714150 \h </w:instrText>
      </w:r>
      <w:r>
        <w:rPr>
          <w:noProof/>
        </w:rPr>
      </w:r>
      <w:r>
        <w:rPr>
          <w:noProof/>
        </w:rPr>
        <w:fldChar w:fldCharType="separate"/>
      </w:r>
      <w:r w:rsidR="00EE627C">
        <w:rPr>
          <w:noProof/>
        </w:rPr>
        <w:t>23</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5.1</w:t>
      </w:r>
      <w:r>
        <w:rPr>
          <w:rFonts w:asciiTheme="minorHAnsi" w:eastAsiaTheme="minorEastAsia" w:hAnsiTheme="minorHAnsi" w:cstheme="minorBidi"/>
          <w:b w:val="0"/>
          <w:noProof/>
          <w:kern w:val="0"/>
          <w:sz w:val="22"/>
          <w:szCs w:val="22"/>
        </w:rPr>
        <w:tab/>
      </w:r>
      <w:r>
        <w:rPr>
          <w:noProof/>
        </w:rPr>
        <w:t>General</w:t>
      </w:r>
      <w:r>
        <w:rPr>
          <w:noProof/>
        </w:rPr>
        <w:tab/>
      </w:r>
      <w:r>
        <w:rPr>
          <w:noProof/>
        </w:rPr>
        <w:fldChar w:fldCharType="begin"/>
      </w:r>
      <w:r>
        <w:rPr>
          <w:noProof/>
        </w:rPr>
        <w:instrText xml:space="preserve"> PAGEREF _Toc351714151 \h </w:instrText>
      </w:r>
      <w:r>
        <w:rPr>
          <w:noProof/>
        </w:rPr>
      </w:r>
      <w:r>
        <w:rPr>
          <w:noProof/>
        </w:rPr>
        <w:fldChar w:fldCharType="separate"/>
      </w:r>
      <w:r w:rsidR="00EE627C">
        <w:rPr>
          <w:noProof/>
        </w:rPr>
        <w:t>23</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5.2</w:t>
      </w:r>
      <w:r>
        <w:rPr>
          <w:rFonts w:asciiTheme="minorHAnsi" w:eastAsiaTheme="minorEastAsia" w:hAnsiTheme="minorHAnsi" w:cstheme="minorBidi"/>
          <w:b w:val="0"/>
          <w:noProof/>
          <w:kern w:val="0"/>
          <w:sz w:val="22"/>
          <w:szCs w:val="22"/>
        </w:rPr>
        <w:tab/>
      </w:r>
      <w:r>
        <w:rPr>
          <w:noProof/>
        </w:rPr>
        <w:t>Previous HIL</w:t>
      </w:r>
      <w:r>
        <w:rPr>
          <w:noProof/>
        </w:rPr>
        <w:tab/>
      </w:r>
      <w:r>
        <w:rPr>
          <w:noProof/>
        </w:rPr>
        <w:fldChar w:fldCharType="begin"/>
      </w:r>
      <w:r>
        <w:rPr>
          <w:noProof/>
        </w:rPr>
        <w:instrText xml:space="preserve"> PAGEREF _Toc351714152 \h </w:instrText>
      </w:r>
      <w:r>
        <w:rPr>
          <w:noProof/>
        </w:rPr>
      </w:r>
      <w:r>
        <w:rPr>
          <w:noProof/>
        </w:rPr>
        <w:fldChar w:fldCharType="separate"/>
      </w:r>
      <w:r w:rsidR="00EE627C">
        <w:rPr>
          <w:noProof/>
        </w:rPr>
        <w:t>23</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5.3</w:t>
      </w:r>
      <w:r>
        <w:rPr>
          <w:rFonts w:asciiTheme="minorHAnsi" w:eastAsiaTheme="minorEastAsia" w:hAnsiTheme="minorHAnsi" w:cstheme="minorBidi"/>
          <w:b w:val="0"/>
          <w:noProof/>
          <w:kern w:val="0"/>
          <w:sz w:val="22"/>
          <w:szCs w:val="22"/>
        </w:rPr>
        <w:tab/>
      </w:r>
      <w:r>
        <w:rPr>
          <w:noProof/>
        </w:rPr>
        <w:t>Significance of Exposure Pathways</w:t>
      </w:r>
      <w:r>
        <w:rPr>
          <w:noProof/>
        </w:rPr>
        <w:tab/>
      </w:r>
      <w:r>
        <w:rPr>
          <w:noProof/>
        </w:rPr>
        <w:fldChar w:fldCharType="begin"/>
      </w:r>
      <w:r>
        <w:rPr>
          <w:noProof/>
        </w:rPr>
        <w:instrText xml:space="preserve"> PAGEREF _Toc351714153 \h </w:instrText>
      </w:r>
      <w:r>
        <w:rPr>
          <w:noProof/>
        </w:rPr>
      </w:r>
      <w:r>
        <w:rPr>
          <w:noProof/>
        </w:rPr>
        <w:fldChar w:fldCharType="separate"/>
      </w:r>
      <w:r w:rsidR="00EE627C">
        <w:rPr>
          <w:noProof/>
        </w:rPr>
        <w:t>23</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5.3.1</w:t>
      </w:r>
      <w:r>
        <w:rPr>
          <w:rFonts w:asciiTheme="minorHAnsi" w:eastAsiaTheme="minorEastAsia" w:hAnsiTheme="minorHAnsi" w:cstheme="minorBidi"/>
          <w:b w:val="0"/>
          <w:noProof/>
          <w:kern w:val="0"/>
          <w:szCs w:val="22"/>
        </w:rPr>
        <w:tab/>
      </w:r>
      <w:r>
        <w:rPr>
          <w:noProof/>
        </w:rPr>
        <w:t>Oral Bioavailability</w:t>
      </w:r>
      <w:r>
        <w:rPr>
          <w:noProof/>
        </w:rPr>
        <w:tab/>
      </w:r>
      <w:r>
        <w:rPr>
          <w:noProof/>
        </w:rPr>
        <w:fldChar w:fldCharType="begin"/>
      </w:r>
      <w:r>
        <w:rPr>
          <w:noProof/>
        </w:rPr>
        <w:instrText xml:space="preserve"> PAGEREF _Toc351714154 \h </w:instrText>
      </w:r>
      <w:r>
        <w:rPr>
          <w:noProof/>
        </w:rPr>
      </w:r>
      <w:r>
        <w:rPr>
          <w:noProof/>
        </w:rPr>
        <w:fldChar w:fldCharType="separate"/>
      </w:r>
      <w:r w:rsidR="00EE627C">
        <w:rPr>
          <w:noProof/>
        </w:rPr>
        <w:t>23</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5.3.2</w:t>
      </w:r>
      <w:r>
        <w:rPr>
          <w:rFonts w:asciiTheme="minorHAnsi" w:eastAsiaTheme="minorEastAsia" w:hAnsiTheme="minorHAnsi" w:cstheme="minorBidi"/>
          <w:b w:val="0"/>
          <w:noProof/>
          <w:kern w:val="0"/>
          <w:szCs w:val="22"/>
        </w:rPr>
        <w:tab/>
      </w:r>
      <w:r>
        <w:rPr>
          <w:noProof/>
        </w:rPr>
        <w:t>Dermal absorption</w:t>
      </w:r>
      <w:r>
        <w:rPr>
          <w:noProof/>
        </w:rPr>
        <w:tab/>
      </w:r>
      <w:r>
        <w:rPr>
          <w:noProof/>
        </w:rPr>
        <w:fldChar w:fldCharType="begin"/>
      </w:r>
      <w:r>
        <w:rPr>
          <w:noProof/>
        </w:rPr>
        <w:instrText xml:space="preserve"> PAGEREF _Toc351714155 \h </w:instrText>
      </w:r>
      <w:r>
        <w:rPr>
          <w:noProof/>
        </w:rPr>
      </w:r>
      <w:r>
        <w:rPr>
          <w:noProof/>
        </w:rPr>
        <w:fldChar w:fldCharType="separate"/>
      </w:r>
      <w:r w:rsidR="00EE627C">
        <w:rPr>
          <w:noProof/>
        </w:rPr>
        <w:t>23</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5.3.3</w:t>
      </w:r>
      <w:r>
        <w:rPr>
          <w:rFonts w:asciiTheme="minorHAnsi" w:eastAsiaTheme="minorEastAsia" w:hAnsiTheme="minorHAnsi" w:cstheme="minorBidi"/>
          <w:b w:val="0"/>
          <w:noProof/>
          <w:kern w:val="0"/>
          <w:szCs w:val="22"/>
        </w:rPr>
        <w:tab/>
      </w:r>
      <w:r>
        <w:rPr>
          <w:noProof/>
        </w:rPr>
        <w:t>Inhalation of Dust</w:t>
      </w:r>
      <w:r>
        <w:rPr>
          <w:noProof/>
        </w:rPr>
        <w:tab/>
      </w:r>
      <w:r>
        <w:rPr>
          <w:noProof/>
        </w:rPr>
        <w:fldChar w:fldCharType="begin"/>
      </w:r>
      <w:r>
        <w:rPr>
          <w:noProof/>
        </w:rPr>
        <w:instrText xml:space="preserve"> PAGEREF _Toc351714156 \h </w:instrText>
      </w:r>
      <w:r>
        <w:rPr>
          <w:noProof/>
        </w:rPr>
      </w:r>
      <w:r>
        <w:rPr>
          <w:noProof/>
        </w:rPr>
        <w:fldChar w:fldCharType="separate"/>
      </w:r>
      <w:r w:rsidR="00EE627C">
        <w:rPr>
          <w:noProof/>
        </w:rPr>
        <w:t>23</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5.3.4</w:t>
      </w:r>
      <w:r>
        <w:rPr>
          <w:rFonts w:asciiTheme="minorHAnsi" w:eastAsiaTheme="minorEastAsia" w:hAnsiTheme="minorHAnsi" w:cstheme="minorBidi"/>
          <w:b w:val="0"/>
          <w:noProof/>
          <w:kern w:val="0"/>
          <w:szCs w:val="22"/>
        </w:rPr>
        <w:tab/>
      </w:r>
      <w:r>
        <w:rPr>
          <w:noProof/>
        </w:rPr>
        <w:t>Plant Uptake</w:t>
      </w:r>
      <w:r>
        <w:rPr>
          <w:noProof/>
        </w:rPr>
        <w:tab/>
      </w:r>
      <w:r>
        <w:rPr>
          <w:noProof/>
        </w:rPr>
        <w:fldChar w:fldCharType="begin"/>
      </w:r>
      <w:r>
        <w:rPr>
          <w:noProof/>
        </w:rPr>
        <w:instrText xml:space="preserve"> PAGEREF _Toc351714157 \h </w:instrText>
      </w:r>
      <w:r>
        <w:rPr>
          <w:noProof/>
        </w:rPr>
      </w:r>
      <w:r>
        <w:rPr>
          <w:noProof/>
        </w:rPr>
        <w:fldChar w:fldCharType="separate"/>
      </w:r>
      <w:r w:rsidR="00EE627C">
        <w:rPr>
          <w:noProof/>
        </w:rPr>
        <w:t>23</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5.3.5</w:t>
      </w:r>
      <w:r>
        <w:rPr>
          <w:rFonts w:asciiTheme="minorHAnsi" w:eastAsiaTheme="minorEastAsia" w:hAnsiTheme="minorHAnsi" w:cstheme="minorBidi"/>
          <w:b w:val="0"/>
          <w:noProof/>
          <w:kern w:val="0"/>
          <w:szCs w:val="22"/>
        </w:rPr>
        <w:tab/>
      </w:r>
      <w:r>
        <w:rPr>
          <w:noProof/>
        </w:rPr>
        <w:t>Intakes from Other Sources – Background</w:t>
      </w:r>
      <w:r>
        <w:rPr>
          <w:noProof/>
        </w:rPr>
        <w:tab/>
      </w:r>
      <w:r>
        <w:rPr>
          <w:noProof/>
        </w:rPr>
        <w:fldChar w:fldCharType="begin"/>
      </w:r>
      <w:r>
        <w:rPr>
          <w:noProof/>
        </w:rPr>
        <w:instrText xml:space="preserve"> PAGEREF _Toc351714158 \h </w:instrText>
      </w:r>
      <w:r>
        <w:rPr>
          <w:noProof/>
        </w:rPr>
      </w:r>
      <w:r>
        <w:rPr>
          <w:noProof/>
        </w:rPr>
        <w:fldChar w:fldCharType="separate"/>
      </w:r>
      <w:r w:rsidR="00EE627C">
        <w:rPr>
          <w:noProof/>
        </w:rPr>
        <w:t>23</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5.4</w:t>
      </w:r>
      <w:r>
        <w:rPr>
          <w:rFonts w:asciiTheme="minorHAnsi" w:eastAsiaTheme="minorEastAsia" w:hAnsiTheme="minorHAnsi" w:cstheme="minorBidi"/>
          <w:b w:val="0"/>
          <w:noProof/>
          <w:kern w:val="0"/>
          <w:sz w:val="22"/>
          <w:szCs w:val="22"/>
        </w:rPr>
        <w:tab/>
      </w:r>
      <w:r>
        <w:rPr>
          <w:noProof/>
        </w:rPr>
        <w:t>Identification of Toxicity Reference Values</w:t>
      </w:r>
      <w:r>
        <w:rPr>
          <w:noProof/>
        </w:rPr>
        <w:tab/>
      </w:r>
      <w:r>
        <w:rPr>
          <w:noProof/>
        </w:rPr>
        <w:fldChar w:fldCharType="begin"/>
      </w:r>
      <w:r>
        <w:rPr>
          <w:noProof/>
        </w:rPr>
        <w:instrText xml:space="preserve"> PAGEREF _Toc351714159 \h </w:instrText>
      </w:r>
      <w:r>
        <w:rPr>
          <w:noProof/>
        </w:rPr>
      </w:r>
      <w:r>
        <w:rPr>
          <w:noProof/>
        </w:rPr>
        <w:fldChar w:fldCharType="separate"/>
      </w:r>
      <w:r w:rsidR="00EE627C">
        <w:rPr>
          <w:noProof/>
        </w:rPr>
        <w:t>24</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5.4.1</w:t>
      </w:r>
      <w:r>
        <w:rPr>
          <w:rFonts w:asciiTheme="minorHAnsi" w:eastAsiaTheme="minorEastAsia" w:hAnsiTheme="minorHAnsi" w:cstheme="minorBidi"/>
          <w:b w:val="0"/>
          <w:noProof/>
          <w:kern w:val="0"/>
          <w:szCs w:val="22"/>
        </w:rPr>
        <w:tab/>
      </w:r>
      <w:r>
        <w:rPr>
          <w:noProof/>
        </w:rPr>
        <w:t>Classification</w:t>
      </w:r>
      <w:r>
        <w:rPr>
          <w:noProof/>
        </w:rPr>
        <w:tab/>
      </w:r>
      <w:r>
        <w:rPr>
          <w:noProof/>
        </w:rPr>
        <w:fldChar w:fldCharType="begin"/>
      </w:r>
      <w:r>
        <w:rPr>
          <w:noProof/>
        </w:rPr>
        <w:instrText xml:space="preserve"> PAGEREF _Toc351714160 \h </w:instrText>
      </w:r>
      <w:r>
        <w:rPr>
          <w:noProof/>
        </w:rPr>
      </w:r>
      <w:r>
        <w:rPr>
          <w:noProof/>
        </w:rPr>
        <w:fldChar w:fldCharType="separate"/>
      </w:r>
      <w:r w:rsidR="00EE627C">
        <w:rPr>
          <w:noProof/>
        </w:rPr>
        <w:t>24</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5.4.2</w:t>
      </w:r>
      <w:r>
        <w:rPr>
          <w:rFonts w:asciiTheme="minorHAnsi" w:eastAsiaTheme="minorEastAsia" w:hAnsiTheme="minorHAnsi" w:cstheme="minorBidi"/>
          <w:b w:val="0"/>
          <w:noProof/>
          <w:kern w:val="0"/>
          <w:szCs w:val="22"/>
        </w:rPr>
        <w:tab/>
      </w:r>
      <w:r>
        <w:rPr>
          <w:noProof/>
        </w:rPr>
        <w:t>Review of Available Values/Information</w:t>
      </w:r>
      <w:r>
        <w:rPr>
          <w:noProof/>
        </w:rPr>
        <w:tab/>
      </w:r>
      <w:r>
        <w:rPr>
          <w:noProof/>
        </w:rPr>
        <w:fldChar w:fldCharType="begin"/>
      </w:r>
      <w:r>
        <w:rPr>
          <w:noProof/>
        </w:rPr>
        <w:instrText xml:space="preserve"> PAGEREF _Toc351714161 \h </w:instrText>
      </w:r>
      <w:r>
        <w:rPr>
          <w:noProof/>
        </w:rPr>
      </w:r>
      <w:r>
        <w:rPr>
          <w:noProof/>
        </w:rPr>
        <w:fldChar w:fldCharType="separate"/>
      </w:r>
      <w:r w:rsidR="00EE627C">
        <w:rPr>
          <w:noProof/>
        </w:rPr>
        <w:t>24</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lastRenderedPageBreak/>
        <w:t>5.4.3</w:t>
      </w:r>
      <w:r>
        <w:rPr>
          <w:rFonts w:asciiTheme="minorHAnsi" w:eastAsiaTheme="minorEastAsia" w:hAnsiTheme="minorHAnsi" w:cstheme="minorBidi"/>
          <w:b w:val="0"/>
          <w:noProof/>
          <w:kern w:val="0"/>
          <w:szCs w:val="22"/>
        </w:rPr>
        <w:tab/>
      </w:r>
      <w:r>
        <w:rPr>
          <w:noProof/>
        </w:rPr>
        <w:t>Recommendation</w:t>
      </w:r>
      <w:r>
        <w:rPr>
          <w:noProof/>
        </w:rPr>
        <w:tab/>
      </w:r>
      <w:r>
        <w:rPr>
          <w:noProof/>
        </w:rPr>
        <w:fldChar w:fldCharType="begin"/>
      </w:r>
      <w:r>
        <w:rPr>
          <w:noProof/>
        </w:rPr>
        <w:instrText xml:space="preserve"> PAGEREF _Toc351714162 \h </w:instrText>
      </w:r>
      <w:r>
        <w:rPr>
          <w:noProof/>
        </w:rPr>
      </w:r>
      <w:r>
        <w:rPr>
          <w:noProof/>
        </w:rPr>
        <w:fldChar w:fldCharType="separate"/>
      </w:r>
      <w:r w:rsidR="00EE627C">
        <w:rPr>
          <w:noProof/>
        </w:rPr>
        <w:t>25</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5.5</w:t>
      </w:r>
      <w:r>
        <w:rPr>
          <w:rFonts w:asciiTheme="minorHAnsi" w:eastAsiaTheme="minorEastAsia" w:hAnsiTheme="minorHAnsi" w:cstheme="minorBidi"/>
          <w:b w:val="0"/>
          <w:noProof/>
          <w:kern w:val="0"/>
          <w:sz w:val="22"/>
          <w:szCs w:val="22"/>
        </w:rPr>
        <w:tab/>
      </w:r>
      <w:r>
        <w:rPr>
          <w:noProof/>
        </w:rPr>
        <w:t>Calculated HILs</w:t>
      </w:r>
      <w:r>
        <w:rPr>
          <w:noProof/>
        </w:rPr>
        <w:tab/>
      </w:r>
      <w:r>
        <w:rPr>
          <w:noProof/>
        </w:rPr>
        <w:fldChar w:fldCharType="begin"/>
      </w:r>
      <w:r>
        <w:rPr>
          <w:noProof/>
        </w:rPr>
        <w:instrText xml:space="preserve"> PAGEREF _Toc351714163 \h </w:instrText>
      </w:r>
      <w:r>
        <w:rPr>
          <w:noProof/>
        </w:rPr>
      </w:r>
      <w:r>
        <w:rPr>
          <w:noProof/>
        </w:rPr>
        <w:fldChar w:fldCharType="separate"/>
      </w:r>
      <w:r w:rsidR="00EE627C">
        <w:rPr>
          <w:noProof/>
        </w:rPr>
        <w:t>25</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5.6</w:t>
      </w:r>
      <w:r>
        <w:rPr>
          <w:rFonts w:asciiTheme="minorHAnsi" w:eastAsiaTheme="minorEastAsia" w:hAnsiTheme="minorHAnsi" w:cstheme="minorBidi"/>
          <w:b w:val="0"/>
          <w:noProof/>
          <w:kern w:val="0"/>
          <w:sz w:val="22"/>
          <w:szCs w:val="22"/>
        </w:rPr>
        <w:tab/>
      </w:r>
      <w:r>
        <w:rPr>
          <w:noProof/>
        </w:rPr>
        <w:t>References</w:t>
      </w:r>
      <w:r>
        <w:rPr>
          <w:noProof/>
        </w:rPr>
        <w:tab/>
      </w:r>
      <w:r>
        <w:rPr>
          <w:noProof/>
        </w:rPr>
        <w:fldChar w:fldCharType="begin"/>
      </w:r>
      <w:r>
        <w:rPr>
          <w:noProof/>
        </w:rPr>
        <w:instrText xml:space="preserve"> PAGEREF _Toc351714164 \h </w:instrText>
      </w:r>
      <w:r>
        <w:rPr>
          <w:noProof/>
        </w:rPr>
      </w:r>
      <w:r>
        <w:rPr>
          <w:noProof/>
        </w:rPr>
        <w:fldChar w:fldCharType="separate"/>
      </w:r>
      <w:r w:rsidR="00EE627C">
        <w:rPr>
          <w:noProof/>
        </w:rPr>
        <w:t>25</w:t>
      </w:r>
      <w:r>
        <w:rPr>
          <w:noProof/>
        </w:rPr>
        <w:fldChar w:fldCharType="end"/>
      </w:r>
    </w:p>
    <w:p w:rsidR="003915F9" w:rsidRDefault="003915F9" w:rsidP="003915F9">
      <w:pPr>
        <w:pStyle w:val="TOC1"/>
        <w:keepNext w:val="0"/>
        <w:rPr>
          <w:rFonts w:asciiTheme="minorHAnsi" w:eastAsiaTheme="minorEastAsia" w:hAnsiTheme="minorHAnsi" w:cstheme="minorBidi"/>
          <w:b w:val="0"/>
          <w:noProof/>
          <w:kern w:val="0"/>
          <w:sz w:val="22"/>
          <w:szCs w:val="22"/>
        </w:rPr>
      </w:pPr>
      <w:r>
        <w:rPr>
          <w:noProof/>
        </w:rPr>
        <w:t>6</w:t>
      </w:r>
      <w:r>
        <w:rPr>
          <w:rFonts w:asciiTheme="minorHAnsi" w:eastAsiaTheme="minorEastAsia" w:hAnsiTheme="minorHAnsi" w:cstheme="minorBidi"/>
          <w:b w:val="0"/>
          <w:noProof/>
          <w:kern w:val="0"/>
          <w:sz w:val="22"/>
          <w:szCs w:val="22"/>
        </w:rPr>
        <w:tab/>
      </w:r>
      <w:r>
        <w:rPr>
          <w:noProof/>
        </w:rPr>
        <w:t>Heptachlor</w:t>
      </w:r>
      <w:r>
        <w:rPr>
          <w:noProof/>
        </w:rPr>
        <w:tab/>
      </w:r>
      <w:r>
        <w:rPr>
          <w:noProof/>
        </w:rPr>
        <w:fldChar w:fldCharType="begin"/>
      </w:r>
      <w:r>
        <w:rPr>
          <w:noProof/>
        </w:rPr>
        <w:instrText xml:space="preserve"> PAGEREF _Toc351714165 \h </w:instrText>
      </w:r>
      <w:r>
        <w:rPr>
          <w:noProof/>
        </w:rPr>
      </w:r>
      <w:r>
        <w:rPr>
          <w:noProof/>
        </w:rPr>
        <w:fldChar w:fldCharType="separate"/>
      </w:r>
      <w:r w:rsidR="00EE627C">
        <w:rPr>
          <w:noProof/>
        </w:rPr>
        <w:t>27</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6.1</w:t>
      </w:r>
      <w:r>
        <w:rPr>
          <w:rFonts w:asciiTheme="minorHAnsi" w:eastAsiaTheme="minorEastAsia" w:hAnsiTheme="minorHAnsi" w:cstheme="minorBidi"/>
          <w:b w:val="0"/>
          <w:noProof/>
          <w:kern w:val="0"/>
          <w:sz w:val="22"/>
          <w:szCs w:val="22"/>
        </w:rPr>
        <w:tab/>
      </w:r>
      <w:r>
        <w:rPr>
          <w:noProof/>
        </w:rPr>
        <w:t>General</w:t>
      </w:r>
      <w:r>
        <w:rPr>
          <w:noProof/>
        </w:rPr>
        <w:tab/>
      </w:r>
      <w:r>
        <w:rPr>
          <w:noProof/>
        </w:rPr>
        <w:fldChar w:fldCharType="begin"/>
      </w:r>
      <w:r>
        <w:rPr>
          <w:noProof/>
        </w:rPr>
        <w:instrText xml:space="preserve"> PAGEREF _Toc351714166 \h </w:instrText>
      </w:r>
      <w:r>
        <w:rPr>
          <w:noProof/>
        </w:rPr>
      </w:r>
      <w:r>
        <w:rPr>
          <w:noProof/>
        </w:rPr>
        <w:fldChar w:fldCharType="separate"/>
      </w:r>
      <w:r w:rsidR="00EE627C">
        <w:rPr>
          <w:noProof/>
        </w:rPr>
        <w:t>27</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6.2</w:t>
      </w:r>
      <w:r>
        <w:rPr>
          <w:rFonts w:asciiTheme="minorHAnsi" w:eastAsiaTheme="minorEastAsia" w:hAnsiTheme="minorHAnsi" w:cstheme="minorBidi"/>
          <w:b w:val="0"/>
          <w:noProof/>
          <w:kern w:val="0"/>
          <w:sz w:val="22"/>
          <w:szCs w:val="22"/>
        </w:rPr>
        <w:tab/>
      </w:r>
      <w:r>
        <w:rPr>
          <w:noProof/>
        </w:rPr>
        <w:t>Previous HIL</w:t>
      </w:r>
      <w:r>
        <w:rPr>
          <w:noProof/>
        </w:rPr>
        <w:tab/>
      </w:r>
      <w:r>
        <w:rPr>
          <w:noProof/>
        </w:rPr>
        <w:fldChar w:fldCharType="begin"/>
      </w:r>
      <w:r>
        <w:rPr>
          <w:noProof/>
        </w:rPr>
        <w:instrText xml:space="preserve"> PAGEREF _Toc351714167 \h </w:instrText>
      </w:r>
      <w:r>
        <w:rPr>
          <w:noProof/>
        </w:rPr>
      </w:r>
      <w:r>
        <w:rPr>
          <w:noProof/>
        </w:rPr>
        <w:fldChar w:fldCharType="separate"/>
      </w:r>
      <w:r w:rsidR="00EE627C">
        <w:rPr>
          <w:noProof/>
        </w:rPr>
        <w:t>27</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6.3</w:t>
      </w:r>
      <w:r>
        <w:rPr>
          <w:rFonts w:asciiTheme="minorHAnsi" w:eastAsiaTheme="minorEastAsia" w:hAnsiTheme="minorHAnsi" w:cstheme="minorBidi"/>
          <w:b w:val="0"/>
          <w:noProof/>
          <w:kern w:val="0"/>
          <w:sz w:val="22"/>
          <w:szCs w:val="22"/>
        </w:rPr>
        <w:tab/>
      </w:r>
      <w:r>
        <w:rPr>
          <w:noProof/>
        </w:rPr>
        <w:t>Significance of Exposure Pathways</w:t>
      </w:r>
      <w:r>
        <w:rPr>
          <w:noProof/>
        </w:rPr>
        <w:tab/>
      </w:r>
      <w:r>
        <w:rPr>
          <w:noProof/>
        </w:rPr>
        <w:fldChar w:fldCharType="begin"/>
      </w:r>
      <w:r>
        <w:rPr>
          <w:noProof/>
        </w:rPr>
        <w:instrText xml:space="preserve"> PAGEREF _Toc351714168 \h </w:instrText>
      </w:r>
      <w:r>
        <w:rPr>
          <w:noProof/>
        </w:rPr>
      </w:r>
      <w:r>
        <w:rPr>
          <w:noProof/>
        </w:rPr>
        <w:fldChar w:fldCharType="separate"/>
      </w:r>
      <w:r w:rsidR="00EE627C">
        <w:rPr>
          <w:noProof/>
        </w:rPr>
        <w:t>27</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6.3.1</w:t>
      </w:r>
      <w:r>
        <w:rPr>
          <w:rFonts w:asciiTheme="minorHAnsi" w:eastAsiaTheme="minorEastAsia" w:hAnsiTheme="minorHAnsi" w:cstheme="minorBidi"/>
          <w:b w:val="0"/>
          <w:noProof/>
          <w:kern w:val="0"/>
          <w:szCs w:val="22"/>
        </w:rPr>
        <w:tab/>
      </w:r>
      <w:r>
        <w:rPr>
          <w:noProof/>
        </w:rPr>
        <w:t>Oral Bioavailability</w:t>
      </w:r>
      <w:r>
        <w:rPr>
          <w:noProof/>
        </w:rPr>
        <w:tab/>
      </w:r>
      <w:r>
        <w:rPr>
          <w:noProof/>
        </w:rPr>
        <w:fldChar w:fldCharType="begin"/>
      </w:r>
      <w:r>
        <w:rPr>
          <w:noProof/>
        </w:rPr>
        <w:instrText xml:space="preserve"> PAGEREF _Toc351714169 \h </w:instrText>
      </w:r>
      <w:r>
        <w:rPr>
          <w:noProof/>
        </w:rPr>
      </w:r>
      <w:r>
        <w:rPr>
          <w:noProof/>
        </w:rPr>
        <w:fldChar w:fldCharType="separate"/>
      </w:r>
      <w:r w:rsidR="00EE627C">
        <w:rPr>
          <w:noProof/>
        </w:rPr>
        <w:t>27</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6.3.2</w:t>
      </w:r>
      <w:r>
        <w:rPr>
          <w:rFonts w:asciiTheme="minorHAnsi" w:eastAsiaTheme="minorEastAsia" w:hAnsiTheme="minorHAnsi" w:cstheme="minorBidi"/>
          <w:b w:val="0"/>
          <w:noProof/>
          <w:kern w:val="0"/>
          <w:szCs w:val="22"/>
        </w:rPr>
        <w:tab/>
      </w:r>
      <w:r>
        <w:rPr>
          <w:noProof/>
        </w:rPr>
        <w:t>Dermal absorption</w:t>
      </w:r>
      <w:r>
        <w:rPr>
          <w:noProof/>
        </w:rPr>
        <w:tab/>
      </w:r>
      <w:r>
        <w:rPr>
          <w:noProof/>
        </w:rPr>
        <w:fldChar w:fldCharType="begin"/>
      </w:r>
      <w:r>
        <w:rPr>
          <w:noProof/>
        </w:rPr>
        <w:instrText xml:space="preserve"> PAGEREF _Toc351714170 \h </w:instrText>
      </w:r>
      <w:r>
        <w:rPr>
          <w:noProof/>
        </w:rPr>
      </w:r>
      <w:r>
        <w:rPr>
          <w:noProof/>
        </w:rPr>
        <w:fldChar w:fldCharType="separate"/>
      </w:r>
      <w:r w:rsidR="00EE627C">
        <w:rPr>
          <w:noProof/>
        </w:rPr>
        <w:t>27</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6.3.3</w:t>
      </w:r>
      <w:r>
        <w:rPr>
          <w:rFonts w:asciiTheme="minorHAnsi" w:eastAsiaTheme="minorEastAsia" w:hAnsiTheme="minorHAnsi" w:cstheme="minorBidi"/>
          <w:b w:val="0"/>
          <w:noProof/>
          <w:kern w:val="0"/>
          <w:szCs w:val="22"/>
        </w:rPr>
        <w:tab/>
      </w:r>
      <w:r>
        <w:rPr>
          <w:noProof/>
        </w:rPr>
        <w:t>Inhalation of Dust</w:t>
      </w:r>
      <w:r>
        <w:rPr>
          <w:noProof/>
        </w:rPr>
        <w:tab/>
      </w:r>
      <w:r>
        <w:rPr>
          <w:noProof/>
        </w:rPr>
        <w:fldChar w:fldCharType="begin"/>
      </w:r>
      <w:r>
        <w:rPr>
          <w:noProof/>
        </w:rPr>
        <w:instrText xml:space="preserve"> PAGEREF _Toc351714171 \h </w:instrText>
      </w:r>
      <w:r>
        <w:rPr>
          <w:noProof/>
        </w:rPr>
      </w:r>
      <w:r>
        <w:rPr>
          <w:noProof/>
        </w:rPr>
        <w:fldChar w:fldCharType="separate"/>
      </w:r>
      <w:r w:rsidR="00EE627C">
        <w:rPr>
          <w:noProof/>
        </w:rPr>
        <w:t>27</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6.3.4</w:t>
      </w:r>
      <w:r>
        <w:rPr>
          <w:rFonts w:asciiTheme="minorHAnsi" w:eastAsiaTheme="minorEastAsia" w:hAnsiTheme="minorHAnsi" w:cstheme="minorBidi"/>
          <w:b w:val="0"/>
          <w:noProof/>
          <w:kern w:val="0"/>
          <w:szCs w:val="22"/>
        </w:rPr>
        <w:tab/>
      </w:r>
      <w:r>
        <w:rPr>
          <w:noProof/>
        </w:rPr>
        <w:t>Plant Uptake</w:t>
      </w:r>
      <w:r>
        <w:rPr>
          <w:noProof/>
        </w:rPr>
        <w:tab/>
      </w:r>
      <w:r>
        <w:rPr>
          <w:noProof/>
        </w:rPr>
        <w:fldChar w:fldCharType="begin"/>
      </w:r>
      <w:r>
        <w:rPr>
          <w:noProof/>
        </w:rPr>
        <w:instrText xml:space="preserve"> PAGEREF _Toc351714172 \h </w:instrText>
      </w:r>
      <w:r>
        <w:rPr>
          <w:noProof/>
        </w:rPr>
      </w:r>
      <w:r>
        <w:rPr>
          <w:noProof/>
        </w:rPr>
        <w:fldChar w:fldCharType="separate"/>
      </w:r>
      <w:r w:rsidR="00EE627C">
        <w:rPr>
          <w:noProof/>
        </w:rPr>
        <w:t>28</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6.3.5</w:t>
      </w:r>
      <w:r>
        <w:rPr>
          <w:rFonts w:asciiTheme="minorHAnsi" w:eastAsiaTheme="minorEastAsia" w:hAnsiTheme="minorHAnsi" w:cstheme="minorBidi"/>
          <w:b w:val="0"/>
          <w:noProof/>
          <w:kern w:val="0"/>
          <w:szCs w:val="22"/>
        </w:rPr>
        <w:tab/>
      </w:r>
      <w:r>
        <w:rPr>
          <w:noProof/>
        </w:rPr>
        <w:t>Intakes from Other Sources – Background</w:t>
      </w:r>
      <w:r>
        <w:rPr>
          <w:noProof/>
        </w:rPr>
        <w:tab/>
      </w:r>
      <w:r>
        <w:rPr>
          <w:noProof/>
        </w:rPr>
        <w:fldChar w:fldCharType="begin"/>
      </w:r>
      <w:r>
        <w:rPr>
          <w:noProof/>
        </w:rPr>
        <w:instrText xml:space="preserve"> PAGEREF _Toc351714173 \h </w:instrText>
      </w:r>
      <w:r>
        <w:rPr>
          <w:noProof/>
        </w:rPr>
      </w:r>
      <w:r>
        <w:rPr>
          <w:noProof/>
        </w:rPr>
        <w:fldChar w:fldCharType="separate"/>
      </w:r>
      <w:r w:rsidR="00EE627C">
        <w:rPr>
          <w:noProof/>
        </w:rPr>
        <w:t>28</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6.4</w:t>
      </w:r>
      <w:r>
        <w:rPr>
          <w:rFonts w:asciiTheme="minorHAnsi" w:eastAsiaTheme="minorEastAsia" w:hAnsiTheme="minorHAnsi" w:cstheme="minorBidi"/>
          <w:b w:val="0"/>
          <w:noProof/>
          <w:kern w:val="0"/>
          <w:sz w:val="22"/>
          <w:szCs w:val="22"/>
        </w:rPr>
        <w:tab/>
      </w:r>
      <w:r>
        <w:rPr>
          <w:noProof/>
        </w:rPr>
        <w:t>Identification of Toxicity Reference Values</w:t>
      </w:r>
      <w:r>
        <w:rPr>
          <w:noProof/>
        </w:rPr>
        <w:tab/>
      </w:r>
      <w:r>
        <w:rPr>
          <w:noProof/>
        </w:rPr>
        <w:fldChar w:fldCharType="begin"/>
      </w:r>
      <w:r>
        <w:rPr>
          <w:noProof/>
        </w:rPr>
        <w:instrText xml:space="preserve"> PAGEREF _Toc351714174 \h </w:instrText>
      </w:r>
      <w:r>
        <w:rPr>
          <w:noProof/>
        </w:rPr>
      </w:r>
      <w:r>
        <w:rPr>
          <w:noProof/>
        </w:rPr>
        <w:fldChar w:fldCharType="separate"/>
      </w:r>
      <w:r w:rsidR="00EE627C">
        <w:rPr>
          <w:noProof/>
        </w:rPr>
        <w:t>28</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6.4.1</w:t>
      </w:r>
      <w:r>
        <w:rPr>
          <w:rFonts w:asciiTheme="minorHAnsi" w:eastAsiaTheme="minorEastAsia" w:hAnsiTheme="minorHAnsi" w:cstheme="minorBidi"/>
          <w:b w:val="0"/>
          <w:noProof/>
          <w:kern w:val="0"/>
          <w:szCs w:val="22"/>
        </w:rPr>
        <w:tab/>
      </w:r>
      <w:r>
        <w:rPr>
          <w:noProof/>
        </w:rPr>
        <w:t>Classification</w:t>
      </w:r>
      <w:r>
        <w:rPr>
          <w:noProof/>
        </w:rPr>
        <w:tab/>
      </w:r>
      <w:r>
        <w:rPr>
          <w:noProof/>
        </w:rPr>
        <w:fldChar w:fldCharType="begin"/>
      </w:r>
      <w:r>
        <w:rPr>
          <w:noProof/>
        </w:rPr>
        <w:instrText xml:space="preserve"> PAGEREF _Toc351714175 \h </w:instrText>
      </w:r>
      <w:r>
        <w:rPr>
          <w:noProof/>
        </w:rPr>
      </w:r>
      <w:r>
        <w:rPr>
          <w:noProof/>
        </w:rPr>
        <w:fldChar w:fldCharType="separate"/>
      </w:r>
      <w:r w:rsidR="00EE627C">
        <w:rPr>
          <w:noProof/>
        </w:rPr>
        <w:t>28</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6.4.2</w:t>
      </w:r>
      <w:r>
        <w:rPr>
          <w:rFonts w:asciiTheme="minorHAnsi" w:eastAsiaTheme="minorEastAsia" w:hAnsiTheme="minorHAnsi" w:cstheme="minorBidi"/>
          <w:b w:val="0"/>
          <w:noProof/>
          <w:kern w:val="0"/>
          <w:szCs w:val="22"/>
        </w:rPr>
        <w:tab/>
      </w:r>
      <w:r>
        <w:rPr>
          <w:noProof/>
        </w:rPr>
        <w:t>Review of Available Values/Information</w:t>
      </w:r>
      <w:r>
        <w:rPr>
          <w:noProof/>
        </w:rPr>
        <w:tab/>
      </w:r>
      <w:r>
        <w:rPr>
          <w:noProof/>
        </w:rPr>
        <w:fldChar w:fldCharType="begin"/>
      </w:r>
      <w:r>
        <w:rPr>
          <w:noProof/>
        </w:rPr>
        <w:instrText xml:space="preserve"> PAGEREF _Toc351714176 \h </w:instrText>
      </w:r>
      <w:r>
        <w:rPr>
          <w:noProof/>
        </w:rPr>
      </w:r>
      <w:r>
        <w:rPr>
          <w:noProof/>
        </w:rPr>
        <w:fldChar w:fldCharType="separate"/>
      </w:r>
      <w:r w:rsidR="00EE627C">
        <w:rPr>
          <w:noProof/>
        </w:rPr>
        <w:t>28</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6.4.3</w:t>
      </w:r>
      <w:r>
        <w:rPr>
          <w:rFonts w:asciiTheme="minorHAnsi" w:eastAsiaTheme="minorEastAsia" w:hAnsiTheme="minorHAnsi" w:cstheme="minorBidi"/>
          <w:b w:val="0"/>
          <w:noProof/>
          <w:kern w:val="0"/>
          <w:szCs w:val="22"/>
        </w:rPr>
        <w:tab/>
      </w:r>
      <w:r>
        <w:rPr>
          <w:noProof/>
        </w:rPr>
        <w:t>Recommendation</w:t>
      </w:r>
      <w:r>
        <w:rPr>
          <w:noProof/>
        </w:rPr>
        <w:tab/>
      </w:r>
      <w:r>
        <w:rPr>
          <w:noProof/>
        </w:rPr>
        <w:fldChar w:fldCharType="begin"/>
      </w:r>
      <w:r>
        <w:rPr>
          <w:noProof/>
        </w:rPr>
        <w:instrText xml:space="preserve"> PAGEREF _Toc351714177 \h </w:instrText>
      </w:r>
      <w:r>
        <w:rPr>
          <w:noProof/>
        </w:rPr>
      </w:r>
      <w:r>
        <w:rPr>
          <w:noProof/>
        </w:rPr>
        <w:fldChar w:fldCharType="separate"/>
      </w:r>
      <w:r w:rsidR="00EE627C">
        <w:rPr>
          <w:noProof/>
        </w:rPr>
        <w:t>29</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6.5</w:t>
      </w:r>
      <w:r>
        <w:rPr>
          <w:rFonts w:asciiTheme="minorHAnsi" w:eastAsiaTheme="minorEastAsia" w:hAnsiTheme="minorHAnsi" w:cstheme="minorBidi"/>
          <w:b w:val="0"/>
          <w:noProof/>
          <w:kern w:val="0"/>
          <w:sz w:val="22"/>
          <w:szCs w:val="22"/>
        </w:rPr>
        <w:tab/>
      </w:r>
      <w:r>
        <w:rPr>
          <w:noProof/>
        </w:rPr>
        <w:t>Calculated HILs</w:t>
      </w:r>
      <w:r>
        <w:rPr>
          <w:noProof/>
        </w:rPr>
        <w:tab/>
      </w:r>
      <w:r>
        <w:rPr>
          <w:noProof/>
        </w:rPr>
        <w:fldChar w:fldCharType="begin"/>
      </w:r>
      <w:r>
        <w:rPr>
          <w:noProof/>
        </w:rPr>
        <w:instrText xml:space="preserve"> PAGEREF _Toc351714178 \h </w:instrText>
      </w:r>
      <w:r>
        <w:rPr>
          <w:noProof/>
        </w:rPr>
      </w:r>
      <w:r>
        <w:rPr>
          <w:noProof/>
        </w:rPr>
        <w:fldChar w:fldCharType="separate"/>
      </w:r>
      <w:r w:rsidR="00EE627C">
        <w:rPr>
          <w:noProof/>
        </w:rPr>
        <w:t>30</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6.6</w:t>
      </w:r>
      <w:r>
        <w:rPr>
          <w:rFonts w:asciiTheme="minorHAnsi" w:eastAsiaTheme="minorEastAsia" w:hAnsiTheme="minorHAnsi" w:cstheme="minorBidi"/>
          <w:b w:val="0"/>
          <w:noProof/>
          <w:kern w:val="0"/>
          <w:sz w:val="22"/>
          <w:szCs w:val="22"/>
        </w:rPr>
        <w:tab/>
      </w:r>
      <w:r>
        <w:rPr>
          <w:noProof/>
        </w:rPr>
        <w:t>References</w:t>
      </w:r>
      <w:r>
        <w:rPr>
          <w:noProof/>
        </w:rPr>
        <w:tab/>
      </w:r>
      <w:r>
        <w:rPr>
          <w:noProof/>
        </w:rPr>
        <w:fldChar w:fldCharType="begin"/>
      </w:r>
      <w:r>
        <w:rPr>
          <w:noProof/>
        </w:rPr>
        <w:instrText xml:space="preserve"> PAGEREF _Toc351714179 \h </w:instrText>
      </w:r>
      <w:r>
        <w:rPr>
          <w:noProof/>
        </w:rPr>
      </w:r>
      <w:r>
        <w:rPr>
          <w:noProof/>
        </w:rPr>
        <w:fldChar w:fldCharType="separate"/>
      </w:r>
      <w:r w:rsidR="00EE627C">
        <w:rPr>
          <w:noProof/>
        </w:rPr>
        <w:t>31</w:t>
      </w:r>
      <w:r>
        <w:rPr>
          <w:noProof/>
        </w:rPr>
        <w:fldChar w:fldCharType="end"/>
      </w:r>
    </w:p>
    <w:p w:rsidR="003915F9" w:rsidRDefault="003915F9" w:rsidP="003915F9">
      <w:pPr>
        <w:pStyle w:val="TOC1"/>
        <w:keepNext w:val="0"/>
        <w:rPr>
          <w:rFonts w:asciiTheme="minorHAnsi" w:eastAsiaTheme="minorEastAsia" w:hAnsiTheme="minorHAnsi" w:cstheme="minorBidi"/>
          <w:b w:val="0"/>
          <w:noProof/>
          <w:kern w:val="0"/>
          <w:sz w:val="22"/>
          <w:szCs w:val="22"/>
        </w:rPr>
      </w:pPr>
      <w:r>
        <w:rPr>
          <w:noProof/>
        </w:rPr>
        <w:t>7</w:t>
      </w:r>
      <w:r>
        <w:rPr>
          <w:rFonts w:asciiTheme="minorHAnsi" w:eastAsiaTheme="minorEastAsia" w:hAnsiTheme="minorHAnsi" w:cstheme="minorBidi"/>
          <w:b w:val="0"/>
          <w:noProof/>
          <w:kern w:val="0"/>
          <w:sz w:val="22"/>
          <w:szCs w:val="22"/>
        </w:rPr>
        <w:tab/>
      </w:r>
      <w:r>
        <w:rPr>
          <w:noProof/>
        </w:rPr>
        <w:t>Hexachlorobenzene (HCB)</w:t>
      </w:r>
      <w:r>
        <w:rPr>
          <w:noProof/>
        </w:rPr>
        <w:tab/>
      </w:r>
      <w:r>
        <w:rPr>
          <w:noProof/>
        </w:rPr>
        <w:fldChar w:fldCharType="begin"/>
      </w:r>
      <w:r>
        <w:rPr>
          <w:noProof/>
        </w:rPr>
        <w:instrText xml:space="preserve"> PAGEREF _Toc351714180 \h </w:instrText>
      </w:r>
      <w:r>
        <w:rPr>
          <w:noProof/>
        </w:rPr>
      </w:r>
      <w:r>
        <w:rPr>
          <w:noProof/>
        </w:rPr>
        <w:fldChar w:fldCharType="separate"/>
      </w:r>
      <w:r w:rsidR="00EE627C">
        <w:rPr>
          <w:noProof/>
        </w:rPr>
        <w:t>32</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7.1</w:t>
      </w:r>
      <w:r>
        <w:rPr>
          <w:rFonts w:asciiTheme="minorHAnsi" w:eastAsiaTheme="minorEastAsia" w:hAnsiTheme="minorHAnsi" w:cstheme="minorBidi"/>
          <w:b w:val="0"/>
          <w:noProof/>
          <w:kern w:val="0"/>
          <w:sz w:val="22"/>
          <w:szCs w:val="22"/>
        </w:rPr>
        <w:tab/>
      </w:r>
      <w:r>
        <w:rPr>
          <w:noProof/>
        </w:rPr>
        <w:t>General</w:t>
      </w:r>
      <w:r>
        <w:rPr>
          <w:noProof/>
        </w:rPr>
        <w:tab/>
      </w:r>
      <w:r>
        <w:rPr>
          <w:noProof/>
        </w:rPr>
        <w:fldChar w:fldCharType="begin"/>
      </w:r>
      <w:r>
        <w:rPr>
          <w:noProof/>
        </w:rPr>
        <w:instrText xml:space="preserve"> PAGEREF _Toc351714181 \h </w:instrText>
      </w:r>
      <w:r>
        <w:rPr>
          <w:noProof/>
        </w:rPr>
      </w:r>
      <w:r>
        <w:rPr>
          <w:noProof/>
        </w:rPr>
        <w:fldChar w:fldCharType="separate"/>
      </w:r>
      <w:r w:rsidR="00EE627C">
        <w:rPr>
          <w:noProof/>
        </w:rPr>
        <w:t>32</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7.2</w:t>
      </w:r>
      <w:r>
        <w:rPr>
          <w:rFonts w:asciiTheme="minorHAnsi" w:eastAsiaTheme="minorEastAsia" w:hAnsiTheme="minorHAnsi" w:cstheme="minorBidi"/>
          <w:b w:val="0"/>
          <w:noProof/>
          <w:kern w:val="0"/>
          <w:sz w:val="22"/>
          <w:szCs w:val="22"/>
        </w:rPr>
        <w:tab/>
      </w:r>
      <w:r>
        <w:rPr>
          <w:noProof/>
        </w:rPr>
        <w:t>Previous HIL</w:t>
      </w:r>
      <w:r>
        <w:rPr>
          <w:noProof/>
        </w:rPr>
        <w:tab/>
      </w:r>
      <w:r>
        <w:rPr>
          <w:noProof/>
        </w:rPr>
        <w:fldChar w:fldCharType="begin"/>
      </w:r>
      <w:r>
        <w:rPr>
          <w:noProof/>
        </w:rPr>
        <w:instrText xml:space="preserve"> PAGEREF _Toc351714182 \h </w:instrText>
      </w:r>
      <w:r>
        <w:rPr>
          <w:noProof/>
        </w:rPr>
      </w:r>
      <w:r>
        <w:rPr>
          <w:noProof/>
        </w:rPr>
        <w:fldChar w:fldCharType="separate"/>
      </w:r>
      <w:r w:rsidR="00EE627C">
        <w:rPr>
          <w:noProof/>
        </w:rPr>
        <w:t>32</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7.3</w:t>
      </w:r>
      <w:r>
        <w:rPr>
          <w:rFonts w:asciiTheme="minorHAnsi" w:eastAsiaTheme="minorEastAsia" w:hAnsiTheme="minorHAnsi" w:cstheme="minorBidi"/>
          <w:b w:val="0"/>
          <w:noProof/>
          <w:kern w:val="0"/>
          <w:sz w:val="22"/>
          <w:szCs w:val="22"/>
        </w:rPr>
        <w:tab/>
      </w:r>
      <w:r>
        <w:rPr>
          <w:noProof/>
        </w:rPr>
        <w:t>Significance of Exposure Pathways</w:t>
      </w:r>
      <w:r>
        <w:rPr>
          <w:noProof/>
        </w:rPr>
        <w:tab/>
      </w:r>
      <w:r>
        <w:rPr>
          <w:noProof/>
        </w:rPr>
        <w:fldChar w:fldCharType="begin"/>
      </w:r>
      <w:r>
        <w:rPr>
          <w:noProof/>
        </w:rPr>
        <w:instrText xml:space="preserve"> PAGEREF _Toc351714183 \h </w:instrText>
      </w:r>
      <w:r>
        <w:rPr>
          <w:noProof/>
        </w:rPr>
      </w:r>
      <w:r>
        <w:rPr>
          <w:noProof/>
        </w:rPr>
        <w:fldChar w:fldCharType="separate"/>
      </w:r>
      <w:r w:rsidR="00EE627C">
        <w:rPr>
          <w:noProof/>
        </w:rPr>
        <w:t>32</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7.3.1</w:t>
      </w:r>
      <w:r>
        <w:rPr>
          <w:rFonts w:asciiTheme="minorHAnsi" w:eastAsiaTheme="minorEastAsia" w:hAnsiTheme="minorHAnsi" w:cstheme="minorBidi"/>
          <w:b w:val="0"/>
          <w:noProof/>
          <w:kern w:val="0"/>
          <w:szCs w:val="22"/>
        </w:rPr>
        <w:tab/>
      </w:r>
      <w:r>
        <w:rPr>
          <w:noProof/>
        </w:rPr>
        <w:t>Oral Bioavailability</w:t>
      </w:r>
      <w:r>
        <w:rPr>
          <w:noProof/>
        </w:rPr>
        <w:tab/>
      </w:r>
      <w:r>
        <w:rPr>
          <w:noProof/>
        </w:rPr>
        <w:fldChar w:fldCharType="begin"/>
      </w:r>
      <w:r>
        <w:rPr>
          <w:noProof/>
        </w:rPr>
        <w:instrText xml:space="preserve"> PAGEREF _Toc351714184 \h </w:instrText>
      </w:r>
      <w:r>
        <w:rPr>
          <w:noProof/>
        </w:rPr>
      </w:r>
      <w:r>
        <w:rPr>
          <w:noProof/>
        </w:rPr>
        <w:fldChar w:fldCharType="separate"/>
      </w:r>
      <w:r w:rsidR="00EE627C">
        <w:rPr>
          <w:noProof/>
        </w:rPr>
        <w:t>32</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7.3.2</w:t>
      </w:r>
      <w:r>
        <w:rPr>
          <w:rFonts w:asciiTheme="minorHAnsi" w:eastAsiaTheme="minorEastAsia" w:hAnsiTheme="minorHAnsi" w:cstheme="minorBidi"/>
          <w:b w:val="0"/>
          <w:noProof/>
          <w:kern w:val="0"/>
          <w:szCs w:val="22"/>
        </w:rPr>
        <w:tab/>
      </w:r>
      <w:r>
        <w:rPr>
          <w:noProof/>
        </w:rPr>
        <w:t>Dermal absorption</w:t>
      </w:r>
      <w:r>
        <w:rPr>
          <w:noProof/>
        </w:rPr>
        <w:tab/>
      </w:r>
      <w:r>
        <w:rPr>
          <w:noProof/>
        </w:rPr>
        <w:fldChar w:fldCharType="begin"/>
      </w:r>
      <w:r>
        <w:rPr>
          <w:noProof/>
        </w:rPr>
        <w:instrText xml:space="preserve"> PAGEREF _Toc351714185 \h </w:instrText>
      </w:r>
      <w:r>
        <w:rPr>
          <w:noProof/>
        </w:rPr>
      </w:r>
      <w:r>
        <w:rPr>
          <w:noProof/>
        </w:rPr>
        <w:fldChar w:fldCharType="separate"/>
      </w:r>
      <w:r w:rsidR="00EE627C">
        <w:rPr>
          <w:noProof/>
        </w:rPr>
        <w:t>32</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7.3.3</w:t>
      </w:r>
      <w:r>
        <w:rPr>
          <w:rFonts w:asciiTheme="minorHAnsi" w:eastAsiaTheme="minorEastAsia" w:hAnsiTheme="minorHAnsi" w:cstheme="minorBidi"/>
          <w:b w:val="0"/>
          <w:noProof/>
          <w:kern w:val="0"/>
          <w:szCs w:val="22"/>
        </w:rPr>
        <w:tab/>
      </w:r>
      <w:r>
        <w:rPr>
          <w:noProof/>
        </w:rPr>
        <w:t>Inhalation of Dust</w:t>
      </w:r>
      <w:r>
        <w:rPr>
          <w:noProof/>
        </w:rPr>
        <w:tab/>
      </w:r>
      <w:r>
        <w:rPr>
          <w:noProof/>
        </w:rPr>
        <w:fldChar w:fldCharType="begin"/>
      </w:r>
      <w:r>
        <w:rPr>
          <w:noProof/>
        </w:rPr>
        <w:instrText xml:space="preserve"> PAGEREF _Toc351714186 \h </w:instrText>
      </w:r>
      <w:r>
        <w:rPr>
          <w:noProof/>
        </w:rPr>
      </w:r>
      <w:r>
        <w:rPr>
          <w:noProof/>
        </w:rPr>
        <w:fldChar w:fldCharType="separate"/>
      </w:r>
      <w:r w:rsidR="00EE627C">
        <w:rPr>
          <w:noProof/>
        </w:rPr>
        <w:t>32</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7.3.4</w:t>
      </w:r>
      <w:r>
        <w:rPr>
          <w:rFonts w:asciiTheme="minorHAnsi" w:eastAsiaTheme="minorEastAsia" w:hAnsiTheme="minorHAnsi" w:cstheme="minorBidi"/>
          <w:b w:val="0"/>
          <w:noProof/>
          <w:kern w:val="0"/>
          <w:szCs w:val="22"/>
        </w:rPr>
        <w:tab/>
      </w:r>
      <w:r>
        <w:rPr>
          <w:noProof/>
        </w:rPr>
        <w:t>Plant Uptake</w:t>
      </w:r>
      <w:r>
        <w:rPr>
          <w:noProof/>
        </w:rPr>
        <w:tab/>
      </w:r>
      <w:r>
        <w:rPr>
          <w:noProof/>
        </w:rPr>
        <w:fldChar w:fldCharType="begin"/>
      </w:r>
      <w:r>
        <w:rPr>
          <w:noProof/>
        </w:rPr>
        <w:instrText xml:space="preserve"> PAGEREF _Toc351714187 \h </w:instrText>
      </w:r>
      <w:r>
        <w:rPr>
          <w:noProof/>
        </w:rPr>
      </w:r>
      <w:r>
        <w:rPr>
          <w:noProof/>
        </w:rPr>
        <w:fldChar w:fldCharType="separate"/>
      </w:r>
      <w:r w:rsidR="00EE627C">
        <w:rPr>
          <w:noProof/>
        </w:rPr>
        <w:t>32</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7.3.5</w:t>
      </w:r>
      <w:r>
        <w:rPr>
          <w:rFonts w:asciiTheme="minorHAnsi" w:eastAsiaTheme="minorEastAsia" w:hAnsiTheme="minorHAnsi" w:cstheme="minorBidi"/>
          <w:b w:val="0"/>
          <w:noProof/>
          <w:kern w:val="0"/>
          <w:szCs w:val="22"/>
        </w:rPr>
        <w:tab/>
      </w:r>
      <w:r>
        <w:rPr>
          <w:noProof/>
        </w:rPr>
        <w:t>Intakes from Other Sources – Background</w:t>
      </w:r>
      <w:r>
        <w:rPr>
          <w:noProof/>
        </w:rPr>
        <w:tab/>
      </w:r>
      <w:r>
        <w:rPr>
          <w:noProof/>
        </w:rPr>
        <w:fldChar w:fldCharType="begin"/>
      </w:r>
      <w:r>
        <w:rPr>
          <w:noProof/>
        </w:rPr>
        <w:instrText xml:space="preserve"> PAGEREF _Toc351714188 \h </w:instrText>
      </w:r>
      <w:r>
        <w:rPr>
          <w:noProof/>
        </w:rPr>
      </w:r>
      <w:r>
        <w:rPr>
          <w:noProof/>
        </w:rPr>
        <w:fldChar w:fldCharType="separate"/>
      </w:r>
      <w:r w:rsidR="00EE627C">
        <w:rPr>
          <w:noProof/>
        </w:rPr>
        <w:t>33</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7.4</w:t>
      </w:r>
      <w:r>
        <w:rPr>
          <w:rFonts w:asciiTheme="minorHAnsi" w:eastAsiaTheme="minorEastAsia" w:hAnsiTheme="minorHAnsi" w:cstheme="minorBidi"/>
          <w:b w:val="0"/>
          <w:noProof/>
          <w:kern w:val="0"/>
          <w:sz w:val="22"/>
          <w:szCs w:val="22"/>
        </w:rPr>
        <w:tab/>
      </w:r>
      <w:r>
        <w:rPr>
          <w:noProof/>
        </w:rPr>
        <w:t>Identification of Toxicity Reference Values</w:t>
      </w:r>
      <w:r>
        <w:rPr>
          <w:noProof/>
        </w:rPr>
        <w:tab/>
      </w:r>
      <w:r>
        <w:rPr>
          <w:noProof/>
        </w:rPr>
        <w:fldChar w:fldCharType="begin"/>
      </w:r>
      <w:r>
        <w:rPr>
          <w:noProof/>
        </w:rPr>
        <w:instrText xml:space="preserve"> PAGEREF _Toc351714189 \h </w:instrText>
      </w:r>
      <w:r>
        <w:rPr>
          <w:noProof/>
        </w:rPr>
      </w:r>
      <w:r>
        <w:rPr>
          <w:noProof/>
        </w:rPr>
        <w:fldChar w:fldCharType="separate"/>
      </w:r>
      <w:r w:rsidR="00EE627C">
        <w:rPr>
          <w:noProof/>
        </w:rPr>
        <w:t>33</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7.4.1</w:t>
      </w:r>
      <w:r>
        <w:rPr>
          <w:rFonts w:asciiTheme="minorHAnsi" w:eastAsiaTheme="minorEastAsia" w:hAnsiTheme="minorHAnsi" w:cstheme="minorBidi"/>
          <w:b w:val="0"/>
          <w:noProof/>
          <w:kern w:val="0"/>
          <w:szCs w:val="22"/>
        </w:rPr>
        <w:tab/>
      </w:r>
      <w:r>
        <w:rPr>
          <w:noProof/>
        </w:rPr>
        <w:t>Classification</w:t>
      </w:r>
      <w:r>
        <w:rPr>
          <w:noProof/>
        </w:rPr>
        <w:tab/>
      </w:r>
      <w:r>
        <w:rPr>
          <w:noProof/>
        </w:rPr>
        <w:fldChar w:fldCharType="begin"/>
      </w:r>
      <w:r>
        <w:rPr>
          <w:noProof/>
        </w:rPr>
        <w:instrText xml:space="preserve"> PAGEREF _Toc351714190 \h </w:instrText>
      </w:r>
      <w:r>
        <w:rPr>
          <w:noProof/>
        </w:rPr>
      </w:r>
      <w:r>
        <w:rPr>
          <w:noProof/>
        </w:rPr>
        <w:fldChar w:fldCharType="separate"/>
      </w:r>
      <w:r w:rsidR="00EE627C">
        <w:rPr>
          <w:noProof/>
        </w:rPr>
        <w:t>33</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7.4.2</w:t>
      </w:r>
      <w:r>
        <w:rPr>
          <w:rFonts w:asciiTheme="minorHAnsi" w:eastAsiaTheme="minorEastAsia" w:hAnsiTheme="minorHAnsi" w:cstheme="minorBidi"/>
          <w:b w:val="0"/>
          <w:noProof/>
          <w:kern w:val="0"/>
          <w:szCs w:val="22"/>
        </w:rPr>
        <w:tab/>
      </w:r>
      <w:r>
        <w:rPr>
          <w:noProof/>
        </w:rPr>
        <w:t>Review of Available Values/Information</w:t>
      </w:r>
      <w:r>
        <w:rPr>
          <w:noProof/>
        </w:rPr>
        <w:tab/>
      </w:r>
      <w:r>
        <w:rPr>
          <w:noProof/>
        </w:rPr>
        <w:fldChar w:fldCharType="begin"/>
      </w:r>
      <w:r>
        <w:rPr>
          <w:noProof/>
        </w:rPr>
        <w:instrText xml:space="preserve"> PAGEREF _Toc351714191 \h </w:instrText>
      </w:r>
      <w:r>
        <w:rPr>
          <w:noProof/>
        </w:rPr>
      </w:r>
      <w:r>
        <w:rPr>
          <w:noProof/>
        </w:rPr>
        <w:fldChar w:fldCharType="separate"/>
      </w:r>
      <w:r w:rsidR="00EE627C">
        <w:rPr>
          <w:noProof/>
        </w:rPr>
        <w:t>33</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7.4.3</w:t>
      </w:r>
      <w:r>
        <w:rPr>
          <w:rFonts w:asciiTheme="minorHAnsi" w:eastAsiaTheme="minorEastAsia" w:hAnsiTheme="minorHAnsi" w:cstheme="minorBidi"/>
          <w:b w:val="0"/>
          <w:noProof/>
          <w:kern w:val="0"/>
          <w:szCs w:val="22"/>
        </w:rPr>
        <w:tab/>
      </w:r>
      <w:r>
        <w:rPr>
          <w:noProof/>
        </w:rPr>
        <w:t>Recommendation</w:t>
      </w:r>
      <w:r>
        <w:rPr>
          <w:noProof/>
        </w:rPr>
        <w:tab/>
      </w:r>
      <w:r>
        <w:rPr>
          <w:noProof/>
        </w:rPr>
        <w:fldChar w:fldCharType="begin"/>
      </w:r>
      <w:r>
        <w:rPr>
          <w:noProof/>
        </w:rPr>
        <w:instrText xml:space="preserve"> PAGEREF _Toc351714192 \h </w:instrText>
      </w:r>
      <w:r>
        <w:rPr>
          <w:noProof/>
        </w:rPr>
      </w:r>
      <w:r>
        <w:rPr>
          <w:noProof/>
        </w:rPr>
        <w:fldChar w:fldCharType="separate"/>
      </w:r>
      <w:r w:rsidR="00EE627C">
        <w:rPr>
          <w:noProof/>
        </w:rPr>
        <w:t>34</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7.5</w:t>
      </w:r>
      <w:r>
        <w:rPr>
          <w:rFonts w:asciiTheme="minorHAnsi" w:eastAsiaTheme="minorEastAsia" w:hAnsiTheme="minorHAnsi" w:cstheme="minorBidi"/>
          <w:b w:val="0"/>
          <w:noProof/>
          <w:kern w:val="0"/>
          <w:sz w:val="22"/>
          <w:szCs w:val="22"/>
        </w:rPr>
        <w:tab/>
      </w:r>
      <w:r>
        <w:rPr>
          <w:noProof/>
        </w:rPr>
        <w:t>Calculated HILs</w:t>
      </w:r>
      <w:r>
        <w:rPr>
          <w:noProof/>
        </w:rPr>
        <w:tab/>
      </w:r>
      <w:r>
        <w:rPr>
          <w:noProof/>
        </w:rPr>
        <w:fldChar w:fldCharType="begin"/>
      </w:r>
      <w:r>
        <w:rPr>
          <w:noProof/>
        </w:rPr>
        <w:instrText xml:space="preserve"> PAGEREF _Toc351714193 \h </w:instrText>
      </w:r>
      <w:r>
        <w:rPr>
          <w:noProof/>
        </w:rPr>
      </w:r>
      <w:r>
        <w:rPr>
          <w:noProof/>
        </w:rPr>
        <w:fldChar w:fldCharType="separate"/>
      </w:r>
      <w:r w:rsidR="00EE627C">
        <w:rPr>
          <w:noProof/>
        </w:rPr>
        <w:t>35</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7.6</w:t>
      </w:r>
      <w:r>
        <w:rPr>
          <w:rFonts w:asciiTheme="minorHAnsi" w:eastAsiaTheme="minorEastAsia" w:hAnsiTheme="minorHAnsi" w:cstheme="minorBidi"/>
          <w:b w:val="0"/>
          <w:noProof/>
          <w:kern w:val="0"/>
          <w:sz w:val="22"/>
          <w:szCs w:val="22"/>
        </w:rPr>
        <w:tab/>
      </w:r>
      <w:r>
        <w:rPr>
          <w:noProof/>
        </w:rPr>
        <w:t>References</w:t>
      </w:r>
      <w:r>
        <w:rPr>
          <w:noProof/>
        </w:rPr>
        <w:tab/>
      </w:r>
      <w:r>
        <w:rPr>
          <w:noProof/>
        </w:rPr>
        <w:fldChar w:fldCharType="begin"/>
      </w:r>
      <w:r>
        <w:rPr>
          <w:noProof/>
        </w:rPr>
        <w:instrText xml:space="preserve"> PAGEREF _Toc351714194 \h </w:instrText>
      </w:r>
      <w:r>
        <w:rPr>
          <w:noProof/>
        </w:rPr>
      </w:r>
      <w:r>
        <w:rPr>
          <w:noProof/>
        </w:rPr>
        <w:fldChar w:fldCharType="separate"/>
      </w:r>
      <w:r w:rsidR="00EE627C">
        <w:rPr>
          <w:noProof/>
        </w:rPr>
        <w:t>35</w:t>
      </w:r>
      <w:r>
        <w:rPr>
          <w:noProof/>
        </w:rPr>
        <w:fldChar w:fldCharType="end"/>
      </w:r>
    </w:p>
    <w:p w:rsidR="003915F9" w:rsidRDefault="003915F9" w:rsidP="003915F9">
      <w:pPr>
        <w:pStyle w:val="TOC1"/>
        <w:keepNext w:val="0"/>
        <w:rPr>
          <w:rFonts w:asciiTheme="minorHAnsi" w:eastAsiaTheme="minorEastAsia" w:hAnsiTheme="minorHAnsi" w:cstheme="minorBidi"/>
          <w:b w:val="0"/>
          <w:noProof/>
          <w:kern w:val="0"/>
          <w:sz w:val="22"/>
          <w:szCs w:val="22"/>
        </w:rPr>
      </w:pPr>
      <w:r>
        <w:rPr>
          <w:noProof/>
        </w:rPr>
        <w:t>8</w:t>
      </w:r>
      <w:r>
        <w:rPr>
          <w:rFonts w:asciiTheme="minorHAnsi" w:eastAsiaTheme="minorEastAsia" w:hAnsiTheme="minorHAnsi" w:cstheme="minorBidi"/>
          <w:b w:val="0"/>
          <w:noProof/>
          <w:kern w:val="0"/>
          <w:sz w:val="22"/>
          <w:szCs w:val="22"/>
        </w:rPr>
        <w:tab/>
      </w:r>
      <w:r>
        <w:rPr>
          <w:noProof/>
        </w:rPr>
        <w:t>Methoxychlor</w:t>
      </w:r>
      <w:r>
        <w:rPr>
          <w:noProof/>
        </w:rPr>
        <w:tab/>
      </w:r>
      <w:r>
        <w:rPr>
          <w:noProof/>
        </w:rPr>
        <w:fldChar w:fldCharType="begin"/>
      </w:r>
      <w:r>
        <w:rPr>
          <w:noProof/>
        </w:rPr>
        <w:instrText xml:space="preserve"> PAGEREF _Toc351714195 \h </w:instrText>
      </w:r>
      <w:r>
        <w:rPr>
          <w:noProof/>
        </w:rPr>
      </w:r>
      <w:r>
        <w:rPr>
          <w:noProof/>
        </w:rPr>
        <w:fldChar w:fldCharType="separate"/>
      </w:r>
      <w:r w:rsidR="00EE627C">
        <w:rPr>
          <w:noProof/>
        </w:rPr>
        <w:t>37</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8.1</w:t>
      </w:r>
      <w:r>
        <w:rPr>
          <w:rFonts w:asciiTheme="minorHAnsi" w:eastAsiaTheme="minorEastAsia" w:hAnsiTheme="minorHAnsi" w:cstheme="minorBidi"/>
          <w:b w:val="0"/>
          <w:noProof/>
          <w:kern w:val="0"/>
          <w:sz w:val="22"/>
          <w:szCs w:val="22"/>
        </w:rPr>
        <w:tab/>
      </w:r>
      <w:r>
        <w:rPr>
          <w:noProof/>
        </w:rPr>
        <w:t>General</w:t>
      </w:r>
      <w:r>
        <w:rPr>
          <w:noProof/>
        </w:rPr>
        <w:tab/>
      </w:r>
      <w:r>
        <w:rPr>
          <w:noProof/>
        </w:rPr>
        <w:fldChar w:fldCharType="begin"/>
      </w:r>
      <w:r>
        <w:rPr>
          <w:noProof/>
        </w:rPr>
        <w:instrText xml:space="preserve"> PAGEREF _Toc351714196 \h </w:instrText>
      </w:r>
      <w:r>
        <w:rPr>
          <w:noProof/>
        </w:rPr>
      </w:r>
      <w:r>
        <w:rPr>
          <w:noProof/>
        </w:rPr>
        <w:fldChar w:fldCharType="separate"/>
      </w:r>
      <w:r w:rsidR="00EE627C">
        <w:rPr>
          <w:noProof/>
        </w:rPr>
        <w:t>37</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8.2</w:t>
      </w:r>
      <w:r>
        <w:rPr>
          <w:rFonts w:asciiTheme="minorHAnsi" w:eastAsiaTheme="minorEastAsia" w:hAnsiTheme="minorHAnsi" w:cstheme="minorBidi"/>
          <w:b w:val="0"/>
          <w:noProof/>
          <w:kern w:val="0"/>
          <w:sz w:val="22"/>
          <w:szCs w:val="22"/>
        </w:rPr>
        <w:tab/>
      </w:r>
      <w:r>
        <w:rPr>
          <w:noProof/>
        </w:rPr>
        <w:t>Previous HIL</w:t>
      </w:r>
      <w:r>
        <w:rPr>
          <w:noProof/>
        </w:rPr>
        <w:tab/>
      </w:r>
      <w:r>
        <w:rPr>
          <w:noProof/>
        </w:rPr>
        <w:fldChar w:fldCharType="begin"/>
      </w:r>
      <w:r>
        <w:rPr>
          <w:noProof/>
        </w:rPr>
        <w:instrText xml:space="preserve"> PAGEREF _Toc351714197 \h </w:instrText>
      </w:r>
      <w:r>
        <w:rPr>
          <w:noProof/>
        </w:rPr>
      </w:r>
      <w:r>
        <w:rPr>
          <w:noProof/>
        </w:rPr>
        <w:fldChar w:fldCharType="separate"/>
      </w:r>
      <w:r w:rsidR="00EE627C">
        <w:rPr>
          <w:noProof/>
        </w:rPr>
        <w:t>37</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8.3</w:t>
      </w:r>
      <w:r>
        <w:rPr>
          <w:rFonts w:asciiTheme="minorHAnsi" w:eastAsiaTheme="minorEastAsia" w:hAnsiTheme="minorHAnsi" w:cstheme="minorBidi"/>
          <w:b w:val="0"/>
          <w:noProof/>
          <w:kern w:val="0"/>
          <w:sz w:val="22"/>
          <w:szCs w:val="22"/>
        </w:rPr>
        <w:tab/>
      </w:r>
      <w:r>
        <w:rPr>
          <w:noProof/>
        </w:rPr>
        <w:t>Significance of Exposure Pathways</w:t>
      </w:r>
      <w:r>
        <w:rPr>
          <w:noProof/>
        </w:rPr>
        <w:tab/>
      </w:r>
      <w:r>
        <w:rPr>
          <w:noProof/>
        </w:rPr>
        <w:fldChar w:fldCharType="begin"/>
      </w:r>
      <w:r>
        <w:rPr>
          <w:noProof/>
        </w:rPr>
        <w:instrText xml:space="preserve"> PAGEREF _Toc351714198 \h </w:instrText>
      </w:r>
      <w:r>
        <w:rPr>
          <w:noProof/>
        </w:rPr>
      </w:r>
      <w:r>
        <w:rPr>
          <w:noProof/>
        </w:rPr>
        <w:fldChar w:fldCharType="separate"/>
      </w:r>
      <w:r w:rsidR="00EE627C">
        <w:rPr>
          <w:noProof/>
        </w:rPr>
        <w:t>37</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8.3.1</w:t>
      </w:r>
      <w:r>
        <w:rPr>
          <w:rFonts w:asciiTheme="minorHAnsi" w:eastAsiaTheme="minorEastAsia" w:hAnsiTheme="minorHAnsi" w:cstheme="minorBidi"/>
          <w:b w:val="0"/>
          <w:noProof/>
          <w:kern w:val="0"/>
          <w:szCs w:val="22"/>
        </w:rPr>
        <w:tab/>
      </w:r>
      <w:r>
        <w:rPr>
          <w:noProof/>
        </w:rPr>
        <w:t>Oral Bioavailability</w:t>
      </w:r>
      <w:r>
        <w:rPr>
          <w:noProof/>
        </w:rPr>
        <w:tab/>
      </w:r>
      <w:r>
        <w:rPr>
          <w:noProof/>
        </w:rPr>
        <w:fldChar w:fldCharType="begin"/>
      </w:r>
      <w:r>
        <w:rPr>
          <w:noProof/>
        </w:rPr>
        <w:instrText xml:space="preserve"> PAGEREF _Toc351714199 \h </w:instrText>
      </w:r>
      <w:r>
        <w:rPr>
          <w:noProof/>
        </w:rPr>
      </w:r>
      <w:r>
        <w:rPr>
          <w:noProof/>
        </w:rPr>
        <w:fldChar w:fldCharType="separate"/>
      </w:r>
      <w:r w:rsidR="00EE627C">
        <w:rPr>
          <w:noProof/>
        </w:rPr>
        <w:t>37</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8.3.2</w:t>
      </w:r>
      <w:r>
        <w:rPr>
          <w:rFonts w:asciiTheme="minorHAnsi" w:eastAsiaTheme="minorEastAsia" w:hAnsiTheme="minorHAnsi" w:cstheme="minorBidi"/>
          <w:b w:val="0"/>
          <w:noProof/>
          <w:kern w:val="0"/>
          <w:szCs w:val="22"/>
        </w:rPr>
        <w:tab/>
      </w:r>
      <w:r>
        <w:rPr>
          <w:noProof/>
        </w:rPr>
        <w:t>Dermal absorption</w:t>
      </w:r>
      <w:r>
        <w:rPr>
          <w:noProof/>
        </w:rPr>
        <w:tab/>
      </w:r>
      <w:r>
        <w:rPr>
          <w:noProof/>
        </w:rPr>
        <w:fldChar w:fldCharType="begin"/>
      </w:r>
      <w:r>
        <w:rPr>
          <w:noProof/>
        </w:rPr>
        <w:instrText xml:space="preserve"> PAGEREF _Toc351714200 \h </w:instrText>
      </w:r>
      <w:r>
        <w:rPr>
          <w:noProof/>
        </w:rPr>
      </w:r>
      <w:r>
        <w:rPr>
          <w:noProof/>
        </w:rPr>
        <w:fldChar w:fldCharType="separate"/>
      </w:r>
      <w:r w:rsidR="00EE627C">
        <w:rPr>
          <w:noProof/>
        </w:rPr>
        <w:t>37</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lastRenderedPageBreak/>
        <w:t>8.3.3</w:t>
      </w:r>
      <w:r>
        <w:rPr>
          <w:rFonts w:asciiTheme="minorHAnsi" w:eastAsiaTheme="minorEastAsia" w:hAnsiTheme="minorHAnsi" w:cstheme="minorBidi"/>
          <w:b w:val="0"/>
          <w:noProof/>
          <w:kern w:val="0"/>
          <w:szCs w:val="22"/>
        </w:rPr>
        <w:tab/>
      </w:r>
      <w:r>
        <w:rPr>
          <w:noProof/>
        </w:rPr>
        <w:t>Inhalation of Dust</w:t>
      </w:r>
      <w:r>
        <w:rPr>
          <w:noProof/>
        </w:rPr>
        <w:tab/>
      </w:r>
      <w:r>
        <w:rPr>
          <w:noProof/>
        </w:rPr>
        <w:fldChar w:fldCharType="begin"/>
      </w:r>
      <w:r>
        <w:rPr>
          <w:noProof/>
        </w:rPr>
        <w:instrText xml:space="preserve"> PAGEREF _Toc351714201 \h </w:instrText>
      </w:r>
      <w:r>
        <w:rPr>
          <w:noProof/>
        </w:rPr>
      </w:r>
      <w:r>
        <w:rPr>
          <w:noProof/>
        </w:rPr>
        <w:fldChar w:fldCharType="separate"/>
      </w:r>
      <w:r w:rsidR="00EE627C">
        <w:rPr>
          <w:noProof/>
        </w:rPr>
        <w:t>37</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8.3.4</w:t>
      </w:r>
      <w:r>
        <w:rPr>
          <w:rFonts w:asciiTheme="minorHAnsi" w:eastAsiaTheme="minorEastAsia" w:hAnsiTheme="minorHAnsi" w:cstheme="minorBidi"/>
          <w:b w:val="0"/>
          <w:noProof/>
          <w:kern w:val="0"/>
          <w:szCs w:val="22"/>
        </w:rPr>
        <w:tab/>
      </w:r>
      <w:r>
        <w:rPr>
          <w:noProof/>
        </w:rPr>
        <w:t>Plant Uptake</w:t>
      </w:r>
      <w:r>
        <w:rPr>
          <w:noProof/>
        </w:rPr>
        <w:tab/>
      </w:r>
      <w:r>
        <w:rPr>
          <w:noProof/>
        </w:rPr>
        <w:fldChar w:fldCharType="begin"/>
      </w:r>
      <w:r>
        <w:rPr>
          <w:noProof/>
        </w:rPr>
        <w:instrText xml:space="preserve"> PAGEREF _Toc351714202 \h </w:instrText>
      </w:r>
      <w:r>
        <w:rPr>
          <w:noProof/>
        </w:rPr>
      </w:r>
      <w:r>
        <w:rPr>
          <w:noProof/>
        </w:rPr>
        <w:fldChar w:fldCharType="separate"/>
      </w:r>
      <w:r w:rsidR="00EE627C">
        <w:rPr>
          <w:noProof/>
        </w:rPr>
        <w:t>37</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8.3.5</w:t>
      </w:r>
      <w:r>
        <w:rPr>
          <w:rFonts w:asciiTheme="minorHAnsi" w:eastAsiaTheme="minorEastAsia" w:hAnsiTheme="minorHAnsi" w:cstheme="minorBidi"/>
          <w:b w:val="0"/>
          <w:noProof/>
          <w:kern w:val="0"/>
          <w:szCs w:val="22"/>
        </w:rPr>
        <w:tab/>
      </w:r>
      <w:r>
        <w:rPr>
          <w:noProof/>
        </w:rPr>
        <w:t>Intakes from Other Sources – Background</w:t>
      </w:r>
      <w:r>
        <w:rPr>
          <w:noProof/>
        </w:rPr>
        <w:tab/>
      </w:r>
      <w:r>
        <w:rPr>
          <w:noProof/>
        </w:rPr>
        <w:fldChar w:fldCharType="begin"/>
      </w:r>
      <w:r>
        <w:rPr>
          <w:noProof/>
        </w:rPr>
        <w:instrText xml:space="preserve"> PAGEREF _Toc351714203 \h </w:instrText>
      </w:r>
      <w:r>
        <w:rPr>
          <w:noProof/>
        </w:rPr>
      </w:r>
      <w:r>
        <w:rPr>
          <w:noProof/>
        </w:rPr>
        <w:fldChar w:fldCharType="separate"/>
      </w:r>
      <w:r w:rsidR="00EE627C">
        <w:rPr>
          <w:noProof/>
        </w:rPr>
        <w:t>37</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8.4</w:t>
      </w:r>
      <w:r>
        <w:rPr>
          <w:rFonts w:asciiTheme="minorHAnsi" w:eastAsiaTheme="minorEastAsia" w:hAnsiTheme="minorHAnsi" w:cstheme="minorBidi"/>
          <w:b w:val="0"/>
          <w:noProof/>
          <w:kern w:val="0"/>
          <w:sz w:val="22"/>
          <w:szCs w:val="22"/>
        </w:rPr>
        <w:tab/>
      </w:r>
      <w:r>
        <w:rPr>
          <w:noProof/>
        </w:rPr>
        <w:t>Identification of Toxicity Reference Values</w:t>
      </w:r>
      <w:r>
        <w:rPr>
          <w:noProof/>
        </w:rPr>
        <w:tab/>
      </w:r>
      <w:r>
        <w:rPr>
          <w:noProof/>
        </w:rPr>
        <w:fldChar w:fldCharType="begin"/>
      </w:r>
      <w:r>
        <w:rPr>
          <w:noProof/>
        </w:rPr>
        <w:instrText xml:space="preserve"> PAGEREF _Toc351714204 \h </w:instrText>
      </w:r>
      <w:r>
        <w:rPr>
          <w:noProof/>
        </w:rPr>
      </w:r>
      <w:r>
        <w:rPr>
          <w:noProof/>
        </w:rPr>
        <w:fldChar w:fldCharType="separate"/>
      </w:r>
      <w:r w:rsidR="00EE627C">
        <w:rPr>
          <w:noProof/>
        </w:rPr>
        <w:t>38</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8.4.1</w:t>
      </w:r>
      <w:r>
        <w:rPr>
          <w:rFonts w:asciiTheme="minorHAnsi" w:eastAsiaTheme="minorEastAsia" w:hAnsiTheme="minorHAnsi" w:cstheme="minorBidi"/>
          <w:b w:val="0"/>
          <w:noProof/>
          <w:kern w:val="0"/>
          <w:szCs w:val="22"/>
        </w:rPr>
        <w:tab/>
      </w:r>
      <w:r>
        <w:rPr>
          <w:noProof/>
        </w:rPr>
        <w:t>Classification</w:t>
      </w:r>
      <w:r>
        <w:rPr>
          <w:noProof/>
        </w:rPr>
        <w:tab/>
      </w:r>
      <w:r>
        <w:rPr>
          <w:noProof/>
        </w:rPr>
        <w:fldChar w:fldCharType="begin"/>
      </w:r>
      <w:r>
        <w:rPr>
          <w:noProof/>
        </w:rPr>
        <w:instrText xml:space="preserve"> PAGEREF _Toc351714205 \h </w:instrText>
      </w:r>
      <w:r>
        <w:rPr>
          <w:noProof/>
        </w:rPr>
      </w:r>
      <w:r>
        <w:rPr>
          <w:noProof/>
        </w:rPr>
        <w:fldChar w:fldCharType="separate"/>
      </w:r>
      <w:r w:rsidR="00EE627C">
        <w:rPr>
          <w:noProof/>
        </w:rPr>
        <w:t>38</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8.4.2</w:t>
      </w:r>
      <w:r>
        <w:rPr>
          <w:rFonts w:asciiTheme="minorHAnsi" w:eastAsiaTheme="minorEastAsia" w:hAnsiTheme="minorHAnsi" w:cstheme="minorBidi"/>
          <w:b w:val="0"/>
          <w:noProof/>
          <w:kern w:val="0"/>
          <w:szCs w:val="22"/>
        </w:rPr>
        <w:tab/>
      </w:r>
      <w:r>
        <w:rPr>
          <w:noProof/>
        </w:rPr>
        <w:t>Review of Available Values/Information</w:t>
      </w:r>
      <w:r>
        <w:rPr>
          <w:noProof/>
        </w:rPr>
        <w:tab/>
      </w:r>
      <w:r>
        <w:rPr>
          <w:noProof/>
        </w:rPr>
        <w:fldChar w:fldCharType="begin"/>
      </w:r>
      <w:r>
        <w:rPr>
          <w:noProof/>
        </w:rPr>
        <w:instrText xml:space="preserve"> PAGEREF _Toc351714206 \h </w:instrText>
      </w:r>
      <w:r>
        <w:rPr>
          <w:noProof/>
        </w:rPr>
      </w:r>
      <w:r>
        <w:rPr>
          <w:noProof/>
        </w:rPr>
        <w:fldChar w:fldCharType="separate"/>
      </w:r>
      <w:r w:rsidR="00EE627C">
        <w:rPr>
          <w:noProof/>
        </w:rPr>
        <w:t>38</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8.4.3</w:t>
      </w:r>
      <w:r>
        <w:rPr>
          <w:rFonts w:asciiTheme="minorHAnsi" w:eastAsiaTheme="minorEastAsia" w:hAnsiTheme="minorHAnsi" w:cstheme="minorBidi"/>
          <w:b w:val="0"/>
          <w:noProof/>
          <w:kern w:val="0"/>
          <w:szCs w:val="22"/>
        </w:rPr>
        <w:tab/>
      </w:r>
      <w:r>
        <w:rPr>
          <w:noProof/>
        </w:rPr>
        <w:t>Recommendation</w:t>
      </w:r>
      <w:r>
        <w:rPr>
          <w:noProof/>
        </w:rPr>
        <w:tab/>
      </w:r>
      <w:r>
        <w:rPr>
          <w:noProof/>
        </w:rPr>
        <w:fldChar w:fldCharType="begin"/>
      </w:r>
      <w:r>
        <w:rPr>
          <w:noProof/>
        </w:rPr>
        <w:instrText xml:space="preserve"> PAGEREF _Toc351714207 \h </w:instrText>
      </w:r>
      <w:r>
        <w:rPr>
          <w:noProof/>
        </w:rPr>
      </w:r>
      <w:r>
        <w:rPr>
          <w:noProof/>
        </w:rPr>
        <w:fldChar w:fldCharType="separate"/>
      </w:r>
      <w:r w:rsidR="00EE627C">
        <w:rPr>
          <w:noProof/>
        </w:rPr>
        <w:t>39</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8.5</w:t>
      </w:r>
      <w:r>
        <w:rPr>
          <w:rFonts w:asciiTheme="minorHAnsi" w:eastAsiaTheme="minorEastAsia" w:hAnsiTheme="minorHAnsi" w:cstheme="minorBidi"/>
          <w:b w:val="0"/>
          <w:noProof/>
          <w:kern w:val="0"/>
          <w:sz w:val="22"/>
          <w:szCs w:val="22"/>
        </w:rPr>
        <w:tab/>
      </w:r>
      <w:r>
        <w:rPr>
          <w:noProof/>
        </w:rPr>
        <w:t>Calculated HILs</w:t>
      </w:r>
      <w:r>
        <w:rPr>
          <w:noProof/>
        </w:rPr>
        <w:tab/>
      </w:r>
      <w:r>
        <w:rPr>
          <w:noProof/>
        </w:rPr>
        <w:fldChar w:fldCharType="begin"/>
      </w:r>
      <w:r>
        <w:rPr>
          <w:noProof/>
        </w:rPr>
        <w:instrText xml:space="preserve"> PAGEREF _Toc351714208 \h </w:instrText>
      </w:r>
      <w:r>
        <w:rPr>
          <w:noProof/>
        </w:rPr>
      </w:r>
      <w:r>
        <w:rPr>
          <w:noProof/>
        </w:rPr>
        <w:fldChar w:fldCharType="separate"/>
      </w:r>
      <w:r w:rsidR="00EE627C">
        <w:rPr>
          <w:noProof/>
        </w:rPr>
        <w:t>39</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8.6</w:t>
      </w:r>
      <w:r>
        <w:rPr>
          <w:rFonts w:asciiTheme="minorHAnsi" w:eastAsiaTheme="minorEastAsia" w:hAnsiTheme="minorHAnsi" w:cstheme="minorBidi"/>
          <w:b w:val="0"/>
          <w:noProof/>
          <w:kern w:val="0"/>
          <w:sz w:val="22"/>
          <w:szCs w:val="22"/>
        </w:rPr>
        <w:tab/>
      </w:r>
      <w:r>
        <w:rPr>
          <w:noProof/>
        </w:rPr>
        <w:t>References</w:t>
      </w:r>
      <w:r>
        <w:rPr>
          <w:noProof/>
        </w:rPr>
        <w:tab/>
      </w:r>
      <w:r>
        <w:rPr>
          <w:noProof/>
        </w:rPr>
        <w:fldChar w:fldCharType="begin"/>
      </w:r>
      <w:r>
        <w:rPr>
          <w:noProof/>
        </w:rPr>
        <w:instrText xml:space="preserve"> PAGEREF _Toc351714209 \h </w:instrText>
      </w:r>
      <w:r>
        <w:rPr>
          <w:noProof/>
        </w:rPr>
      </w:r>
      <w:r>
        <w:rPr>
          <w:noProof/>
        </w:rPr>
        <w:fldChar w:fldCharType="separate"/>
      </w:r>
      <w:r w:rsidR="00EE627C">
        <w:rPr>
          <w:noProof/>
        </w:rPr>
        <w:t>39</w:t>
      </w:r>
      <w:r>
        <w:rPr>
          <w:noProof/>
        </w:rPr>
        <w:fldChar w:fldCharType="end"/>
      </w:r>
    </w:p>
    <w:p w:rsidR="003915F9" w:rsidRDefault="003915F9" w:rsidP="003915F9">
      <w:pPr>
        <w:pStyle w:val="TOC1"/>
        <w:keepNext w:val="0"/>
        <w:rPr>
          <w:rFonts w:asciiTheme="minorHAnsi" w:eastAsiaTheme="minorEastAsia" w:hAnsiTheme="minorHAnsi" w:cstheme="minorBidi"/>
          <w:b w:val="0"/>
          <w:noProof/>
          <w:kern w:val="0"/>
          <w:sz w:val="22"/>
          <w:szCs w:val="22"/>
        </w:rPr>
      </w:pPr>
      <w:r>
        <w:rPr>
          <w:noProof/>
        </w:rPr>
        <w:t>9</w:t>
      </w:r>
      <w:r>
        <w:rPr>
          <w:rFonts w:asciiTheme="minorHAnsi" w:eastAsiaTheme="minorEastAsia" w:hAnsiTheme="minorHAnsi" w:cstheme="minorBidi"/>
          <w:b w:val="0"/>
          <w:noProof/>
          <w:kern w:val="0"/>
          <w:sz w:val="22"/>
          <w:szCs w:val="22"/>
        </w:rPr>
        <w:tab/>
      </w:r>
      <w:r>
        <w:rPr>
          <w:noProof/>
        </w:rPr>
        <w:t>Mirex</w:t>
      </w:r>
      <w:r>
        <w:rPr>
          <w:noProof/>
        </w:rPr>
        <w:tab/>
      </w:r>
      <w:r>
        <w:rPr>
          <w:noProof/>
        </w:rPr>
        <w:fldChar w:fldCharType="begin"/>
      </w:r>
      <w:r>
        <w:rPr>
          <w:noProof/>
        </w:rPr>
        <w:instrText xml:space="preserve"> PAGEREF _Toc351714210 \h </w:instrText>
      </w:r>
      <w:r>
        <w:rPr>
          <w:noProof/>
        </w:rPr>
      </w:r>
      <w:r>
        <w:rPr>
          <w:noProof/>
        </w:rPr>
        <w:fldChar w:fldCharType="separate"/>
      </w:r>
      <w:r w:rsidR="00EE627C">
        <w:rPr>
          <w:noProof/>
        </w:rPr>
        <w:t>41</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9.1</w:t>
      </w:r>
      <w:r>
        <w:rPr>
          <w:rFonts w:asciiTheme="minorHAnsi" w:eastAsiaTheme="minorEastAsia" w:hAnsiTheme="minorHAnsi" w:cstheme="minorBidi"/>
          <w:b w:val="0"/>
          <w:noProof/>
          <w:kern w:val="0"/>
          <w:sz w:val="22"/>
          <w:szCs w:val="22"/>
        </w:rPr>
        <w:tab/>
      </w:r>
      <w:r>
        <w:rPr>
          <w:noProof/>
        </w:rPr>
        <w:t>General</w:t>
      </w:r>
      <w:r>
        <w:rPr>
          <w:noProof/>
        </w:rPr>
        <w:tab/>
      </w:r>
      <w:r>
        <w:rPr>
          <w:noProof/>
        </w:rPr>
        <w:fldChar w:fldCharType="begin"/>
      </w:r>
      <w:r>
        <w:rPr>
          <w:noProof/>
        </w:rPr>
        <w:instrText xml:space="preserve"> PAGEREF _Toc351714211 \h </w:instrText>
      </w:r>
      <w:r>
        <w:rPr>
          <w:noProof/>
        </w:rPr>
      </w:r>
      <w:r>
        <w:rPr>
          <w:noProof/>
        </w:rPr>
        <w:fldChar w:fldCharType="separate"/>
      </w:r>
      <w:r w:rsidR="00EE627C">
        <w:rPr>
          <w:noProof/>
        </w:rPr>
        <w:t>41</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9.2</w:t>
      </w:r>
      <w:r>
        <w:rPr>
          <w:rFonts w:asciiTheme="minorHAnsi" w:eastAsiaTheme="minorEastAsia" w:hAnsiTheme="minorHAnsi" w:cstheme="minorBidi"/>
          <w:b w:val="0"/>
          <w:noProof/>
          <w:kern w:val="0"/>
          <w:sz w:val="22"/>
          <w:szCs w:val="22"/>
        </w:rPr>
        <w:tab/>
      </w:r>
      <w:r>
        <w:rPr>
          <w:noProof/>
        </w:rPr>
        <w:t>Previous HIL</w:t>
      </w:r>
      <w:r>
        <w:rPr>
          <w:noProof/>
        </w:rPr>
        <w:tab/>
      </w:r>
      <w:r>
        <w:rPr>
          <w:noProof/>
        </w:rPr>
        <w:fldChar w:fldCharType="begin"/>
      </w:r>
      <w:r>
        <w:rPr>
          <w:noProof/>
        </w:rPr>
        <w:instrText xml:space="preserve"> PAGEREF _Toc351714212 \h </w:instrText>
      </w:r>
      <w:r>
        <w:rPr>
          <w:noProof/>
        </w:rPr>
      </w:r>
      <w:r>
        <w:rPr>
          <w:noProof/>
        </w:rPr>
        <w:fldChar w:fldCharType="separate"/>
      </w:r>
      <w:r w:rsidR="00EE627C">
        <w:rPr>
          <w:noProof/>
        </w:rPr>
        <w:t>41</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9.3</w:t>
      </w:r>
      <w:r>
        <w:rPr>
          <w:rFonts w:asciiTheme="minorHAnsi" w:eastAsiaTheme="minorEastAsia" w:hAnsiTheme="minorHAnsi" w:cstheme="minorBidi"/>
          <w:b w:val="0"/>
          <w:noProof/>
          <w:kern w:val="0"/>
          <w:sz w:val="22"/>
          <w:szCs w:val="22"/>
        </w:rPr>
        <w:tab/>
      </w:r>
      <w:r>
        <w:rPr>
          <w:noProof/>
        </w:rPr>
        <w:t>Significance of Exposure Pathways</w:t>
      </w:r>
      <w:r>
        <w:rPr>
          <w:noProof/>
        </w:rPr>
        <w:tab/>
      </w:r>
      <w:r>
        <w:rPr>
          <w:noProof/>
        </w:rPr>
        <w:fldChar w:fldCharType="begin"/>
      </w:r>
      <w:r>
        <w:rPr>
          <w:noProof/>
        </w:rPr>
        <w:instrText xml:space="preserve"> PAGEREF _Toc351714213 \h </w:instrText>
      </w:r>
      <w:r>
        <w:rPr>
          <w:noProof/>
        </w:rPr>
      </w:r>
      <w:r>
        <w:rPr>
          <w:noProof/>
        </w:rPr>
        <w:fldChar w:fldCharType="separate"/>
      </w:r>
      <w:r w:rsidR="00EE627C">
        <w:rPr>
          <w:noProof/>
        </w:rPr>
        <w:t>41</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9.3.1</w:t>
      </w:r>
      <w:r>
        <w:rPr>
          <w:rFonts w:asciiTheme="minorHAnsi" w:eastAsiaTheme="minorEastAsia" w:hAnsiTheme="minorHAnsi" w:cstheme="minorBidi"/>
          <w:b w:val="0"/>
          <w:noProof/>
          <w:kern w:val="0"/>
          <w:szCs w:val="22"/>
        </w:rPr>
        <w:tab/>
      </w:r>
      <w:r>
        <w:rPr>
          <w:noProof/>
        </w:rPr>
        <w:t>Oral Bioavailability</w:t>
      </w:r>
      <w:r>
        <w:rPr>
          <w:noProof/>
        </w:rPr>
        <w:tab/>
      </w:r>
      <w:r>
        <w:rPr>
          <w:noProof/>
        </w:rPr>
        <w:fldChar w:fldCharType="begin"/>
      </w:r>
      <w:r>
        <w:rPr>
          <w:noProof/>
        </w:rPr>
        <w:instrText xml:space="preserve"> PAGEREF _Toc351714214 \h </w:instrText>
      </w:r>
      <w:r>
        <w:rPr>
          <w:noProof/>
        </w:rPr>
      </w:r>
      <w:r>
        <w:rPr>
          <w:noProof/>
        </w:rPr>
        <w:fldChar w:fldCharType="separate"/>
      </w:r>
      <w:r w:rsidR="00EE627C">
        <w:rPr>
          <w:noProof/>
        </w:rPr>
        <w:t>41</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9.3.2</w:t>
      </w:r>
      <w:r>
        <w:rPr>
          <w:rFonts w:asciiTheme="minorHAnsi" w:eastAsiaTheme="minorEastAsia" w:hAnsiTheme="minorHAnsi" w:cstheme="minorBidi"/>
          <w:b w:val="0"/>
          <w:noProof/>
          <w:kern w:val="0"/>
          <w:szCs w:val="22"/>
        </w:rPr>
        <w:tab/>
      </w:r>
      <w:r>
        <w:rPr>
          <w:noProof/>
        </w:rPr>
        <w:t>Dermal absorption</w:t>
      </w:r>
      <w:r>
        <w:rPr>
          <w:noProof/>
        </w:rPr>
        <w:tab/>
      </w:r>
      <w:r>
        <w:rPr>
          <w:noProof/>
        </w:rPr>
        <w:fldChar w:fldCharType="begin"/>
      </w:r>
      <w:r>
        <w:rPr>
          <w:noProof/>
        </w:rPr>
        <w:instrText xml:space="preserve"> PAGEREF _Toc351714215 \h </w:instrText>
      </w:r>
      <w:r>
        <w:rPr>
          <w:noProof/>
        </w:rPr>
      </w:r>
      <w:r>
        <w:rPr>
          <w:noProof/>
        </w:rPr>
        <w:fldChar w:fldCharType="separate"/>
      </w:r>
      <w:r w:rsidR="00EE627C">
        <w:rPr>
          <w:noProof/>
        </w:rPr>
        <w:t>41</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9.3.3</w:t>
      </w:r>
      <w:r>
        <w:rPr>
          <w:rFonts w:asciiTheme="minorHAnsi" w:eastAsiaTheme="minorEastAsia" w:hAnsiTheme="minorHAnsi" w:cstheme="minorBidi"/>
          <w:b w:val="0"/>
          <w:noProof/>
          <w:kern w:val="0"/>
          <w:szCs w:val="22"/>
        </w:rPr>
        <w:tab/>
      </w:r>
      <w:r>
        <w:rPr>
          <w:noProof/>
        </w:rPr>
        <w:t>Inhalation of Dust</w:t>
      </w:r>
      <w:r>
        <w:rPr>
          <w:noProof/>
        </w:rPr>
        <w:tab/>
      </w:r>
      <w:r>
        <w:rPr>
          <w:noProof/>
        </w:rPr>
        <w:fldChar w:fldCharType="begin"/>
      </w:r>
      <w:r>
        <w:rPr>
          <w:noProof/>
        </w:rPr>
        <w:instrText xml:space="preserve"> PAGEREF _Toc351714216 \h </w:instrText>
      </w:r>
      <w:r>
        <w:rPr>
          <w:noProof/>
        </w:rPr>
      </w:r>
      <w:r>
        <w:rPr>
          <w:noProof/>
        </w:rPr>
        <w:fldChar w:fldCharType="separate"/>
      </w:r>
      <w:r w:rsidR="00EE627C">
        <w:rPr>
          <w:noProof/>
        </w:rPr>
        <w:t>41</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9.3.4</w:t>
      </w:r>
      <w:r>
        <w:rPr>
          <w:rFonts w:asciiTheme="minorHAnsi" w:eastAsiaTheme="minorEastAsia" w:hAnsiTheme="minorHAnsi" w:cstheme="minorBidi"/>
          <w:b w:val="0"/>
          <w:noProof/>
          <w:kern w:val="0"/>
          <w:szCs w:val="22"/>
        </w:rPr>
        <w:tab/>
      </w:r>
      <w:r>
        <w:rPr>
          <w:noProof/>
        </w:rPr>
        <w:t>Plant Uptake</w:t>
      </w:r>
      <w:r>
        <w:rPr>
          <w:noProof/>
        </w:rPr>
        <w:tab/>
      </w:r>
      <w:r>
        <w:rPr>
          <w:noProof/>
        </w:rPr>
        <w:fldChar w:fldCharType="begin"/>
      </w:r>
      <w:r>
        <w:rPr>
          <w:noProof/>
        </w:rPr>
        <w:instrText xml:space="preserve"> PAGEREF _Toc351714217 \h </w:instrText>
      </w:r>
      <w:r>
        <w:rPr>
          <w:noProof/>
        </w:rPr>
      </w:r>
      <w:r>
        <w:rPr>
          <w:noProof/>
        </w:rPr>
        <w:fldChar w:fldCharType="separate"/>
      </w:r>
      <w:r w:rsidR="00EE627C">
        <w:rPr>
          <w:noProof/>
        </w:rPr>
        <w:t>41</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9.3.5</w:t>
      </w:r>
      <w:r>
        <w:rPr>
          <w:rFonts w:asciiTheme="minorHAnsi" w:eastAsiaTheme="minorEastAsia" w:hAnsiTheme="minorHAnsi" w:cstheme="minorBidi"/>
          <w:b w:val="0"/>
          <w:noProof/>
          <w:kern w:val="0"/>
          <w:szCs w:val="22"/>
        </w:rPr>
        <w:tab/>
      </w:r>
      <w:r>
        <w:rPr>
          <w:noProof/>
        </w:rPr>
        <w:t>Intakes from Other Sources – Background</w:t>
      </w:r>
      <w:r>
        <w:rPr>
          <w:noProof/>
        </w:rPr>
        <w:tab/>
      </w:r>
      <w:r>
        <w:rPr>
          <w:noProof/>
        </w:rPr>
        <w:fldChar w:fldCharType="begin"/>
      </w:r>
      <w:r>
        <w:rPr>
          <w:noProof/>
        </w:rPr>
        <w:instrText xml:space="preserve"> PAGEREF _Toc351714218 \h </w:instrText>
      </w:r>
      <w:r>
        <w:rPr>
          <w:noProof/>
        </w:rPr>
      </w:r>
      <w:r>
        <w:rPr>
          <w:noProof/>
        </w:rPr>
        <w:fldChar w:fldCharType="separate"/>
      </w:r>
      <w:r w:rsidR="00EE627C">
        <w:rPr>
          <w:noProof/>
        </w:rPr>
        <w:t>42</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9.4</w:t>
      </w:r>
      <w:r>
        <w:rPr>
          <w:rFonts w:asciiTheme="minorHAnsi" w:eastAsiaTheme="minorEastAsia" w:hAnsiTheme="minorHAnsi" w:cstheme="minorBidi"/>
          <w:b w:val="0"/>
          <w:noProof/>
          <w:kern w:val="0"/>
          <w:sz w:val="22"/>
          <w:szCs w:val="22"/>
        </w:rPr>
        <w:tab/>
      </w:r>
      <w:r>
        <w:rPr>
          <w:noProof/>
        </w:rPr>
        <w:t>Identification of Toxicity Reference Values</w:t>
      </w:r>
      <w:r>
        <w:rPr>
          <w:noProof/>
        </w:rPr>
        <w:tab/>
      </w:r>
      <w:r>
        <w:rPr>
          <w:noProof/>
        </w:rPr>
        <w:fldChar w:fldCharType="begin"/>
      </w:r>
      <w:r>
        <w:rPr>
          <w:noProof/>
        </w:rPr>
        <w:instrText xml:space="preserve"> PAGEREF _Toc351714219 \h </w:instrText>
      </w:r>
      <w:r>
        <w:rPr>
          <w:noProof/>
        </w:rPr>
      </w:r>
      <w:r>
        <w:rPr>
          <w:noProof/>
        </w:rPr>
        <w:fldChar w:fldCharType="separate"/>
      </w:r>
      <w:r w:rsidR="00EE627C">
        <w:rPr>
          <w:noProof/>
        </w:rPr>
        <w:t>42</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9.4.1</w:t>
      </w:r>
      <w:r>
        <w:rPr>
          <w:rFonts w:asciiTheme="minorHAnsi" w:eastAsiaTheme="minorEastAsia" w:hAnsiTheme="minorHAnsi" w:cstheme="minorBidi"/>
          <w:b w:val="0"/>
          <w:noProof/>
          <w:kern w:val="0"/>
          <w:szCs w:val="22"/>
        </w:rPr>
        <w:tab/>
      </w:r>
      <w:r>
        <w:rPr>
          <w:noProof/>
        </w:rPr>
        <w:t>Classification</w:t>
      </w:r>
      <w:r>
        <w:rPr>
          <w:noProof/>
        </w:rPr>
        <w:tab/>
      </w:r>
      <w:r>
        <w:rPr>
          <w:noProof/>
        </w:rPr>
        <w:fldChar w:fldCharType="begin"/>
      </w:r>
      <w:r>
        <w:rPr>
          <w:noProof/>
        </w:rPr>
        <w:instrText xml:space="preserve"> PAGEREF _Toc351714220 \h </w:instrText>
      </w:r>
      <w:r>
        <w:rPr>
          <w:noProof/>
        </w:rPr>
      </w:r>
      <w:r>
        <w:rPr>
          <w:noProof/>
        </w:rPr>
        <w:fldChar w:fldCharType="separate"/>
      </w:r>
      <w:r w:rsidR="00EE627C">
        <w:rPr>
          <w:noProof/>
        </w:rPr>
        <w:t>42</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9.4.2</w:t>
      </w:r>
      <w:r>
        <w:rPr>
          <w:rFonts w:asciiTheme="minorHAnsi" w:eastAsiaTheme="minorEastAsia" w:hAnsiTheme="minorHAnsi" w:cstheme="minorBidi"/>
          <w:b w:val="0"/>
          <w:noProof/>
          <w:kern w:val="0"/>
          <w:szCs w:val="22"/>
        </w:rPr>
        <w:tab/>
      </w:r>
      <w:r>
        <w:rPr>
          <w:noProof/>
        </w:rPr>
        <w:t>Review of Available Values/Information</w:t>
      </w:r>
      <w:r>
        <w:rPr>
          <w:noProof/>
        </w:rPr>
        <w:tab/>
      </w:r>
      <w:r>
        <w:rPr>
          <w:noProof/>
        </w:rPr>
        <w:fldChar w:fldCharType="begin"/>
      </w:r>
      <w:r>
        <w:rPr>
          <w:noProof/>
        </w:rPr>
        <w:instrText xml:space="preserve"> PAGEREF _Toc351714221 \h </w:instrText>
      </w:r>
      <w:r>
        <w:rPr>
          <w:noProof/>
        </w:rPr>
      </w:r>
      <w:r>
        <w:rPr>
          <w:noProof/>
        </w:rPr>
        <w:fldChar w:fldCharType="separate"/>
      </w:r>
      <w:r w:rsidR="00EE627C">
        <w:rPr>
          <w:noProof/>
        </w:rPr>
        <w:t>42</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9.4.3</w:t>
      </w:r>
      <w:r>
        <w:rPr>
          <w:rFonts w:asciiTheme="minorHAnsi" w:eastAsiaTheme="minorEastAsia" w:hAnsiTheme="minorHAnsi" w:cstheme="minorBidi"/>
          <w:b w:val="0"/>
          <w:noProof/>
          <w:kern w:val="0"/>
          <w:szCs w:val="22"/>
        </w:rPr>
        <w:tab/>
      </w:r>
      <w:r>
        <w:rPr>
          <w:noProof/>
        </w:rPr>
        <w:t>Recommendation</w:t>
      </w:r>
      <w:r>
        <w:rPr>
          <w:noProof/>
        </w:rPr>
        <w:tab/>
      </w:r>
      <w:r>
        <w:rPr>
          <w:noProof/>
        </w:rPr>
        <w:fldChar w:fldCharType="begin"/>
      </w:r>
      <w:r>
        <w:rPr>
          <w:noProof/>
        </w:rPr>
        <w:instrText xml:space="preserve"> PAGEREF _Toc351714222 \h </w:instrText>
      </w:r>
      <w:r>
        <w:rPr>
          <w:noProof/>
        </w:rPr>
      </w:r>
      <w:r>
        <w:rPr>
          <w:noProof/>
        </w:rPr>
        <w:fldChar w:fldCharType="separate"/>
      </w:r>
      <w:r w:rsidR="00EE627C">
        <w:rPr>
          <w:noProof/>
        </w:rPr>
        <w:t>43</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9.5</w:t>
      </w:r>
      <w:r>
        <w:rPr>
          <w:rFonts w:asciiTheme="minorHAnsi" w:eastAsiaTheme="minorEastAsia" w:hAnsiTheme="minorHAnsi" w:cstheme="minorBidi"/>
          <w:b w:val="0"/>
          <w:noProof/>
          <w:kern w:val="0"/>
          <w:sz w:val="22"/>
          <w:szCs w:val="22"/>
        </w:rPr>
        <w:tab/>
      </w:r>
      <w:r>
        <w:rPr>
          <w:noProof/>
        </w:rPr>
        <w:t>Calculated HILs</w:t>
      </w:r>
      <w:r>
        <w:rPr>
          <w:noProof/>
        </w:rPr>
        <w:tab/>
      </w:r>
      <w:r>
        <w:rPr>
          <w:noProof/>
        </w:rPr>
        <w:fldChar w:fldCharType="begin"/>
      </w:r>
      <w:r>
        <w:rPr>
          <w:noProof/>
        </w:rPr>
        <w:instrText xml:space="preserve"> PAGEREF _Toc351714223 \h </w:instrText>
      </w:r>
      <w:r>
        <w:rPr>
          <w:noProof/>
        </w:rPr>
      </w:r>
      <w:r>
        <w:rPr>
          <w:noProof/>
        </w:rPr>
        <w:fldChar w:fldCharType="separate"/>
      </w:r>
      <w:r w:rsidR="00EE627C">
        <w:rPr>
          <w:noProof/>
        </w:rPr>
        <w:t>43</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9.6</w:t>
      </w:r>
      <w:r>
        <w:rPr>
          <w:rFonts w:asciiTheme="minorHAnsi" w:eastAsiaTheme="minorEastAsia" w:hAnsiTheme="minorHAnsi" w:cstheme="minorBidi"/>
          <w:b w:val="0"/>
          <w:noProof/>
          <w:kern w:val="0"/>
          <w:sz w:val="22"/>
          <w:szCs w:val="22"/>
        </w:rPr>
        <w:tab/>
      </w:r>
      <w:r>
        <w:rPr>
          <w:noProof/>
        </w:rPr>
        <w:t>References</w:t>
      </w:r>
      <w:r>
        <w:rPr>
          <w:noProof/>
        </w:rPr>
        <w:tab/>
      </w:r>
      <w:r>
        <w:rPr>
          <w:noProof/>
        </w:rPr>
        <w:fldChar w:fldCharType="begin"/>
      </w:r>
      <w:r>
        <w:rPr>
          <w:noProof/>
        </w:rPr>
        <w:instrText xml:space="preserve"> PAGEREF _Toc351714224 \h </w:instrText>
      </w:r>
      <w:r>
        <w:rPr>
          <w:noProof/>
        </w:rPr>
      </w:r>
      <w:r>
        <w:rPr>
          <w:noProof/>
        </w:rPr>
        <w:fldChar w:fldCharType="separate"/>
      </w:r>
      <w:r w:rsidR="00EE627C">
        <w:rPr>
          <w:noProof/>
        </w:rPr>
        <w:t>43</w:t>
      </w:r>
      <w:r>
        <w:rPr>
          <w:noProof/>
        </w:rPr>
        <w:fldChar w:fldCharType="end"/>
      </w:r>
    </w:p>
    <w:p w:rsidR="003915F9" w:rsidRDefault="003915F9" w:rsidP="003915F9">
      <w:pPr>
        <w:pStyle w:val="TOC1"/>
        <w:keepNext w:val="0"/>
        <w:rPr>
          <w:rFonts w:asciiTheme="minorHAnsi" w:eastAsiaTheme="minorEastAsia" w:hAnsiTheme="minorHAnsi" w:cstheme="minorBidi"/>
          <w:b w:val="0"/>
          <w:noProof/>
          <w:kern w:val="0"/>
          <w:sz w:val="22"/>
          <w:szCs w:val="22"/>
        </w:rPr>
      </w:pPr>
      <w:r>
        <w:rPr>
          <w:noProof/>
        </w:rPr>
        <w:t>10</w:t>
      </w:r>
      <w:r>
        <w:rPr>
          <w:rFonts w:asciiTheme="minorHAnsi" w:eastAsiaTheme="minorEastAsia" w:hAnsiTheme="minorHAnsi" w:cstheme="minorBidi"/>
          <w:b w:val="0"/>
          <w:noProof/>
          <w:kern w:val="0"/>
          <w:sz w:val="22"/>
          <w:szCs w:val="22"/>
        </w:rPr>
        <w:tab/>
      </w:r>
      <w:r>
        <w:rPr>
          <w:noProof/>
        </w:rPr>
        <w:t>Toxaphene</w:t>
      </w:r>
      <w:r>
        <w:rPr>
          <w:noProof/>
        </w:rPr>
        <w:tab/>
      </w:r>
      <w:r>
        <w:rPr>
          <w:noProof/>
        </w:rPr>
        <w:fldChar w:fldCharType="begin"/>
      </w:r>
      <w:r>
        <w:rPr>
          <w:noProof/>
        </w:rPr>
        <w:instrText xml:space="preserve"> PAGEREF _Toc351714225 \h </w:instrText>
      </w:r>
      <w:r>
        <w:rPr>
          <w:noProof/>
        </w:rPr>
      </w:r>
      <w:r>
        <w:rPr>
          <w:noProof/>
        </w:rPr>
        <w:fldChar w:fldCharType="separate"/>
      </w:r>
      <w:r w:rsidR="00EE627C">
        <w:rPr>
          <w:noProof/>
        </w:rPr>
        <w:t>45</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10.1</w:t>
      </w:r>
      <w:r>
        <w:rPr>
          <w:rFonts w:asciiTheme="minorHAnsi" w:eastAsiaTheme="minorEastAsia" w:hAnsiTheme="minorHAnsi" w:cstheme="minorBidi"/>
          <w:b w:val="0"/>
          <w:noProof/>
          <w:kern w:val="0"/>
          <w:sz w:val="22"/>
          <w:szCs w:val="22"/>
        </w:rPr>
        <w:tab/>
      </w:r>
      <w:r>
        <w:rPr>
          <w:noProof/>
        </w:rPr>
        <w:t>General</w:t>
      </w:r>
      <w:r>
        <w:rPr>
          <w:noProof/>
        </w:rPr>
        <w:tab/>
      </w:r>
      <w:r>
        <w:rPr>
          <w:noProof/>
        </w:rPr>
        <w:fldChar w:fldCharType="begin"/>
      </w:r>
      <w:r>
        <w:rPr>
          <w:noProof/>
        </w:rPr>
        <w:instrText xml:space="preserve"> PAGEREF _Toc351714226 \h </w:instrText>
      </w:r>
      <w:r>
        <w:rPr>
          <w:noProof/>
        </w:rPr>
      </w:r>
      <w:r>
        <w:rPr>
          <w:noProof/>
        </w:rPr>
        <w:fldChar w:fldCharType="separate"/>
      </w:r>
      <w:r w:rsidR="00EE627C">
        <w:rPr>
          <w:noProof/>
        </w:rPr>
        <w:t>45</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10.2</w:t>
      </w:r>
      <w:r>
        <w:rPr>
          <w:rFonts w:asciiTheme="minorHAnsi" w:eastAsiaTheme="minorEastAsia" w:hAnsiTheme="minorHAnsi" w:cstheme="minorBidi"/>
          <w:b w:val="0"/>
          <w:noProof/>
          <w:kern w:val="0"/>
          <w:sz w:val="22"/>
          <w:szCs w:val="22"/>
        </w:rPr>
        <w:tab/>
      </w:r>
      <w:r>
        <w:rPr>
          <w:noProof/>
        </w:rPr>
        <w:t>Previous HIL</w:t>
      </w:r>
      <w:r>
        <w:rPr>
          <w:noProof/>
        </w:rPr>
        <w:tab/>
      </w:r>
      <w:r>
        <w:rPr>
          <w:noProof/>
        </w:rPr>
        <w:fldChar w:fldCharType="begin"/>
      </w:r>
      <w:r>
        <w:rPr>
          <w:noProof/>
        </w:rPr>
        <w:instrText xml:space="preserve"> PAGEREF _Toc351714227 \h </w:instrText>
      </w:r>
      <w:r>
        <w:rPr>
          <w:noProof/>
        </w:rPr>
      </w:r>
      <w:r>
        <w:rPr>
          <w:noProof/>
        </w:rPr>
        <w:fldChar w:fldCharType="separate"/>
      </w:r>
      <w:r w:rsidR="00EE627C">
        <w:rPr>
          <w:noProof/>
        </w:rPr>
        <w:t>45</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10.3</w:t>
      </w:r>
      <w:r>
        <w:rPr>
          <w:rFonts w:asciiTheme="minorHAnsi" w:eastAsiaTheme="minorEastAsia" w:hAnsiTheme="minorHAnsi" w:cstheme="minorBidi"/>
          <w:b w:val="0"/>
          <w:noProof/>
          <w:kern w:val="0"/>
          <w:sz w:val="22"/>
          <w:szCs w:val="22"/>
        </w:rPr>
        <w:tab/>
      </w:r>
      <w:r>
        <w:rPr>
          <w:noProof/>
        </w:rPr>
        <w:t>Significance of Exposure Pathways</w:t>
      </w:r>
      <w:r>
        <w:rPr>
          <w:noProof/>
        </w:rPr>
        <w:tab/>
      </w:r>
      <w:r>
        <w:rPr>
          <w:noProof/>
        </w:rPr>
        <w:fldChar w:fldCharType="begin"/>
      </w:r>
      <w:r>
        <w:rPr>
          <w:noProof/>
        </w:rPr>
        <w:instrText xml:space="preserve"> PAGEREF _Toc351714228 \h </w:instrText>
      </w:r>
      <w:r>
        <w:rPr>
          <w:noProof/>
        </w:rPr>
      </w:r>
      <w:r>
        <w:rPr>
          <w:noProof/>
        </w:rPr>
        <w:fldChar w:fldCharType="separate"/>
      </w:r>
      <w:r w:rsidR="00EE627C">
        <w:rPr>
          <w:noProof/>
        </w:rPr>
        <w:t>45</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10.3.1</w:t>
      </w:r>
      <w:r>
        <w:rPr>
          <w:rFonts w:asciiTheme="minorHAnsi" w:eastAsiaTheme="minorEastAsia" w:hAnsiTheme="minorHAnsi" w:cstheme="minorBidi"/>
          <w:b w:val="0"/>
          <w:noProof/>
          <w:kern w:val="0"/>
          <w:szCs w:val="22"/>
        </w:rPr>
        <w:tab/>
      </w:r>
      <w:r>
        <w:rPr>
          <w:noProof/>
        </w:rPr>
        <w:t>Oral Bioavailability</w:t>
      </w:r>
      <w:r>
        <w:rPr>
          <w:noProof/>
        </w:rPr>
        <w:tab/>
      </w:r>
      <w:r>
        <w:rPr>
          <w:noProof/>
        </w:rPr>
        <w:fldChar w:fldCharType="begin"/>
      </w:r>
      <w:r>
        <w:rPr>
          <w:noProof/>
        </w:rPr>
        <w:instrText xml:space="preserve"> PAGEREF _Toc351714229 \h </w:instrText>
      </w:r>
      <w:r>
        <w:rPr>
          <w:noProof/>
        </w:rPr>
      </w:r>
      <w:r>
        <w:rPr>
          <w:noProof/>
        </w:rPr>
        <w:fldChar w:fldCharType="separate"/>
      </w:r>
      <w:r w:rsidR="00EE627C">
        <w:rPr>
          <w:noProof/>
        </w:rPr>
        <w:t>45</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10.3.2</w:t>
      </w:r>
      <w:r>
        <w:rPr>
          <w:rFonts w:asciiTheme="minorHAnsi" w:eastAsiaTheme="minorEastAsia" w:hAnsiTheme="minorHAnsi" w:cstheme="minorBidi"/>
          <w:b w:val="0"/>
          <w:noProof/>
          <w:kern w:val="0"/>
          <w:szCs w:val="22"/>
        </w:rPr>
        <w:tab/>
      </w:r>
      <w:r>
        <w:rPr>
          <w:noProof/>
        </w:rPr>
        <w:t>Dermal absorption</w:t>
      </w:r>
      <w:r>
        <w:rPr>
          <w:noProof/>
        </w:rPr>
        <w:tab/>
      </w:r>
      <w:r>
        <w:rPr>
          <w:noProof/>
        </w:rPr>
        <w:fldChar w:fldCharType="begin"/>
      </w:r>
      <w:r>
        <w:rPr>
          <w:noProof/>
        </w:rPr>
        <w:instrText xml:space="preserve"> PAGEREF _Toc351714230 \h </w:instrText>
      </w:r>
      <w:r>
        <w:rPr>
          <w:noProof/>
        </w:rPr>
      </w:r>
      <w:r>
        <w:rPr>
          <w:noProof/>
        </w:rPr>
        <w:fldChar w:fldCharType="separate"/>
      </w:r>
      <w:r w:rsidR="00EE627C">
        <w:rPr>
          <w:noProof/>
        </w:rPr>
        <w:t>45</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10.3.3</w:t>
      </w:r>
      <w:r>
        <w:rPr>
          <w:rFonts w:asciiTheme="minorHAnsi" w:eastAsiaTheme="minorEastAsia" w:hAnsiTheme="minorHAnsi" w:cstheme="minorBidi"/>
          <w:b w:val="0"/>
          <w:noProof/>
          <w:kern w:val="0"/>
          <w:szCs w:val="22"/>
        </w:rPr>
        <w:tab/>
      </w:r>
      <w:r>
        <w:rPr>
          <w:noProof/>
        </w:rPr>
        <w:t>Inhalation of Dust</w:t>
      </w:r>
      <w:r>
        <w:rPr>
          <w:noProof/>
        </w:rPr>
        <w:tab/>
      </w:r>
      <w:r>
        <w:rPr>
          <w:noProof/>
        </w:rPr>
        <w:fldChar w:fldCharType="begin"/>
      </w:r>
      <w:r>
        <w:rPr>
          <w:noProof/>
        </w:rPr>
        <w:instrText xml:space="preserve"> PAGEREF _Toc351714231 \h </w:instrText>
      </w:r>
      <w:r>
        <w:rPr>
          <w:noProof/>
        </w:rPr>
      </w:r>
      <w:r>
        <w:rPr>
          <w:noProof/>
        </w:rPr>
        <w:fldChar w:fldCharType="separate"/>
      </w:r>
      <w:r w:rsidR="00EE627C">
        <w:rPr>
          <w:noProof/>
        </w:rPr>
        <w:t>45</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10.3.4</w:t>
      </w:r>
      <w:r>
        <w:rPr>
          <w:rFonts w:asciiTheme="minorHAnsi" w:eastAsiaTheme="minorEastAsia" w:hAnsiTheme="minorHAnsi" w:cstheme="minorBidi"/>
          <w:b w:val="0"/>
          <w:noProof/>
          <w:kern w:val="0"/>
          <w:szCs w:val="22"/>
        </w:rPr>
        <w:tab/>
      </w:r>
      <w:r>
        <w:rPr>
          <w:noProof/>
        </w:rPr>
        <w:t>Plant Uptake</w:t>
      </w:r>
      <w:r>
        <w:rPr>
          <w:noProof/>
        </w:rPr>
        <w:tab/>
      </w:r>
      <w:r>
        <w:rPr>
          <w:noProof/>
        </w:rPr>
        <w:fldChar w:fldCharType="begin"/>
      </w:r>
      <w:r>
        <w:rPr>
          <w:noProof/>
        </w:rPr>
        <w:instrText xml:space="preserve"> PAGEREF _Toc351714232 \h </w:instrText>
      </w:r>
      <w:r>
        <w:rPr>
          <w:noProof/>
        </w:rPr>
      </w:r>
      <w:r>
        <w:rPr>
          <w:noProof/>
        </w:rPr>
        <w:fldChar w:fldCharType="separate"/>
      </w:r>
      <w:r w:rsidR="00EE627C">
        <w:rPr>
          <w:noProof/>
        </w:rPr>
        <w:t>45</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10.3.5</w:t>
      </w:r>
      <w:r>
        <w:rPr>
          <w:rFonts w:asciiTheme="minorHAnsi" w:eastAsiaTheme="minorEastAsia" w:hAnsiTheme="minorHAnsi" w:cstheme="minorBidi"/>
          <w:b w:val="0"/>
          <w:noProof/>
          <w:kern w:val="0"/>
          <w:szCs w:val="22"/>
        </w:rPr>
        <w:tab/>
      </w:r>
      <w:r>
        <w:rPr>
          <w:noProof/>
        </w:rPr>
        <w:t>Intakes from Other Sources – Background</w:t>
      </w:r>
      <w:r>
        <w:rPr>
          <w:noProof/>
        </w:rPr>
        <w:tab/>
      </w:r>
      <w:r>
        <w:rPr>
          <w:noProof/>
        </w:rPr>
        <w:fldChar w:fldCharType="begin"/>
      </w:r>
      <w:r>
        <w:rPr>
          <w:noProof/>
        </w:rPr>
        <w:instrText xml:space="preserve"> PAGEREF _Toc351714233 \h </w:instrText>
      </w:r>
      <w:r>
        <w:rPr>
          <w:noProof/>
        </w:rPr>
      </w:r>
      <w:r>
        <w:rPr>
          <w:noProof/>
        </w:rPr>
        <w:fldChar w:fldCharType="separate"/>
      </w:r>
      <w:r w:rsidR="00EE627C">
        <w:rPr>
          <w:noProof/>
        </w:rPr>
        <w:t>46</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10.4</w:t>
      </w:r>
      <w:r>
        <w:rPr>
          <w:rFonts w:asciiTheme="minorHAnsi" w:eastAsiaTheme="minorEastAsia" w:hAnsiTheme="minorHAnsi" w:cstheme="minorBidi"/>
          <w:b w:val="0"/>
          <w:noProof/>
          <w:kern w:val="0"/>
          <w:sz w:val="22"/>
          <w:szCs w:val="22"/>
        </w:rPr>
        <w:tab/>
      </w:r>
      <w:r>
        <w:rPr>
          <w:noProof/>
        </w:rPr>
        <w:t>Identification of Toxicity Reference Values</w:t>
      </w:r>
      <w:r>
        <w:rPr>
          <w:noProof/>
        </w:rPr>
        <w:tab/>
      </w:r>
      <w:r>
        <w:rPr>
          <w:noProof/>
        </w:rPr>
        <w:fldChar w:fldCharType="begin"/>
      </w:r>
      <w:r>
        <w:rPr>
          <w:noProof/>
        </w:rPr>
        <w:instrText xml:space="preserve"> PAGEREF _Toc351714234 \h </w:instrText>
      </w:r>
      <w:r>
        <w:rPr>
          <w:noProof/>
        </w:rPr>
      </w:r>
      <w:r>
        <w:rPr>
          <w:noProof/>
        </w:rPr>
        <w:fldChar w:fldCharType="separate"/>
      </w:r>
      <w:r w:rsidR="00EE627C">
        <w:rPr>
          <w:noProof/>
        </w:rPr>
        <w:t>46</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10.4.1</w:t>
      </w:r>
      <w:r>
        <w:rPr>
          <w:rFonts w:asciiTheme="minorHAnsi" w:eastAsiaTheme="minorEastAsia" w:hAnsiTheme="minorHAnsi" w:cstheme="minorBidi"/>
          <w:b w:val="0"/>
          <w:noProof/>
          <w:kern w:val="0"/>
          <w:szCs w:val="22"/>
        </w:rPr>
        <w:tab/>
      </w:r>
      <w:r>
        <w:rPr>
          <w:noProof/>
        </w:rPr>
        <w:t>Classification</w:t>
      </w:r>
      <w:r>
        <w:rPr>
          <w:noProof/>
        </w:rPr>
        <w:tab/>
      </w:r>
      <w:r>
        <w:rPr>
          <w:noProof/>
        </w:rPr>
        <w:fldChar w:fldCharType="begin"/>
      </w:r>
      <w:r>
        <w:rPr>
          <w:noProof/>
        </w:rPr>
        <w:instrText xml:space="preserve"> PAGEREF _Toc351714235 \h </w:instrText>
      </w:r>
      <w:r>
        <w:rPr>
          <w:noProof/>
        </w:rPr>
      </w:r>
      <w:r>
        <w:rPr>
          <w:noProof/>
        </w:rPr>
        <w:fldChar w:fldCharType="separate"/>
      </w:r>
      <w:r w:rsidR="00EE627C">
        <w:rPr>
          <w:noProof/>
        </w:rPr>
        <w:t>46</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10.4.2</w:t>
      </w:r>
      <w:r>
        <w:rPr>
          <w:rFonts w:asciiTheme="minorHAnsi" w:eastAsiaTheme="minorEastAsia" w:hAnsiTheme="minorHAnsi" w:cstheme="minorBidi"/>
          <w:b w:val="0"/>
          <w:noProof/>
          <w:kern w:val="0"/>
          <w:szCs w:val="22"/>
        </w:rPr>
        <w:tab/>
      </w:r>
      <w:r>
        <w:rPr>
          <w:noProof/>
        </w:rPr>
        <w:t>Review of Available Values/Information</w:t>
      </w:r>
      <w:r>
        <w:rPr>
          <w:noProof/>
        </w:rPr>
        <w:tab/>
      </w:r>
      <w:r>
        <w:rPr>
          <w:noProof/>
        </w:rPr>
        <w:fldChar w:fldCharType="begin"/>
      </w:r>
      <w:r>
        <w:rPr>
          <w:noProof/>
        </w:rPr>
        <w:instrText xml:space="preserve"> PAGEREF _Toc351714236 \h </w:instrText>
      </w:r>
      <w:r>
        <w:rPr>
          <w:noProof/>
        </w:rPr>
      </w:r>
      <w:r>
        <w:rPr>
          <w:noProof/>
        </w:rPr>
        <w:fldChar w:fldCharType="separate"/>
      </w:r>
      <w:r w:rsidR="00EE627C">
        <w:rPr>
          <w:noProof/>
        </w:rPr>
        <w:t>46</w:t>
      </w:r>
      <w:r>
        <w:rPr>
          <w:noProof/>
        </w:rPr>
        <w:fldChar w:fldCharType="end"/>
      </w:r>
    </w:p>
    <w:p w:rsidR="003915F9" w:rsidRDefault="003915F9" w:rsidP="003915F9">
      <w:pPr>
        <w:pStyle w:val="TOC3"/>
        <w:keepNext w:val="0"/>
        <w:rPr>
          <w:rFonts w:asciiTheme="minorHAnsi" w:eastAsiaTheme="minorEastAsia" w:hAnsiTheme="minorHAnsi" w:cstheme="minorBidi"/>
          <w:b w:val="0"/>
          <w:noProof/>
          <w:kern w:val="0"/>
          <w:szCs w:val="22"/>
        </w:rPr>
      </w:pPr>
      <w:r>
        <w:rPr>
          <w:noProof/>
        </w:rPr>
        <w:t>10.4.3</w:t>
      </w:r>
      <w:r>
        <w:rPr>
          <w:rFonts w:asciiTheme="minorHAnsi" w:eastAsiaTheme="minorEastAsia" w:hAnsiTheme="minorHAnsi" w:cstheme="minorBidi"/>
          <w:b w:val="0"/>
          <w:noProof/>
          <w:kern w:val="0"/>
          <w:szCs w:val="22"/>
        </w:rPr>
        <w:tab/>
      </w:r>
      <w:r>
        <w:rPr>
          <w:noProof/>
        </w:rPr>
        <w:t>Recommendation</w:t>
      </w:r>
      <w:r>
        <w:rPr>
          <w:noProof/>
        </w:rPr>
        <w:tab/>
      </w:r>
      <w:r>
        <w:rPr>
          <w:noProof/>
        </w:rPr>
        <w:fldChar w:fldCharType="begin"/>
      </w:r>
      <w:r>
        <w:rPr>
          <w:noProof/>
        </w:rPr>
        <w:instrText xml:space="preserve"> PAGEREF _Toc351714237 \h </w:instrText>
      </w:r>
      <w:r>
        <w:rPr>
          <w:noProof/>
        </w:rPr>
      </w:r>
      <w:r>
        <w:rPr>
          <w:noProof/>
        </w:rPr>
        <w:fldChar w:fldCharType="separate"/>
      </w:r>
      <w:r w:rsidR="00EE627C">
        <w:rPr>
          <w:noProof/>
        </w:rPr>
        <w:t>47</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10.5</w:t>
      </w:r>
      <w:r>
        <w:rPr>
          <w:rFonts w:asciiTheme="minorHAnsi" w:eastAsiaTheme="minorEastAsia" w:hAnsiTheme="minorHAnsi" w:cstheme="minorBidi"/>
          <w:b w:val="0"/>
          <w:noProof/>
          <w:kern w:val="0"/>
          <w:sz w:val="22"/>
          <w:szCs w:val="22"/>
        </w:rPr>
        <w:tab/>
      </w:r>
      <w:r>
        <w:rPr>
          <w:noProof/>
        </w:rPr>
        <w:t>Calculated HILs</w:t>
      </w:r>
      <w:r>
        <w:rPr>
          <w:noProof/>
        </w:rPr>
        <w:tab/>
      </w:r>
      <w:r>
        <w:rPr>
          <w:noProof/>
        </w:rPr>
        <w:fldChar w:fldCharType="begin"/>
      </w:r>
      <w:r>
        <w:rPr>
          <w:noProof/>
        </w:rPr>
        <w:instrText xml:space="preserve"> PAGEREF _Toc351714238 \h </w:instrText>
      </w:r>
      <w:r>
        <w:rPr>
          <w:noProof/>
        </w:rPr>
      </w:r>
      <w:r>
        <w:rPr>
          <w:noProof/>
        </w:rPr>
        <w:fldChar w:fldCharType="separate"/>
      </w:r>
      <w:r w:rsidR="00EE627C">
        <w:rPr>
          <w:noProof/>
        </w:rPr>
        <w:t>47</w:t>
      </w:r>
      <w:r>
        <w:rPr>
          <w:noProof/>
        </w:rPr>
        <w:fldChar w:fldCharType="end"/>
      </w:r>
    </w:p>
    <w:p w:rsidR="003915F9" w:rsidRDefault="003915F9" w:rsidP="003915F9">
      <w:pPr>
        <w:pStyle w:val="TOC2"/>
        <w:keepNext w:val="0"/>
        <w:rPr>
          <w:rFonts w:asciiTheme="minorHAnsi" w:eastAsiaTheme="minorEastAsia" w:hAnsiTheme="minorHAnsi" w:cstheme="minorBidi"/>
          <w:b w:val="0"/>
          <w:noProof/>
          <w:kern w:val="0"/>
          <w:sz w:val="22"/>
          <w:szCs w:val="22"/>
        </w:rPr>
      </w:pPr>
      <w:r>
        <w:rPr>
          <w:noProof/>
        </w:rPr>
        <w:t>10.6</w:t>
      </w:r>
      <w:r>
        <w:rPr>
          <w:rFonts w:asciiTheme="minorHAnsi" w:eastAsiaTheme="minorEastAsia" w:hAnsiTheme="minorHAnsi" w:cstheme="minorBidi"/>
          <w:b w:val="0"/>
          <w:noProof/>
          <w:kern w:val="0"/>
          <w:sz w:val="22"/>
          <w:szCs w:val="22"/>
        </w:rPr>
        <w:tab/>
      </w:r>
      <w:r>
        <w:rPr>
          <w:noProof/>
        </w:rPr>
        <w:t>References</w:t>
      </w:r>
      <w:r>
        <w:rPr>
          <w:noProof/>
        </w:rPr>
        <w:tab/>
      </w:r>
      <w:r>
        <w:rPr>
          <w:noProof/>
        </w:rPr>
        <w:fldChar w:fldCharType="begin"/>
      </w:r>
      <w:r>
        <w:rPr>
          <w:noProof/>
        </w:rPr>
        <w:instrText xml:space="preserve"> PAGEREF _Toc351714239 \h </w:instrText>
      </w:r>
      <w:r>
        <w:rPr>
          <w:noProof/>
        </w:rPr>
      </w:r>
      <w:r>
        <w:rPr>
          <w:noProof/>
        </w:rPr>
        <w:fldChar w:fldCharType="separate"/>
      </w:r>
      <w:r w:rsidR="00EE627C">
        <w:rPr>
          <w:noProof/>
        </w:rPr>
        <w:t>48</w:t>
      </w:r>
      <w:r>
        <w:rPr>
          <w:noProof/>
        </w:rPr>
        <w:fldChar w:fldCharType="end"/>
      </w:r>
    </w:p>
    <w:p w:rsidR="003915F9" w:rsidRDefault="003915F9" w:rsidP="003915F9">
      <w:pPr>
        <w:pStyle w:val="TOC1"/>
        <w:keepNext w:val="0"/>
        <w:rPr>
          <w:rFonts w:asciiTheme="minorHAnsi" w:eastAsiaTheme="minorEastAsia" w:hAnsiTheme="minorHAnsi" w:cstheme="minorBidi"/>
          <w:b w:val="0"/>
          <w:noProof/>
          <w:kern w:val="0"/>
          <w:sz w:val="22"/>
          <w:szCs w:val="22"/>
        </w:rPr>
      </w:pPr>
      <w:r>
        <w:rPr>
          <w:noProof/>
        </w:rPr>
        <w:t>11</w:t>
      </w:r>
      <w:r>
        <w:rPr>
          <w:rFonts w:asciiTheme="minorHAnsi" w:eastAsiaTheme="minorEastAsia" w:hAnsiTheme="minorHAnsi" w:cstheme="minorBidi"/>
          <w:b w:val="0"/>
          <w:noProof/>
          <w:kern w:val="0"/>
          <w:sz w:val="22"/>
          <w:szCs w:val="22"/>
        </w:rPr>
        <w:tab/>
      </w:r>
      <w:r>
        <w:rPr>
          <w:noProof/>
        </w:rPr>
        <w:t>Shortened forms</w:t>
      </w:r>
      <w:r>
        <w:rPr>
          <w:noProof/>
        </w:rPr>
        <w:tab/>
      </w:r>
      <w:r>
        <w:rPr>
          <w:noProof/>
        </w:rPr>
        <w:fldChar w:fldCharType="begin"/>
      </w:r>
      <w:r>
        <w:rPr>
          <w:noProof/>
        </w:rPr>
        <w:instrText xml:space="preserve"> PAGEREF _Toc351714240 \h </w:instrText>
      </w:r>
      <w:r>
        <w:rPr>
          <w:noProof/>
        </w:rPr>
      </w:r>
      <w:r>
        <w:rPr>
          <w:noProof/>
        </w:rPr>
        <w:fldChar w:fldCharType="separate"/>
      </w:r>
      <w:r w:rsidR="00EE627C">
        <w:rPr>
          <w:noProof/>
        </w:rPr>
        <w:t>49</w:t>
      </w:r>
      <w:r>
        <w:rPr>
          <w:noProof/>
        </w:rPr>
        <w:fldChar w:fldCharType="end"/>
      </w:r>
    </w:p>
    <w:p w:rsidR="00BD4D54" w:rsidRDefault="005056D9" w:rsidP="003915F9">
      <w:pPr>
        <w:rPr>
          <w:b/>
          <w:noProof/>
        </w:rPr>
      </w:pPr>
      <w:r>
        <w:rPr>
          <w:b/>
          <w:noProof/>
        </w:rPr>
        <w:lastRenderedPageBreak/>
        <w:fldChar w:fldCharType="end"/>
      </w:r>
    </w:p>
    <w:p w:rsidR="00BD4D54" w:rsidRPr="003F4DD3" w:rsidRDefault="00BD4D54" w:rsidP="00BD4D54">
      <w:pPr>
        <w:sectPr w:rsidR="00BD4D54" w:rsidRPr="003F4DD3" w:rsidSect="00EC6328">
          <w:headerReference w:type="even" r:id="rId12"/>
          <w:headerReference w:type="default" r:id="rId13"/>
          <w:footerReference w:type="default" r:id="rId14"/>
          <w:headerReference w:type="first" r:id="rId15"/>
          <w:footerReference w:type="first" r:id="rId16"/>
          <w:pgSz w:w="11906" w:h="16838" w:code="9"/>
          <w:pgMar w:top="1134" w:right="1418" w:bottom="1134" w:left="1701" w:header="720" w:footer="567" w:gutter="0"/>
          <w:pgNumType w:start="1"/>
          <w:cols w:space="720"/>
          <w:titlePg/>
        </w:sectPr>
      </w:pPr>
    </w:p>
    <w:p w:rsidR="00BD4D54" w:rsidRDefault="00BD4D54" w:rsidP="00BD4D54">
      <w:pPr>
        <w:pStyle w:val="Heading1"/>
        <w:tabs>
          <w:tab w:val="clear" w:pos="1209"/>
          <w:tab w:val="num" w:pos="720"/>
        </w:tabs>
      </w:pPr>
      <w:bookmarkStart w:id="1" w:name="_Toc351714090"/>
      <w:r>
        <w:lastRenderedPageBreak/>
        <w:t>DDT+DDE+DDD Review</w:t>
      </w:r>
      <w:bookmarkEnd w:id="1"/>
    </w:p>
    <w:p w:rsidR="00BD4D54" w:rsidRDefault="00BD4D54" w:rsidP="00BD4D54">
      <w:pPr>
        <w:pStyle w:val="Heading2"/>
        <w:tabs>
          <w:tab w:val="clear" w:pos="1209"/>
        </w:tabs>
      </w:pPr>
      <w:bookmarkStart w:id="2" w:name="_Toc351714091"/>
      <w:r>
        <w:t>General</w:t>
      </w:r>
      <w:bookmarkEnd w:id="2"/>
    </w:p>
    <w:p w:rsidR="00BD4D54" w:rsidRDefault="00BD4D54" w:rsidP="00BD4D54">
      <w:r>
        <w:t>Several comprehensive reviews of DDT, DDE and DDD in the environment and their toxicity to humans are available and should be consulted for more detailed information (ATSDR 2002, 2008; WHO 1979;1989). The following provides a summary of the key aspects of these compounds that are relevant to the derivation of a soil HIL.</w:t>
      </w:r>
    </w:p>
    <w:p w:rsidR="008E3226" w:rsidRDefault="008E3226" w:rsidP="00BD4D54"/>
    <w:p w:rsidR="00BD4D54" w:rsidRDefault="00BD4D54" w:rsidP="00BD4D54">
      <w:r w:rsidRPr="00315EC8">
        <w:t xml:space="preserve">Dichlorodiphenyltrichloroethane (DDT), dichlorodiphenyldichloroethylene (DDE) and dichlorodiphenyldichloroethane (DDD) are structurally similar aromatic compounds containing chlorine. Technical DDT was manufactured for broad-spectrum insecticidal usage under a number of trade names including Genitox, Anofex, Detoxan, Neocid, Gesarol, Pentachlorin, Dicophane and Chlorophenothane. Limited manufacture of DDD also occurred under the trade names Rothane, Dilene and TDE (ATSDR </w:t>
      </w:r>
      <w:r>
        <w:t>2002</w:t>
      </w:r>
      <w:r w:rsidRPr="00315EC8">
        <w:t>).</w:t>
      </w:r>
    </w:p>
    <w:p w:rsidR="008E3226" w:rsidRPr="00315EC8" w:rsidRDefault="008E3226" w:rsidP="00BD4D54"/>
    <w:p w:rsidR="00BD4D54" w:rsidRDefault="00BD4D54" w:rsidP="00BD4D54">
      <w:pPr>
        <w:rPr>
          <w:color w:val="000000"/>
        </w:rPr>
      </w:pPr>
      <w:r w:rsidRPr="00315EC8">
        <w:rPr>
          <w:color w:val="000000"/>
        </w:rPr>
        <w:t>These compounds are all white crystalline solids with relatively no odour or taste</w:t>
      </w:r>
      <w:r w:rsidRPr="00315EC8">
        <w:rPr>
          <w:color w:val="0000FF"/>
        </w:rPr>
        <w:t xml:space="preserve">. </w:t>
      </w:r>
      <w:r w:rsidRPr="00315EC8">
        <w:rPr>
          <w:color w:val="000000"/>
        </w:rPr>
        <w:t>They are relatively insoluble in water but highly soluble in animal fats and organic solvents (WHO 19</w:t>
      </w:r>
      <w:r>
        <w:rPr>
          <w:color w:val="000000"/>
        </w:rPr>
        <w:t>79</w:t>
      </w:r>
      <w:r w:rsidRPr="00315EC8">
        <w:rPr>
          <w:color w:val="000000"/>
        </w:rPr>
        <w:t xml:space="preserve">). All three compounds (DDT, DDE, DDD) can exist in different forms (congeners) based on the relative position of chlorines on the two phenyl rings, but the </w:t>
      </w:r>
      <w:r w:rsidRPr="00315EC8">
        <w:rPr>
          <w:i/>
          <w:iCs/>
          <w:color w:val="000000"/>
        </w:rPr>
        <w:t>p,p’</w:t>
      </w:r>
      <w:r w:rsidRPr="00315EC8">
        <w:rPr>
          <w:color w:val="000000"/>
        </w:rPr>
        <w:t>- congener is the most comm</w:t>
      </w:r>
      <w:r>
        <w:rPr>
          <w:color w:val="000000"/>
        </w:rPr>
        <w:t>on in the environment (ATSDR 2002</w:t>
      </w:r>
      <w:r w:rsidRPr="00315EC8">
        <w:rPr>
          <w:color w:val="000000"/>
        </w:rPr>
        <w:t>).</w:t>
      </w:r>
    </w:p>
    <w:p w:rsidR="008E3226" w:rsidRPr="00315EC8" w:rsidRDefault="008E3226" w:rsidP="00BD4D54">
      <w:pPr>
        <w:rPr>
          <w:color w:val="000000"/>
        </w:rPr>
      </w:pPr>
    </w:p>
    <w:p w:rsidR="00BD4D54" w:rsidRDefault="00BD4D54" w:rsidP="00BD4D54">
      <w:r w:rsidRPr="00315EC8">
        <w:t xml:space="preserve">DDT was primarily manufactured as an insecticide </w:t>
      </w:r>
      <w:r>
        <w:t>for</w:t>
      </w:r>
      <w:r w:rsidRPr="00315EC8">
        <w:t xml:space="preserve"> the agricultural industry. It was also used to control vector</w:t>
      </w:r>
      <w:r>
        <w:t>-</w:t>
      </w:r>
      <w:r w:rsidRPr="00315EC8">
        <w:t xml:space="preserve">borne diseases such as malaria and typhus and was used in a domestic setting to protect items from moth damage and to control lice (ATSDR </w:t>
      </w:r>
      <w:r>
        <w:t>2002</w:t>
      </w:r>
      <w:r w:rsidRPr="00315EC8">
        <w:t xml:space="preserve">). The widespread usage of DDT reportedly began in 1939. However, it has been progressively banned in many countries since the early 1970s due to its effects on human health and the environment (ATSDR </w:t>
      </w:r>
      <w:r>
        <w:t>2002</w:t>
      </w:r>
      <w:r w:rsidRPr="00315EC8">
        <w:t>). DDT is still used in some developing regions for the control of disease</w:t>
      </w:r>
      <w:r>
        <w:t>-</w:t>
      </w:r>
      <w:r w:rsidRPr="00315EC8">
        <w:t>bearing insects and it may also be illegally used in the agriculture industry in some countries (WHO 19</w:t>
      </w:r>
      <w:r>
        <w:t>79</w:t>
      </w:r>
      <w:r w:rsidRPr="00315EC8">
        <w:t xml:space="preserve">). DDT has not been registered for any use in Australia since </w:t>
      </w:r>
      <w:r>
        <w:t xml:space="preserve">the </w:t>
      </w:r>
      <w:r w:rsidRPr="00315EC8">
        <w:t>198</w:t>
      </w:r>
      <w:r>
        <w:t>0s</w:t>
      </w:r>
      <w:r w:rsidRPr="00315EC8">
        <w:t xml:space="preserve"> (NHMRC </w:t>
      </w:r>
      <w:r>
        <w:t xml:space="preserve">&amp; NRMMC </w:t>
      </w:r>
      <w:r w:rsidRPr="00315EC8">
        <w:t>20</w:t>
      </w:r>
      <w:r>
        <w:t>11</w:t>
      </w:r>
      <w:r w:rsidRPr="00315EC8">
        <w:t xml:space="preserve">). DDD was manufactured and used to a lesser extent to control insects and the o,p’-isomer was used to medically treat adrenal gland cancer. DDE has no commercial use (ATSDR </w:t>
      </w:r>
      <w:r>
        <w:t>2002</w:t>
      </w:r>
      <w:r w:rsidRPr="00315EC8">
        <w:t>).</w:t>
      </w:r>
    </w:p>
    <w:p w:rsidR="00BD4D54" w:rsidRDefault="00BD4D54" w:rsidP="00BD4D54">
      <w:r>
        <w:t>DDT and its metabolites are essentially immobile in soil, becoming strongly absorbed onto the surface layer of soils. Likewise, as a consequence of their extremely low water solubilities, DDT and its metabolites become absorbed onto particulates in water and settle into sediments. Because of its chemical characteristics, DDT can undergo long-range transport through the atmosphere in a process known as ‘global distillation’ where DDT migrates from warmer regions to colder regions through repeated cycles of volatilisation from soil and water surfaces followed by deposition of DDT onto surfaces through dry and wet deposition processes. Due to the persistence of DDT and its metabolites</w:t>
      </w:r>
      <w:r w:rsidRPr="00C259C1">
        <w:t xml:space="preserve"> </w:t>
      </w:r>
      <w:r>
        <w:t>in the environment, potential for bioaccumulation and potential for long-range transport, DDT is listed under the Stockholm Convention on Persistent Organic Pollutants.</w:t>
      </w:r>
    </w:p>
    <w:p w:rsidR="008E3226" w:rsidRPr="00FE3E58" w:rsidRDefault="008E3226" w:rsidP="00BD4D54"/>
    <w:p w:rsidR="00BD4D54" w:rsidRDefault="00BD4D54" w:rsidP="00BD4D54">
      <w:r>
        <w:t>The following information primarily relates to DDT which has been adopted as the most appropriate indicator for the assessment of all three compounds due to the similarity of toxic effects and toxicokinetics. A larger database of data is also available for DDT.</w:t>
      </w:r>
    </w:p>
    <w:p w:rsidR="00BD4D54" w:rsidRDefault="00BD4D54" w:rsidP="00BD4D54">
      <w:pPr>
        <w:pStyle w:val="Heading2"/>
        <w:tabs>
          <w:tab w:val="clear" w:pos="1209"/>
        </w:tabs>
      </w:pPr>
      <w:bookmarkStart w:id="3" w:name="_Toc351714092"/>
      <w:r w:rsidRPr="00D04E9A">
        <w:t>Previous</w:t>
      </w:r>
      <w:r>
        <w:t xml:space="preserve"> HIL</w:t>
      </w:r>
      <w:bookmarkEnd w:id="3"/>
    </w:p>
    <w:p w:rsidR="00BD4D54" w:rsidRDefault="00BD4D54" w:rsidP="00BD4D54">
      <w:r>
        <w:t>The derivation of the previous HIL (HIL A = 200 mg/kg) for DDT+DDE+DDD is presented by Beard (1993) and NEPC (1999). In summary, the HIL was derived on the basis of the following:</w:t>
      </w:r>
    </w:p>
    <w:p w:rsidR="00BD4D54" w:rsidRDefault="00BD4D54" w:rsidP="00BD4D54">
      <w:pPr>
        <w:pStyle w:val="Dot-points"/>
        <w:tabs>
          <w:tab w:val="clear" w:pos="926"/>
          <w:tab w:val="num" w:pos="360"/>
        </w:tabs>
      </w:pPr>
      <w:r>
        <w:t>Background intakes were considered in the derivation of the current HIL (Beard 1993) with the intake from food estimated to range from 0.001 mg/kg/day for adults to 0.546 mg/kg/day for infants. Intakes from water and air were essentially negligible compared with that derived from food.</w:t>
      </w:r>
    </w:p>
    <w:p w:rsidR="00BD4D54" w:rsidRDefault="00BD4D54" w:rsidP="00BD4D54">
      <w:pPr>
        <w:pStyle w:val="Dot-points"/>
        <w:tabs>
          <w:tab w:val="clear" w:pos="926"/>
          <w:tab w:val="num" w:pos="360"/>
        </w:tabs>
      </w:pPr>
      <w:r>
        <w:lastRenderedPageBreak/>
        <w:t>An ADI of 0.002 mg/kg/day was adopted as the toxicity reference value (based on the ADI from WHO and an additional uncertainty factor of 10).</w:t>
      </w:r>
    </w:p>
    <w:p w:rsidR="00BD4D54" w:rsidRDefault="00BD4D54" w:rsidP="00BD4D54">
      <w:pPr>
        <w:pStyle w:val="Dot-points"/>
        <w:tabs>
          <w:tab w:val="clear" w:pos="926"/>
          <w:tab w:val="num" w:pos="360"/>
        </w:tabs>
      </w:pPr>
      <w:r>
        <w:t>Based on intakes derived from soil (ingestion), an HIL of 200 mg/kg was calculated.</w:t>
      </w:r>
    </w:p>
    <w:p w:rsidR="00BD4D54" w:rsidRDefault="00BD4D54" w:rsidP="00BD4D54">
      <w:pPr>
        <w:pStyle w:val="Dot-points"/>
        <w:tabs>
          <w:tab w:val="clear" w:pos="926"/>
          <w:tab w:val="num" w:pos="360"/>
        </w:tabs>
      </w:pPr>
      <w:r>
        <w:t>It is noted that the review undertaken also considered an oral RfD of 0.0005 mg/kg/day reference from the US EPA and a LOAEL and NOAEL.</w:t>
      </w:r>
    </w:p>
    <w:p w:rsidR="00BD4D54" w:rsidRDefault="00BD4D54" w:rsidP="00BD4D54">
      <w:pPr>
        <w:pStyle w:val="Heading2"/>
        <w:tabs>
          <w:tab w:val="clear" w:pos="1209"/>
        </w:tabs>
      </w:pPr>
      <w:bookmarkStart w:id="4" w:name="_Toc351714093"/>
      <w:r>
        <w:t>Significance of Exposure Pathways</w:t>
      </w:r>
      <w:bookmarkEnd w:id="4"/>
    </w:p>
    <w:p w:rsidR="00BD4D54" w:rsidRPr="00E00A6A" w:rsidRDefault="00BD4D54" w:rsidP="00BD4D54">
      <w:pPr>
        <w:pStyle w:val="Heading3"/>
      </w:pPr>
      <w:bookmarkStart w:id="5" w:name="_Toc351714094"/>
      <w:r>
        <w:t xml:space="preserve">Oral </w:t>
      </w:r>
      <w:r w:rsidRPr="00E00A6A">
        <w:t>Bioavailability</w:t>
      </w:r>
      <w:bookmarkEnd w:id="5"/>
    </w:p>
    <w:p w:rsidR="00BD4D54" w:rsidRDefault="00BD4D54" w:rsidP="00BD4D54">
      <w:r>
        <w:t>Insufficient data is available to adequately define the bioavailability of DDT in the range of contaminated sites that may need to be considered in Australia. On this basis, a default approach of assuming 100% oral bioavailability has been adopted in the derivation of an HIL. It is noted that a site-specific assessment of bioavailability can be undertaken where required.</w:t>
      </w:r>
    </w:p>
    <w:p w:rsidR="00BD4D54" w:rsidRPr="002D7B71" w:rsidRDefault="00BD4D54" w:rsidP="00BD4D54">
      <w:pPr>
        <w:pStyle w:val="Heading3"/>
      </w:pPr>
      <w:bookmarkStart w:id="6" w:name="_Toc351714095"/>
      <w:r w:rsidRPr="002D7B71">
        <w:t>Dermal absorption</w:t>
      </w:r>
      <w:bookmarkEnd w:id="6"/>
    </w:p>
    <w:p w:rsidR="00BD4D54" w:rsidRDefault="00BD4D54" w:rsidP="00BD4D54">
      <w:r>
        <w:t>Dermal absorption of DDT is considered to be very low and has been considered to be negligible in the derivation of the previous HIL. Review of dermal absorption of DDT by MfE (2011) indicated the following: ‘</w:t>
      </w:r>
      <w:r w:rsidRPr="00BD5C8F">
        <w:t xml:space="preserve">US EPA (2004) recommends a dermal absorption factor of 0.03 (3%), which is based on data from Wester </w:t>
      </w:r>
      <w:r>
        <w:t>et al.</w:t>
      </w:r>
      <w:r w:rsidRPr="00BD5C8F">
        <w:t xml:space="preserve"> (1990). These authors indicate that only 1.0% of DDT from soil penetrated into human skin over a 24-hour period, and none (&lt;0.1%) of this partitioned into human plasma. Additionally, 3.3% of DDT from soil was absorbed percutaneously following in vivo exposure of rhesus monkeys. Taking the geometric mean of these values yields an average dermal absorption factor of 0.018 (1.8%).</w:t>
      </w:r>
      <w:r>
        <w:t>’</w:t>
      </w:r>
    </w:p>
    <w:p w:rsidR="008E3226" w:rsidRPr="00BD5C8F" w:rsidRDefault="008E3226" w:rsidP="00BD4D54"/>
    <w:p w:rsidR="00BD4D54" w:rsidRDefault="00BD4D54" w:rsidP="00BD4D54">
      <w:r>
        <w:t>As few other reviews are available in relation to dermal absorption of DDT, the average value estimated by Wester et al. (1990) as referenced by MfE (2011), has been adopted in the derivation of HILs.</w:t>
      </w:r>
    </w:p>
    <w:p w:rsidR="00BD4D54" w:rsidRPr="009338FB" w:rsidRDefault="00BD4D54" w:rsidP="00BD4D54">
      <w:pPr>
        <w:pStyle w:val="Heading3"/>
      </w:pPr>
      <w:bookmarkStart w:id="7" w:name="_Toc351714096"/>
      <w:r w:rsidRPr="009338FB">
        <w:t>Inhalation of Dust</w:t>
      </w:r>
      <w:bookmarkEnd w:id="7"/>
    </w:p>
    <w:p w:rsidR="00BD4D54" w:rsidRDefault="00BD4D54" w:rsidP="00BD4D54">
      <w:r>
        <w:t>DDT, DDE and DDD are not considered sufficiently volatile to be of significance and inhalation exposures associated with particulates outdoors and indoors are expected to be of less significance than ingestion of soil. While likely to be negligible, potential inhalation exposures associated with dust have been considered in the HIL derived.</w:t>
      </w:r>
    </w:p>
    <w:p w:rsidR="00BD4D54" w:rsidRPr="009338FB" w:rsidRDefault="00BD4D54" w:rsidP="00BD4D54">
      <w:pPr>
        <w:pStyle w:val="Heading3"/>
      </w:pPr>
      <w:bookmarkStart w:id="8" w:name="_Toc351714097"/>
      <w:r w:rsidRPr="009338FB">
        <w:t>Plant Uptake</w:t>
      </w:r>
      <w:bookmarkEnd w:id="8"/>
    </w:p>
    <w:p w:rsidR="00BD4D54" w:rsidRDefault="00BD4D54" w:rsidP="00BD4D54">
      <w:r>
        <w:t xml:space="preserve">As DDT has the potential to bioaccumulate, uptake into fruit and vegetable crops (as well as eggs and poultry where relevant) are likely to be of significance (Beard, 1993). Review by MfE (2011) noted that there are limited studies available for the assessment of plant uptake of DDT, however plant uptake has been considered. It is noted that the few studies available relate to the uptake of DDT in plants when applied in solution (as would be the case as an applied pesticide). DDT, DDE and DDD have a high Koc values (log </w:t>
      </w:r>
      <w:r w:rsidRPr="00B52451">
        <w:t>Koc = 5.19</w:t>
      </w:r>
      <w:r>
        <w:sym w:font="Symbol" w:char="F02D"/>
      </w:r>
      <w:r w:rsidRPr="00B52451">
        <w:t>5.35, ATSDR 2002) suggesting that these compounds are strongly bound to the soil particulates and immobile in soil (with low solubility in water)</w:t>
      </w:r>
      <w:r>
        <w:t xml:space="preserve">. </w:t>
      </w:r>
      <w:r w:rsidRPr="00B52451">
        <w:t>For plant uptake to be significant, the chemicals must be able to partition to soil water</w:t>
      </w:r>
      <w:r>
        <w:t>. In addition t</w:t>
      </w:r>
      <w:r w:rsidRPr="00B52451">
        <w:t xml:space="preserve">here is evidence that DDT, as well as other </w:t>
      </w:r>
      <w:r>
        <w:t>chemicals</w:t>
      </w:r>
      <w:r w:rsidRPr="00B52451">
        <w:t xml:space="preserve">, undergoes an </w:t>
      </w:r>
      <w:r>
        <w:t>ageing</w:t>
      </w:r>
      <w:r w:rsidRPr="00B52451">
        <w:t xml:space="preserve"> process in soil whereby the DDT is sequestered in the soil so decreas</w:t>
      </w:r>
      <w:r>
        <w:t>ing</w:t>
      </w:r>
      <w:r w:rsidRPr="00B52451">
        <w:t xml:space="preserve"> its bioavailability to microorganisms, extractability with solvents, and toxicity to some organisms (ATSDR 2002)</w:t>
      </w:r>
      <w:r>
        <w:t xml:space="preserve">. </w:t>
      </w:r>
    </w:p>
    <w:p w:rsidR="008E3226" w:rsidRPr="00B52451" w:rsidRDefault="008E3226" w:rsidP="00BD4D54"/>
    <w:p w:rsidR="00BD4D54" w:rsidRDefault="00BD4D54" w:rsidP="00BD4D54">
      <w:r w:rsidRPr="00700387">
        <w:t>ATSDR (2002) reviewed available studies associated with potential uptake of DDT that is sorbed to soil</w:t>
      </w:r>
      <w:r>
        <w:t xml:space="preserve">. </w:t>
      </w:r>
      <w:r w:rsidRPr="00B52451">
        <w:t>The studies show that the potential for uptake was low and there was little or no evidence of translocation</w:t>
      </w:r>
      <w:r>
        <w:t xml:space="preserve">. </w:t>
      </w:r>
      <w:r w:rsidRPr="00B52451">
        <w:t xml:space="preserve">Some uptake was noted where the DDT source was fresh and some volatilisation had occurred resulting in uptake, </w:t>
      </w:r>
      <w:r>
        <w:t>though</w:t>
      </w:r>
      <w:r w:rsidRPr="00B52451">
        <w:t xml:space="preserve"> this process is not consider relevant for most DDT</w:t>
      </w:r>
      <w:r>
        <w:t>-</w:t>
      </w:r>
      <w:r w:rsidRPr="00B52451">
        <w:t xml:space="preserve">contaminated sites as these compounds are no longer used in Australia. </w:t>
      </w:r>
    </w:p>
    <w:p w:rsidR="008E3226" w:rsidRDefault="008E3226" w:rsidP="00BD4D54"/>
    <w:p w:rsidR="00BD4D54" w:rsidRDefault="00BD4D54" w:rsidP="00BD4D54">
      <w:r>
        <w:lastRenderedPageBreak/>
        <w:t xml:space="preserve">On the basis of the above, the potential for plant uptake of DDT, DDE and/or DDD </w:t>
      </w:r>
      <w:r w:rsidRPr="00B52451">
        <w:t>bound to the soil is considered to be</w:t>
      </w:r>
      <w:r>
        <w:t xml:space="preserve"> negligible.</w:t>
      </w:r>
    </w:p>
    <w:p w:rsidR="008E3226" w:rsidRDefault="008E3226" w:rsidP="00BD4D54"/>
    <w:p w:rsidR="00BD4D54" w:rsidRDefault="00BD4D54" w:rsidP="00BD4D54">
      <w:r>
        <w:t>It is noted, however, that should these compounds be present in other media such as groundwater (used for irrigation) or in solution then the potential for uptake into fruit and vegetable crops is likely to be of significance. These issues should be assessed on a site-specific basis</w:t>
      </w:r>
    </w:p>
    <w:p w:rsidR="00BD4D54" w:rsidRPr="0089652E" w:rsidRDefault="00BD4D54" w:rsidP="00BD4D54">
      <w:pPr>
        <w:pStyle w:val="Heading3"/>
      </w:pPr>
      <w:bookmarkStart w:id="9" w:name="_Toc351714098"/>
      <w:r w:rsidRPr="0089652E">
        <w:t xml:space="preserve">Intakes from Other Sources </w:t>
      </w:r>
      <w:r>
        <w:t>–</w:t>
      </w:r>
      <w:r w:rsidRPr="0089652E">
        <w:t xml:space="preserve"> Background</w:t>
      </w:r>
      <w:bookmarkEnd w:id="9"/>
    </w:p>
    <w:p w:rsidR="00BD4D54" w:rsidRDefault="00BD4D54" w:rsidP="00BD4D54">
      <w:r>
        <w:t>For the general population, background intakes would be expected to be primarily associated with residues in food, which appear to be slowly disappearing from the food chain (Beard 1993). Background intakes considered in the previous HIL were estimated to be 0.546 mg/kg/day for infants, predominantly derived from dietary sources.</w:t>
      </w:r>
    </w:p>
    <w:p w:rsidR="008E3226" w:rsidRDefault="008E3226" w:rsidP="00BD4D54"/>
    <w:p w:rsidR="00BD4D54" w:rsidRDefault="00BD4D54" w:rsidP="00BD4D54">
      <w:r>
        <w:t xml:space="preserve">More recent information from Food Standards Australia New Zealand in the </w:t>
      </w:r>
      <w:r w:rsidRPr="001E2D59">
        <w:rPr>
          <w:i/>
        </w:rPr>
        <w:t>20</w:t>
      </w:r>
      <w:r w:rsidRPr="001E2D59">
        <w:rPr>
          <w:i/>
          <w:vertAlign w:val="superscript"/>
        </w:rPr>
        <w:t>th</w:t>
      </w:r>
      <w:r w:rsidRPr="001E2D59">
        <w:rPr>
          <w:i/>
        </w:rPr>
        <w:t xml:space="preserve"> Australian Total Diet Survey</w:t>
      </w:r>
      <w:r>
        <w:t xml:space="preserve"> (FSANZ 2003) indicates that dietary exposures for all age groups was less than 0.2% of the adopted ADI (0.002 mg/kg/day). DDT was not detected in the </w:t>
      </w:r>
      <w:r w:rsidRPr="001E2D59">
        <w:rPr>
          <w:i/>
        </w:rPr>
        <w:t>23</w:t>
      </w:r>
      <w:r w:rsidRPr="001E2D59">
        <w:rPr>
          <w:i/>
          <w:vertAlign w:val="superscript"/>
        </w:rPr>
        <w:t>rd</w:t>
      </w:r>
      <w:r w:rsidRPr="001E2D59">
        <w:rPr>
          <w:i/>
        </w:rPr>
        <w:t xml:space="preserve"> Australian Total Diet Survey</w:t>
      </w:r>
      <w:r>
        <w:t xml:space="preserve"> (FSANZ 2011). On this basis, background intakes can be considered negligible (0%). This evaluation is consistent with that presented by RIVM (2001).</w:t>
      </w:r>
    </w:p>
    <w:p w:rsidR="00BD4D54" w:rsidRDefault="00BD4D54" w:rsidP="00BD4D54">
      <w:pPr>
        <w:pStyle w:val="Heading2"/>
        <w:tabs>
          <w:tab w:val="clear" w:pos="1209"/>
        </w:tabs>
      </w:pPr>
      <w:bookmarkStart w:id="10" w:name="_Toc351714099"/>
      <w:r>
        <w:t>Identification of Toxicity Reference Values</w:t>
      </w:r>
      <w:bookmarkEnd w:id="10"/>
    </w:p>
    <w:p w:rsidR="00BD4D54" w:rsidRPr="00983A79" w:rsidRDefault="00BD4D54" w:rsidP="00BD4D54">
      <w:pPr>
        <w:pStyle w:val="Heading3"/>
      </w:pPr>
      <w:bookmarkStart w:id="11" w:name="_Toc351714100"/>
      <w:r w:rsidRPr="00983A79">
        <w:t>Classification</w:t>
      </w:r>
      <w:bookmarkEnd w:id="11"/>
    </w:p>
    <w:p w:rsidR="00BD4D54" w:rsidRDefault="00BD4D54" w:rsidP="00BD4D54">
      <w:r w:rsidRPr="00C259C1">
        <w:t>The International Agency for Research on Cancer (IARC</w:t>
      </w:r>
      <w:r>
        <w:t xml:space="preserve"> 1991</w:t>
      </w:r>
      <w:r w:rsidRPr="00C259C1">
        <w:t xml:space="preserve">) </w:t>
      </w:r>
      <w:r>
        <w:t xml:space="preserve">has classified </w:t>
      </w:r>
      <w:r w:rsidRPr="00C259C1">
        <w:t>DDT and associated</w:t>
      </w:r>
      <w:r>
        <w:t xml:space="preserve"> compounds as 2B</w:t>
      </w:r>
      <w:r>
        <w:rPr>
          <w:rFonts w:cs="Arial"/>
        </w:rPr>
        <w:t>—</w:t>
      </w:r>
      <w:r>
        <w:t xml:space="preserve">possible human carcinogens. </w:t>
      </w:r>
    </w:p>
    <w:p w:rsidR="00EC6328" w:rsidRDefault="00EC6328" w:rsidP="00BD4D54"/>
    <w:p w:rsidR="00BD4D54" w:rsidRDefault="00BD4D54" w:rsidP="00BD4D54">
      <w:r>
        <w:t>The US EPA has classified DDT as B2</w:t>
      </w:r>
      <w:r>
        <w:rPr>
          <w:rFonts w:cs="Arial"/>
        </w:rPr>
        <w:t>—</w:t>
      </w:r>
      <w:r>
        <w:t>probable human carcinogen.</w:t>
      </w:r>
    </w:p>
    <w:p w:rsidR="00BD4D54" w:rsidRPr="00907E92" w:rsidRDefault="00BD4D54" w:rsidP="00BD4D54">
      <w:pPr>
        <w:pStyle w:val="Heading3"/>
      </w:pPr>
      <w:bookmarkStart w:id="12" w:name="_Toc351714101"/>
      <w:r w:rsidRPr="00907E92">
        <w:t>Review of Available Values</w:t>
      </w:r>
      <w:r>
        <w:t>/Information</w:t>
      </w:r>
      <w:bookmarkEnd w:id="12"/>
    </w:p>
    <w:p w:rsidR="00BD4D54" w:rsidRDefault="00BD4D54" w:rsidP="00BD4D54">
      <w:r>
        <w:t>While DDT has some carcinogenic potential, the mode of action is important in determining the most appropriate approach to the identification of quantitative toxicity values. No discussion is presented in the profile regarding mode of action and potential for genotoxicity. Review of available information (ATSDR 2002; WHO (2011); RIVM 2001; IARC 1991) suggests that while some conflicting data is available with regard to some genetic end points, DDT and derivatives are not genotoxic (or it is equivocal) and therefore it is not appropriate to consider a non-threshold (linear) dose</w:t>
      </w:r>
      <w:r>
        <w:sym w:font="Symbol" w:char="F02D"/>
      </w:r>
      <w:r>
        <w:t>response approach. Hence, it is not appropriate to consider the use of the slope factor and unit risk values available from US EPA.</w:t>
      </w:r>
    </w:p>
    <w:p w:rsidR="00EC6328" w:rsidRDefault="00EC6328" w:rsidP="00BD4D54"/>
    <w:p w:rsidR="00BD4D54" w:rsidRDefault="00BD4D54" w:rsidP="00BD4D54">
      <w:r>
        <w:t>On the basis of the available information, it is considered appropriate that a threshold dose</w:t>
      </w:r>
      <w:r>
        <w:sym w:font="Symbol" w:char="F02D"/>
      </w:r>
      <w:r>
        <w:t>response approach be adopted for DDT. The following are available from Level 1 Australian and International sources:</w:t>
      </w:r>
    </w:p>
    <w:p w:rsidR="00BD4D54" w:rsidRDefault="00BD4D54" w:rsidP="00BD4D54"/>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2"/>
        <w:gridCol w:w="2211"/>
        <w:gridCol w:w="5480"/>
      </w:tblGrid>
      <w:tr w:rsidR="00BD4D54" w:rsidRPr="00D04E9A" w:rsidTr="00EC6328">
        <w:trPr>
          <w:tblHeader/>
        </w:trPr>
        <w:tc>
          <w:tcPr>
            <w:tcW w:w="1312" w:type="dxa"/>
            <w:shd w:val="clear" w:color="auto" w:fill="C6D9F1" w:themeFill="text2" w:themeFillTint="33"/>
          </w:tcPr>
          <w:p w:rsidR="00BD4D54" w:rsidRPr="00D04E9A" w:rsidRDefault="00BD4D54" w:rsidP="00EC6328">
            <w:pPr>
              <w:spacing w:before="20"/>
              <w:jc w:val="center"/>
              <w:rPr>
                <w:b/>
                <w:szCs w:val="22"/>
              </w:rPr>
            </w:pPr>
            <w:r w:rsidRPr="00D04E9A">
              <w:rPr>
                <w:b/>
                <w:szCs w:val="22"/>
              </w:rPr>
              <w:t>Source</w:t>
            </w:r>
          </w:p>
        </w:tc>
        <w:tc>
          <w:tcPr>
            <w:tcW w:w="2211" w:type="dxa"/>
            <w:shd w:val="clear" w:color="auto" w:fill="C6D9F1" w:themeFill="text2" w:themeFillTint="33"/>
          </w:tcPr>
          <w:p w:rsidR="00BD4D54" w:rsidRPr="00D04E9A" w:rsidRDefault="00BD4D54" w:rsidP="00EC6328">
            <w:pPr>
              <w:spacing w:before="20"/>
              <w:jc w:val="center"/>
              <w:rPr>
                <w:b/>
                <w:szCs w:val="22"/>
              </w:rPr>
            </w:pPr>
            <w:r w:rsidRPr="00D04E9A">
              <w:rPr>
                <w:b/>
                <w:szCs w:val="22"/>
              </w:rPr>
              <w:t>Value</w:t>
            </w:r>
          </w:p>
        </w:tc>
        <w:tc>
          <w:tcPr>
            <w:tcW w:w="5480" w:type="dxa"/>
            <w:shd w:val="clear" w:color="auto" w:fill="C6D9F1" w:themeFill="text2" w:themeFillTint="33"/>
          </w:tcPr>
          <w:p w:rsidR="00BD4D54" w:rsidRPr="00D04E9A" w:rsidRDefault="00BD4D54" w:rsidP="00EC6328">
            <w:pPr>
              <w:spacing w:before="20"/>
              <w:jc w:val="center"/>
              <w:rPr>
                <w:b/>
                <w:szCs w:val="22"/>
              </w:rPr>
            </w:pPr>
            <w:r w:rsidRPr="00D04E9A">
              <w:rPr>
                <w:b/>
                <w:szCs w:val="22"/>
              </w:rPr>
              <w:t>Basis/Comments</w:t>
            </w:r>
          </w:p>
        </w:tc>
      </w:tr>
      <w:tr w:rsidR="00BD4D54" w:rsidRPr="00D04E9A" w:rsidTr="00EC6328">
        <w:tc>
          <w:tcPr>
            <w:tcW w:w="9003" w:type="dxa"/>
            <w:gridSpan w:val="3"/>
          </w:tcPr>
          <w:p w:rsidR="00BD4D54" w:rsidRPr="00D04E9A" w:rsidRDefault="00BD4D54" w:rsidP="00EC6328">
            <w:pPr>
              <w:spacing w:before="20"/>
              <w:jc w:val="center"/>
              <w:rPr>
                <w:b/>
                <w:szCs w:val="22"/>
              </w:rPr>
            </w:pPr>
            <w:r w:rsidRPr="00D04E9A">
              <w:rPr>
                <w:b/>
                <w:szCs w:val="22"/>
              </w:rPr>
              <w:t>Australian</w:t>
            </w:r>
          </w:p>
        </w:tc>
      </w:tr>
      <w:tr w:rsidR="00BD4D54" w:rsidRPr="00D04E9A" w:rsidTr="00EC6328">
        <w:tc>
          <w:tcPr>
            <w:tcW w:w="1312" w:type="dxa"/>
          </w:tcPr>
          <w:p w:rsidR="00BD4D54" w:rsidRPr="00D04E9A" w:rsidRDefault="00BD4D54" w:rsidP="00EC6328">
            <w:pPr>
              <w:spacing w:before="20"/>
              <w:rPr>
                <w:szCs w:val="22"/>
              </w:rPr>
            </w:pPr>
            <w:r w:rsidRPr="00D04E9A">
              <w:rPr>
                <w:szCs w:val="22"/>
              </w:rPr>
              <w:t>ADWG (NHMRC 2011)</w:t>
            </w:r>
          </w:p>
        </w:tc>
        <w:tc>
          <w:tcPr>
            <w:tcW w:w="2211" w:type="dxa"/>
          </w:tcPr>
          <w:p w:rsidR="00BD4D54" w:rsidRPr="00D04E9A" w:rsidRDefault="00BD4D54" w:rsidP="00EC6328">
            <w:pPr>
              <w:spacing w:before="20"/>
              <w:rPr>
                <w:szCs w:val="22"/>
              </w:rPr>
            </w:pPr>
            <w:r w:rsidRPr="00D04E9A">
              <w:rPr>
                <w:szCs w:val="22"/>
              </w:rPr>
              <w:t xml:space="preserve">TDI = 0.0025 mg/kg/day </w:t>
            </w:r>
          </w:p>
        </w:tc>
        <w:tc>
          <w:tcPr>
            <w:tcW w:w="5480" w:type="dxa"/>
          </w:tcPr>
          <w:p w:rsidR="00BD4D54" w:rsidRPr="00D04E9A" w:rsidRDefault="00BD4D54" w:rsidP="00EC6328">
            <w:pPr>
              <w:spacing w:before="20"/>
              <w:rPr>
                <w:szCs w:val="22"/>
              </w:rPr>
            </w:pPr>
            <w:r w:rsidRPr="00D04E9A">
              <w:rPr>
                <w:szCs w:val="22"/>
              </w:rPr>
              <w:t>The NHMRC derived a guideline of 0.009 mg/L based on a TDI of 0.0025 mg/kg/day. The TDI is derived on the basis of a NOEL of 0.25 mg/kg/day from a 25-year study in humans, and an uncertainty factor of 100 (includes 10 for intraspecies variation and 10 for the uncertainty arising from the lack of detail in the epidemiological study used).</w:t>
            </w:r>
          </w:p>
        </w:tc>
      </w:tr>
      <w:tr w:rsidR="00BD4D54" w:rsidRPr="00D04E9A" w:rsidTr="00EC6328">
        <w:tc>
          <w:tcPr>
            <w:tcW w:w="1312" w:type="dxa"/>
          </w:tcPr>
          <w:p w:rsidR="00BD4D54" w:rsidRPr="00D04E9A" w:rsidRDefault="00BD4D54" w:rsidP="00EC6328">
            <w:pPr>
              <w:spacing w:before="20"/>
              <w:rPr>
                <w:szCs w:val="22"/>
              </w:rPr>
            </w:pPr>
            <w:r w:rsidRPr="00D04E9A">
              <w:rPr>
                <w:szCs w:val="22"/>
              </w:rPr>
              <w:t>OCS (2012)</w:t>
            </w:r>
          </w:p>
        </w:tc>
        <w:tc>
          <w:tcPr>
            <w:tcW w:w="2211" w:type="dxa"/>
          </w:tcPr>
          <w:p w:rsidR="00BD4D54" w:rsidRPr="00D04E9A" w:rsidRDefault="00BD4D54" w:rsidP="00EC6328">
            <w:pPr>
              <w:spacing w:before="20"/>
              <w:rPr>
                <w:szCs w:val="22"/>
              </w:rPr>
            </w:pPr>
            <w:r w:rsidRPr="00D04E9A">
              <w:rPr>
                <w:szCs w:val="22"/>
              </w:rPr>
              <w:t>TDI = 0.002 mg/kg/day</w:t>
            </w:r>
          </w:p>
        </w:tc>
        <w:tc>
          <w:tcPr>
            <w:tcW w:w="5480" w:type="dxa"/>
          </w:tcPr>
          <w:p w:rsidR="00BD4D54" w:rsidRPr="00D04E9A" w:rsidRDefault="00BD4D54" w:rsidP="00EC6328">
            <w:pPr>
              <w:spacing w:before="20"/>
              <w:rPr>
                <w:szCs w:val="22"/>
              </w:rPr>
            </w:pPr>
            <w:r w:rsidRPr="00D04E9A">
              <w:rPr>
                <w:szCs w:val="22"/>
              </w:rPr>
              <w:t xml:space="preserve">TDI was set in 2003 (same as previous ADI), based on a NOEL of 0.25 mg/kg/day from studies in humans and experimental animals, and an uncertainty factor of 100. </w:t>
            </w:r>
          </w:p>
        </w:tc>
      </w:tr>
      <w:tr w:rsidR="00BD4D54" w:rsidRPr="00D04E9A" w:rsidTr="00EC6328">
        <w:tc>
          <w:tcPr>
            <w:tcW w:w="9003" w:type="dxa"/>
            <w:gridSpan w:val="3"/>
          </w:tcPr>
          <w:p w:rsidR="00BD4D54" w:rsidRPr="00D04E9A" w:rsidRDefault="00BD4D54" w:rsidP="00EC6328">
            <w:pPr>
              <w:spacing w:before="20"/>
              <w:jc w:val="center"/>
              <w:rPr>
                <w:b/>
                <w:szCs w:val="22"/>
              </w:rPr>
            </w:pPr>
            <w:r w:rsidRPr="00D04E9A">
              <w:rPr>
                <w:b/>
                <w:szCs w:val="22"/>
              </w:rPr>
              <w:t>International</w:t>
            </w:r>
          </w:p>
        </w:tc>
      </w:tr>
      <w:tr w:rsidR="00BD4D54" w:rsidRPr="00D04E9A" w:rsidTr="00EC6328">
        <w:tc>
          <w:tcPr>
            <w:tcW w:w="1312" w:type="dxa"/>
          </w:tcPr>
          <w:p w:rsidR="00BD4D54" w:rsidRPr="00D04E9A" w:rsidRDefault="00BD4D54" w:rsidP="00EC6328">
            <w:pPr>
              <w:spacing w:before="20"/>
              <w:rPr>
                <w:szCs w:val="22"/>
              </w:rPr>
            </w:pPr>
            <w:r w:rsidRPr="00D04E9A">
              <w:rPr>
                <w:szCs w:val="22"/>
              </w:rPr>
              <w:t xml:space="preserve">WHO </w:t>
            </w:r>
            <w:r w:rsidRPr="00D04E9A">
              <w:rPr>
                <w:szCs w:val="22"/>
              </w:rPr>
              <w:lastRenderedPageBreak/>
              <w:t>(2011)</w:t>
            </w:r>
          </w:p>
        </w:tc>
        <w:tc>
          <w:tcPr>
            <w:tcW w:w="2211" w:type="dxa"/>
          </w:tcPr>
          <w:p w:rsidR="00BD4D54" w:rsidRPr="00D04E9A" w:rsidRDefault="00BD4D54" w:rsidP="00EC6328">
            <w:pPr>
              <w:spacing w:before="20"/>
              <w:rPr>
                <w:szCs w:val="22"/>
              </w:rPr>
            </w:pPr>
            <w:r w:rsidRPr="00D04E9A">
              <w:rPr>
                <w:szCs w:val="22"/>
              </w:rPr>
              <w:lastRenderedPageBreak/>
              <w:t xml:space="preserve">PTDI = 0.01 </w:t>
            </w:r>
            <w:r w:rsidRPr="00D04E9A">
              <w:rPr>
                <w:szCs w:val="22"/>
              </w:rPr>
              <w:lastRenderedPageBreak/>
              <w:t>mg/kg/day</w:t>
            </w:r>
          </w:p>
        </w:tc>
        <w:tc>
          <w:tcPr>
            <w:tcW w:w="5480" w:type="dxa"/>
          </w:tcPr>
          <w:p w:rsidR="00BD4D54" w:rsidRPr="00D04E9A" w:rsidRDefault="00BD4D54" w:rsidP="00EC6328">
            <w:pPr>
              <w:spacing w:before="20"/>
              <w:rPr>
                <w:szCs w:val="22"/>
              </w:rPr>
            </w:pPr>
            <w:r w:rsidRPr="00D04E9A">
              <w:rPr>
                <w:szCs w:val="22"/>
              </w:rPr>
              <w:lastRenderedPageBreak/>
              <w:t xml:space="preserve">Provisional TDI referenced inWHO(2011) was established </w:t>
            </w:r>
            <w:r w:rsidRPr="00D04E9A">
              <w:rPr>
                <w:szCs w:val="22"/>
              </w:rPr>
              <w:lastRenderedPageBreak/>
              <w:t>by JMPR in 2000 (as published by JMPR 2001) based on a NOAEL of 1 mg/kg/day for developmental toxicity in rats, and a safety factor of 100.</w:t>
            </w:r>
          </w:p>
        </w:tc>
      </w:tr>
      <w:tr w:rsidR="00BD4D54" w:rsidRPr="00D04E9A" w:rsidTr="00EC6328">
        <w:tc>
          <w:tcPr>
            <w:tcW w:w="1312" w:type="dxa"/>
          </w:tcPr>
          <w:p w:rsidR="00BD4D54" w:rsidRPr="00D04E9A" w:rsidRDefault="00BD4D54" w:rsidP="00EC6328">
            <w:pPr>
              <w:spacing w:before="20"/>
              <w:rPr>
                <w:szCs w:val="22"/>
              </w:rPr>
            </w:pPr>
            <w:r w:rsidRPr="00D04E9A">
              <w:rPr>
                <w:szCs w:val="22"/>
              </w:rPr>
              <w:lastRenderedPageBreak/>
              <w:t>RIVM (2001)</w:t>
            </w:r>
          </w:p>
        </w:tc>
        <w:tc>
          <w:tcPr>
            <w:tcW w:w="2211" w:type="dxa"/>
          </w:tcPr>
          <w:p w:rsidR="00BD4D54" w:rsidRPr="00D04E9A" w:rsidRDefault="00BD4D54" w:rsidP="00EC6328">
            <w:pPr>
              <w:spacing w:before="20"/>
              <w:rPr>
                <w:szCs w:val="22"/>
              </w:rPr>
            </w:pPr>
            <w:r w:rsidRPr="00D04E9A">
              <w:rPr>
                <w:szCs w:val="22"/>
              </w:rPr>
              <w:t>TDI = 0.0005 mg/kg/day</w:t>
            </w:r>
          </w:p>
          <w:p w:rsidR="00BD4D54" w:rsidRPr="00D04E9A" w:rsidRDefault="00BD4D54" w:rsidP="00EC6328">
            <w:pPr>
              <w:spacing w:before="20"/>
              <w:rPr>
                <w:szCs w:val="22"/>
              </w:rPr>
            </w:pPr>
          </w:p>
        </w:tc>
        <w:tc>
          <w:tcPr>
            <w:tcW w:w="5480" w:type="dxa"/>
          </w:tcPr>
          <w:p w:rsidR="00BD4D54" w:rsidRPr="00D04E9A" w:rsidRDefault="00BD4D54" w:rsidP="00EC6328">
            <w:pPr>
              <w:spacing w:before="20"/>
              <w:rPr>
                <w:szCs w:val="22"/>
              </w:rPr>
            </w:pPr>
            <w:r w:rsidRPr="00D04E9A">
              <w:rPr>
                <w:szCs w:val="22"/>
              </w:rPr>
              <w:t>TDI based on a NOAEL of 0.05 mg/kg/day associated with hepatotoxic effects in a 15 to 27-week study in female rats, and a 100-fold uncertainty factor.</w:t>
            </w:r>
          </w:p>
        </w:tc>
      </w:tr>
      <w:tr w:rsidR="00BD4D54" w:rsidRPr="00D04E9A" w:rsidTr="00EC6328">
        <w:tc>
          <w:tcPr>
            <w:tcW w:w="1312" w:type="dxa"/>
          </w:tcPr>
          <w:p w:rsidR="00BD4D54" w:rsidRPr="00D04E9A" w:rsidRDefault="00BD4D54" w:rsidP="00EC6328">
            <w:pPr>
              <w:spacing w:before="20"/>
              <w:rPr>
                <w:szCs w:val="22"/>
              </w:rPr>
            </w:pPr>
            <w:r w:rsidRPr="00D04E9A">
              <w:rPr>
                <w:szCs w:val="22"/>
              </w:rPr>
              <w:t>ATSDR (2002)</w:t>
            </w:r>
          </w:p>
        </w:tc>
        <w:tc>
          <w:tcPr>
            <w:tcW w:w="2211" w:type="dxa"/>
          </w:tcPr>
          <w:p w:rsidR="00BD4D54" w:rsidRPr="00D04E9A" w:rsidRDefault="00BD4D54" w:rsidP="00EC6328">
            <w:pPr>
              <w:spacing w:before="20"/>
              <w:rPr>
                <w:szCs w:val="22"/>
              </w:rPr>
            </w:pPr>
            <w:r w:rsidRPr="00D04E9A">
              <w:rPr>
                <w:szCs w:val="22"/>
              </w:rPr>
              <w:t>No chronic value derived</w:t>
            </w:r>
          </w:p>
        </w:tc>
        <w:tc>
          <w:tcPr>
            <w:tcW w:w="5480" w:type="dxa"/>
          </w:tcPr>
          <w:p w:rsidR="00BD4D54" w:rsidRPr="00D04E9A" w:rsidRDefault="00BD4D54" w:rsidP="00EC6328">
            <w:pPr>
              <w:spacing w:before="20"/>
              <w:rPr>
                <w:szCs w:val="22"/>
              </w:rPr>
            </w:pPr>
            <w:r w:rsidRPr="00D04E9A">
              <w:rPr>
                <w:szCs w:val="22"/>
              </w:rPr>
              <w:t>Not derived as most sensitive non-cancer effects were observed at doses higher than doses for most sensitive acute and intermediate duration effects. The acute and intermediate MRL derived for DDT was 0.0005 mg/kg/day.</w:t>
            </w:r>
          </w:p>
        </w:tc>
      </w:tr>
      <w:tr w:rsidR="00BD4D54" w:rsidRPr="00D04E9A" w:rsidTr="00EC6328">
        <w:tc>
          <w:tcPr>
            <w:tcW w:w="1312" w:type="dxa"/>
          </w:tcPr>
          <w:p w:rsidR="00BD4D54" w:rsidRPr="00D04E9A" w:rsidRDefault="00BD4D54" w:rsidP="00EC6328">
            <w:pPr>
              <w:spacing w:before="20"/>
              <w:rPr>
                <w:szCs w:val="22"/>
              </w:rPr>
            </w:pPr>
            <w:r w:rsidRPr="00D04E9A">
              <w:rPr>
                <w:szCs w:val="22"/>
              </w:rPr>
              <w:t>US EPA (IRIS 2012)</w:t>
            </w:r>
          </w:p>
        </w:tc>
        <w:tc>
          <w:tcPr>
            <w:tcW w:w="2211" w:type="dxa"/>
          </w:tcPr>
          <w:p w:rsidR="00BD4D54" w:rsidRPr="00D04E9A" w:rsidRDefault="00BD4D54" w:rsidP="00EC6328">
            <w:pPr>
              <w:spacing w:before="20"/>
              <w:rPr>
                <w:szCs w:val="22"/>
              </w:rPr>
            </w:pPr>
            <w:r w:rsidRPr="00D04E9A">
              <w:rPr>
                <w:szCs w:val="22"/>
              </w:rPr>
              <w:t>RfD = 0.0005 mg/kg/day</w:t>
            </w:r>
          </w:p>
          <w:p w:rsidR="00BD4D54" w:rsidRPr="00D04E9A" w:rsidRDefault="00BD4D54" w:rsidP="00EC6328">
            <w:pPr>
              <w:spacing w:before="20"/>
              <w:rPr>
                <w:szCs w:val="22"/>
              </w:rPr>
            </w:pPr>
          </w:p>
        </w:tc>
        <w:tc>
          <w:tcPr>
            <w:tcW w:w="5480" w:type="dxa"/>
          </w:tcPr>
          <w:p w:rsidR="00BD4D54" w:rsidRPr="00D04E9A" w:rsidRDefault="00BD4D54" w:rsidP="00EC6328">
            <w:pPr>
              <w:spacing w:before="20"/>
              <w:rPr>
                <w:szCs w:val="22"/>
              </w:rPr>
            </w:pPr>
            <w:r w:rsidRPr="00D04E9A">
              <w:rPr>
                <w:szCs w:val="22"/>
              </w:rPr>
              <w:t>The US EPA review (last updated in 1987) derived an oral RfD on the basis of a NOEL of 0.05 mg/kg/day associated with liver effects in a rat study (1950 study), and uncertainty factor of 100. The US EPA has also derived an oral slope factor and inhalation unit risk, however these are not considered appropriate for the assessment of a non-genotoxic carcinogen.</w:t>
            </w:r>
          </w:p>
        </w:tc>
      </w:tr>
    </w:tbl>
    <w:p w:rsidR="00BD4D54" w:rsidRDefault="00BD4D54" w:rsidP="00BD4D54"/>
    <w:p w:rsidR="00BD4D54" w:rsidRDefault="00BD4D54" w:rsidP="00BD4D54">
      <w:r>
        <w:t>There is a wide range of threshold values available for oral intakes of DDT. It is recommended that the oral value available from OCS (2012) ,which is consistent with the value in the ADWG (NHMRC 2011), be adopted for the derivation of an Australian HIL. The US EPA evaluation, while providing a more conservative TRV, has not been considered as it is significantly dated, using a key study from 1950. Reviews conducted by WHO and NHMRC are more current and have considered more recent studies.</w:t>
      </w:r>
    </w:p>
    <w:p w:rsidR="00B0287F" w:rsidRDefault="00B0287F" w:rsidP="00BD4D54"/>
    <w:p w:rsidR="00BD4D54" w:rsidRDefault="00BD4D54" w:rsidP="00BD4D54">
      <w:r>
        <w:t>No dermal or inhalation-specific studies or data are available. For the presence of DDT (DDE and DDD) in soil, it is considered appropriate to consider use of the available ADI for all pathways of exposures.</w:t>
      </w:r>
    </w:p>
    <w:p w:rsidR="00BD4D54" w:rsidRPr="00DB16F5" w:rsidRDefault="00BD4D54" w:rsidP="00BD4D54">
      <w:pPr>
        <w:pStyle w:val="Heading3"/>
      </w:pPr>
      <w:bookmarkStart w:id="13" w:name="_Toc351714102"/>
      <w:r w:rsidRPr="00DB16F5">
        <w:t>Recommendation</w:t>
      </w:r>
      <w:bookmarkEnd w:id="13"/>
    </w:p>
    <w:p w:rsidR="00BD4D54" w:rsidRDefault="00BD4D54" w:rsidP="00BD4D54">
      <w:r>
        <w:t>On the basis of the discussion above, the following toxicity reference values (TRVs) have been adopted for DDT, DDE and DDD (in total) in the derivation of HILs:</w:t>
      </w:r>
    </w:p>
    <w:p w:rsidR="00BD4D54" w:rsidRDefault="00BD4D54" w:rsidP="00BD4D54">
      <w:r>
        <w:rPr>
          <w:noProof/>
          <w:lang w:eastAsia="en-AU"/>
        </w:rPr>
        <mc:AlternateContent>
          <mc:Choice Requires="wps">
            <w:drawing>
              <wp:inline distT="0" distB="0" distL="0" distR="0">
                <wp:extent cx="5661660" cy="1731645"/>
                <wp:effectExtent l="13335" t="5715" r="11430" b="571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1731645"/>
                        </a:xfrm>
                        <a:prstGeom prst="rect">
                          <a:avLst/>
                        </a:prstGeom>
                        <a:solidFill>
                          <a:srgbClr val="D8D8D8"/>
                        </a:solidFill>
                        <a:ln w="9525">
                          <a:solidFill>
                            <a:srgbClr val="000000"/>
                          </a:solidFill>
                          <a:miter lim="800000"/>
                          <a:headEnd/>
                          <a:tailEnd/>
                        </a:ln>
                      </wps:spPr>
                      <wps:txbx>
                        <w:txbxContent>
                          <w:p w:rsidR="00480C84" w:rsidRPr="00742163" w:rsidRDefault="00480C84" w:rsidP="00BD4D54">
                            <w:pPr>
                              <w:spacing w:after="40"/>
                              <w:rPr>
                                <w:b/>
                                <w:u w:val="single"/>
                              </w:rPr>
                            </w:pPr>
                            <w:r w:rsidRPr="00742163">
                              <w:rPr>
                                <w:b/>
                                <w:u w:val="single"/>
                              </w:rPr>
                              <w:t xml:space="preserve">Recommendation for </w:t>
                            </w:r>
                            <w:r>
                              <w:rPr>
                                <w:b/>
                                <w:u w:val="single"/>
                              </w:rPr>
                              <w:t>DDT</w:t>
                            </w:r>
                            <w:r w:rsidRPr="00742163">
                              <w:rPr>
                                <w:b/>
                                <w:u w:val="single"/>
                              </w:rPr>
                              <w:t xml:space="preserve"> </w:t>
                            </w:r>
                          </w:p>
                          <w:p w:rsidR="00480C84" w:rsidRDefault="00480C84" w:rsidP="00BD4D54">
                            <w:pPr>
                              <w:spacing w:after="40"/>
                            </w:pPr>
                            <w:r>
                              <w:t>Oral TRV (TRV</w:t>
                            </w:r>
                            <w:r w:rsidRPr="00684B59">
                              <w:rPr>
                                <w:vertAlign w:val="subscript"/>
                              </w:rPr>
                              <w:t>O</w:t>
                            </w:r>
                            <w:r>
                              <w:t>) = 0.002 mg/kg/day (OCS 2012) for all routes of exposure</w:t>
                            </w:r>
                          </w:p>
                          <w:p w:rsidR="00480C84" w:rsidRDefault="00480C84" w:rsidP="00BD4D54">
                            <w:pPr>
                              <w:spacing w:after="40"/>
                            </w:pPr>
                            <w:r>
                              <w:t>Dermal absorption factor (DAF) = 0.018 (or 1.8%) (Wester et al. 1990)</w:t>
                            </w:r>
                          </w:p>
                          <w:p w:rsidR="00480C84" w:rsidRDefault="00480C84" w:rsidP="00BD4D54">
                            <w:pPr>
                              <w:spacing w:after="40"/>
                            </w:pPr>
                            <w:r>
                              <w:t>Background intakes from other sources (as % of TRV):</w:t>
                            </w:r>
                          </w:p>
                          <w:p w:rsidR="00480C84" w:rsidRDefault="00480C84" w:rsidP="00BD4D54">
                            <w:pPr>
                              <w:spacing w:after="40"/>
                              <w:ind w:left="720"/>
                            </w:pPr>
                            <w:r>
                              <w:t>BI</w:t>
                            </w:r>
                            <w:r w:rsidRPr="002049F5">
                              <w:rPr>
                                <w:vertAlign w:val="subscript"/>
                              </w:rPr>
                              <w:t>O</w:t>
                            </w:r>
                            <w:r>
                              <w:t xml:space="preserve"> = 0% for oral and dermal intakes</w:t>
                            </w:r>
                          </w:p>
                          <w:p w:rsidR="00480C84" w:rsidRDefault="00480C84" w:rsidP="00BD4D54">
                            <w:pPr>
                              <w:spacing w:after="40"/>
                              <w:ind w:left="720"/>
                            </w:pPr>
                            <w:r>
                              <w:t>BIi = 0% for inhalation</w:t>
                            </w:r>
                          </w:p>
                        </w:txbxContent>
                      </wps:txbx>
                      <wps:bodyPr rot="0" vert="horz" wrap="square" lIns="91440" tIns="45720" rIns="91440" bIns="45720" anchor="t" anchorCtr="0" upright="1">
                        <a:noAutofit/>
                      </wps:bodyPr>
                    </wps:wsp>
                  </a:graphicData>
                </a:graphic>
              </wp:inline>
            </w:drawing>
          </mc:Choice>
          <mc:Fallback>
            <w:pict>
              <v:shape id="Text Box 12" o:spid="_x0000_s1029" type="#_x0000_t202" style="width:445.8pt;height:13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" fillcolor="#d8d8d8">
                <v:textbox>
                  <w:txbxContent>
                    <w:p w:rsidR="00480C84" w:rsidRPr="00742163" w:rsidRDefault="00480C84" w:rsidP="00BD4D54">
                      <w:pPr>
                        <w:spacing w:after="40"/>
                        <w:rPr>
                          <w:b/>
                          <w:u w:val="single"/>
                        </w:rPr>
                      </w:pPr>
                      <w:r w:rsidRPr="00742163">
                        <w:rPr>
                          <w:b/>
                          <w:u w:val="single"/>
                        </w:rPr>
                        <w:t xml:space="preserve">Recommendation for </w:t>
                      </w:r>
                      <w:r>
                        <w:rPr>
                          <w:b/>
                          <w:u w:val="single"/>
                        </w:rPr>
                        <w:t>DDT</w:t>
                      </w:r>
                      <w:r w:rsidRPr="00742163">
                        <w:rPr>
                          <w:b/>
                          <w:u w:val="single"/>
                        </w:rPr>
                        <w:t xml:space="preserve"> </w:t>
                      </w:r>
                    </w:p>
                    <w:p w:rsidR="00480C84" w:rsidRDefault="00480C84" w:rsidP="00BD4D54">
                      <w:pPr>
                        <w:spacing w:after="40"/>
                      </w:pPr>
                      <w:r>
                        <w:t>Oral TRV (TRV</w:t>
                      </w:r>
                      <w:r w:rsidRPr="00684B59">
                        <w:rPr>
                          <w:vertAlign w:val="subscript"/>
                        </w:rPr>
                        <w:t>O</w:t>
                      </w:r>
                      <w:r>
                        <w:t>) = 0.002 mg/kg/day (OCS 2012) for all routes of exposure</w:t>
                      </w:r>
                    </w:p>
                    <w:p w:rsidR="00480C84" w:rsidRDefault="00480C84" w:rsidP="00BD4D54">
                      <w:pPr>
                        <w:spacing w:after="40"/>
                      </w:pPr>
                      <w:r>
                        <w:t>Dermal absorption factor (DAF) = 0.018 (or 1.8%) (Wester et al. 1990)</w:t>
                      </w:r>
                    </w:p>
                    <w:p w:rsidR="00480C84" w:rsidRDefault="00480C84" w:rsidP="00BD4D54">
                      <w:pPr>
                        <w:spacing w:after="40"/>
                      </w:pPr>
                      <w:r>
                        <w:t>Background intakes from other sources (as % of TRV):</w:t>
                      </w:r>
                    </w:p>
                    <w:p w:rsidR="00480C84" w:rsidRDefault="00480C84" w:rsidP="00BD4D54">
                      <w:pPr>
                        <w:spacing w:after="40"/>
                        <w:ind w:left="720"/>
                      </w:pPr>
                      <w:r>
                        <w:t>BI</w:t>
                      </w:r>
                      <w:r w:rsidRPr="002049F5">
                        <w:rPr>
                          <w:vertAlign w:val="subscript"/>
                        </w:rPr>
                        <w:t>O</w:t>
                      </w:r>
                      <w:r>
                        <w:t xml:space="preserve"> = 0% for oral and dermal intakes</w:t>
                      </w:r>
                    </w:p>
                    <w:p w:rsidR="00480C84" w:rsidRDefault="00480C84" w:rsidP="00BD4D54">
                      <w:pPr>
                        <w:spacing w:after="40"/>
                        <w:ind w:left="720"/>
                      </w:pPr>
                      <w:r>
                        <w:t>BIi = 0% for inhalation</w:t>
                      </w:r>
                    </w:p>
                  </w:txbxContent>
                </v:textbox>
                <w10:anchorlock/>
              </v:shape>
            </w:pict>
          </mc:Fallback>
        </mc:AlternateContent>
      </w:r>
    </w:p>
    <w:p w:rsidR="00BD4D54" w:rsidRPr="00DB16F5" w:rsidRDefault="00BD4D54" w:rsidP="00BD4D54">
      <w:pPr>
        <w:pStyle w:val="Heading2"/>
        <w:tabs>
          <w:tab w:val="clear" w:pos="1209"/>
        </w:tabs>
      </w:pPr>
      <w:bookmarkStart w:id="14" w:name="_Toc351714103"/>
      <w:r w:rsidRPr="00DB16F5">
        <w:t>Calculated HILs</w:t>
      </w:r>
      <w:bookmarkEnd w:id="14"/>
    </w:p>
    <w:p w:rsidR="00BD4D54" w:rsidRDefault="00BD4D54" w:rsidP="00BD4D54">
      <w:r>
        <w:t>On the basis of the above, the following HILs have been derived for DDT+DDE+DDD (refer to Appendix B for equations used to calculate the HILs and Appendix C for calculations):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9"/>
        <w:gridCol w:w="1287"/>
        <w:gridCol w:w="1445"/>
        <w:gridCol w:w="1517"/>
        <w:gridCol w:w="1553"/>
        <w:gridCol w:w="1392"/>
      </w:tblGrid>
      <w:tr w:rsidR="00BD4D54" w:rsidRPr="00D04E9A" w:rsidTr="00EC6328">
        <w:tc>
          <w:tcPr>
            <w:tcW w:w="1639" w:type="dxa"/>
            <w:vMerge w:val="restart"/>
            <w:shd w:val="clear" w:color="auto" w:fill="C6D9F1" w:themeFill="text2" w:themeFillTint="33"/>
          </w:tcPr>
          <w:p w:rsidR="00BD4D54" w:rsidRPr="00D04E9A" w:rsidRDefault="00BD4D54" w:rsidP="00EC6328">
            <w:pPr>
              <w:spacing w:after="40"/>
              <w:rPr>
                <w:b/>
                <w:szCs w:val="22"/>
              </w:rPr>
            </w:pPr>
            <w:r w:rsidRPr="00D04E9A">
              <w:rPr>
                <w:b/>
                <w:szCs w:val="22"/>
              </w:rPr>
              <w:t>HIL Scenario</w:t>
            </w:r>
          </w:p>
        </w:tc>
        <w:tc>
          <w:tcPr>
            <w:tcW w:w="1287" w:type="dxa"/>
            <w:vMerge w:val="restart"/>
            <w:shd w:val="clear" w:color="auto" w:fill="C6D9F1" w:themeFill="text2" w:themeFillTint="33"/>
          </w:tcPr>
          <w:p w:rsidR="00BD4D54" w:rsidRPr="00D04E9A" w:rsidRDefault="00BD4D54" w:rsidP="00EC6328">
            <w:pPr>
              <w:spacing w:after="40"/>
              <w:jc w:val="center"/>
              <w:rPr>
                <w:b/>
                <w:szCs w:val="22"/>
              </w:rPr>
            </w:pPr>
            <w:r w:rsidRPr="00D04E9A">
              <w:rPr>
                <w:b/>
                <w:szCs w:val="22"/>
              </w:rPr>
              <w:t>HIL (mg/kg)</w:t>
            </w:r>
          </w:p>
        </w:tc>
        <w:tc>
          <w:tcPr>
            <w:tcW w:w="5907" w:type="dxa"/>
            <w:gridSpan w:val="4"/>
            <w:shd w:val="clear" w:color="auto" w:fill="C6D9F1" w:themeFill="text2" w:themeFillTint="33"/>
          </w:tcPr>
          <w:p w:rsidR="00BD4D54" w:rsidRPr="00D04E9A" w:rsidRDefault="00BD4D54" w:rsidP="00EC6328">
            <w:pPr>
              <w:spacing w:after="40"/>
              <w:jc w:val="center"/>
              <w:rPr>
                <w:b/>
                <w:szCs w:val="22"/>
              </w:rPr>
            </w:pPr>
            <w:r w:rsidRPr="00D04E9A">
              <w:rPr>
                <w:b/>
                <w:szCs w:val="22"/>
              </w:rPr>
              <w:t>Percentage Contribution from Exposure Pathways</w:t>
            </w:r>
          </w:p>
        </w:tc>
      </w:tr>
      <w:tr w:rsidR="00BD4D54" w:rsidRPr="00D04E9A" w:rsidTr="00EC6328">
        <w:trPr>
          <w:trHeight w:val="427"/>
        </w:trPr>
        <w:tc>
          <w:tcPr>
            <w:tcW w:w="1639" w:type="dxa"/>
            <w:vMerge/>
            <w:shd w:val="clear" w:color="auto" w:fill="C6D9F1" w:themeFill="text2" w:themeFillTint="33"/>
          </w:tcPr>
          <w:p w:rsidR="00BD4D54" w:rsidRPr="00D04E9A" w:rsidRDefault="00BD4D54" w:rsidP="00EC6328">
            <w:pPr>
              <w:spacing w:after="40"/>
              <w:rPr>
                <w:szCs w:val="22"/>
              </w:rPr>
            </w:pPr>
          </w:p>
        </w:tc>
        <w:tc>
          <w:tcPr>
            <w:tcW w:w="1287" w:type="dxa"/>
            <w:vMerge/>
            <w:shd w:val="clear" w:color="auto" w:fill="C6D9F1" w:themeFill="text2" w:themeFillTint="33"/>
          </w:tcPr>
          <w:p w:rsidR="00BD4D54" w:rsidRPr="00D04E9A" w:rsidRDefault="00BD4D54" w:rsidP="00EC6328">
            <w:pPr>
              <w:spacing w:after="40"/>
              <w:jc w:val="center"/>
              <w:rPr>
                <w:szCs w:val="22"/>
              </w:rPr>
            </w:pPr>
          </w:p>
        </w:tc>
        <w:tc>
          <w:tcPr>
            <w:tcW w:w="1445" w:type="dxa"/>
            <w:shd w:val="clear" w:color="auto" w:fill="C6D9F1" w:themeFill="text2" w:themeFillTint="33"/>
          </w:tcPr>
          <w:p w:rsidR="00BD4D54" w:rsidRPr="00D04E9A" w:rsidRDefault="00BD4D54" w:rsidP="00EC6328">
            <w:pPr>
              <w:spacing w:after="40"/>
              <w:jc w:val="center"/>
              <w:rPr>
                <w:b/>
                <w:szCs w:val="22"/>
              </w:rPr>
            </w:pPr>
            <w:r w:rsidRPr="00D04E9A">
              <w:rPr>
                <w:b/>
                <w:szCs w:val="22"/>
              </w:rPr>
              <w:t>Ingestion of Soil/Dust</w:t>
            </w:r>
          </w:p>
        </w:tc>
        <w:tc>
          <w:tcPr>
            <w:tcW w:w="1517" w:type="dxa"/>
            <w:shd w:val="clear" w:color="auto" w:fill="C6D9F1" w:themeFill="text2" w:themeFillTint="33"/>
          </w:tcPr>
          <w:p w:rsidR="00BD4D54" w:rsidRPr="00D04E9A" w:rsidRDefault="00BD4D54" w:rsidP="00EC6328">
            <w:pPr>
              <w:spacing w:after="40"/>
              <w:jc w:val="center"/>
              <w:rPr>
                <w:b/>
                <w:szCs w:val="22"/>
              </w:rPr>
            </w:pPr>
            <w:r w:rsidRPr="00D04E9A">
              <w:rPr>
                <w:b/>
                <w:szCs w:val="22"/>
              </w:rPr>
              <w:t>Ingestion of Home-grown Produce</w:t>
            </w:r>
          </w:p>
        </w:tc>
        <w:tc>
          <w:tcPr>
            <w:tcW w:w="1553" w:type="dxa"/>
            <w:shd w:val="clear" w:color="auto" w:fill="C6D9F1" w:themeFill="text2" w:themeFillTint="33"/>
          </w:tcPr>
          <w:p w:rsidR="00BD4D54" w:rsidRPr="00D04E9A" w:rsidRDefault="00BD4D54" w:rsidP="00EC6328">
            <w:pPr>
              <w:spacing w:after="40"/>
              <w:jc w:val="center"/>
              <w:rPr>
                <w:b/>
                <w:szCs w:val="22"/>
              </w:rPr>
            </w:pPr>
            <w:r w:rsidRPr="00D04E9A">
              <w:rPr>
                <w:b/>
                <w:szCs w:val="22"/>
              </w:rPr>
              <w:t>Dermal Absorption of Soil/Dust</w:t>
            </w:r>
          </w:p>
        </w:tc>
        <w:tc>
          <w:tcPr>
            <w:tcW w:w="1392" w:type="dxa"/>
            <w:shd w:val="clear" w:color="auto" w:fill="C6D9F1" w:themeFill="text2" w:themeFillTint="33"/>
          </w:tcPr>
          <w:p w:rsidR="00BD4D54" w:rsidRPr="00D04E9A" w:rsidRDefault="00BD4D54" w:rsidP="00EC6328">
            <w:pPr>
              <w:spacing w:after="40"/>
              <w:jc w:val="center"/>
              <w:rPr>
                <w:b/>
                <w:szCs w:val="22"/>
              </w:rPr>
            </w:pPr>
            <w:r w:rsidRPr="00D04E9A">
              <w:rPr>
                <w:b/>
                <w:szCs w:val="22"/>
              </w:rPr>
              <w:t>Inhalation (dust)</w:t>
            </w:r>
          </w:p>
        </w:tc>
      </w:tr>
      <w:tr w:rsidR="00BD4D54" w:rsidRPr="00D04E9A" w:rsidTr="00EC6328">
        <w:tc>
          <w:tcPr>
            <w:tcW w:w="1639" w:type="dxa"/>
          </w:tcPr>
          <w:p w:rsidR="00BD4D54" w:rsidRPr="00D04E9A" w:rsidRDefault="00BD4D54" w:rsidP="00EC6328">
            <w:pPr>
              <w:spacing w:after="40"/>
              <w:rPr>
                <w:szCs w:val="22"/>
              </w:rPr>
            </w:pPr>
            <w:r w:rsidRPr="00D04E9A">
              <w:rPr>
                <w:szCs w:val="22"/>
              </w:rPr>
              <w:t>Residential A</w:t>
            </w:r>
          </w:p>
        </w:tc>
        <w:tc>
          <w:tcPr>
            <w:tcW w:w="1287" w:type="dxa"/>
            <w:tcMar>
              <w:right w:w="397" w:type="dxa"/>
            </w:tcMar>
          </w:tcPr>
          <w:p w:rsidR="00BD4D54" w:rsidRPr="00D04E9A" w:rsidRDefault="00BD4D54" w:rsidP="00EC6328">
            <w:pPr>
              <w:spacing w:after="40"/>
              <w:jc w:val="right"/>
              <w:rPr>
                <w:szCs w:val="22"/>
              </w:rPr>
            </w:pPr>
            <w:r w:rsidRPr="00D04E9A">
              <w:rPr>
                <w:szCs w:val="22"/>
              </w:rPr>
              <w:t>240</w:t>
            </w:r>
          </w:p>
        </w:tc>
        <w:tc>
          <w:tcPr>
            <w:tcW w:w="1445" w:type="dxa"/>
          </w:tcPr>
          <w:p w:rsidR="00BD4D54" w:rsidRPr="00D04E9A" w:rsidRDefault="00BD4D54" w:rsidP="00EC6328">
            <w:pPr>
              <w:spacing w:after="40"/>
              <w:jc w:val="center"/>
              <w:rPr>
                <w:szCs w:val="22"/>
              </w:rPr>
            </w:pPr>
            <w:r w:rsidRPr="00D04E9A">
              <w:rPr>
                <w:szCs w:val="22"/>
              </w:rPr>
              <w:t>80</w:t>
            </w:r>
          </w:p>
        </w:tc>
        <w:tc>
          <w:tcPr>
            <w:tcW w:w="1517" w:type="dxa"/>
          </w:tcPr>
          <w:p w:rsidR="00BD4D54" w:rsidRPr="00D04E9A" w:rsidRDefault="00BD4D54" w:rsidP="00EC6328">
            <w:pPr>
              <w:spacing w:after="40"/>
              <w:jc w:val="center"/>
              <w:rPr>
                <w:szCs w:val="22"/>
              </w:rPr>
            </w:pPr>
            <w:r w:rsidRPr="00D04E9A">
              <w:rPr>
                <w:szCs w:val="22"/>
              </w:rPr>
              <w:t>--</w:t>
            </w:r>
          </w:p>
        </w:tc>
        <w:tc>
          <w:tcPr>
            <w:tcW w:w="1553" w:type="dxa"/>
          </w:tcPr>
          <w:p w:rsidR="00BD4D54" w:rsidRPr="00D04E9A" w:rsidRDefault="00BD4D54" w:rsidP="00EC6328">
            <w:pPr>
              <w:spacing w:after="40"/>
              <w:jc w:val="center"/>
              <w:rPr>
                <w:szCs w:val="22"/>
              </w:rPr>
            </w:pPr>
            <w:r w:rsidRPr="00D04E9A">
              <w:rPr>
                <w:szCs w:val="22"/>
              </w:rPr>
              <w:t>20</w:t>
            </w:r>
          </w:p>
        </w:tc>
        <w:tc>
          <w:tcPr>
            <w:tcW w:w="1392" w:type="dxa"/>
          </w:tcPr>
          <w:p w:rsidR="00BD4D54" w:rsidRPr="00D04E9A" w:rsidRDefault="00BD4D54" w:rsidP="00EC6328">
            <w:pPr>
              <w:spacing w:after="40"/>
              <w:jc w:val="center"/>
              <w:rPr>
                <w:szCs w:val="22"/>
              </w:rPr>
            </w:pPr>
            <w:r w:rsidRPr="00D04E9A">
              <w:rPr>
                <w:szCs w:val="22"/>
              </w:rPr>
              <w:t>&lt;1</w:t>
            </w:r>
          </w:p>
        </w:tc>
      </w:tr>
      <w:tr w:rsidR="00BD4D54" w:rsidRPr="00D04E9A" w:rsidTr="00EC6328">
        <w:tc>
          <w:tcPr>
            <w:tcW w:w="1639" w:type="dxa"/>
          </w:tcPr>
          <w:p w:rsidR="00BD4D54" w:rsidRPr="00D04E9A" w:rsidRDefault="00BD4D54" w:rsidP="00EC6328">
            <w:pPr>
              <w:spacing w:after="40"/>
              <w:rPr>
                <w:szCs w:val="22"/>
              </w:rPr>
            </w:pPr>
            <w:r w:rsidRPr="00D04E9A">
              <w:rPr>
                <w:szCs w:val="22"/>
              </w:rPr>
              <w:lastRenderedPageBreak/>
              <w:t>Residential B</w:t>
            </w:r>
          </w:p>
        </w:tc>
        <w:tc>
          <w:tcPr>
            <w:tcW w:w="1287" w:type="dxa"/>
            <w:tcMar>
              <w:right w:w="397" w:type="dxa"/>
            </w:tcMar>
          </w:tcPr>
          <w:p w:rsidR="00BD4D54" w:rsidRPr="00D04E9A" w:rsidRDefault="00BD4D54" w:rsidP="00EC6328">
            <w:pPr>
              <w:spacing w:after="40"/>
              <w:jc w:val="right"/>
              <w:rPr>
                <w:szCs w:val="22"/>
              </w:rPr>
            </w:pPr>
            <w:r w:rsidRPr="00D04E9A">
              <w:rPr>
                <w:szCs w:val="22"/>
              </w:rPr>
              <w:t>600</w:t>
            </w:r>
          </w:p>
        </w:tc>
        <w:tc>
          <w:tcPr>
            <w:tcW w:w="1445" w:type="dxa"/>
          </w:tcPr>
          <w:p w:rsidR="00BD4D54" w:rsidRPr="00D04E9A" w:rsidRDefault="00BD4D54" w:rsidP="00EC6328">
            <w:pPr>
              <w:spacing w:after="40"/>
              <w:jc w:val="center"/>
              <w:rPr>
                <w:szCs w:val="22"/>
              </w:rPr>
            </w:pPr>
            <w:r w:rsidRPr="00D04E9A">
              <w:rPr>
                <w:szCs w:val="22"/>
              </w:rPr>
              <w:t>51</w:t>
            </w:r>
          </w:p>
        </w:tc>
        <w:tc>
          <w:tcPr>
            <w:tcW w:w="1517" w:type="dxa"/>
          </w:tcPr>
          <w:p w:rsidR="00BD4D54" w:rsidRPr="00D04E9A" w:rsidRDefault="00BD4D54" w:rsidP="00EC6328">
            <w:pPr>
              <w:spacing w:after="40"/>
              <w:jc w:val="center"/>
              <w:rPr>
                <w:szCs w:val="22"/>
              </w:rPr>
            </w:pPr>
            <w:r w:rsidRPr="00D04E9A">
              <w:rPr>
                <w:szCs w:val="22"/>
              </w:rPr>
              <w:t>--</w:t>
            </w:r>
          </w:p>
        </w:tc>
        <w:tc>
          <w:tcPr>
            <w:tcW w:w="1553" w:type="dxa"/>
          </w:tcPr>
          <w:p w:rsidR="00BD4D54" w:rsidRPr="00D04E9A" w:rsidRDefault="00BD4D54" w:rsidP="00EC6328">
            <w:pPr>
              <w:spacing w:after="40"/>
              <w:jc w:val="center"/>
              <w:rPr>
                <w:szCs w:val="22"/>
              </w:rPr>
            </w:pPr>
            <w:r w:rsidRPr="00D04E9A">
              <w:rPr>
                <w:szCs w:val="22"/>
              </w:rPr>
              <w:t>49</w:t>
            </w:r>
          </w:p>
        </w:tc>
        <w:tc>
          <w:tcPr>
            <w:tcW w:w="1392" w:type="dxa"/>
          </w:tcPr>
          <w:p w:rsidR="00BD4D54" w:rsidRPr="00D04E9A" w:rsidRDefault="00BD4D54" w:rsidP="00EC6328">
            <w:pPr>
              <w:spacing w:after="40"/>
              <w:jc w:val="center"/>
              <w:rPr>
                <w:szCs w:val="22"/>
              </w:rPr>
            </w:pPr>
            <w:r w:rsidRPr="00D04E9A">
              <w:rPr>
                <w:szCs w:val="22"/>
              </w:rPr>
              <w:t>&lt;1</w:t>
            </w:r>
          </w:p>
        </w:tc>
      </w:tr>
      <w:tr w:rsidR="00BD4D54" w:rsidRPr="00D04E9A" w:rsidTr="00EC6328">
        <w:tc>
          <w:tcPr>
            <w:tcW w:w="1639" w:type="dxa"/>
          </w:tcPr>
          <w:p w:rsidR="00BD4D54" w:rsidRPr="00D04E9A" w:rsidRDefault="00BD4D54" w:rsidP="00EC6328">
            <w:pPr>
              <w:spacing w:after="40"/>
              <w:rPr>
                <w:szCs w:val="22"/>
              </w:rPr>
            </w:pPr>
            <w:r w:rsidRPr="00D04E9A">
              <w:rPr>
                <w:szCs w:val="22"/>
              </w:rPr>
              <w:t>Recreational C</w:t>
            </w:r>
          </w:p>
        </w:tc>
        <w:tc>
          <w:tcPr>
            <w:tcW w:w="1287" w:type="dxa"/>
            <w:tcMar>
              <w:right w:w="397" w:type="dxa"/>
            </w:tcMar>
          </w:tcPr>
          <w:p w:rsidR="00BD4D54" w:rsidRPr="00D04E9A" w:rsidRDefault="00BD4D54" w:rsidP="00EC6328">
            <w:pPr>
              <w:spacing w:after="40"/>
              <w:jc w:val="right"/>
              <w:rPr>
                <w:szCs w:val="22"/>
              </w:rPr>
            </w:pPr>
            <w:r w:rsidRPr="00D04E9A">
              <w:rPr>
                <w:szCs w:val="22"/>
              </w:rPr>
              <w:t>400</w:t>
            </w:r>
          </w:p>
        </w:tc>
        <w:tc>
          <w:tcPr>
            <w:tcW w:w="1445" w:type="dxa"/>
          </w:tcPr>
          <w:p w:rsidR="00BD4D54" w:rsidRPr="00D04E9A" w:rsidRDefault="00BD4D54" w:rsidP="00EC6328">
            <w:pPr>
              <w:spacing w:after="40"/>
              <w:jc w:val="center"/>
              <w:rPr>
                <w:szCs w:val="22"/>
              </w:rPr>
            </w:pPr>
            <w:r w:rsidRPr="00D04E9A">
              <w:rPr>
                <w:szCs w:val="22"/>
              </w:rPr>
              <w:t>67</w:t>
            </w:r>
          </w:p>
        </w:tc>
        <w:tc>
          <w:tcPr>
            <w:tcW w:w="1517" w:type="dxa"/>
          </w:tcPr>
          <w:p w:rsidR="00BD4D54" w:rsidRPr="00D04E9A" w:rsidRDefault="00BD4D54" w:rsidP="00EC6328">
            <w:pPr>
              <w:spacing w:after="40"/>
              <w:jc w:val="center"/>
              <w:rPr>
                <w:szCs w:val="22"/>
              </w:rPr>
            </w:pPr>
            <w:r w:rsidRPr="00D04E9A">
              <w:rPr>
                <w:szCs w:val="22"/>
              </w:rPr>
              <w:t>--</w:t>
            </w:r>
          </w:p>
        </w:tc>
        <w:tc>
          <w:tcPr>
            <w:tcW w:w="1553" w:type="dxa"/>
          </w:tcPr>
          <w:p w:rsidR="00BD4D54" w:rsidRPr="00D04E9A" w:rsidRDefault="00BD4D54" w:rsidP="00EC6328">
            <w:pPr>
              <w:spacing w:after="40"/>
              <w:jc w:val="center"/>
              <w:rPr>
                <w:szCs w:val="22"/>
              </w:rPr>
            </w:pPr>
            <w:r w:rsidRPr="00D04E9A">
              <w:rPr>
                <w:szCs w:val="22"/>
              </w:rPr>
              <w:t>33</w:t>
            </w:r>
          </w:p>
        </w:tc>
        <w:tc>
          <w:tcPr>
            <w:tcW w:w="1392" w:type="dxa"/>
          </w:tcPr>
          <w:p w:rsidR="00BD4D54" w:rsidRPr="00D04E9A" w:rsidRDefault="00BD4D54" w:rsidP="00EC6328">
            <w:pPr>
              <w:spacing w:after="40"/>
              <w:jc w:val="center"/>
              <w:rPr>
                <w:szCs w:val="22"/>
              </w:rPr>
            </w:pPr>
            <w:r w:rsidRPr="00D04E9A">
              <w:rPr>
                <w:szCs w:val="22"/>
              </w:rPr>
              <w:t>&lt;1</w:t>
            </w:r>
          </w:p>
        </w:tc>
      </w:tr>
      <w:tr w:rsidR="00BD4D54" w:rsidRPr="00D04E9A" w:rsidTr="00EC6328">
        <w:tc>
          <w:tcPr>
            <w:tcW w:w="1639" w:type="dxa"/>
          </w:tcPr>
          <w:p w:rsidR="00BD4D54" w:rsidRPr="00D04E9A" w:rsidRDefault="00BD4D54" w:rsidP="00EC6328">
            <w:pPr>
              <w:spacing w:after="40"/>
              <w:rPr>
                <w:szCs w:val="22"/>
              </w:rPr>
            </w:pPr>
            <w:r w:rsidRPr="00D04E9A">
              <w:rPr>
                <w:szCs w:val="22"/>
              </w:rPr>
              <w:t>Commercial D</w:t>
            </w:r>
          </w:p>
        </w:tc>
        <w:tc>
          <w:tcPr>
            <w:tcW w:w="1287" w:type="dxa"/>
            <w:tcMar>
              <w:right w:w="397" w:type="dxa"/>
            </w:tcMar>
          </w:tcPr>
          <w:p w:rsidR="00BD4D54" w:rsidRPr="00D04E9A" w:rsidRDefault="00BD4D54" w:rsidP="00EC6328">
            <w:pPr>
              <w:spacing w:after="40"/>
              <w:jc w:val="right"/>
              <w:rPr>
                <w:szCs w:val="22"/>
              </w:rPr>
            </w:pPr>
            <w:r w:rsidRPr="00D04E9A">
              <w:rPr>
                <w:szCs w:val="22"/>
              </w:rPr>
              <w:t>3600</w:t>
            </w:r>
          </w:p>
        </w:tc>
        <w:tc>
          <w:tcPr>
            <w:tcW w:w="1445" w:type="dxa"/>
          </w:tcPr>
          <w:p w:rsidR="00BD4D54" w:rsidRPr="00D04E9A" w:rsidRDefault="00BD4D54" w:rsidP="00EC6328">
            <w:pPr>
              <w:spacing w:after="40"/>
              <w:jc w:val="center"/>
              <w:rPr>
                <w:szCs w:val="22"/>
              </w:rPr>
            </w:pPr>
            <w:r w:rsidRPr="00D04E9A">
              <w:rPr>
                <w:szCs w:val="22"/>
              </w:rPr>
              <w:t>42</w:t>
            </w:r>
          </w:p>
        </w:tc>
        <w:tc>
          <w:tcPr>
            <w:tcW w:w="1517" w:type="dxa"/>
          </w:tcPr>
          <w:p w:rsidR="00BD4D54" w:rsidRPr="00D04E9A" w:rsidRDefault="00BD4D54" w:rsidP="00EC6328">
            <w:pPr>
              <w:spacing w:after="40"/>
              <w:jc w:val="center"/>
              <w:rPr>
                <w:szCs w:val="22"/>
              </w:rPr>
            </w:pPr>
            <w:r w:rsidRPr="00D04E9A">
              <w:rPr>
                <w:szCs w:val="22"/>
              </w:rPr>
              <w:t>--</w:t>
            </w:r>
          </w:p>
        </w:tc>
        <w:tc>
          <w:tcPr>
            <w:tcW w:w="1553" w:type="dxa"/>
          </w:tcPr>
          <w:p w:rsidR="00BD4D54" w:rsidRPr="00D04E9A" w:rsidRDefault="00BD4D54" w:rsidP="00EC6328">
            <w:pPr>
              <w:spacing w:after="40"/>
              <w:jc w:val="center"/>
              <w:rPr>
                <w:szCs w:val="22"/>
              </w:rPr>
            </w:pPr>
            <w:r w:rsidRPr="00D04E9A">
              <w:rPr>
                <w:szCs w:val="22"/>
              </w:rPr>
              <w:t>58</w:t>
            </w:r>
          </w:p>
        </w:tc>
        <w:tc>
          <w:tcPr>
            <w:tcW w:w="1392" w:type="dxa"/>
          </w:tcPr>
          <w:p w:rsidR="00BD4D54" w:rsidRPr="00D04E9A" w:rsidRDefault="00BD4D54" w:rsidP="00EC6328">
            <w:pPr>
              <w:spacing w:after="40"/>
              <w:jc w:val="center"/>
              <w:rPr>
                <w:szCs w:val="22"/>
              </w:rPr>
            </w:pPr>
            <w:r w:rsidRPr="00D04E9A">
              <w:rPr>
                <w:szCs w:val="22"/>
              </w:rPr>
              <w:t>&lt;1</w:t>
            </w:r>
          </w:p>
        </w:tc>
      </w:tr>
    </w:tbl>
    <w:p w:rsidR="00BD4D54" w:rsidRPr="00D04E9A" w:rsidRDefault="00BD4D54" w:rsidP="00BD4D54">
      <w:pPr>
        <w:spacing w:after="40"/>
        <w:rPr>
          <w:sz w:val="18"/>
          <w:szCs w:val="18"/>
        </w:rPr>
      </w:pPr>
      <w:r w:rsidRPr="00D04E9A">
        <w:rPr>
          <w:sz w:val="18"/>
          <w:szCs w:val="18"/>
        </w:rPr>
        <w:t>-- Pathway not included in derivation of HIL</w:t>
      </w:r>
    </w:p>
    <w:p w:rsidR="00BD4D54" w:rsidRDefault="00BD4D54" w:rsidP="00BD4D54"/>
    <w:p w:rsidR="00BD4D54" w:rsidRDefault="00BD4D54" w:rsidP="00BD4D54">
      <w:pPr>
        <w:pStyle w:val="Heading2"/>
        <w:tabs>
          <w:tab w:val="clear" w:pos="1209"/>
        </w:tabs>
      </w:pPr>
      <w:bookmarkStart w:id="15" w:name="_Toc351714104"/>
      <w:r>
        <w:t>References</w:t>
      </w:r>
      <w:bookmarkEnd w:id="15"/>
    </w:p>
    <w:p w:rsidR="00BD4D54" w:rsidRPr="00D04E9A" w:rsidRDefault="00BD4D54" w:rsidP="00BD4D54">
      <w:pPr>
        <w:pStyle w:val="StyletextLeft0cmHanging1cm"/>
      </w:pPr>
      <w:r w:rsidRPr="00D04E9A">
        <w:t xml:space="preserve">ATSDR 2002, </w:t>
      </w:r>
      <w:r w:rsidRPr="00D04E9A">
        <w:rPr>
          <w:i/>
        </w:rPr>
        <w:t>Toxicological Profile for DDT, DDE and DDD</w:t>
      </w:r>
      <w:r w:rsidRPr="00D04E9A">
        <w:t xml:space="preserve">, US Department of Health and Human Services, ATSDR, available from: </w:t>
      </w:r>
      <w:hyperlink r:id="rId17" w:history="1">
        <w:r w:rsidRPr="00D04E9A">
          <w:rPr>
            <w:rStyle w:val="Hyperlink"/>
            <w:rFonts w:cs="Arial"/>
            <w:szCs w:val="22"/>
          </w:rPr>
          <w:t>http://www.atsdr.cdc.gov/ToxProfiles/tp.asp?id=81&amp;tid=20</w:t>
        </w:r>
      </w:hyperlink>
      <w:r w:rsidRPr="00D04E9A">
        <w:t>.</w:t>
      </w:r>
    </w:p>
    <w:p w:rsidR="00BD4D54" w:rsidRPr="00D04E9A" w:rsidRDefault="00BD4D54" w:rsidP="00BD4D54">
      <w:pPr>
        <w:pStyle w:val="StyletextLeft0cmHanging1cm"/>
      </w:pPr>
      <w:r w:rsidRPr="00D04E9A">
        <w:t xml:space="preserve">ATSDR 2008, </w:t>
      </w:r>
      <w:r w:rsidRPr="00D04E9A">
        <w:rPr>
          <w:i/>
        </w:rPr>
        <w:t>Addendum to the DDT/DDD/DDE Toxicological Profile</w:t>
      </w:r>
      <w:r w:rsidRPr="00D04E9A">
        <w:t xml:space="preserve">. US Department of Health and Human Services, ATSDR,  available from </w:t>
      </w:r>
      <w:hyperlink r:id="rId18" w:history="1">
        <w:r w:rsidRPr="00D04E9A">
          <w:rPr>
            <w:rStyle w:val="Hyperlink"/>
            <w:rFonts w:cs="Arial"/>
            <w:szCs w:val="22"/>
          </w:rPr>
          <w:t>http://www.atsdr.cdc.gov/toxprofiles/ddt_addendum.pdf</w:t>
        </w:r>
      </w:hyperlink>
      <w:r w:rsidRPr="00D04E9A">
        <w:t>.</w:t>
      </w:r>
    </w:p>
    <w:p w:rsidR="00BD4D54" w:rsidRPr="00D04E9A" w:rsidRDefault="00BD4D54" w:rsidP="00BD4D54">
      <w:pPr>
        <w:pStyle w:val="StyletextLeft0cmHanging1cm"/>
        <w:rPr>
          <w:i/>
        </w:rPr>
      </w:pPr>
      <w:r w:rsidRPr="00D04E9A">
        <w:t xml:space="preserve">Beard 1993, ‘The Evaluation of DDT Contaminated Soil Associated with Cattle Tick Dip Sites’, presented in the proceedings of the </w:t>
      </w:r>
      <w:r w:rsidRPr="00D04E9A">
        <w:rPr>
          <w:i/>
        </w:rPr>
        <w:t>Second National Workshop on the Health Risk Assessment and Management of Contaminated Sites, Contaminated Sites Monograph Series, No. 2.</w:t>
      </w:r>
    </w:p>
    <w:p w:rsidR="00BD4D54" w:rsidRPr="00D04E9A" w:rsidRDefault="00BD4D54" w:rsidP="00BD4D54">
      <w:pPr>
        <w:pStyle w:val="StyletextLeft0cmHanging1cm"/>
      </w:pPr>
      <w:r w:rsidRPr="00D04E9A">
        <w:t xml:space="preserve">FSANZ 2003, </w:t>
      </w:r>
      <w:r w:rsidRPr="00D04E9A">
        <w:rPr>
          <w:i/>
        </w:rPr>
        <w:t>The 20</w:t>
      </w:r>
      <w:r w:rsidRPr="00D04E9A">
        <w:rPr>
          <w:i/>
          <w:vertAlign w:val="superscript"/>
        </w:rPr>
        <w:t>th</w:t>
      </w:r>
      <w:r w:rsidRPr="00D04E9A">
        <w:rPr>
          <w:i/>
        </w:rPr>
        <w:t xml:space="preserve"> Australian Total Diet Survey</w:t>
      </w:r>
      <w:r w:rsidRPr="00D04E9A">
        <w:t>, A total diet survey of pesticide residues and contaminants, Food Standards Australia and New Zealand.</w:t>
      </w:r>
    </w:p>
    <w:p w:rsidR="00BD4D54" w:rsidRPr="00D04E9A" w:rsidRDefault="00BD4D54" w:rsidP="00BD4D54">
      <w:pPr>
        <w:pStyle w:val="StyletextLeft0cmHanging1cm"/>
        <w:rPr>
          <w:lang w:eastAsia="en-US"/>
        </w:rPr>
      </w:pPr>
      <w:r w:rsidRPr="00D04E9A">
        <w:rPr>
          <w:lang w:eastAsia="en-US"/>
        </w:rPr>
        <w:t xml:space="preserve">FSANZ 2011, </w:t>
      </w:r>
      <w:r w:rsidRPr="00D04E9A">
        <w:rPr>
          <w:i/>
          <w:lang w:eastAsia="en-US"/>
        </w:rPr>
        <w:t>The 23</w:t>
      </w:r>
      <w:r w:rsidRPr="00D04E9A">
        <w:rPr>
          <w:i/>
          <w:vertAlign w:val="superscript"/>
          <w:lang w:eastAsia="en-US"/>
        </w:rPr>
        <w:t>rd</w:t>
      </w:r>
      <w:r w:rsidRPr="00D04E9A">
        <w:rPr>
          <w:i/>
          <w:lang w:eastAsia="en-US"/>
        </w:rPr>
        <w:t xml:space="preserve"> Australian Total Diet Study</w:t>
      </w:r>
      <w:r w:rsidRPr="00D04E9A">
        <w:rPr>
          <w:lang w:eastAsia="en-US"/>
        </w:rPr>
        <w:t>, Food Standards Australia and New Zealand.</w:t>
      </w:r>
    </w:p>
    <w:p w:rsidR="00BD4D54" w:rsidRPr="00D04E9A" w:rsidRDefault="00BD4D54" w:rsidP="00BD4D54">
      <w:pPr>
        <w:pStyle w:val="StyletextLeft0cmHanging1cm"/>
      </w:pPr>
      <w:r w:rsidRPr="00D04E9A">
        <w:t xml:space="preserve">IARC 1991, </w:t>
      </w:r>
      <w:r w:rsidRPr="00D04E9A">
        <w:rPr>
          <w:i/>
        </w:rPr>
        <w:t>Summaries &amp; Evaluations. DDT and Associated Compounds</w:t>
      </w:r>
      <w:r w:rsidRPr="00D04E9A">
        <w:t>, vol. 53, (1991), p.179, International Agency for Research on Cancer.</w:t>
      </w:r>
    </w:p>
    <w:p w:rsidR="00BD4D54" w:rsidRPr="00D04E9A" w:rsidRDefault="00BD4D54" w:rsidP="00BD4D54">
      <w:pPr>
        <w:pStyle w:val="StyletextLeft0cmHanging1cm"/>
      </w:pPr>
      <w:r w:rsidRPr="00D04E9A">
        <w:t xml:space="preserve">JMPR1985, </w:t>
      </w:r>
      <w:r w:rsidRPr="00D04E9A">
        <w:rPr>
          <w:i/>
        </w:rPr>
        <w:t>Pesticide residues in food — 1984 evaluations,</w:t>
      </w:r>
      <w:r w:rsidRPr="00D04E9A">
        <w:t xml:space="preserve"> Food and Agriculture Organization of the United Nations, Rome, Joint FAO/WHO Meeting on Pesticide Residues (FAO Plant Production and Protection Paper 67).</w:t>
      </w:r>
    </w:p>
    <w:p w:rsidR="00BD4D54" w:rsidRPr="00D04E9A" w:rsidRDefault="00BD4D54" w:rsidP="00BD4D54">
      <w:pPr>
        <w:pStyle w:val="StyletextLeft0cmHanging1cm"/>
      </w:pPr>
      <w:r w:rsidRPr="00D04E9A">
        <w:t xml:space="preserve">JMPR 2001, </w:t>
      </w:r>
      <w:r w:rsidRPr="00D04E9A">
        <w:rPr>
          <w:i/>
        </w:rPr>
        <w:t xml:space="preserve">Pesticide residues in food </w:t>
      </w:r>
      <w:r w:rsidRPr="00D04E9A">
        <w:rPr>
          <w:i/>
        </w:rPr>
        <w:sym w:font="Symbol" w:char="F02D"/>
      </w:r>
      <w:r w:rsidRPr="00D04E9A">
        <w:rPr>
          <w:i/>
        </w:rPr>
        <w:t xml:space="preserve"> 2000. Evaluations </w:t>
      </w:r>
      <w:r w:rsidRPr="00D04E9A">
        <w:rPr>
          <w:i/>
        </w:rPr>
        <w:sym w:font="Symbol" w:char="F02D"/>
      </w:r>
      <w:r w:rsidRPr="00D04E9A">
        <w:rPr>
          <w:i/>
        </w:rPr>
        <w:t xml:space="preserve"> 2000. Part II </w:t>
      </w:r>
      <w:r w:rsidRPr="00D04E9A">
        <w:rPr>
          <w:i/>
        </w:rPr>
        <w:sym w:font="Symbol" w:char="F02D"/>
      </w:r>
      <w:r w:rsidRPr="00D04E9A">
        <w:rPr>
          <w:i/>
        </w:rPr>
        <w:t xml:space="preserve"> Toxicology</w:t>
      </w:r>
      <w:r w:rsidRPr="00D04E9A">
        <w:t>, World Health Organization, Geneva, Joint FAO/WHO Meeting on Pesticide Residues (WHO/PCS/01.3).</w:t>
      </w:r>
    </w:p>
    <w:p w:rsidR="00BD4D54" w:rsidRPr="00D04E9A" w:rsidRDefault="00BD4D54" w:rsidP="00BD4D54">
      <w:pPr>
        <w:pStyle w:val="StyletextLeft0cmHanging1cm"/>
      </w:pPr>
      <w:r w:rsidRPr="00D04E9A">
        <w:t xml:space="preserve">MfE 2011, </w:t>
      </w:r>
      <w:r w:rsidRPr="00D04E9A">
        <w:rPr>
          <w:i/>
        </w:rPr>
        <w:t>Toxicological intake values for priority contaminants in soil</w:t>
      </w:r>
      <w:r w:rsidRPr="00D04E9A">
        <w:t>, New Zealand Ministry for the Environment, Wellington, New Zealand.</w:t>
      </w:r>
    </w:p>
    <w:p w:rsidR="00BD4D54" w:rsidRPr="00D04E9A" w:rsidRDefault="00BD4D54" w:rsidP="00BD4D54">
      <w:pPr>
        <w:pStyle w:val="StyletextLeft0cmHanging1cm"/>
      </w:pPr>
      <w:r w:rsidRPr="00D04E9A">
        <w:t>NEPC 1999, Schedule B (7a), Guideline on Health-Based Investigation Levels, National Environment Protection (Assessment of Site Contamination) Measure, National Environment Protection Council, Australia.</w:t>
      </w:r>
    </w:p>
    <w:p w:rsidR="00BD4D54" w:rsidRPr="00D04E9A" w:rsidRDefault="00BD4D54" w:rsidP="00BD4D54">
      <w:pPr>
        <w:pStyle w:val="StyletextLeft0cmHanging1cm"/>
      </w:pPr>
      <w:r w:rsidRPr="00D04E9A">
        <w:t xml:space="preserve">NHMRC &amp; NRMMC 2011, </w:t>
      </w:r>
      <w:r w:rsidRPr="00D04E9A">
        <w:rPr>
          <w:i/>
          <w:iCs/>
        </w:rPr>
        <w:t>National water quality management strategy, Australian drinking water guidelines</w:t>
      </w:r>
      <w:r w:rsidRPr="00D04E9A">
        <w:t>, National Health and Medical Research Council and National Resource Management Ministerial Council, Australia.</w:t>
      </w:r>
    </w:p>
    <w:p w:rsidR="00BD4D54" w:rsidRPr="00D04E9A" w:rsidRDefault="00BD4D54" w:rsidP="00BD4D54">
      <w:pPr>
        <w:pStyle w:val="StyletextLeft0cmHanging1cm"/>
        <w:rPr>
          <w:noProof/>
        </w:rPr>
      </w:pPr>
      <w:r w:rsidRPr="00D04E9A">
        <w:rPr>
          <w:noProof/>
        </w:rPr>
        <w:t xml:space="preserve">OCS 2012, </w:t>
      </w:r>
      <w:r w:rsidRPr="00D04E9A">
        <w:rPr>
          <w:i/>
          <w:noProof/>
        </w:rPr>
        <w:t>ADI List, Acceptable Daily Intakes for Agricultural and Veterinary Chemicals</w:t>
      </w:r>
      <w:r w:rsidRPr="00D04E9A">
        <w:rPr>
          <w:noProof/>
        </w:rPr>
        <w:t xml:space="preserve">, Current to 31 March 2012, Australian Government, Department of Health and Ageing, Office of Chemical Safety (OCS), available from: </w:t>
      </w:r>
      <w:r w:rsidRPr="00D04E9A">
        <w:t>http://www.health.gov.au/internet/main/publishing.nsf/content/E8F4D2F95D616584CA2573D700770C2A/$File/ADI-apr12.pdf</w:t>
      </w:r>
      <w:r w:rsidRPr="00D04E9A">
        <w:rPr>
          <w:noProof/>
        </w:rPr>
        <w:t>.</w:t>
      </w:r>
      <w:r w:rsidRPr="00D04E9A">
        <w:t xml:space="preserve"> </w:t>
      </w:r>
    </w:p>
    <w:p w:rsidR="00BD4D54" w:rsidRPr="00D04E9A" w:rsidRDefault="00BD4D54" w:rsidP="00BD4D54">
      <w:pPr>
        <w:pStyle w:val="StyletextLeft0cmHanging1cm"/>
        <w:rPr>
          <w:lang w:eastAsia="en-US"/>
        </w:rPr>
      </w:pPr>
      <w:r w:rsidRPr="00D04E9A">
        <w:rPr>
          <w:lang w:eastAsia="en-US"/>
        </w:rPr>
        <w:t xml:space="preserve">RIVM 2001, </w:t>
      </w:r>
      <w:r w:rsidRPr="00D04E9A">
        <w:rPr>
          <w:i/>
          <w:lang w:eastAsia="en-US"/>
        </w:rPr>
        <w:t>Re-evaluation of human-toxicological Maximum Permissible Risk levels</w:t>
      </w:r>
      <w:r w:rsidRPr="00D04E9A">
        <w:rPr>
          <w:lang w:eastAsia="en-US"/>
        </w:rPr>
        <w:t xml:space="preserve">. National Institute of Public Health and the Environment, Bilthoven, Netherlands, available from: </w:t>
      </w:r>
      <w:hyperlink r:id="rId19" w:history="1">
        <w:r w:rsidRPr="00D04E9A">
          <w:rPr>
            <w:rStyle w:val="Hyperlink"/>
            <w:rFonts w:cs="Arial"/>
            <w:szCs w:val="22"/>
            <w:lang w:eastAsia="en-US"/>
          </w:rPr>
          <w:t>http://www.rivm.nl/bibliotheek/rapporten/711701025.html</w:t>
        </w:r>
      </w:hyperlink>
      <w:r w:rsidRPr="00D04E9A">
        <w:rPr>
          <w:lang w:eastAsia="en-US"/>
        </w:rPr>
        <w:t>.</w:t>
      </w:r>
    </w:p>
    <w:p w:rsidR="00BD4D54" w:rsidRPr="00D04E9A" w:rsidRDefault="00BD4D54" w:rsidP="00BD4D54">
      <w:pPr>
        <w:pStyle w:val="StyletextLeft0cmHanging1cm"/>
      </w:pPr>
      <w:r w:rsidRPr="00D04E9A">
        <w:lastRenderedPageBreak/>
        <w:t xml:space="preserve">US EPA (IRIS 2012), Data and information available from the </w:t>
      </w:r>
      <w:r w:rsidRPr="00D04E9A">
        <w:rPr>
          <w:i/>
        </w:rPr>
        <w:t>Integrated Risk Information System</w:t>
      </w:r>
      <w:r w:rsidRPr="00D04E9A">
        <w:t xml:space="preserve">, an online database, available from </w:t>
      </w:r>
      <w:hyperlink r:id="rId20" w:history="1">
        <w:r w:rsidRPr="00D04E9A">
          <w:rPr>
            <w:rStyle w:val="Hyperlink"/>
            <w:szCs w:val="22"/>
          </w:rPr>
          <w:t>http://www.epa.gov/iris/</w:t>
        </w:r>
      </w:hyperlink>
      <w:r w:rsidRPr="00D04E9A">
        <w:t>.</w:t>
      </w:r>
    </w:p>
    <w:p w:rsidR="00BD4D54" w:rsidRPr="00D04E9A" w:rsidRDefault="00BD4D54" w:rsidP="00BD4D54">
      <w:pPr>
        <w:pStyle w:val="StyletextLeft0cmHanging1cm"/>
      </w:pPr>
      <w:r w:rsidRPr="00D04E9A">
        <w:t xml:space="preserve">Weste,r RC, Maibach, HI, Bucks, DAW, Sedik, L, Melendres, J, Liao, C &amp; DiZio, D 1990, ‘Percutaneous absorption of [14C]DDT and [14C]benzo[a]pyrene from soil’, </w:t>
      </w:r>
      <w:r w:rsidRPr="00D04E9A">
        <w:rPr>
          <w:i/>
          <w:iCs/>
        </w:rPr>
        <w:t xml:space="preserve">Fundamental and Applied Toxicology, </w:t>
      </w:r>
      <w:r w:rsidRPr="00D04E9A">
        <w:rPr>
          <w:iCs/>
        </w:rPr>
        <w:t xml:space="preserve">vol. </w:t>
      </w:r>
      <w:r w:rsidRPr="00D04E9A">
        <w:t>15, pp. 510–516.</w:t>
      </w:r>
    </w:p>
    <w:p w:rsidR="00BD4D54" w:rsidRPr="00D04E9A" w:rsidRDefault="00BD4D54" w:rsidP="00BD4D54">
      <w:pPr>
        <w:pStyle w:val="StyletextLeft0cmHanging1cm"/>
        <w:rPr>
          <w:lang w:eastAsia="en-US"/>
        </w:rPr>
      </w:pPr>
      <w:r w:rsidRPr="00D04E9A">
        <w:rPr>
          <w:lang w:eastAsia="en-US"/>
        </w:rPr>
        <w:t xml:space="preserve">WHO 1979, </w:t>
      </w:r>
      <w:r w:rsidRPr="00D04E9A">
        <w:rPr>
          <w:i/>
          <w:lang w:eastAsia="en-US"/>
        </w:rPr>
        <w:t>DDT and its Derivatives,</w:t>
      </w:r>
      <w:r w:rsidRPr="00D04E9A">
        <w:rPr>
          <w:lang w:eastAsia="en-US"/>
        </w:rPr>
        <w:t xml:space="preserve"> Environmental Health Criteria 9, available from: </w:t>
      </w:r>
      <w:hyperlink r:id="rId21" w:history="1">
        <w:r w:rsidRPr="00D04E9A">
          <w:rPr>
            <w:rStyle w:val="Hyperlink"/>
            <w:szCs w:val="22"/>
            <w:lang w:eastAsia="en-US"/>
          </w:rPr>
          <w:t>http://www.inchem.org/documents/ehc/ehc/ehc009.htm</w:t>
        </w:r>
      </w:hyperlink>
      <w:r w:rsidRPr="00D04E9A">
        <w:rPr>
          <w:lang w:eastAsia="en-US"/>
        </w:rPr>
        <w:t>.</w:t>
      </w:r>
    </w:p>
    <w:p w:rsidR="00BD4D54" w:rsidRPr="00D04E9A" w:rsidRDefault="00BD4D54" w:rsidP="00BD4D54">
      <w:pPr>
        <w:pStyle w:val="StyletextLeft0cmHanging1cm"/>
        <w:rPr>
          <w:lang w:eastAsia="en-US"/>
        </w:rPr>
      </w:pPr>
      <w:r w:rsidRPr="00D04E9A">
        <w:rPr>
          <w:lang w:eastAsia="en-US"/>
        </w:rPr>
        <w:t xml:space="preserve">WHO 1989, </w:t>
      </w:r>
      <w:r w:rsidRPr="00D04E9A">
        <w:rPr>
          <w:i/>
          <w:lang w:eastAsia="en-US"/>
        </w:rPr>
        <w:t>DDT and its Derivatives – Environmental Aspects,</w:t>
      </w:r>
      <w:r w:rsidRPr="00D04E9A">
        <w:rPr>
          <w:lang w:eastAsia="en-US"/>
        </w:rPr>
        <w:t xml:space="preserve"> Environmental Health Criteria 83. </w:t>
      </w:r>
      <w:r>
        <w:rPr>
          <w:lang w:eastAsia="en-US"/>
        </w:rPr>
        <w:t>available from</w:t>
      </w:r>
      <w:r w:rsidRPr="00D04E9A">
        <w:rPr>
          <w:lang w:eastAsia="en-US"/>
        </w:rPr>
        <w:t xml:space="preserve"> </w:t>
      </w:r>
      <w:hyperlink r:id="rId22" w:history="1">
        <w:r w:rsidRPr="00D04E9A">
          <w:rPr>
            <w:rStyle w:val="Hyperlink"/>
            <w:szCs w:val="22"/>
            <w:lang w:eastAsia="en-US"/>
          </w:rPr>
          <w:t>http://www.inchem.org/documents/ehc/ehc/ehc83.htm</w:t>
        </w:r>
      </w:hyperlink>
      <w:r w:rsidRPr="00D04E9A">
        <w:rPr>
          <w:lang w:eastAsia="en-US"/>
        </w:rPr>
        <w:t>.</w:t>
      </w:r>
    </w:p>
    <w:p w:rsidR="00BD4D54" w:rsidRPr="00D04E9A" w:rsidRDefault="00BD4D54" w:rsidP="00BD4D54">
      <w:pPr>
        <w:pStyle w:val="StyletextLeft0cmHanging1cm"/>
      </w:pPr>
      <w:r w:rsidRPr="00D04E9A">
        <w:t xml:space="preserve">WHO 2011, </w:t>
      </w:r>
      <w:r w:rsidRPr="00D04E9A">
        <w:rPr>
          <w:i/>
        </w:rPr>
        <w:t>Guidelines for drinking-water quality, 4</w:t>
      </w:r>
      <w:r w:rsidRPr="00D04E9A">
        <w:rPr>
          <w:i/>
          <w:vertAlign w:val="superscript"/>
        </w:rPr>
        <w:t>th</w:t>
      </w:r>
      <w:r w:rsidRPr="00D04E9A">
        <w:rPr>
          <w:i/>
        </w:rPr>
        <w:t xml:space="preserve"> edn</w:t>
      </w:r>
      <w:r w:rsidRPr="00D04E9A">
        <w:t xml:space="preserve">, World Health Organization, Geneva, available from </w:t>
      </w:r>
      <w:hyperlink r:id="rId23" w:history="1">
        <w:r w:rsidRPr="00D04E9A">
          <w:rPr>
            <w:rStyle w:val="Hyperlink"/>
            <w:szCs w:val="22"/>
          </w:rPr>
          <w:t>http://www.who.int/water_sanitation_health/dwq/chemicals/en/index.html</w:t>
        </w:r>
      </w:hyperlink>
      <w:r w:rsidRPr="00D04E9A">
        <w:t>.</w:t>
      </w:r>
    </w:p>
    <w:p w:rsidR="00BD4D54" w:rsidRDefault="00BD4D54" w:rsidP="00BD4D54"/>
    <w:p w:rsidR="00BD4D54" w:rsidRDefault="00BD4D54" w:rsidP="00BD4D54">
      <w:pPr>
        <w:pStyle w:val="Heading1"/>
        <w:tabs>
          <w:tab w:val="clear" w:pos="1209"/>
          <w:tab w:val="num" w:pos="720"/>
        </w:tabs>
      </w:pPr>
      <w:bookmarkStart w:id="16" w:name="_Toc351714105"/>
      <w:r>
        <w:lastRenderedPageBreak/>
        <w:t>Aldrin + Dieldrin</w:t>
      </w:r>
      <w:bookmarkEnd w:id="16"/>
    </w:p>
    <w:p w:rsidR="00BD4D54" w:rsidRDefault="00BD4D54" w:rsidP="00BD4D54">
      <w:pPr>
        <w:pStyle w:val="Heading2"/>
        <w:tabs>
          <w:tab w:val="clear" w:pos="1209"/>
        </w:tabs>
      </w:pPr>
      <w:bookmarkStart w:id="17" w:name="_Toc351714106"/>
      <w:r>
        <w:t>General</w:t>
      </w:r>
      <w:bookmarkEnd w:id="17"/>
    </w:p>
    <w:p w:rsidR="00BD4D54" w:rsidRDefault="00BD4D54" w:rsidP="00BD4D54">
      <w:r>
        <w:t>Several comprehensive reviews of aldrin and dieldrin in the environment and their toxicity to humans are available and should be consulted for more detailed information (ATSDR 2002; WHO 1989). The following provides a summary of the key aspects of these compounds that are relevant to the derivation of a soil HIL.</w:t>
      </w:r>
    </w:p>
    <w:p w:rsidR="00B0287F" w:rsidRDefault="00B0287F" w:rsidP="00BD4D54"/>
    <w:p w:rsidR="00BD4D54" w:rsidRDefault="00BD4D54" w:rsidP="00BD4D54">
      <w:r w:rsidRPr="00EA4E30">
        <w:t xml:space="preserve">Aldrin and dieldrin are the common names of two structurally similar compounds that were historically used as insecticides. These two chemicals are discussed together because aldrin is readily converted to dieldrin once it enters either the environment or the body, and both compounds reportedly have similar health effects. Aldrin predominantly contained the compound hexachlorohexahydrodimethanonaphthalene (HHDN) and was also produced under the following trade names; Aldrec, Aldrex, Drinox, Octalene, Seedrin, and Compound 118 (ATSDR 2002). Technical-grade aldrin contained not less than 85% aldrin with common impurities </w:t>
      </w:r>
      <w:r>
        <w:t>including</w:t>
      </w:r>
      <w:r w:rsidRPr="00EA4E30">
        <w:t xml:space="preserve"> isodrin, hexachlorobutadiene, chlordane, octachlorocyclopentene and toluene (ATSDR 2002).</w:t>
      </w:r>
    </w:p>
    <w:p w:rsidR="00B0287F" w:rsidRPr="00EA4E30" w:rsidRDefault="00B0287F" w:rsidP="00BD4D54"/>
    <w:p w:rsidR="00BD4D54" w:rsidRDefault="00BD4D54" w:rsidP="00BD4D54">
      <w:r w:rsidRPr="00EA4E30">
        <w:t>Dieldrin was manufactured by the epoxidation of aldrin. Technical grade dieldrin, which was also produced under the trade names Alvit, Dieldrix, Octalox and Red Shields, contained no less that 85% by weight hexachloroepoxyoctahydrodimethanonaphthalene (HEOD).</w:t>
      </w:r>
      <w:r>
        <w:t xml:space="preserve"> </w:t>
      </w:r>
      <w:r w:rsidRPr="00EA4E30">
        <w:t>Pure HHDN and HEOD are structurally similar, stable white powders or crystals with a mild chemical odour. Commercial grade aldrin and dieldrin are tan coloured powders.</w:t>
      </w:r>
      <w:r>
        <w:t xml:space="preserve"> </w:t>
      </w:r>
      <w:r w:rsidRPr="00EA4E30">
        <w:t>Aldrin and dieldrin have low vapour pressure and are relatively insoluble in water (ATSDR 2002).</w:t>
      </w:r>
    </w:p>
    <w:p w:rsidR="00B0287F" w:rsidRPr="00EA4E30" w:rsidRDefault="00B0287F" w:rsidP="00BD4D54"/>
    <w:p w:rsidR="00BD4D54" w:rsidRDefault="00BD4D54" w:rsidP="00BD4D54">
      <w:r w:rsidRPr="00EA4E30">
        <w:t>Aldrin and dieldrin, which do not occur naturally in the environment, were synthesised for commercial use as contact insecticides. Both chemicals were widely used against soil</w:t>
      </w:r>
      <w:r>
        <w:t>-</w:t>
      </w:r>
      <w:r w:rsidRPr="00EA4E30">
        <w:t xml:space="preserve">dwelling pests in agriculture, particularly in the corn and citrus industries (ATSDR 2002). They were also used for the protection of wood structures or electrical and telecommunication cables against termites and woodborers. </w:t>
      </w:r>
    </w:p>
    <w:p w:rsidR="00B0287F" w:rsidRDefault="00B0287F" w:rsidP="00BD4D54"/>
    <w:p w:rsidR="00BD4D54" w:rsidRPr="00EA4E30" w:rsidRDefault="00BD4D54" w:rsidP="00BD4D54">
      <w:r w:rsidRPr="00EA4E30">
        <w:t>They were used in Australia and across the world from the 1950s until their commercial distribution was restricted in the 1970s</w:t>
      </w:r>
      <w:r>
        <w:t xml:space="preserve">. By the end of 1980, there was a significant reduction on the number of aldrin and dieldrin products formally approved. All uses of these products were deregistered by 1985. </w:t>
      </w:r>
    </w:p>
    <w:p w:rsidR="00BD4D54" w:rsidRDefault="00BD4D54" w:rsidP="00BD4D54">
      <w:pPr>
        <w:pStyle w:val="Heading2"/>
        <w:tabs>
          <w:tab w:val="clear" w:pos="1209"/>
        </w:tabs>
      </w:pPr>
      <w:bookmarkStart w:id="18" w:name="_Toc351714107"/>
      <w:r>
        <w:t>Previous HIL</w:t>
      </w:r>
      <w:bookmarkEnd w:id="18"/>
    </w:p>
    <w:p w:rsidR="00BD4D54" w:rsidRDefault="00BD4D54" w:rsidP="00BD4D54">
      <w:r>
        <w:t>The derivation of the previous HIL (HIL A = 10 mg/kg) for aldrin and dieldrin is presented by Di Marco (1993) and NEPC (1999). In summary, the HIL was derived on the basis of the following:</w:t>
      </w:r>
    </w:p>
    <w:p w:rsidR="00BD4D54" w:rsidRDefault="00BD4D54" w:rsidP="00BD4D54">
      <w:pPr>
        <w:pStyle w:val="Dot-points"/>
        <w:tabs>
          <w:tab w:val="clear" w:pos="926"/>
          <w:tab w:val="num" w:pos="360"/>
        </w:tabs>
      </w:pPr>
      <w:r>
        <w:t>Background intakes were considered in the derivation of the current HIL with the intakes from food, water and ambient air considered to comprise 40% of the adopted ADI.</w:t>
      </w:r>
    </w:p>
    <w:p w:rsidR="00BD4D54" w:rsidRDefault="00BD4D54" w:rsidP="00BD4D54">
      <w:pPr>
        <w:pStyle w:val="Dot-points"/>
        <w:tabs>
          <w:tab w:val="clear" w:pos="926"/>
          <w:tab w:val="num" w:pos="360"/>
        </w:tabs>
      </w:pPr>
      <w:r>
        <w:t>An ADI of 0.0001 mg/kg/day referenced from the JMPR (1985) was considered. An additional factor of 3 was used because of the uncertainties associated with the bioavailability estimates adopted and exposure levels in the future.</w:t>
      </w:r>
    </w:p>
    <w:p w:rsidR="00BD4D54" w:rsidRDefault="00BD4D54" w:rsidP="00BD4D54">
      <w:pPr>
        <w:pStyle w:val="Dot-points"/>
        <w:tabs>
          <w:tab w:val="clear" w:pos="926"/>
          <w:tab w:val="num" w:pos="360"/>
        </w:tabs>
      </w:pPr>
      <w:r>
        <w:t>Dermal absorption of aldrin and dieldrin was considered to be 5%.</w:t>
      </w:r>
    </w:p>
    <w:p w:rsidR="00BD4D54" w:rsidRDefault="00BD4D54" w:rsidP="00BD4D54">
      <w:pPr>
        <w:pStyle w:val="Dot-points"/>
        <w:tabs>
          <w:tab w:val="clear" w:pos="926"/>
          <w:tab w:val="num" w:pos="360"/>
        </w:tabs>
      </w:pPr>
      <w:r>
        <w:t>Oral bioavailability of organochlorine pesticides was considered to be 10%.</w:t>
      </w:r>
    </w:p>
    <w:p w:rsidR="00BD4D54" w:rsidRDefault="00BD4D54" w:rsidP="00BD4D54">
      <w:pPr>
        <w:pStyle w:val="Dot-points"/>
        <w:tabs>
          <w:tab w:val="clear" w:pos="926"/>
          <w:tab w:val="num" w:pos="360"/>
        </w:tabs>
      </w:pPr>
      <w:r>
        <w:t>Based on intakes derived from soil (ingestion, dermal absorption and dust inhalation), an HIL of 10 mg/kg was calculated.</w:t>
      </w:r>
    </w:p>
    <w:p w:rsidR="00BD4D54" w:rsidRDefault="00BD4D54" w:rsidP="00BD4D54">
      <w:pPr>
        <w:pStyle w:val="Heading2"/>
        <w:tabs>
          <w:tab w:val="clear" w:pos="1209"/>
        </w:tabs>
      </w:pPr>
      <w:r>
        <w:br w:type="page"/>
      </w:r>
      <w:bookmarkStart w:id="19" w:name="_Toc351714108"/>
      <w:r>
        <w:lastRenderedPageBreak/>
        <w:t>Significance of Exposure Pathways</w:t>
      </w:r>
      <w:bookmarkEnd w:id="19"/>
    </w:p>
    <w:p w:rsidR="00BD4D54" w:rsidRPr="00E00A6A" w:rsidRDefault="00BD4D54" w:rsidP="00BD4D54">
      <w:pPr>
        <w:pStyle w:val="Heading3"/>
      </w:pPr>
      <w:bookmarkStart w:id="20" w:name="_Toc351714109"/>
      <w:r>
        <w:t xml:space="preserve">Oral </w:t>
      </w:r>
      <w:r w:rsidRPr="00E00A6A">
        <w:t>Bioavailability</w:t>
      </w:r>
      <w:bookmarkEnd w:id="20"/>
    </w:p>
    <w:p w:rsidR="00BD4D54" w:rsidRDefault="00BD4D54" w:rsidP="00BD4D54">
      <w:r>
        <w:t>Insufficient data is available to adequately define the bioavailability of aldrin and dieldrin in the range of contaminated sites that may need to be considered in Australia. On this basis, a default approach of assuming 100% oral bioavailability has been adopted in the derivation of an HIL. It is noted that a site-specific assessment of bioavailability can be undertaken where required.</w:t>
      </w:r>
    </w:p>
    <w:p w:rsidR="00BD4D54" w:rsidRPr="002D7B71" w:rsidRDefault="00BD4D54" w:rsidP="00BD4D54">
      <w:pPr>
        <w:pStyle w:val="Heading3"/>
      </w:pPr>
      <w:bookmarkStart w:id="21" w:name="_Toc351714110"/>
      <w:r w:rsidRPr="002D7B71">
        <w:t>Dermal absorption</w:t>
      </w:r>
      <w:bookmarkEnd w:id="21"/>
    </w:p>
    <w:p w:rsidR="00BD4D54" w:rsidRDefault="00BD4D54" w:rsidP="00BD4D54">
      <w:r>
        <w:t>A proposed range for dermal absorption of pesticides from soil was 1%</w:t>
      </w:r>
      <w:r>
        <w:sym w:font="Symbol" w:char="F02D"/>
      </w:r>
      <w:r>
        <w:t xml:space="preserve">10% (Ryan </w:t>
      </w:r>
      <w:r>
        <w:rPr>
          <w:rStyle w:val="italics1"/>
          <w:rFonts w:ascii="Verdana" w:hAnsi="Verdana"/>
          <w:color w:val="000000"/>
          <w:szCs w:val="18"/>
        </w:rPr>
        <w:t>et al.</w:t>
      </w:r>
      <w:r>
        <w:t xml:space="preserve"> 1987). The reported absorption of topically applied pesticides and herbicides in acetone to in vitro human skin was reported to be within this range for lindane, aldrin, dieldrin, malathion, parathion, and 2,4-D in Feldmann &amp; Maibach, (1974). WHO (1989) noted that aldrin and dieldrin are readily absorbed by oral, inhalation and dermal routes. Absorption through the intact skin was about 7</w:t>
      </w:r>
      <w:r>
        <w:sym w:font="Symbol" w:char="F02D"/>
      </w:r>
      <w:r>
        <w:t>8% of the applied dose in a human volunteer study. On this basis, adopting the default of 0.1 (10%) recommended by US EPA (1995) for pesticides is considered reasonable.</w:t>
      </w:r>
    </w:p>
    <w:p w:rsidR="00BD4D54" w:rsidRPr="009338FB" w:rsidRDefault="00BD4D54" w:rsidP="00BD4D54">
      <w:pPr>
        <w:pStyle w:val="Heading3"/>
      </w:pPr>
      <w:bookmarkStart w:id="22" w:name="_Toc351714111"/>
      <w:r w:rsidRPr="009338FB">
        <w:t>Inhalation of Dust</w:t>
      </w:r>
      <w:bookmarkEnd w:id="22"/>
    </w:p>
    <w:p w:rsidR="00BD4D54" w:rsidRDefault="00BD4D54" w:rsidP="00BD4D54">
      <w:r>
        <w:t>Aldrin and dieldrin are not considered sufficiently volatile to be of significance and inhalation exposures associated with particulates outdoors and indoors are expected to be of less significance than ingestion of soil. While likely to be negligible, potential inhalation exposures associated with dust have been considered in the derivation of soil HILs.</w:t>
      </w:r>
    </w:p>
    <w:p w:rsidR="00BD4D54" w:rsidRPr="009338FB" w:rsidRDefault="00BD4D54" w:rsidP="00BD4D54">
      <w:pPr>
        <w:pStyle w:val="Heading3"/>
      </w:pPr>
      <w:bookmarkStart w:id="23" w:name="_Toc351714112"/>
      <w:r w:rsidRPr="009338FB">
        <w:t>Plant Uptake</w:t>
      </w:r>
      <w:bookmarkEnd w:id="23"/>
    </w:p>
    <w:p w:rsidR="00BD4D54" w:rsidRDefault="00BD4D54" w:rsidP="00BD4D54">
      <w:r w:rsidRPr="00700387">
        <w:t>Aldrin and dieldrin ha</w:t>
      </w:r>
      <w:r>
        <w:t>ve</w:t>
      </w:r>
      <w:r w:rsidRPr="00700387">
        <w:t xml:space="preserve"> the potential to bioconcentrate in terrestrial ecosystems</w:t>
      </w:r>
      <w:r>
        <w:t xml:space="preserve">. </w:t>
      </w:r>
      <w:r w:rsidRPr="00700387">
        <w:t>However, the available</w:t>
      </w:r>
      <w:r>
        <w:t xml:space="preserve"> studies show mixed results with respect to plant uptake. Some studies show potential uptake (more significantly into roots) while others have shown no plant uptake (from these compounds bound to soil) (ATSDR 2002). Both aldrin and dieldrin have high Koc values (log Koc = 6.67</w:t>
      </w:r>
      <w:r>
        <w:sym w:font="Symbol" w:char="F02D"/>
      </w:r>
      <w:r>
        <w:t xml:space="preserve">7.67, ATSDR 2002), suggesting that these compounds are largely bound to soil particulates and immobile in soil. For plant uptake to be significant, the chemicals must be able to partition to soil water. With respect to aldrin and dieldrin bound to the soil, this is considered to be insignificant. Hence, the potential for plant uptake of aldrin and dieldrin from soil contamination is considered negligible. </w:t>
      </w:r>
    </w:p>
    <w:p w:rsidR="00B0287F" w:rsidRDefault="00B0287F" w:rsidP="00BD4D54"/>
    <w:p w:rsidR="00BD4D54" w:rsidRDefault="00BD4D54" w:rsidP="00BD4D54">
      <w:r>
        <w:t>It is noted, however that should these compounds be present in other media such as groundwater (used for irrigation) or solution, then the potential for uptake into fruit and vegetable crops is likely to be of significance. In addition, the mobility of these compounds in the soil environment can be enhanced by the presence of organic solvents. These organic solvents have the ability to increase the water solubility of non-polar compounds, which in turn increases their mobility in soil. The organic solvents in a sense act as a transport medium for chemicals that would normally bind strongly to soil (ATSDR 2002). These issues should be assessed on a site-specific basis.</w:t>
      </w:r>
    </w:p>
    <w:p w:rsidR="00BD4D54" w:rsidRPr="0089652E" w:rsidRDefault="00BD4D54" w:rsidP="00BD4D54">
      <w:pPr>
        <w:pStyle w:val="Heading3"/>
      </w:pPr>
      <w:bookmarkStart w:id="24" w:name="_Toc351714113"/>
      <w:r w:rsidRPr="0089652E">
        <w:t xml:space="preserve">Intakes from Other Sources </w:t>
      </w:r>
      <w:r>
        <w:t>–</w:t>
      </w:r>
      <w:r w:rsidRPr="0089652E">
        <w:t xml:space="preserve"> Background</w:t>
      </w:r>
      <w:bookmarkEnd w:id="24"/>
    </w:p>
    <w:p w:rsidR="00BD4D54" w:rsidRDefault="00BD4D54" w:rsidP="00BD4D54">
      <w:r w:rsidRPr="00700387">
        <w:t>For the general population where aldrin and dieldrin are no longer used, background intakes would be expected to be primarily associated with residues in food</w:t>
      </w:r>
      <w:r>
        <w:t xml:space="preserve">. </w:t>
      </w:r>
      <w:r w:rsidRPr="00700387">
        <w:t xml:space="preserve">Food Standards Australia </w:t>
      </w:r>
      <w:r>
        <w:t xml:space="preserve">and </w:t>
      </w:r>
      <w:r w:rsidRPr="00700387">
        <w:t>New Zealand has not</w:t>
      </w:r>
      <w:r>
        <w:t xml:space="preserve"> detected aldrin or dieldrin in any sample in the 19</w:t>
      </w:r>
      <w:r w:rsidRPr="005D4B18">
        <w:rPr>
          <w:vertAlign w:val="superscript"/>
        </w:rPr>
        <w:t>th</w:t>
      </w:r>
      <w:r>
        <w:t xml:space="preserve"> or 20</w:t>
      </w:r>
      <w:r w:rsidRPr="005D4B18">
        <w:rPr>
          <w:vertAlign w:val="superscript"/>
        </w:rPr>
        <w:t>th</w:t>
      </w:r>
      <w:r>
        <w:t xml:space="preserve"> food surveys (FSANZ 2003). Dieldrin was reported (at 1.28</w:t>
      </w:r>
      <w:r>
        <w:sym w:font="Symbol" w:char="F02D"/>
      </w:r>
      <w:r>
        <w:t>3.23% of the ADI adopted) in the earlier 18</w:t>
      </w:r>
      <w:r w:rsidRPr="005D4B18">
        <w:rPr>
          <w:vertAlign w:val="superscript"/>
        </w:rPr>
        <w:t>th</w:t>
      </w:r>
      <w:r>
        <w:t xml:space="preserve"> survey and again in the most recent survey (FSANZ 2011) with the highest intake estimated to be 0.021 </w:t>
      </w:r>
      <w:r>
        <w:rPr>
          <w:rFonts w:ascii="Calibri" w:hAnsi="Calibri" w:cs="Calibri"/>
        </w:rPr>
        <w:t>µ</w:t>
      </w:r>
      <w:r>
        <w:t>g/kg/day for children aged 2</w:t>
      </w:r>
      <w:r>
        <w:sym w:font="Symbol" w:char="F02D"/>
      </w:r>
      <w:r>
        <w:t>5 years, which comprises 20% of the adopted oral TRV. Other than the most recent food survey, intakes of aldrin and dieldrin are negligible, however the higher level of intake estimated for young children more recently suggests intakes are not negligible. For the purpose of establishing a soil HIL, an intake of 10% (assumed to represent a longer-term average of intakes from the available food surveys) of the TRV from other sources has been assumed.</w:t>
      </w:r>
    </w:p>
    <w:p w:rsidR="00BD4D54" w:rsidRDefault="00BD4D54" w:rsidP="00BD4D54">
      <w:pPr>
        <w:pStyle w:val="Heading2"/>
        <w:tabs>
          <w:tab w:val="clear" w:pos="1209"/>
        </w:tabs>
      </w:pPr>
      <w:bookmarkStart w:id="25" w:name="_Toc351714114"/>
      <w:r>
        <w:lastRenderedPageBreak/>
        <w:t>Identification of Toxicity Reference Values</w:t>
      </w:r>
      <w:bookmarkEnd w:id="25"/>
    </w:p>
    <w:p w:rsidR="00BD4D54" w:rsidRPr="00983A79" w:rsidRDefault="00BD4D54" w:rsidP="00BD4D54">
      <w:pPr>
        <w:pStyle w:val="Heading3"/>
      </w:pPr>
      <w:bookmarkStart w:id="26" w:name="_Toc351714115"/>
      <w:r w:rsidRPr="00983A79">
        <w:t>Classification</w:t>
      </w:r>
      <w:bookmarkEnd w:id="26"/>
    </w:p>
    <w:p w:rsidR="00BD4D54" w:rsidRPr="00810691" w:rsidRDefault="00BD4D54" w:rsidP="00810691">
      <w:r w:rsidRPr="00810691">
        <w:t>The International Agency for Research on Cancer (IARC) has classified aldrin and dieldrin as Group 3—not classifiable as to carcinogenicity to humans. It is noted that US EPA has classified both aldrin and dieldrin as Class B2—probable human carcinogens.</w:t>
      </w:r>
    </w:p>
    <w:p w:rsidR="00BD4D54" w:rsidRPr="00907E92" w:rsidRDefault="00BD4D54" w:rsidP="00BD4D54">
      <w:pPr>
        <w:pStyle w:val="Heading3"/>
      </w:pPr>
      <w:bookmarkStart w:id="27" w:name="_Toc351714116"/>
      <w:r w:rsidRPr="00907E92">
        <w:t>Review of Available Values</w:t>
      </w:r>
      <w:r>
        <w:t>/Information</w:t>
      </w:r>
      <w:bookmarkEnd w:id="27"/>
    </w:p>
    <w:p w:rsidR="00BD4D54" w:rsidRDefault="00BD4D54" w:rsidP="00BD4D54">
      <w:r>
        <w:t xml:space="preserve">There are mixed reviews of carcinogenicity with respect to aldrin and dieldrin. Based on a review by RIVM (2001) it is noted that epidemiological data remains inadequate, though some studies have shown hepatocellular carcinomas in mice, while other studies have not shown carcinogenic effects. Further evaluation of carcinogenicity by Stevenson et al. (1999) within the framework of the US EPA Proposed Guidelines for Carcinogen Risk Assessment considered that dieldrin-induced liver tumours occur through a non-genotoxic mode of action. The review also considers that a more appropriate cancer descriptor for aldrin/dieldrin is ‘not likely to be carcinogenic to humans’. </w:t>
      </w:r>
    </w:p>
    <w:p w:rsidR="00B0287F" w:rsidRDefault="00B0287F" w:rsidP="00BD4D54"/>
    <w:p w:rsidR="00BD4D54" w:rsidRDefault="00BD4D54" w:rsidP="00BD4D54">
      <w:r>
        <w:t>On the basis of the available</w:t>
      </w:r>
      <w:r w:rsidRPr="00536A8F">
        <w:t xml:space="preserve"> </w:t>
      </w:r>
      <w:r>
        <w:t>information, it is considered appropriate that a threshold dose</w:t>
      </w:r>
      <w:r>
        <w:sym w:font="Symbol" w:char="F02D"/>
      </w:r>
      <w:r>
        <w:t>response approach be adopted for aldrin and dieldrin. The following are available from Level 1 Australian and International sources: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9"/>
        <w:gridCol w:w="1718"/>
        <w:gridCol w:w="5776"/>
      </w:tblGrid>
      <w:tr w:rsidR="00BD4D54" w:rsidRPr="00536A8F" w:rsidTr="00EC6328">
        <w:trPr>
          <w:tblHeader/>
        </w:trPr>
        <w:tc>
          <w:tcPr>
            <w:tcW w:w="1339" w:type="dxa"/>
            <w:shd w:val="clear" w:color="auto" w:fill="C6D9F1" w:themeFill="text2" w:themeFillTint="33"/>
          </w:tcPr>
          <w:p w:rsidR="00BD4D54" w:rsidRPr="00536A8F" w:rsidRDefault="00BD4D54" w:rsidP="00EC6328">
            <w:pPr>
              <w:spacing w:before="20"/>
              <w:jc w:val="center"/>
              <w:rPr>
                <w:b/>
                <w:szCs w:val="22"/>
              </w:rPr>
            </w:pPr>
            <w:r w:rsidRPr="00536A8F">
              <w:rPr>
                <w:b/>
                <w:szCs w:val="22"/>
              </w:rPr>
              <w:t>Source</w:t>
            </w:r>
          </w:p>
        </w:tc>
        <w:tc>
          <w:tcPr>
            <w:tcW w:w="1718" w:type="dxa"/>
            <w:shd w:val="clear" w:color="auto" w:fill="C6D9F1" w:themeFill="text2" w:themeFillTint="33"/>
          </w:tcPr>
          <w:p w:rsidR="00BD4D54" w:rsidRPr="00536A8F" w:rsidRDefault="00BD4D54" w:rsidP="00EC6328">
            <w:pPr>
              <w:spacing w:before="20"/>
              <w:jc w:val="center"/>
              <w:rPr>
                <w:b/>
                <w:szCs w:val="22"/>
              </w:rPr>
            </w:pPr>
            <w:r w:rsidRPr="00536A8F">
              <w:rPr>
                <w:b/>
                <w:szCs w:val="22"/>
              </w:rPr>
              <w:t>Value</w:t>
            </w:r>
          </w:p>
        </w:tc>
        <w:tc>
          <w:tcPr>
            <w:tcW w:w="5776" w:type="dxa"/>
            <w:shd w:val="clear" w:color="auto" w:fill="C6D9F1" w:themeFill="text2" w:themeFillTint="33"/>
          </w:tcPr>
          <w:p w:rsidR="00BD4D54" w:rsidRPr="00536A8F" w:rsidRDefault="00BD4D54" w:rsidP="00EC6328">
            <w:pPr>
              <w:spacing w:before="20"/>
              <w:jc w:val="center"/>
              <w:rPr>
                <w:b/>
                <w:szCs w:val="22"/>
              </w:rPr>
            </w:pPr>
            <w:r w:rsidRPr="00536A8F">
              <w:rPr>
                <w:b/>
                <w:szCs w:val="22"/>
              </w:rPr>
              <w:t>Basis/Comments</w:t>
            </w:r>
          </w:p>
        </w:tc>
      </w:tr>
      <w:tr w:rsidR="00BD4D54" w:rsidRPr="00536A8F" w:rsidTr="00EC6328">
        <w:tc>
          <w:tcPr>
            <w:tcW w:w="8833" w:type="dxa"/>
            <w:gridSpan w:val="3"/>
          </w:tcPr>
          <w:p w:rsidR="00BD4D54" w:rsidRPr="00536A8F" w:rsidRDefault="00BD4D54" w:rsidP="00EC6328">
            <w:pPr>
              <w:spacing w:before="20"/>
              <w:jc w:val="center"/>
              <w:rPr>
                <w:b/>
                <w:szCs w:val="22"/>
              </w:rPr>
            </w:pPr>
            <w:r w:rsidRPr="00536A8F">
              <w:rPr>
                <w:b/>
                <w:szCs w:val="22"/>
              </w:rPr>
              <w:t>Australian</w:t>
            </w:r>
          </w:p>
        </w:tc>
      </w:tr>
      <w:tr w:rsidR="00BD4D54" w:rsidRPr="00536A8F" w:rsidTr="00EC6328">
        <w:tc>
          <w:tcPr>
            <w:tcW w:w="1339" w:type="dxa"/>
          </w:tcPr>
          <w:p w:rsidR="00BD4D54" w:rsidRPr="00536A8F" w:rsidRDefault="00BD4D54" w:rsidP="00EC6328">
            <w:pPr>
              <w:spacing w:before="20"/>
              <w:rPr>
                <w:szCs w:val="22"/>
              </w:rPr>
            </w:pPr>
            <w:r w:rsidRPr="00536A8F">
              <w:rPr>
                <w:szCs w:val="22"/>
              </w:rPr>
              <w:t>ADWG (NHMRC &amp; NRMMC 2011)</w:t>
            </w:r>
          </w:p>
        </w:tc>
        <w:tc>
          <w:tcPr>
            <w:tcW w:w="1718" w:type="dxa"/>
          </w:tcPr>
          <w:p w:rsidR="00BD4D54" w:rsidRPr="00536A8F" w:rsidRDefault="00BD4D54" w:rsidP="00EC6328">
            <w:pPr>
              <w:spacing w:before="20"/>
              <w:rPr>
                <w:szCs w:val="22"/>
              </w:rPr>
            </w:pPr>
            <w:r w:rsidRPr="00536A8F">
              <w:rPr>
                <w:szCs w:val="22"/>
              </w:rPr>
              <w:t>ADI = 0.0001 mg/kg/day</w:t>
            </w:r>
          </w:p>
        </w:tc>
        <w:tc>
          <w:tcPr>
            <w:tcW w:w="5776" w:type="dxa"/>
          </w:tcPr>
          <w:p w:rsidR="00BD4D54" w:rsidRPr="00536A8F" w:rsidRDefault="00BD4D54" w:rsidP="00EC6328">
            <w:pPr>
              <w:spacing w:before="20"/>
              <w:rPr>
                <w:szCs w:val="22"/>
              </w:rPr>
            </w:pPr>
            <w:r w:rsidRPr="00536A8F">
              <w:rPr>
                <w:szCs w:val="22"/>
              </w:rPr>
              <w:t>The ADI available in the ADWG (NHMRC &amp; NRMMC 2011) is noted to be derived from JMPR evaluation (noted to be 1977).</w:t>
            </w:r>
          </w:p>
        </w:tc>
      </w:tr>
      <w:tr w:rsidR="00BD4D54" w:rsidRPr="00536A8F" w:rsidTr="00EC6328">
        <w:tc>
          <w:tcPr>
            <w:tcW w:w="1339" w:type="dxa"/>
          </w:tcPr>
          <w:p w:rsidR="00BD4D54" w:rsidRPr="00536A8F" w:rsidRDefault="00BD4D54" w:rsidP="00EC6328">
            <w:pPr>
              <w:spacing w:before="20"/>
              <w:rPr>
                <w:szCs w:val="22"/>
              </w:rPr>
            </w:pPr>
            <w:r w:rsidRPr="00536A8F">
              <w:rPr>
                <w:szCs w:val="22"/>
              </w:rPr>
              <w:t>OCS (2012)</w:t>
            </w:r>
          </w:p>
        </w:tc>
        <w:tc>
          <w:tcPr>
            <w:tcW w:w="1718" w:type="dxa"/>
          </w:tcPr>
          <w:p w:rsidR="00BD4D54" w:rsidRPr="00536A8F" w:rsidRDefault="00BD4D54" w:rsidP="00EC6328">
            <w:pPr>
              <w:spacing w:before="20"/>
              <w:rPr>
                <w:szCs w:val="22"/>
              </w:rPr>
            </w:pPr>
            <w:r w:rsidRPr="00536A8F">
              <w:rPr>
                <w:szCs w:val="22"/>
              </w:rPr>
              <w:t>TDI = 0.0001 mg/kg/day</w:t>
            </w:r>
          </w:p>
        </w:tc>
        <w:tc>
          <w:tcPr>
            <w:tcW w:w="5776" w:type="dxa"/>
          </w:tcPr>
          <w:p w:rsidR="00BD4D54" w:rsidRPr="00536A8F" w:rsidRDefault="00BD4D54" w:rsidP="00EC6328">
            <w:pPr>
              <w:spacing w:before="20"/>
              <w:rPr>
                <w:szCs w:val="22"/>
              </w:rPr>
            </w:pPr>
            <w:r w:rsidRPr="00536A8F">
              <w:rPr>
                <w:szCs w:val="22"/>
              </w:rPr>
              <w:t>This value (set in 2003) is based on the JMPR evaluation from 1994 (refer to comment below). The TDI is noted to be retained for comparison against dietary intakes only as these compounds are no longer used in agricultural practice. The ADI listed is also adopted by FSANZ.</w:t>
            </w:r>
          </w:p>
        </w:tc>
      </w:tr>
      <w:tr w:rsidR="00BD4D54" w:rsidRPr="00536A8F" w:rsidTr="00EC6328">
        <w:tc>
          <w:tcPr>
            <w:tcW w:w="8833" w:type="dxa"/>
            <w:gridSpan w:val="3"/>
          </w:tcPr>
          <w:p w:rsidR="00BD4D54" w:rsidRPr="00536A8F" w:rsidRDefault="00BD4D54" w:rsidP="00EC6328">
            <w:pPr>
              <w:spacing w:before="20"/>
              <w:jc w:val="center"/>
              <w:rPr>
                <w:b/>
                <w:szCs w:val="22"/>
              </w:rPr>
            </w:pPr>
            <w:r w:rsidRPr="00536A8F">
              <w:rPr>
                <w:b/>
                <w:szCs w:val="22"/>
              </w:rPr>
              <w:t>International</w:t>
            </w:r>
          </w:p>
        </w:tc>
      </w:tr>
      <w:tr w:rsidR="00BD4D54" w:rsidRPr="00536A8F" w:rsidTr="00EC6328">
        <w:tc>
          <w:tcPr>
            <w:tcW w:w="1339" w:type="dxa"/>
          </w:tcPr>
          <w:p w:rsidR="00BD4D54" w:rsidRPr="00536A8F" w:rsidRDefault="00BD4D54" w:rsidP="00EC6328">
            <w:pPr>
              <w:spacing w:before="20"/>
              <w:rPr>
                <w:szCs w:val="22"/>
              </w:rPr>
            </w:pPr>
            <w:r w:rsidRPr="00536A8F">
              <w:rPr>
                <w:szCs w:val="22"/>
              </w:rPr>
              <w:t>WHO (2011)</w:t>
            </w:r>
          </w:p>
        </w:tc>
        <w:tc>
          <w:tcPr>
            <w:tcW w:w="1718" w:type="dxa"/>
          </w:tcPr>
          <w:p w:rsidR="00BD4D54" w:rsidRPr="00536A8F" w:rsidRDefault="00BD4D54" w:rsidP="00EC6328">
            <w:pPr>
              <w:spacing w:before="20"/>
              <w:rPr>
                <w:szCs w:val="22"/>
              </w:rPr>
            </w:pPr>
            <w:r w:rsidRPr="00536A8F">
              <w:rPr>
                <w:szCs w:val="22"/>
              </w:rPr>
              <w:t>PTDI = 0.0001 mg/kg/day</w:t>
            </w:r>
          </w:p>
        </w:tc>
        <w:tc>
          <w:tcPr>
            <w:tcW w:w="5776" w:type="dxa"/>
          </w:tcPr>
          <w:p w:rsidR="00BD4D54" w:rsidRPr="00536A8F" w:rsidRDefault="00BD4D54" w:rsidP="00EC6328">
            <w:pPr>
              <w:spacing w:before="20"/>
              <w:rPr>
                <w:szCs w:val="22"/>
              </w:rPr>
            </w:pPr>
            <w:r w:rsidRPr="00536A8F">
              <w:rPr>
                <w:szCs w:val="22"/>
              </w:rPr>
              <w:t>The ADI/PTDI has been considered in the derivation of WHO (2011) based on the JMPR evaluation where the provisional TDI is based on a NOAEL of 1 mg/kg/day in dogs and 0.5 mg/kg/day in rats (dietary studies, Fitzhugh et al. 1964; Fitzhugh &amp; Nelson 1963), which is equivalent to 0.025 mg/kg/day in both species, and application of 250-fold uncertainty factor (10 for interspecies variation, 10 for intraspecies variation and 2.5 for concern about carcinogenicity observed in mice). It is noted that the WHO DWG evaluation has not changed since 1970.</w:t>
            </w:r>
          </w:p>
        </w:tc>
      </w:tr>
      <w:tr w:rsidR="00BD4D54" w:rsidRPr="00536A8F" w:rsidTr="00EC6328">
        <w:tc>
          <w:tcPr>
            <w:tcW w:w="1339" w:type="dxa"/>
          </w:tcPr>
          <w:p w:rsidR="00BD4D54" w:rsidRPr="00536A8F" w:rsidRDefault="00BD4D54" w:rsidP="00EC6328">
            <w:pPr>
              <w:spacing w:before="20"/>
              <w:rPr>
                <w:szCs w:val="22"/>
              </w:rPr>
            </w:pPr>
            <w:r w:rsidRPr="00536A8F">
              <w:rPr>
                <w:szCs w:val="22"/>
              </w:rPr>
              <w:t>RIVM (2001)</w:t>
            </w:r>
          </w:p>
        </w:tc>
        <w:tc>
          <w:tcPr>
            <w:tcW w:w="7494" w:type="dxa"/>
            <w:gridSpan w:val="2"/>
          </w:tcPr>
          <w:p w:rsidR="00BD4D54" w:rsidRPr="00536A8F" w:rsidRDefault="00BD4D54" w:rsidP="00EC6328">
            <w:pPr>
              <w:spacing w:before="20"/>
              <w:jc w:val="center"/>
              <w:rPr>
                <w:szCs w:val="22"/>
              </w:rPr>
            </w:pPr>
            <w:r w:rsidRPr="00536A8F">
              <w:rPr>
                <w:szCs w:val="22"/>
              </w:rPr>
              <w:t>Adopted JMPR evaluation as noted above from WHO DWG</w:t>
            </w:r>
          </w:p>
        </w:tc>
      </w:tr>
      <w:tr w:rsidR="00BD4D54" w:rsidRPr="00536A8F" w:rsidTr="00EC6328">
        <w:tc>
          <w:tcPr>
            <w:tcW w:w="1339" w:type="dxa"/>
          </w:tcPr>
          <w:p w:rsidR="00BD4D54" w:rsidRPr="00536A8F" w:rsidRDefault="00BD4D54" w:rsidP="00EC6328">
            <w:pPr>
              <w:spacing w:before="20"/>
              <w:rPr>
                <w:szCs w:val="22"/>
              </w:rPr>
            </w:pPr>
            <w:r w:rsidRPr="00536A8F">
              <w:rPr>
                <w:szCs w:val="22"/>
              </w:rPr>
              <w:t>ATSDR (2002)</w:t>
            </w:r>
          </w:p>
        </w:tc>
        <w:tc>
          <w:tcPr>
            <w:tcW w:w="1718" w:type="dxa"/>
          </w:tcPr>
          <w:p w:rsidR="00BD4D54" w:rsidRPr="00536A8F" w:rsidRDefault="00BD4D54" w:rsidP="00EC6328">
            <w:pPr>
              <w:spacing w:before="20"/>
              <w:rPr>
                <w:szCs w:val="22"/>
              </w:rPr>
            </w:pPr>
            <w:r w:rsidRPr="00536A8F">
              <w:rPr>
                <w:szCs w:val="22"/>
              </w:rPr>
              <w:t>MRL = 0.00003 mg/kg/day for aldrin</w:t>
            </w:r>
          </w:p>
          <w:p w:rsidR="00BD4D54" w:rsidRPr="00536A8F" w:rsidRDefault="00BD4D54" w:rsidP="00EC6328">
            <w:pPr>
              <w:spacing w:before="20"/>
              <w:rPr>
                <w:szCs w:val="22"/>
              </w:rPr>
            </w:pPr>
            <w:r w:rsidRPr="00536A8F">
              <w:rPr>
                <w:szCs w:val="22"/>
              </w:rPr>
              <w:t>MRL = 0.00005 mg/kg/day for dieldrin</w:t>
            </w:r>
          </w:p>
        </w:tc>
        <w:tc>
          <w:tcPr>
            <w:tcW w:w="5776" w:type="dxa"/>
          </w:tcPr>
          <w:p w:rsidR="00BD4D54" w:rsidRPr="00536A8F" w:rsidRDefault="00BD4D54" w:rsidP="00EC6328">
            <w:pPr>
              <w:spacing w:before="20"/>
              <w:rPr>
                <w:szCs w:val="22"/>
              </w:rPr>
            </w:pPr>
            <w:r w:rsidRPr="00536A8F">
              <w:rPr>
                <w:szCs w:val="22"/>
              </w:rPr>
              <w:t>Chronic oral MRLs for aldrin and dieldrin based on a LOAEL of 0.025 mg/kg/day associated with liver effects in rats and application of 100-fold uncertainty factor. Values adopted are consistent with those available from the US EPA (IRIS 2012).</w:t>
            </w:r>
          </w:p>
        </w:tc>
      </w:tr>
      <w:tr w:rsidR="00BD4D54" w:rsidRPr="00536A8F" w:rsidTr="00EC6328">
        <w:tc>
          <w:tcPr>
            <w:tcW w:w="1339" w:type="dxa"/>
          </w:tcPr>
          <w:p w:rsidR="00BD4D54" w:rsidRPr="00536A8F" w:rsidRDefault="00BD4D54" w:rsidP="00EC6328">
            <w:pPr>
              <w:spacing w:before="20"/>
              <w:rPr>
                <w:szCs w:val="22"/>
              </w:rPr>
            </w:pPr>
            <w:r w:rsidRPr="00536A8F">
              <w:rPr>
                <w:szCs w:val="22"/>
              </w:rPr>
              <w:t>US EPA (IRIS 2012)</w:t>
            </w:r>
          </w:p>
        </w:tc>
        <w:tc>
          <w:tcPr>
            <w:tcW w:w="1718" w:type="dxa"/>
          </w:tcPr>
          <w:p w:rsidR="00BD4D54" w:rsidRPr="00536A8F" w:rsidRDefault="00BD4D54" w:rsidP="00EC6328">
            <w:pPr>
              <w:spacing w:before="20"/>
              <w:rPr>
                <w:szCs w:val="22"/>
              </w:rPr>
            </w:pPr>
            <w:r w:rsidRPr="00536A8F">
              <w:rPr>
                <w:szCs w:val="22"/>
              </w:rPr>
              <w:t>RfD = 0.00003 mg/kg/day for aldrin</w:t>
            </w:r>
          </w:p>
          <w:p w:rsidR="00BD4D54" w:rsidRPr="00536A8F" w:rsidRDefault="00BD4D54" w:rsidP="00EC6328">
            <w:pPr>
              <w:spacing w:before="20"/>
              <w:rPr>
                <w:szCs w:val="22"/>
              </w:rPr>
            </w:pPr>
            <w:r w:rsidRPr="00536A8F">
              <w:rPr>
                <w:szCs w:val="22"/>
              </w:rPr>
              <w:t xml:space="preserve">RfD = 0.00005 </w:t>
            </w:r>
            <w:r w:rsidRPr="00536A8F">
              <w:rPr>
                <w:szCs w:val="22"/>
              </w:rPr>
              <w:lastRenderedPageBreak/>
              <w:t>mg/kg/day for dieldrin</w:t>
            </w:r>
          </w:p>
          <w:p w:rsidR="00BD4D54" w:rsidRPr="00536A8F" w:rsidRDefault="00BD4D54" w:rsidP="00EC6328">
            <w:pPr>
              <w:spacing w:before="20"/>
              <w:rPr>
                <w:szCs w:val="22"/>
              </w:rPr>
            </w:pPr>
          </w:p>
        </w:tc>
        <w:tc>
          <w:tcPr>
            <w:tcW w:w="5776" w:type="dxa"/>
          </w:tcPr>
          <w:p w:rsidR="00BD4D54" w:rsidRPr="00536A8F" w:rsidRDefault="00BD4D54" w:rsidP="00EC6328">
            <w:pPr>
              <w:spacing w:before="20"/>
              <w:rPr>
                <w:szCs w:val="22"/>
              </w:rPr>
            </w:pPr>
            <w:r w:rsidRPr="00536A8F">
              <w:rPr>
                <w:szCs w:val="22"/>
              </w:rPr>
              <w:lastRenderedPageBreak/>
              <w:t xml:space="preserve">RfD for aldrin based on a LOAEL of 0.025 mg/kg/day associated with liver toxicity in a chronic rat study (Fitzhugh et al. 1964) and application of a 1000-fold uncertainty factor. The evaluation was last reviewed in 1988. </w:t>
            </w:r>
          </w:p>
          <w:p w:rsidR="00BD4D54" w:rsidRPr="00536A8F" w:rsidRDefault="00BD4D54" w:rsidP="00EC6328">
            <w:pPr>
              <w:spacing w:before="20"/>
              <w:rPr>
                <w:szCs w:val="22"/>
              </w:rPr>
            </w:pPr>
            <w:r w:rsidRPr="00536A8F">
              <w:rPr>
                <w:szCs w:val="22"/>
              </w:rPr>
              <w:lastRenderedPageBreak/>
              <w:t xml:space="preserve">RfD for dieldrin based on a NOAEL of 0.005 associated with liver lesions in a 2-year rat study and a 100-fold uncertainty factor. The review was last updated in 1990. </w:t>
            </w:r>
          </w:p>
          <w:p w:rsidR="00BD4D54" w:rsidRPr="00536A8F" w:rsidRDefault="00BD4D54" w:rsidP="00EC6328">
            <w:pPr>
              <w:spacing w:before="20"/>
              <w:rPr>
                <w:szCs w:val="22"/>
              </w:rPr>
            </w:pPr>
            <w:r w:rsidRPr="00536A8F">
              <w:rPr>
                <w:szCs w:val="22"/>
              </w:rPr>
              <w:t>In addition the US EPA has also derived non-threshold values for aldrin and dieldrin. It is not considered appropriate to quantify aldrin and dieldrin toxicity on the basis of a non-threshold approach.</w:t>
            </w:r>
          </w:p>
        </w:tc>
      </w:tr>
    </w:tbl>
    <w:p w:rsidR="00BD4D54" w:rsidRDefault="00BD4D54" w:rsidP="00BD4D54"/>
    <w:p w:rsidR="00BD4D54" w:rsidRDefault="00BD4D54" w:rsidP="00BD4D54">
      <w:r>
        <w:t>All the key studies considered in the above reviews are dated (in the 1960s) and no new studies are available that suggest the evaluations provided and adopted in the Australian and WHO drinking water guidelines are not current. Hence the oral value adopted by NHMRC &amp; NRMMC (2011) and WHO (2011) provide a suitable basis for the derivation of a soil HIL. No dermal or inhalation-specific studies or data are available. For the presence of aldrin and dieldrin in soil, it is considered appropriate to consider use of the available TRV for all pathways of exposures.</w:t>
      </w:r>
    </w:p>
    <w:p w:rsidR="00BD4D54" w:rsidRPr="00293297" w:rsidRDefault="00BD4D54" w:rsidP="00BD4D54">
      <w:pPr>
        <w:pStyle w:val="Heading3"/>
      </w:pPr>
      <w:bookmarkStart w:id="28" w:name="_Toc351714117"/>
      <w:r w:rsidRPr="00293297">
        <w:t>Recommendation</w:t>
      </w:r>
      <w:bookmarkEnd w:id="28"/>
    </w:p>
    <w:p w:rsidR="00BD4D54" w:rsidRPr="00191EC8" w:rsidRDefault="00BD4D54" w:rsidP="00BD4D54">
      <w:r>
        <w:t>On the basis of the discussion above, the following toxicity reference values (TRVs) have been adopted for aldrin and dieldrin in the derivation of HILs:</w:t>
      </w:r>
    </w:p>
    <w:p w:rsidR="00BD4D54" w:rsidRDefault="00BD4D54" w:rsidP="00BD4D54">
      <w:r>
        <w:rPr>
          <w:noProof/>
          <w:lang w:eastAsia="en-AU"/>
        </w:rPr>
        <mc:AlternateContent>
          <mc:Choice Requires="wps">
            <w:drawing>
              <wp:inline distT="0" distB="0" distL="0" distR="0">
                <wp:extent cx="5633720" cy="1898015"/>
                <wp:effectExtent l="13335" t="13335" r="10795" b="1270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720" cy="1898015"/>
                        </a:xfrm>
                        <a:prstGeom prst="rect">
                          <a:avLst/>
                        </a:prstGeom>
                        <a:solidFill>
                          <a:srgbClr val="D8D8D8"/>
                        </a:solidFill>
                        <a:ln w="9525">
                          <a:solidFill>
                            <a:srgbClr val="000000"/>
                          </a:solidFill>
                          <a:miter lim="800000"/>
                          <a:headEnd/>
                          <a:tailEnd/>
                        </a:ln>
                      </wps:spPr>
                      <wps:txbx>
                        <w:txbxContent>
                          <w:p w:rsidR="00480C84" w:rsidRPr="00742163" w:rsidRDefault="00480C84" w:rsidP="00BD4D54">
                            <w:pPr>
                              <w:spacing w:after="40"/>
                              <w:rPr>
                                <w:b/>
                                <w:u w:val="single"/>
                              </w:rPr>
                            </w:pPr>
                            <w:r w:rsidRPr="00742163">
                              <w:rPr>
                                <w:b/>
                                <w:u w:val="single"/>
                              </w:rPr>
                              <w:t xml:space="preserve">Recommendation for </w:t>
                            </w:r>
                            <w:r>
                              <w:rPr>
                                <w:b/>
                                <w:u w:val="single"/>
                              </w:rPr>
                              <w:t>Aldrin and Dieldrin</w:t>
                            </w:r>
                          </w:p>
                          <w:p w:rsidR="00480C84" w:rsidRDefault="00480C84" w:rsidP="00BD4D54">
                            <w:pPr>
                              <w:spacing w:after="40"/>
                            </w:pPr>
                            <w:r>
                              <w:t>Oral TRV (TRV</w:t>
                            </w:r>
                            <w:r w:rsidRPr="00684B59">
                              <w:rPr>
                                <w:vertAlign w:val="subscript"/>
                              </w:rPr>
                              <w:t>O</w:t>
                            </w:r>
                            <w:r>
                              <w:t>) = 0.0001 mg/kg/day (NHMRC 2011 and WHO 2011) for all pathways of exposure</w:t>
                            </w:r>
                          </w:p>
                          <w:p w:rsidR="00480C84" w:rsidRDefault="00480C84" w:rsidP="00BD4D54">
                            <w:pPr>
                              <w:spacing w:after="40"/>
                            </w:pPr>
                            <w:r>
                              <w:t>Dermal absorption factor (DAF) = 0.1 (or 10%) (US EPA 1995)</w:t>
                            </w:r>
                          </w:p>
                          <w:p w:rsidR="00480C84" w:rsidRDefault="00480C84" w:rsidP="00BD4D54">
                            <w:pPr>
                              <w:spacing w:after="40"/>
                            </w:pPr>
                            <w:r>
                              <w:t>Background intakes from other sources (as % of TRV):</w:t>
                            </w:r>
                          </w:p>
                          <w:p w:rsidR="00480C84" w:rsidRDefault="00480C84" w:rsidP="00BD4D54">
                            <w:pPr>
                              <w:spacing w:after="40"/>
                              <w:ind w:left="720"/>
                            </w:pPr>
                            <w:r>
                              <w:t>BI</w:t>
                            </w:r>
                            <w:r w:rsidRPr="002049F5">
                              <w:rPr>
                                <w:vertAlign w:val="subscript"/>
                              </w:rPr>
                              <w:t>O</w:t>
                            </w:r>
                            <w:r>
                              <w:t xml:space="preserve"> = 10% for oral and dermal intakes</w:t>
                            </w:r>
                          </w:p>
                          <w:p w:rsidR="00480C84" w:rsidRDefault="00480C84" w:rsidP="00BD4D54">
                            <w:pPr>
                              <w:spacing w:after="40"/>
                              <w:ind w:left="720"/>
                            </w:pPr>
                            <w:r>
                              <w:t>BIi = 10% for inhalation</w:t>
                            </w:r>
                          </w:p>
                          <w:p w:rsidR="00480C84" w:rsidRDefault="00480C84" w:rsidP="00BD4D54">
                            <w:pPr>
                              <w:spacing w:after="40"/>
                            </w:pPr>
                          </w:p>
                        </w:txbxContent>
                      </wps:txbx>
                      <wps:bodyPr rot="0" vert="horz" wrap="square" lIns="91440" tIns="45720" rIns="91440" bIns="45720" anchor="t" anchorCtr="0" upright="1">
                        <a:noAutofit/>
                      </wps:bodyPr>
                    </wps:wsp>
                  </a:graphicData>
                </a:graphic>
              </wp:inline>
            </w:drawing>
          </mc:Choice>
          <mc:Fallback>
            <w:pict>
              <v:shape id="Text Box 11" o:spid="_x0000_s1030" type="#_x0000_t202" style="width:443.6pt;height:14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" fillcolor="#d8d8d8">
                <v:textbox>
                  <w:txbxContent>
                    <w:p w:rsidR="00480C84" w:rsidRPr="00742163" w:rsidRDefault="00480C84" w:rsidP="00BD4D54">
                      <w:pPr>
                        <w:spacing w:after="40"/>
                        <w:rPr>
                          <w:b/>
                          <w:u w:val="single"/>
                        </w:rPr>
                      </w:pPr>
                      <w:r w:rsidRPr="00742163">
                        <w:rPr>
                          <w:b/>
                          <w:u w:val="single"/>
                        </w:rPr>
                        <w:t xml:space="preserve">Recommendation for </w:t>
                      </w:r>
                      <w:r>
                        <w:rPr>
                          <w:b/>
                          <w:u w:val="single"/>
                        </w:rPr>
                        <w:t>Aldrin and Dieldrin</w:t>
                      </w:r>
                    </w:p>
                    <w:p w:rsidR="00480C84" w:rsidRDefault="00480C84" w:rsidP="00BD4D54">
                      <w:pPr>
                        <w:spacing w:after="40"/>
                      </w:pPr>
                      <w:r>
                        <w:t>Oral TRV (TRV</w:t>
                      </w:r>
                      <w:r w:rsidRPr="00684B59">
                        <w:rPr>
                          <w:vertAlign w:val="subscript"/>
                        </w:rPr>
                        <w:t>O</w:t>
                      </w:r>
                      <w:r>
                        <w:t>) = 0.0001 mg/kg/day (NHMRC 2011 and WHO 2011) for all pathways of exposure</w:t>
                      </w:r>
                    </w:p>
                    <w:p w:rsidR="00480C84" w:rsidRDefault="00480C84" w:rsidP="00BD4D54">
                      <w:pPr>
                        <w:spacing w:after="40"/>
                      </w:pPr>
                      <w:r>
                        <w:t>Dermal absorption factor (DAF) = 0.1 (or 10%) (US EPA 1995)</w:t>
                      </w:r>
                    </w:p>
                    <w:p w:rsidR="00480C84" w:rsidRDefault="00480C84" w:rsidP="00BD4D54">
                      <w:pPr>
                        <w:spacing w:after="40"/>
                      </w:pPr>
                      <w:r>
                        <w:t>Background intakes from other sources (as % of TRV):</w:t>
                      </w:r>
                    </w:p>
                    <w:p w:rsidR="00480C84" w:rsidRDefault="00480C84" w:rsidP="00BD4D54">
                      <w:pPr>
                        <w:spacing w:after="40"/>
                        <w:ind w:left="720"/>
                      </w:pPr>
                      <w:r>
                        <w:t>BI</w:t>
                      </w:r>
                      <w:r w:rsidRPr="002049F5">
                        <w:rPr>
                          <w:vertAlign w:val="subscript"/>
                        </w:rPr>
                        <w:t>O</w:t>
                      </w:r>
                      <w:r>
                        <w:t xml:space="preserve"> = 10% for oral and dermal intakes</w:t>
                      </w:r>
                    </w:p>
                    <w:p w:rsidR="00480C84" w:rsidRDefault="00480C84" w:rsidP="00BD4D54">
                      <w:pPr>
                        <w:spacing w:after="40"/>
                        <w:ind w:left="720"/>
                      </w:pPr>
                      <w:r>
                        <w:t>BIi = 10% for inhalation</w:t>
                      </w:r>
                    </w:p>
                    <w:p w:rsidR="00480C84" w:rsidRDefault="00480C84" w:rsidP="00BD4D54">
                      <w:pPr>
                        <w:spacing w:after="40"/>
                      </w:pPr>
                    </w:p>
                  </w:txbxContent>
                </v:textbox>
                <w10:anchorlock/>
              </v:shape>
            </w:pict>
          </mc:Fallback>
        </mc:AlternateContent>
      </w:r>
    </w:p>
    <w:p w:rsidR="00BD4D54" w:rsidRDefault="00BD4D54" w:rsidP="00BD4D54">
      <w:pPr>
        <w:rPr>
          <w:b/>
          <w:kern w:val="28"/>
          <w:sz w:val="24"/>
        </w:rPr>
      </w:pPr>
      <w:r>
        <w:br w:type="page"/>
      </w:r>
    </w:p>
    <w:p w:rsidR="00BD4D54" w:rsidRPr="00DB16F5" w:rsidRDefault="00BD4D54" w:rsidP="00BD4D54">
      <w:pPr>
        <w:pStyle w:val="Heading2"/>
        <w:tabs>
          <w:tab w:val="clear" w:pos="1209"/>
        </w:tabs>
      </w:pPr>
      <w:bookmarkStart w:id="29" w:name="_Toc351714118"/>
      <w:r w:rsidRPr="00DB16F5">
        <w:lastRenderedPageBreak/>
        <w:t>Calculated HILs</w:t>
      </w:r>
      <w:bookmarkEnd w:id="29"/>
    </w:p>
    <w:p w:rsidR="00BD4D54" w:rsidRDefault="00BD4D54" w:rsidP="00BD4D54">
      <w:r>
        <w:t>On the basis of the above, the following HILs have been derived for aldrin and dieldrin (refer to Appendix B for equations used to calculate the HILs and Appendix C for calculations):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9"/>
        <w:gridCol w:w="1287"/>
        <w:gridCol w:w="1445"/>
        <w:gridCol w:w="1517"/>
        <w:gridCol w:w="1553"/>
        <w:gridCol w:w="1392"/>
      </w:tblGrid>
      <w:tr w:rsidR="00BD4D54" w:rsidRPr="00536A8F" w:rsidTr="00EC6328">
        <w:tc>
          <w:tcPr>
            <w:tcW w:w="1639" w:type="dxa"/>
            <w:vMerge w:val="restart"/>
            <w:shd w:val="clear" w:color="auto" w:fill="C6D9F1" w:themeFill="text2" w:themeFillTint="33"/>
          </w:tcPr>
          <w:p w:rsidR="00BD4D54" w:rsidRPr="00536A8F" w:rsidRDefault="00BD4D54" w:rsidP="00EC6328">
            <w:pPr>
              <w:spacing w:after="40"/>
              <w:rPr>
                <w:b/>
                <w:szCs w:val="22"/>
              </w:rPr>
            </w:pPr>
            <w:r w:rsidRPr="00536A8F">
              <w:rPr>
                <w:b/>
                <w:szCs w:val="22"/>
              </w:rPr>
              <w:t>HIL Scenario</w:t>
            </w:r>
          </w:p>
        </w:tc>
        <w:tc>
          <w:tcPr>
            <w:tcW w:w="1287" w:type="dxa"/>
            <w:vMerge w:val="restart"/>
            <w:shd w:val="clear" w:color="auto" w:fill="C6D9F1" w:themeFill="text2" w:themeFillTint="33"/>
          </w:tcPr>
          <w:p w:rsidR="00BD4D54" w:rsidRPr="00536A8F" w:rsidRDefault="00BD4D54" w:rsidP="00EC6328">
            <w:pPr>
              <w:spacing w:after="40"/>
              <w:jc w:val="center"/>
              <w:rPr>
                <w:b/>
                <w:szCs w:val="22"/>
              </w:rPr>
            </w:pPr>
            <w:r w:rsidRPr="00536A8F">
              <w:rPr>
                <w:b/>
                <w:szCs w:val="22"/>
              </w:rPr>
              <w:t>HIL (mg/kg)</w:t>
            </w:r>
          </w:p>
        </w:tc>
        <w:tc>
          <w:tcPr>
            <w:tcW w:w="5907" w:type="dxa"/>
            <w:gridSpan w:val="4"/>
            <w:shd w:val="clear" w:color="auto" w:fill="C6D9F1" w:themeFill="text2" w:themeFillTint="33"/>
          </w:tcPr>
          <w:p w:rsidR="00BD4D54" w:rsidRPr="00536A8F" w:rsidRDefault="00BD4D54" w:rsidP="00EC6328">
            <w:pPr>
              <w:spacing w:after="40"/>
              <w:jc w:val="center"/>
              <w:rPr>
                <w:b/>
                <w:szCs w:val="22"/>
              </w:rPr>
            </w:pPr>
            <w:r w:rsidRPr="00536A8F">
              <w:rPr>
                <w:b/>
                <w:szCs w:val="22"/>
              </w:rPr>
              <w:t>Percentage Contribution from Exposure Pathways</w:t>
            </w:r>
          </w:p>
        </w:tc>
      </w:tr>
      <w:tr w:rsidR="00BD4D54" w:rsidRPr="00536A8F" w:rsidTr="00EC6328">
        <w:trPr>
          <w:trHeight w:val="427"/>
        </w:trPr>
        <w:tc>
          <w:tcPr>
            <w:tcW w:w="1639" w:type="dxa"/>
            <w:vMerge/>
            <w:shd w:val="clear" w:color="auto" w:fill="C6D9F1" w:themeFill="text2" w:themeFillTint="33"/>
          </w:tcPr>
          <w:p w:rsidR="00BD4D54" w:rsidRPr="00536A8F" w:rsidRDefault="00BD4D54" w:rsidP="00EC6328">
            <w:pPr>
              <w:spacing w:after="40"/>
              <w:rPr>
                <w:szCs w:val="22"/>
              </w:rPr>
            </w:pPr>
          </w:p>
        </w:tc>
        <w:tc>
          <w:tcPr>
            <w:tcW w:w="1287" w:type="dxa"/>
            <w:vMerge/>
            <w:shd w:val="clear" w:color="auto" w:fill="C6D9F1" w:themeFill="text2" w:themeFillTint="33"/>
          </w:tcPr>
          <w:p w:rsidR="00BD4D54" w:rsidRPr="00536A8F" w:rsidRDefault="00BD4D54" w:rsidP="00EC6328">
            <w:pPr>
              <w:spacing w:after="40"/>
              <w:jc w:val="center"/>
              <w:rPr>
                <w:szCs w:val="22"/>
              </w:rPr>
            </w:pPr>
          </w:p>
        </w:tc>
        <w:tc>
          <w:tcPr>
            <w:tcW w:w="1445" w:type="dxa"/>
            <w:shd w:val="clear" w:color="auto" w:fill="C6D9F1" w:themeFill="text2" w:themeFillTint="33"/>
          </w:tcPr>
          <w:p w:rsidR="00BD4D54" w:rsidRPr="00536A8F" w:rsidRDefault="00BD4D54" w:rsidP="00EC6328">
            <w:pPr>
              <w:spacing w:after="40"/>
              <w:jc w:val="center"/>
              <w:rPr>
                <w:b/>
                <w:szCs w:val="22"/>
              </w:rPr>
            </w:pPr>
            <w:r w:rsidRPr="00536A8F">
              <w:rPr>
                <w:b/>
                <w:szCs w:val="22"/>
              </w:rPr>
              <w:t>Ingestion of Soil/Dust</w:t>
            </w:r>
          </w:p>
        </w:tc>
        <w:tc>
          <w:tcPr>
            <w:tcW w:w="1517" w:type="dxa"/>
            <w:shd w:val="clear" w:color="auto" w:fill="C6D9F1" w:themeFill="text2" w:themeFillTint="33"/>
          </w:tcPr>
          <w:p w:rsidR="00BD4D54" w:rsidRPr="00536A8F" w:rsidRDefault="00BD4D54" w:rsidP="00EC6328">
            <w:pPr>
              <w:spacing w:after="40"/>
              <w:jc w:val="center"/>
              <w:rPr>
                <w:b/>
                <w:szCs w:val="22"/>
              </w:rPr>
            </w:pPr>
            <w:r w:rsidRPr="00536A8F">
              <w:rPr>
                <w:b/>
                <w:szCs w:val="22"/>
              </w:rPr>
              <w:t>Ingestion of Home-grown Produce</w:t>
            </w:r>
          </w:p>
        </w:tc>
        <w:tc>
          <w:tcPr>
            <w:tcW w:w="1553" w:type="dxa"/>
            <w:shd w:val="clear" w:color="auto" w:fill="C6D9F1" w:themeFill="text2" w:themeFillTint="33"/>
          </w:tcPr>
          <w:p w:rsidR="00BD4D54" w:rsidRPr="00536A8F" w:rsidRDefault="00BD4D54" w:rsidP="00EC6328">
            <w:pPr>
              <w:spacing w:after="40"/>
              <w:jc w:val="center"/>
              <w:rPr>
                <w:b/>
                <w:szCs w:val="22"/>
              </w:rPr>
            </w:pPr>
            <w:r w:rsidRPr="00536A8F">
              <w:rPr>
                <w:b/>
                <w:szCs w:val="22"/>
              </w:rPr>
              <w:t>Dermal Absorption of Soil/Dust</w:t>
            </w:r>
          </w:p>
        </w:tc>
        <w:tc>
          <w:tcPr>
            <w:tcW w:w="1392" w:type="dxa"/>
            <w:shd w:val="clear" w:color="auto" w:fill="C6D9F1" w:themeFill="text2" w:themeFillTint="33"/>
          </w:tcPr>
          <w:p w:rsidR="00BD4D54" w:rsidRPr="00536A8F" w:rsidRDefault="00BD4D54" w:rsidP="00EC6328">
            <w:pPr>
              <w:spacing w:after="40"/>
              <w:jc w:val="center"/>
              <w:rPr>
                <w:b/>
                <w:szCs w:val="22"/>
              </w:rPr>
            </w:pPr>
            <w:r w:rsidRPr="00536A8F">
              <w:rPr>
                <w:b/>
                <w:szCs w:val="22"/>
              </w:rPr>
              <w:t>Inhalation (dust)</w:t>
            </w:r>
          </w:p>
        </w:tc>
      </w:tr>
      <w:tr w:rsidR="00BD4D54" w:rsidRPr="00536A8F" w:rsidTr="00EC6328">
        <w:tc>
          <w:tcPr>
            <w:tcW w:w="1639" w:type="dxa"/>
          </w:tcPr>
          <w:p w:rsidR="00BD4D54" w:rsidRPr="00536A8F" w:rsidRDefault="00BD4D54" w:rsidP="00EC6328">
            <w:pPr>
              <w:spacing w:after="40"/>
              <w:rPr>
                <w:szCs w:val="22"/>
              </w:rPr>
            </w:pPr>
            <w:r w:rsidRPr="00536A8F">
              <w:rPr>
                <w:szCs w:val="22"/>
              </w:rPr>
              <w:t>Residential A</w:t>
            </w:r>
          </w:p>
        </w:tc>
        <w:tc>
          <w:tcPr>
            <w:tcW w:w="1287" w:type="dxa"/>
          </w:tcPr>
          <w:p w:rsidR="00BD4D54" w:rsidRPr="00536A8F" w:rsidRDefault="00BD4D54" w:rsidP="00EC6328">
            <w:pPr>
              <w:spacing w:after="40"/>
              <w:jc w:val="center"/>
              <w:rPr>
                <w:szCs w:val="22"/>
              </w:rPr>
            </w:pPr>
            <w:r w:rsidRPr="00536A8F">
              <w:rPr>
                <w:szCs w:val="22"/>
              </w:rPr>
              <w:t>6</w:t>
            </w:r>
          </w:p>
        </w:tc>
        <w:tc>
          <w:tcPr>
            <w:tcW w:w="1445" w:type="dxa"/>
          </w:tcPr>
          <w:p w:rsidR="00BD4D54" w:rsidRPr="00536A8F" w:rsidRDefault="00BD4D54" w:rsidP="00EC6328">
            <w:pPr>
              <w:spacing w:after="40"/>
              <w:jc w:val="center"/>
              <w:rPr>
                <w:szCs w:val="22"/>
              </w:rPr>
            </w:pPr>
            <w:r w:rsidRPr="00536A8F">
              <w:rPr>
                <w:szCs w:val="22"/>
              </w:rPr>
              <w:t>43</w:t>
            </w:r>
          </w:p>
        </w:tc>
        <w:tc>
          <w:tcPr>
            <w:tcW w:w="1517" w:type="dxa"/>
          </w:tcPr>
          <w:p w:rsidR="00BD4D54" w:rsidRPr="00536A8F" w:rsidRDefault="00BD4D54" w:rsidP="00EC6328">
            <w:pPr>
              <w:spacing w:after="40"/>
              <w:jc w:val="center"/>
              <w:rPr>
                <w:szCs w:val="22"/>
              </w:rPr>
            </w:pPr>
            <w:r w:rsidRPr="00536A8F">
              <w:rPr>
                <w:szCs w:val="22"/>
              </w:rPr>
              <w:t>--</w:t>
            </w:r>
          </w:p>
        </w:tc>
        <w:tc>
          <w:tcPr>
            <w:tcW w:w="1553" w:type="dxa"/>
          </w:tcPr>
          <w:p w:rsidR="00BD4D54" w:rsidRPr="00536A8F" w:rsidRDefault="00BD4D54" w:rsidP="00EC6328">
            <w:pPr>
              <w:spacing w:after="40"/>
              <w:jc w:val="center"/>
              <w:rPr>
                <w:szCs w:val="22"/>
              </w:rPr>
            </w:pPr>
            <w:r w:rsidRPr="00536A8F">
              <w:rPr>
                <w:szCs w:val="22"/>
              </w:rPr>
              <w:t>57</w:t>
            </w:r>
          </w:p>
        </w:tc>
        <w:tc>
          <w:tcPr>
            <w:tcW w:w="1392" w:type="dxa"/>
          </w:tcPr>
          <w:p w:rsidR="00BD4D54" w:rsidRPr="00536A8F" w:rsidRDefault="00BD4D54" w:rsidP="00EC6328">
            <w:pPr>
              <w:spacing w:after="40"/>
              <w:jc w:val="center"/>
              <w:rPr>
                <w:szCs w:val="22"/>
              </w:rPr>
            </w:pPr>
            <w:r w:rsidRPr="00536A8F">
              <w:rPr>
                <w:szCs w:val="22"/>
              </w:rPr>
              <w:t>&lt;1</w:t>
            </w:r>
          </w:p>
        </w:tc>
      </w:tr>
      <w:tr w:rsidR="00BD4D54" w:rsidRPr="00536A8F" w:rsidTr="00EC6328">
        <w:tc>
          <w:tcPr>
            <w:tcW w:w="1639" w:type="dxa"/>
          </w:tcPr>
          <w:p w:rsidR="00BD4D54" w:rsidRPr="00536A8F" w:rsidRDefault="00BD4D54" w:rsidP="00EC6328">
            <w:pPr>
              <w:spacing w:after="40"/>
              <w:rPr>
                <w:szCs w:val="22"/>
              </w:rPr>
            </w:pPr>
            <w:r w:rsidRPr="00536A8F">
              <w:rPr>
                <w:szCs w:val="22"/>
              </w:rPr>
              <w:t>Residential B</w:t>
            </w:r>
          </w:p>
        </w:tc>
        <w:tc>
          <w:tcPr>
            <w:tcW w:w="1287" w:type="dxa"/>
          </w:tcPr>
          <w:p w:rsidR="00BD4D54" w:rsidRPr="00536A8F" w:rsidRDefault="00BD4D54" w:rsidP="00EC6328">
            <w:pPr>
              <w:spacing w:after="40"/>
              <w:jc w:val="center"/>
              <w:rPr>
                <w:szCs w:val="22"/>
              </w:rPr>
            </w:pPr>
            <w:r w:rsidRPr="00536A8F">
              <w:rPr>
                <w:szCs w:val="22"/>
              </w:rPr>
              <w:t>10</w:t>
            </w:r>
          </w:p>
        </w:tc>
        <w:tc>
          <w:tcPr>
            <w:tcW w:w="1445" w:type="dxa"/>
          </w:tcPr>
          <w:p w:rsidR="00BD4D54" w:rsidRPr="00536A8F" w:rsidRDefault="00BD4D54" w:rsidP="00EC6328">
            <w:pPr>
              <w:spacing w:after="40"/>
              <w:jc w:val="center"/>
              <w:rPr>
                <w:szCs w:val="22"/>
              </w:rPr>
            </w:pPr>
            <w:r w:rsidRPr="00536A8F">
              <w:rPr>
                <w:szCs w:val="22"/>
              </w:rPr>
              <w:t>16</w:t>
            </w:r>
          </w:p>
        </w:tc>
        <w:tc>
          <w:tcPr>
            <w:tcW w:w="1517" w:type="dxa"/>
          </w:tcPr>
          <w:p w:rsidR="00BD4D54" w:rsidRPr="00536A8F" w:rsidRDefault="00BD4D54" w:rsidP="00EC6328">
            <w:pPr>
              <w:spacing w:after="40"/>
              <w:jc w:val="center"/>
              <w:rPr>
                <w:szCs w:val="22"/>
              </w:rPr>
            </w:pPr>
            <w:r w:rsidRPr="00536A8F">
              <w:rPr>
                <w:szCs w:val="22"/>
              </w:rPr>
              <w:t>--</w:t>
            </w:r>
          </w:p>
        </w:tc>
        <w:tc>
          <w:tcPr>
            <w:tcW w:w="1553" w:type="dxa"/>
          </w:tcPr>
          <w:p w:rsidR="00BD4D54" w:rsidRPr="00536A8F" w:rsidRDefault="00BD4D54" w:rsidP="00EC6328">
            <w:pPr>
              <w:spacing w:after="40"/>
              <w:jc w:val="center"/>
              <w:rPr>
                <w:szCs w:val="22"/>
              </w:rPr>
            </w:pPr>
            <w:r w:rsidRPr="00536A8F">
              <w:rPr>
                <w:szCs w:val="22"/>
              </w:rPr>
              <w:t>84</w:t>
            </w:r>
          </w:p>
        </w:tc>
        <w:tc>
          <w:tcPr>
            <w:tcW w:w="1392" w:type="dxa"/>
          </w:tcPr>
          <w:p w:rsidR="00BD4D54" w:rsidRPr="00536A8F" w:rsidRDefault="00BD4D54" w:rsidP="00EC6328">
            <w:pPr>
              <w:spacing w:after="40"/>
              <w:jc w:val="center"/>
              <w:rPr>
                <w:szCs w:val="22"/>
              </w:rPr>
            </w:pPr>
            <w:r w:rsidRPr="00536A8F">
              <w:rPr>
                <w:szCs w:val="22"/>
              </w:rPr>
              <w:t>&lt;1</w:t>
            </w:r>
          </w:p>
        </w:tc>
      </w:tr>
      <w:tr w:rsidR="00BD4D54" w:rsidRPr="00536A8F" w:rsidTr="00EC6328">
        <w:tc>
          <w:tcPr>
            <w:tcW w:w="1639" w:type="dxa"/>
          </w:tcPr>
          <w:p w:rsidR="00BD4D54" w:rsidRPr="00536A8F" w:rsidRDefault="00BD4D54" w:rsidP="00EC6328">
            <w:pPr>
              <w:spacing w:after="40"/>
              <w:rPr>
                <w:szCs w:val="22"/>
              </w:rPr>
            </w:pPr>
            <w:r w:rsidRPr="00536A8F">
              <w:rPr>
                <w:szCs w:val="22"/>
              </w:rPr>
              <w:t>Recreational C</w:t>
            </w:r>
          </w:p>
        </w:tc>
        <w:tc>
          <w:tcPr>
            <w:tcW w:w="1287" w:type="dxa"/>
          </w:tcPr>
          <w:p w:rsidR="00BD4D54" w:rsidRPr="00536A8F" w:rsidRDefault="00BD4D54" w:rsidP="00EC6328">
            <w:pPr>
              <w:spacing w:after="40"/>
              <w:jc w:val="center"/>
              <w:rPr>
                <w:szCs w:val="22"/>
              </w:rPr>
            </w:pPr>
            <w:r w:rsidRPr="00536A8F">
              <w:rPr>
                <w:szCs w:val="22"/>
              </w:rPr>
              <w:t>10</w:t>
            </w:r>
          </w:p>
        </w:tc>
        <w:tc>
          <w:tcPr>
            <w:tcW w:w="1445" w:type="dxa"/>
          </w:tcPr>
          <w:p w:rsidR="00BD4D54" w:rsidRPr="00536A8F" w:rsidRDefault="00BD4D54" w:rsidP="00EC6328">
            <w:pPr>
              <w:spacing w:after="40"/>
              <w:jc w:val="center"/>
              <w:rPr>
                <w:szCs w:val="22"/>
              </w:rPr>
            </w:pPr>
            <w:r w:rsidRPr="00536A8F">
              <w:rPr>
                <w:szCs w:val="22"/>
              </w:rPr>
              <w:t>27</w:t>
            </w:r>
          </w:p>
        </w:tc>
        <w:tc>
          <w:tcPr>
            <w:tcW w:w="1517" w:type="dxa"/>
          </w:tcPr>
          <w:p w:rsidR="00BD4D54" w:rsidRPr="00536A8F" w:rsidRDefault="00BD4D54" w:rsidP="00EC6328">
            <w:pPr>
              <w:spacing w:after="40"/>
              <w:jc w:val="center"/>
              <w:rPr>
                <w:szCs w:val="22"/>
              </w:rPr>
            </w:pPr>
            <w:r w:rsidRPr="00536A8F">
              <w:rPr>
                <w:szCs w:val="22"/>
              </w:rPr>
              <w:t>--</w:t>
            </w:r>
          </w:p>
        </w:tc>
        <w:tc>
          <w:tcPr>
            <w:tcW w:w="1553" w:type="dxa"/>
          </w:tcPr>
          <w:p w:rsidR="00BD4D54" w:rsidRPr="00536A8F" w:rsidRDefault="00BD4D54" w:rsidP="00EC6328">
            <w:pPr>
              <w:spacing w:after="40"/>
              <w:jc w:val="center"/>
              <w:rPr>
                <w:szCs w:val="22"/>
              </w:rPr>
            </w:pPr>
            <w:r w:rsidRPr="00536A8F">
              <w:rPr>
                <w:szCs w:val="22"/>
              </w:rPr>
              <w:t>73</w:t>
            </w:r>
          </w:p>
        </w:tc>
        <w:tc>
          <w:tcPr>
            <w:tcW w:w="1392" w:type="dxa"/>
          </w:tcPr>
          <w:p w:rsidR="00BD4D54" w:rsidRPr="00536A8F" w:rsidRDefault="00BD4D54" w:rsidP="00EC6328">
            <w:pPr>
              <w:spacing w:after="40"/>
              <w:jc w:val="center"/>
              <w:rPr>
                <w:szCs w:val="22"/>
              </w:rPr>
            </w:pPr>
            <w:r w:rsidRPr="00536A8F">
              <w:rPr>
                <w:szCs w:val="22"/>
              </w:rPr>
              <w:t>&lt;1</w:t>
            </w:r>
          </w:p>
        </w:tc>
      </w:tr>
      <w:tr w:rsidR="00BD4D54" w:rsidRPr="00536A8F" w:rsidTr="00EC6328">
        <w:tc>
          <w:tcPr>
            <w:tcW w:w="1639" w:type="dxa"/>
          </w:tcPr>
          <w:p w:rsidR="00BD4D54" w:rsidRPr="00536A8F" w:rsidRDefault="00BD4D54" w:rsidP="00EC6328">
            <w:pPr>
              <w:spacing w:after="40"/>
              <w:rPr>
                <w:szCs w:val="22"/>
              </w:rPr>
            </w:pPr>
            <w:r w:rsidRPr="00536A8F">
              <w:rPr>
                <w:szCs w:val="22"/>
              </w:rPr>
              <w:t>Commercial D</w:t>
            </w:r>
          </w:p>
        </w:tc>
        <w:tc>
          <w:tcPr>
            <w:tcW w:w="1287" w:type="dxa"/>
          </w:tcPr>
          <w:p w:rsidR="00BD4D54" w:rsidRPr="00536A8F" w:rsidRDefault="00BD4D54" w:rsidP="00EC6328">
            <w:pPr>
              <w:spacing w:after="40"/>
              <w:jc w:val="center"/>
              <w:rPr>
                <w:szCs w:val="22"/>
              </w:rPr>
            </w:pPr>
            <w:r w:rsidRPr="00536A8F">
              <w:rPr>
                <w:szCs w:val="22"/>
              </w:rPr>
              <w:t>45</w:t>
            </w:r>
          </w:p>
        </w:tc>
        <w:tc>
          <w:tcPr>
            <w:tcW w:w="1445" w:type="dxa"/>
          </w:tcPr>
          <w:p w:rsidR="00BD4D54" w:rsidRPr="00536A8F" w:rsidRDefault="00BD4D54" w:rsidP="00EC6328">
            <w:pPr>
              <w:spacing w:after="40"/>
              <w:jc w:val="center"/>
              <w:rPr>
                <w:szCs w:val="22"/>
              </w:rPr>
            </w:pPr>
            <w:r w:rsidRPr="00536A8F">
              <w:rPr>
                <w:szCs w:val="22"/>
              </w:rPr>
              <w:t>12</w:t>
            </w:r>
          </w:p>
        </w:tc>
        <w:tc>
          <w:tcPr>
            <w:tcW w:w="1517" w:type="dxa"/>
          </w:tcPr>
          <w:p w:rsidR="00BD4D54" w:rsidRPr="00536A8F" w:rsidRDefault="00BD4D54" w:rsidP="00EC6328">
            <w:pPr>
              <w:spacing w:after="40"/>
              <w:jc w:val="center"/>
              <w:rPr>
                <w:szCs w:val="22"/>
              </w:rPr>
            </w:pPr>
            <w:r w:rsidRPr="00536A8F">
              <w:rPr>
                <w:szCs w:val="22"/>
              </w:rPr>
              <w:t>--</w:t>
            </w:r>
          </w:p>
        </w:tc>
        <w:tc>
          <w:tcPr>
            <w:tcW w:w="1553" w:type="dxa"/>
          </w:tcPr>
          <w:p w:rsidR="00BD4D54" w:rsidRPr="00536A8F" w:rsidRDefault="00BD4D54" w:rsidP="00EC6328">
            <w:pPr>
              <w:spacing w:after="40"/>
              <w:jc w:val="center"/>
              <w:rPr>
                <w:szCs w:val="22"/>
              </w:rPr>
            </w:pPr>
            <w:r w:rsidRPr="00536A8F">
              <w:rPr>
                <w:szCs w:val="22"/>
              </w:rPr>
              <w:t>88</w:t>
            </w:r>
          </w:p>
        </w:tc>
        <w:tc>
          <w:tcPr>
            <w:tcW w:w="1392" w:type="dxa"/>
          </w:tcPr>
          <w:p w:rsidR="00BD4D54" w:rsidRPr="00536A8F" w:rsidRDefault="00BD4D54" w:rsidP="00EC6328">
            <w:pPr>
              <w:spacing w:after="40"/>
              <w:jc w:val="center"/>
              <w:rPr>
                <w:szCs w:val="22"/>
              </w:rPr>
            </w:pPr>
            <w:r w:rsidRPr="00536A8F">
              <w:rPr>
                <w:szCs w:val="22"/>
              </w:rPr>
              <w:t>&lt;1</w:t>
            </w:r>
          </w:p>
        </w:tc>
      </w:tr>
    </w:tbl>
    <w:p w:rsidR="00BD4D54" w:rsidRPr="00536A8F" w:rsidRDefault="00BD4D54" w:rsidP="00BD4D54">
      <w:pPr>
        <w:spacing w:after="40"/>
        <w:rPr>
          <w:sz w:val="18"/>
          <w:szCs w:val="18"/>
        </w:rPr>
      </w:pPr>
      <w:r w:rsidRPr="00536A8F">
        <w:rPr>
          <w:sz w:val="18"/>
          <w:szCs w:val="18"/>
        </w:rPr>
        <w:t>-- Pathway not included in derivation of HIL</w:t>
      </w:r>
    </w:p>
    <w:p w:rsidR="00BD4D54" w:rsidRDefault="00BD4D54" w:rsidP="00BD4D54"/>
    <w:p w:rsidR="00BD4D54" w:rsidRDefault="00BD4D54" w:rsidP="00BD4D54">
      <w:pPr>
        <w:pStyle w:val="Heading2"/>
        <w:tabs>
          <w:tab w:val="clear" w:pos="1209"/>
        </w:tabs>
      </w:pPr>
      <w:bookmarkStart w:id="30" w:name="_Toc351714119"/>
      <w:r>
        <w:t>References</w:t>
      </w:r>
      <w:bookmarkEnd w:id="30"/>
    </w:p>
    <w:p w:rsidR="00BD4D54" w:rsidRPr="00536A8F" w:rsidRDefault="00BD4D54" w:rsidP="00BD4D54">
      <w:pPr>
        <w:pStyle w:val="StyletextLeft0cmHanging1cm"/>
      </w:pPr>
      <w:r w:rsidRPr="00536A8F">
        <w:t xml:space="preserve">ATSDR 2002, </w:t>
      </w:r>
      <w:r w:rsidRPr="00536A8F">
        <w:rPr>
          <w:i/>
        </w:rPr>
        <w:t>Toxicological Profile for Aldrin/Dieldrin</w:t>
      </w:r>
      <w:r w:rsidRPr="00536A8F">
        <w:t xml:space="preserve"> US Department of Health and Human Services, ATSDR, September 2002, available from </w:t>
      </w:r>
      <w:hyperlink r:id="rId24" w:history="1">
        <w:r w:rsidRPr="00536A8F">
          <w:rPr>
            <w:rStyle w:val="Hyperlink"/>
            <w:rFonts w:cs="Arial"/>
            <w:szCs w:val="22"/>
          </w:rPr>
          <w:t>http://www.atsdr.cdc.gov/ToxProfiles/tp.asp?id=317&amp;tid=56</w:t>
        </w:r>
      </w:hyperlink>
      <w:r w:rsidRPr="00536A8F">
        <w:t>.</w:t>
      </w:r>
    </w:p>
    <w:p w:rsidR="00BD4D54" w:rsidRPr="00536A8F" w:rsidRDefault="00BD4D54" w:rsidP="00BD4D54">
      <w:pPr>
        <w:pStyle w:val="StyletextLeft0cmHanging1cm"/>
        <w:rPr>
          <w:i/>
        </w:rPr>
      </w:pPr>
      <w:r w:rsidRPr="00536A8F">
        <w:t xml:space="preserve">Di Marco, P 1993, ‘The Assessment and Management of Organochlorine Termiticides’, presented in the proceedings of the </w:t>
      </w:r>
      <w:r w:rsidRPr="00536A8F">
        <w:rPr>
          <w:i/>
        </w:rPr>
        <w:t>Second National Workshop on the Health Risk Assessment and Management of Contaminated Sites, Contaminated Sites Monograph Series, No. 2.</w:t>
      </w:r>
    </w:p>
    <w:p w:rsidR="00BD4D54" w:rsidRPr="00536A8F" w:rsidRDefault="00BD4D54" w:rsidP="00BD4D54">
      <w:pPr>
        <w:pStyle w:val="StyletextLeft0cmHanging1cm"/>
      </w:pPr>
      <w:r w:rsidRPr="00536A8F">
        <w:t xml:space="preserve">Feldmann, RJ &amp; Maibach, HI 1974, ‘Percutaneous penetration of some pesticides and herbicides in man’, </w:t>
      </w:r>
      <w:r w:rsidRPr="00536A8F">
        <w:rPr>
          <w:i/>
        </w:rPr>
        <w:t>Toxicol. Appl. Pharmacol,</w:t>
      </w:r>
      <w:r w:rsidRPr="00536A8F">
        <w:t xml:space="preserve"> vol. 28, pp. 126</w:t>
      </w:r>
      <w:r w:rsidRPr="00536A8F">
        <w:sym w:font="Symbol" w:char="F02D"/>
      </w:r>
      <w:r w:rsidRPr="00536A8F">
        <w:t>132.</w:t>
      </w:r>
    </w:p>
    <w:p w:rsidR="00BD4D54" w:rsidRPr="00536A8F" w:rsidRDefault="00BD4D54" w:rsidP="00BD4D54">
      <w:pPr>
        <w:pStyle w:val="StyletextLeft0cmHanging1cm"/>
      </w:pPr>
      <w:r w:rsidRPr="00536A8F">
        <w:t xml:space="preserve">Fitzhugh, OG &amp; Nelson, AA 1963, Unpublished data from the US Food and Drug Administration, as cited in JMPR, 1967. </w:t>
      </w:r>
    </w:p>
    <w:p w:rsidR="00BD4D54" w:rsidRPr="00536A8F" w:rsidRDefault="00BD4D54" w:rsidP="00BD4D54">
      <w:pPr>
        <w:pStyle w:val="StyletextLeft0cmHanging1cm"/>
      </w:pPr>
      <w:r w:rsidRPr="00536A8F">
        <w:t xml:space="preserve">Fitzhugh, OG, Nelson, AA &amp; Quaife, ML 1964, ‘Chronic oral toxicity of </w:t>
      </w:r>
      <w:r w:rsidRPr="00536A8F">
        <w:rPr>
          <w:rStyle w:val="Strong"/>
          <w:szCs w:val="22"/>
        </w:rPr>
        <w:t>aldrin</w:t>
      </w:r>
      <w:r w:rsidRPr="00536A8F">
        <w:t xml:space="preserve"> and dieldrin in rats and dogs’, </w:t>
      </w:r>
      <w:r w:rsidRPr="00536A8F">
        <w:rPr>
          <w:i/>
        </w:rPr>
        <w:t>Food Cosmet Toxicol,</w:t>
      </w:r>
      <w:r w:rsidRPr="00536A8F">
        <w:t xml:space="preserve"> vol. 2, pp. 551</w:t>
      </w:r>
      <w:r w:rsidRPr="00536A8F">
        <w:sym w:font="Symbol" w:char="F02D"/>
      </w:r>
      <w:r w:rsidRPr="00536A8F">
        <w:t>562.</w:t>
      </w:r>
    </w:p>
    <w:p w:rsidR="00BD4D54" w:rsidRPr="00536A8F" w:rsidRDefault="00BD4D54" w:rsidP="00BD4D54">
      <w:pPr>
        <w:pStyle w:val="StyletextLeft0cmHanging1cm"/>
      </w:pPr>
      <w:r w:rsidRPr="00536A8F">
        <w:t xml:space="preserve">FSANZ 2003, </w:t>
      </w:r>
      <w:r w:rsidRPr="00536A8F">
        <w:rPr>
          <w:i/>
        </w:rPr>
        <w:t>The 20</w:t>
      </w:r>
      <w:r w:rsidRPr="00536A8F">
        <w:rPr>
          <w:i/>
          <w:vertAlign w:val="superscript"/>
        </w:rPr>
        <w:t>th</w:t>
      </w:r>
      <w:r w:rsidRPr="00536A8F">
        <w:rPr>
          <w:i/>
        </w:rPr>
        <w:t xml:space="preserve"> Australian Total Diet Survey</w:t>
      </w:r>
      <w:r w:rsidRPr="00536A8F">
        <w:t>, A total diet survey of pesticide residues and contaminants, Food Standards Australia and New Zealand.</w:t>
      </w:r>
    </w:p>
    <w:p w:rsidR="00BD4D54" w:rsidRPr="00536A8F" w:rsidRDefault="00BD4D54" w:rsidP="00BD4D54">
      <w:pPr>
        <w:pStyle w:val="StyletextLeft0cmHanging1cm"/>
        <w:rPr>
          <w:lang w:eastAsia="en-US"/>
        </w:rPr>
      </w:pPr>
      <w:r w:rsidRPr="00536A8F">
        <w:rPr>
          <w:lang w:eastAsia="en-US"/>
        </w:rPr>
        <w:t xml:space="preserve">FSANZ 2011, </w:t>
      </w:r>
      <w:r w:rsidRPr="00536A8F">
        <w:rPr>
          <w:i/>
          <w:lang w:eastAsia="en-US"/>
        </w:rPr>
        <w:t>The 23</w:t>
      </w:r>
      <w:r w:rsidRPr="00536A8F">
        <w:rPr>
          <w:i/>
          <w:vertAlign w:val="superscript"/>
          <w:lang w:eastAsia="en-US"/>
        </w:rPr>
        <w:t>rd</w:t>
      </w:r>
      <w:r w:rsidRPr="00536A8F">
        <w:rPr>
          <w:i/>
          <w:lang w:eastAsia="en-US"/>
        </w:rPr>
        <w:t xml:space="preserve"> Australian Total Diet Study</w:t>
      </w:r>
      <w:r w:rsidRPr="00536A8F">
        <w:rPr>
          <w:lang w:eastAsia="en-US"/>
        </w:rPr>
        <w:t>, Food Standards Australia and New Zealand.</w:t>
      </w:r>
    </w:p>
    <w:p w:rsidR="00BD4D54" w:rsidRPr="00536A8F" w:rsidRDefault="00BD4D54" w:rsidP="00BD4D54">
      <w:pPr>
        <w:pStyle w:val="StyletextLeft0cmHanging1cm"/>
      </w:pPr>
      <w:r w:rsidRPr="00536A8F">
        <w:t xml:space="preserve">IARC 1991, </w:t>
      </w:r>
      <w:r w:rsidRPr="00536A8F">
        <w:rPr>
          <w:i/>
        </w:rPr>
        <w:t>Summaries &amp; Evaluations. DDT and Associated Compounds</w:t>
      </w:r>
      <w:r w:rsidRPr="00536A8F">
        <w:t>, vol. 53, (1991), p.179, International Agency for Research on Cancer.</w:t>
      </w:r>
    </w:p>
    <w:p w:rsidR="00BD4D54" w:rsidRPr="00536A8F" w:rsidRDefault="00BD4D54" w:rsidP="00BD4D54">
      <w:pPr>
        <w:pStyle w:val="StyletextLeft0cmHanging1cm"/>
      </w:pPr>
      <w:r w:rsidRPr="00536A8F">
        <w:t xml:space="preserve">NEPC 1999, </w:t>
      </w:r>
      <w:r w:rsidRPr="00536A8F">
        <w:rPr>
          <w:i/>
        </w:rPr>
        <w:t>Schedule B (7a), Guideline on Health-Based Investigation Levels, National Environment Protection (Assessment of Site Contamination) Measure</w:t>
      </w:r>
      <w:r w:rsidRPr="00536A8F">
        <w:t>, National Environment Protection Council, Australia.</w:t>
      </w:r>
    </w:p>
    <w:p w:rsidR="00BD4D54" w:rsidRPr="00536A8F" w:rsidRDefault="00BD4D54" w:rsidP="00BD4D54">
      <w:pPr>
        <w:pStyle w:val="StyletextLeft0cmHanging1cm"/>
        <w:rPr>
          <w:noProof/>
        </w:rPr>
      </w:pPr>
      <w:r w:rsidRPr="00536A8F">
        <w:t xml:space="preserve">NHMRC 2011, </w:t>
      </w:r>
      <w:r w:rsidRPr="00536A8F">
        <w:rPr>
          <w:i/>
          <w:iCs/>
        </w:rPr>
        <w:t>National water quality management strategy. Australian drinking water guidelines</w:t>
      </w:r>
      <w:r w:rsidRPr="00536A8F">
        <w:t>, National Health and Medical Research Council, Australia</w:t>
      </w:r>
      <w:r w:rsidRPr="00536A8F">
        <w:rPr>
          <w:noProof/>
        </w:rPr>
        <w:t>.</w:t>
      </w:r>
    </w:p>
    <w:p w:rsidR="00BD4D54" w:rsidRPr="00536A8F" w:rsidRDefault="00BD4D54" w:rsidP="00BD4D54">
      <w:pPr>
        <w:pStyle w:val="StyletextLeft0cmHanging1cm"/>
        <w:rPr>
          <w:noProof/>
        </w:rPr>
      </w:pPr>
      <w:r w:rsidRPr="00536A8F">
        <w:rPr>
          <w:noProof/>
        </w:rPr>
        <w:t xml:space="preserve">OCS 2012, </w:t>
      </w:r>
      <w:r w:rsidRPr="00536A8F">
        <w:rPr>
          <w:i/>
          <w:noProof/>
        </w:rPr>
        <w:t>ADI List, Acceptable Daily Intakes for Agricultural and Veterinary Chemicals</w:t>
      </w:r>
      <w:r w:rsidRPr="00536A8F">
        <w:rPr>
          <w:noProof/>
        </w:rPr>
        <w:t xml:space="preserve">, current to 31 March 2012, Australian Government, Department of Health and Ageing, Office of Chemical Safety (OCS), available from: </w:t>
      </w:r>
      <w:r w:rsidRPr="00536A8F">
        <w:t>http://www.health.gov.au/internet/main/publishing.nsf/content/E8F4D2F95D616584CA2573D700770C2A/$File/ADI-apr12.pdf.</w:t>
      </w:r>
    </w:p>
    <w:p w:rsidR="00BD4D54" w:rsidRPr="00536A8F" w:rsidRDefault="00BD4D54" w:rsidP="00BD4D54">
      <w:pPr>
        <w:pStyle w:val="StyletextLeft0cmHanging1cm"/>
        <w:rPr>
          <w:lang w:eastAsia="en-US"/>
        </w:rPr>
      </w:pPr>
      <w:r w:rsidRPr="00536A8F">
        <w:rPr>
          <w:lang w:eastAsia="en-US"/>
        </w:rPr>
        <w:lastRenderedPageBreak/>
        <w:t xml:space="preserve">RIVM 2001. </w:t>
      </w:r>
      <w:r w:rsidRPr="00536A8F">
        <w:rPr>
          <w:i/>
          <w:lang w:eastAsia="en-US"/>
        </w:rPr>
        <w:t>Re-evaluation of human-toxicological Maximum Permissible Risk levels</w:t>
      </w:r>
      <w:r w:rsidRPr="00536A8F">
        <w:rPr>
          <w:lang w:eastAsia="en-US"/>
        </w:rPr>
        <w:t xml:space="preserve">, National Institute of Public Health and the Environment, Bilthoven, Netherlands,, available from: </w:t>
      </w:r>
      <w:hyperlink r:id="rId25" w:history="1">
        <w:r w:rsidRPr="00536A8F">
          <w:rPr>
            <w:rStyle w:val="Hyperlink"/>
            <w:rFonts w:cs="Arial"/>
            <w:szCs w:val="22"/>
            <w:lang w:eastAsia="en-US"/>
          </w:rPr>
          <w:t>http://www.rivm.nl/bibliotheek/rapporten/711701025.html</w:t>
        </w:r>
      </w:hyperlink>
      <w:r w:rsidRPr="00536A8F">
        <w:rPr>
          <w:lang w:eastAsia="en-US"/>
        </w:rPr>
        <w:t>.</w:t>
      </w:r>
    </w:p>
    <w:p w:rsidR="00BD4D54" w:rsidRPr="00536A8F" w:rsidRDefault="00BD4D54" w:rsidP="00BD4D54">
      <w:pPr>
        <w:pStyle w:val="StyletextLeft0cmHanging1cm"/>
      </w:pPr>
      <w:r w:rsidRPr="00536A8F">
        <w:t xml:space="preserve">Ryan, EA,  Hawkins, ET </w:t>
      </w:r>
      <w:r w:rsidRPr="00536A8F">
        <w:rPr>
          <w:rStyle w:val="italics1"/>
          <w:rFonts w:cs="Arial"/>
          <w:szCs w:val="22"/>
        </w:rPr>
        <w:t>et al</w:t>
      </w:r>
      <w:r w:rsidRPr="00536A8F">
        <w:t xml:space="preserve">. 1987, ‘Assessing Risk from Dermal Exposure at Hazardous Waste Sites’, in Bennett, G &amp; Bennett, J, (eds), </w:t>
      </w:r>
      <w:r w:rsidRPr="00536A8F">
        <w:rPr>
          <w:i/>
        </w:rPr>
        <w:t>Superfund '87: Proceedings of the Eighth National Conference</w:t>
      </w:r>
      <w:r w:rsidRPr="00536A8F">
        <w:t>, November 16-18, pp. 166</w:t>
      </w:r>
      <w:r w:rsidRPr="00536A8F">
        <w:sym w:font="Symbol" w:char="F02D"/>
      </w:r>
      <w:r w:rsidRPr="00536A8F">
        <w:t>168, The Hazardous Materials Control Research Institute, Washington, DC.</w:t>
      </w:r>
    </w:p>
    <w:p w:rsidR="00BD4D54" w:rsidRPr="00536A8F" w:rsidRDefault="00BD4D54" w:rsidP="00BD4D54">
      <w:pPr>
        <w:pStyle w:val="StyletextLeft0cmHanging1cm"/>
      </w:pPr>
      <w:r w:rsidRPr="00536A8F">
        <w:t xml:space="preserve">Stevenson, DE, Walborg, .F, North, DW, Sielken Jr, RL, Ross, CE, Wright, AS, Xu, Y, Kamendulis, LM &amp; Klaunig, JE 1999, ‘Monograph: Reassessment of human cancer risk of aldrin/dieldrin’, </w:t>
      </w:r>
      <w:r w:rsidRPr="00536A8F">
        <w:rPr>
          <w:i/>
        </w:rPr>
        <w:t>Toxicology Letter,</w:t>
      </w:r>
      <w:r w:rsidRPr="00536A8F">
        <w:t xml:space="preserve"> vol. 109, Issues 3, October 1999, pp. 123</w:t>
      </w:r>
      <w:r w:rsidRPr="00536A8F">
        <w:sym w:font="Symbol" w:char="F02D"/>
      </w:r>
      <w:r w:rsidRPr="00536A8F">
        <w:t>186.</w:t>
      </w:r>
    </w:p>
    <w:p w:rsidR="00BD4D54" w:rsidRPr="00536A8F" w:rsidRDefault="00BD4D54" w:rsidP="00BD4D54">
      <w:pPr>
        <w:pStyle w:val="StyletextLeft0cmHanging1cm"/>
      </w:pPr>
      <w:r w:rsidRPr="00536A8F">
        <w:t xml:space="preserve">US EPA (IRIS 2012), Data and information available from the </w:t>
      </w:r>
      <w:r w:rsidRPr="00536A8F">
        <w:rPr>
          <w:i/>
        </w:rPr>
        <w:t>Integrated Risk Information System</w:t>
      </w:r>
      <w:r w:rsidRPr="00536A8F">
        <w:t xml:space="preserve">, an online database, available from </w:t>
      </w:r>
      <w:hyperlink r:id="rId26" w:history="1">
        <w:r w:rsidRPr="00536A8F">
          <w:rPr>
            <w:rStyle w:val="Hyperlink"/>
            <w:szCs w:val="22"/>
          </w:rPr>
          <w:t>http://www.epa.gov/iris/</w:t>
        </w:r>
      </w:hyperlink>
      <w:r w:rsidRPr="00536A8F">
        <w:t>.</w:t>
      </w:r>
    </w:p>
    <w:p w:rsidR="00BD4D54" w:rsidRPr="00536A8F" w:rsidRDefault="00BD4D54" w:rsidP="00BD4D54">
      <w:pPr>
        <w:pStyle w:val="StyletextLeft0cmHanging1cm"/>
      </w:pPr>
      <w:r w:rsidRPr="00536A8F">
        <w:t xml:space="preserve">US EPA 1995, </w:t>
      </w:r>
      <w:r w:rsidRPr="00536A8F">
        <w:rPr>
          <w:i/>
        </w:rPr>
        <w:t>Technical Guidance Manual, Assessing Dermal Exposure from Soil</w:t>
      </w:r>
      <w:r w:rsidRPr="00536A8F">
        <w:t xml:space="preserve">, US EPA Region 3, available from: </w:t>
      </w:r>
      <w:hyperlink r:id="rId27" w:history="1">
        <w:r w:rsidRPr="00536A8F">
          <w:rPr>
            <w:rStyle w:val="Hyperlink"/>
            <w:szCs w:val="22"/>
          </w:rPr>
          <w:t>http://www.epa.gov/reg3hwmd/risk/human/info/solabsg2.htm</w:t>
        </w:r>
      </w:hyperlink>
      <w:r w:rsidRPr="00536A8F">
        <w:t>.</w:t>
      </w:r>
    </w:p>
    <w:p w:rsidR="00BD4D54" w:rsidRPr="00536A8F" w:rsidRDefault="00BD4D54" w:rsidP="00BD4D54">
      <w:pPr>
        <w:pStyle w:val="StyletextLeft0cmHanging1cm"/>
      </w:pPr>
      <w:r w:rsidRPr="00536A8F">
        <w:t xml:space="preserve">WHO 1989, </w:t>
      </w:r>
      <w:r w:rsidRPr="00536A8F">
        <w:rPr>
          <w:i/>
        </w:rPr>
        <w:t>Aldrin and dieldrin. Environmental Health Criteria 91</w:t>
      </w:r>
      <w:r w:rsidRPr="00536A8F">
        <w:t>, International Programme on Chemical Safety, World Health Organization Geneva.</w:t>
      </w:r>
    </w:p>
    <w:p w:rsidR="00BD4D54" w:rsidRPr="00536A8F" w:rsidRDefault="00BD4D54" w:rsidP="00BD4D54">
      <w:pPr>
        <w:pStyle w:val="StyletextLeft0cmHanging1cm"/>
      </w:pPr>
      <w:r w:rsidRPr="00536A8F">
        <w:t xml:space="preserve">WHO 2011, </w:t>
      </w:r>
      <w:r w:rsidRPr="00536A8F">
        <w:rPr>
          <w:i/>
        </w:rPr>
        <w:t>Guidelines for drinking-water quality, 4</w:t>
      </w:r>
      <w:r w:rsidRPr="00536A8F">
        <w:rPr>
          <w:i/>
          <w:vertAlign w:val="superscript"/>
        </w:rPr>
        <w:t>th</w:t>
      </w:r>
      <w:r w:rsidRPr="00536A8F">
        <w:rPr>
          <w:i/>
        </w:rPr>
        <w:t xml:space="preserve"> edn</w:t>
      </w:r>
      <w:r w:rsidRPr="00536A8F">
        <w:t>, World Health Organization, Geneva</w:t>
      </w:r>
      <w:r>
        <w:t>,</w:t>
      </w:r>
      <w:r w:rsidRPr="00536A8F">
        <w:t xml:space="preserve"> available from </w:t>
      </w:r>
      <w:hyperlink r:id="rId28" w:history="1">
        <w:r w:rsidRPr="00536A8F">
          <w:rPr>
            <w:rStyle w:val="Hyperlink"/>
            <w:szCs w:val="22"/>
          </w:rPr>
          <w:t>http://www.who.int/water_sanitation_health/dwq/chemicals/en/index.html</w:t>
        </w:r>
      </w:hyperlink>
      <w:r w:rsidRPr="00536A8F">
        <w:t>.</w:t>
      </w:r>
    </w:p>
    <w:p w:rsidR="00BD4D54" w:rsidRDefault="00BD4D54" w:rsidP="00BD4D54">
      <w:pPr>
        <w:pStyle w:val="Heading1"/>
        <w:tabs>
          <w:tab w:val="clear" w:pos="1209"/>
          <w:tab w:val="num" w:pos="720"/>
        </w:tabs>
      </w:pPr>
      <w:bookmarkStart w:id="31" w:name="_Toc351714120"/>
      <w:r>
        <w:lastRenderedPageBreak/>
        <w:t>Chlordane (total)</w:t>
      </w:r>
      <w:bookmarkEnd w:id="31"/>
    </w:p>
    <w:p w:rsidR="00BD4D54" w:rsidRDefault="00BD4D54" w:rsidP="00BD4D54">
      <w:pPr>
        <w:pStyle w:val="Heading2"/>
        <w:tabs>
          <w:tab w:val="clear" w:pos="1209"/>
        </w:tabs>
      </w:pPr>
      <w:bookmarkStart w:id="32" w:name="_Toc351714121"/>
      <w:r>
        <w:t>General</w:t>
      </w:r>
      <w:bookmarkEnd w:id="32"/>
    </w:p>
    <w:p w:rsidR="00BD4D54" w:rsidRDefault="00BD4D54" w:rsidP="00BD4D54">
      <w:r>
        <w:t>Several comprehensive reviews of chlordane in the environment and its toxicity to humans are available and should be consulted for more detailed information not presented in this summary (ATSDR 1994). The following provides a summary of the key aspects of chlordane that are relevant to the derivation of a soil HIL.</w:t>
      </w:r>
    </w:p>
    <w:p w:rsidR="00B0287F" w:rsidRDefault="00B0287F" w:rsidP="00BD4D54"/>
    <w:p w:rsidR="00BD4D54" w:rsidRDefault="00BD4D54" w:rsidP="00BD4D54">
      <w:r w:rsidRPr="001B2CF5">
        <w:t>Chlordane is a manufactured chemical that does not occur naturally in the environment. It</w:t>
      </w:r>
      <w:r>
        <w:t xml:space="preserve"> </w:t>
      </w:r>
      <w:r w:rsidRPr="001B2CF5">
        <w:t>is a thick liquid, and the colour ranges from colourless to amber depending on its purity.</w:t>
      </w:r>
      <w:r>
        <w:t xml:space="preserve"> </w:t>
      </w:r>
      <w:r w:rsidRPr="001B2CF5">
        <w:t>Chlordane does not dissolve in water but can be produced as an emulsion enabling it to</w:t>
      </w:r>
      <w:r>
        <w:t xml:space="preserve"> be sprayed (ATSDR 1994)</w:t>
      </w:r>
      <w:r w:rsidRPr="001B2CF5">
        <w:t>.</w:t>
      </w:r>
      <w:r>
        <w:t xml:space="preserve"> </w:t>
      </w:r>
      <w:r w:rsidRPr="001B2CF5">
        <w:t>Sixty to eighty</w:t>
      </w:r>
      <w:r>
        <w:t>-</w:t>
      </w:r>
      <w:r w:rsidRPr="001B2CF5">
        <w:t>five percent of chlordane consists of the stereo</w:t>
      </w:r>
      <w:r>
        <w:t>-</w:t>
      </w:r>
      <w:r w:rsidRPr="001B2CF5">
        <w:t xml:space="preserve">isomers </w:t>
      </w:r>
      <w:r w:rsidRPr="001B2CF5">
        <w:rPr>
          <w:i/>
          <w:iCs/>
        </w:rPr>
        <w:t xml:space="preserve">cis- </w:t>
      </w:r>
      <w:r w:rsidRPr="001B2CF5">
        <w:t xml:space="preserve">and </w:t>
      </w:r>
      <w:r w:rsidRPr="001B2CF5">
        <w:rPr>
          <w:i/>
          <w:iCs/>
        </w:rPr>
        <w:t>trans</w:t>
      </w:r>
      <w:r>
        <w:rPr>
          <w:i/>
          <w:iCs/>
        </w:rPr>
        <w:t>-</w:t>
      </w:r>
      <w:r w:rsidRPr="001B2CF5">
        <w:t>chlordane</w:t>
      </w:r>
      <w:r>
        <w:t xml:space="preserve">, </w:t>
      </w:r>
      <w:r w:rsidRPr="001B2CF5">
        <w:t>with the remainder comprising a number of impurities</w:t>
      </w:r>
      <w:r>
        <w:t xml:space="preserve"> (ATSDR 1994)</w:t>
      </w:r>
      <w:r w:rsidRPr="001B2CF5">
        <w:t>.</w:t>
      </w:r>
    </w:p>
    <w:p w:rsidR="00B0287F" w:rsidRPr="001B2CF5" w:rsidRDefault="00B0287F" w:rsidP="00BD4D54"/>
    <w:p w:rsidR="00BD4D54" w:rsidRPr="001B2CF5" w:rsidRDefault="00BD4D54" w:rsidP="00BD4D54">
      <w:r w:rsidRPr="001B2CF5">
        <w:t xml:space="preserve">Chlordane is a manufactured chemical that was used as a broad-spectrum insecticide in the United </w:t>
      </w:r>
      <w:r>
        <w:t>States between 1948 and 1988 (ATSDR 1994)</w:t>
      </w:r>
      <w:r w:rsidRPr="001B2CF5">
        <w:t>. In Australia, it was used to protect wooden structures</w:t>
      </w:r>
      <w:r>
        <w:t xml:space="preserve"> </w:t>
      </w:r>
      <w:r w:rsidRPr="001B2CF5">
        <w:t>against termites</w:t>
      </w:r>
      <w:r>
        <w:t xml:space="preserve"> </w:t>
      </w:r>
      <w:r w:rsidRPr="001B2CF5">
        <w:t>until June 1995</w:t>
      </w:r>
      <w:r>
        <w:t xml:space="preserve"> (NHMRC 2011)</w:t>
      </w:r>
      <w:r w:rsidRPr="001B2CF5">
        <w:t>. Some of its trade names are Octachlor and Velsicol 1068.</w:t>
      </w:r>
    </w:p>
    <w:p w:rsidR="00BD4D54" w:rsidRDefault="00BD4D54" w:rsidP="00BD4D54">
      <w:pPr>
        <w:pStyle w:val="Heading2"/>
        <w:tabs>
          <w:tab w:val="clear" w:pos="1209"/>
        </w:tabs>
      </w:pPr>
      <w:bookmarkStart w:id="33" w:name="_Toc351714122"/>
      <w:r>
        <w:t>Previous HIL</w:t>
      </w:r>
      <w:bookmarkEnd w:id="33"/>
    </w:p>
    <w:p w:rsidR="00BD4D54" w:rsidRDefault="00BD4D54" w:rsidP="00BD4D54">
      <w:r>
        <w:t>The derivation of the previous HIL (HIL A = 50 mg/kg) for chlordane is presented by Di Marco (1993) and NEPC (1999). In summary, the HIL was derived on the basis of the following:</w:t>
      </w:r>
    </w:p>
    <w:p w:rsidR="00BD4D54" w:rsidRDefault="00BD4D54" w:rsidP="00BD4D54">
      <w:pPr>
        <w:pStyle w:val="Dot-points"/>
        <w:tabs>
          <w:tab w:val="clear" w:pos="926"/>
          <w:tab w:val="num" w:pos="360"/>
        </w:tabs>
      </w:pPr>
      <w:r>
        <w:t>Background intakes were considered in the derivation of the current HIL with the intakes from food, water and ambient air considered to comprise 40% of the adopted ADI.</w:t>
      </w:r>
    </w:p>
    <w:p w:rsidR="00BD4D54" w:rsidRDefault="00BD4D54" w:rsidP="00BD4D54">
      <w:pPr>
        <w:pStyle w:val="Dot-points"/>
        <w:tabs>
          <w:tab w:val="clear" w:pos="926"/>
          <w:tab w:val="num" w:pos="360"/>
        </w:tabs>
      </w:pPr>
      <w:r>
        <w:t>An ADI of 0.0005 mg/kg/day, referenced from the JMPR, was considered. An additional factor of 3 was used because of the uncertainties associated with the bioavailability estimates adopted and exposure levels in the future.</w:t>
      </w:r>
    </w:p>
    <w:p w:rsidR="00BD4D54" w:rsidRDefault="00BD4D54" w:rsidP="00BD4D54">
      <w:pPr>
        <w:pStyle w:val="Dot-points"/>
        <w:tabs>
          <w:tab w:val="clear" w:pos="926"/>
          <w:tab w:val="num" w:pos="360"/>
        </w:tabs>
      </w:pPr>
      <w:r>
        <w:t>Dermal absorption of organochlorine pesticides was considered to be 5%.</w:t>
      </w:r>
    </w:p>
    <w:p w:rsidR="00BD4D54" w:rsidRDefault="00BD4D54" w:rsidP="00BD4D54">
      <w:pPr>
        <w:pStyle w:val="Dot-points"/>
        <w:tabs>
          <w:tab w:val="clear" w:pos="926"/>
          <w:tab w:val="num" w:pos="360"/>
        </w:tabs>
      </w:pPr>
      <w:r>
        <w:t>Oral bioavailability of organochlorine pesticides was considered to be 10%.</w:t>
      </w:r>
    </w:p>
    <w:p w:rsidR="00BD4D54" w:rsidRDefault="00BD4D54" w:rsidP="00BD4D54">
      <w:pPr>
        <w:pStyle w:val="Dot-points"/>
        <w:tabs>
          <w:tab w:val="clear" w:pos="926"/>
          <w:tab w:val="num" w:pos="360"/>
        </w:tabs>
      </w:pPr>
      <w:r>
        <w:t>Based on intakes derived from soil (ingestion, dermal absorption and dust inhalation), an HIL of 50 mg/kg was calculated.</w:t>
      </w:r>
    </w:p>
    <w:p w:rsidR="00BD4D54" w:rsidRDefault="00BD4D54" w:rsidP="00BD4D54">
      <w:pPr>
        <w:pStyle w:val="Heading2"/>
        <w:tabs>
          <w:tab w:val="clear" w:pos="1209"/>
        </w:tabs>
      </w:pPr>
      <w:bookmarkStart w:id="34" w:name="_Toc351714123"/>
      <w:r>
        <w:t>Significance of Exposure Pathways</w:t>
      </w:r>
      <w:bookmarkEnd w:id="34"/>
    </w:p>
    <w:p w:rsidR="00BD4D54" w:rsidRPr="00E00A6A" w:rsidRDefault="00BD4D54" w:rsidP="00BD4D54">
      <w:pPr>
        <w:pStyle w:val="Heading3"/>
      </w:pPr>
      <w:bookmarkStart w:id="35" w:name="_Toc351714124"/>
      <w:r>
        <w:t xml:space="preserve">Oral </w:t>
      </w:r>
      <w:r w:rsidRPr="00E00A6A">
        <w:t>Bioavailability</w:t>
      </w:r>
      <w:bookmarkEnd w:id="35"/>
    </w:p>
    <w:p w:rsidR="00BD4D54" w:rsidRDefault="00BD4D54" w:rsidP="00BD4D54">
      <w:r>
        <w:t>Insufficient data is available to adequately define the bioavailability of chlordane in the range of contaminated sites that may need to be considered in Australia. On this basis, a default approach of assuming 100% oral bioavailability has been adopted in the derivation of an HIL. It is noted that a site-specific assessment of bioavailability can be undertaken where required.</w:t>
      </w:r>
    </w:p>
    <w:p w:rsidR="00BD4D54" w:rsidRPr="002D7B71" w:rsidRDefault="00BD4D54" w:rsidP="00BD4D54">
      <w:pPr>
        <w:pStyle w:val="Heading3"/>
      </w:pPr>
      <w:bookmarkStart w:id="36" w:name="_Toc351714125"/>
      <w:r w:rsidRPr="002D7B71">
        <w:t>Dermal absorption</w:t>
      </w:r>
      <w:bookmarkEnd w:id="36"/>
    </w:p>
    <w:p w:rsidR="00BD4D54" w:rsidRDefault="00BD4D54" w:rsidP="00BD4D54">
      <w:r>
        <w:t>US EPA (2004) has identified a dermal absorption fraction of 0.04 (4%), based on a study by Wester et al. (1992) for chlordane in soil. No additional data is available to suggest more significant dermal absorption values are relevant for chlordane.</w:t>
      </w:r>
    </w:p>
    <w:p w:rsidR="00BD4D54" w:rsidRPr="009338FB" w:rsidRDefault="00BD4D54" w:rsidP="00BD4D54">
      <w:pPr>
        <w:pStyle w:val="Heading3"/>
      </w:pPr>
      <w:bookmarkStart w:id="37" w:name="_Toc351714126"/>
      <w:r w:rsidRPr="009338FB">
        <w:t>Inhalation of Dust</w:t>
      </w:r>
      <w:bookmarkEnd w:id="37"/>
    </w:p>
    <w:p w:rsidR="00BD4D54" w:rsidRDefault="00BD4D54" w:rsidP="00BD4D54">
      <w:r>
        <w:t>Chlordane is not considered sufficiently volatile to be of significance and inhalation exposures associated with particulates outdoors and indoors are expected to be of less significance than ingestion of soil. While likely to be negligible, potential inhalation exposures associated with dust have been considered in the HIL derived.</w:t>
      </w:r>
    </w:p>
    <w:p w:rsidR="00BD4D54" w:rsidRPr="009338FB" w:rsidRDefault="00BD4D54" w:rsidP="00BD4D54">
      <w:pPr>
        <w:pStyle w:val="Heading3"/>
      </w:pPr>
      <w:bookmarkStart w:id="38" w:name="_Toc351714127"/>
      <w:r w:rsidRPr="009338FB">
        <w:lastRenderedPageBreak/>
        <w:t>Plant Uptake</w:t>
      </w:r>
      <w:bookmarkEnd w:id="38"/>
    </w:p>
    <w:p w:rsidR="00BD4D54" w:rsidRDefault="00BD4D54" w:rsidP="00BD4D54">
      <w:r>
        <w:t>Chlordane has the potential to bioconcentrate in terrestrial ecosystems. However, there are few studies available on the potential for plant uptake. Chlordane has a high Koc value (log Koc = 3.49</w:t>
      </w:r>
      <w:r>
        <w:sym w:font="Symbol" w:char="F02D"/>
      </w:r>
      <w:r>
        <w:t>6.3, ATSDR 1994) suggesting that the compound is largely bound to soil particulates and immobile in soil. In addition, chlordane has a low solubility in water. For plant uptake to be significant, the chemicals must be able to partition to soil water. Information available from EFSA (2007) notes that chlordane is considered a non-systemic (not taken up by the plant) insecticide. Hence, with respect to chlordane bound to the soil, this is considered to be insignificant and negligible.</w:t>
      </w:r>
    </w:p>
    <w:p w:rsidR="00BD4D54" w:rsidRPr="0089652E" w:rsidRDefault="00BD4D54" w:rsidP="00BD4D54">
      <w:pPr>
        <w:pStyle w:val="Heading3"/>
      </w:pPr>
      <w:bookmarkStart w:id="39" w:name="_Toc351714128"/>
      <w:r w:rsidRPr="0089652E">
        <w:t xml:space="preserve">Intakes from Other Sources </w:t>
      </w:r>
      <w:r>
        <w:t>–</w:t>
      </w:r>
      <w:r w:rsidRPr="0089652E">
        <w:t xml:space="preserve"> Background</w:t>
      </w:r>
      <w:bookmarkEnd w:id="39"/>
    </w:p>
    <w:p w:rsidR="00BD4D54" w:rsidRDefault="00BD4D54" w:rsidP="00BD4D54">
      <w:r>
        <w:t xml:space="preserve">The review presented by Di Marco (1993) in the derivation of the previous HIL included a review of intakes (using available Australian data) that may be derived from water, air (including homes where termiticide treatment had occurred), soil and food. It is noted that use of chlordane was phased out in all states/territories except the Northern Territory in 1995. In 1997, chlordane was allowed to be used in the Northern Territory until stocks of the product were exhausted. Chlordane is now banned in Australia and hence background intakes estimated by Di Marco (1993) associated with product use are no longer relevant. </w:t>
      </w:r>
    </w:p>
    <w:p w:rsidR="00B0287F" w:rsidRDefault="00B0287F" w:rsidP="00BD4D54"/>
    <w:p w:rsidR="00BD4D54" w:rsidRDefault="00BD4D54" w:rsidP="00BD4D54">
      <w:r w:rsidRPr="007A6BCB">
        <w:t>Background intakes of chlordane (where the product is not used) range from 0.1 ng/kg/day for adults to 0.46 ng/kg/day for children (where food intakes were most significant)</w:t>
      </w:r>
      <w:r>
        <w:t xml:space="preserve">. </w:t>
      </w:r>
      <w:r w:rsidRPr="007A6BCB">
        <w:t xml:space="preserve">Food Standards Australia </w:t>
      </w:r>
      <w:r>
        <w:t xml:space="preserve">and </w:t>
      </w:r>
      <w:r w:rsidRPr="007A6BCB">
        <w:t>New Zealand</w:t>
      </w:r>
      <w:r>
        <w:t xml:space="preserve"> has not detected chlordane in any sample in the 19</w:t>
      </w:r>
      <w:r w:rsidRPr="005D4B18">
        <w:rPr>
          <w:vertAlign w:val="superscript"/>
        </w:rPr>
        <w:t>th</w:t>
      </w:r>
      <w:r>
        <w:t>, 20</w:t>
      </w:r>
      <w:r w:rsidRPr="005D4B18">
        <w:rPr>
          <w:vertAlign w:val="superscript"/>
        </w:rPr>
        <w:t>th</w:t>
      </w:r>
      <w:r>
        <w:t xml:space="preserve"> or 23</w:t>
      </w:r>
      <w:r w:rsidRPr="00684B59">
        <w:rPr>
          <w:vertAlign w:val="superscript"/>
        </w:rPr>
        <w:t>rd</w:t>
      </w:r>
      <w:r>
        <w:t xml:space="preserve"> food surveys (FSANZ 2003; FSANZ 2011). Hence, background intakes would be expected to be negligible. Assuming a negligible background intake is considered appropriate, based on current information. </w:t>
      </w:r>
    </w:p>
    <w:p w:rsidR="00BD4D54" w:rsidRDefault="00BD4D54" w:rsidP="00BD4D54">
      <w:pPr>
        <w:pStyle w:val="Heading2"/>
        <w:tabs>
          <w:tab w:val="clear" w:pos="1209"/>
        </w:tabs>
      </w:pPr>
      <w:bookmarkStart w:id="40" w:name="_Toc351714129"/>
      <w:r>
        <w:t>Identification of Toxicity Reference Values</w:t>
      </w:r>
      <w:bookmarkEnd w:id="40"/>
    </w:p>
    <w:p w:rsidR="00BD4D54" w:rsidRPr="00983A79" w:rsidRDefault="00BD4D54" w:rsidP="00BD4D54">
      <w:pPr>
        <w:pStyle w:val="Heading3"/>
      </w:pPr>
      <w:bookmarkStart w:id="41" w:name="_Toc351714130"/>
      <w:r w:rsidRPr="00983A79">
        <w:t>Classification</w:t>
      </w:r>
      <w:bookmarkEnd w:id="41"/>
    </w:p>
    <w:p w:rsidR="00BD4D54" w:rsidRDefault="00BD4D54" w:rsidP="00BD4D54">
      <w:r w:rsidRPr="00C259C1">
        <w:t>The International Agency for Research on Cancer (IARC</w:t>
      </w:r>
      <w:r>
        <w:t xml:space="preserve"> 2001</w:t>
      </w:r>
      <w:r w:rsidRPr="00C259C1">
        <w:t xml:space="preserve">) </w:t>
      </w:r>
      <w:r>
        <w:t xml:space="preserve">has classified </w:t>
      </w:r>
      <w:r w:rsidRPr="001B2CF5">
        <w:t xml:space="preserve">chlordane </w:t>
      </w:r>
      <w:r>
        <w:t>as</w:t>
      </w:r>
      <w:r w:rsidRPr="001B2CF5">
        <w:t xml:space="preserve"> Group 2B</w:t>
      </w:r>
      <w:r>
        <w:t>—</w:t>
      </w:r>
      <w:r w:rsidRPr="001B2CF5">
        <w:t>possibly carcinogenic to humans</w:t>
      </w:r>
      <w:r>
        <w:t xml:space="preserve">. </w:t>
      </w:r>
    </w:p>
    <w:p w:rsidR="00B0287F" w:rsidRDefault="00B0287F" w:rsidP="00BD4D54"/>
    <w:p w:rsidR="00BD4D54" w:rsidRDefault="00BD4D54" w:rsidP="00BD4D54">
      <w:r w:rsidRPr="001B2CF5">
        <w:t xml:space="preserve">It is also noted that </w:t>
      </w:r>
      <w:r>
        <w:t>US EPA</w:t>
      </w:r>
      <w:r w:rsidRPr="001B2CF5">
        <w:t xml:space="preserve"> has classified chlordane as B2</w:t>
      </w:r>
      <w:r>
        <w:t>—</w:t>
      </w:r>
      <w:r w:rsidRPr="001B2CF5">
        <w:t>probable human carcinogen (last reviewed in 1998)</w:t>
      </w:r>
      <w:r>
        <w:t xml:space="preserve">. </w:t>
      </w:r>
    </w:p>
    <w:p w:rsidR="00BD4D54" w:rsidRPr="00907E92" w:rsidRDefault="00BD4D54" w:rsidP="00BD4D54">
      <w:pPr>
        <w:pStyle w:val="Heading3"/>
      </w:pPr>
      <w:bookmarkStart w:id="42" w:name="_Toc351714131"/>
      <w:r w:rsidRPr="00907E92">
        <w:t>Review of Available Values</w:t>
      </w:r>
      <w:r>
        <w:t>/Information</w:t>
      </w:r>
      <w:bookmarkEnd w:id="42"/>
    </w:p>
    <w:p w:rsidR="00BD4D54" w:rsidRDefault="00BD4D54" w:rsidP="00BD4D54">
      <w:r>
        <w:t xml:space="preserve">As chlordane has been banned from use in a number of countries, there are few recent studies/reviews available. Review of chlordane by the European Food Safety Committee (EFSA 2007) provided a review of long-term toxicity studies, carcinogenicity and genotoxicity for chlordane. Long-term oral studies with the nervous system and liver were shown to be the most significant target organs. Data on genotoxicity is limited and conflicting, however overall chlordane was not </w:t>
      </w:r>
      <w:r w:rsidRPr="00756146">
        <w:t xml:space="preserve">mutagenic </w:t>
      </w:r>
      <w:r w:rsidRPr="001E2D59">
        <w:t>in vivo</w:t>
      </w:r>
      <w:r w:rsidRPr="00756146">
        <w:t xml:space="preserve"> and not or only weakly mutagenic in a few tests </w:t>
      </w:r>
      <w:r w:rsidRPr="001E2D59">
        <w:t>in vitro</w:t>
      </w:r>
      <w:r w:rsidRPr="00756146">
        <w:t xml:space="preserve">. On the basis of </w:t>
      </w:r>
      <w:r>
        <w:t xml:space="preserve">the </w:t>
      </w:r>
      <w:r w:rsidRPr="00756146">
        <w:t>weight of evidence, chlordan</w:t>
      </w:r>
      <w:r>
        <w:t xml:space="preserve">e is not considered to be genotoxic. Chlordane causes liver tumours in mice via a non-genotoxic mechanism and is classified by IARC as </w:t>
      </w:r>
      <w:r w:rsidRPr="001E2D59">
        <w:t>possibly carcinogenic to humans</w:t>
      </w:r>
      <w:r>
        <w:t>.</w:t>
      </w:r>
    </w:p>
    <w:p w:rsidR="00B0287F" w:rsidRDefault="00B0287F" w:rsidP="00BD4D54"/>
    <w:p w:rsidR="00BD4D54" w:rsidRDefault="00BD4D54" w:rsidP="00BD4D54">
      <w:r>
        <w:t>On the basis of the available information, it is considered appropriate that a threshold dose</w:t>
      </w:r>
      <w:r>
        <w:sym w:font="Symbol" w:char="F02D"/>
      </w:r>
      <w:r>
        <w:t>response approach be adopted for chlordane. The following are available from Level 1 Australian and International sources:</w:t>
      </w:r>
    </w:p>
    <w:p w:rsidR="00BD4D54" w:rsidRDefault="00BD4D54" w:rsidP="00BD4D54"/>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3"/>
        <w:gridCol w:w="2231"/>
        <w:gridCol w:w="5543"/>
      </w:tblGrid>
      <w:tr w:rsidR="00BD4D54" w:rsidRPr="00536A8F" w:rsidTr="00EC6328">
        <w:trPr>
          <w:tblHeader/>
        </w:trPr>
        <w:tc>
          <w:tcPr>
            <w:tcW w:w="1384" w:type="dxa"/>
            <w:shd w:val="clear" w:color="auto" w:fill="C6D9F1" w:themeFill="text2" w:themeFillTint="33"/>
          </w:tcPr>
          <w:p w:rsidR="00BD4D54" w:rsidRPr="00536A8F" w:rsidRDefault="00BD4D54" w:rsidP="00EC6328">
            <w:pPr>
              <w:spacing w:before="20"/>
              <w:jc w:val="center"/>
              <w:rPr>
                <w:b/>
                <w:szCs w:val="22"/>
              </w:rPr>
            </w:pPr>
            <w:r w:rsidRPr="00536A8F">
              <w:rPr>
                <w:b/>
                <w:szCs w:val="22"/>
              </w:rPr>
              <w:t>Source</w:t>
            </w:r>
          </w:p>
        </w:tc>
        <w:tc>
          <w:tcPr>
            <w:tcW w:w="2410" w:type="dxa"/>
            <w:shd w:val="clear" w:color="auto" w:fill="C6D9F1" w:themeFill="text2" w:themeFillTint="33"/>
          </w:tcPr>
          <w:p w:rsidR="00BD4D54" w:rsidRPr="00536A8F" w:rsidRDefault="00BD4D54" w:rsidP="00EC6328">
            <w:pPr>
              <w:spacing w:before="20"/>
              <w:jc w:val="center"/>
              <w:rPr>
                <w:b/>
                <w:szCs w:val="22"/>
              </w:rPr>
            </w:pPr>
            <w:r w:rsidRPr="00536A8F">
              <w:rPr>
                <w:b/>
                <w:szCs w:val="22"/>
              </w:rPr>
              <w:t>Value</w:t>
            </w:r>
          </w:p>
        </w:tc>
        <w:tc>
          <w:tcPr>
            <w:tcW w:w="6169" w:type="dxa"/>
            <w:shd w:val="clear" w:color="auto" w:fill="C6D9F1" w:themeFill="text2" w:themeFillTint="33"/>
          </w:tcPr>
          <w:p w:rsidR="00BD4D54" w:rsidRPr="00536A8F" w:rsidRDefault="00BD4D54" w:rsidP="00EC6328">
            <w:pPr>
              <w:spacing w:before="20"/>
              <w:jc w:val="center"/>
              <w:rPr>
                <w:b/>
                <w:szCs w:val="22"/>
              </w:rPr>
            </w:pPr>
            <w:r w:rsidRPr="00536A8F">
              <w:rPr>
                <w:b/>
                <w:szCs w:val="22"/>
              </w:rPr>
              <w:t>Basis/Comments</w:t>
            </w:r>
          </w:p>
        </w:tc>
      </w:tr>
      <w:tr w:rsidR="00BD4D54" w:rsidRPr="00536A8F" w:rsidTr="00EC6328">
        <w:tc>
          <w:tcPr>
            <w:tcW w:w="9963" w:type="dxa"/>
            <w:gridSpan w:val="3"/>
          </w:tcPr>
          <w:p w:rsidR="00BD4D54" w:rsidRPr="00536A8F" w:rsidRDefault="00BD4D54" w:rsidP="00EC6328">
            <w:pPr>
              <w:spacing w:before="20"/>
              <w:jc w:val="center"/>
              <w:rPr>
                <w:b/>
                <w:szCs w:val="22"/>
              </w:rPr>
            </w:pPr>
            <w:r w:rsidRPr="00536A8F">
              <w:rPr>
                <w:b/>
                <w:szCs w:val="22"/>
              </w:rPr>
              <w:t>Australian</w:t>
            </w:r>
          </w:p>
        </w:tc>
      </w:tr>
      <w:tr w:rsidR="00BD4D54" w:rsidRPr="00536A8F" w:rsidTr="00EC6328">
        <w:tc>
          <w:tcPr>
            <w:tcW w:w="1384" w:type="dxa"/>
          </w:tcPr>
          <w:p w:rsidR="00BD4D54" w:rsidRPr="00536A8F" w:rsidRDefault="00BD4D54" w:rsidP="00EC6328">
            <w:pPr>
              <w:spacing w:before="20"/>
              <w:rPr>
                <w:szCs w:val="22"/>
              </w:rPr>
            </w:pPr>
            <w:r w:rsidRPr="00536A8F">
              <w:rPr>
                <w:szCs w:val="22"/>
              </w:rPr>
              <w:t>ADWG (NHMRC 2011)</w:t>
            </w:r>
          </w:p>
        </w:tc>
        <w:tc>
          <w:tcPr>
            <w:tcW w:w="2410" w:type="dxa"/>
          </w:tcPr>
          <w:p w:rsidR="00BD4D54" w:rsidRPr="00536A8F" w:rsidRDefault="00BD4D54" w:rsidP="00EC6328">
            <w:pPr>
              <w:spacing w:before="20"/>
              <w:rPr>
                <w:szCs w:val="22"/>
              </w:rPr>
            </w:pPr>
            <w:r w:rsidRPr="00536A8F">
              <w:rPr>
                <w:szCs w:val="22"/>
              </w:rPr>
              <w:t>ADI = 0.00045 mg/kg/day</w:t>
            </w:r>
          </w:p>
        </w:tc>
        <w:tc>
          <w:tcPr>
            <w:tcW w:w="6169" w:type="dxa"/>
          </w:tcPr>
          <w:p w:rsidR="00BD4D54" w:rsidRPr="00536A8F" w:rsidRDefault="00BD4D54" w:rsidP="00EC6328">
            <w:pPr>
              <w:spacing w:before="20"/>
              <w:rPr>
                <w:szCs w:val="22"/>
              </w:rPr>
            </w:pPr>
            <w:r w:rsidRPr="00536A8F">
              <w:rPr>
                <w:szCs w:val="22"/>
              </w:rPr>
              <w:t xml:space="preserve">Current ADWG (NHMRC 2011) of 0.001 mg/L based on 10% intake from drinking water, a NOEL of 0.045 mg/kg/day based on a long-term (30 week) dietary study in rats, and a 100-fold uncertainty factor. This is consistent with the PTDI used in the current WHO DWG, as well as </w:t>
            </w:r>
            <w:r w:rsidRPr="00536A8F">
              <w:rPr>
                <w:szCs w:val="22"/>
              </w:rPr>
              <w:lastRenderedPageBreak/>
              <w:t>OCS (2012).</w:t>
            </w:r>
          </w:p>
        </w:tc>
      </w:tr>
      <w:tr w:rsidR="00BD4D54" w:rsidRPr="00536A8F" w:rsidTr="00EC6328">
        <w:tc>
          <w:tcPr>
            <w:tcW w:w="1384" w:type="dxa"/>
          </w:tcPr>
          <w:p w:rsidR="00BD4D54" w:rsidRPr="00536A8F" w:rsidRDefault="00BD4D54" w:rsidP="00EC6328">
            <w:pPr>
              <w:spacing w:before="20"/>
              <w:rPr>
                <w:szCs w:val="22"/>
              </w:rPr>
            </w:pPr>
            <w:r w:rsidRPr="00536A8F">
              <w:rPr>
                <w:szCs w:val="22"/>
              </w:rPr>
              <w:lastRenderedPageBreak/>
              <w:t>OCS (2012)</w:t>
            </w:r>
          </w:p>
        </w:tc>
        <w:tc>
          <w:tcPr>
            <w:tcW w:w="2410" w:type="dxa"/>
          </w:tcPr>
          <w:p w:rsidR="00BD4D54" w:rsidRPr="00536A8F" w:rsidRDefault="00BD4D54" w:rsidP="00EC6328">
            <w:pPr>
              <w:spacing w:before="20"/>
              <w:rPr>
                <w:szCs w:val="22"/>
              </w:rPr>
            </w:pPr>
            <w:r w:rsidRPr="00536A8F">
              <w:rPr>
                <w:szCs w:val="22"/>
              </w:rPr>
              <w:t>TDI = 0.0005 mg/kg/day</w:t>
            </w:r>
          </w:p>
        </w:tc>
        <w:tc>
          <w:tcPr>
            <w:tcW w:w="6169" w:type="dxa"/>
          </w:tcPr>
          <w:p w:rsidR="00BD4D54" w:rsidRPr="00536A8F" w:rsidRDefault="00BD4D54" w:rsidP="00EC6328">
            <w:pPr>
              <w:spacing w:before="20"/>
              <w:rPr>
                <w:szCs w:val="22"/>
              </w:rPr>
            </w:pPr>
            <w:r w:rsidRPr="00536A8F">
              <w:rPr>
                <w:szCs w:val="22"/>
              </w:rPr>
              <w:t>TDI was set in 2003, no study referenced. This value is noted to be based on the JMPR evaluation from 1994. The TDI is noted to be retained for comparison against dietary intakes only as these compounds are no longer used in agricultural practice. The TDI listed is also adopted by FSANZ.</w:t>
            </w:r>
          </w:p>
        </w:tc>
      </w:tr>
      <w:tr w:rsidR="00BD4D54" w:rsidRPr="00536A8F" w:rsidTr="00EC6328">
        <w:tc>
          <w:tcPr>
            <w:tcW w:w="9963" w:type="dxa"/>
            <w:gridSpan w:val="3"/>
          </w:tcPr>
          <w:p w:rsidR="00BD4D54" w:rsidRPr="00536A8F" w:rsidRDefault="00BD4D54" w:rsidP="00EC6328">
            <w:pPr>
              <w:spacing w:before="20"/>
              <w:jc w:val="center"/>
              <w:rPr>
                <w:b/>
                <w:szCs w:val="22"/>
              </w:rPr>
            </w:pPr>
            <w:r w:rsidRPr="00536A8F">
              <w:rPr>
                <w:b/>
                <w:szCs w:val="22"/>
              </w:rPr>
              <w:t>International</w:t>
            </w:r>
          </w:p>
        </w:tc>
      </w:tr>
      <w:tr w:rsidR="00BD4D54" w:rsidRPr="00536A8F" w:rsidTr="00EC6328">
        <w:tc>
          <w:tcPr>
            <w:tcW w:w="1384" w:type="dxa"/>
          </w:tcPr>
          <w:p w:rsidR="00BD4D54" w:rsidRPr="00536A8F" w:rsidRDefault="00BD4D54" w:rsidP="00EC6328">
            <w:pPr>
              <w:spacing w:before="20"/>
              <w:rPr>
                <w:szCs w:val="22"/>
              </w:rPr>
            </w:pPr>
            <w:r w:rsidRPr="00536A8F">
              <w:rPr>
                <w:szCs w:val="22"/>
              </w:rPr>
              <w:t>WHO (2011)</w:t>
            </w:r>
          </w:p>
        </w:tc>
        <w:tc>
          <w:tcPr>
            <w:tcW w:w="2410" w:type="dxa"/>
          </w:tcPr>
          <w:p w:rsidR="00BD4D54" w:rsidRPr="00536A8F" w:rsidRDefault="00BD4D54" w:rsidP="00EC6328">
            <w:pPr>
              <w:spacing w:before="20"/>
              <w:rPr>
                <w:szCs w:val="22"/>
              </w:rPr>
            </w:pPr>
            <w:r w:rsidRPr="00536A8F">
              <w:rPr>
                <w:szCs w:val="22"/>
              </w:rPr>
              <w:t>PTDI = 0.0005 mg/kg/day</w:t>
            </w:r>
          </w:p>
        </w:tc>
        <w:tc>
          <w:tcPr>
            <w:tcW w:w="6169" w:type="dxa"/>
          </w:tcPr>
          <w:p w:rsidR="00BD4D54" w:rsidRPr="00536A8F" w:rsidRDefault="00BD4D54" w:rsidP="00EC6328">
            <w:pPr>
              <w:spacing w:before="20"/>
              <w:rPr>
                <w:szCs w:val="22"/>
              </w:rPr>
            </w:pPr>
            <w:r w:rsidRPr="00536A8F">
              <w:rPr>
                <w:szCs w:val="22"/>
              </w:rPr>
              <w:t>Provisional TDI based on a NOAEL of 0.05 mg/kg/day for increased liver weights, serum bilirubin levels and hepatocellular swelling from a long term study in rats (same study as considered in the ADWG), and a 100-fold uncertainty factor.</w:t>
            </w:r>
          </w:p>
        </w:tc>
      </w:tr>
      <w:tr w:rsidR="00BD4D54" w:rsidRPr="00536A8F" w:rsidTr="00EC6328">
        <w:tc>
          <w:tcPr>
            <w:tcW w:w="1384" w:type="dxa"/>
          </w:tcPr>
          <w:p w:rsidR="00BD4D54" w:rsidRPr="00536A8F" w:rsidRDefault="00BD4D54" w:rsidP="00EC6328">
            <w:pPr>
              <w:spacing w:before="20"/>
              <w:rPr>
                <w:szCs w:val="22"/>
              </w:rPr>
            </w:pPr>
            <w:r w:rsidRPr="00536A8F">
              <w:rPr>
                <w:szCs w:val="22"/>
              </w:rPr>
              <w:t>ATSDR (1994)</w:t>
            </w:r>
          </w:p>
        </w:tc>
        <w:tc>
          <w:tcPr>
            <w:tcW w:w="2410" w:type="dxa"/>
          </w:tcPr>
          <w:p w:rsidR="00BD4D54" w:rsidRPr="00536A8F" w:rsidRDefault="00BD4D54" w:rsidP="00EC6328">
            <w:pPr>
              <w:spacing w:before="20"/>
              <w:rPr>
                <w:szCs w:val="22"/>
              </w:rPr>
            </w:pPr>
            <w:r w:rsidRPr="00536A8F">
              <w:rPr>
                <w:szCs w:val="22"/>
              </w:rPr>
              <w:t>Oral MRL = 0.0006 mg/kg/day</w:t>
            </w:r>
          </w:p>
          <w:p w:rsidR="00BD4D54" w:rsidRPr="00536A8F" w:rsidRDefault="00BD4D54" w:rsidP="00EC6328">
            <w:pPr>
              <w:spacing w:before="20"/>
              <w:rPr>
                <w:szCs w:val="22"/>
              </w:rPr>
            </w:pPr>
            <w:r w:rsidRPr="00536A8F">
              <w:rPr>
                <w:szCs w:val="22"/>
              </w:rPr>
              <w:t>Inhalation MRL = 0.00002 mg/m</w:t>
            </w:r>
            <w:r w:rsidRPr="00536A8F">
              <w:rPr>
                <w:szCs w:val="22"/>
                <w:vertAlign w:val="superscript"/>
              </w:rPr>
              <w:t>3</w:t>
            </w:r>
          </w:p>
        </w:tc>
        <w:tc>
          <w:tcPr>
            <w:tcW w:w="6169" w:type="dxa"/>
          </w:tcPr>
          <w:p w:rsidR="00BD4D54" w:rsidRPr="00536A8F" w:rsidRDefault="00BD4D54" w:rsidP="00EC6328">
            <w:pPr>
              <w:spacing w:before="20"/>
              <w:rPr>
                <w:szCs w:val="22"/>
              </w:rPr>
            </w:pPr>
            <w:r w:rsidRPr="00536A8F">
              <w:rPr>
                <w:szCs w:val="22"/>
              </w:rPr>
              <w:t>Chronic oral MRL based on liver hypertrophy in a 30-month rat study.</w:t>
            </w:r>
          </w:p>
          <w:p w:rsidR="00BD4D54" w:rsidRPr="00536A8F" w:rsidRDefault="00BD4D54" w:rsidP="00EC6328">
            <w:pPr>
              <w:spacing w:before="20"/>
              <w:rPr>
                <w:szCs w:val="22"/>
              </w:rPr>
            </w:pPr>
            <w:r w:rsidRPr="00536A8F">
              <w:rPr>
                <w:szCs w:val="22"/>
              </w:rPr>
              <w:t>Chronic inhalation MRL based on hepatic effects in a 90-day subchronic rat study. The study used to derive the inhalation MRL is the same as that used by the US EPA in the derivation of the RfC. The application of uncertainty factors differs between the organisations.</w:t>
            </w:r>
          </w:p>
        </w:tc>
      </w:tr>
      <w:tr w:rsidR="00BD4D54" w:rsidRPr="00536A8F" w:rsidTr="00EC6328">
        <w:tc>
          <w:tcPr>
            <w:tcW w:w="1384" w:type="dxa"/>
          </w:tcPr>
          <w:p w:rsidR="00BD4D54" w:rsidRPr="00536A8F" w:rsidRDefault="00BD4D54" w:rsidP="00EC6328">
            <w:pPr>
              <w:spacing w:before="20"/>
              <w:rPr>
                <w:szCs w:val="22"/>
              </w:rPr>
            </w:pPr>
            <w:r w:rsidRPr="00536A8F">
              <w:rPr>
                <w:szCs w:val="22"/>
              </w:rPr>
              <w:t>US EPA (IRIS 2012)</w:t>
            </w:r>
          </w:p>
        </w:tc>
        <w:tc>
          <w:tcPr>
            <w:tcW w:w="2410" w:type="dxa"/>
          </w:tcPr>
          <w:p w:rsidR="00BD4D54" w:rsidRPr="00536A8F" w:rsidRDefault="00BD4D54" w:rsidP="00EC6328">
            <w:pPr>
              <w:spacing w:before="20"/>
              <w:rPr>
                <w:szCs w:val="22"/>
              </w:rPr>
            </w:pPr>
            <w:r w:rsidRPr="00536A8F">
              <w:rPr>
                <w:szCs w:val="22"/>
              </w:rPr>
              <w:t>RfD = 0.0005 mg/kg/day</w:t>
            </w:r>
          </w:p>
          <w:p w:rsidR="00BD4D54" w:rsidRPr="00536A8F" w:rsidRDefault="00BD4D54" w:rsidP="00EC6328">
            <w:pPr>
              <w:spacing w:before="20"/>
              <w:rPr>
                <w:szCs w:val="22"/>
              </w:rPr>
            </w:pPr>
            <w:r w:rsidRPr="00536A8F">
              <w:rPr>
                <w:szCs w:val="22"/>
              </w:rPr>
              <w:t>RfC = 0.0007 mg/m</w:t>
            </w:r>
            <w:r w:rsidRPr="00536A8F">
              <w:rPr>
                <w:szCs w:val="22"/>
                <w:vertAlign w:val="superscript"/>
              </w:rPr>
              <w:t>3</w:t>
            </w:r>
          </w:p>
          <w:p w:rsidR="00BD4D54" w:rsidRPr="00536A8F" w:rsidRDefault="00BD4D54" w:rsidP="00EC6328">
            <w:pPr>
              <w:spacing w:before="20"/>
              <w:rPr>
                <w:szCs w:val="22"/>
              </w:rPr>
            </w:pPr>
          </w:p>
        </w:tc>
        <w:tc>
          <w:tcPr>
            <w:tcW w:w="6169" w:type="dxa"/>
          </w:tcPr>
          <w:p w:rsidR="00BD4D54" w:rsidRPr="00536A8F" w:rsidRDefault="00BD4D54" w:rsidP="00EC6328">
            <w:pPr>
              <w:spacing w:before="20"/>
              <w:rPr>
                <w:szCs w:val="22"/>
              </w:rPr>
            </w:pPr>
            <w:r w:rsidRPr="00536A8F">
              <w:rPr>
                <w:szCs w:val="22"/>
              </w:rPr>
              <w:t xml:space="preserve">Oral RfD based on a NOAEL of 0.15 mg/kg/day associated with hepatic necrosis in a 104-week mouse study, and 300-fold uncertainty factor. </w:t>
            </w:r>
          </w:p>
          <w:p w:rsidR="00BD4D54" w:rsidRPr="00536A8F" w:rsidRDefault="00BD4D54" w:rsidP="00EC6328">
            <w:pPr>
              <w:spacing w:before="20"/>
              <w:rPr>
                <w:szCs w:val="22"/>
              </w:rPr>
            </w:pPr>
            <w:r w:rsidRPr="00536A8F">
              <w:rPr>
                <w:szCs w:val="22"/>
              </w:rPr>
              <w:t>RfC based on hepatic effects in a subchronic rat inhalation study. The evaluation was last reviewed in 1998. In addition, US EPA has also derived an oral cancer slope factor and an inhalation unit risk (based on the oral evaluation). It is not considered appropriate to quantify chlordane toxicity on the basis of a non-threshold approach.</w:t>
            </w:r>
          </w:p>
        </w:tc>
      </w:tr>
    </w:tbl>
    <w:p w:rsidR="00BD4D54" w:rsidRDefault="00BD4D54" w:rsidP="00BD4D54"/>
    <w:p w:rsidR="00BD4D54" w:rsidRDefault="00BD4D54" w:rsidP="00BD4D54">
      <w:r>
        <w:t>Based on the available data above, there is general agreement on the consideration of an oral TRV of 0.0005 mg/kg/day. Limited inhalation data is available, with the US EPA RfC essentially equivalent to the oral TRV; hence it is recommended that all intakes associated with contaminated soil be assessed on the basis of the oral TRV.</w:t>
      </w:r>
    </w:p>
    <w:p w:rsidR="00BD4D54" w:rsidRPr="00293297" w:rsidRDefault="00BD4D54" w:rsidP="00BD4D54">
      <w:pPr>
        <w:pStyle w:val="Heading3"/>
      </w:pPr>
      <w:bookmarkStart w:id="43" w:name="_Toc351714132"/>
      <w:r w:rsidRPr="00293297">
        <w:t>Recommendation</w:t>
      </w:r>
      <w:bookmarkEnd w:id="43"/>
    </w:p>
    <w:p w:rsidR="00BD4D54" w:rsidRPr="00191EC8" w:rsidRDefault="00BD4D54" w:rsidP="00BD4D54">
      <w:r>
        <w:t>On the basis of the discussion above, the following toxicity reference values (TRVs) have been adopted for chlordane in the derivation of HILs:</w:t>
      </w:r>
    </w:p>
    <w:p w:rsidR="00BD4D54" w:rsidRDefault="00BD4D54" w:rsidP="00BD4D54">
      <w:r>
        <w:rPr>
          <w:noProof/>
          <w:lang w:eastAsia="en-AU"/>
        </w:rPr>
        <mc:AlternateContent>
          <mc:Choice Requires="wps">
            <w:drawing>
              <wp:inline distT="0" distB="0" distL="0" distR="0">
                <wp:extent cx="5680710" cy="1850390"/>
                <wp:effectExtent l="13335" t="6985" r="11430" b="952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710" cy="1850390"/>
                        </a:xfrm>
                        <a:prstGeom prst="rect">
                          <a:avLst/>
                        </a:prstGeom>
                        <a:solidFill>
                          <a:srgbClr val="D8D8D8"/>
                        </a:solidFill>
                        <a:ln w="9525">
                          <a:solidFill>
                            <a:srgbClr val="000000"/>
                          </a:solidFill>
                          <a:miter lim="800000"/>
                          <a:headEnd/>
                          <a:tailEnd/>
                        </a:ln>
                      </wps:spPr>
                      <wps:txbx>
                        <w:txbxContent>
                          <w:p w:rsidR="00480C84" w:rsidRPr="00742163" w:rsidRDefault="00480C84" w:rsidP="00BD4D54">
                            <w:pPr>
                              <w:spacing w:after="40"/>
                              <w:rPr>
                                <w:b/>
                                <w:u w:val="single"/>
                              </w:rPr>
                            </w:pPr>
                            <w:r w:rsidRPr="00742163">
                              <w:rPr>
                                <w:b/>
                                <w:u w:val="single"/>
                              </w:rPr>
                              <w:t xml:space="preserve">Recommendation for </w:t>
                            </w:r>
                            <w:r>
                              <w:rPr>
                                <w:b/>
                                <w:u w:val="single"/>
                              </w:rPr>
                              <w:t>Chlordane</w:t>
                            </w:r>
                          </w:p>
                          <w:p w:rsidR="00480C84" w:rsidRDefault="00480C84" w:rsidP="00BD4D54">
                            <w:pPr>
                              <w:spacing w:after="40"/>
                            </w:pPr>
                            <w:r>
                              <w:t>Oral TRV (TRV</w:t>
                            </w:r>
                            <w:r w:rsidRPr="00684B59">
                              <w:rPr>
                                <w:vertAlign w:val="subscript"/>
                              </w:rPr>
                              <w:t>O</w:t>
                            </w:r>
                            <w:r>
                              <w:t>) = 0.0005 mg/kg/day (OCS 2012; NHMRC 2011; WHO 2011) for all pathways of exposure</w:t>
                            </w:r>
                          </w:p>
                          <w:p w:rsidR="00480C84" w:rsidRDefault="00480C84" w:rsidP="00BD4D54">
                            <w:pPr>
                              <w:spacing w:after="40"/>
                            </w:pPr>
                            <w:r>
                              <w:t>Dermal absorption factor (DAF) = 0.04 (or 4%) (US EPA 2004)</w:t>
                            </w:r>
                          </w:p>
                          <w:p w:rsidR="00480C84" w:rsidRDefault="00480C84" w:rsidP="00BD4D54">
                            <w:pPr>
                              <w:spacing w:after="40"/>
                            </w:pPr>
                            <w:r>
                              <w:t>Background intakes from other sources (as % of TRV):</w:t>
                            </w:r>
                          </w:p>
                          <w:p w:rsidR="00480C84" w:rsidRDefault="00480C84" w:rsidP="00BD4D54">
                            <w:pPr>
                              <w:spacing w:after="40"/>
                              <w:ind w:left="720"/>
                            </w:pPr>
                            <w:r>
                              <w:t>BI</w:t>
                            </w:r>
                            <w:r w:rsidRPr="002049F5">
                              <w:rPr>
                                <w:vertAlign w:val="subscript"/>
                              </w:rPr>
                              <w:t>O</w:t>
                            </w:r>
                            <w:r>
                              <w:t xml:space="preserve"> = 0% for oral and dermal intakes</w:t>
                            </w:r>
                          </w:p>
                          <w:p w:rsidR="00480C84" w:rsidRDefault="00480C84" w:rsidP="00BD4D54">
                            <w:pPr>
                              <w:spacing w:after="40"/>
                              <w:ind w:left="720"/>
                            </w:pPr>
                            <w:r>
                              <w:t>BIi = 0% for inhalation</w:t>
                            </w:r>
                          </w:p>
                        </w:txbxContent>
                      </wps:txbx>
                      <wps:bodyPr rot="0" vert="horz" wrap="square" lIns="91440" tIns="45720" rIns="91440" bIns="45720" anchor="t" anchorCtr="0" upright="1">
                        <a:noAutofit/>
                      </wps:bodyPr>
                    </wps:wsp>
                  </a:graphicData>
                </a:graphic>
              </wp:inline>
            </w:drawing>
          </mc:Choice>
          <mc:Fallback>
            <w:pict>
              <v:shape id="Text Box 10" o:spid="_x0000_s1031" type="#_x0000_t202" style="width:447.3pt;height:14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" fillcolor="#d8d8d8">
                <v:textbox>
                  <w:txbxContent>
                    <w:p w:rsidR="00480C84" w:rsidRPr="00742163" w:rsidRDefault="00480C84" w:rsidP="00BD4D54">
                      <w:pPr>
                        <w:spacing w:after="40"/>
                        <w:rPr>
                          <w:b/>
                          <w:u w:val="single"/>
                        </w:rPr>
                      </w:pPr>
                      <w:r w:rsidRPr="00742163">
                        <w:rPr>
                          <w:b/>
                          <w:u w:val="single"/>
                        </w:rPr>
                        <w:t xml:space="preserve">Recommendation for </w:t>
                      </w:r>
                      <w:r>
                        <w:rPr>
                          <w:b/>
                          <w:u w:val="single"/>
                        </w:rPr>
                        <w:t>Chlordane</w:t>
                      </w:r>
                    </w:p>
                    <w:p w:rsidR="00480C84" w:rsidRDefault="00480C84" w:rsidP="00BD4D54">
                      <w:pPr>
                        <w:spacing w:after="40"/>
                      </w:pPr>
                      <w:r>
                        <w:t>Oral TRV (TRV</w:t>
                      </w:r>
                      <w:r w:rsidRPr="00684B59">
                        <w:rPr>
                          <w:vertAlign w:val="subscript"/>
                        </w:rPr>
                        <w:t>O</w:t>
                      </w:r>
                      <w:r>
                        <w:t>) = 0.0005 mg/kg/day (OCS 2012; NHMRC 2011; WHO 2011) for all pathways of exposure</w:t>
                      </w:r>
                    </w:p>
                    <w:p w:rsidR="00480C84" w:rsidRDefault="00480C84" w:rsidP="00BD4D54">
                      <w:pPr>
                        <w:spacing w:after="40"/>
                      </w:pPr>
                      <w:r>
                        <w:t>Dermal absorption factor (DAF) = 0.04 (or 4%) (US EPA 2004)</w:t>
                      </w:r>
                    </w:p>
                    <w:p w:rsidR="00480C84" w:rsidRDefault="00480C84" w:rsidP="00BD4D54">
                      <w:pPr>
                        <w:spacing w:after="40"/>
                      </w:pPr>
                      <w:r>
                        <w:t>Background intakes from other sources (as % of TRV):</w:t>
                      </w:r>
                    </w:p>
                    <w:p w:rsidR="00480C84" w:rsidRDefault="00480C84" w:rsidP="00BD4D54">
                      <w:pPr>
                        <w:spacing w:after="40"/>
                        <w:ind w:left="720"/>
                      </w:pPr>
                      <w:r>
                        <w:t>BI</w:t>
                      </w:r>
                      <w:r w:rsidRPr="002049F5">
                        <w:rPr>
                          <w:vertAlign w:val="subscript"/>
                        </w:rPr>
                        <w:t>O</w:t>
                      </w:r>
                      <w:r>
                        <w:t xml:space="preserve"> = 0% for oral and dermal intakes</w:t>
                      </w:r>
                    </w:p>
                    <w:p w:rsidR="00480C84" w:rsidRDefault="00480C84" w:rsidP="00BD4D54">
                      <w:pPr>
                        <w:spacing w:after="40"/>
                        <w:ind w:left="720"/>
                      </w:pPr>
                      <w:r>
                        <w:t>BIi = 0% for inhalation</w:t>
                      </w:r>
                    </w:p>
                  </w:txbxContent>
                </v:textbox>
                <w10:anchorlock/>
              </v:shape>
            </w:pict>
          </mc:Fallback>
        </mc:AlternateContent>
      </w:r>
    </w:p>
    <w:p w:rsidR="00A639E7" w:rsidRDefault="00A639E7" w:rsidP="00BD4D54"/>
    <w:p w:rsidR="00A639E7" w:rsidRDefault="00A639E7" w:rsidP="00BD4D54"/>
    <w:p w:rsidR="00A639E7" w:rsidRDefault="00A639E7" w:rsidP="00BD4D54"/>
    <w:p w:rsidR="00A639E7" w:rsidRDefault="00A639E7" w:rsidP="00BD4D54"/>
    <w:p w:rsidR="00BD4D54" w:rsidRDefault="00BD4D54" w:rsidP="00BD4D54">
      <w:pPr>
        <w:pStyle w:val="Heading2"/>
        <w:tabs>
          <w:tab w:val="clear" w:pos="1209"/>
        </w:tabs>
      </w:pPr>
      <w:bookmarkStart w:id="44" w:name="_Toc351714133"/>
      <w:r>
        <w:t>Calculated HILs</w:t>
      </w:r>
      <w:bookmarkEnd w:id="44"/>
    </w:p>
    <w:p w:rsidR="00BD4D54" w:rsidRDefault="00BD4D54" w:rsidP="00BD4D54">
      <w:r>
        <w:t>On the basis of the above, the following HILs have been derived for chlordane (refer to Appendix B for equations used to calculate the HILs and Appendix C for calculations):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9"/>
        <w:gridCol w:w="1287"/>
        <w:gridCol w:w="1445"/>
        <w:gridCol w:w="1517"/>
        <w:gridCol w:w="1553"/>
        <w:gridCol w:w="1392"/>
      </w:tblGrid>
      <w:tr w:rsidR="00BD4D54" w:rsidRPr="00536A8F" w:rsidTr="00EC6328">
        <w:tc>
          <w:tcPr>
            <w:tcW w:w="1639" w:type="dxa"/>
            <w:vMerge w:val="restart"/>
            <w:shd w:val="clear" w:color="auto" w:fill="C6D9F1" w:themeFill="text2" w:themeFillTint="33"/>
          </w:tcPr>
          <w:p w:rsidR="00BD4D54" w:rsidRPr="00536A8F" w:rsidRDefault="00BD4D54" w:rsidP="00EC6328">
            <w:pPr>
              <w:spacing w:after="40"/>
              <w:rPr>
                <w:b/>
                <w:szCs w:val="22"/>
              </w:rPr>
            </w:pPr>
            <w:r w:rsidRPr="00536A8F">
              <w:rPr>
                <w:b/>
                <w:szCs w:val="22"/>
              </w:rPr>
              <w:t>HIL Scenario</w:t>
            </w:r>
          </w:p>
        </w:tc>
        <w:tc>
          <w:tcPr>
            <w:tcW w:w="1287" w:type="dxa"/>
            <w:vMerge w:val="restart"/>
            <w:shd w:val="clear" w:color="auto" w:fill="C6D9F1" w:themeFill="text2" w:themeFillTint="33"/>
          </w:tcPr>
          <w:p w:rsidR="00BD4D54" w:rsidRPr="00536A8F" w:rsidRDefault="00BD4D54" w:rsidP="00EC6328">
            <w:pPr>
              <w:spacing w:after="40"/>
              <w:jc w:val="center"/>
              <w:rPr>
                <w:b/>
                <w:szCs w:val="22"/>
              </w:rPr>
            </w:pPr>
            <w:r w:rsidRPr="00536A8F">
              <w:rPr>
                <w:b/>
                <w:szCs w:val="22"/>
              </w:rPr>
              <w:t>HIL (mg/kg)</w:t>
            </w:r>
          </w:p>
        </w:tc>
        <w:tc>
          <w:tcPr>
            <w:tcW w:w="5907" w:type="dxa"/>
            <w:gridSpan w:val="4"/>
            <w:shd w:val="clear" w:color="auto" w:fill="C6D9F1" w:themeFill="text2" w:themeFillTint="33"/>
          </w:tcPr>
          <w:p w:rsidR="00BD4D54" w:rsidRPr="00536A8F" w:rsidRDefault="00BD4D54" w:rsidP="00EC6328">
            <w:pPr>
              <w:spacing w:after="40"/>
              <w:jc w:val="center"/>
              <w:rPr>
                <w:b/>
                <w:szCs w:val="22"/>
              </w:rPr>
            </w:pPr>
            <w:r w:rsidRPr="00536A8F">
              <w:rPr>
                <w:b/>
                <w:szCs w:val="22"/>
              </w:rPr>
              <w:t>Percentage Contribution from Exposure Pathways</w:t>
            </w:r>
          </w:p>
        </w:tc>
      </w:tr>
      <w:tr w:rsidR="00BD4D54" w:rsidRPr="00536A8F" w:rsidTr="00EC6328">
        <w:trPr>
          <w:trHeight w:val="427"/>
        </w:trPr>
        <w:tc>
          <w:tcPr>
            <w:tcW w:w="1639" w:type="dxa"/>
            <w:vMerge/>
            <w:shd w:val="clear" w:color="auto" w:fill="C6D9F1" w:themeFill="text2" w:themeFillTint="33"/>
          </w:tcPr>
          <w:p w:rsidR="00BD4D54" w:rsidRPr="00536A8F" w:rsidRDefault="00BD4D54" w:rsidP="00EC6328">
            <w:pPr>
              <w:spacing w:after="40"/>
              <w:rPr>
                <w:szCs w:val="22"/>
              </w:rPr>
            </w:pPr>
          </w:p>
        </w:tc>
        <w:tc>
          <w:tcPr>
            <w:tcW w:w="1287" w:type="dxa"/>
            <w:vMerge/>
            <w:shd w:val="clear" w:color="auto" w:fill="C6D9F1" w:themeFill="text2" w:themeFillTint="33"/>
          </w:tcPr>
          <w:p w:rsidR="00BD4D54" w:rsidRPr="00536A8F" w:rsidRDefault="00BD4D54" w:rsidP="00EC6328">
            <w:pPr>
              <w:spacing w:after="40"/>
              <w:jc w:val="center"/>
              <w:rPr>
                <w:szCs w:val="22"/>
              </w:rPr>
            </w:pPr>
          </w:p>
        </w:tc>
        <w:tc>
          <w:tcPr>
            <w:tcW w:w="1445" w:type="dxa"/>
            <w:shd w:val="clear" w:color="auto" w:fill="C6D9F1" w:themeFill="text2" w:themeFillTint="33"/>
          </w:tcPr>
          <w:p w:rsidR="00BD4D54" w:rsidRPr="00536A8F" w:rsidRDefault="00BD4D54" w:rsidP="00EC6328">
            <w:pPr>
              <w:spacing w:after="40"/>
              <w:jc w:val="center"/>
              <w:rPr>
                <w:b/>
                <w:szCs w:val="22"/>
              </w:rPr>
            </w:pPr>
            <w:r w:rsidRPr="00536A8F">
              <w:rPr>
                <w:b/>
                <w:szCs w:val="22"/>
              </w:rPr>
              <w:t>Ingestion of Soil/Dust</w:t>
            </w:r>
          </w:p>
        </w:tc>
        <w:tc>
          <w:tcPr>
            <w:tcW w:w="1517" w:type="dxa"/>
            <w:shd w:val="clear" w:color="auto" w:fill="C6D9F1" w:themeFill="text2" w:themeFillTint="33"/>
          </w:tcPr>
          <w:p w:rsidR="00BD4D54" w:rsidRPr="00536A8F" w:rsidRDefault="00BD4D54" w:rsidP="00EC6328">
            <w:pPr>
              <w:spacing w:after="40"/>
              <w:jc w:val="center"/>
              <w:rPr>
                <w:b/>
                <w:szCs w:val="22"/>
              </w:rPr>
            </w:pPr>
            <w:r w:rsidRPr="00536A8F">
              <w:rPr>
                <w:b/>
                <w:szCs w:val="22"/>
              </w:rPr>
              <w:t>Ingestion of Home-grown Produce</w:t>
            </w:r>
          </w:p>
        </w:tc>
        <w:tc>
          <w:tcPr>
            <w:tcW w:w="1553" w:type="dxa"/>
            <w:shd w:val="clear" w:color="auto" w:fill="C6D9F1" w:themeFill="text2" w:themeFillTint="33"/>
          </w:tcPr>
          <w:p w:rsidR="00BD4D54" w:rsidRPr="00536A8F" w:rsidRDefault="00BD4D54" w:rsidP="00EC6328">
            <w:pPr>
              <w:spacing w:after="40"/>
              <w:jc w:val="center"/>
              <w:rPr>
                <w:b/>
                <w:szCs w:val="22"/>
              </w:rPr>
            </w:pPr>
            <w:r w:rsidRPr="00536A8F">
              <w:rPr>
                <w:b/>
                <w:szCs w:val="22"/>
              </w:rPr>
              <w:t>Dermal Absorption of Soil/Dust</w:t>
            </w:r>
          </w:p>
        </w:tc>
        <w:tc>
          <w:tcPr>
            <w:tcW w:w="1392" w:type="dxa"/>
            <w:shd w:val="clear" w:color="auto" w:fill="C6D9F1" w:themeFill="text2" w:themeFillTint="33"/>
          </w:tcPr>
          <w:p w:rsidR="00BD4D54" w:rsidRPr="00536A8F" w:rsidRDefault="00BD4D54" w:rsidP="00EC6328">
            <w:pPr>
              <w:spacing w:after="40"/>
              <w:jc w:val="center"/>
              <w:rPr>
                <w:b/>
                <w:szCs w:val="22"/>
              </w:rPr>
            </w:pPr>
            <w:r w:rsidRPr="00536A8F">
              <w:rPr>
                <w:b/>
                <w:szCs w:val="22"/>
              </w:rPr>
              <w:t>Inhalation (dust)</w:t>
            </w:r>
          </w:p>
        </w:tc>
      </w:tr>
      <w:tr w:rsidR="00BD4D54" w:rsidRPr="00536A8F" w:rsidTr="00EC6328">
        <w:tc>
          <w:tcPr>
            <w:tcW w:w="1639" w:type="dxa"/>
          </w:tcPr>
          <w:p w:rsidR="00BD4D54" w:rsidRPr="00536A8F" w:rsidRDefault="00BD4D54" w:rsidP="00EC6328">
            <w:pPr>
              <w:spacing w:after="40"/>
              <w:rPr>
                <w:szCs w:val="22"/>
              </w:rPr>
            </w:pPr>
            <w:r w:rsidRPr="00536A8F">
              <w:rPr>
                <w:szCs w:val="22"/>
              </w:rPr>
              <w:t>Residential A</w:t>
            </w:r>
          </w:p>
        </w:tc>
        <w:tc>
          <w:tcPr>
            <w:tcW w:w="1287" w:type="dxa"/>
          </w:tcPr>
          <w:p w:rsidR="00BD4D54" w:rsidRPr="00536A8F" w:rsidRDefault="00BD4D54" w:rsidP="00EC6328">
            <w:pPr>
              <w:spacing w:after="40"/>
              <w:jc w:val="center"/>
              <w:rPr>
                <w:szCs w:val="22"/>
              </w:rPr>
            </w:pPr>
            <w:r w:rsidRPr="00536A8F">
              <w:rPr>
                <w:szCs w:val="22"/>
              </w:rPr>
              <w:t>50</w:t>
            </w:r>
          </w:p>
        </w:tc>
        <w:tc>
          <w:tcPr>
            <w:tcW w:w="1445" w:type="dxa"/>
          </w:tcPr>
          <w:p w:rsidR="00BD4D54" w:rsidRPr="00536A8F" w:rsidRDefault="00BD4D54" w:rsidP="00EC6328">
            <w:pPr>
              <w:spacing w:after="40"/>
              <w:jc w:val="center"/>
              <w:rPr>
                <w:szCs w:val="22"/>
              </w:rPr>
            </w:pPr>
            <w:r w:rsidRPr="00536A8F">
              <w:rPr>
                <w:szCs w:val="22"/>
              </w:rPr>
              <w:t>65</w:t>
            </w:r>
          </w:p>
        </w:tc>
        <w:tc>
          <w:tcPr>
            <w:tcW w:w="1517" w:type="dxa"/>
          </w:tcPr>
          <w:p w:rsidR="00BD4D54" w:rsidRPr="00536A8F" w:rsidRDefault="00BD4D54" w:rsidP="00EC6328">
            <w:pPr>
              <w:spacing w:after="40"/>
              <w:jc w:val="center"/>
              <w:rPr>
                <w:szCs w:val="22"/>
              </w:rPr>
            </w:pPr>
            <w:r w:rsidRPr="00536A8F">
              <w:rPr>
                <w:szCs w:val="22"/>
              </w:rPr>
              <w:t>--</w:t>
            </w:r>
          </w:p>
        </w:tc>
        <w:tc>
          <w:tcPr>
            <w:tcW w:w="1553" w:type="dxa"/>
          </w:tcPr>
          <w:p w:rsidR="00BD4D54" w:rsidRPr="00536A8F" w:rsidRDefault="00BD4D54" w:rsidP="00EC6328">
            <w:pPr>
              <w:spacing w:after="40"/>
              <w:jc w:val="center"/>
              <w:rPr>
                <w:szCs w:val="22"/>
              </w:rPr>
            </w:pPr>
            <w:r w:rsidRPr="00536A8F">
              <w:rPr>
                <w:szCs w:val="22"/>
              </w:rPr>
              <w:t>35</w:t>
            </w:r>
          </w:p>
        </w:tc>
        <w:tc>
          <w:tcPr>
            <w:tcW w:w="1392" w:type="dxa"/>
          </w:tcPr>
          <w:p w:rsidR="00BD4D54" w:rsidRPr="00536A8F" w:rsidRDefault="00BD4D54" w:rsidP="00EC6328">
            <w:pPr>
              <w:spacing w:after="40"/>
              <w:jc w:val="center"/>
              <w:rPr>
                <w:szCs w:val="22"/>
              </w:rPr>
            </w:pPr>
            <w:r w:rsidRPr="00536A8F">
              <w:rPr>
                <w:szCs w:val="22"/>
              </w:rPr>
              <w:t>&lt;1</w:t>
            </w:r>
          </w:p>
        </w:tc>
      </w:tr>
      <w:tr w:rsidR="00BD4D54" w:rsidRPr="00536A8F" w:rsidTr="00EC6328">
        <w:tc>
          <w:tcPr>
            <w:tcW w:w="1639" w:type="dxa"/>
          </w:tcPr>
          <w:p w:rsidR="00BD4D54" w:rsidRPr="00536A8F" w:rsidRDefault="00BD4D54" w:rsidP="00EC6328">
            <w:pPr>
              <w:spacing w:after="40"/>
              <w:rPr>
                <w:szCs w:val="22"/>
              </w:rPr>
            </w:pPr>
            <w:r w:rsidRPr="00536A8F">
              <w:rPr>
                <w:szCs w:val="22"/>
              </w:rPr>
              <w:t>Residential B</w:t>
            </w:r>
          </w:p>
        </w:tc>
        <w:tc>
          <w:tcPr>
            <w:tcW w:w="1287" w:type="dxa"/>
          </w:tcPr>
          <w:p w:rsidR="00BD4D54" w:rsidRPr="00536A8F" w:rsidRDefault="00BD4D54" w:rsidP="00EC6328">
            <w:pPr>
              <w:spacing w:after="40"/>
              <w:jc w:val="center"/>
              <w:rPr>
                <w:szCs w:val="22"/>
              </w:rPr>
            </w:pPr>
            <w:r w:rsidRPr="00536A8F">
              <w:rPr>
                <w:szCs w:val="22"/>
              </w:rPr>
              <w:t>90</w:t>
            </w:r>
          </w:p>
        </w:tc>
        <w:tc>
          <w:tcPr>
            <w:tcW w:w="1445" w:type="dxa"/>
          </w:tcPr>
          <w:p w:rsidR="00BD4D54" w:rsidRPr="00536A8F" w:rsidRDefault="00BD4D54" w:rsidP="00EC6328">
            <w:pPr>
              <w:spacing w:after="40"/>
              <w:jc w:val="center"/>
              <w:rPr>
                <w:szCs w:val="22"/>
              </w:rPr>
            </w:pPr>
            <w:r w:rsidRPr="00536A8F">
              <w:rPr>
                <w:szCs w:val="22"/>
              </w:rPr>
              <w:t>32</w:t>
            </w:r>
          </w:p>
        </w:tc>
        <w:tc>
          <w:tcPr>
            <w:tcW w:w="1517" w:type="dxa"/>
          </w:tcPr>
          <w:p w:rsidR="00BD4D54" w:rsidRPr="00536A8F" w:rsidRDefault="00BD4D54" w:rsidP="00EC6328">
            <w:pPr>
              <w:spacing w:after="40"/>
              <w:jc w:val="center"/>
              <w:rPr>
                <w:szCs w:val="22"/>
              </w:rPr>
            </w:pPr>
            <w:r w:rsidRPr="00536A8F">
              <w:rPr>
                <w:szCs w:val="22"/>
              </w:rPr>
              <w:t>--</w:t>
            </w:r>
          </w:p>
        </w:tc>
        <w:tc>
          <w:tcPr>
            <w:tcW w:w="1553" w:type="dxa"/>
          </w:tcPr>
          <w:p w:rsidR="00BD4D54" w:rsidRPr="00536A8F" w:rsidRDefault="00BD4D54" w:rsidP="00EC6328">
            <w:pPr>
              <w:spacing w:after="40"/>
              <w:jc w:val="center"/>
              <w:rPr>
                <w:szCs w:val="22"/>
              </w:rPr>
            </w:pPr>
            <w:r w:rsidRPr="00536A8F">
              <w:rPr>
                <w:szCs w:val="22"/>
              </w:rPr>
              <w:t>68</w:t>
            </w:r>
          </w:p>
        </w:tc>
        <w:tc>
          <w:tcPr>
            <w:tcW w:w="1392" w:type="dxa"/>
          </w:tcPr>
          <w:p w:rsidR="00BD4D54" w:rsidRPr="00536A8F" w:rsidRDefault="00BD4D54" w:rsidP="00EC6328">
            <w:pPr>
              <w:spacing w:after="40"/>
              <w:jc w:val="center"/>
              <w:rPr>
                <w:szCs w:val="22"/>
              </w:rPr>
            </w:pPr>
            <w:r w:rsidRPr="00536A8F">
              <w:rPr>
                <w:szCs w:val="22"/>
              </w:rPr>
              <w:t>&lt;1</w:t>
            </w:r>
          </w:p>
        </w:tc>
      </w:tr>
      <w:tr w:rsidR="00BD4D54" w:rsidRPr="00536A8F" w:rsidTr="00EC6328">
        <w:tc>
          <w:tcPr>
            <w:tcW w:w="1639" w:type="dxa"/>
          </w:tcPr>
          <w:p w:rsidR="00BD4D54" w:rsidRPr="00536A8F" w:rsidRDefault="00BD4D54" w:rsidP="00EC6328">
            <w:pPr>
              <w:spacing w:after="40"/>
              <w:rPr>
                <w:szCs w:val="22"/>
              </w:rPr>
            </w:pPr>
            <w:r w:rsidRPr="00536A8F">
              <w:rPr>
                <w:szCs w:val="22"/>
              </w:rPr>
              <w:t>Recreational C</w:t>
            </w:r>
          </w:p>
        </w:tc>
        <w:tc>
          <w:tcPr>
            <w:tcW w:w="1287" w:type="dxa"/>
          </w:tcPr>
          <w:p w:rsidR="00BD4D54" w:rsidRPr="00536A8F" w:rsidRDefault="00BD4D54" w:rsidP="00EC6328">
            <w:pPr>
              <w:spacing w:after="40"/>
              <w:jc w:val="center"/>
              <w:rPr>
                <w:szCs w:val="22"/>
              </w:rPr>
            </w:pPr>
            <w:r w:rsidRPr="00536A8F">
              <w:rPr>
                <w:szCs w:val="22"/>
              </w:rPr>
              <w:t>70</w:t>
            </w:r>
          </w:p>
        </w:tc>
        <w:tc>
          <w:tcPr>
            <w:tcW w:w="1445" w:type="dxa"/>
          </w:tcPr>
          <w:p w:rsidR="00BD4D54" w:rsidRPr="00536A8F" w:rsidRDefault="00BD4D54" w:rsidP="00EC6328">
            <w:pPr>
              <w:spacing w:after="40"/>
              <w:jc w:val="center"/>
              <w:rPr>
                <w:szCs w:val="22"/>
              </w:rPr>
            </w:pPr>
            <w:r w:rsidRPr="00536A8F">
              <w:rPr>
                <w:szCs w:val="22"/>
              </w:rPr>
              <w:t>48</w:t>
            </w:r>
          </w:p>
        </w:tc>
        <w:tc>
          <w:tcPr>
            <w:tcW w:w="1517" w:type="dxa"/>
          </w:tcPr>
          <w:p w:rsidR="00BD4D54" w:rsidRPr="00536A8F" w:rsidRDefault="00BD4D54" w:rsidP="00EC6328">
            <w:pPr>
              <w:spacing w:after="40"/>
              <w:jc w:val="center"/>
              <w:rPr>
                <w:szCs w:val="22"/>
              </w:rPr>
            </w:pPr>
            <w:r w:rsidRPr="00536A8F">
              <w:rPr>
                <w:szCs w:val="22"/>
              </w:rPr>
              <w:t>--</w:t>
            </w:r>
          </w:p>
        </w:tc>
        <w:tc>
          <w:tcPr>
            <w:tcW w:w="1553" w:type="dxa"/>
          </w:tcPr>
          <w:p w:rsidR="00BD4D54" w:rsidRPr="00536A8F" w:rsidRDefault="00BD4D54" w:rsidP="00EC6328">
            <w:pPr>
              <w:spacing w:after="40"/>
              <w:jc w:val="center"/>
              <w:rPr>
                <w:szCs w:val="22"/>
              </w:rPr>
            </w:pPr>
            <w:r w:rsidRPr="00536A8F">
              <w:rPr>
                <w:szCs w:val="22"/>
              </w:rPr>
              <w:t>52</w:t>
            </w:r>
          </w:p>
        </w:tc>
        <w:tc>
          <w:tcPr>
            <w:tcW w:w="1392" w:type="dxa"/>
          </w:tcPr>
          <w:p w:rsidR="00BD4D54" w:rsidRPr="00536A8F" w:rsidRDefault="00BD4D54" w:rsidP="00EC6328">
            <w:pPr>
              <w:spacing w:after="40"/>
              <w:jc w:val="center"/>
              <w:rPr>
                <w:szCs w:val="22"/>
              </w:rPr>
            </w:pPr>
            <w:r w:rsidRPr="00536A8F">
              <w:rPr>
                <w:szCs w:val="22"/>
              </w:rPr>
              <w:t>&lt;1</w:t>
            </w:r>
          </w:p>
        </w:tc>
      </w:tr>
      <w:tr w:rsidR="00BD4D54" w:rsidRPr="00536A8F" w:rsidTr="00EC6328">
        <w:tc>
          <w:tcPr>
            <w:tcW w:w="1639" w:type="dxa"/>
          </w:tcPr>
          <w:p w:rsidR="00BD4D54" w:rsidRPr="00536A8F" w:rsidRDefault="00BD4D54" w:rsidP="00EC6328">
            <w:pPr>
              <w:spacing w:after="40"/>
              <w:rPr>
                <w:szCs w:val="22"/>
              </w:rPr>
            </w:pPr>
            <w:r w:rsidRPr="00536A8F">
              <w:rPr>
                <w:szCs w:val="22"/>
              </w:rPr>
              <w:t>Commercial D</w:t>
            </w:r>
          </w:p>
        </w:tc>
        <w:tc>
          <w:tcPr>
            <w:tcW w:w="1287" w:type="dxa"/>
          </w:tcPr>
          <w:p w:rsidR="00BD4D54" w:rsidRPr="00536A8F" w:rsidRDefault="00BD4D54" w:rsidP="00EC6328">
            <w:pPr>
              <w:spacing w:after="40"/>
              <w:jc w:val="center"/>
              <w:rPr>
                <w:szCs w:val="22"/>
              </w:rPr>
            </w:pPr>
            <w:r w:rsidRPr="00536A8F">
              <w:rPr>
                <w:szCs w:val="22"/>
              </w:rPr>
              <w:t>530</w:t>
            </w:r>
          </w:p>
        </w:tc>
        <w:tc>
          <w:tcPr>
            <w:tcW w:w="1445" w:type="dxa"/>
          </w:tcPr>
          <w:p w:rsidR="00BD4D54" w:rsidRPr="00536A8F" w:rsidRDefault="00BD4D54" w:rsidP="00EC6328">
            <w:pPr>
              <w:spacing w:after="40"/>
              <w:jc w:val="center"/>
              <w:rPr>
                <w:szCs w:val="22"/>
              </w:rPr>
            </w:pPr>
            <w:r w:rsidRPr="00536A8F">
              <w:rPr>
                <w:szCs w:val="22"/>
              </w:rPr>
              <w:t>25</w:t>
            </w:r>
          </w:p>
        </w:tc>
        <w:tc>
          <w:tcPr>
            <w:tcW w:w="1517" w:type="dxa"/>
          </w:tcPr>
          <w:p w:rsidR="00BD4D54" w:rsidRPr="00536A8F" w:rsidRDefault="00BD4D54" w:rsidP="00EC6328">
            <w:pPr>
              <w:spacing w:after="40"/>
              <w:jc w:val="center"/>
              <w:rPr>
                <w:szCs w:val="22"/>
              </w:rPr>
            </w:pPr>
            <w:r w:rsidRPr="00536A8F">
              <w:rPr>
                <w:szCs w:val="22"/>
              </w:rPr>
              <w:t>--</w:t>
            </w:r>
          </w:p>
        </w:tc>
        <w:tc>
          <w:tcPr>
            <w:tcW w:w="1553" w:type="dxa"/>
          </w:tcPr>
          <w:p w:rsidR="00BD4D54" w:rsidRPr="00536A8F" w:rsidRDefault="00BD4D54" w:rsidP="00EC6328">
            <w:pPr>
              <w:spacing w:after="40"/>
              <w:jc w:val="center"/>
              <w:rPr>
                <w:szCs w:val="22"/>
              </w:rPr>
            </w:pPr>
            <w:r w:rsidRPr="00536A8F">
              <w:rPr>
                <w:szCs w:val="22"/>
              </w:rPr>
              <w:t>75</w:t>
            </w:r>
          </w:p>
        </w:tc>
        <w:tc>
          <w:tcPr>
            <w:tcW w:w="1392" w:type="dxa"/>
          </w:tcPr>
          <w:p w:rsidR="00BD4D54" w:rsidRPr="00536A8F" w:rsidRDefault="00BD4D54" w:rsidP="00EC6328">
            <w:pPr>
              <w:spacing w:after="40"/>
              <w:jc w:val="center"/>
              <w:rPr>
                <w:szCs w:val="22"/>
              </w:rPr>
            </w:pPr>
            <w:r w:rsidRPr="00536A8F">
              <w:rPr>
                <w:szCs w:val="22"/>
              </w:rPr>
              <w:t>&lt;1</w:t>
            </w:r>
          </w:p>
        </w:tc>
      </w:tr>
    </w:tbl>
    <w:p w:rsidR="00BD4D54" w:rsidRPr="00536A8F" w:rsidRDefault="00BD4D54" w:rsidP="00BD4D54">
      <w:pPr>
        <w:rPr>
          <w:sz w:val="18"/>
          <w:szCs w:val="18"/>
        </w:rPr>
      </w:pPr>
      <w:r w:rsidRPr="00536A8F">
        <w:rPr>
          <w:sz w:val="18"/>
          <w:szCs w:val="18"/>
        </w:rPr>
        <w:t>-- Pathway not included in derivation of HIL</w:t>
      </w:r>
    </w:p>
    <w:p w:rsidR="00BD4D54" w:rsidRDefault="00BD4D54" w:rsidP="00BD4D54"/>
    <w:p w:rsidR="00BD4D54" w:rsidRDefault="00BD4D54" w:rsidP="00BD4D54">
      <w:pPr>
        <w:pStyle w:val="Heading2"/>
        <w:tabs>
          <w:tab w:val="clear" w:pos="1209"/>
        </w:tabs>
      </w:pPr>
      <w:bookmarkStart w:id="45" w:name="_Toc351714134"/>
      <w:r>
        <w:t>References</w:t>
      </w:r>
      <w:bookmarkEnd w:id="45"/>
    </w:p>
    <w:p w:rsidR="00BD4D54" w:rsidRPr="00536A8F" w:rsidRDefault="00BD4D54" w:rsidP="00BD4D54">
      <w:pPr>
        <w:pStyle w:val="StyletextLeft0cmHanging1cm"/>
      </w:pPr>
      <w:r w:rsidRPr="00536A8F">
        <w:t xml:space="preserve">ATSDR 1994, </w:t>
      </w:r>
      <w:r w:rsidRPr="00536A8F">
        <w:rPr>
          <w:i/>
        </w:rPr>
        <w:t>Toxicological Profile for Chlordane</w:t>
      </w:r>
      <w:r w:rsidRPr="00536A8F">
        <w:t xml:space="preserve">, US Department of Health and Human Services, ATSDR, available from </w:t>
      </w:r>
      <w:hyperlink r:id="rId29" w:history="1">
        <w:r w:rsidRPr="00536A8F">
          <w:rPr>
            <w:rStyle w:val="Hyperlink"/>
            <w:rFonts w:cs="Arial"/>
            <w:szCs w:val="22"/>
          </w:rPr>
          <w:t>http://www.atsdr.cdc.gov/ToxProfiles/tp.asp?id=355&amp;tid=62</w:t>
        </w:r>
      </w:hyperlink>
      <w:r w:rsidRPr="00536A8F">
        <w:t>.</w:t>
      </w:r>
    </w:p>
    <w:p w:rsidR="00BD4D54" w:rsidRPr="00536A8F" w:rsidRDefault="00BD4D54" w:rsidP="00BD4D54">
      <w:pPr>
        <w:pStyle w:val="StyletextLeft0cmHanging1cm"/>
      </w:pPr>
      <w:r w:rsidRPr="00536A8F">
        <w:t xml:space="preserve">Di Marco, P 1993 ‘The Assessment and Management of Organochlorine Termiticides’, presented in the proceedings of the </w:t>
      </w:r>
      <w:r w:rsidRPr="00536A8F">
        <w:rPr>
          <w:i/>
        </w:rPr>
        <w:t>Second National Workshop on the Health Risk Assessment and Management of Contaminated Sites, Contaminated Sites Monograph Series, No. 2,</w:t>
      </w:r>
      <w:r w:rsidRPr="00536A8F">
        <w:t xml:space="preserve"> 1993.</w:t>
      </w:r>
    </w:p>
    <w:p w:rsidR="00BD4D54" w:rsidRPr="00536A8F" w:rsidRDefault="00BD4D54" w:rsidP="00BD4D54">
      <w:pPr>
        <w:pStyle w:val="StyletextLeft0cmHanging1cm"/>
      </w:pPr>
      <w:r w:rsidRPr="00536A8F">
        <w:t xml:space="preserve">EFSA 2007, ‘Chlordane as undesirable substance in animal feed, Scientific Panel on contaminants in the Food Chain’, </w:t>
      </w:r>
      <w:r w:rsidRPr="00536A8F">
        <w:rPr>
          <w:i/>
        </w:rPr>
        <w:t>The EFSA Journal</w:t>
      </w:r>
      <w:r w:rsidRPr="00536A8F">
        <w:t>, vol. 582, pp. 1</w:t>
      </w:r>
      <w:r w:rsidRPr="00536A8F">
        <w:sym w:font="Symbol" w:char="F02D"/>
      </w:r>
      <w:r w:rsidRPr="00536A8F">
        <w:t>52,</w:t>
      </w:r>
      <w:r w:rsidRPr="00536A8F">
        <w:rPr>
          <w:rFonts w:ascii="TimesNewRomanPSMT" w:hAnsi="TimesNewRomanPSMT" w:cs="TimesNewRomanPSMT"/>
          <w:lang w:eastAsia="en-US"/>
        </w:rPr>
        <w:t xml:space="preserve"> </w:t>
      </w:r>
      <w:r w:rsidRPr="00536A8F">
        <w:t>European Food Safety Authority, adopted 7 November 2007.</w:t>
      </w:r>
    </w:p>
    <w:p w:rsidR="00BD4D54" w:rsidRPr="00536A8F" w:rsidRDefault="00BD4D54" w:rsidP="00BD4D54">
      <w:pPr>
        <w:pStyle w:val="StyletextLeft0cmHanging1cm"/>
      </w:pPr>
      <w:r w:rsidRPr="00536A8F">
        <w:t xml:space="preserve">FSANZ 2003, </w:t>
      </w:r>
      <w:r w:rsidRPr="00536A8F">
        <w:rPr>
          <w:i/>
        </w:rPr>
        <w:t>The 20</w:t>
      </w:r>
      <w:r w:rsidRPr="00536A8F">
        <w:rPr>
          <w:i/>
          <w:vertAlign w:val="superscript"/>
        </w:rPr>
        <w:t>th</w:t>
      </w:r>
      <w:r w:rsidRPr="00536A8F">
        <w:rPr>
          <w:i/>
        </w:rPr>
        <w:t xml:space="preserve"> Australian Total Diet Survey</w:t>
      </w:r>
      <w:r w:rsidRPr="00536A8F">
        <w:t>, A total diet survey of pesticide residues and contaminants, Food Standards Australia and New Zealand.</w:t>
      </w:r>
    </w:p>
    <w:p w:rsidR="00BD4D54" w:rsidRPr="00536A8F" w:rsidRDefault="00BD4D54" w:rsidP="00BD4D54">
      <w:pPr>
        <w:pStyle w:val="StyletextLeft0cmHanging1cm"/>
        <w:rPr>
          <w:lang w:eastAsia="en-US"/>
        </w:rPr>
      </w:pPr>
      <w:r w:rsidRPr="00536A8F">
        <w:rPr>
          <w:lang w:eastAsia="en-US"/>
        </w:rPr>
        <w:t xml:space="preserve">FSANZ 2011, </w:t>
      </w:r>
      <w:r w:rsidRPr="00536A8F">
        <w:rPr>
          <w:i/>
          <w:lang w:eastAsia="en-US"/>
        </w:rPr>
        <w:t>The 23</w:t>
      </w:r>
      <w:r w:rsidRPr="00536A8F">
        <w:rPr>
          <w:i/>
          <w:vertAlign w:val="superscript"/>
          <w:lang w:eastAsia="en-US"/>
        </w:rPr>
        <w:t>rd</w:t>
      </w:r>
      <w:r w:rsidRPr="00536A8F">
        <w:rPr>
          <w:i/>
          <w:lang w:eastAsia="en-US"/>
        </w:rPr>
        <w:t xml:space="preserve"> Australian Total Diet Study</w:t>
      </w:r>
      <w:r w:rsidRPr="00536A8F">
        <w:rPr>
          <w:lang w:eastAsia="en-US"/>
        </w:rPr>
        <w:t>, Food Standards Australia and New Zealand.</w:t>
      </w:r>
    </w:p>
    <w:p w:rsidR="00BD4D54" w:rsidRPr="00536A8F" w:rsidRDefault="00BD4D54" w:rsidP="00BD4D54">
      <w:pPr>
        <w:pStyle w:val="StyletextLeft0cmHanging1cm"/>
      </w:pPr>
      <w:r w:rsidRPr="00536A8F">
        <w:t xml:space="preserve">IARC 2001, </w:t>
      </w:r>
      <w:r w:rsidRPr="00536A8F">
        <w:rPr>
          <w:i/>
        </w:rPr>
        <w:t>Summaries &amp; Evaluations, Chlordane and Heptachlor</w:t>
      </w:r>
      <w:r w:rsidRPr="00536A8F">
        <w:t>, Vol. 79, p.411, International Agency for Research on Cancer.</w:t>
      </w:r>
    </w:p>
    <w:p w:rsidR="00BD4D54" w:rsidRPr="00536A8F" w:rsidRDefault="00BD4D54" w:rsidP="00BD4D54">
      <w:pPr>
        <w:pStyle w:val="StyletextLeft0cmHanging1cm"/>
      </w:pPr>
      <w:r w:rsidRPr="00536A8F">
        <w:t xml:space="preserve">NEPC 1999, </w:t>
      </w:r>
      <w:r w:rsidRPr="00536A8F">
        <w:rPr>
          <w:i/>
        </w:rPr>
        <w:t>Schedule B (7a), Guideline on Health-Based Investigation Levels, National Environment Protection (Assessment of Site Contamination) Measure</w:t>
      </w:r>
      <w:r w:rsidRPr="00536A8F">
        <w:t>, National Environment Protection Council, Australia.</w:t>
      </w:r>
    </w:p>
    <w:p w:rsidR="00BD4D54" w:rsidRPr="00536A8F" w:rsidRDefault="00BD4D54" w:rsidP="00BD4D54">
      <w:pPr>
        <w:pStyle w:val="StyletextLeft0cmHanging1cm"/>
        <w:rPr>
          <w:noProof/>
        </w:rPr>
      </w:pPr>
      <w:r w:rsidRPr="00536A8F">
        <w:t xml:space="preserve">NHMRC 2011, </w:t>
      </w:r>
      <w:r w:rsidRPr="00536A8F">
        <w:rPr>
          <w:i/>
          <w:iCs/>
        </w:rPr>
        <w:t>National water quality management strategy, Australian drinking water guidelines</w:t>
      </w:r>
      <w:r w:rsidRPr="00536A8F">
        <w:t>, National Health and Medical Research Council, Australia</w:t>
      </w:r>
      <w:r w:rsidRPr="00536A8F">
        <w:rPr>
          <w:noProof/>
        </w:rPr>
        <w:t>.</w:t>
      </w:r>
    </w:p>
    <w:p w:rsidR="00BD4D54" w:rsidRPr="00536A8F" w:rsidRDefault="00BD4D54" w:rsidP="00BD4D54">
      <w:pPr>
        <w:pStyle w:val="StyletextLeft0cmHanging1cm"/>
        <w:rPr>
          <w:noProof/>
        </w:rPr>
      </w:pPr>
      <w:r w:rsidRPr="00536A8F">
        <w:rPr>
          <w:noProof/>
        </w:rPr>
        <w:t xml:space="preserve">OCS 2012, </w:t>
      </w:r>
      <w:r w:rsidRPr="00536A8F">
        <w:rPr>
          <w:i/>
          <w:noProof/>
        </w:rPr>
        <w:t>ADI List, Acceptable Daily Intakes for Agricultural and Veterinary Chemicals</w:t>
      </w:r>
      <w:r w:rsidRPr="00536A8F">
        <w:rPr>
          <w:noProof/>
        </w:rPr>
        <w:t xml:space="preserve">, current to 31 March 2012, Australian Government, Department of Health and Ageing, Office of Chemical Safety (OCS), available from: </w:t>
      </w:r>
      <w:r w:rsidRPr="00536A8F">
        <w:t>http://www.health.gov.au/internet/main/publishing.nsf/content/E8F4D2F95D616584CA2573D700770C2A/$File/ADI-apr12.pdf.</w:t>
      </w:r>
    </w:p>
    <w:p w:rsidR="00BD4D54" w:rsidRPr="00536A8F" w:rsidRDefault="00BD4D54" w:rsidP="00BD4D54">
      <w:pPr>
        <w:pStyle w:val="StyletextLeft0cmHanging1cm"/>
      </w:pPr>
      <w:r w:rsidRPr="00536A8F">
        <w:t xml:space="preserve">US EPA 2004, </w:t>
      </w:r>
      <w:r w:rsidRPr="00536A8F">
        <w:rPr>
          <w:i/>
        </w:rPr>
        <w:t>Risk Assessment Guidance for Superfund, Volume I: Human Health Evaluation Manual (Part E, Supplemental Guidance for Dermal Risk Assessment), Final</w:t>
      </w:r>
      <w:r w:rsidRPr="00536A8F">
        <w:t>, EPA/540/R-99/005, OSWER 9285.7-02EP.</w:t>
      </w:r>
    </w:p>
    <w:p w:rsidR="00BD4D54" w:rsidRPr="00536A8F" w:rsidRDefault="00BD4D54" w:rsidP="00BD4D54">
      <w:pPr>
        <w:pStyle w:val="StyletextLeft0cmHanging1cm"/>
      </w:pPr>
      <w:r w:rsidRPr="00536A8F">
        <w:lastRenderedPageBreak/>
        <w:t xml:space="preserve">US EPA (IRIS 2012), data and information available from the </w:t>
      </w:r>
      <w:r w:rsidRPr="00536A8F">
        <w:rPr>
          <w:i/>
        </w:rPr>
        <w:t>Integrated Risk Information System</w:t>
      </w:r>
      <w:r w:rsidRPr="00536A8F">
        <w:t xml:space="preserve">, an online database, available from </w:t>
      </w:r>
      <w:hyperlink r:id="rId30" w:history="1">
        <w:r w:rsidRPr="00536A8F">
          <w:rPr>
            <w:rStyle w:val="Hyperlink"/>
            <w:szCs w:val="22"/>
          </w:rPr>
          <w:t>http://www.epa.gov/iris/</w:t>
        </w:r>
      </w:hyperlink>
      <w:r w:rsidRPr="00536A8F">
        <w:t>.</w:t>
      </w:r>
    </w:p>
    <w:p w:rsidR="00BD4D54" w:rsidRPr="00536A8F" w:rsidRDefault="00BD4D54" w:rsidP="00BD4D54">
      <w:pPr>
        <w:pStyle w:val="StyletextLeft0cmHanging1cm"/>
      </w:pPr>
      <w:r w:rsidRPr="00536A8F">
        <w:t xml:space="preserve">Wester, RC, Maibach, HI, Sedik, L, Melendres, J, Laio, CL, &amp; DeZio, S 1992, ‘Percutaneous Absorption of [14C]Chlordane from Soil’, </w:t>
      </w:r>
      <w:r w:rsidRPr="00536A8F">
        <w:rPr>
          <w:i/>
        </w:rPr>
        <w:t>J. Toxicol. Environ. Health</w:t>
      </w:r>
      <w:r w:rsidRPr="00536A8F">
        <w:t>, vol. 35, pp. 269</w:t>
      </w:r>
      <w:r w:rsidRPr="00536A8F">
        <w:sym w:font="Symbol" w:char="F02D"/>
      </w:r>
      <w:r w:rsidRPr="00536A8F">
        <w:t>277.</w:t>
      </w:r>
    </w:p>
    <w:p w:rsidR="00BD4D54" w:rsidRPr="00536A8F" w:rsidRDefault="00BD4D54" w:rsidP="00BD4D54">
      <w:pPr>
        <w:pStyle w:val="StyletextLeft0cmHanging1cm"/>
      </w:pPr>
      <w:r w:rsidRPr="00536A8F">
        <w:t xml:space="preserve">WHO 2011, </w:t>
      </w:r>
      <w:r w:rsidRPr="00536A8F">
        <w:rPr>
          <w:i/>
        </w:rPr>
        <w:t>Guidelines for drinking-water quality, 4</w:t>
      </w:r>
      <w:r w:rsidRPr="00536A8F">
        <w:rPr>
          <w:i/>
          <w:vertAlign w:val="superscript"/>
        </w:rPr>
        <w:t>th</w:t>
      </w:r>
      <w:r w:rsidRPr="00536A8F">
        <w:rPr>
          <w:i/>
        </w:rPr>
        <w:t xml:space="preserve"> edn,</w:t>
      </w:r>
      <w:r w:rsidRPr="00536A8F">
        <w:t xml:space="preserve"> World Health Organization, Geneva</w:t>
      </w:r>
      <w:r>
        <w:t>,</w:t>
      </w:r>
      <w:r w:rsidRPr="00536A8F">
        <w:t xml:space="preserve"> available from </w:t>
      </w:r>
      <w:hyperlink r:id="rId31" w:history="1">
        <w:r w:rsidRPr="00536A8F">
          <w:rPr>
            <w:rStyle w:val="Hyperlink"/>
            <w:szCs w:val="22"/>
          </w:rPr>
          <w:t>http://www.who.int/water_sanitation_health/dwq/chemicals/en/index.html</w:t>
        </w:r>
      </w:hyperlink>
      <w:r w:rsidRPr="00536A8F">
        <w:t>.</w:t>
      </w:r>
    </w:p>
    <w:p w:rsidR="00BD4D54" w:rsidRDefault="00BD4D54" w:rsidP="00BD4D54"/>
    <w:p w:rsidR="00BD4D54" w:rsidRDefault="00BD4D54" w:rsidP="00BD4D54"/>
    <w:p w:rsidR="00BD4D54" w:rsidRDefault="00BD4D54" w:rsidP="00BD4D54"/>
    <w:p w:rsidR="00BD4D54" w:rsidRDefault="00BD4D54" w:rsidP="00BD4D54"/>
    <w:p w:rsidR="00BD4D54" w:rsidRDefault="00BD4D54" w:rsidP="00BD4D54"/>
    <w:p w:rsidR="00BD4D54" w:rsidRDefault="00BD4D54" w:rsidP="00BD4D54"/>
    <w:p w:rsidR="00BD4D54" w:rsidRDefault="00BD4D54" w:rsidP="00BD4D54">
      <w:pPr>
        <w:pStyle w:val="Heading1"/>
        <w:tabs>
          <w:tab w:val="clear" w:pos="1209"/>
          <w:tab w:val="num" w:pos="720"/>
        </w:tabs>
      </w:pPr>
      <w:bookmarkStart w:id="46" w:name="_Toc351714135"/>
      <w:r>
        <w:lastRenderedPageBreak/>
        <w:t>Endosulfan (total)</w:t>
      </w:r>
      <w:bookmarkEnd w:id="46"/>
    </w:p>
    <w:p w:rsidR="00BD4D54" w:rsidRDefault="00BD4D54" w:rsidP="00BD4D54">
      <w:pPr>
        <w:pStyle w:val="Heading2"/>
        <w:tabs>
          <w:tab w:val="clear" w:pos="1209"/>
        </w:tabs>
      </w:pPr>
      <w:bookmarkStart w:id="47" w:name="_Toc351714136"/>
      <w:r>
        <w:t>General</w:t>
      </w:r>
      <w:bookmarkEnd w:id="47"/>
    </w:p>
    <w:p w:rsidR="00BD4D54" w:rsidRDefault="00BD4D54" w:rsidP="00BD4D54">
      <w:r>
        <w:t>Several comprehensive reviews of endosulfan in the environment and its toxicity to humans are available and should be consulted for more detailed information (ATSDR 2000; APVMA 2005; Marshall &amp; Rutherford 2003; WHO 1984). The following provides a summary of the key aspects of endosulfan that are relevant to the derivation of a soil HIL.</w:t>
      </w:r>
    </w:p>
    <w:p w:rsidR="00B0287F" w:rsidRDefault="00B0287F" w:rsidP="00BD4D54"/>
    <w:p w:rsidR="00BD4D54" w:rsidRDefault="00BD4D54" w:rsidP="00BD4D54">
      <w:r w:rsidRPr="00073C9A">
        <w:t>Endosulfan is the c</w:t>
      </w:r>
      <w:r>
        <w:t>ommon name for an organochlorine</w:t>
      </w:r>
      <w:r w:rsidRPr="00073C9A">
        <w:t xml:space="preserve"> pesticide which predominantly contains the compound 6,7,8,9,10,10-hexachloro-1,5,5a,6,9,9a-hexahydro-6,9-methano-2,4,3-benzodioxathiepine-3-oxide. The manufacture of endosulfan yields two </w:t>
      </w:r>
      <w:r>
        <w:t>stereo-isomer</w:t>
      </w:r>
      <w:r w:rsidRPr="00073C9A">
        <w:t>s denoted as α-endosulfan and β-endosulfan in a ratio of 7:3. Technical grade endosulfan generally comprises 94% total endosulfan (α-endosulfan and β-endosulfan) with the remainder comprising impurities and degradation products such as endosulfan ether, endosulfan alc</w:t>
      </w:r>
      <w:r>
        <w:t>ohol and endosulfan sulfate (ATSDR 2000)</w:t>
      </w:r>
      <w:r w:rsidRPr="00073C9A">
        <w:t>. Endosulfan insecticides are produced under the following trade names; Thiodan; Thionex; Thionate Malix; HOE 2671; FMC 5462; Cyclodan; Thifor; Beosi</w:t>
      </w:r>
      <w:r>
        <w:t>t; Chlorthiepin and Endocide (ATSDR 2000)</w:t>
      </w:r>
      <w:r w:rsidRPr="00073C9A">
        <w:t>.</w:t>
      </w:r>
    </w:p>
    <w:p w:rsidR="00B0287F" w:rsidRPr="00073C9A" w:rsidRDefault="00B0287F" w:rsidP="00BD4D54"/>
    <w:p w:rsidR="00BD4D54" w:rsidRDefault="00BD4D54" w:rsidP="00BD4D54">
      <w:r w:rsidRPr="00073C9A">
        <w:t>Endosulfan is a cream to brown</w:t>
      </w:r>
      <w:r>
        <w:t>-</w:t>
      </w:r>
      <w:r w:rsidRPr="00073C9A">
        <w:t>coloured crystalline solid or waxy solid with a distinct</w:t>
      </w:r>
      <w:r>
        <w:t xml:space="preserve"> </w:t>
      </w:r>
      <w:r w:rsidRPr="00073C9A">
        <w:t>turpentine</w:t>
      </w:r>
      <w:r>
        <w:t>-</w:t>
      </w:r>
      <w:r w:rsidRPr="00073C9A">
        <w:t>like odour. It has a low solubility in water, a low vapour pressure and does not</w:t>
      </w:r>
      <w:r>
        <w:t xml:space="preserve"> </w:t>
      </w:r>
      <w:r w:rsidRPr="00073C9A">
        <w:t xml:space="preserve">burn </w:t>
      </w:r>
      <w:r>
        <w:t>(ATSDR 2000)</w:t>
      </w:r>
      <w:r w:rsidRPr="00073C9A">
        <w:t>. The β-isomer is more chemically stable than the α-isomer, which slowly</w:t>
      </w:r>
      <w:r>
        <w:t xml:space="preserve"> </w:t>
      </w:r>
      <w:r w:rsidRPr="00073C9A">
        <w:t>transform</w:t>
      </w:r>
      <w:r>
        <w:t>s</w:t>
      </w:r>
      <w:r w:rsidRPr="00073C9A">
        <w:t xml:space="preserve"> to the</w:t>
      </w:r>
      <w:r>
        <w:t xml:space="preserve"> β-isomer in the environment (ATSDR 2000)</w:t>
      </w:r>
      <w:r w:rsidRPr="00073C9A">
        <w:t>.</w:t>
      </w:r>
    </w:p>
    <w:p w:rsidR="00B0287F" w:rsidRPr="00073C9A" w:rsidRDefault="00B0287F" w:rsidP="00BD4D54"/>
    <w:p w:rsidR="00BD4D54" w:rsidRPr="00073C9A" w:rsidRDefault="00BD4D54" w:rsidP="00BD4D54">
      <w:r w:rsidRPr="00073C9A">
        <w:t>Endosulfan is manufactured and used as a broad-spectrum insecticide to control insects on horticultural and agricultural products such as grains, tea, fruits, vegetables, tobacco and cotton. It is manufactured worldwide for commercial agricultural use and domestic (home gardening) use. Endosulfan is also</w:t>
      </w:r>
      <w:r>
        <w:t xml:space="preserve"> used as a wood preservative (ATSDR 2000)</w:t>
      </w:r>
      <w:r w:rsidRPr="00073C9A">
        <w:t xml:space="preserve">. Endosulfan </w:t>
      </w:r>
      <w:r>
        <w:t>w</w:t>
      </w:r>
      <w:r w:rsidRPr="00073C9A">
        <w:t xml:space="preserve">as registered for commercial use in Australia </w:t>
      </w:r>
      <w:r>
        <w:t>in</w:t>
      </w:r>
      <w:r w:rsidRPr="00073C9A">
        <w:t xml:space="preserve"> the 1970s </w:t>
      </w:r>
      <w:r>
        <w:t>until its deregistration in October 2010 with a two-year phase-out until October 2012</w:t>
      </w:r>
      <w:r w:rsidRPr="00073C9A">
        <w:t>. Prior to the late 1990s, when restrictions on its use were introduced</w:t>
      </w:r>
      <w:r>
        <w:t>,</w:t>
      </w:r>
      <w:r w:rsidRPr="00073C9A">
        <w:t xml:space="preserve"> approximately 900 tonnes of technical grade endosulfan was imported annually into Australia</w:t>
      </w:r>
      <w:r>
        <w:t>.</w:t>
      </w:r>
      <w:r w:rsidRPr="00073C9A">
        <w:t xml:space="preserve"> </w:t>
      </w:r>
      <w:r>
        <w:t>I</w:t>
      </w:r>
      <w:r w:rsidRPr="00073C9A">
        <w:t xml:space="preserve">ts use significantly decreased in </w:t>
      </w:r>
      <w:r>
        <w:t xml:space="preserve">the </w:t>
      </w:r>
      <w:r w:rsidRPr="00073C9A">
        <w:t>years</w:t>
      </w:r>
      <w:r>
        <w:t xml:space="preserve"> leading up to its deregistration</w:t>
      </w:r>
      <w:r w:rsidRPr="00073C9A">
        <w:t xml:space="preserve">. It </w:t>
      </w:r>
      <w:r>
        <w:t>wa</w:t>
      </w:r>
      <w:r w:rsidRPr="00073C9A">
        <w:t>s primarily used in cotton production (70%)</w:t>
      </w:r>
      <w:r>
        <w:t>,</w:t>
      </w:r>
      <w:r w:rsidRPr="00073C9A">
        <w:t xml:space="preserve"> followed by vegetables (20%) and other crops and </w:t>
      </w:r>
      <w:r>
        <w:t>horticultural products (10%) (APVMA 2005)</w:t>
      </w:r>
      <w:r w:rsidRPr="00073C9A">
        <w:t>.</w:t>
      </w:r>
      <w:r>
        <w:t xml:space="preserve"> Both isomers of endosulfan and endosulfan sulphate were added to the Stockholm Convention in April 2011.</w:t>
      </w:r>
    </w:p>
    <w:p w:rsidR="00BD4D54" w:rsidRDefault="00BD4D54" w:rsidP="00BD4D54">
      <w:pPr>
        <w:pStyle w:val="Heading2"/>
        <w:tabs>
          <w:tab w:val="clear" w:pos="1209"/>
        </w:tabs>
      </w:pPr>
      <w:bookmarkStart w:id="48" w:name="_Toc351714137"/>
      <w:r>
        <w:t>Previous HIL</w:t>
      </w:r>
      <w:bookmarkEnd w:id="48"/>
    </w:p>
    <w:p w:rsidR="00BD4D54" w:rsidRDefault="00BD4D54" w:rsidP="00BD4D54">
      <w:r>
        <w:t>No previous HIL is available (NEPC 1999), though it is noted that review of endosulfan by Marshall &amp; Rutherford (2003) suggested a soil guideline value of 160 mg/kg may be derived (assuming 20% of ADI is derived from soil, 100% bioavailability and soil ingestion is the most significant pathway of exposure).</w:t>
      </w:r>
    </w:p>
    <w:p w:rsidR="00BD4D54" w:rsidRDefault="00BD4D54" w:rsidP="00BD4D54">
      <w:pPr>
        <w:pStyle w:val="Heading2"/>
        <w:tabs>
          <w:tab w:val="clear" w:pos="1209"/>
        </w:tabs>
      </w:pPr>
      <w:bookmarkStart w:id="49" w:name="_Toc351714138"/>
      <w:r>
        <w:t>Significance of Exposure Pathways</w:t>
      </w:r>
      <w:bookmarkEnd w:id="49"/>
    </w:p>
    <w:p w:rsidR="00BD4D54" w:rsidRPr="00E00A6A" w:rsidRDefault="00BD4D54" w:rsidP="00BD4D54">
      <w:pPr>
        <w:pStyle w:val="Heading3"/>
      </w:pPr>
      <w:bookmarkStart w:id="50" w:name="_Toc351714139"/>
      <w:r>
        <w:t xml:space="preserve">Oral </w:t>
      </w:r>
      <w:r w:rsidRPr="00E00A6A">
        <w:t>Bioavailability</w:t>
      </w:r>
      <w:bookmarkEnd w:id="50"/>
    </w:p>
    <w:p w:rsidR="00BD4D54" w:rsidRDefault="00BD4D54" w:rsidP="00BD4D54">
      <w:r>
        <w:t>Insufficient data is available to adequately define the bioavailability of endosulfan in the range of contaminated sites that may need to be considered in Australia. On this basis, a default approach of assuming 100% oral bioavailability has been adopted in the derivation of an HIL. It is noted that a site-specific assessment of bioavailability can be undertaken where required.</w:t>
      </w:r>
    </w:p>
    <w:p w:rsidR="00BD4D54" w:rsidRPr="002D7B71" w:rsidRDefault="00BD4D54" w:rsidP="00BD4D54">
      <w:pPr>
        <w:pStyle w:val="Heading3"/>
      </w:pPr>
      <w:bookmarkStart w:id="51" w:name="_Toc351714140"/>
      <w:r w:rsidRPr="002D7B71">
        <w:t>Dermal absorption</w:t>
      </w:r>
      <w:bookmarkEnd w:id="51"/>
    </w:p>
    <w:p w:rsidR="00BD4D54" w:rsidRDefault="00BD4D54" w:rsidP="00BD4D54">
      <w:r>
        <w:t>Insufficient data is available on the dermal absorption of endosulfan from soil. Hence the default values of 0.1 (10%) suggested by US EPA (1995) for pesticides has been adopted in the derivation of HILs.</w:t>
      </w:r>
    </w:p>
    <w:p w:rsidR="00BD4D54" w:rsidRPr="009338FB" w:rsidRDefault="00BD4D54" w:rsidP="00BD4D54">
      <w:pPr>
        <w:pStyle w:val="Heading3"/>
      </w:pPr>
      <w:bookmarkStart w:id="52" w:name="_Toc351714141"/>
      <w:r w:rsidRPr="009338FB">
        <w:lastRenderedPageBreak/>
        <w:t>Inhalation of Dust</w:t>
      </w:r>
      <w:bookmarkEnd w:id="52"/>
    </w:p>
    <w:p w:rsidR="00BD4D54" w:rsidRDefault="00BD4D54" w:rsidP="00BD4D54">
      <w:r>
        <w:t>Endosulfan is not considered sufficiently volatile to be of significance and inhalation exposures associated with particulates outdoors and indoors are expected to be of less significance than ingestion of soil. While likely to be negligible, potential inhalation exposures associated with dust have been considered in the HIL derived.</w:t>
      </w:r>
    </w:p>
    <w:p w:rsidR="00BD4D54" w:rsidRPr="009338FB" w:rsidRDefault="00BD4D54" w:rsidP="00BD4D54">
      <w:pPr>
        <w:pStyle w:val="Heading3"/>
      </w:pPr>
      <w:bookmarkStart w:id="53" w:name="_Toc351714142"/>
      <w:r w:rsidRPr="009338FB">
        <w:t>Plant Uptake</w:t>
      </w:r>
      <w:bookmarkEnd w:id="53"/>
    </w:p>
    <w:p w:rsidR="00BD4D54" w:rsidRDefault="00BD4D54" w:rsidP="00BD4D54">
      <w:r>
        <w:t>The few studies that are available with respect to the potential for plant uptake of endosulfan relate to the application of endosulfan in solution, rather than uptake from soil. Endosulfan has a high Koc value (log Koc = 3.5) and low solubility in water (ATSDR 2000), suggesting that the compound is largely bound to soil particulates and immobile in soil. For plant uptake to be significant, the chemicals must be able to partition to soil water. With respect to endosulfan bound to the soil, the potential for partitioning to soil water is considered to be low and hence plant uptake is considered to be negligible.</w:t>
      </w:r>
    </w:p>
    <w:p w:rsidR="00BD4D54" w:rsidRPr="0089652E" w:rsidRDefault="00BD4D54" w:rsidP="00BD4D54">
      <w:pPr>
        <w:pStyle w:val="Heading3"/>
      </w:pPr>
      <w:bookmarkStart w:id="54" w:name="_Toc351714143"/>
      <w:r w:rsidRPr="0089652E">
        <w:t xml:space="preserve">Intakes from Other Sources </w:t>
      </w:r>
      <w:r>
        <w:t>–</w:t>
      </w:r>
      <w:r w:rsidRPr="0089652E">
        <w:t xml:space="preserve"> Background</w:t>
      </w:r>
      <w:bookmarkEnd w:id="54"/>
    </w:p>
    <w:p w:rsidR="00BD4D54" w:rsidRDefault="00BD4D54" w:rsidP="00BD4D54">
      <w:r>
        <w:t>Background intakes have been assessed by Marshall &amp; Rutherford (2003) on the basis of available Australian data. For a 2-year-old child, background intakes (from air, food and water) were estimated to contribute 7% of the ADI adopted (0.006 mg/kg/day). However, it has been noted that this evaluation was based on limited data and a default approach of considering 80% background intakes was adopted.</w:t>
      </w:r>
    </w:p>
    <w:p w:rsidR="00B0287F" w:rsidRDefault="00B0287F" w:rsidP="00BD4D54"/>
    <w:p w:rsidR="00BD4D54" w:rsidRDefault="00BD4D54" w:rsidP="00BD4D54">
      <w:r>
        <w:t>Background exposure by the general public</w:t>
      </w:r>
      <w:r w:rsidRPr="002D773B">
        <w:t xml:space="preserve"> </w:t>
      </w:r>
      <w:r>
        <w:t xml:space="preserve">is expected to be dominated by food residue intakes in areas away from where endosulfan products are being applied. Food Standards Australia and New Zealand has reported that intakes of endosulfan by all age groups was less than or equal to 2% of the adopted ADI in the </w:t>
      </w:r>
      <w:r w:rsidRPr="001E2D59">
        <w:rPr>
          <w:i/>
        </w:rPr>
        <w:t>23</w:t>
      </w:r>
      <w:r w:rsidRPr="001E2D59">
        <w:rPr>
          <w:i/>
          <w:vertAlign w:val="superscript"/>
        </w:rPr>
        <w:t>rd</w:t>
      </w:r>
      <w:r w:rsidRPr="001E2D59">
        <w:rPr>
          <w:i/>
        </w:rPr>
        <w:t xml:space="preserve"> Australian Total Diet Study</w:t>
      </w:r>
      <w:r>
        <w:t xml:space="preserve"> (FSANZ 2011). The National Estimated Daily Intake of endosulfan was reviewed by APVMA (2005) and estimated to be equivalent to 27% of the recommended oral TRV (0.006 mg/kg/day), which is more conservative that the current dietary survey indicates. On this basis a background intake of 30% is considered appropriate for deriving a soil HIL for endosulfan.</w:t>
      </w:r>
    </w:p>
    <w:p w:rsidR="00BD4D54" w:rsidRDefault="00BD4D54" w:rsidP="00BD4D54">
      <w:pPr>
        <w:pStyle w:val="Heading2"/>
        <w:tabs>
          <w:tab w:val="clear" w:pos="1209"/>
        </w:tabs>
      </w:pPr>
      <w:bookmarkStart w:id="55" w:name="_Toc351714144"/>
      <w:r>
        <w:t>Identification of Toxicity Reference Values</w:t>
      </w:r>
      <w:bookmarkEnd w:id="55"/>
    </w:p>
    <w:p w:rsidR="00BD4D54" w:rsidRPr="00810691" w:rsidRDefault="00BD4D54" w:rsidP="00810691">
      <w:pPr>
        <w:pStyle w:val="Heading3"/>
      </w:pPr>
      <w:bookmarkStart w:id="56" w:name="_Toc351714145"/>
      <w:r w:rsidRPr="00810691">
        <w:t>Classification</w:t>
      </w:r>
      <w:bookmarkEnd w:id="56"/>
    </w:p>
    <w:p w:rsidR="00BD4D54" w:rsidRDefault="00BD4D54" w:rsidP="00BD4D54">
      <w:r w:rsidRPr="00C259C1">
        <w:t>The International Agency for Research on Cancer (IARC</w:t>
      </w:r>
      <w:r>
        <w:t xml:space="preserve">) and US EPA have not classified </w:t>
      </w:r>
      <w:r>
        <w:rPr>
          <w:rFonts w:cs="Arial"/>
        </w:rPr>
        <w:t>endosulfan with respect to human carcinogenicity.</w:t>
      </w:r>
    </w:p>
    <w:p w:rsidR="00BD4D54" w:rsidRPr="00907E92" w:rsidRDefault="00BD4D54" w:rsidP="00BD4D54">
      <w:pPr>
        <w:pStyle w:val="Heading3"/>
      </w:pPr>
      <w:bookmarkStart w:id="57" w:name="_Toc351714146"/>
      <w:r w:rsidRPr="00907E92">
        <w:t>Review of Available Values</w:t>
      </w:r>
      <w:r>
        <w:t>/Information</w:t>
      </w:r>
      <w:bookmarkEnd w:id="57"/>
    </w:p>
    <w:p w:rsidR="00BD4D54" w:rsidRDefault="00BD4D54" w:rsidP="00BD4D54">
      <w:r>
        <w:t xml:space="preserve">Limited data is available to assess carcinogenicity of endosulfan. Evaluation of the WHO DWG (WHO 2011) referenced JMPR (WHO 1998), who concluded that endosulfan is not genotoxic and no carcinogenic effects have been noted in long-term studies in rats and mice. This is also noted, in the NRA (1998) review. Review by APVMA (2005) has reassessed the potential for endosulfan to be an endocrine disruptor. The review concluded that the endocrine-disrupting potential of the compound was not a significant risk to public health under the existing management controls and health standards. </w:t>
      </w:r>
    </w:p>
    <w:p w:rsidR="00B0287F" w:rsidRDefault="00B0287F" w:rsidP="00BD4D54"/>
    <w:p w:rsidR="00BD4D54" w:rsidRDefault="00BD4D54" w:rsidP="00BD4D54">
      <w:r>
        <w:t>On the basis of the available information, it is considered appropriate that a threshold dose</w:t>
      </w:r>
      <w:r>
        <w:sym w:font="Symbol" w:char="F02D"/>
      </w:r>
      <w:r>
        <w:t>response approach be adopted for endosulfan and that no additional consideration is required to address endocrine-disrupting effects. The following are available from Level 1 Australian and International sources: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8"/>
        <w:gridCol w:w="2209"/>
        <w:gridCol w:w="5476"/>
      </w:tblGrid>
      <w:tr w:rsidR="00BD4D54" w:rsidRPr="00536A8F" w:rsidTr="00EC6328">
        <w:trPr>
          <w:tblHeader/>
        </w:trPr>
        <w:tc>
          <w:tcPr>
            <w:tcW w:w="1318" w:type="dxa"/>
            <w:shd w:val="clear" w:color="auto" w:fill="C6D9F1" w:themeFill="text2" w:themeFillTint="33"/>
          </w:tcPr>
          <w:p w:rsidR="00BD4D54" w:rsidRPr="00536A8F" w:rsidRDefault="00BD4D54" w:rsidP="00EC6328">
            <w:pPr>
              <w:spacing w:before="20"/>
              <w:jc w:val="center"/>
              <w:rPr>
                <w:b/>
                <w:szCs w:val="22"/>
              </w:rPr>
            </w:pPr>
            <w:r w:rsidRPr="00536A8F">
              <w:rPr>
                <w:szCs w:val="22"/>
              </w:rPr>
              <w:br w:type="page"/>
            </w:r>
            <w:r w:rsidRPr="00536A8F">
              <w:rPr>
                <w:b/>
                <w:szCs w:val="22"/>
              </w:rPr>
              <w:t>Source</w:t>
            </w:r>
          </w:p>
        </w:tc>
        <w:tc>
          <w:tcPr>
            <w:tcW w:w="2209" w:type="dxa"/>
            <w:shd w:val="clear" w:color="auto" w:fill="C6D9F1" w:themeFill="text2" w:themeFillTint="33"/>
          </w:tcPr>
          <w:p w:rsidR="00BD4D54" w:rsidRPr="00536A8F" w:rsidRDefault="00BD4D54" w:rsidP="00EC6328">
            <w:pPr>
              <w:spacing w:before="20"/>
              <w:jc w:val="center"/>
              <w:rPr>
                <w:b/>
                <w:szCs w:val="22"/>
              </w:rPr>
            </w:pPr>
            <w:r w:rsidRPr="00536A8F">
              <w:rPr>
                <w:b/>
                <w:szCs w:val="22"/>
              </w:rPr>
              <w:t>Value</w:t>
            </w:r>
          </w:p>
        </w:tc>
        <w:tc>
          <w:tcPr>
            <w:tcW w:w="5476" w:type="dxa"/>
            <w:shd w:val="clear" w:color="auto" w:fill="C6D9F1" w:themeFill="text2" w:themeFillTint="33"/>
          </w:tcPr>
          <w:p w:rsidR="00BD4D54" w:rsidRPr="00536A8F" w:rsidRDefault="00BD4D54" w:rsidP="00EC6328">
            <w:pPr>
              <w:spacing w:before="20"/>
              <w:jc w:val="center"/>
              <w:rPr>
                <w:b/>
                <w:szCs w:val="22"/>
              </w:rPr>
            </w:pPr>
            <w:r w:rsidRPr="00536A8F">
              <w:rPr>
                <w:b/>
                <w:szCs w:val="22"/>
              </w:rPr>
              <w:t>Basis/Comments</w:t>
            </w:r>
          </w:p>
        </w:tc>
      </w:tr>
      <w:tr w:rsidR="00BD4D54" w:rsidRPr="00536A8F" w:rsidTr="00EC6328">
        <w:tc>
          <w:tcPr>
            <w:tcW w:w="9003" w:type="dxa"/>
            <w:gridSpan w:val="3"/>
          </w:tcPr>
          <w:p w:rsidR="00BD4D54" w:rsidRPr="00536A8F" w:rsidRDefault="00BD4D54" w:rsidP="00EC6328">
            <w:pPr>
              <w:spacing w:before="20"/>
              <w:jc w:val="center"/>
              <w:rPr>
                <w:b/>
                <w:szCs w:val="22"/>
              </w:rPr>
            </w:pPr>
            <w:r w:rsidRPr="00536A8F">
              <w:rPr>
                <w:b/>
                <w:szCs w:val="22"/>
              </w:rPr>
              <w:t>Australian</w:t>
            </w:r>
          </w:p>
        </w:tc>
      </w:tr>
      <w:tr w:rsidR="00BD4D54" w:rsidRPr="00536A8F" w:rsidTr="00EC6328">
        <w:tc>
          <w:tcPr>
            <w:tcW w:w="1318" w:type="dxa"/>
          </w:tcPr>
          <w:p w:rsidR="00BD4D54" w:rsidRPr="00536A8F" w:rsidRDefault="00BD4D54" w:rsidP="00EC6328">
            <w:pPr>
              <w:spacing w:before="20"/>
              <w:rPr>
                <w:szCs w:val="22"/>
              </w:rPr>
            </w:pPr>
            <w:r w:rsidRPr="00536A8F">
              <w:rPr>
                <w:szCs w:val="22"/>
              </w:rPr>
              <w:t xml:space="preserve">ADWG (NHMRC, </w:t>
            </w:r>
            <w:r w:rsidRPr="00536A8F">
              <w:rPr>
                <w:szCs w:val="22"/>
              </w:rPr>
              <w:lastRenderedPageBreak/>
              <w:t>2011)</w:t>
            </w:r>
          </w:p>
        </w:tc>
        <w:tc>
          <w:tcPr>
            <w:tcW w:w="2209" w:type="dxa"/>
          </w:tcPr>
          <w:p w:rsidR="00BD4D54" w:rsidRPr="00536A8F" w:rsidRDefault="00BD4D54" w:rsidP="00EC6328">
            <w:pPr>
              <w:spacing w:before="20"/>
              <w:rPr>
                <w:szCs w:val="22"/>
              </w:rPr>
            </w:pPr>
            <w:r w:rsidRPr="00536A8F">
              <w:rPr>
                <w:szCs w:val="22"/>
              </w:rPr>
              <w:lastRenderedPageBreak/>
              <w:t xml:space="preserve">TDI = 0.006 mg/kg/day </w:t>
            </w:r>
          </w:p>
        </w:tc>
        <w:tc>
          <w:tcPr>
            <w:tcW w:w="5476" w:type="dxa"/>
          </w:tcPr>
          <w:p w:rsidR="00BD4D54" w:rsidRPr="00536A8F" w:rsidRDefault="00BD4D54" w:rsidP="00EC6328">
            <w:pPr>
              <w:spacing w:before="20"/>
              <w:rPr>
                <w:szCs w:val="22"/>
              </w:rPr>
            </w:pPr>
            <w:r w:rsidRPr="00536A8F">
              <w:rPr>
                <w:szCs w:val="22"/>
              </w:rPr>
              <w:t xml:space="preserve">The NHMRC derived a guideline of 0.02 mg/L from a TDI of 0.006 mg/kg/day that is based on a NOEL of 0.57 </w:t>
            </w:r>
            <w:r w:rsidRPr="00536A8F">
              <w:rPr>
                <w:szCs w:val="22"/>
              </w:rPr>
              <w:lastRenderedPageBreak/>
              <w:t>mg/kg/day from a 1-year dietary study in dogs, and an uncertainty factor of 100.</w:t>
            </w:r>
          </w:p>
        </w:tc>
      </w:tr>
      <w:tr w:rsidR="00BD4D54" w:rsidRPr="00536A8F" w:rsidTr="00EC6328">
        <w:tc>
          <w:tcPr>
            <w:tcW w:w="1318" w:type="dxa"/>
          </w:tcPr>
          <w:p w:rsidR="00BD4D54" w:rsidRPr="00536A8F" w:rsidRDefault="00BD4D54" w:rsidP="00EC6328">
            <w:pPr>
              <w:spacing w:before="20"/>
              <w:rPr>
                <w:szCs w:val="22"/>
              </w:rPr>
            </w:pPr>
            <w:r w:rsidRPr="00536A8F">
              <w:rPr>
                <w:szCs w:val="22"/>
              </w:rPr>
              <w:lastRenderedPageBreak/>
              <w:t>OCS (2012) and FSANZ (2011)</w:t>
            </w:r>
          </w:p>
        </w:tc>
        <w:tc>
          <w:tcPr>
            <w:tcW w:w="2209" w:type="dxa"/>
          </w:tcPr>
          <w:p w:rsidR="00BD4D54" w:rsidRPr="00536A8F" w:rsidRDefault="00BD4D54" w:rsidP="00EC6328">
            <w:pPr>
              <w:spacing w:before="20"/>
              <w:rPr>
                <w:szCs w:val="22"/>
              </w:rPr>
            </w:pPr>
            <w:r w:rsidRPr="00536A8F">
              <w:rPr>
                <w:szCs w:val="22"/>
              </w:rPr>
              <w:t>ADI = 0.006 mg/kg/day</w:t>
            </w:r>
          </w:p>
        </w:tc>
        <w:tc>
          <w:tcPr>
            <w:tcW w:w="5476" w:type="dxa"/>
          </w:tcPr>
          <w:p w:rsidR="00BD4D54" w:rsidRPr="00536A8F" w:rsidRDefault="00BD4D54" w:rsidP="00EC6328">
            <w:pPr>
              <w:spacing w:before="20"/>
              <w:rPr>
                <w:szCs w:val="22"/>
              </w:rPr>
            </w:pPr>
            <w:r w:rsidRPr="00536A8F">
              <w:rPr>
                <w:szCs w:val="22"/>
              </w:rPr>
              <w:t>ADI was set in May 1997 and based on a NOEL of 0.6 mg/kg/day from a 78-week dietary study in mice, 13-week dietary study in rats, 1-year dietary study in dogs and a developmental study in rats. The ADI is currently used by FSANZ in the assessment of endosulfan residues in food.</w:t>
            </w:r>
          </w:p>
        </w:tc>
      </w:tr>
      <w:tr w:rsidR="00BD4D54" w:rsidRPr="00536A8F" w:rsidTr="00EC6328">
        <w:tc>
          <w:tcPr>
            <w:tcW w:w="1318" w:type="dxa"/>
          </w:tcPr>
          <w:p w:rsidR="00BD4D54" w:rsidRPr="00536A8F" w:rsidRDefault="00BD4D54" w:rsidP="00EC6328">
            <w:pPr>
              <w:spacing w:before="20"/>
              <w:rPr>
                <w:szCs w:val="22"/>
              </w:rPr>
            </w:pPr>
            <w:r w:rsidRPr="00536A8F">
              <w:rPr>
                <w:szCs w:val="22"/>
              </w:rPr>
              <w:t>NRA (1998)</w:t>
            </w:r>
          </w:p>
        </w:tc>
        <w:tc>
          <w:tcPr>
            <w:tcW w:w="2209" w:type="dxa"/>
          </w:tcPr>
          <w:p w:rsidR="00BD4D54" w:rsidRPr="00536A8F" w:rsidRDefault="00BD4D54" w:rsidP="00EC6328">
            <w:pPr>
              <w:spacing w:before="20"/>
              <w:rPr>
                <w:szCs w:val="22"/>
              </w:rPr>
            </w:pPr>
            <w:r w:rsidRPr="00536A8F">
              <w:rPr>
                <w:szCs w:val="22"/>
              </w:rPr>
              <w:t>ADI – 0.006 mg/kg/day</w:t>
            </w:r>
          </w:p>
        </w:tc>
        <w:tc>
          <w:tcPr>
            <w:tcW w:w="5476" w:type="dxa"/>
          </w:tcPr>
          <w:p w:rsidR="00BD4D54" w:rsidRPr="00536A8F" w:rsidRDefault="00BD4D54" w:rsidP="00EC6328">
            <w:pPr>
              <w:spacing w:before="20"/>
              <w:rPr>
                <w:szCs w:val="22"/>
              </w:rPr>
            </w:pPr>
            <w:r w:rsidRPr="00536A8F">
              <w:rPr>
                <w:szCs w:val="22"/>
              </w:rPr>
              <w:t>As noted above from OCS (2012).</w:t>
            </w:r>
          </w:p>
        </w:tc>
      </w:tr>
      <w:tr w:rsidR="00BD4D54" w:rsidRPr="00536A8F" w:rsidTr="00EC6328">
        <w:tc>
          <w:tcPr>
            <w:tcW w:w="9003" w:type="dxa"/>
            <w:gridSpan w:val="3"/>
          </w:tcPr>
          <w:p w:rsidR="00BD4D54" w:rsidRPr="00536A8F" w:rsidRDefault="00BD4D54" w:rsidP="00EC6328">
            <w:pPr>
              <w:spacing w:before="20"/>
              <w:jc w:val="center"/>
              <w:rPr>
                <w:b/>
                <w:szCs w:val="22"/>
              </w:rPr>
            </w:pPr>
            <w:r w:rsidRPr="00536A8F">
              <w:rPr>
                <w:b/>
                <w:szCs w:val="22"/>
              </w:rPr>
              <w:t>International</w:t>
            </w:r>
          </w:p>
        </w:tc>
      </w:tr>
      <w:tr w:rsidR="00BD4D54" w:rsidRPr="00536A8F" w:rsidTr="00EC6328">
        <w:tc>
          <w:tcPr>
            <w:tcW w:w="1318" w:type="dxa"/>
          </w:tcPr>
          <w:p w:rsidR="00BD4D54" w:rsidRPr="00536A8F" w:rsidRDefault="00BD4D54" w:rsidP="00EC6328">
            <w:pPr>
              <w:spacing w:before="20"/>
              <w:rPr>
                <w:szCs w:val="22"/>
              </w:rPr>
            </w:pPr>
            <w:r w:rsidRPr="00536A8F">
              <w:rPr>
                <w:szCs w:val="22"/>
              </w:rPr>
              <w:t>WHO (2011)</w:t>
            </w:r>
          </w:p>
        </w:tc>
        <w:tc>
          <w:tcPr>
            <w:tcW w:w="2209" w:type="dxa"/>
          </w:tcPr>
          <w:p w:rsidR="00BD4D54" w:rsidRPr="00536A8F" w:rsidRDefault="00BD4D54" w:rsidP="00EC6328">
            <w:pPr>
              <w:spacing w:before="20"/>
              <w:rPr>
                <w:szCs w:val="22"/>
              </w:rPr>
            </w:pPr>
            <w:r w:rsidRPr="00536A8F">
              <w:rPr>
                <w:szCs w:val="22"/>
              </w:rPr>
              <w:t>ADI = 0.006 mg/kg/day</w:t>
            </w:r>
          </w:p>
        </w:tc>
        <w:tc>
          <w:tcPr>
            <w:tcW w:w="5476" w:type="dxa"/>
          </w:tcPr>
          <w:p w:rsidR="00BD4D54" w:rsidRPr="00536A8F" w:rsidRDefault="00BD4D54" w:rsidP="00EC6328">
            <w:pPr>
              <w:spacing w:before="20"/>
              <w:rPr>
                <w:szCs w:val="22"/>
              </w:rPr>
            </w:pPr>
            <w:r w:rsidRPr="00536A8F">
              <w:rPr>
                <w:szCs w:val="22"/>
              </w:rPr>
              <w:t xml:space="preserve">No guideline is currently set in WHO (2011) as concentrations in drinking water occur well below those of health concern. However the review has noted that a health-based value of 0.02 mg/L can be derived on the basis of an ADI of 0.006 mg/kg/day derived from a 2-year dietary study in rats, supported by a 78-week study in mice, a 1 -ear study in dogs and a developmental study in rats. </w:t>
            </w:r>
          </w:p>
        </w:tc>
      </w:tr>
      <w:tr w:rsidR="00BD4D54" w:rsidRPr="00536A8F" w:rsidTr="00EC6328">
        <w:tc>
          <w:tcPr>
            <w:tcW w:w="1318" w:type="dxa"/>
          </w:tcPr>
          <w:p w:rsidR="00BD4D54" w:rsidRPr="00536A8F" w:rsidRDefault="00BD4D54" w:rsidP="00EC6328">
            <w:pPr>
              <w:spacing w:before="20"/>
              <w:rPr>
                <w:szCs w:val="22"/>
              </w:rPr>
            </w:pPr>
            <w:r w:rsidRPr="00536A8F">
              <w:rPr>
                <w:szCs w:val="22"/>
              </w:rPr>
              <w:t>ATSDR (2000)</w:t>
            </w:r>
          </w:p>
        </w:tc>
        <w:tc>
          <w:tcPr>
            <w:tcW w:w="2209" w:type="dxa"/>
          </w:tcPr>
          <w:p w:rsidR="00BD4D54" w:rsidRPr="00536A8F" w:rsidRDefault="00BD4D54" w:rsidP="00EC6328">
            <w:pPr>
              <w:spacing w:before="20"/>
              <w:rPr>
                <w:szCs w:val="22"/>
              </w:rPr>
            </w:pPr>
            <w:r w:rsidRPr="00536A8F">
              <w:rPr>
                <w:szCs w:val="22"/>
              </w:rPr>
              <w:t>Oral MRL = 0.002 mg/kg/day</w:t>
            </w:r>
          </w:p>
        </w:tc>
        <w:tc>
          <w:tcPr>
            <w:tcW w:w="5476" w:type="dxa"/>
          </w:tcPr>
          <w:p w:rsidR="00BD4D54" w:rsidRPr="00536A8F" w:rsidRDefault="00BD4D54" w:rsidP="00EC6328">
            <w:pPr>
              <w:spacing w:before="20"/>
              <w:rPr>
                <w:szCs w:val="22"/>
              </w:rPr>
            </w:pPr>
            <w:r w:rsidRPr="00536A8F">
              <w:rPr>
                <w:szCs w:val="22"/>
              </w:rPr>
              <w:t>Chronic oral MRL based on a NOAEL of 0.18 mg/kg/day associated with liver effects in a dog study, and an uncertainty factor of 100.</w:t>
            </w:r>
          </w:p>
        </w:tc>
      </w:tr>
      <w:tr w:rsidR="00BD4D54" w:rsidRPr="00536A8F" w:rsidTr="00EC6328">
        <w:tc>
          <w:tcPr>
            <w:tcW w:w="1318" w:type="dxa"/>
          </w:tcPr>
          <w:p w:rsidR="00BD4D54" w:rsidRPr="00536A8F" w:rsidRDefault="00BD4D54" w:rsidP="00EC6328">
            <w:pPr>
              <w:spacing w:before="20"/>
              <w:rPr>
                <w:szCs w:val="22"/>
              </w:rPr>
            </w:pPr>
            <w:r w:rsidRPr="00536A8F">
              <w:rPr>
                <w:szCs w:val="22"/>
              </w:rPr>
              <w:t>US EPA (IRIS 2012)</w:t>
            </w:r>
          </w:p>
        </w:tc>
        <w:tc>
          <w:tcPr>
            <w:tcW w:w="2209" w:type="dxa"/>
          </w:tcPr>
          <w:p w:rsidR="00BD4D54" w:rsidRPr="00536A8F" w:rsidRDefault="00BD4D54" w:rsidP="00EC6328">
            <w:pPr>
              <w:spacing w:before="20"/>
              <w:rPr>
                <w:szCs w:val="22"/>
              </w:rPr>
            </w:pPr>
            <w:r w:rsidRPr="00536A8F">
              <w:rPr>
                <w:szCs w:val="22"/>
              </w:rPr>
              <w:t>RfD = 0.006 mg/kg/day</w:t>
            </w:r>
          </w:p>
          <w:p w:rsidR="00BD4D54" w:rsidRPr="00536A8F" w:rsidRDefault="00BD4D54" w:rsidP="00EC6328">
            <w:pPr>
              <w:spacing w:before="20"/>
              <w:rPr>
                <w:szCs w:val="22"/>
              </w:rPr>
            </w:pPr>
          </w:p>
        </w:tc>
        <w:tc>
          <w:tcPr>
            <w:tcW w:w="5476" w:type="dxa"/>
          </w:tcPr>
          <w:p w:rsidR="00BD4D54" w:rsidRPr="00536A8F" w:rsidRDefault="00BD4D54" w:rsidP="00EC6328">
            <w:pPr>
              <w:spacing w:before="20"/>
              <w:rPr>
                <w:szCs w:val="22"/>
              </w:rPr>
            </w:pPr>
            <w:r w:rsidRPr="00536A8F">
              <w:rPr>
                <w:szCs w:val="22"/>
              </w:rPr>
              <w:t>Oral RfD (last reviewed in 1994) is based on a NOAEL of 0.6/0.7 (M/F) mg/kg/day associated with kidney effects and aneurysms in a rat study, and an uncertainty factor of 100.</w:t>
            </w:r>
          </w:p>
        </w:tc>
      </w:tr>
    </w:tbl>
    <w:p w:rsidR="00BD4D54" w:rsidRDefault="00BD4D54" w:rsidP="00BD4D54"/>
    <w:p w:rsidR="00BD4D54" w:rsidRDefault="00BD4D54" w:rsidP="00BD4D54">
      <w:r>
        <w:t>Based on the available reviews, a consistent oral TRV of 0.006 mg/kg/day is available and considered suitable for the derivation of soil HILs. No inhalation or dermal data is available hence it is recommended that all intakes associated with contaminated soil be assessed on the basis of the oral TRV.</w:t>
      </w:r>
    </w:p>
    <w:p w:rsidR="00BD4D54" w:rsidRDefault="00BD4D54" w:rsidP="00BD4D54">
      <w:pPr>
        <w:rPr>
          <w:b/>
          <w:u w:val="single"/>
        </w:rPr>
      </w:pPr>
      <w:r>
        <w:rPr>
          <w:b/>
          <w:u w:val="single"/>
        </w:rPr>
        <w:br w:type="page"/>
      </w:r>
    </w:p>
    <w:p w:rsidR="00BD4D54" w:rsidRPr="00921D7B" w:rsidRDefault="00BD4D54" w:rsidP="00BD4D54">
      <w:pPr>
        <w:pStyle w:val="Heading3"/>
      </w:pPr>
      <w:bookmarkStart w:id="58" w:name="_Toc351714147"/>
      <w:r w:rsidRPr="00921D7B">
        <w:lastRenderedPageBreak/>
        <w:t>Recommendation</w:t>
      </w:r>
      <w:bookmarkEnd w:id="58"/>
    </w:p>
    <w:p w:rsidR="00BD4D54" w:rsidRPr="00191EC8" w:rsidRDefault="00BD4D54" w:rsidP="00BD4D54">
      <w:r>
        <w:t>On the basis of the discussion above, the following toxicity reference values (TRVs) have been adopted for endosulfan in the derivation of HILs:</w:t>
      </w:r>
    </w:p>
    <w:p w:rsidR="00BD4D54" w:rsidRDefault="00BD4D54" w:rsidP="00BD4D54">
      <w:r>
        <w:rPr>
          <w:noProof/>
          <w:lang w:eastAsia="en-AU"/>
        </w:rPr>
        <mc:AlternateContent>
          <mc:Choice Requires="wps">
            <w:drawing>
              <wp:inline distT="0" distB="0" distL="0" distR="0">
                <wp:extent cx="5688965" cy="1659255"/>
                <wp:effectExtent l="13335" t="6985" r="12700" b="1016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965" cy="1659255"/>
                        </a:xfrm>
                        <a:prstGeom prst="rect">
                          <a:avLst/>
                        </a:prstGeom>
                        <a:solidFill>
                          <a:srgbClr val="D8D8D8"/>
                        </a:solidFill>
                        <a:ln w="9525">
                          <a:solidFill>
                            <a:srgbClr val="000000"/>
                          </a:solidFill>
                          <a:miter lim="800000"/>
                          <a:headEnd/>
                          <a:tailEnd/>
                        </a:ln>
                      </wps:spPr>
                      <wps:txbx>
                        <w:txbxContent>
                          <w:p w:rsidR="00480C84" w:rsidRPr="00742163" w:rsidRDefault="00480C84" w:rsidP="00BD4D54">
                            <w:pPr>
                              <w:spacing w:after="40"/>
                              <w:rPr>
                                <w:b/>
                                <w:u w:val="single"/>
                              </w:rPr>
                            </w:pPr>
                            <w:r w:rsidRPr="00742163">
                              <w:rPr>
                                <w:b/>
                                <w:u w:val="single"/>
                              </w:rPr>
                              <w:t xml:space="preserve">Recommendation for </w:t>
                            </w:r>
                            <w:r>
                              <w:rPr>
                                <w:b/>
                                <w:u w:val="single"/>
                              </w:rPr>
                              <w:t>Endosulfan</w:t>
                            </w:r>
                          </w:p>
                          <w:p w:rsidR="00480C84" w:rsidRDefault="00480C84" w:rsidP="00BD4D54">
                            <w:pPr>
                              <w:spacing w:after="40"/>
                            </w:pPr>
                            <w:r>
                              <w:t>Oral TRV (TRV</w:t>
                            </w:r>
                            <w:r w:rsidRPr="00684B59">
                              <w:rPr>
                                <w:vertAlign w:val="subscript"/>
                              </w:rPr>
                              <w:t>O</w:t>
                            </w:r>
                            <w:r>
                              <w:t>) = 0.006 mg/kg/day (OCS 2012) relevant for all pathways of exposure</w:t>
                            </w:r>
                          </w:p>
                          <w:p w:rsidR="00480C84" w:rsidRDefault="00480C84" w:rsidP="00BD4D54">
                            <w:pPr>
                              <w:spacing w:after="40"/>
                            </w:pPr>
                            <w:r>
                              <w:t>Dermal absorption factor (DAF) = 0.1 (or 10%) (US EPA 1995)</w:t>
                            </w:r>
                          </w:p>
                          <w:p w:rsidR="00480C84" w:rsidRDefault="00480C84" w:rsidP="00BD4D54">
                            <w:pPr>
                              <w:spacing w:after="40"/>
                            </w:pPr>
                            <w:r>
                              <w:t>Background intakes from other sources (as % of TRV):</w:t>
                            </w:r>
                          </w:p>
                          <w:p w:rsidR="00480C84" w:rsidRDefault="00480C84" w:rsidP="00BD4D54">
                            <w:pPr>
                              <w:spacing w:after="40"/>
                              <w:ind w:left="720"/>
                            </w:pPr>
                            <w:r>
                              <w:t>BI</w:t>
                            </w:r>
                            <w:r w:rsidRPr="002049F5">
                              <w:rPr>
                                <w:vertAlign w:val="subscript"/>
                              </w:rPr>
                              <w:t>O</w:t>
                            </w:r>
                            <w:r>
                              <w:t xml:space="preserve"> = 30% for oral and dermal intakes</w:t>
                            </w:r>
                          </w:p>
                          <w:p w:rsidR="00480C84" w:rsidRDefault="00480C84" w:rsidP="00BD4D54">
                            <w:pPr>
                              <w:spacing w:after="40"/>
                              <w:ind w:left="720"/>
                            </w:pPr>
                            <w:r>
                              <w:t>BIi = 30% for inhalation</w:t>
                            </w:r>
                          </w:p>
                        </w:txbxContent>
                      </wps:txbx>
                      <wps:bodyPr rot="0" vert="horz" wrap="square" lIns="91440" tIns="45720" rIns="91440" bIns="45720" anchor="t" anchorCtr="0" upright="1">
                        <a:noAutofit/>
                      </wps:bodyPr>
                    </wps:wsp>
                  </a:graphicData>
                </a:graphic>
              </wp:inline>
            </w:drawing>
          </mc:Choice>
          <mc:Fallback>
            <w:pict>
              <v:shape id="Text Box 9" o:spid="_x0000_s1032" type="#_x0000_t202" style="width:447.95pt;height:13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" fillcolor="#d8d8d8">
                <v:textbox>
                  <w:txbxContent>
                    <w:p w:rsidR="00480C84" w:rsidRPr="00742163" w:rsidRDefault="00480C84" w:rsidP="00BD4D54">
                      <w:pPr>
                        <w:spacing w:after="40"/>
                        <w:rPr>
                          <w:b/>
                          <w:u w:val="single"/>
                        </w:rPr>
                      </w:pPr>
                      <w:r w:rsidRPr="00742163">
                        <w:rPr>
                          <w:b/>
                          <w:u w:val="single"/>
                        </w:rPr>
                        <w:t xml:space="preserve">Recommendation for </w:t>
                      </w:r>
                      <w:r>
                        <w:rPr>
                          <w:b/>
                          <w:u w:val="single"/>
                        </w:rPr>
                        <w:t>Endosulfan</w:t>
                      </w:r>
                    </w:p>
                    <w:p w:rsidR="00480C84" w:rsidRDefault="00480C84" w:rsidP="00BD4D54">
                      <w:pPr>
                        <w:spacing w:after="40"/>
                      </w:pPr>
                      <w:r>
                        <w:t>Oral TRV (TRV</w:t>
                      </w:r>
                      <w:r w:rsidRPr="00684B59">
                        <w:rPr>
                          <w:vertAlign w:val="subscript"/>
                        </w:rPr>
                        <w:t>O</w:t>
                      </w:r>
                      <w:r>
                        <w:t>) = 0.006 mg/kg/day (OCS 2012) relevant for all pathways of exposure</w:t>
                      </w:r>
                    </w:p>
                    <w:p w:rsidR="00480C84" w:rsidRDefault="00480C84" w:rsidP="00BD4D54">
                      <w:pPr>
                        <w:spacing w:after="40"/>
                      </w:pPr>
                      <w:r>
                        <w:t>Dermal absorption factor (DAF) = 0.1 (or 10%) (US EPA 1995)</w:t>
                      </w:r>
                    </w:p>
                    <w:p w:rsidR="00480C84" w:rsidRDefault="00480C84" w:rsidP="00BD4D54">
                      <w:pPr>
                        <w:spacing w:after="40"/>
                      </w:pPr>
                      <w:r>
                        <w:t>Background intakes from other sources (as % of TRV):</w:t>
                      </w:r>
                    </w:p>
                    <w:p w:rsidR="00480C84" w:rsidRDefault="00480C84" w:rsidP="00BD4D54">
                      <w:pPr>
                        <w:spacing w:after="40"/>
                        <w:ind w:left="720"/>
                      </w:pPr>
                      <w:r>
                        <w:t>BI</w:t>
                      </w:r>
                      <w:r w:rsidRPr="002049F5">
                        <w:rPr>
                          <w:vertAlign w:val="subscript"/>
                        </w:rPr>
                        <w:t>O</w:t>
                      </w:r>
                      <w:r>
                        <w:t xml:space="preserve"> = 30% for oral and dermal intakes</w:t>
                      </w:r>
                    </w:p>
                    <w:p w:rsidR="00480C84" w:rsidRDefault="00480C84" w:rsidP="00BD4D54">
                      <w:pPr>
                        <w:spacing w:after="40"/>
                        <w:ind w:left="720"/>
                      </w:pPr>
                      <w:r>
                        <w:t>BIi = 30% for inhalation</w:t>
                      </w:r>
                    </w:p>
                  </w:txbxContent>
                </v:textbox>
                <w10:anchorlock/>
              </v:shape>
            </w:pict>
          </mc:Fallback>
        </mc:AlternateContent>
      </w:r>
    </w:p>
    <w:p w:rsidR="00BD4D54" w:rsidRDefault="00BD4D54" w:rsidP="00BD4D54">
      <w:pPr>
        <w:pStyle w:val="Heading2"/>
        <w:tabs>
          <w:tab w:val="clear" w:pos="1209"/>
        </w:tabs>
      </w:pPr>
      <w:bookmarkStart w:id="59" w:name="_Toc351714148"/>
      <w:r>
        <w:t>Calculated HILs</w:t>
      </w:r>
      <w:bookmarkEnd w:id="59"/>
    </w:p>
    <w:p w:rsidR="00BD4D54" w:rsidRDefault="00BD4D54" w:rsidP="00BD4D54">
      <w:r>
        <w:t>On the basis of the above the following HILs have been derived for endosulfan (refer to Appendix B for equations used to calculate the HILs and Appendix C for calculations):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9"/>
        <w:gridCol w:w="1287"/>
        <w:gridCol w:w="1445"/>
        <w:gridCol w:w="1517"/>
        <w:gridCol w:w="1553"/>
        <w:gridCol w:w="1392"/>
      </w:tblGrid>
      <w:tr w:rsidR="00BD4D54" w:rsidRPr="003B0536" w:rsidTr="00EC6328">
        <w:tc>
          <w:tcPr>
            <w:tcW w:w="1639" w:type="dxa"/>
            <w:vMerge w:val="restart"/>
            <w:shd w:val="clear" w:color="auto" w:fill="C6D9F1" w:themeFill="text2" w:themeFillTint="33"/>
          </w:tcPr>
          <w:p w:rsidR="00BD4D54" w:rsidRPr="003B0536" w:rsidRDefault="00BD4D54" w:rsidP="00EC6328">
            <w:pPr>
              <w:spacing w:after="40"/>
              <w:rPr>
                <w:b/>
                <w:szCs w:val="22"/>
              </w:rPr>
            </w:pPr>
            <w:r w:rsidRPr="003B0536">
              <w:rPr>
                <w:b/>
                <w:szCs w:val="22"/>
              </w:rPr>
              <w:t>HIL Scenario</w:t>
            </w:r>
          </w:p>
        </w:tc>
        <w:tc>
          <w:tcPr>
            <w:tcW w:w="1287" w:type="dxa"/>
            <w:vMerge w:val="restart"/>
            <w:shd w:val="clear" w:color="auto" w:fill="C6D9F1" w:themeFill="text2" w:themeFillTint="33"/>
          </w:tcPr>
          <w:p w:rsidR="00BD4D54" w:rsidRPr="003B0536" w:rsidRDefault="00BD4D54" w:rsidP="00EC6328">
            <w:pPr>
              <w:spacing w:after="40"/>
              <w:jc w:val="center"/>
              <w:rPr>
                <w:b/>
                <w:szCs w:val="22"/>
              </w:rPr>
            </w:pPr>
            <w:r w:rsidRPr="003B0536">
              <w:rPr>
                <w:b/>
                <w:szCs w:val="22"/>
              </w:rPr>
              <w:t>HIL (mg/kg)</w:t>
            </w:r>
          </w:p>
        </w:tc>
        <w:tc>
          <w:tcPr>
            <w:tcW w:w="5907" w:type="dxa"/>
            <w:gridSpan w:val="4"/>
            <w:shd w:val="clear" w:color="auto" w:fill="C6D9F1" w:themeFill="text2" w:themeFillTint="33"/>
          </w:tcPr>
          <w:p w:rsidR="00BD4D54" w:rsidRPr="003B0536" w:rsidRDefault="00BD4D54" w:rsidP="00EC6328">
            <w:pPr>
              <w:spacing w:after="40"/>
              <w:jc w:val="center"/>
              <w:rPr>
                <w:b/>
                <w:szCs w:val="22"/>
              </w:rPr>
            </w:pPr>
            <w:r w:rsidRPr="003B0536">
              <w:rPr>
                <w:b/>
                <w:szCs w:val="22"/>
              </w:rPr>
              <w:t>Percentage Contribution from Exposure Pathways</w:t>
            </w:r>
          </w:p>
        </w:tc>
      </w:tr>
      <w:tr w:rsidR="00BD4D54" w:rsidRPr="003B0536" w:rsidTr="00EC6328">
        <w:trPr>
          <w:trHeight w:val="427"/>
        </w:trPr>
        <w:tc>
          <w:tcPr>
            <w:tcW w:w="1639" w:type="dxa"/>
            <w:vMerge/>
            <w:shd w:val="clear" w:color="auto" w:fill="C6D9F1" w:themeFill="text2" w:themeFillTint="33"/>
          </w:tcPr>
          <w:p w:rsidR="00BD4D54" w:rsidRPr="003B0536" w:rsidRDefault="00BD4D54" w:rsidP="00EC6328">
            <w:pPr>
              <w:spacing w:after="40"/>
              <w:rPr>
                <w:szCs w:val="22"/>
              </w:rPr>
            </w:pPr>
          </w:p>
        </w:tc>
        <w:tc>
          <w:tcPr>
            <w:tcW w:w="1287" w:type="dxa"/>
            <w:vMerge/>
            <w:shd w:val="clear" w:color="auto" w:fill="C6D9F1" w:themeFill="text2" w:themeFillTint="33"/>
          </w:tcPr>
          <w:p w:rsidR="00BD4D54" w:rsidRPr="003B0536" w:rsidRDefault="00BD4D54" w:rsidP="00EC6328">
            <w:pPr>
              <w:spacing w:after="40"/>
              <w:jc w:val="center"/>
              <w:rPr>
                <w:szCs w:val="22"/>
              </w:rPr>
            </w:pPr>
          </w:p>
        </w:tc>
        <w:tc>
          <w:tcPr>
            <w:tcW w:w="1445" w:type="dxa"/>
            <w:shd w:val="clear" w:color="auto" w:fill="C6D9F1" w:themeFill="text2" w:themeFillTint="33"/>
          </w:tcPr>
          <w:p w:rsidR="00BD4D54" w:rsidRPr="003B0536" w:rsidRDefault="00BD4D54" w:rsidP="00EC6328">
            <w:pPr>
              <w:spacing w:after="40"/>
              <w:jc w:val="center"/>
              <w:rPr>
                <w:b/>
                <w:szCs w:val="22"/>
              </w:rPr>
            </w:pPr>
            <w:r w:rsidRPr="003B0536">
              <w:rPr>
                <w:b/>
                <w:szCs w:val="22"/>
              </w:rPr>
              <w:t>Ingestion of Soil/Dust</w:t>
            </w:r>
          </w:p>
        </w:tc>
        <w:tc>
          <w:tcPr>
            <w:tcW w:w="1517" w:type="dxa"/>
            <w:shd w:val="clear" w:color="auto" w:fill="C6D9F1" w:themeFill="text2" w:themeFillTint="33"/>
          </w:tcPr>
          <w:p w:rsidR="00BD4D54" w:rsidRPr="003B0536" w:rsidRDefault="00BD4D54" w:rsidP="00EC6328">
            <w:pPr>
              <w:spacing w:after="40"/>
              <w:jc w:val="center"/>
              <w:rPr>
                <w:b/>
                <w:szCs w:val="22"/>
              </w:rPr>
            </w:pPr>
            <w:r w:rsidRPr="003B0536">
              <w:rPr>
                <w:b/>
                <w:szCs w:val="22"/>
              </w:rPr>
              <w:t>Ingestion of Home-grown Produce</w:t>
            </w:r>
          </w:p>
        </w:tc>
        <w:tc>
          <w:tcPr>
            <w:tcW w:w="1553" w:type="dxa"/>
            <w:shd w:val="clear" w:color="auto" w:fill="C6D9F1" w:themeFill="text2" w:themeFillTint="33"/>
          </w:tcPr>
          <w:p w:rsidR="00BD4D54" w:rsidRPr="003B0536" w:rsidRDefault="00BD4D54" w:rsidP="00EC6328">
            <w:pPr>
              <w:spacing w:after="40"/>
              <w:jc w:val="center"/>
              <w:rPr>
                <w:b/>
                <w:szCs w:val="22"/>
              </w:rPr>
            </w:pPr>
            <w:r w:rsidRPr="003B0536">
              <w:rPr>
                <w:b/>
                <w:szCs w:val="22"/>
              </w:rPr>
              <w:t>Dermal Absorption of Soil/Dust</w:t>
            </w:r>
          </w:p>
        </w:tc>
        <w:tc>
          <w:tcPr>
            <w:tcW w:w="1392" w:type="dxa"/>
            <w:shd w:val="clear" w:color="auto" w:fill="C6D9F1" w:themeFill="text2" w:themeFillTint="33"/>
          </w:tcPr>
          <w:p w:rsidR="00BD4D54" w:rsidRPr="003B0536" w:rsidRDefault="00BD4D54" w:rsidP="00EC6328">
            <w:pPr>
              <w:spacing w:after="40"/>
              <w:jc w:val="center"/>
              <w:rPr>
                <w:b/>
                <w:szCs w:val="22"/>
              </w:rPr>
            </w:pPr>
            <w:r w:rsidRPr="003B0536">
              <w:rPr>
                <w:b/>
                <w:szCs w:val="22"/>
              </w:rPr>
              <w:t>Inhalation (dust)</w:t>
            </w:r>
          </w:p>
        </w:tc>
      </w:tr>
      <w:tr w:rsidR="00BD4D54" w:rsidRPr="003B0536" w:rsidTr="00EC6328">
        <w:tc>
          <w:tcPr>
            <w:tcW w:w="1639" w:type="dxa"/>
          </w:tcPr>
          <w:p w:rsidR="00BD4D54" w:rsidRPr="003B0536" w:rsidRDefault="00BD4D54" w:rsidP="00EC6328">
            <w:pPr>
              <w:spacing w:after="40"/>
              <w:rPr>
                <w:szCs w:val="22"/>
              </w:rPr>
            </w:pPr>
            <w:r w:rsidRPr="003B0536">
              <w:rPr>
                <w:szCs w:val="22"/>
              </w:rPr>
              <w:t>Residential A</w:t>
            </w:r>
          </w:p>
        </w:tc>
        <w:tc>
          <w:tcPr>
            <w:tcW w:w="1287" w:type="dxa"/>
            <w:tcMar>
              <w:right w:w="397" w:type="dxa"/>
            </w:tcMar>
          </w:tcPr>
          <w:p w:rsidR="00BD4D54" w:rsidRPr="003B0536" w:rsidRDefault="00BD4D54" w:rsidP="00EC6328">
            <w:pPr>
              <w:spacing w:after="40"/>
              <w:jc w:val="right"/>
              <w:rPr>
                <w:szCs w:val="22"/>
              </w:rPr>
            </w:pPr>
            <w:r w:rsidRPr="003B0536">
              <w:rPr>
                <w:szCs w:val="22"/>
              </w:rPr>
              <w:t>270</w:t>
            </w:r>
          </w:p>
        </w:tc>
        <w:tc>
          <w:tcPr>
            <w:tcW w:w="1445" w:type="dxa"/>
          </w:tcPr>
          <w:p w:rsidR="00BD4D54" w:rsidRPr="003B0536" w:rsidRDefault="00BD4D54" w:rsidP="00EC6328">
            <w:pPr>
              <w:spacing w:after="40"/>
              <w:jc w:val="center"/>
              <w:rPr>
                <w:szCs w:val="22"/>
              </w:rPr>
            </w:pPr>
            <w:r w:rsidRPr="003B0536">
              <w:rPr>
                <w:szCs w:val="22"/>
              </w:rPr>
              <w:t>43</w:t>
            </w:r>
          </w:p>
        </w:tc>
        <w:tc>
          <w:tcPr>
            <w:tcW w:w="1517" w:type="dxa"/>
          </w:tcPr>
          <w:p w:rsidR="00BD4D54" w:rsidRPr="003B0536" w:rsidRDefault="00BD4D54" w:rsidP="00EC6328">
            <w:pPr>
              <w:spacing w:after="40"/>
              <w:jc w:val="center"/>
              <w:rPr>
                <w:szCs w:val="22"/>
              </w:rPr>
            </w:pPr>
            <w:r w:rsidRPr="003B0536">
              <w:rPr>
                <w:szCs w:val="22"/>
              </w:rPr>
              <w:t>--</w:t>
            </w:r>
          </w:p>
        </w:tc>
        <w:tc>
          <w:tcPr>
            <w:tcW w:w="1553" w:type="dxa"/>
          </w:tcPr>
          <w:p w:rsidR="00BD4D54" w:rsidRPr="003B0536" w:rsidRDefault="00BD4D54" w:rsidP="00EC6328">
            <w:pPr>
              <w:spacing w:after="40"/>
              <w:jc w:val="center"/>
              <w:rPr>
                <w:szCs w:val="22"/>
              </w:rPr>
            </w:pPr>
            <w:r w:rsidRPr="003B0536">
              <w:rPr>
                <w:szCs w:val="22"/>
              </w:rPr>
              <w:t>57</w:t>
            </w:r>
          </w:p>
        </w:tc>
        <w:tc>
          <w:tcPr>
            <w:tcW w:w="1392" w:type="dxa"/>
          </w:tcPr>
          <w:p w:rsidR="00BD4D54" w:rsidRPr="003B0536" w:rsidRDefault="00BD4D54" w:rsidP="00EC6328">
            <w:pPr>
              <w:spacing w:after="40"/>
              <w:jc w:val="center"/>
              <w:rPr>
                <w:szCs w:val="22"/>
              </w:rPr>
            </w:pPr>
            <w:r w:rsidRPr="003B0536">
              <w:rPr>
                <w:szCs w:val="22"/>
              </w:rPr>
              <w:t>&lt;1</w:t>
            </w:r>
          </w:p>
        </w:tc>
      </w:tr>
      <w:tr w:rsidR="00BD4D54" w:rsidRPr="003B0536" w:rsidTr="00EC6328">
        <w:tc>
          <w:tcPr>
            <w:tcW w:w="1639" w:type="dxa"/>
          </w:tcPr>
          <w:p w:rsidR="00BD4D54" w:rsidRPr="003B0536" w:rsidRDefault="00BD4D54" w:rsidP="00EC6328">
            <w:pPr>
              <w:spacing w:after="40"/>
              <w:rPr>
                <w:szCs w:val="22"/>
              </w:rPr>
            </w:pPr>
            <w:r w:rsidRPr="003B0536">
              <w:rPr>
                <w:szCs w:val="22"/>
              </w:rPr>
              <w:t>Residential B</w:t>
            </w:r>
          </w:p>
        </w:tc>
        <w:tc>
          <w:tcPr>
            <w:tcW w:w="1287" w:type="dxa"/>
            <w:tcMar>
              <w:right w:w="397" w:type="dxa"/>
            </w:tcMar>
          </w:tcPr>
          <w:p w:rsidR="00BD4D54" w:rsidRPr="003B0536" w:rsidRDefault="00BD4D54" w:rsidP="00EC6328">
            <w:pPr>
              <w:spacing w:after="40"/>
              <w:jc w:val="right"/>
              <w:rPr>
                <w:szCs w:val="22"/>
              </w:rPr>
            </w:pPr>
            <w:r w:rsidRPr="003B0536">
              <w:rPr>
                <w:szCs w:val="22"/>
              </w:rPr>
              <w:t>400</w:t>
            </w:r>
          </w:p>
        </w:tc>
        <w:tc>
          <w:tcPr>
            <w:tcW w:w="1445" w:type="dxa"/>
          </w:tcPr>
          <w:p w:rsidR="00BD4D54" w:rsidRPr="003B0536" w:rsidRDefault="00BD4D54" w:rsidP="00EC6328">
            <w:pPr>
              <w:spacing w:after="40"/>
              <w:jc w:val="center"/>
              <w:rPr>
                <w:szCs w:val="22"/>
              </w:rPr>
            </w:pPr>
            <w:r w:rsidRPr="003B0536">
              <w:rPr>
                <w:szCs w:val="22"/>
              </w:rPr>
              <w:t>16</w:t>
            </w:r>
          </w:p>
        </w:tc>
        <w:tc>
          <w:tcPr>
            <w:tcW w:w="1517" w:type="dxa"/>
          </w:tcPr>
          <w:p w:rsidR="00BD4D54" w:rsidRPr="003B0536" w:rsidRDefault="00BD4D54" w:rsidP="00EC6328">
            <w:pPr>
              <w:spacing w:after="40"/>
              <w:jc w:val="center"/>
              <w:rPr>
                <w:szCs w:val="22"/>
              </w:rPr>
            </w:pPr>
            <w:r w:rsidRPr="003B0536">
              <w:rPr>
                <w:szCs w:val="22"/>
              </w:rPr>
              <w:t>--</w:t>
            </w:r>
          </w:p>
        </w:tc>
        <w:tc>
          <w:tcPr>
            <w:tcW w:w="1553" w:type="dxa"/>
          </w:tcPr>
          <w:p w:rsidR="00BD4D54" w:rsidRPr="003B0536" w:rsidRDefault="00BD4D54" w:rsidP="00EC6328">
            <w:pPr>
              <w:spacing w:after="40"/>
              <w:jc w:val="center"/>
              <w:rPr>
                <w:szCs w:val="22"/>
              </w:rPr>
            </w:pPr>
            <w:r w:rsidRPr="003B0536">
              <w:rPr>
                <w:szCs w:val="22"/>
              </w:rPr>
              <w:t>84</w:t>
            </w:r>
          </w:p>
        </w:tc>
        <w:tc>
          <w:tcPr>
            <w:tcW w:w="1392" w:type="dxa"/>
          </w:tcPr>
          <w:p w:rsidR="00BD4D54" w:rsidRPr="003B0536" w:rsidRDefault="00BD4D54" w:rsidP="00EC6328">
            <w:pPr>
              <w:spacing w:after="40"/>
              <w:jc w:val="center"/>
              <w:rPr>
                <w:szCs w:val="22"/>
              </w:rPr>
            </w:pPr>
            <w:r w:rsidRPr="003B0536">
              <w:rPr>
                <w:szCs w:val="22"/>
              </w:rPr>
              <w:t>&lt;1</w:t>
            </w:r>
          </w:p>
        </w:tc>
      </w:tr>
      <w:tr w:rsidR="00BD4D54" w:rsidRPr="003B0536" w:rsidTr="00EC6328">
        <w:tc>
          <w:tcPr>
            <w:tcW w:w="1639" w:type="dxa"/>
          </w:tcPr>
          <w:p w:rsidR="00BD4D54" w:rsidRPr="003B0536" w:rsidRDefault="00BD4D54" w:rsidP="00EC6328">
            <w:pPr>
              <w:spacing w:after="40"/>
              <w:rPr>
                <w:szCs w:val="22"/>
              </w:rPr>
            </w:pPr>
            <w:r w:rsidRPr="003B0536">
              <w:rPr>
                <w:szCs w:val="22"/>
              </w:rPr>
              <w:t>Recreational C</w:t>
            </w:r>
          </w:p>
        </w:tc>
        <w:tc>
          <w:tcPr>
            <w:tcW w:w="1287" w:type="dxa"/>
            <w:tcMar>
              <w:right w:w="397" w:type="dxa"/>
            </w:tcMar>
          </w:tcPr>
          <w:p w:rsidR="00BD4D54" w:rsidRPr="003B0536" w:rsidRDefault="00BD4D54" w:rsidP="00EC6328">
            <w:pPr>
              <w:spacing w:after="40"/>
              <w:jc w:val="right"/>
              <w:rPr>
                <w:szCs w:val="22"/>
              </w:rPr>
            </w:pPr>
            <w:r w:rsidRPr="003B0536">
              <w:rPr>
                <w:szCs w:val="22"/>
              </w:rPr>
              <w:t>340</w:t>
            </w:r>
          </w:p>
        </w:tc>
        <w:tc>
          <w:tcPr>
            <w:tcW w:w="1445" w:type="dxa"/>
          </w:tcPr>
          <w:p w:rsidR="00BD4D54" w:rsidRPr="003B0536" w:rsidRDefault="00BD4D54" w:rsidP="00EC6328">
            <w:pPr>
              <w:spacing w:after="40"/>
              <w:jc w:val="center"/>
              <w:rPr>
                <w:szCs w:val="22"/>
              </w:rPr>
            </w:pPr>
            <w:r w:rsidRPr="003B0536">
              <w:rPr>
                <w:szCs w:val="22"/>
              </w:rPr>
              <w:t>27</w:t>
            </w:r>
          </w:p>
        </w:tc>
        <w:tc>
          <w:tcPr>
            <w:tcW w:w="1517" w:type="dxa"/>
          </w:tcPr>
          <w:p w:rsidR="00BD4D54" w:rsidRPr="003B0536" w:rsidRDefault="00BD4D54" w:rsidP="00EC6328">
            <w:pPr>
              <w:spacing w:after="40"/>
              <w:jc w:val="center"/>
              <w:rPr>
                <w:szCs w:val="22"/>
              </w:rPr>
            </w:pPr>
            <w:r w:rsidRPr="003B0536">
              <w:rPr>
                <w:szCs w:val="22"/>
              </w:rPr>
              <w:t>--</w:t>
            </w:r>
          </w:p>
        </w:tc>
        <w:tc>
          <w:tcPr>
            <w:tcW w:w="1553" w:type="dxa"/>
          </w:tcPr>
          <w:p w:rsidR="00BD4D54" w:rsidRPr="003B0536" w:rsidRDefault="00BD4D54" w:rsidP="00EC6328">
            <w:pPr>
              <w:spacing w:after="40"/>
              <w:jc w:val="center"/>
              <w:rPr>
                <w:szCs w:val="22"/>
              </w:rPr>
            </w:pPr>
            <w:r w:rsidRPr="003B0536">
              <w:rPr>
                <w:szCs w:val="22"/>
              </w:rPr>
              <w:t>73</w:t>
            </w:r>
          </w:p>
        </w:tc>
        <w:tc>
          <w:tcPr>
            <w:tcW w:w="1392" w:type="dxa"/>
          </w:tcPr>
          <w:p w:rsidR="00BD4D54" w:rsidRPr="003B0536" w:rsidRDefault="00BD4D54" w:rsidP="00EC6328">
            <w:pPr>
              <w:spacing w:after="40"/>
              <w:jc w:val="center"/>
              <w:rPr>
                <w:szCs w:val="22"/>
              </w:rPr>
            </w:pPr>
            <w:r w:rsidRPr="003B0536">
              <w:rPr>
                <w:szCs w:val="22"/>
              </w:rPr>
              <w:t>&lt;1</w:t>
            </w:r>
          </w:p>
        </w:tc>
      </w:tr>
      <w:tr w:rsidR="00BD4D54" w:rsidRPr="003B0536" w:rsidTr="00EC6328">
        <w:tc>
          <w:tcPr>
            <w:tcW w:w="1639" w:type="dxa"/>
          </w:tcPr>
          <w:p w:rsidR="00BD4D54" w:rsidRPr="003B0536" w:rsidRDefault="00BD4D54" w:rsidP="00EC6328">
            <w:pPr>
              <w:spacing w:after="40"/>
              <w:rPr>
                <w:szCs w:val="22"/>
              </w:rPr>
            </w:pPr>
            <w:r w:rsidRPr="003B0536">
              <w:rPr>
                <w:szCs w:val="22"/>
              </w:rPr>
              <w:t>Commercial D</w:t>
            </w:r>
          </w:p>
        </w:tc>
        <w:tc>
          <w:tcPr>
            <w:tcW w:w="1287" w:type="dxa"/>
            <w:tcMar>
              <w:right w:w="397" w:type="dxa"/>
            </w:tcMar>
          </w:tcPr>
          <w:p w:rsidR="00BD4D54" w:rsidRPr="003B0536" w:rsidRDefault="00BD4D54" w:rsidP="00EC6328">
            <w:pPr>
              <w:spacing w:after="40"/>
              <w:jc w:val="right"/>
              <w:rPr>
                <w:szCs w:val="22"/>
              </w:rPr>
            </w:pPr>
            <w:r w:rsidRPr="003B0536">
              <w:rPr>
                <w:szCs w:val="22"/>
              </w:rPr>
              <w:t>2000</w:t>
            </w:r>
          </w:p>
        </w:tc>
        <w:tc>
          <w:tcPr>
            <w:tcW w:w="1445" w:type="dxa"/>
          </w:tcPr>
          <w:p w:rsidR="00BD4D54" w:rsidRPr="003B0536" w:rsidRDefault="00BD4D54" w:rsidP="00EC6328">
            <w:pPr>
              <w:spacing w:after="40"/>
              <w:jc w:val="center"/>
              <w:rPr>
                <w:szCs w:val="22"/>
              </w:rPr>
            </w:pPr>
            <w:r w:rsidRPr="003B0536">
              <w:rPr>
                <w:szCs w:val="22"/>
              </w:rPr>
              <w:t>12</w:t>
            </w:r>
          </w:p>
        </w:tc>
        <w:tc>
          <w:tcPr>
            <w:tcW w:w="1517" w:type="dxa"/>
          </w:tcPr>
          <w:p w:rsidR="00BD4D54" w:rsidRPr="003B0536" w:rsidRDefault="00BD4D54" w:rsidP="00EC6328">
            <w:pPr>
              <w:spacing w:after="40"/>
              <w:jc w:val="center"/>
              <w:rPr>
                <w:szCs w:val="22"/>
              </w:rPr>
            </w:pPr>
            <w:r w:rsidRPr="003B0536">
              <w:rPr>
                <w:szCs w:val="22"/>
              </w:rPr>
              <w:t>--</w:t>
            </w:r>
          </w:p>
        </w:tc>
        <w:tc>
          <w:tcPr>
            <w:tcW w:w="1553" w:type="dxa"/>
          </w:tcPr>
          <w:p w:rsidR="00BD4D54" w:rsidRPr="003B0536" w:rsidRDefault="00BD4D54" w:rsidP="00EC6328">
            <w:pPr>
              <w:spacing w:after="40"/>
              <w:jc w:val="center"/>
              <w:rPr>
                <w:szCs w:val="22"/>
              </w:rPr>
            </w:pPr>
            <w:r w:rsidRPr="003B0536">
              <w:rPr>
                <w:szCs w:val="22"/>
              </w:rPr>
              <w:t>88</w:t>
            </w:r>
          </w:p>
        </w:tc>
        <w:tc>
          <w:tcPr>
            <w:tcW w:w="1392" w:type="dxa"/>
          </w:tcPr>
          <w:p w:rsidR="00BD4D54" w:rsidRPr="003B0536" w:rsidRDefault="00BD4D54" w:rsidP="00EC6328">
            <w:pPr>
              <w:spacing w:after="40"/>
              <w:jc w:val="center"/>
              <w:rPr>
                <w:szCs w:val="22"/>
              </w:rPr>
            </w:pPr>
            <w:r w:rsidRPr="003B0536">
              <w:rPr>
                <w:szCs w:val="22"/>
              </w:rPr>
              <w:t>&lt;1</w:t>
            </w:r>
          </w:p>
        </w:tc>
      </w:tr>
    </w:tbl>
    <w:p w:rsidR="00BD4D54" w:rsidRPr="003B0536" w:rsidRDefault="00BD4D54" w:rsidP="00BD4D54">
      <w:pPr>
        <w:rPr>
          <w:sz w:val="18"/>
          <w:szCs w:val="18"/>
        </w:rPr>
      </w:pPr>
      <w:r w:rsidRPr="003B0536">
        <w:rPr>
          <w:sz w:val="18"/>
          <w:szCs w:val="18"/>
        </w:rPr>
        <w:t>-- Pathway not included in derivation of HIL</w:t>
      </w:r>
    </w:p>
    <w:p w:rsidR="00BD4D54" w:rsidRDefault="00BD4D54" w:rsidP="00BD4D54"/>
    <w:p w:rsidR="00BD4D54" w:rsidRDefault="00BD4D54" w:rsidP="00BD4D54"/>
    <w:p w:rsidR="00BD4D54" w:rsidRDefault="00BD4D54" w:rsidP="00BD4D54"/>
    <w:p w:rsidR="00BD4D54" w:rsidRDefault="00BD4D54" w:rsidP="00BD4D54">
      <w:pPr>
        <w:pStyle w:val="Heading2"/>
        <w:tabs>
          <w:tab w:val="clear" w:pos="1209"/>
        </w:tabs>
      </w:pPr>
      <w:bookmarkStart w:id="60" w:name="_Toc351714149"/>
      <w:r>
        <w:t>References</w:t>
      </w:r>
      <w:bookmarkEnd w:id="60"/>
    </w:p>
    <w:p w:rsidR="00BD4D54" w:rsidRPr="003B0536" w:rsidRDefault="00BD4D54" w:rsidP="00BD4D54">
      <w:pPr>
        <w:pStyle w:val="StyletextLeft0cmHanging1cm"/>
        <w:rPr>
          <w:lang w:eastAsia="en-US"/>
        </w:rPr>
      </w:pPr>
      <w:r w:rsidRPr="003B0536">
        <w:rPr>
          <w:lang w:eastAsia="en-US"/>
        </w:rPr>
        <w:t>APVMA 2005, The Reconsideration of Approval of Active Constituent Endosulfan, Registration of Products Containing Endosulfan and their Associated Labels, Final Review Report and Regulatory Decision Review Series 2, Australian Pesticide and Veterinary Medicines Authority Canberra, Australia.</w:t>
      </w:r>
    </w:p>
    <w:p w:rsidR="00BD4D54" w:rsidRPr="003B0536" w:rsidRDefault="00BD4D54" w:rsidP="00BD4D54">
      <w:pPr>
        <w:pStyle w:val="StyletextLeft0cmHanging1cm"/>
      </w:pPr>
      <w:r w:rsidRPr="003B0536">
        <w:t xml:space="preserve">ATSDR 2000, Toxicological Profile for Endosulfan, available on website at </w:t>
      </w:r>
      <w:hyperlink r:id="rId32" w:history="1">
        <w:r w:rsidRPr="003B0536">
          <w:rPr>
            <w:rStyle w:val="Hyperlink"/>
            <w:szCs w:val="22"/>
          </w:rPr>
          <w:t>http://www.atsdr.cdc.gov/ToxProfiles/tp.asp?id=609&amp;tid=113</w:t>
        </w:r>
      </w:hyperlink>
      <w:r w:rsidRPr="003B0536">
        <w:t>.</w:t>
      </w:r>
    </w:p>
    <w:p w:rsidR="00BD4D54" w:rsidRPr="003B0536" w:rsidRDefault="00BD4D54" w:rsidP="00BD4D54">
      <w:pPr>
        <w:pStyle w:val="StyletextLeft0cmHanging1cm"/>
      </w:pPr>
      <w:r w:rsidRPr="003B0536">
        <w:t>FSANZ 2003, The 20</w:t>
      </w:r>
      <w:r w:rsidRPr="003B0536">
        <w:rPr>
          <w:vertAlign w:val="superscript"/>
        </w:rPr>
        <w:t>th</w:t>
      </w:r>
      <w:r w:rsidRPr="003B0536">
        <w:t xml:space="preserve"> Australian Total Diet Survey, a total diet survey of pesticide residues and contaminants, Food Standards Australia and New Zealand.</w:t>
      </w:r>
    </w:p>
    <w:p w:rsidR="00BD4D54" w:rsidRPr="003B0536" w:rsidRDefault="00BD4D54" w:rsidP="00BD4D54">
      <w:pPr>
        <w:pStyle w:val="StyletextLeft0cmHanging1cm"/>
        <w:rPr>
          <w:lang w:eastAsia="en-US"/>
        </w:rPr>
      </w:pPr>
      <w:r w:rsidRPr="003B0536">
        <w:rPr>
          <w:lang w:eastAsia="en-US"/>
        </w:rPr>
        <w:t>FSANZ 2011, The 23</w:t>
      </w:r>
      <w:r w:rsidRPr="003B0536">
        <w:rPr>
          <w:vertAlign w:val="superscript"/>
          <w:lang w:eastAsia="en-US"/>
        </w:rPr>
        <w:t>rd</w:t>
      </w:r>
      <w:r w:rsidRPr="003B0536">
        <w:rPr>
          <w:lang w:eastAsia="en-US"/>
        </w:rPr>
        <w:t xml:space="preserve"> Australian Total Diet Study, Food Standards Australia and New Zealand.</w:t>
      </w:r>
    </w:p>
    <w:p w:rsidR="00BD4D54" w:rsidRPr="003B0536" w:rsidRDefault="00BD4D54" w:rsidP="00BD4D54">
      <w:pPr>
        <w:pStyle w:val="StyletextLeft0cmHanging1cm"/>
      </w:pPr>
      <w:r w:rsidRPr="003B0536">
        <w:t>Marshall, I &amp; Rutherford, S 2003, ‘Health Investigation Level for Endosulfan in Soil’, presented in the proceedings of the Fifth National Workshop on the Health Risk Assessment and Management of Contaminated Sites.</w:t>
      </w:r>
    </w:p>
    <w:p w:rsidR="00BD4D54" w:rsidRPr="003B0536" w:rsidRDefault="00BD4D54" w:rsidP="00BD4D54">
      <w:pPr>
        <w:pStyle w:val="StyletextLeft0cmHanging1cm"/>
      </w:pPr>
      <w:r w:rsidRPr="003B0536">
        <w:t>NEPC 1999, Schedule B (7a), Guideline on Health-Based Investigation Levels, National Environment Protection (Assessment of Site Contamination) Measure, National Environment Protection Council, Australia.</w:t>
      </w:r>
    </w:p>
    <w:p w:rsidR="00BD4D54" w:rsidRPr="003B0536" w:rsidRDefault="00BD4D54" w:rsidP="00BD4D54">
      <w:pPr>
        <w:pStyle w:val="StyletextLeft0cmHanging1cm"/>
        <w:rPr>
          <w:noProof/>
        </w:rPr>
      </w:pPr>
      <w:r w:rsidRPr="003B0536">
        <w:t xml:space="preserve">NHMRC 2011, </w:t>
      </w:r>
      <w:r w:rsidRPr="003B0536">
        <w:rPr>
          <w:iCs/>
        </w:rPr>
        <w:t>National water quality management strategy, Australian drinking water guidelines</w:t>
      </w:r>
      <w:r w:rsidRPr="003B0536">
        <w:t>, National Health and Medical Research Council, Australia.</w:t>
      </w:r>
      <w:r w:rsidRPr="003B0536">
        <w:rPr>
          <w:noProof/>
        </w:rPr>
        <w:t xml:space="preserve"> </w:t>
      </w:r>
    </w:p>
    <w:p w:rsidR="00BD4D54" w:rsidRPr="003B0536" w:rsidRDefault="00BD4D54" w:rsidP="00BD4D54">
      <w:pPr>
        <w:pStyle w:val="StyletextLeft0cmHanging1cm"/>
      </w:pPr>
      <w:r w:rsidRPr="003B0536">
        <w:rPr>
          <w:lang w:eastAsia="en-US"/>
        </w:rPr>
        <w:lastRenderedPageBreak/>
        <w:t>NRA 1998, The NRA Review of Endosulfan, Volume 1, Existing Chemicals Review Program, National Registration Authority for Agricultural and Veterinary Chemicals, Commonwealth of Australia, ACT, Australia.</w:t>
      </w:r>
    </w:p>
    <w:p w:rsidR="00BD4D54" w:rsidRPr="003B0536" w:rsidRDefault="00BD4D54" w:rsidP="00BD4D54">
      <w:pPr>
        <w:pStyle w:val="StyletextLeft0cmHanging1cm"/>
        <w:rPr>
          <w:rFonts w:cs="Arial"/>
          <w:noProof/>
        </w:rPr>
      </w:pPr>
      <w:r w:rsidRPr="003B0536">
        <w:rPr>
          <w:rFonts w:cs="Arial"/>
          <w:noProof/>
        </w:rPr>
        <w:t xml:space="preserve">OCS 2012, ADI List, Acceptable Daily Intakes for Agricultural and Veterinary Chemicals, current to 31 March 2012, Australian Government, Department of Health and Ageing, Office of Chemical Safety (OCS), available from: </w:t>
      </w:r>
      <w:r w:rsidRPr="003B0536">
        <w:rPr>
          <w:rFonts w:cs="Arial"/>
        </w:rPr>
        <w:t>http://www.health.gov.au/internet/main/publishing.nsf/content/E8F4D2F95D616584CA2573D700770C2A/$File/ADI-apr12.pdf.</w:t>
      </w:r>
    </w:p>
    <w:p w:rsidR="00BD4D54" w:rsidRPr="003B0536" w:rsidRDefault="00BD4D54" w:rsidP="00BD4D54">
      <w:pPr>
        <w:pStyle w:val="StyletextLeft0cmHanging1cm"/>
      </w:pPr>
      <w:r w:rsidRPr="003B0536">
        <w:t xml:space="preserve">US EPA 1995, Technical Guidance Manual, Assessing Dermal Exposure from Soil, US EPA Region 3, available from: </w:t>
      </w:r>
      <w:hyperlink r:id="rId33" w:history="1">
        <w:r w:rsidRPr="003B0536">
          <w:rPr>
            <w:rStyle w:val="Hyperlink"/>
            <w:szCs w:val="22"/>
          </w:rPr>
          <w:t>http://www.epa.gov/reg3hwmd/risk/human/info/solabsg2.htm</w:t>
        </w:r>
      </w:hyperlink>
      <w:r w:rsidRPr="003B0536">
        <w:t>.</w:t>
      </w:r>
    </w:p>
    <w:p w:rsidR="00BD4D54" w:rsidRPr="003B0536" w:rsidRDefault="00BD4D54" w:rsidP="00BD4D54">
      <w:pPr>
        <w:pStyle w:val="StyletextLeft0cmHanging1cm"/>
      </w:pPr>
      <w:r w:rsidRPr="003B0536">
        <w:t xml:space="preserve">US EPA (IRIS2012), data and information available from the Integrated Risk Information System, an online database, available from </w:t>
      </w:r>
      <w:hyperlink r:id="rId34" w:history="1">
        <w:r w:rsidRPr="003B0536">
          <w:rPr>
            <w:rStyle w:val="Hyperlink"/>
            <w:szCs w:val="22"/>
          </w:rPr>
          <w:t>http://www.epa.gov/iris/</w:t>
        </w:r>
      </w:hyperlink>
      <w:r w:rsidRPr="003B0536">
        <w:t>.</w:t>
      </w:r>
    </w:p>
    <w:p w:rsidR="00BD4D54" w:rsidRPr="003B0536" w:rsidRDefault="00BD4D54" w:rsidP="00BD4D54">
      <w:pPr>
        <w:pStyle w:val="StyletextLeft0cmHanging1cm"/>
      </w:pPr>
      <w:r w:rsidRPr="003B0536">
        <w:rPr>
          <w:lang w:eastAsia="en-US"/>
        </w:rPr>
        <w:t xml:space="preserve">WHO 1984, Environmental Health Criteria 40, </w:t>
      </w:r>
      <w:r w:rsidRPr="003B0536">
        <w:t>Endosulfan, International Programme of Chemical Safety, World Health Organization, Geneva.</w:t>
      </w:r>
    </w:p>
    <w:p w:rsidR="00BD4D54" w:rsidRPr="003B0536" w:rsidRDefault="00BD4D54" w:rsidP="00BD4D54">
      <w:pPr>
        <w:pStyle w:val="StyletextLeft0cmHanging1cm"/>
      </w:pPr>
      <w:r w:rsidRPr="003B0536">
        <w:t>WHO 1998, JMPR Evaluation – Endosulfan, published under the joint sponsorship of the United Nations Environment Programme, the International Labour Organization, and the World Health Organization, and produced within the framework of the Inter-Organization Programme for the Sound Management of Chemicals.</w:t>
      </w:r>
    </w:p>
    <w:p w:rsidR="00BD4D54" w:rsidRPr="003B0536" w:rsidRDefault="00BD4D54" w:rsidP="00BD4D54">
      <w:pPr>
        <w:pStyle w:val="StyletextLeft0cmHanging1cm"/>
      </w:pPr>
      <w:r w:rsidRPr="003B0536">
        <w:t>WHO 2011, Guidelines for drinking-water quality, 4</w:t>
      </w:r>
      <w:r w:rsidRPr="003B0536">
        <w:rPr>
          <w:vertAlign w:val="superscript"/>
        </w:rPr>
        <w:t>th</w:t>
      </w:r>
      <w:r w:rsidRPr="003B0536">
        <w:t xml:space="preserve"> edn, World Health Organization, Geneva, available from </w:t>
      </w:r>
      <w:hyperlink r:id="rId35" w:history="1">
        <w:r w:rsidRPr="003B0536">
          <w:rPr>
            <w:rStyle w:val="Hyperlink"/>
            <w:szCs w:val="22"/>
          </w:rPr>
          <w:t>http://www.who.int/water_sanitation_health/dwq/chemicals/en/index.html</w:t>
        </w:r>
      </w:hyperlink>
      <w:r w:rsidRPr="003B0536">
        <w:t>.</w:t>
      </w:r>
    </w:p>
    <w:p w:rsidR="00BD4D54" w:rsidRDefault="00BD4D54" w:rsidP="00BD4D54"/>
    <w:p w:rsidR="00BD4D54" w:rsidRDefault="00BD4D54" w:rsidP="00BD4D54"/>
    <w:p w:rsidR="00BD4D54" w:rsidRDefault="00BD4D54" w:rsidP="00BD4D54"/>
    <w:p w:rsidR="00BD4D54" w:rsidRDefault="00BD4D54" w:rsidP="00BD4D54"/>
    <w:p w:rsidR="00BD4D54" w:rsidRDefault="00BD4D54" w:rsidP="00BD4D54">
      <w:pPr>
        <w:pStyle w:val="Heading1"/>
        <w:tabs>
          <w:tab w:val="clear" w:pos="1209"/>
          <w:tab w:val="num" w:pos="720"/>
        </w:tabs>
      </w:pPr>
      <w:bookmarkStart w:id="61" w:name="_Toc351714150"/>
      <w:r>
        <w:lastRenderedPageBreak/>
        <w:t>Endrin (total)</w:t>
      </w:r>
      <w:bookmarkEnd w:id="61"/>
    </w:p>
    <w:p w:rsidR="00BD4D54" w:rsidRDefault="00BD4D54" w:rsidP="00BD4D54">
      <w:pPr>
        <w:pStyle w:val="Heading2"/>
        <w:tabs>
          <w:tab w:val="clear" w:pos="1209"/>
        </w:tabs>
      </w:pPr>
      <w:bookmarkStart w:id="62" w:name="_Toc351714151"/>
      <w:r>
        <w:t>General</w:t>
      </w:r>
      <w:bookmarkEnd w:id="62"/>
    </w:p>
    <w:p w:rsidR="00BD4D54" w:rsidRDefault="00BD4D54" w:rsidP="00BD4D54">
      <w:r>
        <w:t>Several comprehensive reviews of endrin in the environment and its toxicity to humans are available and should be consulted for more detailed information (ATSDR 1996; WHO 1992; DEH 2006). The following provides a summary of the key aspects of endrin that are relevant to the derivation of a soil HIL.</w:t>
      </w:r>
    </w:p>
    <w:p w:rsidR="00B0287F" w:rsidRDefault="00B0287F" w:rsidP="00BD4D54"/>
    <w:p w:rsidR="00BD4D54" w:rsidRDefault="00BD4D54" w:rsidP="00BD4D54">
      <w:r w:rsidRPr="00886BA9">
        <w:t>The organochlorin</w:t>
      </w:r>
      <w:r>
        <w:t>e</w:t>
      </w:r>
      <w:r w:rsidRPr="00886BA9">
        <w:t xml:space="preserve"> pesticide endrin is a white to light tan, crystalline solid with a mild chemical odour. It is relatively insoluble in water and has a low vapour pressure. Endrin is the common name for 1,2,3,4,10,10-hexachloro-6,7-epoxy-1,4, 4a,5,6,7,8,8a</w:t>
      </w:r>
      <w:r>
        <w:t>-</w:t>
      </w:r>
      <w:r w:rsidRPr="00886BA9">
        <w:t>octahydro-1,4-</w:t>
      </w:r>
      <w:r w:rsidRPr="00886BA9">
        <w:rPr>
          <w:i/>
          <w:iCs/>
        </w:rPr>
        <w:t>endo,endo</w:t>
      </w:r>
      <w:r w:rsidRPr="00886BA9">
        <w:t xml:space="preserve">-5,8- dimethanonaphthalene but the term is also used to describe the commercial grade insecticide which typically contains 96% endrin. </w:t>
      </w:r>
      <w:r>
        <w:t xml:space="preserve">Endrin is the </w:t>
      </w:r>
      <w:r w:rsidRPr="003E66E1">
        <w:rPr>
          <w:i/>
        </w:rPr>
        <w:t>endo,endo</w:t>
      </w:r>
      <w:r>
        <w:rPr>
          <w:i/>
        </w:rPr>
        <w:t xml:space="preserve"> </w:t>
      </w:r>
      <w:r>
        <w:t>stereoisomer of dieldrin (WHO 1992; WHO 2011</w:t>
      </w:r>
      <w:r w:rsidRPr="00886BA9">
        <w:t>).</w:t>
      </w:r>
    </w:p>
    <w:p w:rsidR="00B0287F" w:rsidRPr="00886BA9" w:rsidRDefault="00B0287F" w:rsidP="00BD4D54"/>
    <w:p w:rsidR="00BD4D54" w:rsidRDefault="00BD4D54" w:rsidP="00BD4D54">
      <w:r w:rsidRPr="00886BA9">
        <w:t>Endrin was manufactured as a broad-spectrum insecticide and rodenticide, which was active against a wide range of agricultural pests. It was mainly used in the cotton industry and to a lesser extent on rice,</w:t>
      </w:r>
      <w:r>
        <w:t xml:space="preserve"> sugar cane and maize (WHO 2011</w:t>
      </w:r>
      <w:r w:rsidRPr="00886BA9">
        <w:t xml:space="preserve">). Endrin has been widely used in agriculture since the 1950s </w:t>
      </w:r>
      <w:r>
        <w:t xml:space="preserve">but </w:t>
      </w:r>
      <w:r w:rsidRPr="00886BA9">
        <w:t xml:space="preserve">its manufacture and use was banned under the Stockholm Convention. </w:t>
      </w:r>
    </w:p>
    <w:p w:rsidR="00B0287F" w:rsidRDefault="00B0287F" w:rsidP="00BD4D54"/>
    <w:p w:rsidR="00BD4D54" w:rsidRPr="00886BA9" w:rsidRDefault="00BD4D54" w:rsidP="00BD4D54">
      <w:r w:rsidRPr="00886BA9">
        <w:t xml:space="preserve">Endrin </w:t>
      </w:r>
      <w:r>
        <w:t xml:space="preserve">use </w:t>
      </w:r>
      <w:r w:rsidRPr="00886BA9">
        <w:t>was phased out in Australia in 1987 (DEH 2006).</w:t>
      </w:r>
    </w:p>
    <w:p w:rsidR="00BD4D54" w:rsidRDefault="00BD4D54" w:rsidP="00BD4D54">
      <w:pPr>
        <w:pStyle w:val="Heading2"/>
        <w:tabs>
          <w:tab w:val="clear" w:pos="1209"/>
        </w:tabs>
      </w:pPr>
      <w:bookmarkStart w:id="63" w:name="_Toc351714152"/>
      <w:r>
        <w:t>Previous HIL</w:t>
      </w:r>
      <w:bookmarkEnd w:id="63"/>
    </w:p>
    <w:p w:rsidR="00BD4D54" w:rsidRDefault="00BD4D54" w:rsidP="00BD4D54">
      <w:r>
        <w:t>No previous HIL is available for endrin (NEPC 1999).</w:t>
      </w:r>
    </w:p>
    <w:p w:rsidR="00BD4D54" w:rsidRDefault="00BD4D54" w:rsidP="00BD4D54">
      <w:pPr>
        <w:pStyle w:val="Heading2"/>
        <w:tabs>
          <w:tab w:val="clear" w:pos="1209"/>
        </w:tabs>
      </w:pPr>
      <w:bookmarkStart w:id="64" w:name="_Toc351714153"/>
      <w:r>
        <w:t>Significance of Exposure Pathways</w:t>
      </w:r>
      <w:bookmarkEnd w:id="64"/>
    </w:p>
    <w:p w:rsidR="00BD4D54" w:rsidRPr="00E00A6A" w:rsidRDefault="00BD4D54" w:rsidP="00BD4D54">
      <w:pPr>
        <w:pStyle w:val="Heading3"/>
      </w:pPr>
      <w:bookmarkStart w:id="65" w:name="_Toc351714154"/>
      <w:r>
        <w:t xml:space="preserve">Oral </w:t>
      </w:r>
      <w:r w:rsidRPr="00E00A6A">
        <w:t>Bioavailability</w:t>
      </w:r>
      <w:bookmarkEnd w:id="65"/>
    </w:p>
    <w:p w:rsidR="00BD4D54" w:rsidRDefault="00BD4D54" w:rsidP="00BD4D54">
      <w:r>
        <w:t>Insufficient data is available to adequately define the bioavailability of endrin hence a default approach of assuming 100% oral bioavailability has been adopted in the derivation of an HIL. It is noted that a site-specific assessment of bioavailability can be undertaken where required.</w:t>
      </w:r>
    </w:p>
    <w:p w:rsidR="00BD4D54" w:rsidRPr="002D7B71" w:rsidRDefault="00BD4D54" w:rsidP="00BD4D54">
      <w:pPr>
        <w:pStyle w:val="Heading3"/>
      </w:pPr>
      <w:bookmarkStart w:id="66" w:name="_Toc351714155"/>
      <w:r w:rsidRPr="002D7B71">
        <w:t>Dermal absorption</w:t>
      </w:r>
      <w:bookmarkEnd w:id="66"/>
    </w:p>
    <w:p w:rsidR="00BD4D54" w:rsidRDefault="00BD4D54" w:rsidP="00BD4D54">
      <w:r>
        <w:t>Insufficient data is available on the dermal absorption of endrin from soil. Hence the default values of 0.1 (10%) suggested by US EPA (1995) for pesticides has been adopted in the derivation of HILs.</w:t>
      </w:r>
    </w:p>
    <w:p w:rsidR="00BD4D54" w:rsidRPr="009338FB" w:rsidRDefault="00BD4D54" w:rsidP="00BD4D54">
      <w:pPr>
        <w:pStyle w:val="Heading3"/>
      </w:pPr>
      <w:bookmarkStart w:id="67" w:name="_Toc351714156"/>
      <w:r w:rsidRPr="009338FB">
        <w:t>Inhalation of Dust</w:t>
      </w:r>
      <w:bookmarkEnd w:id="67"/>
    </w:p>
    <w:p w:rsidR="00BD4D54" w:rsidRDefault="00BD4D54" w:rsidP="00BD4D54">
      <w:r>
        <w:t>Endrin is not considered sufficiently volatile to be of significance and inhalation exposures associated with particulates outdoors and indoors are expected to be of less significance than ingestion of soil. While likely to be negligible, potential inhalation exposures associated with dust have been considered in the HIL derived.</w:t>
      </w:r>
    </w:p>
    <w:p w:rsidR="00BD4D54" w:rsidRPr="009338FB" w:rsidRDefault="00BD4D54" w:rsidP="00BD4D54">
      <w:pPr>
        <w:pStyle w:val="Heading3"/>
      </w:pPr>
      <w:bookmarkStart w:id="68" w:name="_Toc351714157"/>
      <w:r w:rsidRPr="009338FB">
        <w:t>Plant Uptake</w:t>
      </w:r>
      <w:bookmarkEnd w:id="68"/>
    </w:p>
    <w:p w:rsidR="00BD4D54" w:rsidRDefault="00BD4D54" w:rsidP="00BD4D54">
      <w:r>
        <w:t>The few studies that are available with respect to the potential for plant uptake of endrin relate to the application of the product in solution, rather than uptake from soil. Endrin has a high Koc value (log Koc = 4.53) and low solubility in water (ATSDR 1996), suggesting that the compound is largely bound to soil particulates and is immobile in soil. For plant uptake to be significant, the chemicals must be able to partition to soil water. With respect to endrin bound to the soil, the potential for partitioning to soil water is considered to be low and hence plant uptake is considered to be negligible.</w:t>
      </w:r>
    </w:p>
    <w:p w:rsidR="00BD4D54" w:rsidRPr="0089652E" w:rsidRDefault="00BD4D54" w:rsidP="00BD4D54">
      <w:pPr>
        <w:pStyle w:val="Heading3"/>
      </w:pPr>
      <w:bookmarkStart w:id="69" w:name="_Toc351714158"/>
      <w:r w:rsidRPr="0089652E">
        <w:t xml:space="preserve">Intakes from Other Sources </w:t>
      </w:r>
      <w:r>
        <w:t>–</w:t>
      </w:r>
      <w:r w:rsidRPr="0089652E">
        <w:t xml:space="preserve"> Background</w:t>
      </w:r>
      <w:bookmarkEnd w:id="69"/>
    </w:p>
    <w:p w:rsidR="00BD4D54" w:rsidRDefault="00BD4D54" w:rsidP="00BD4D54">
      <w:r>
        <w:t xml:space="preserve">WHO (1992) provides an evaluation of exposures by the general public which are dated and relate to a period when endrin was in use. The total intake of endrin from dietary, water and air sources (noted to be dominated by dietary intakes) was estimated by WHO (1992) to be ‘far below’ the ADI adopted </w:t>
      </w:r>
      <w:r>
        <w:lastRenderedPageBreak/>
        <w:t xml:space="preserve">(0.2 </w:t>
      </w:r>
      <w:r>
        <w:rPr>
          <w:rFonts w:cs="Arial"/>
        </w:rPr>
        <w:t>µ</w:t>
      </w:r>
      <w:r>
        <w:t xml:space="preserve">g/kg/day). Use of endrin was phased out in Australia in the late 1980s with the last product registration </w:t>
      </w:r>
      <w:r w:rsidRPr="004F1F8F">
        <w:t>cancelled at the end of 1990</w:t>
      </w:r>
      <w:r>
        <w:t xml:space="preserve">. </w:t>
      </w:r>
      <w:r w:rsidRPr="004F1F8F">
        <w:t>Hence background intakes in Australia are expected to lower than estimated by WHO</w:t>
      </w:r>
      <w:r>
        <w:t xml:space="preserve">. </w:t>
      </w:r>
      <w:r w:rsidRPr="004F1F8F">
        <w:t xml:space="preserve">Food Standards Australia </w:t>
      </w:r>
      <w:r>
        <w:t xml:space="preserve">and </w:t>
      </w:r>
      <w:r w:rsidRPr="004F1F8F">
        <w:t>New Zealand ha</w:t>
      </w:r>
      <w:r>
        <w:t>s</w:t>
      </w:r>
      <w:r w:rsidRPr="004F1F8F">
        <w:t xml:space="preserve"> not detected endrin in any sample in the 19</w:t>
      </w:r>
      <w:r w:rsidRPr="004F1F8F">
        <w:rPr>
          <w:vertAlign w:val="superscript"/>
        </w:rPr>
        <w:t>th</w:t>
      </w:r>
      <w:r w:rsidRPr="004F1F8F">
        <w:t>,</w:t>
      </w:r>
      <w:r>
        <w:t xml:space="preserve"> 20</w:t>
      </w:r>
      <w:r w:rsidRPr="005D4B18">
        <w:rPr>
          <w:vertAlign w:val="superscript"/>
        </w:rPr>
        <w:t>th</w:t>
      </w:r>
      <w:r>
        <w:t xml:space="preserve"> or 23</w:t>
      </w:r>
      <w:r w:rsidRPr="00684B59">
        <w:rPr>
          <w:vertAlign w:val="superscript"/>
        </w:rPr>
        <w:t>rd</w:t>
      </w:r>
      <w:r>
        <w:t xml:space="preserve"> food surveys (FSANZ 2003; FSANZ 2011). Hence, background intakes would be expected to be negligible. Assuming a negligible background intake is considered appropriate, based on current information. </w:t>
      </w:r>
    </w:p>
    <w:p w:rsidR="00BD4D54" w:rsidRDefault="00BD4D54" w:rsidP="00BD4D54">
      <w:pPr>
        <w:pStyle w:val="Heading2"/>
        <w:tabs>
          <w:tab w:val="clear" w:pos="1209"/>
        </w:tabs>
      </w:pPr>
      <w:bookmarkStart w:id="70" w:name="_Toc351714159"/>
      <w:r>
        <w:t>Identification of Toxicity Reference Values</w:t>
      </w:r>
      <w:bookmarkEnd w:id="70"/>
    </w:p>
    <w:p w:rsidR="00BD4D54" w:rsidRPr="00983A79" w:rsidRDefault="00BD4D54" w:rsidP="00BD4D54">
      <w:pPr>
        <w:pStyle w:val="Heading3"/>
      </w:pPr>
      <w:bookmarkStart w:id="71" w:name="_Toc351714160"/>
      <w:r w:rsidRPr="00983A79">
        <w:t>Classification</w:t>
      </w:r>
      <w:bookmarkEnd w:id="71"/>
    </w:p>
    <w:p w:rsidR="00BD4D54" w:rsidRDefault="00BD4D54" w:rsidP="00BD4D54">
      <w:r w:rsidRPr="00C259C1">
        <w:t>The International Agency for Research on Cancer (IARC</w:t>
      </w:r>
      <w:r>
        <w:t xml:space="preserve"> 1987) has classified </w:t>
      </w:r>
      <w:r w:rsidRPr="00886BA9">
        <w:t>endrin as Group 3</w:t>
      </w:r>
      <w:r>
        <w:rPr>
          <w:rFonts w:cs="Arial"/>
        </w:rPr>
        <w:t>—</w:t>
      </w:r>
      <w:r w:rsidRPr="00886BA9">
        <w:t>not classifiable</w:t>
      </w:r>
      <w:r>
        <w:t>,</w:t>
      </w:r>
      <w:r w:rsidRPr="00886BA9">
        <w:t xml:space="preserve"> on the basis of inadequate evidence in humans and experimental animals</w:t>
      </w:r>
      <w:r>
        <w:t xml:space="preserve">. </w:t>
      </w:r>
    </w:p>
    <w:p w:rsidR="00B0287F" w:rsidRDefault="00B0287F" w:rsidP="00BD4D54"/>
    <w:p w:rsidR="00BD4D54" w:rsidRPr="00886BA9" w:rsidRDefault="00BD4D54" w:rsidP="00BD4D54">
      <w:r w:rsidRPr="00886BA9">
        <w:t xml:space="preserve">It is noted that </w:t>
      </w:r>
      <w:r>
        <w:t>US EPA</w:t>
      </w:r>
      <w:r w:rsidRPr="00886BA9">
        <w:t xml:space="preserve"> has classified endrin as Group D</w:t>
      </w:r>
      <w:r>
        <w:rPr>
          <w:rFonts w:cs="Arial"/>
        </w:rPr>
        <w:t>—</w:t>
      </w:r>
      <w:r w:rsidRPr="00886BA9">
        <w:t>not classifiable.</w:t>
      </w:r>
    </w:p>
    <w:p w:rsidR="00BD4D54" w:rsidRPr="00907E92" w:rsidRDefault="00BD4D54" w:rsidP="00BD4D54">
      <w:pPr>
        <w:pStyle w:val="Heading3"/>
      </w:pPr>
      <w:bookmarkStart w:id="72" w:name="_Toc351714161"/>
      <w:r w:rsidRPr="00907E92">
        <w:t>Review of Available Values</w:t>
      </w:r>
      <w:r>
        <w:t>/Information</w:t>
      </w:r>
      <w:bookmarkEnd w:id="72"/>
    </w:p>
    <w:p w:rsidR="00BD4D54" w:rsidRDefault="00BD4D54" w:rsidP="00BD4D54">
      <w:r>
        <w:t>Insufficient data is available to indicate if endrin is carcinogenic to humans. The available data does show that endrin is not genotoxic (WHO 1992; ATSDR 1996; RIVM 2001). On the basis of the available information it is considered appropriate that a threshold dose</w:t>
      </w:r>
      <w:r>
        <w:sym w:font="Symbol" w:char="F02D"/>
      </w:r>
      <w:r>
        <w:t>response approach be adopted for endrin. The following are available from Level 1 Australian and International sources:</w:t>
      </w:r>
    </w:p>
    <w:p w:rsidR="00A639E7" w:rsidRDefault="00A639E7" w:rsidP="00BD4D54"/>
    <w:p w:rsidR="00A639E7" w:rsidRDefault="00A639E7" w:rsidP="00BD4D54"/>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4"/>
        <w:gridCol w:w="2233"/>
        <w:gridCol w:w="5550"/>
      </w:tblGrid>
      <w:tr w:rsidR="00BD4D54" w:rsidRPr="008E7F6A" w:rsidTr="00EC6328">
        <w:trPr>
          <w:tblHeader/>
        </w:trPr>
        <w:tc>
          <w:tcPr>
            <w:tcW w:w="1384" w:type="dxa"/>
            <w:shd w:val="clear" w:color="auto" w:fill="C6D9F1" w:themeFill="text2" w:themeFillTint="33"/>
          </w:tcPr>
          <w:p w:rsidR="00BD4D54" w:rsidRPr="008E7F6A" w:rsidRDefault="00BD4D54" w:rsidP="00EC6328">
            <w:pPr>
              <w:spacing w:before="20"/>
              <w:jc w:val="center"/>
              <w:rPr>
                <w:b/>
                <w:szCs w:val="22"/>
              </w:rPr>
            </w:pPr>
            <w:r w:rsidRPr="008E7F6A">
              <w:rPr>
                <w:b/>
                <w:szCs w:val="22"/>
              </w:rPr>
              <w:t>Source</w:t>
            </w:r>
          </w:p>
        </w:tc>
        <w:tc>
          <w:tcPr>
            <w:tcW w:w="2410" w:type="dxa"/>
            <w:shd w:val="clear" w:color="auto" w:fill="C6D9F1" w:themeFill="text2" w:themeFillTint="33"/>
          </w:tcPr>
          <w:p w:rsidR="00BD4D54" w:rsidRPr="008E7F6A" w:rsidRDefault="00BD4D54" w:rsidP="00EC6328">
            <w:pPr>
              <w:spacing w:before="20"/>
              <w:jc w:val="center"/>
              <w:rPr>
                <w:b/>
                <w:szCs w:val="22"/>
              </w:rPr>
            </w:pPr>
            <w:r w:rsidRPr="008E7F6A">
              <w:rPr>
                <w:b/>
                <w:szCs w:val="22"/>
              </w:rPr>
              <w:t>Value</w:t>
            </w:r>
          </w:p>
        </w:tc>
        <w:tc>
          <w:tcPr>
            <w:tcW w:w="6169" w:type="dxa"/>
            <w:shd w:val="clear" w:color="auto" w:fill="C6D9F1" w:themeFill="text2" w:themeFillTint="33"/>
          </w:tcPr>
          <w:p w:rsidR="00BD4D54" w:rsidRPr="008E7F6A" w:rsidRDefault="00BD4D54" w:rsidP="00EC6328">
            <w:pPr>
              <w:spacing w:before="20"/>
              <w:jc w:val="center"/>
              <w:rPr>
                <w:b/>
                <w:szCs w:val="22"/>
              </w:rPr>
            </w:pPr>
            <w:r w:rsidRPr="008E7F6A">
              <w:rPr>
                <w:b/>
                <w:szCs w:val="22"/>
              </w:rPr>
              <w:t>Basis/Comments</w:t>
            </w:r>
          </w:p>
        </w:tc>
      </w:tr>
      <w:tr w:rsidR="00BD4D54" w:rsidRPr="008E7F6A" w:rsidTr="00EC6328">
        <w:tc>
          <w:tcPr>
            <w:tcW w:w="9963" w:type="dxa"/>
            <w:gridSpan w:val="3"/>
          </w:tcPr>
          <w:p w:rsidR="00BD4D54" w:rsidRPr="008E7F6A" w:rsidRDefault="00BD4D54" w:rsidP="00EC6328">
            <w:pPr>
              <w:spacing w:before="20"/>
              <w:jc w:val="center"/>
              <w:rPr>
                <w:b/>
                <w:szCs w:val="22"/>
              </w:rPr>
            </w:pPr>
            <w:r w:rsidRPr="008E7F6A">
              <w:rPr>
                <w:b/>
                <w:szCs w:val="22"/>
              </w:rPr>
              <w:t>Australian</w:t>
            </w:r>
          </w:p>
        </w:tc>
      </w:tr>
      <w:tr w:rsidR="00BD4D54" w:rsidRPr="008E7F6A" w:rsidTr="00EC6328">
        <w:tc>
          <w:tcPr>
            <w:tcW w:w="1384" w:type="dxa"/>
          </w:tcPr>
          <w:p w:rsidR="00BD4D54" w:rsidRPr="008E7F6A" w:rsidRDefault="00BD4D54" w:rsidP="00EC6328">
            <w:pPr>
              <w:spacing w:before="20"/>
              <w:rPr>
                <w:szCs w:val="22"/>
              </w:rPr>
            </w:pPr>
            <w:r>
              <w:rPr>
                <w:szCs w:val="22"/>
              </w:rPr>
              <w:t xml:space="preserve">ADWG </w:t>
            </w:r>
            <w:r w:rsidRPr="008E7F6A">
              <w:rPr>
                <w:szCs w:val="22"/>
              </w:rPr>
              <w:t xml:space="preserve">NHMRC </w:t>
            </w:r>
            <w:r>
              <w:rPr>
                <w:szCs w:val="22"/>
              </w:rPr>
              <w:t>(</w:t>
            </w:r>
            <w:r w:rsidRPr="008E7F6A">
              <w:rPr>
                <w:szCs w:val="22"/>
              </w:rPr>
              <w:t xml:space="preserve">2011) </w:t>
            </w:r>
          </w:p>
        </w:tc>
        <w:tc>
          <w:tcPr>
            <w:tcW w:w="2410" w:type="dxa"/>
          </w:tcPr>
          <w:p w:rsidR="00BD4D54" w:rsidRPr="008E7F6A" w:rsidRDefault="00BD4D54" w:rsidP="00EC6328">
            <w:pPr>
              <w:spacing w:before="20"/>
              <w:rPr>
                <w:szCs w:val="22"/>
              </w:rPr>
            </w:pPr>
            <w:r w:rsidRPr="008E7F6A">
              <w:rPr>
                <w:szCs w:val="22"/>
              </w:rPr>
              <w:t>No evaluation available</w:t>
            </w:r>
          </w:p>
        </w:tc>
        <w:tc>
          <w:tcPr>
            <w:tcW w:w="6169" w:type="dxa"/>
          </w:tcPr>
          <w:p w:rsidR="00BD4D54" w:rsidRPr="008E7F6A" w:rsidRDefault="00BD4D54" w:rsidP="00EC6328">
            <w:pPr>
              <w:spacing w:before="20"/>
              <w:rPr>
                <w:szCs w:val="22"/>
              </w:rPr>
            </w:pPr>
          </w:p>
        </w:tc>
      </w:tr>
      <w:tr w:rsidR="00BD4D54" w:rsidRPr="008E7F6A" w:rsidTr="00EC6328">
        <w:tc>
          <w:tcPr>
            <w:tcW w:w="1384" w:type="dxa"/>
          </w:tcPr>
          <w:p w:rsidR="00BD4D54" w:rsidRPr="008E7F6A" w:rsidRDefault="00BD4D54" w:rsidP="00EC6328">
            <w:pPr>
              <w:spacing w:before="20"/>
              <w:rPr>
                <w:szCs w:val="22"/>
              </w:rPr>
            </w:pPr>
            <w:r w:rsidRPr="008E7F6A">
              <w:rPr>
                <w:szCs w:val="22"/>
              </w:rPr>
              <w:t>OCS (2012)</w:t>
            </w:r>
          </w:p>
        </w:tc>
        <w:tc>
          <w:tcPr>
            <w:tcW w:w="2410" w:type="dxa"/>
          </w:tcPr>
          <w:p w:rsidR="00BD4D54" w:rsidRPr="008E7F6A" w:rsidRDefault="00BD4D54" w:rsidP="00EC6328">
            <w:pPr>
              <w:spacing w:before="20"/>
              <w:rPr>
                <w:szCs w:val="22"/>
              </w:rPr>
            </w:pPr>
            <w:r w:rsidRPr="008E7F6A">
              <w:rPr>
                <w:szCs w:val="22"/>
              </w:rPr>
              <w:t>TDI = 0.0002 mg/kg/day</w:t>
            </w:r>
          </w:p>
        </w:tc>
        <w:tc>
          <w:tcPr>
            <w:tcW w:w="6169" w:type="dxa"/>
          </w:tcPr>
          <w:p w:rsidR="00BD4D54" w:rsidRPr="008E7F6A" w:rsidRDefault="00BD4D54" w:rsidP="00EC6328">
            <w:pPr>
              <w:spacing w:before="20"/>
              <w:rPr>
                <w:szCs w:val="22"/>
              </w:rPr>
            </w:pPr>
            <w:r w:rsidRPr="008E7F6A">
              <w:rPr>
                <w:szCs w:val="22"/>
              </w:rPr>
              <w:t>TDI (changed from ADI of same value in 2003) provided as endrin no longer in use in Australia. TDI adopted derived from JMPR evaluation.</w:t>
            </w:r>
          </w:p>
        </w:tc>
      </w:tr>
      <w:tr w:rsidR="00BD4D54" w:rsidRPr="008E7F6A" w:rsidTr="00EC6328">
        <w:tc>
          <w:tcPr>
            <w:tcW w:w="9963" w:type="dxa"/>
            <w:gridSpan w:val="3"/>
          </w:tcPr>
          <w:p w:rsidR="00BD4D54" w:rsidRPr="008E7F6A" w:rsidRDefault="00BD4D54" w:rsidP="00EC6328">
            <w:pPr>
              <w:spacing w:before="20"/>
              <w:jc w:val="center"/>
              <w:rPr>
                <w:b/>
                <w:szCs w:val="22"/>
              </w:rPr>
            </w:pPr>
            <w:r w:rsidRPr="008E7F6A">
              <w:rPr>
                <w:b/>
                <w:szCs w:val="22"/>
              </w:rPr>
              <w:t>International</w:t>
            </w:r>
          </w:p>
        </w:tc>
      </w:tr>
      <w:tr w:rsidR="00BD4D54" w:rsidRPr="008E7F6A" w:rsidTr="00EC6328">
        <w:tc>
          <w:tcPr>
            <w:tcW w:w="1384" w:type="dxa"/>
          </w:tcPr>
          <w:p w:rsidR="00BD4D54" w:rsidRPr="008E7F6A" w:rsidRDefault="00BD4D54" w:rsidP="00EC6328">
            <w:pPr>
              <w:spacing w:before="20"/>
              <w:rPr>
                <w:szCs w:val="22"/>
              </w:rPr>
            </w:pPr>
            <w:r w:rsidRPr="008E7F6A">
              <w:rPr>
                <w:szCs w:val="22"/>
              </w:rPr>
              <w:t>JMPR (1970)</w:t>
            </w:r>
          </w:p>
        </w:tc>
        <w:tc>
          <w:tcPr>
            <w:tcW w:w="2410" w:type="dxa"/>
          </w:tcPr>
          <w:p w:rsidR="00BD4D54" w:rsidRPr="008E7F6A" w:rsidRDefault="00BD4D54" w:rsidP="00EC6328">
            <w:pPr>
              <w:spacing w:before="20"/>
              <w:rPr>
                <w:szCs w:val="22"/>
              </w:rPr>
            </w:pPr>
            <w:r w:rsidRPr="008E7F6A">
              <w:rPr>
                <w:szCs w:val="22"/>
              </w:rPr>
              <w:t>ADI/PTDI =0.0002 mg/kg/day</w:t>
            </w:r>
          </w:p>
        </w:tc>
        <w:tc>
          <w:tcPr>
            <w:tcW w:w="6169" w:type="dxa"/>
          </w:tcPr>
          <w:p w:rsidR="00BD4D54" w:rsidRPr="008E7F6A" w:rsidRDefault="00BD4D54" w:rsidP="00EC6328">
            <w:pPr>
              <w:spacing w:before="20"/>
              <w:rPr>
                <w:szCs w:val="22"/>
              </w:rPr>
            </w:pPr>
            <w:r w:rsidRPr="008E7F6A">
              <w:rPr>
                <w:szCs w:val="22"/>
              </w:rPr>
              <w:t xml:space="preserve">ADI first established by JMPR in 1970 based on the level that caused no toxicological effects in dietary studies in rats and dogs (NOEL of 0.025 mg/kg/day, and uncertainty factor of 100). </w:t>
            </w:r>
          </w:p>
        </w:tc>
      </w:tr>
      <w:tr w:rsidR="00BD4D54" w:rsidRPr="008E7F6A" w:rsidTr="00EC6328">
        <w:tc>
          <w:tcPr>
            <w:tcW w:w="1384" w:type="dxa"/>
          </w:tcPr>
          <w:p w:rsidR="00BD4D54" w:rsidRPr="008E7F6A" w:rsidRDefault="00BD4D54" w:rsidP="00EC6328">
            <w:pPr>
              <w:spacing w:before="20"/>
              <w:rPr>
                <w:szCs w:val="22"/>
              </w:rPr>
            </w:pPr>
            <w:r w:rsidRPr="008E7F6A">
              <w:rPr>
                <w:szCs w:val="22"/>
              </w:rPr>
              <w:t>WHO (2011)</w:t>
            </w:r>
          </w:p>
        </w:tc>
        <w:tc>
          <w:tcPr>
            <w:tcW w:w="2410" w:type="dxa"/>
          </w:tcPr>
          <w:p w:rsidR="00BD4D54" w:rsidRPr="008E7F6A" w:rsidRDefault="00BD4D54" w:rsidP="00EC6328">
            <w:pPr>
              <w:spacing w:before="20"/>
              <w:rPr>
                <w:szCs w:val="22"/>
              </w:rPr>
            </w:pPr>
            <w:r w:rsidRPr="008E7F6A">
              <w:rPr>
                <w:szCs w:val="22"/>
              </w:rPr>
              <w:t>PTDI =0.0002 mg/kg/day</w:t>
            </w:r>
          </w:p>
        </w:tc>
        <w:tc>
          <w:tcPr>
            <w:tcW w:w="6169" w:type="dxa"/>
          </w:tcPr>
          <w:p w:rsidR="00BD4D54" w:rsidRPr="008E7F6A" w:rsidRDefault="00BD4D54" w:rsidP="00EC6328">
            <w:pPr>
              <w:spacing w:before="20"/>
              <w:rPr>
                <w:szCs w:val="22"/>
              </w:rPr>
            </w:pPr>
            <w:r w:rsidRPr="008E7F6A">
              <w:rPr>
                <w:szCs w:val="22"/>
              </w:rPr>
              <w:t>Value available in WHO DWG based on JMPR (1970) evaluation (above).</w:t>
            </w:r>
          </w:p>
        </w:tc>
      </w:tr>
      <w:tr w:rsidR="00BD4D54" w:rsidRPr="008E7F6A" w:rsidTr="00EC6328">
        <w:tc>
          <w:tcPr>
            <w:tcW w:w="1384" w:type="dxa"/>
          </w:tcPr>
          <w:p w:rsidR="00BD4D54" w:rsidRPr="008E7F6A" w:rsidRDefault="00BD4D54" w:rsidP="00EC6328">
            <w:pPr>
              <w:spacing w:before="20"/>
              <w:rPr>
                <w:szCs w:val="22"/>
              </w:rPr>
            </w:pPr>
            <w:r w:rsidRPr="008E7F6A">
              <w:rPr>
                <w:szCs w:val="22"/>
              </w:rPr>
              <w:t>RIVM (2001)</w:t>
            </w:r>
          </w:p>
        </w:tc>
        <w:tc>
          <w:tcPr>
            <w:tcW w:w="2410" w:type="dxa"/>
          </w:tcPr>
          <w:p w:rsidR="00BD4D54" w:rsidRPr="008E7F6A" w:rsidRDefault="00BD4D54" w:rsidP="00EC6328">
            <w:pPr>
              <w:spacing w:before="20"/>
              <w:rPr>
                <w:szCs w:val="22"/>
              </w:rPr>
            </w:pPr>
            <w:r w:rsidRPr="008E7F6A">
              <w:rPr>
                <w:szCs w:val="22"/>
              </w:rPr>
              <w:t>TDI = 0.0002 mg/kg/day</w:t>
            </w:r>
          </w:p>
        </w:tc>
        <w:tc>
          <w:tcPr>
            <w:tcW w:w="6169" w:type="dxa"/>
          </w:tcPr>
          <w:p w:rsidR="00BD4D54" w:rsidRPr="008E7F6A" w:rsidRDefault="00BD4D54" w:rsidP="00EC6328">
            <w:pPr>
              <w:spacing w:before="20"/>
              <w:rPr>
                <w:szCs w:val="22"/>
              </w:rPr>
            </w:pPr>
            <w:r w:rsidRPr="008E7F6A">
              <w:rPr>
                <w:szCs w:val="22"/>
              </w:rPr>
              <w:t>TDI derived on basis of NOAEL of 0.025 mg/kg/day associated liver and kidney effects in a rat study, and an uncertainty factor of 100.</w:t>
            </w:r>
          </w:p>
        </w:tc>
      </w:tr>
      <w:tr w:rsidR="00BD4D54" w:rsidRPr="008E7F6A" w:rsidTr="00EC6328">
        <w:tc>
          <w:tcPr>
            <w:tcW w:w="1384" w:type="dxa"/>
          </w:tcPr>
          <w:p w:rsidR="00BD4D54" w:rsidRPr="008E7F6A" w:rsidRDefault="00BD4D54" w:rsidP="00EC6328">
            <w:pPr>
              <w:spacing w:before="20"/>
              <w:rPr>
                <w:szCs w:val="22"/>
              </w:rPr>
            </w:pPr>
            <w:r w:rsidRPr="008E7F6A">
              <w:rPr>
                <w:szCs w:val="22"/>
              </w:rPr>
              <w:t>ATSDR (1996)</w:t>
            </w:r>
          </w:p>
        </w:tc>
        <w:tc>
          <w:tcPr>
            <w:tcW w:w="2410" w:type="dxa"/>
          </w:tcPr>
          <w:p w:rsidR="00BD4D54" w:rsidRPr="008E7F6A" w:rsidRDefault="00BD4D54" w:rsidP="00EC6328">
            <w:pPr>
              <w:spacing w:before="20"/>
              <w:rPr>
                <w:szCs w:val="22"/>
              </w:rPr>
            </w:pPr>
            <w:r w:rsidRPr="008E7F6A">
              <w:rPr>
                <w:szCs w:val="22"/>
              </w:rPr>
              <w:t>Oral MRL = 0.0003 mg/kg/day</w:t>
            </w:r>
          </w:p>
        </w:tc>
        <w:tc>
          <w:tcPr>
            <w:tcW w:w="6169" w:type="dxa"/>
          </w:tcPr>
          <w:p w:rsidR="00BD4D54" w:rsidRPr="008E7F6A" w:rsidRDefault="00BD4D54" w:rsidP="00EC6328">
            <w:pPr>
              <w:spacing w:before="20"/>
              <w:rPr>
                <w:szCs w:val="22"/>
              </w:rPr>
            </w:pPr>
            <w:r w:rsidRPr="008E7F6A">
              <w:rPr>
                <w:szCs w:val="22"/>
              </w:rPr>
              <w:t>Chronic oral MRL based on a NOAEL of 0.025 mg/kg/day associated with CNS effects in a 2-year dog study, and an uncertainty factor of 100.</w:t>
            </w:r>
          </w:p>
        </w:tc>
      </w:tr>
      <w:tr w:rsidR="00BD4D54" w:rsidRPr="008E7F6A" w:rsidTr="00EC6328">
        <w:tc>
          <w:tcPr>
            <w:tcW w:w="1384" w:type="dxa"/>
          </w:tcPr>
          <w:p w:rsidR="00BD4D54" w:rsidRPr="008E7F6A" w:rsidRDefault="00BD4D54" w:rsidP="00EC6328">
            <w:pPr>
              <w:spacing w:before="20"/>
              <w:rPr>
                <w:szCs w:val="22"/>
              </w:rPr>
            </w:pPr>
            <w:r w:rsidRPr="008E7F6A">
              <w:rPr>
                <w:szCs w:val="22"/>
              </w:rPr>
              <w:t>US EPA (IRIS 2012)</w:t>
            </w:r>
          </w:p>
        </w:tc>
        <w:tc>
          <w:tcPr>
            <w:tcW w:w="2410" w:type="dxa"/>
          </w:tcPr>
          <w:p w:rsidR="00BD4D54" w:rsidRPr="008E7F6A" w:rsidRDefault="00BD4D54" w:rsidP="00EC6328">
            <w:pPr>
              <w:spacing w:before="20"/>
              <w:rPr>
                <w:szCs w:val="22"/>
              </w:rPr>
            </w:pPr>
            <w:r w:rsidRPr="008E7F6A">
              <w:rPr>
                <w:szCs w:val="22"/>
              </w:rPr>
              <w:t>RfD = 0.0003 mg/kg/day</w:t>
            </w:r>
          </w:p>
          <w:p w:rsidR="00BD4D54" w:rsidRPr="008E7F6A" w:rsidRDefault="00BD4D54" w:rsidP="00EC6328">
            <w:pPr>
              <w:spacing w:before="20"/>
              <w:rPr>
                <w:szCs w:val="22"/>
              </w:rPr>
            </w:pPr>
          </w:p>
        </w:tc>
        <w:tc>
          <w:tcPr>
            <w:tcW w:w="6169" w:type="dxa"/>
          </w:tcPr>
          <w:p w:rsidR="00BD4D54" w:rsidRPr="008E7F6A" w:rsidRDefault="00BD4D54" w:rsidP="00EC6328">
            <w:pPr>
              <w:spacing w:before="20"/>
              <w:rPr>
                <w:szCs w:val="22"/>
              </w:rPr>
            </w:pPr>
            <w:r w:rsidRPr="008E7F6A">
              <w:rPr>
                <w:szCs w:val="22"/>
              </w:rPr>
              <w:t>Oral RfD based on a NOAEL of 0.025 mg/kg/day associated with liver effects in a 2-year dog study, and an uncertainty factor of 100.</w:t>
            </w:r>
          </w:p>
        </w:tc>
      </w:tr>
    </w:tbl>
    <w:p w:rsidR="00BD4D54" w:rsidRDefault="00BD4D54" w:rsidP="00BD4D54"/>
    <w:p w:rsidR="00BD4D54" w:rsidRDefault="00BD4D54" w:rsidP="00BD4D54">
      <w:r>
        <w:t>The above evaluations have identified consistent NOAEL values and oral TRVs for the assessment of endrin intakes. Hence the current Australian TRV of 0.0002 mg/kg/day has been adopted for the derivation of soil HILs. No inhalation or dermal data is available, hence it is recommended that all intakes associated with contaminated soil be assessed on the basis of the oral TRV.</w:t>
      </w:r>
    </w:p>
    <w:p w:rsidR="00BD4D54" w:rsidRPr="00921D7B" w:rsidRDefault="00BD4D54" w:rsidP="00BD4D54">
      <w:pPr>
        <w:pStyle w:val="Heading3"/>
      </w:pPr>
      <w:bookmarkStart w:id="73" w:name="_Toc351714162"/>
      <w:r w:rsidRPr="00921D7B">
        <w:lastRenderedPageBreak/>
        <w:t>Recommendation</w:t>
      </w:r>
      <w:bookmarkEnd w:id="73"/>
    </w:p>
    <w:p w:rsidR="00BD4D54" w:rsidRPr="00191EC8" w:rsidRDefault="00BD4D54" w:rsidP="00BD4D54">
      <w:r>
        <w:t>On the basis of the discussion above, the following toxicity reference values (TRVs) have been adopted for endrin in the derivation of HILs:</w:t>
      </w:r>
    </w:p>
    <w:p w:rsidR="00BD4D54" w:rsidRDefault="00BD4D54" w:rsidP="00BD4D54">
      <w:r>
        <w:rPr>
          <w:noProof/>
          <w:lang w:eastAsia="en-AU"/>
        </w:rPr>
        <mc:AlternateContent>
          <mc:Choice Requires="wps">
            <w:drawing>
              <wp:inline distT="0" distB="0" distL="0" distR="0">
                <wp:extent cx="5641340" cy="1841500"/>
                <wp:effectExtent l="13335" t="13970" r="12700" b="1143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1841500"/>
                        </a:xfrm>
                        <a:prstGeom prst="rect">
                          <a:avLst/>
                        </a:prstGeom>
                        <a:solidFill>
                          <a:srgbClr val="D8D8D8"/>
                        </a:solidFill>
                        <a:ln w="9525">
                          <a:solidFill>
                            <a:srgbClr val="000000"/>
                          </a:solidFill>
                          <a:miter lim="800000"/>
                          <a:headEnd/>
                          <a:tailEnd/>
                        </a:ln>
                      </wps:spPr>
                      <wps:txbx>
                        <w:txbxContent>
                          <w:p w:rsidR="00480C84" w:rsidRPr="00742163" w:rsidRDefault="00480C84" w:rsidP="00BD4D54">
                            <w:pPr>
                              <w:spacing w:after="40"/>
                              <w:rPr>
                                <w:b/>
                                <w:u w:val="single"/>
                              </w:rPr>
                            </w:pPr>
                            <w:r w:rsidRPr="00742163">
                              <w:rPr>
                                <w:b/>
                                <w:u w:val="single"/>
                              </w:rPr>
                              <w:t xml:space="preserve">Recommendation for </w:t>
                            </w:r>
                            <w:r>
                              <w:rPr>
                                <w:b/>
                                <w:u w:val="single"/>
                              </w:rPr>
                              <w:t>Endrin</w:t>
                            </w:r>
                          </w:p>
                          <w:p w:rsidR="00480C84" w:rsidRDefault="00480C84" w:rsidP="00BD4D54">
                            <w:pPr>
                              <w:spacing w:after="40"/>
                            </w:pPr>
                            <w:r>
                              <w:t>Oral TRV (TRV</w:t>
                            </w:r>
                            <w:r w:rsidRPr="00684B59">
                              <w:rPr>
                                <w:vertAlign w:val="subscript"/>
                              </w:rPr>
                              <w:t>O</w:t>
                            </w:r>
                            <w:r>
                              <w:t>) = 0.0002 mg/kg/day (OCS 2012) relevant for all pathways of exposure</w:t>
                            </w:r>
                          </w:p>
                          <w:p w:rsidR="00480C84" w:rsidRDefault="00480C84" w:rsidP="00BD4D54">
                            <w:pPr>
                              <w:spacing w:after="40"/>
                            </w:pPr>
                            <w:r>
                              <w:t>Dermal absorption factor (DAF) = 0.1 (or 10%) (US EPA 1995)</w:t>
                            </w:r>
                          </w:p>
                          <w:p w:rsidR="00480C84" w:rsidRDefault="00480C84" w:rsidP="00BD4D54">
                            <w:pPr>
                              <w:spacing w:after="40"/>
                            </w:pPr>
                            <w:r>
                              <w:t>Background intakes from other sources (as % of TRV):</w:t>
                            </w:r>
                          </w:p>
                          <w:p w:rsidR="00480C84" w:rsidRDefault="00480C84" w:rsidP="00BD4D54">
                            <w:pPr>
                              <w:spacing w:after="40"/>
                              <w:ind w:left="720"/>
                            </w:pPr>
                            <w:r>
                              <w:t>BI</w:t>
                            </w:r>
                            <w:r w:rsidRPr="002049F5">
                              <w:rPr>
                                <w:vertAlign w:val="subscript"/>
                              </w:rPr>
                              <w:t>O</w:t>
                            </w:r>
                            <w:r>
                              <w:t xml:space="preserve"> = 0% for oral and dermal intakes</w:t>
                            </w:r>
                          </w:p>
                          <w:p w:rsidR="00480C84" w:rsidRDefault="00480C84" w:rsidP="00BD4D54">
                            <w:pPr>
                              <w:spacing w:after="40"/>
                              <w:ind w:left="720"/>
                            </w:pPr>
                            <w:r>
                              <w:t xml:space="preserve">BIi = 0% for inhalation </w:t>
                            </w:r>
                          </w:p>
                        </w:txbxContent>
                      </wps:txbx>
                      <wps:bodyPr rot="0" vert="horz" wrap="square" lIns="91440" tIns="45720" rIns="91440" bIns="45720" anchor="t" anchorCtr="0" upright="1">
                        <a:noAutofit/>
                      </wps:bodyPr>
                    </wps:wsp>
                  </a:graphicData>
                </a:graphic>
              </wp:inline>
            </w:drawing>
          </mc:Choice>
          <mc:Fallback>
            <w:pict>
              <v:shape id="Text Box 8" o:spid="_x0000_s1033" type="#_x0000_t202" style="width:444.2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" fillcolor="#d8d8d8">
                <v:textbox>
                  <w:txbxContent>
                    <w:p w:rsidR="00480C84" w:rsidRPr="00742163" w:rsidRDefault="00480C84" w:rsidP="00BD4D54">
                      <w:pPr>
                        <w:spacing w:after="40"/>
                        <w:rPr>
                          <w:b/>
                          <w:u w:val="single"/>
                        </w:rPr>
                      </w:pPr>
                      <w:r w:rsidRPr="00742163">
                        <w:rPr>
                          <w:b/>
                          <w:u w:val="single"/>
                        </w:rPr>
                        <w:t xml:space="preserve">Recommendation for </w:t>
                      </w:r>
                      <w:r>
                        <w:rPr>
                          <w:b/>
                          <w:u w:val="single"/>
                        </w:rPr>
                        <w:t>Endrin</w:t>
                      </w:r>
                    </w:p>
                    <w:p w:rsidR="00480C84" w:rsidRDefault="00480C84" w:rsidP="00BD4D54">
                      <w:pPr>
                        <w:spacing w:after="40"/>
                      </w:pPr>
                      <w:r>
                        <w:t>Oral TRV (TRV</w:t>
                      </w:r>
                      <w:r w:rsidRPr="00684B59">
                        <w:rPr>
                          <w:vertAlign w:val="subscript"/>
                        </w:rPr>
                        <w:t>O</w:t>
                      </w:r>
                      <w:r>
                        <w:t>) = 0.0002 mg/kg/day (OCS 2012) relevant for all pathways of exposure</w:t>
                      </w:r>
                    </w:p>
                    <w:p w:rsidR="00480C84" w:rsidRDefault="00480C84" w:rsidP="00BD4D54">
                      <w:pPr>
                        <w:spacing w:after="40"/>
                      </w:pPr>
                      <w:r>
                        <w:t>Dermal absorption factor (DAF) = 0.1 (or 10%) (US EPA 1995)</w:t>
                      </w:r>
                    </w:p>
                    <w:p w:rsidR="00480C84" w:rsidRDefault="00480C84" w:rsidP="00BD4D54">
                      <w:pPr>
                        <w:spacing w:after="40"/>
                      </w:pPr>
                      <w:r>
                        <w:t>Background intakes from other sources (as % of TRV):</w:t>
                      </w:r>
                    </w:p>
                    <w:p w:rsidR="00480C84" w:rsidRDefault="00480C84" w:rsidP="00BD4D54">
                      <w:pPr>
                        <w:spacing w:after="40"/>
                        <w:ind w:left="720"/>
                      </w:pPr>
                      <w:r>
                        <w:t>BI</w:t>
                      </w:r>
                      <w:r w:rsidRPr="002049F5">
                        <w:rPr>
                          <w:vertAlign w:val="subscript"/>
                        </w:rPr>
                        <w:t>O</w:t>
                      </w:r>
                      <w:r>
                        <w:t xml:space="preserve"> = 0% for oral and dermal intakes</w:t>
                      </w:r>
                    </w:p>
                    <w:p w:rsidR="00480C84" w:rsidRDefault="00480C84" w:rsidP="00BD4D54">
                      <w:pPr>
                        <w:spacing w:after="40"/>
                        <w:ind w:left="720"/>
                      </w:pPr>
                      <w:r>
                        <w:t xml:space="preserve">BIi = 0% for inhalation </w:t>
                      </w:r>
                    </w:p>
                  </w:txbxContent>
                </v:textbox>
                <w10:anchorlock/>
              </v:shape>
            </w:pict>
          </mc:Fallback>
        </mc:AlternateContent>
      </w:r>
    </w:p>
    <w:p w:rsidR="00BD4D54" w:rsidRDefault="00BD4D54" w:rsidP="00BD4D54">
      <w:pPr>
        <w:pStyle w:val="Heading2"/>
        <w:tabs>
          <w:tab w:val="clear" w:pos="1209"/>
        </w:tabs>
      </w:pPr>
      <w:bookmarkStart w:id="74" w:name="_Toc351714163"/>
      <w:r>
        <w:t>Calculated HILs</w:t>
      </w:r>
      <w:bookmarkEnd w:id="74"/>
    </w:p>
    <w:p w:rsidR="00BD4D54" w:rsidRDefault="00BD4D54" w:rsidP="00BD4D54">
      <w:r>
        <w:t>On the basis of the above, the following HILs have been derived for endrin (refer to Appendix B for equations used to calculate the HILs and Appendix C for calculations):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9"/>
        <w:gridCol w:w="1287"/>
        <w:gridCol w:w="1445"/>
        <w:gridCol w:w="1517"/>
        <w:gridCol w:w="1553"/>
        <w:gridCol w:w="1392"/>
      </w:tblGrid>
      <w:tr w:rsidR="00BD4D54" w:rsidRPr="008E7F6A" w:rsidTr="00EC6328">
        <w:tc>
          <w:tcPr>
            <w:tcW w:w="1639" w:type="dxa"/>
            <w:vMerge w:val="restart"/>
            <w:shd w:val="clear" w:color="auto" w:fill="C6D9F1" w:themeFill="text2" w:themeFillTint="33"/>
          </w:tcPr>
          <w:p w:rsidR="00BD4D54" w:rsidRPr="008E7F6A" w:rsidRDefault="00BD4D54" w:rsidP="00EC6328">
            <w:pPr>
              <w:spacing w:after="40"/>
              <w:rPr>
                <w:b/>
                <w:szCs w:val="22"/>
              </w:rPr>
            </w:pPr>
            <w:r w:rsidRPr="008E7F6A">
              <w:rPr>
                <w:b/>
                <w:szCs w:val="22"/>
              </w:rPr>
              <w:t>HIL Scenario</w:t>
            </w:r>
          </w:p>
        </w:tc>
        <w:tc>
          <w:tcPr>
            <w:tcW w:w="1287" w:type="dxa"/>
            <w:vMerge w:val="restart"/>
            <w:shd w:val="clear" w:color="auto" w:fill="C6D9F1" w:themeFill="text2" w:themeFillTint="33"/>
          </w:tcPr>
          <w:p w:rsidR="00BD4D54" w:rsidRPr="008E7F6A" w:rsidRDefault="00BD4D54" w:rsidP="00EC6328">
            <w:pPr>
              <w:spacing w:after="40"/>
              <w:jc w:val="center"/>
              <w:rPr>
                <w:b/>
                <w:szCs w:val="22"/>
              </w:rPr>
            </w:pPr>
            <w:r w:rsidRPr="008E7F6A">
              <w:rPr>
                <w:b/>
                <w:szCs w:val="22"/>
              </w:rPr>
              <w:t>HIL (mg/kg)</w:t>
            </w:r>
          </w:p>
        </w:tc>
        <w:tc>
          <w:tcPr>
            <w:tcW w:w="5907" w:type="dxa"/>
            <w:gridSpan w:val="4"/>
            <w:shd w:val="clear" w:color="auto" w:fill="C6D9F1" w:themeFill="text2" w:themeFillTint="33"/>
          </w:tcPr>
          <w:p w:rsidR="00BD4D54" w:rsidRPr="008E7F6A" w:rsidRDefault="00BD4D54" w:rsidP="00EC6328">
            <w:pPr>
              <w:spacing w:after="40"/>
              <w:jc w:val="center"/>
              <w:rPr>
                <w:b/>
                <w:szCs w:val="22"/>
              </w:rPr>
            </w:pPr>
            <w:r w:rsidRPr="008E7F6A">
              <w:rPr>
                <w:b/>
                <w:szCs w:val="22"/>
              </w:rPr>
              <w:t>Percentage Contribution from Exposure Pathways</w:t>
            </w:r>
          </w:p>
        </w:tc>
      </w:tr>
      <w:tr w:rsidR="00BD4D54" w:rsidRPr="008E7F6A" w:rsidTr="00EC6328">
        <w:trPr>
          <w:trHeight w:val="427"/>
        </w:trPr>
        <w:tc>
          <w:tcPr>
            <w:tcW w:w="1639" w:type="dxa"/>
            <w:vMerge/>
            <w:shd w:val="clear" w:color="auto" w:fill="C6D9F1" w:themeFill="text2" w:themeFillTint="33"/>
          </w:tcPr>
          <w:p w:rsidR="00BD4D54" w:rsidRPr="008E7F6A" w:rsidRDefault="00BD4D54" w:rsidP="00EC6328">
            <w:pPr>
              <w:spacing w:after="40"/>
              <w:rPr>
                <w:szCs w:val="22"/>
              </w:rPr>
            </w:pPr>
          </w:p>
        </w:tc>
        <w:tc>
          <w:tcPr>
            <w:tcW w:w="1287" w:type="dxa"/>
            <w:vMerge/>
            <w:shd w:val="clear" w:color="auto" w:fill="C6D9F1" w:themeFill="text2" w:themeFillTint="33"/>
          </w:tcPr>
          <w:p w:rsidR="00BD4D54" w:rsidRPr="008E7F6A" w:rsidRDefault="00BD4D54" w:rsidP="00EC6328">
            <w:pPr>
              <w:spacing w:after="40"/>
              <w:jc w:val="center"/>
              <w:rPr>
                <w:szCs w:val="22"/>
              </w:rPr>
            </w:pPr>
          </w:p>
        </w:tc>
        <w:tc>
          <w:tcPr>
            <w:tcW w:w="1445" w:type="dxa"/>
            <w:shd w:val="clear" w:color="auto" w:fill="C6D9F1" w:themeFill="text2" w:themeFillTint="33"/>
          </w:tcPr>
          <w:p w:rsidR="00BD4D54" w:rsidRPr="008E7F6A" w:rsidRDefault="00BD4D54" w:rsidP="00EC6328">
            <w:pPr>
              <w:spacing w:after="40"/>
              <w:jc w:val="center"/>
              <w:rPr>
                <w:b/>
                <w:szCs w:val="22"/>
              </w:rPr>
            </w:pPr>
            <w:r w:rsidRPr="008E7F6A">
              <w:rPr>
                <w:b/>
                <w:szCs w:val="22"/>
              </w:rPr>
              <w:t>Ingestion of Soil/Dust</w:t>
            </w:r>
          </w:p>
        </w:tc>
        <w:tc>
          <w:tcPr>
            <w:tcW w:w="1517" w:type="dxa"/>
            <w:shd w:val="clear" w:color="auto" w:fill="C6D9F1" w:themeFill="text2" w:themeFillTint="33"/>
          </w:tcPr>
          <w:p w:rsidR="00BD4D54" w:rsidRPr="008E7F6A" w:rsidRDefault="00BD4D54" w:rsidP="00EC6328">
            <w:pPr>
              <w:spacing w:after="40"/>
              <w:jc w:val="center"/>
              <w:rPr>
                <w:b/>
                <w:szCs w:val="22"/>
              </w:rPr>
            </w:pPr>
            <w:r w:rsidRPr="008E7F6A">
              <w:rPr>
                <w:b/>
                <w:szCs w:val="22"/>
              </w:rPr>
              <w:t>Ingestion of Home-grown Produce</w:t>
            </w:r>
          </w:p>
        </w:tc>
        <w:tc>
          <w:tcPr>
            <w:tcW w:w="1553" w:type="dxa"/>
            <w:shd w:val="clear" w:color="auto" w:fill="C6D9F1" w:themeFill="text2" w:themeFillTint="33"/>
          </w:tcPr>
          <w:p w:rsidR="00BD4D54" w:rsidRPr="008E7F6A" w:rsidRDefault="00BD4D54" w:rsidP="00EC6328">
            <w:pPr>
              <w:spacing w:after="40"/>
              <w:jc w:val="center"/>
              <w:rPr>
                <w:b/>
                <w:szCs w:val="22"/>
              </w:rPr>
            </w:pPr>
            <w:r w:rsidRPr="008E7F6A">
              <w:rPr>
                <w:b/>
                <w:szCs w:val="22"/>
              </w:rPr>
              <w:t>Dermal Absorption of Soil/Dust</w:t>
            </w:r>
          </w:p>
        </w:tc>
        <w:tc>
          <w:tcPr>
            <w:tcW w:w="1392" w:type="dxa"/>
            <w:shd w:val="clear" w:color="auto" w:fill="C6D9F1" w:themeFill="text2" w:themeFillTint="33"/>
          </w:tcPr>
          <w:p w:rsidR="00BD4D54" w:rsidRPr="008E7F6A" w:rsidRDefault="00BD4D54" w:rsidP="00EC6328">
            <w:pPr>
              <w:spacing w:after="40"/>
              <w:jc w:val="center"/>
              <w:rPr>
                <w:b/>
                <w:szCs w:val="22"/>
              </w:rPr>
            </w:pPr>
            <w:r w:rsidRPr="008E7F6A">
              <w:rPr>
                <w:b/>
                <w:szCs w:val="22"/>
              </w:rPr>
              <w:t>Inhalation (dust)</w:t>
            </w:r>
          </w:p>
        </w:tc>
      </w:tr>
      <w:tr w:rsidR="00BD4D54" w:rsidRPr="008E7F6A" w:rsidTr="00EC6328">
        <w:tc>
          <w:tcPr>
            <w:tcW w:w="1639" w:type="dxa"/>
          </w:tcPr>
          <w:p w:rsidR="00BD4D54" w:rsidRPr="008E7F6A" w:rsidRDefault="00BD4D54" w:rsidP="00EC6328">
            <w:pPr>
              <w:spacing w:after="40"/>
              <w:rPr>
                <w:szCs w:val="22"/>
              </w:rPr>
            </w:pPr>
            <w:r w:rsidRPr="008E7F6A">
              <w:rPr>
                <w:szCs w:val="22"/>
              </w:rPr>
              <w:t>Residential A</w:t>
            </w:r>
          </w:p>
        </w:tc>
        <w:tc>
          <w:tcPr>
            <w:tcW w:w="1287" w:type="dxa"/>
          </w:tcPr>
          <w:p w:rsidR="00BD4D54" w:rsidRPr="008E7F6A" w:rsidRDefault="00BD4D54" w:rsidP="00EC6328">
            <w:pPr>
              <w:spacing w:after="40"/>
              <w:jc w:val="center"/>
              <w:rPr>
                <w:szCs w:val="22"/>
              </w:rPr>
            </w:pPr>
            <w:r w:rsidRPr="008E7F6A">
              <w:rPr>
                <w:szCs w:val="22"/>
              </w:rPr>
              <w:t>10</w:t>
            </w:r>
          </w:p>
        </w:tc>
        <w:tc>
          <w:tcPr>
            <w:tcW w:w="1445" w:type="dxa"/>
          </w:tcPr>
          <w:p w:rsidR="00BD4D54" w:rsidRPr="008E7F6A" w:rsidRDefault="00BD4D54" w:rsidP="00EC6328">
            <w:pPr>
              <w:spacing w:after="40"/>
              <w:jc w:val="center"/>
              <w:rPr>
                <w:szCs w:val="22"/>
              </w:rPr>
            </w:pPr>
            <w:r w:rsidRPr="008E7F6A">
              <w:rPr>
                <w:szCs w:val="22"/>
              </w:rPr>
              <w:t>43</w:t>
            </w:r>
          </w:p>
        </w:tc>
        <w:tc>
          <w:tcPr>
            <w:tcW w:w="1517" w:type="dxa"/>
          </w:tcPr>
          <w:p w:rsidR="00BD4D54" w:rsidRPr="008E7F6A" w:rsidRDefault="00BD4D54" w:rsidP="00EC6328">
            <w:pPr>
              <w:spacing w:after="40"/>
              <w:jc w:val="center"/>
              <w:rPr>
                <w:szCs w:val="22"/>
              </w:rPr>
            </w:pPr>
            <w:r w:rsidRPr="008E7F6A">
              <w:rPr>
                <w:szCs w:val="22"/>
              </w:rPr>
              <w:t>--</w:t>
            </w:r>
          </w:p>
        </w:tc>
        <w:tc>
          <w:tcPr>
            <w:tcW w:w="1553" w:type="dxa"/>
          </w:tcPr>
          <w:p w:rsidR="00BD4D54" w:rsidRPr="008E7F6A" w:rsidRDefault="00BD4D54" w:rsidP="00EC6328">
            <w:pPr>
              <w:spacing w:after="40"/>
              <w:jc w:val="center"/>
              <w:rPr>
                <w:szCs w:val="22"/>
              </w:rPr>
            </w:pPr>
            <w:r w:rsidRPr="008E7F6A">
              <w:rPr>
                <w:szCs w:val="22"/>
              </w:rPr>
              <w:t>57</w:t>
            </w:r>
          </w:p>
        </w:tc>
        <w:tc>
          <w:tcPr>
            <w:tcW w:w="1392" w:type="dxa"/>
          </w:tcPr>
          <w:p w:rsidR="00BD4D54" w:rsidRPr="008E7F6A" w:rsidRDefault="00BD4D54" w:rsidP="00EC6328">
            <w:pPr>
              <w:spacing w:after="40"/>
              <w:jc w:val="center"/>
              <w:rPr>
                <w:szCs w:val="22"/>
              </w:rPr>
            </w:pPr>
            <w:r w:rsidRPr="008E7F6A">
              <w:rPr>
                <w:szCs w:val="22"/>
              </w:rPr>
              <w:t>&lt;1</w:t>
            </w:r>
          </w:p>
        </w:tc>
      </w:tr>
      <w:tr w:rsidR="00BD4D54" w:rsidRPr="008E7F6A" w:rsidTr="00EC6328">
        <w:tc>
          <w:tcPr>
            <w:tcW w:w="1639" w:type="dxa"/>
          </w:tcPr>
          <w:p w:rsidR="00BD4D54" w:rsidRPr="008E7F6A" w:rsidRDefault="00BD4D54" w:rsidP="00EC6328">
            <w:pPr>
              <w:spacing w:after="40"/>
              <w:rPr>
                <w:szCs w:val="22"/>
              </w:rPr>
            </w:pPr>
            <w:r w:rsidRPr="008E7F6A">
              <w:rPr>
                <w:szCs w:val="22"/>
              </w:rPr>
              <w:t>Residential B</w:t>
            </w:r>
          </w:p>
        </w:tc>
        <w:tc>
          <w:tcPr>
            <w:tcW w:w="1287" w:type="dxa"/>
          </w:tcPr>
          <w:p w:rsidR="00BD4D54" w:rsidRPr="008E7F6A" w:rsidRDefault="00BD4D54" w:rsidP="00EC6328">
            <w:pPr>
              <w:spacing w:after="40"/>
              <w:jc w:val="center"/>
              <w:rPr>
                <w:szCs w:val="22"/>
              </w:rPr>
            </w:pPr>
            <w:r w:rsidRPr="008E7F6A">
              <w:rPr>
                <w:szCs w:val="22"/>
              </w:rPr>
              <w:t>20</w:t>
            </w:r>
          </w:p>
        </w:tc>
        <w:tc>
          <w:tcPr>
            <w:tcW w:w="1445" w:type="dxa"/>
          </w:tcPr>
          <w:p w:rsidR="00BD4D54" w:rsidRPr="008E7F6A" w:rsidRDefault="00BD4D54" w:rsidP="00EC6328">
            <w:pPr>
              <w:spacing w:after="40"/>
              <w:jc w:val="center"/>
              <w:rPr>
                <w:szCs w:val="22"/>
              </w:rPr>
            </w:pPr>
            <w:r w:rsidRPr="008E7F6A">
              <w:rPr>
                <w:szCs w:val="22"/>
              </w:rPr>
              <w:t>16</w:t>
            </w:r>
          </w:p>
        </w:tc>
        <w:tc>
          <w:tcPr>
            <w:tcW w:w="1517" w:type="dxa"/>
          </w:tcPr>
          <w:p w:rsidR="00BD4D54" w:rsidRPr="008E7F6A" w:rsidRDefault="00BD4D54" w:rsidP="00EC6328">
            <w:pPr>
              <w:spacing w:after="40"/>
              <w:jc w:val="center"/>
              <w:rPr>
                <w:szCs w:val="22"/>
              </w:rPr>
            </w:pPr>
            <w:r w:rsidRPr="008E7F6A">
              <w:rPr>
                <w:szCs w:val="22"/>
              </w:rPr>
              <w:t>--</w:t>
            </w:r>
          </w:p>
        </w:tc>
        <w:tc>
          <w:tcPr>
            <w:tcW w:w="1553" w:type="dxa"/>
          </w:tcPr>
          <w:p w:rsidR="00BD4D54" w:rsidRPr="008E7F6A" w:rsidRDefault="00BD4D54" w:rsidP="00EC6328">
            <w:pPr>
              <w:spacing w:after="40"/>
              <w:jc w:val="center"/>
              <w:rPr>
                <w:szCs w:val="22"/>
              </w:rPr>
            </w:pPr>
            <w:r w:rsidRPr="008E7F6A">
              <w:rPr>
                <w:szCs w:val="22"/>
              </w:rPr>
              <w:t>84</w:t>
            </w:r>
          </w:p>
        </w:tc>
        <w:tc>
          <w:tcPr>
            <w:tcW w:w="1392" w:type="dxa"/>
          </w:tcPr>
          <w:p w:rsidR="00BD4D54" w:rsidRPr="008E7F6A" w:rsidRDefault="00BD4D54" w:rsidP="00EC6328">
            <w:pPr>
              <w:spacing w:after="40"/>
              <w:jc w:val="center"/>
              <w:rPr>
                <w:szCs w:val="22"/>
              </w:rPr>
            </w:pPr>
            <w:r w:rsidRPr="008E7F6A">
              <w:rPr>
                <w:szCs w:val="22"/>
              </w:rPr>
              <w:t>&lt;1</w:t>
            </w:r>
          </w:p>
        </w:tc>
      </w:tr>
      <w:tr w:rsidR="00BD4D54" w:rsidRPr="008E7F6A" w:rsidTr="00EC6328">
        <w:tc>
          <w:tcPr>
            <w:tcW w:w="1639" w:type="dxa"/>
          </w:tcPr>
          <w:p w:rsidR="00BD4D54" w:rsidRPr="008E7F6A" w:rsidRDefault="00BD4D54" w:rsidP="00EC6328">
            <w:pPr>
              <w:spacing w:after="40"/>
              <w:rPr>
                <w:szCs w:val="22"/>
              </w:rPr>
            </w:pPr>
            <w:r w:rsidRPr="008E7F6A">
              <w:rPr>
                <w:szCs w:val="22"/>
              </w:rPr>
              <w:t>Recreational C</w:t>
            </w:r>
          </w:p>
        </w:tc>
        <w:tc>
          <w:tcPr>
            <w:tcW w:w="1287" w:type="dxa"/>
          </w:tcPr>
          <w:p w:rsidR="00BD4D54" w:rsidRPr="008E7F6A" w:rsidRDefault="00BD4D54" w:rsidP="00EC6328">
            <w:pPr>
              <w:spacing w:after="40"/>
              <w:jc w:val="center"/>
              <w:rPr>
                <w:szCs w:val="22"/>
              </w:rPr>
            </w:pPr>
            <w:r w:rsidRPr="008E7F6A">
              <w:rPr>
                <w:szCs w:val="22"/>
              </w:rPr>
              <w:t>20</w:t>
            </w:r>
          </w:p>
        </w:tc>
        <w:tc>
          <w:tcPr>
            <w:tcW w:w="1445" w:type="dxa"/>
          </w:tcPr>
          <w:p w:rsidR="00BD4D54" w:rsidRPr="008E7F6A" w:rsidRDefault="00BD4D54" w:rsidP="00EC6328">
            <w:pPr>
              <w:spacing w:after="40"/>
              <w:jc w:val="center"/>
              <w:rPr>
                <w:szCs w:val="22"/>
              </w:rPr>
            </w:pPr>
            <w:r w:rsidRPr="008E7F6A">
              <w:rPr>
                <w:szCs w:val="22"/>
              </w:rPr>
              <w:t>27</w:t>
            </w:r>
          </w:p>
        </w:tc>
        <w:tc>
          <w:tcPr>
            <w:tcW w:w="1517" w:type="dxa"/>
          </w:tcPr>
          <w:p w:rsidR="00BD4D54" w:rsidRPr="008E7F6A" w:rsidRDefault="00BD4D54" w:rsidP="00EC6328">
            <w:pPr>
              <w:spacing w:after="40"/>
              <w:jc w:val="center"/>
              <w:rPr>
                <w:szCs w:val="22"/>
              </w:rPr>
            </w:pPr>
            <w:r w:rsidRPr="008E7F6A">
              <w:rPr>
                <w:szCs w:val="22"/>
              </w:rPr>
              <w:t>--</w:t>
            </w:r>
          </w:p>
        </w:tc>
        <w:tc>
          <w:tcPr>
            <w:tcW w:w="1553" w:type="dxa"/>
          </w:tcPr>
          <w:p w:rsidR="00BD4D54" w:rsidRPr="008E7F6A" w:rsidRDefault="00BD4D54" w:rsidP="00EC6328">
            <w:pPr>
              <w:spacing w:after="40"/>
              <w:jc w:val="center"/>
              <w:rPr>
                <w:szCs w:val="22"/>
              </w:rPr>
            </w:pPr>
            <w:r w:rsidRPr="008E7F6A">
              <w:rPr>
                <w:szCs w:val="22"/>
              </w:rPr>
              <w:t>73</w:t>
            </w:r>
          </w:p>
        </w:tc>
        <w:tc>
          <w:tcPr>
            <w:tcW w:w="1392" w:type="dxa"/>
          </w:tcPr>
          <w:p w:rsidR="00BD4D54" w:rsidRPr="008E7F6A" w:rsidRDefault="00BD4D54" w:rsidP="00EC6328">
            <w:pPr>
              <w:spacing w:after="40"/>
              <w:jc w:val="center"/>
              <w:rPr>
                <w:szCs w:val="22"/>
              </w:rPr>
            </w:pPr>
            <w:r w:rsidRPr="008E7F6A">
              <w:rPr>
                <w:szCs w:val="22"/>
              </w:rPr>
              <w:t>&lt;1</w:t>
            </w:r>
          </w:p>
        </w:tc>
      </w:tr>
      <w:tr w:rsidR="00BD4D54" w:rsidRPr="008E7F6A" w:rsidTr="00EC6328">
        <w:tc>
          <w:tcPr>
            <w:tcW w:w="1639" w:type="dxa"/>
          </w:tcPr>
          <w:p w:rsidR="00BD4D54" w:rsidRPr="008E7F6A" w:rsidRDefault="00BD4D54" w:rsidP="00EC6328">
            <w:pPr>
              <w:spacing w:after="40"/>
              <w:rPr>
                <w:szCs w:val="22"/>
              </w:rPr>
            </w:pPr>
            <w:r w:rsidRPr="008E7F6A">
              <w:rPr>
                <w:szCs w:val="22"/>
              </w:rPr>
              <w:t>Commercial D</w:t>
            </w:r>
          </w:p>
        </w:tc>
        <w:tc>
          <w:tcPr>
            <w:tcW w:w="1287" w:type="dxa"/>
          </w:tcPr>
          <w:p w:rsidR="00BD4D54" w:rsidRPr="008E7F6A" w:rsidRDefault="00BD4D54" w:rsidP="00EC6328">
            <w:pPr>
              <w:spacing w:after="40"/>
              <w:jc w:val="center"/>
              <w:rPr>
                <w:szCs w:val="22"/>
              </w:rPr>
            </w:pPr>
            <w:r w:rsidRPr="008E7F6A">
              <w:rPr>
                <w:szCs w:val="22"/>
              </w:rPr>
              <w:t>100</w:t>
            </w:r>
          </w:p>
        </w:tc>
        <w:tc>
          <w:tcPr>
            <w:tcW w:w="1445" w:type="dxa"/>
          </w:tcPr>
          <w:p w:rsidR="00BD4D54" w:rsidRPr="008E7F6A" w:rsidRDefault="00BD4D54" w:rsidP="00EC6328">
            <w:pPr>
              <w:spacing w:after="40"/>
              <w:jc w:val="center"/>
              <w:rPr>
                <w:szCs w:val="22"/>
              </w:rPr>
            </w:pPr>
            <w:r w:rsidRPr="008E7F6A">
              <w:rPr>
                <w:szCs w:val="22"/>
              </w:rPr>
              <w:t>12</w:t>
            </w:r>
          </w:p>
        </w:tc>
        <w:tc>
          <w:tcPr>
            <w:tcW w:w="1517" w:type="dxa"/>
          </w:tcPr>
          <w:p w:rsidR="00BD4D54" w:rsidRPr="008E7F6A" w:rsidRDefault="00BD4D54" w:rsidP="00EC6328">
            <w:pPr>
              <w:spacing w:after="40"/>
              <w:jc w:val="center"/>
              <w:rPr>
                <w:szCs w:val="22"/>
              </w:rPr>
            </w:pPr>
            <w:r w:rsidRPr="008E7F6A">
              <w:rPr>
                <w:szCs w:val="22"/>
              </w:rPr>
              <w:t>--</w:t>
            </w:r>
          </w:p>
        </w:tc>
        <w:tc>
          <w:tcPr>
            <w:tcW w:w="1553" w:type="dxa"/>
          </w:tcPr>
          <w:p w:rsidR="00BD4D54" w:rsidRPr="008E7F6A" w:rsidRDefault="00BD4D54" w:rsidP="00EC6328">
            <w:pPr>
              <w:spacing w:after="40"/>
              <w:jc w:val="center"/>
              <w:rPr>
                <w:szCs w:val="22"/>
              </w:rPr>
            </w:pPr>
            <w:r w:rsidRPr="008E7F6A">
              <w:rPr>
                <w:szCs w:val="22"/>
              </w:rPr>
              <w:t>88</w:t>
            </w:r>
          </w:p>
        </w:tc>
        <w:tc>
          <w:tcPr>
            <w:tcW w:w="1392" w:type="dxa"/>
          </w:tcPr>
          <w:p w:rsidR="00BD4D54" w:rsidRPr="008E7F6A" w:rsidRDefault="00BD4D54" w:rsidP="00EC6328">
            <w:pPr>
              <w:spacing w:after="40"/>
              <w:jc w:val="center"/>
              <w:rPr>
                <w:szCs w:val="22"/>
              </w:rPr>
            </w:pPr>
            <w:r w:rsidRPr="008E7F6A">
              <w:rPr>
                <w:szCs w:val="22"/>
              </w:rPr>
              <w:t>&lt;1</w:t>
            </w:r>
          </w:p>
        </w:tc>
      </w:tr>
    </w:tbl>
    <w:p w:rsidR="00BD4D54" w:rsidRPr="008E7F6A" w:rsidRDefault="00BD4D54" w:rsidP="00BD4D54">
      <w:pPr>
        <w:rPr>
          <w:sz w:val="18"/>
          <w:szCs w:val="18"/>
        </w:rPr>
      </w:pPr>
      <w:r w:rsidRPr="008E7F6A">
        <w:rPr>
          <w:sz w:val="18"/>
          <w:szCs w:val="18"/>
        </w:rPr>
        <w:t>-- Pathway not included in derivation of HIL</w:t>
      </w:r>
    </w:p>
    <w:p w:rsidR="00BD4D54" w:rsidRDefault="00BD4D54" w:rsidP="00BD4D54">
      <w:pPr>
        <w:pStyle w:val="Heading2"/>
        <w:tabs>
          <w:tab w:val="clear" w:pos="1209"/>
        </w:tabs>
      </w:pPr>
      <w:bookmarkStart w:id="75" w:name="_Toc351714164"/>
      <w:r>
        <w:t>References</w:t>
      </w:r>
      <w:bookmarkEnd w:id="75"/>
    </w:p>
    <w:p w:rsidR="00BD4D54" w:rsidRPr="008E7F6A" w:rsidRDefault="00BD4D54" w:rsidP="00BD4D54">
      <w:pPr>
        <w:pStyle w:val="StyletextLeft0cmHanging1cm"/>
      </w:pPr>
      <w:r w:rsidRPr="008E7F6A">
        <w:t xml:space="preserve">ATSDR 1996, </w:t>
      </w:r>
      <w:r w:rsidRPr="008E7F6A">
        <w:rPr>
          <w:i/>
        </w:rPr>
        <w:t>Toxicological Profile for Endrin</w:t>
      </w:r>
      <w:r w:rsidRPr="008E7F6A">
        <w:t xml:space="preserve">, available from: </w:t>
      </w:r>
      <w:hyperlink r:id="rId36" w:history="1">
        <w:r w:rsidRPr="008E7F6A">
          <w:rPr>
            <w:rStyle w:val="Hyperlink"/>
            <w:rFonts w:cs="Arial"/>
            <w:szCs w:val="22"/>
          </w:rPr>
          <w:t>http://www.atsdr.cdc.gov/ToxProfiles/tp.asp?id=617&amp;tid=114</w:t>
        </w:r>
      </w:hyperlink>
      <w:r w:rsidRPr="008E7F6A">
        <w:t xml:space="preserve">. </w:t>
      </w:r>
    </w:p>
    <w:p w:rsidR="00BD4D54" w:rsidRPr="008E7F6A" w:rsidRDefault="00BD4D54" w:rsidP="00BD4D54">
      <w:pPr>
        <w:pStyle w:val="StyletextLeft0cmHanging1cm"/>
      </w:pPr>
      <w:r w:rsidRPr="008E7F6A">
        <w:t xml:space="preserve">DEH 2006, </w:t>
      </w:r>
      <w:r w:rsidRPr="008E7F6A">
        <w:rPr>
          <w:i/>
          <w:iCs/>
        </w:rPr>
        <w:t xml:space="preserve">Stockholm Convention on Persistent Organic Pollutants, Australia’s National Implementation Plan, </w:t>
      </w:r>
      <w:r w:rsidRPr="008E7F6A">
        <w:t>Department of Environment and Heritage, Commonwealth of Australia, Canberra, Australia.</w:t>
      </w:r>
    </w:p>
    <w:p w:rsidR="00BD4D54" w:rsidRPr="008E7F6A" w:rsidRDefault="00BD4D54" w:rsidP="00BD4D54">
      <w:pPr>
        <w:pStyle w:val="StyletextLeft0cmHanging1cm"/>
      </w:pPr>
      <w:r w:rsidRPr="008E7F6A">
        <w:t xml:space="preserve">FSANZ 2003, </w:t>
      </w:r>
      <w:r w:rsidRPr="008E7F6A">
        <w:rPr>
          <w:i/>
        </w:rPr>
        <w:t>The 20</w:t>
      </w:r>
      <w:r w:rsidRPr="008E7F6A">
        <w:rPr>
          <w:i/>
          <w:vertAlign w:val="superscript"/>
        </w:rPr>
        <w:t>th</w:t>
      </w:r>
      <w:r w:rsidRPr="008E7F6A">
        <w:rPr>
          <w:i/>
        </w:rPr>
        <w:t xml:space="preserve"> Australian Total Diet Survey</w:t>
      </w:r>
      <w:r w:rsidRPr="008E7F6A">
        <w:t>, a total diet survey of pesticide residues and contaminants, Food Standards Australia and New Zealand.</w:t>
      </w:r>
    </w:p>
    <w:p w:rsidR="00BD4D54" w:rsidRPr="008E7F6A" w:rsidRDefault="00BD4D54" w:rsidP="00BD4D54">
      <w:pPr>
        <w:pStyle w:val="StyletextLeft0cmHanging1cm"/>
        <w:rPr>
          <w:lang w:eastAsia="en-US"/>
        </w:rPr>
      </w:pPr>
      <w:r w:rsidRPr="008E7F6A">
        <w:rPr>
          <w:lang w:eastAsia="en-US"/>
        </w:rPr>
        <w:t xml:space="preserve">FSANZ 2011, </w:t>
      </w:r>
      <w:r w:rsidRPr="008E7F6A">
        <w:rPr>
          <w:i/>
          <w:lang w:eastAsia="en-US"/>
        </w:rPr>
        <w:t>The 23</w:t>
      </w:r>
      <w:r w:rsidRPr="008E7F6A">
        <w:rPr>
          <w:i/>
          <w:vertAlign w:val="superscript"/>
          <w:lang w:eastAsia="en-US"/>
        </w:rPr>
        <w:t>rd</w:t>
      </w:r>
      <w:r w:rsidRPr="008E7F6A">
        <w:rPr>
          <w:i/>
          <w:lang w:eastAsia="en-US"/>
        </w:rPr>
        <w:t xml:space="preserve"> Australian Total Diet Study</w:t>
      </w:r>
      <w:r w:rsidRPr="008E7F6A">
        <w:rPr>
          <w:lang w:eastAsia="en-US"/>
        </w:rPr>
        <w:t>, Food Standards Australia and New Zealand.</w:t>
      </w:r>
    </w:p>
    <w:p w:rsidR="00BD4D54" w:rsidRPr="008E7F6A" w:rsidRDefault="00BD4D54" w:rsidP="00BD4D54">
      <w:pPr>
        <w:pStyle w:val="StyletextLeft0cmHanging1cm"/>
      </w:pPr>
      <w:r w:rsidRPr="008E7F6A">
        <w:t xml:space="preserve">IARC 1987, </w:t>
      </w:r>
      <w:r w:rsidRPr="008E7F6A">
        <w:rPr>
          <w:i/>
        </w:rPr>
        <w:t>Summaries &amp; Evaluations, Endrin</w:t>
      </w:r>
      <w:r w:rsidRPr="008E7F6A">
        <w:t>, International Agency for Research on Cancer, Supplement 7, p.63.</w:t>
      </w:r>
    </w:p>
    <w:p w:rsidR="00BD4D54" w:rsidRPr="008E7F6A" w:rsidRDefault="00BD4D54" w:rsidP="00BD4D54">
      <w:pPr>
        <w:pStyle w:val="StyletextLeft0cmHanging1cm"/>
      </w:pPr>
      <w:r w:rsidRPr="008E7F6A">
        <w:t xml:space="preserve">JMPR 1970, </w:t>
      </w:r>
      <w:r w:rsidRPr="008E7F6A">
        <w:rPr>
          <w:i/>
        </w:rPr>
        <w:t>1970 Evaluations of Some Pesticides in Food, The Monographs, Endrin</w:t>
      </w:r>
      <w:r w:rsidRPr="008E7F6A">
        <w:t xml:space="preserve">, JMPR, available from: </w:t>
      </w:r>
      <w:hyperlink r:id="rId37" w:history="1">
        <w:r w:rsidRPr="008E7F6A">
          <w:rPr>
            <w:rStyle w:val="Hyperlink"/>
            <w:rFonts w:cs="Arial"/>
            <w:szCs w:val="22"/>
          </w:rPr>
          <w:t>http://www.inchem.org/documents/jmpr/jmpmono/v070pr13.htm</w:t>
        </w:r>
      </w:hyperlink>
      <w:r w:rsidRPr="008E7F6A">
        <w:t>.</w:t>
      </w:r>
    </w:p>
    <w:p w:rsidR="00BD4D54" w:rsidRPr="008E7F6A" w:rsidRDefault="00BD4D54" w:rsidP="00BD4D54">
      <w:pPr>
        <w:pStyle w:val="StyletextLeft0cmHanging1cm"/>
      </w:pPr>
      <w:r w:rsidRPr="008E7F6A">
        <w:t xml:space="preserve">NEPC 1999, </w:t>
      </w:r>
      <w:r w:rsidRPr="008E7F6A">
        <w:rPr>
          <w:i/>
        </w:rPr>
        <w:t>Schedule B (7a), Guideline on Health-Based Investigation Levels, National Environment Protection (Assessment of Site Contamination) Measure</w:t>
      </w:r>
      <w:r w:rsidRPr="008E7F6A">
        <w:t>, National Environment Protection Council, Australia.</w:t>
      </w:r>
    </w:p>
    <w:p w:rsidR="00BD4D54" w:rsidRPr="008E7F6A" w:rsidRDefault="00BD4D54" w:rsidP="00BD4D54">
      <w:pPr>
        <w:pStyle w:val="StyletextLeft0cmHanging1cm"/>
        <w:rPr>
          <w:noProof/>
        </w:rPr>
      </w:pPr>
      <w:r w:rsidRPr="008E7F6A">
        <w:t xml:space="preserve">NHMRC 2011, </w:t>
      </w:r>
      <w:r w:rsidRPr="008E7F6A">
        <w:rPr>
          <w:i/>
          <w:iCs/>
        </w:rPr>
        <w:t>National water quality management strategy, Australian drinking water guidelines</w:t>
      </w:r>
      <w:r w:rsidRPr="008E7F6A">
        <w:t>, National Health and Medical Research Council, Australia</w:t>
      </w:r>
      <w:r w:rsidRPr="008E7F6A">
        <w:rPr>
          <w:noProof/>
        </w:rPr>
        <w:t>.</w:t>
      </w:r>
    </w:p>
    <w:p w:rsidR="00BD4D54" w:rsidRPr="008E7F6A" w:rsidRDefault="00BD4D54" w:rsidP="00BD4D54">
      <w:pPr>
        <w:pStyle w:val="StyletextLeft0cmHanging1cm"/>
        <w:rPr>
          <w:noProof/>
        </w:rPr>
      </w:pPr>
      <w:r w:rsidRPr="008E7F6A">
        <w:rPr>
          <w:noProof/>
        </w:rPr>
        <w:lastRenderedPageBreak/>
        <w:t xml:space="preserve">OCS 2012, </w:t>
      </w:r>
      <w:r w:rsidRPr="008E7F6A">
        <w:rPr>
          <w:i/>
          <w:noProof/>
        </w:rPr>
        <w:t>ADI List, Acceptable Daily Intakes for Agricultural and Veterinary Chemicals,</w:t>
      </w:r>
      <w:r w:rsidRPr="008E7F6A">
        <w:rPr>
          <w:noProof/>
        </w:rPr>
        <w:t xml:space="preserve"> current to 31 March 2012, Australian Government, Department of Health and Ageing, Office of Chemical Safety (OCS), available from: </w:t>
      </w:r>
      <w:r w:rsidRPr="008E7F6A">
        <w:t>http://www.health.gov.au/internet/main/publishing.nsf/content/E8F4D2F95D616584CA2573D700770C2A/$File/ADI-apr12.pdf.</w:t>
      </w:r>
    </w:p>
    <w:p w:rsidR="00BD4D54" w:rsidRPr="008E7F6A" w:rsidRDefault="00BD4D54" w:rsidP="00BD4D54">
      <w:pPr>
        <w:pStyle w:val="StyletextLeft0cmHanging1cm"/>
        <w:rPr>
          <w:lang w:eastAsia="en-US"/>
        </w:rPr>
      </w:pPr>
      <w:r w:rsidRPr="008E7F6A">
        <w:rPr>
          <w:lang w:eastAsia="en-US"/>
        </w:rPr>
        <w:t xml:space="preserve">RIVM 2001, </w:t>
      </w:r>
      <w:r w:rsidRPr="008E7F6A">
        <w:rPr>
          <w:i/>
          <w:lang w:eastAsia="en-US"/>
        </w:rPr>
        <w:t>Re-evaluation of human-toxicological Maximum Permissible Risk levels</w:t>
      </w:r>
      <w:r w:rsidRPr="008E7F6A">
        <w:rPr>
          <w:lang w:eastAsia="en-US"/>
        </w:rPr>
        <w:t xml:space="preserve">, National Institute of Public Health and the Environment, Bilthoven, Netherlands, available from: </w:t>
      </w:r>
      <w:hyperlink r:id="rId38" w:history="1">
        <w:r w:rsidRPr="008E7F6A">
          <w:rPr>
            <w:rStyle w:val="Hyperlink"/>
            <w:rFonts w:cs="Arial"/>
            <w:szCs w:val="22"/>
            <w:lang w:eastAsia="en-US"/>
          </w:rPr>
          <w:t>http://www.rivm.nl/bibliotheek/rapporten/711701025.html</w:t>
        </w:r>
      </w:hyperlink>
      <w:r w:rsidRPr="008E7F6A">
        <w:t>.</w:t>
      </w:r>
      <w:r w:rsidRPr="008E7F6A">
        <w:rPr>
          <w:lang w:eastAsia="en-US"/>
        </w:rPr>
        <w:t xml:space="preserve"> </w:t>
      </w:r>
    </w:p>
    <w:p w:rsidR="00BD4D54" w:rsidRPr="008E7F6A" w:rsidRDefault="00BD4D54" w:rsidP="00BD4D54">
      <w:pPr>
        <w:pStyle w:val="StyletextLeft0cmHanging1cm"/>
      </w:pPr>
      <w:r w:rsidRPr="008E7F6A">
        <w:t xml:space="preserve">US EPA 1995, </w:t>
      </w:r>
      <w:r w:rsidRPr="008E7F6A">
        <w:rPr>
          <w:i/>
        </w:rPr>
        <w:t>Technical Guidance Manual, Assessing Dermal Exposure from Soil</w:t>
      </w:r>
      <w:r w:rsidRPr="008E7F6A">
        <w:t xml:space="preserve">, US EPA Region 3, available from: </w:t>
      </w:r>
      <w:hyperlink r:id="rId39" w:history="1">
        <w:r w:rsidRPr="008E7F6A">
          <w:rPr>
            <w:rStyle w:val="Hyperlink"/>
            <w:szCs w:val="22"/>
          </w:rPr>
          <w:t>http://www.epa.gov/reg3hwmd/risk/human/info/solabsg2.htm</w:t>
        </w:r>
      </w:hyperlink>
      <w:r w:rsidRPr="008E7F6A">
        <w:t>.</w:t>
      </w:r>
    </w:p>
    <w:p w:rsidR="00BD4D54" w:rsidRPr="008E7F6A" w:rsidRDefault="00BD4D54" w:rsidP="00BD4D54">
      <w:pPr>
        <w:pStyle w:val="StyletextLeft0cmHanging1cm"/>
      </w:pPr>
      <w:r w:rsidRPr="008E7F6A">
        <w:t xml:space="preserve">US EPA (IRIS 2012), data and information available from the </w:t>
      </w:r>
      <w:r w:rsidRPr="008E7F6A">
        <w:rPr>
          <w:i/>
        </w:rPr>
        <w:t>Integrated Risk Information System</w:t>
      </w:r>
      <w:r w:rsidRPr="008E7F6A">
        <w:t xml:space="preserve">, an online database, available from </w:t>
      </w:r>
      <w:hyperlink r:id="rId40" w:history="1">
        <w:r w:rsidRPr="008E7F6A">
          <w:rPr>
            <w:rStyle w:val="Hyperlink"/>
            <w:rFonts w:cs="Arial"/>
            <w:szCs w:val="22"/>
          </w:rPr>
          <w:t>http://www.epa.gov/iris/</w:t>
        </w:r>
      </w:hyperlink>
      <w:r w:rsidRPr="008E7F6A">
        <w:t>.</w:t>
      </w:r>
    </w:p>
    <w:p w:rsidR="00BD4D54" w:rsidRPr="008E7F6A" w:rsidRDefault="00BD4D54" w:rsidP="00BD4D54">
      <w:pPr>
        <w:pStyle w:val="StyletextLeft0cmHanging1cm"/>
      </w:pPr>
      <w:r w:rsidRPr="008E7F6A">
        <w:t xml:space="preserve">WHO 1992, </w:t>
      </w:r>
      <w:r w:rsidRPr="008E7F6A">
        <w:rPr>
          <w:i/>
          <w:iCs/>
        </w:rPr>
        <w:t xml:space="preserve">Environmental Health Criteria No 130 Endrin, </w:t>
      </w:r>
      <w:r w:rsidRPr="008E7F6A">
        <w:t>International Programme of Chemical Safety, World Health Organization, Geneva.</w:t>
      </w:r>
    </w:p>
    <w:p w:rsidR="00BD4D54" w:rsidRPr="008E7F6A" w:rsidRDefault="00BD4D54" w:rsidP="00BD4D54">
      <w:pPr>
        <w:pStyle w:val="StyletextLeft0cmHanging1cm"/>
      </w:pPr>
      <w:r w:rsidRPr="008E7F6A">
        <w:t xml:space="preserve">WHO 2011, </w:t>
      </w:r>
      <w:r w:rsidRPr="008E7F6A">
        <w:rPr>
          <w:i/>
        </w:rPr>
        <w:t>Guidelines for drinking-water quality, 4</w:t>
      </w:r>
      <w:r w:rsidRPr="008E7F6A">
        <w:rPr>
          <w:i/>
          <w:vertAlign w:val="superscript"/>
        </w:rPr>
        <w:t xml:space="preserve">h </w:t>
      </w:r>
      <w:r w:rsidRPr="008E7F6A">
        <w:rPr>
          <w:i/>
        </w:rPr>
        <w:t>edn</w:t>
      </w:r>
      <w:r w:rsidRPr="008E7F6A">
        <w:t>, World Health Organization, Geneva</w:t>
      </w:r>
      <w:r>
        <w:t>,</w:t>
      </w:r>
      <w:r w:rsidRPr="008E7F6A">
        <w:t xml:space="preserve"> available from </w:t>
      </w:r>
      <w:hyperlink r:id="rId41" w:history="1">
        <w:r w:rsidRPr="008E7F6A">
          <w:rPr>
            <w:rStyle w:val="Hyperlink"/>
            <w:szCs w:val="22"/>
          </w:rPr>
          <w:t>http://www.who.int/water_sanitation_health/dwq/chemicals/en/index.html</w:t>
        </w:r>
      </w:hyperlink>
    </w:p>
    <w:p w:rsidR="00BD4D54" w:rsidRDefault="00BD4D54" w:rsidP="00BD4D54"/>
    <w:p w:rsidR="00BD4D54" w:rsidRDefault="00BD4D54" w:rsidP="00BD4D54"/>
    <w:p w:rsidR="00BD4D54" w:rsidRDefault="00BD4D54" w:rsidP="00BD4D54"/>
    <w:p w:rsidR="00BD4D54" w:rsidRDefault="00BD4D54" w:rsidP="00BD4D54">
      <w:pPr>
        <w:pStyle w:val="Heading1"/>
        <w:tabs>
          <w:tab w:val="clear" w:pos="1209"/>
          <w:tab w:val="num" w:pos="720"/>
        </w:tabs>
      </w:pPr>
      <w:bookmarkStart w:id="76" w:name="_Toc351714165"/>
      <w:r>
        <w:lastRenderedPageBreak/>
        <w:t>Heptachlor</w:t>
      </w:r>
      <w:bookmarkEnd w:id="76"/>
    </w:p>
    <w:p w:rsidR="00BD4D54" w:rsidRDefault="00BD4D54" w:rsidP="00BD4D54">
      <w:pPr>
        <w:pStyle w:val="Heading2"/>
        <w:tabs>
          <w:tab w:val="clear" w:pos="1209"/>
        </w:tabs>
      </w:pPr>
      <w:bookmarkStart w:id="77" w:name="_Toc351714166"/>
      <w:r>
        <w:t>General</w:t>
      </w:r>
      <w:bookmarkEnd w:id="77"/>
    </w:p>
    <w:p w:rsidR="00BD4D54" w:rsidRDefault="00BD4D54" w:rsidP="00BD4D54">
      <w:r>
        <w:t>Several comprehensive reviews of heptachlor in the environment and its toxicity to humans are available and should be consulted for more detailed information (ATSDR 2007; WHO 1984; WHO 2006). The following provides a summary of the key aspects of heptachlor that are relevant to the derivation of a soil HIL.</w:t>
      </w:r>
    </w:p>
    <w:p w:rsidR="00B0287F" w:rsidRDefault="00B0287F" w:rsidP="00BD4D54"/>
    <w:p w:rsidR="00BD4D54" w:rsidRDefault="00BD4D54" w:rsidP="00BD4D54">
      <w:r w:rsidRPr="00FE2766">
        <w:t xml:space="preserve">Heptachlor is a polychlorinated cyclodiene insecticide that was produced and distributed from the early 1950s to the 1980s under several trade names including Heptagran®, Basaklor®, Drinox®, Soleptax®, Termide®, and Velsicol 104® </w:t>
      </w:r>
      <w:r>
        <w:t>(ATSDR 2007)</w:t>
      </w:r>
      <w:r w:rsidRPr="00FE2766">
        <w:t>. Pure heptachlor is a white powder that smells similar to mothballs. The less pure grade commercial insecticide is tan in colour. Heptachlor is stable in light and air and does not burn easily or explode. It does not dissolve readily in water but is sol</w:t>
      </w:r>
      <w:r>
        <w:t>uble in organic solutions (WHO 1984; ATSDR 2007).</w:t>
      </w:r>
    </w:p>
    <w:p w:rsidR="00B0287F" w:rsidRDefault="00B0287F" w:rsidP="00BD4D54"/>
    <w:p w:rsidR="00BD4D54" w:rsidRPr="00FE2766" w:rsidRDefault="00BD4D54" w:rsidP="00BD4D54">
      <w:r w:rsidRPr="00FE2766">
        <w:t xml:space="preserve">Heptachlor is a broad-spectrum insecticide that was distributed commercially in Australia until the mid-1990s to protect against household pests such as termites. Its use in the agricultural industry to control insects in soil and seed crops was withdrawn in the late 1970s and early 1980s </w:t>
      </w:r>
      <w:r>
        <w:t>(NHMRC 2011)</w:t>
      </w:r>
      <w:r w:rsidRPr="00FE2766">
        <w:t>. Heptachlor is a</w:t>
      </w:r>
      <w:r>
        <w:t xml:space="preserve"> </w:t>
      </w:r>
      <w:r w:rsidRPr="00FE2766">
        <w:t xml:space="preserve">manufactured chemical and does not occur naturally. It should be noted that heptachlor is also a component of the pesticide chlordane (approximately 10%) </w:t>
      </w:r>
      <w:r>
        <w:t>(ATSDR 2007)</w:t>
      </w:r>
      <w:r w:rsidRPr="00FE2766">
        <w:t>.</w:t>
      </w:r>
    </w:p>
    <w:p w:rsidR="00BD4D54" w:rsidRDefault="00BD4D54" w:rsidP="00BD4D54">
      <w:pPr>
        <w:pStyle w:val="Heading2"/>
        <w:tabs>
          <w:tab w:val="clear" w:pos="1209"/>
        </w:tabs>
      </w:pPr>
      <w:bookmarkStart w:id="78" w:name="_Toc351714167"/>
      <w:r>
        <w:t>Previous HIL</w:t>
      </w:r>
      <w:bookmarkEnd w:id="78"/>
    </w:p>
    <w:p w:rsidR="00BD4D54" w:rsidRDefault="00BD4D54" w:rsidP="00BD4D54">
      <w:r>
        <w:t>The derivation of the previous HIL (HIL A = 10 mg/kg) for heptachlor is presented by Di Marco (1993) and NEPC (1999). In summary, the HIL was derived on the basis of the following:</w:t>
      </w:r>
    </w:p>
    <w:p w:rsidR="00BD4D54" w:rsidRDefault="00BD4D54" w:rsidP="00BD4D54">
      <w:pPr>
        <w:pStyle w:val="Dot-points"/>
        <w:tabs>
          <w:tab w:val="clear" w:pos="926"/>
          <w:tab w:val="num" w:pos="360"/>
        </w:tabs>
      </w:pPr>
      <w:r>
        <w:t>Background intakes were considered in the derivation of the current HIL with the intakes from food, water and ambient air considered to comprise 40% of the adopted ADI.</w:t>
      </w:r>
    </w:p>
    <w:p w:rsidR="00BD4D54" w:rsidRDefault="00BD4D54" w:rsidP="00BD4D54">
      <w:pPr>
        <w:pStyle w:val="Dot-points"/>
        <w:tabs>
          <w:tab w:val="clear" w:pos="926"/>
          <w:tab w:val="num" w:pos="360"/>
        </w:tabs>
      </w:pPr>
      <w:r>
        <w:t>An ADI of 0.0001 mg/kg/day, referenced from the JMPR, was considered. An additional factor of 3 was used because of the uncertainties associated with the bioavailability estimates adopted and exposure levels in the future.</w:t>
      </w:r>
    </w:p>
    <w:p w:rsidR="00BD4D54" w:rsidRDefault="00BD4D54" w:rsidP="00BD4D54">
      <w:pPr>
        <w:pStyle w:val="Dot-points"/>
        <w:tabs>
          <w:tab w:val="clear" w:pos="926"/>
          <w:tab w:val="num" w:pos="360"/>
        </w:tabs>
      </w:pPr>
      <w:r>
        <w:t>Dermal absorption of organochlorine pesticides was considered to be 5%.</w:t>
      </w:r>
    </w:p>
    <w:p w:rsidR="00BD4D54" w:rsidRDefault="00BD4D54" w:rsidP="00BD4D54">
      <w:pPr>
        <w:pStyle w:val="Dot-points"/>
        <w:tabs>
          <w:tab w:val="clear" w:pos="926"/>
          <w:tab w:val="num" w:pos="360"/>
        </w:tabs>
      </w:pPr>
      <w:r>
        <w:t>Oral bioavailability of organochlorine pesticides was considered to be 10%.</w:t>
      </w:r>
    </w:p>
    <w:p w:rsidR="00BD4D54" w:rsidRDefault="00BD4D54" w:rsidP="00BD4D54">
      <w:pPr>
        <w:pStyle w:val="Dot-points"/>
        <w:tabs>
          <w:tab w:val="clear" w:pos="926"/>
          <w:tab w:val="num" w:pos="360"/>
        </w:tabs>
      </w:pPr>
      <w:r>
        <w:t>Based on intakes derived from soil (ingestion, dermal absorption and dust inhalation), an HIL of 10 mg/kg was calculated.</w:t>
      </w:r>
    </w:p>
    <w:p w:rsidR="00BD4D54" w:rsidRDefault="00BD4D54" w:rsidP="00BD4D54">
      <w:pPr>
        <w:pStyle w:val="Heading2"/>
        <w:tabs>
          <w:tab w:val="clear" w:pos="1209"/>
        </w:tabs>
      </w:pPr>
      <w:bookmarkStart w:id="79" w:name="_Toc351714168"/>
      <w:r>
        <w:t>Significance of Exposure Pathways</w:t>
      </w:r>
      <w:bookmarkEnd w:id="79"/>
    </w:p>
    <w:p w:rsidR="00BD4D54" w:rsidRPr="00E00A6A" w:rsidRDefault="00BD4D54" w:rsidP="00BD4D54">
      <w:pPr>
        <w:pStyle w:val="Heading3"/>
      </w:pPr>
      <w:bookmarkStart w:id="80" w:name="_Toc351714169"/>
      <w:r>
        <w:t xml:space="preserve">Oral </w:t>
      </w:r>
      <w:r w:rsidRPr="00E00A6A">
        <w:t>Bioavailability</w:t>
      </w:r>
      <w:bookmarkEnd w:id="80"/>
    </w:p>
    <w:p w:rsidR="00BD4D54" w:rsidRDefault="00BD4D54" w:rsidP="00BD4D54">
      <w:r>
        <w:t>Insufficient data is available to adequately define the bioavailability of heptachlor hence a default approach of assuming 100% oral bioavailability has been adopted in the derivation of an HIL. It is noted, that a site-specific assessment of bioavailability can be undertaken where required.</w:t>
      </w:r>
    </w:p>
    <w:p w:rsidR="00BD4D54" w:rsidRPr="002D7B71" w:rsidRDefault="00BD4D54" w:rsidP="00BD4D54">
      <w:pPr>
        <w:pStyle w:val="Heading3"/>
      </w:pPr>
      <w:bookmarkStart w:id="81" w:name="_Toc351714170"/>
      <w:r w:rsidRPr="002D7B71">
        <w:t>Dermal absorption</w:t>
      </w:r>
      <w:bookmarkEnd w:id="81"/>
    </w:p>
    <w:p w:rsidR="00BD4D54" w:rsidRDefault="00BD4D54" w:rsidP="00BD4D54">
      <w:r>
        <w:t>Insufficient data is available on the dermal absorption of heptachlor from soil. Hence the default values of 0.1 (10%) suggested by US EPA (1995) for pesticides has been adopted in the derivation of HILs.</w:t>
      </w:r>
    </w:p>
    <w:p w:rsidR="00BD4D54" w:rsidRDefault="00BD4D54" w:rsidP="00BD4D54">
      <w:pPr>
        <w:rPr>
          <w:b/>
          <w:u w:val="single"/>
        </w:rPr>
      </w:pPr>
    </w:p>
    <w:p w:rsidR="00BD4D54" w:rsidRPr="009338FB" w:rsidRDefault="00BD4D54" w:rsidP="00BD4D54">
      <w:pPr>
        <w:pStyle w:val="Heading3"/>
      </w:pPr>
      <w:bookmarkStart w:id="82" w:name="_Toc351714171"/>
      <w:r w:rsidRPr="009338FB">
        <w:t>Inhalation of Dust</w:t>
      </w:r>
      <w:bookmarkEnd w:id="82"/>
    </w:p>
    <w:p w:rsidR="00BD4D54" w:rsidRDefault="00BD4D54" w:rsidP="00BD4D54">
      <w:r>
        <w:t>Heptachlor is not considered sufficiently volatile to be of significance and inhalation exposures associated with particulates outdoors and indoors are expected to be of less significance than ingestion of soil. While likely to be negligible, potential inhalation exposures associated with dust have been considered in the derived HIL.</w:t>
      </w:r>
    </w:p>
    <w:p w:rsidR="00BD4D54" w:rsidRPr="009338FB" w:rsidRDefault="00BD4D54" w:rsidP="00BD4D54">
      <w:pPr>
        <w:pStyle w:val="Heading3"/>
      </w:pPr>
      <w:bookmarkStart w:id="83" w:name="_Toc351714172"/>
      <w:r w:rsidRPr="009338FB">
        <w:lastRenderedPageBreak/>
        <w:t>Plant Uptake</w:t>
      </w:r>
      <w:bookmarkEnd w:id="83"/>
    </w:p>
    <w:p w:rsidR="00BD4D54" w:rsidRDefault="00BD4D54" w:rsidP="00BD4D54">
      <w:r>
        <w:t>The few studies that are available with respect to the potential for plant uptake of heptachlor relate to the application of the compound in solution (as a product), rather than uptake from soil. Heptachlor and heptachlor epoxide have a high Koc value (log Koc = 3.34</w:t>
      </w:r>
      <w:r>
        <w:sym w:font="Symbol" w:char="F02D"/>
      </w:r>
      <w:r>
        <w:t>4.37) and low solubility in water (ATSDR 2007), suggesting that the compound is largely bound to the soil particulates and immobile in soil. For plant uptake to be significant, the chemicals must be able to partition to soil water. With respect to heptachlor bound to soil, the potential for partitioning to soil water is considered to be low and hence plant uptake is considered to be negligible.</w:t>
      </w:r>
    </w:p>
    <w:p w:rsidR="00BD4D54" w:rsidRPr="0089652E" w:rsidRDefault="00BD4D54" w:rsidP="00BD4D54">
      <w:pPr>
        <w:pStyle w:val="Heading3"/>
      </w:pPr>
      <w:bookmarkStart w:id="84" w:name="_Toc351714173"/>
      <w:r w:rsidRPr="0089652E">
        <w:t xml:space="preserve">Intakes from Other Sources </w:t>
      </w:r>
      <w:r>
        <w:t>–</w:t>
      </w:r>
      <w:r w:rsidRPr="0089652E">
        <w:t xml:space="preserve"> Background</w:t>
      </w:r>
      <w:bookmarkEnd w:id="84"/>
    </w:p>
    <w:p w:rsidR="00BD4D54" w:rsidRDefault="00BD4D54" w:rsidP="00BD4D54">
      <w:r>
        <w:t xml:space="preserve">For the general population, where heptachlor and heptachlor epoxide are no longer used (the last heptachlor product was cancelled by APVMA at the end of June 1997), background intakes would be expected to be primarily associated with residues in food. </w:t>
      </w:r>
    </w:p>
    <w:p w:rsidR="00B0287F" w:rsidRDefault="00B0287F" w:rsidP="00BD4D54"/>
    <w:p w:rsidR="00BD4D54" w:rsidRDefault="00BD4D54" w:rsidP="00BD4D54">
      <w:r>
        <w:t>Food Standards Australia and New Zealand has not detected heptachlor in any sample in the 19</w:t>
      </w:r>
      <w:r w:rsidRPr="005D4B18">
        <w:rPr>
          <w:vertAlign w:val="superscript"/>
        </w:rPr>
        <w:t>th</w:t>
      </w:r>
      <w:r>
        <w:t>, 20</w:t>
      </w:r>
      <w:r w:rsidRPr="005D4B18">
        <w:rPr>
          <w:vertAlign w:val="superscript"/>
        </w:rPr>
        <w:t>th</w:t>
      </w:r>
      <w:r>
        <w:t xml:space="preserve"> or 23</w:t>
      </w:r>
      <w:r w:rsidRPr="00684B59">
        <w:rPr>
          <w:vertAlign w:val="superscript"/>
        </w:rPr>
        <w:t>rd</w:t>
      </w:r>
      <w:r>
        <w:t xml:space="preserve"> food surveys (FSANZ 2003; FSANZ 2011). Hence, background intakes would be expected to be negligible. This is consistent with reviews of background intakes estimated by Di Marco (1993), where background intakes from heptachlor (where no longer used) comprises &lt;2% of the adopted ADI.</w:t>
      </w:r>
    </w:p>
    <w:p w:rsidR="00BD4D54" w:rsidRDefault="00BD4D54" w:rsidP="00BD4D54">
      <w:pPr>
        <w:pStyle w:val="Heading2"/>
        <w:tabs>
          <w:tab w:val="clear" w:pos="1209"/>
        </w:tabs>
      </w:pPr>
      <w:bookmarkStart w:id="85" w:name="_Toc351714174"/>
      <w:r>
        <w:t>Identification of Toxicity Reference Values</w:t>
      </w:r>
      <w:bookmarkEnd w:id="85"/>
    </w:p>
    <w:p w:rsidR="00BD4D54" w:rsidRPr="00983A79" w:rsidRDefault="00BD4D54" w:rsidP="00BD4D54">
      <w:pPr>
        <w:pStyle w:val="Heading3"/>
      </w:pPr>
      <w:bookmarkStart w:id="86" w:name="_Toc351714175"/>
      <w:r w:rsidRPr="00983A79">
        <w:t>Classification</w:t>
      </w:r>
      <w:bookmarkEnd w:id="86"/>
    </w:p>
    <w:p w:rsidR="00BD4D54" w:rsidRDefault="00BD4D54" w:rsidP="00BD4D54">
      <w:r w:rsidRPr="00C259C1">
        <w:t>The International Agency for Research on Cancer (IARC</w:t>
      </w:r>
      <w:r>
        <w:t xml:space="preserve"> 2001) has classified </w:t>
      </w:r>
      <w:r w:rsidRPr="00FE2766">
        <w:t>heptachlor as Group 2B</w:t>
      </w:r>
      <w:r>
        <w:t>—</w:t>
      </w:r>
      <w:r w:rsidRPr="00FE2766">
        <w:t>possibly carcinogenic to humans</w:t>
      </w:r>
      <w:r>
        <w:t>,</w:t>
      </w:r>
      <w:r w:rsidRPr="00FE2766">
        <w:t xml:space="preserve"> based on inadequate evidence in humans and sufficient evidence in animals</w:t>
      </w:r>
      <w:r>
        <w:t xml:space="preserve">. </w:t>
      </w:r>
      <w:r w:rsidRPr="00FE2766">
        <w:t>It is note</w:t>
      </w:r>
      <w:r>
        <w:t>d</w:t>
      </w:r>
      <w:r w:rsidRPr="00FE2766">
        <w:t xml:space="preserve"> that the IARC evaluation is for both chlordane and heptachlor as they are structurally related organochlori</w:t>
      </w:r>
      <w:r>
        <w:t>ne</w:t>
      </w:r>
      <w:r w:rsidRPr="00FE2766">
        <w:t xml:space="preserve"> insecticides</w:t>
      </w:r>
      <w:r>
        <w:t xml:space="preserve">. </w:t>
      </w:r>
    </w:p>
    <w:p w:rsidR="00B0287F" w:rsidRDefault="00B0287F" w:rsidP="00BD4D54"/>
    <w:p w:rsidR="00BD4D54" w:rsidRPr="00FE2766" w:rsidRDefault="00BD4D54" w:rsidP="00BD4D54">
      <w:r w:rsidRPr="00FE2766">
        <w:t xml:space="preserve">It is noted that </w:t>
      </w:r>
      <w:r>
        <w:t>US EPA</w:t>
      </w:r>
      <w:r w:rsidRPr="00FE2766">
        <w:t xml:space="preserve"> has classified heptachlor as Group B2</w:t>
      </w:r>
      <w:r>
        <w:t>—</w:t>
      </w:r>
      <w:r w:rsidRPr="00FE2766">
        <w:t>probable human carcinogen.</w:t>
      </w:r>
    </w:p>
    <w:p w:rsidR="00BD4D54" w:rsidRPr="00907E92" w:rsidRDefault="00BD4D54" w:rsidP="00BD4D54">
      <w:pPr>
        <w:pStyle w:val="Heading3"/>
      </w:pPr>
      <w:bookmarkStart w:id="87" w:name="_Toc351714176"/>
      <w:r w:rsidRPr="00907E92">
        <w:t>Review of Available Values</w:t>
      </w:r>
      <w:r>
        <w:t>/Information</w:t>
      </w:r>
      <w:bookmarkEnd w:id="87"/>
    </w:p>
    <w:p w:rsidR="00BD4D54" w:rsidRDefault="00BD4D54" w:rsidP="00BD4D54">
      <w:r>
        <w:t>Heptachlor has been associated with carcinogenic effects but the mode of action is of prime importance for determining the most appropriate dose</w:t>
      </w:r>
      <w:r>
        <w:sym w:font="Symbol" w:char="F02D"/>
      </w:r>
      <w:r>
        <w:t>response approach to adopt for establishing an HIL. The available data (most recently reviewed by WHO 2006) does not suggest that heptachlor is genotoxic and hence a threshold approach is considered appropriate for the derivation of an HIL. Further review of heptachlor by WHO (2006) identified that non-carcinogenic (non-neoplastic) effects were observed at doses 1/20</w:t>
      </w:r>
      <w:r w:rsidRPr="004E4C3E">
        <w:rPr>
          <w:vertAlign w:val="superscript"/>
        </w:rPr>
        <w:t>th</w:t>
      </w:r>
      <w:r>
        <w:t xml:space="preserve"> of those where carcinogenic (neoplastic) effects were observed. Hence, use of a threshold based on non-carcinogenic effects is adequately protective of all effects (including carcinogenicity). </w:t>
      </w:r>
    </w:p>
    <w:p w:rsidR="00B0287F" w:rsidRDefault="00B0287F" w:rsidP="00BD4D54"/>
    <w:p w:rsidR="00BD4D54" w:rsidRDefault="00BD4D54" w:rsidP="00BD4D54">
      <w:r>
        <w:t>The following are available from Level 1 Australian and International sources:</w:t>
      </w:r>
    </w:p>
    <w:p w:rsidR="00BD4D54" w:rsidRDefault="00BD4D54" w:rsidP="00BD4D54"/>
    <w:p w:rsidR="00BD4D54" w:rsidRDefault="00BD4D54" w:rsidP="00BD4D54"/>
    <w:p w:rsidR="00BD4D54" w:rsidRDefault="00BD4D54" w:rsidP="00BD4D54"/>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1"/>
        <w:gridCol w:w="2224"/>
        <w:gridCol w:w="5552"/>
      </w:tblGrid>
      <w:tr w:rsidR="00BD4D54" w:rsidRPr="008E7F6A" w:rsidTr="00EC6328">
        <w:trPr>
          <w:tblHeader/>
        </w:trPr>
        <w:tc>
          <w:tcPr>
            <w:tcW w:w="1384" w:type="dxa"/>
            <w:shd w:val="clear" w:color="auto" w:fill="C6D9F1" w:themeFill="text2" w:themeFillTint="33"/>
          </w:tcPr>
          <w:p w:rsidR="00BD4D54" w:rsidRPr="008E7F6A" w:rsidRDefault="00BD4D54" w:rsidP="00EC6328">
            <w:pPr>
              <w:spacing w:before="20"/>
              <w:jc w:val="center"/>
              <w:rPr>
                <w:b/>
                <w:szCs w:val="22"/>
              </w:rPr>
            </w:pPr>
            <w:r w:rsidRPr="008E7F6A">
              <w:rPr>
                <w:b/>
                <w:szCs w:val="22"/>
              </w:rPr>
              <w:t>Source</w:t>
            </w:r>
          </w:p>
        </w:tc>
        <w:tc>
          <w:tcPr>
            <w:tcW w:w="2410" w:type="dxa"/>
            <w:shd w:val="clear" w:color="auto" w:fill="C6D9F1" w:themeFill="text2" w:themeFillTint="33"/>
          </w:tcPr>
          <w:p w:rsidR="00BD4D54" w:rsidRPr="008E7F6A" w:rsidRDefault="00BD4D54" w:rsidP="00EC6328">
            <w:pPr>
              <w:spacing w:before="20"/>
              <w:jc w:val="center"/>
              <w:rPr>
                <w:b/>
                <w:szCs w:val="22"/>
              </w:rPr>
            </w:pPr>
            <w:r w:rsidRPr="008E7F6A">
              <w:rPr>
                <w:b/>
                <w:szCs w:val="22"/>
              </w:rPr>
              <w:t>Value</w:t>
            </w:r>
          </w:p>
        </w:tc>
        <w:tc>
          <w:tcPr>
            <w:tcW w:w="6169" w:type="dxa"/>
            <w:shd w:val="clear" w:color="auto" w:fill="C6D9F1" w:themeFill="text2" w:themeFillTint="33"/>
          </w:tcPr>
          <w:p w:rsidR="00BD4D54" w:rsidRPr="008E7F6A" w:rsidRDefault="00BD4D54" w:rsidP="00EC6328">
            <w:pPr>
              <w:spacing w:before="20"/>
              <w:jc w:val="center"/>
              <w:rPr>
                <w:b/>
                <w:szCs w:val="22"/>
              </w:rPr>
            </w:pPr>
            <w:r w:rsidRPr="008E7F6A">
              <w:rPr>
                <w:b/>
                <w:szCs w:val="22"/>
              </w:rPr>
              <w:t>Basis/Comments</w:t>
            </w:r>
          </w:p>
        </w:tc>
      </w:tr>
      <w:tr w:rsidR="00BD4D54" w:rsidRPr="008E7F6A" w:rsidTr="00EC6328">
        <w:tc>
          <w:tcPr>
            <w:tcW w:w="9963" w:type="dxa"/>
            <w:gridSpan w:val="3"/>
          </w:tcPr>
          <w:p w:rsidR="00BD4D54" w:rsidRPr="008E7F6A" w:rsidRDefault="00BD4D54" w:rsidP="00EC6328">
            <w:pPr>
              <w:spacing w:before="20"/>
              <w:jc w:val="center"/>
              <w:rPr>
                <w:b/>
                <w:szCs w:val="22"/>
              </w:rPr>
            </w:pPr>
            <w:r w:rsidRPr="008E7F6A">
              <w:rPr>
                <w:b/>
                <w:szCs w:val="22"/>
              </w:rPr>
              <w:t>Australian</w:t>
            </w:r>
          </w:p>
        </w:tc>
      </w:tr>
      <w:tr w:rsidR="00BD4D54" w:rsidRPr="008E7F6A" w:rsidTr="00EC6328">
        <w:tc>
          <w:tcPr>
            <w:tcW w:w="1384" w:type="dxa"/>
          </w:tcPr>
          <w:p w:rsidR="00BD4D54" w:rsidRPr="008E7F6A" w:rsidRDefault="00BD4D54" w:rsidP="00EC6328">
            <w:pPr>
              <w:spacing w:before="20"/>
              <w:rPr>
                <w:szCs w:val="22"/>
              </w:rPr>
            </w:pPr>
            <w:r w:rsidRPr="008E7F6A">
              <w:rPr>
                <w:szCs w:val="22"/>
              </w:rPr>
              <w:t xml:space="preserve">ADWG (NHMRC 2011) </w:t>
            </w:r>
          </w:p>
        </w:tc>
        <w:tc>
          <w:tcPr>
            <w:tcW w:w="2410" w:type="dxa"/>
          </w:tcPr>
          <w:p w:rsidR="00BD4D54" w:rsidRPr="008E7F6A" w:rsidRDefault="00BD4D54" w:rsidP="00EC6328">
            <w:pPr>
              <w:spacing w:before="20"/>
              <w:rPr>
                <w:szCs w:val="22"/>
              </w:rPr>
            </w:pPr>
            <w:r w:rsidRPr="008E7F6A">
              <w:rPr>
                <w:szCs w:val="22"/>
              </w:rPr>
              <w:t>ADI = 0.0001 mg/kg/day</w:t>
            </w:r>
          </w:p>
        </w:tc>
        <w:tc>
          <w:tcPr>
            <w:tcW w:w="6169" w:type="dxa"/>
          </w:tcPr>
          <w:p w:rsidR="00BD4D54" w:rsidRPr="00565D8E" w:rsidRDefault="00BD4D54" w:rsidP="00EC6328">
            <w:pPr>
              <w:spacing w:before="20"/>
              <w:rPr>
                <w:sz w:val="21"/>
                <w:szCs w:val="21"/>
              </w:rPr>
            </w:pPr>
            <w:r w:rsidRPr="00565D8E">
              <w:rPr>
                <w:sz w:val="21"/>
                <w:szCs w:val="21"/>
              </w:rPr>
              <w:t>ADI referenced from JMPR evaluation (1991) and noted to be based on a NOEL of 0.025 mg/kg/day associated with liver effects from two studies using dogs, and an uncertainty factor of 200 (10 for interspecies variation, 10 for intraspecies variation and 2 for inadequacies in data base).</w:t>
            </w:r>
          </w:p>
        </w:tc>
      </w:tr>
      <w:tr w:rsidR="00BD4D54" w:rsidRPr="008E7F6A" w:rsidTr="00EC6328">
        <w:tc>
          <w:tcPr>
            <w:tcW w:w="1384" w:type="dxa"/>
          </w:tcPr>
          <w:p w:rsidR="00BD4D54" w:rsidRPr="008E7F6A" w:rsidRDefault="00BD4D54" w:rsidP="00EC6328">
            <w:pPr>
              <w:spacing w:before="20"/>
              <w:rPr>
                <w:szCs w:val="22"/>
              </w:rPr>
            </w:pPr>
            <w:r w:rsidRPr="008E7F6A">
              <w:rPr>
                <w:szCs w:val="22"/>
              </w:rPr>
              <w:t>OCS (2012)</w:t>
            </w:r>
          </w:p>
        </w:tc>
        <w:tc>
          <w:tcPr>
            <w:tcW w:w="2410" w:type="dxa"/>
          </w:tcPr>
          <w:p w:rsidR="00BD4D54" w:rsidRPr="008E7F6A" w:rsidRDefault="00BD4D54" w:rsidP="00EC6328">
            <w:pPr>
              <w:spacing w:before="20"/>
              <w:rPr>
                <w:szCs w:val="22"/>
              </w:rPr>
            </w:pPr>
            <w:r w:rsidRPr="008E7F6A">
              <w:rPr>
                <w:szCs w:val="22"/>
              </w:rPr>
              <w:t>TDI = 0.0005 mg/kg/day</w:t>
            </w:r>
          </w:p>
        </w:tc>
        <w:tc>
          <w:tcPr>
            <w:tcW w:w="6169" w:type="dxa"/>
          </w:tcPr>
          <w:p w:rsidR="00BD4D54" w:rsidRPr="00565D8E" w:rsidRDefault="00BD4D54" w:rsidP="00EC6328">
            <w:pPr>
              <w:spacing w:before="20"/>
              <w:rPr>
                <w:sz w:val="21"/>
                <w:szCs w:val="21"/>
              </w:rPr>
            </w:pPr>
            <w:r w:rsidRPr="00565D8E">
              <w:rPr>
                <w:sz w:val="21"/>
                <w:szCs w:val="21"/>
              </w:rPr>
              <w:t>TDI (changed from ADI of same value in 2003) provided as heptachlor no longer in use in Australia. TDI adopted derived from earlier JMPR evaluation (since updated as noted below).</w:t>
            </w:r>
          </w:p>
        </w:tc>
      </w:tr>
      <w:tr w:rsidR="00BD4D54" w:rsidRPr="008E7F6A" w:rsidTr="00EC6328">
        <w:tc>
          <w:tcPr>
            <w:tcW w:w="9963" w:type="dxa"/>
            <w:gridSpan w:val="3"/>
          </w:tcPr>
          <w:p w:rsidR="00BD4D54" w:rsidRPr="00565D8E" w:rsidRDefault="00BD4D54" w:rsidP="00EC6328">
            <w:pPr>
              <w:spacing w:before="20"/>
              <w:jc w:val="center"/>
              <w:rPr>
                <w:b/>
                <w:szCs w:val="22"/>
              </w:rPr>
            </w:pPr>
            <w:r w:rsidRPr="00565D8E">
              <w:rPr>
                <w:b/>
                <w:szCs w:val="22"/>
              </w:rPr>
              <w:lastRenderedPageBreak/>
              <w:t>International</w:t>
            </w:r>
          </w:p>
        </w:tc>
      </w:tr>
      <w:tr w:rsidR="00BD4D54" w:rsidRPr="008E7F6A" w:rsidTr="00EC6328">
        <w:tc>
          <w:tcPr>
            <w:tcW w:w="1384" w:type="dxa"/>
          </w:tcPr>
          <w:p w:rsidR="00BD4D54" w:rsidRPr="008E7F6A" w:rsidRDefault="00BD4D54" w:rsidP="00EC6328">
            <w:pPr>
              <w:spacing w:before="20"/>
              <w:rPr>
                <w:szCs w:val="22"/>
              </w:rPr>
            </w:pPr>
            <w:r w:rsidRPr="008E7F6A">
              <w:rPr>
                <w:szCs w:val="22"/>
              </w:rPr>
              <w:t xml:space="preserve">JMPR </w:t>
            </w:r>
          </w:p>
        </w:tc>
        <w:tc>
          <w:tcPr>
            <w:tcW w:w="2410" w:type="dxa"/>
          </w:tcPr>
          <w:p w:rsidR="00BD4D54" w:rsidRPr="008E7F6A" w:rsidRDefault="00BD4D54" w:rsidP="00EC6328">
            <w:pPr>
              <w:spacing w:before="20"/>
              <w:rPr>
                <w:szCs w:val="22"/>
              </w:rPr>
            </w:pPr>
            <w:r w:rsidRPr="008E7F6A">
              <w:rPr>
                <w:szCs w:val="22"/>
              </w:rPr>
              <w:t>ADI/PTDI =0.0001 mg/kg/day</w:t>
            </w:r>
          </w:p>
        </w:tc>
        <w:tc>
          <w:tcPr>
            <w:tcW w:w="6169" w:type="dxa"/>
          </w:tcPr>
          <w:p w:rsidR="00BD4D54" w:rsidRPr="00565D8E" w:rsidRDefault="00BD4D54" w:rsidP="00EC6328">
            <w:pPr>
              <w:spacing w:before="20"/>
              <w:rPr>
                <w:sz w:val="21"/>
                <w:szCs w:val="21"/>
              </w:rPr>
            </w:pPr>
            <w:r w:rsidRPr="00565D8E">
              <w:rPr>
                <w:sz w:val="21"/>
                <w:szCs w:val="21"/>
              </w:rPr>
              <w:t>An ADI of 0.0005 mg/kg/day was estimated for heptachlor by JMPR in 1970. Review of heptachlor by JMPR in 1991 revised the ADI to 0.0001 mg/kg/day based on the level that caused no toxicological effects in studies in rats and dogs (reproduction study and 2-year dog study, NOEL of 0.025 mg/kg/day, and uncertainty factor of 200). In 1994 the JMPR converted the ADI to a PTDI with the same value.</w:t>
            </w:r>
          </w:p>
        </w:tc>
      </w:tr>
      <w:tr w:rsidR="00BD4D54" w:rsidRPr="008E7F6A" w:rsidTr="00EC6328">
        <w:tc>
          <w:tcPr>
            <w:tcW w:w="1384" w:type="dxa"/>
          </w:tcPr>
          <w:p w:rsidR="00BD4D54" w:rsidRPr="008E7F6A" w:rsidRDefault="00BD4D54" w:rsidP="00EC6328">
            <w:pPr>
              <w:spacing w:before="20"/>
              <w:rPr>
                <w:szCs w:val="22"/>
              </w:rPr>
            </w:pPr>
            <w:r w:rsidRPr="008E7F6A">
              <w:rPr>
                <w:szCs w:val="22"/>
              </w:rPr>
              <w:t>WHO (2011)</w:t>
            </w:r>
          </w:p>
        </w:tc>
        <w:tc>
          <w:tcPr>
            <w:tcW w:w="2410" w:type="dxa"/>
          </w:tcPr>
          <w:p w:rsidR="00BD4D54" w:rsidRPr="008E7F6A" w:rsidRDefault="00BD4D54" w:rsidP="00EC6328">
            <w:pPr>
              <w:spacing w:before="20"/>
              <w:rPr>
                <w:szCs w:val="22"/>
              </w:rPr>
            </w:pPr>
            <w:r w:rsidRPr="008E7F6A">
              <w:rPr>
                <w:szCs w:val="22"/>
              </w:rPr>
              <w:t>PTDI =0.0001 mg/kg/day</w:t>
            </w:r>
          </w:p>
        </w:tc>
        <w:tc>
          <w:tcPr>
            <w:tcW w:w="6169" w:type="dxa"/>
          </w:tcPr>
          <w:p w:rsidR="00BD4D54" w:rsidRPr="00565D8E" w:rsidRDefault="00BD4D54" w:rsidP="00EC6328">
            <w:pPr>
              <w:spacing w:before="20"/>
              <w:rPr>
                <w:sz w:val="21"/>
                <w:szCs w:val="21"/>
              </w:rPr>
            </w:pPr>
            <w:r w:rsidRPr="00565D8E">
              <w:rPr>
                <w:sz w:val="21"/>
                <w:szCs w:val="21"/>
              </w:rPr>
              <w:t xml:space="preserve">No guideline has been established by WHO as concentrations of heptachlor occur in drinking water well below those of health concern. However the review notes that a health-based value of 0.03 </w:t>
            </w:r>
            <w:r w:rsidRPr="00565D8E">
              <w:rPr>
                <w:rFonts w:cs="Calibri"/>
                <w:sz w:val="21"/>
                <w:szCs w:val="21"/>
              </w:rPr>
              <w:t>µ</w:t>
            </w:r>
            <w:r w:rsidRPr="00565D8E">
              <w:rPr>
                <w:sz w:val="21"/>
                <w:szCs w:val="21"/>
              </w:rPr>
              <w:t xml:space="preserve">g/L can be derived on the basis of a provisional TDI of 0.1 </w:t>
            </w:r>
            <w:r w:rsidRPr="00565D8E">
              <w:rPr>
                <w:rFonts w:cs="Calibri"/>
                <w:sz w:val="21"/>
                <w:szCs w:val="21"/>
              </w:rPr>
              <w:t>µ</w:t>
            </w:r>
            <w:r w:rsidRPr="00565D8E">
              <w:rPr>
                <w:sz w:val="21"/>
                <w:szCs w:val="21"/>
              </w:rPr>
              <w:t xml:space="preserve">g/kg/day, based on a NOAEL of 0.025 mg/kg/day, and uncertainty factor of 200 (as adopted in the ADWG). The review notes that water concentrations below 0.1 </w:t>
            </w:r>
            <w:r w:rsidRPr="00565D8E">
              <w:rPr>
                <w:rFonts w:cs="Calibri"/>
                <w:sz w:val="21"/>
                <w:szCs w:val="21"/>
              </w:rPr>
              <w:t>µ</w:t>
            </w:r>
            <w:r w:rsidRPr="00565D8E">
              <w:rPr>
                <w:sz w:val="21"/>
                <w:szCs w:val="21"/>
              </w:rPr>
              <w:t xml:space="preserve">g/L are generally not achievable. </w:t>
            </w:r>
          </w:p>
        </w:tc>
      </w:tr>
      <w:tr w:rsidR="00BD4D54" w:rsidRPr="008E7F6A" w:rsidTr="00EC6328">
        <w:tc>
          <w:tcPr>
            <w:tcW w:w="1384" w:type="dxa"/>
          </w:tcPr>
          <w:p w:rsidR="00BD4D54" w:rsidRPr="008E7F6A" w:rsidRDefault="00BD4D54" w:rsidP="00EC6328">
            <w:pPr>
              <w:spacing w:before="20"/>
              <w:rPr>
                <w:szCs w:val="22"/>
              </w:rPr>
            </w:pPr>
            <w:r w:rsidRPr="008E7F6A">
              <w:rPr>
                <w:szCs w:val="22"/>
              </w:rPr>
              <w:t>WHO (2006)</w:t>
            </w:r>
          </w:p>
        </w:tc>
        <w:tc>
          <w:tcPr>
            <w:tcW w:w="2410" w:type="dxa"/>
          </w:tcPr>
          <w:p w:rsidR="00BD4D54" w:rsidRPr="008E7F6A" w:rsidRDefault="00BD4D54" w:rsidP="00EC6328">
            <w:pPr>
              <w:spacing w:before="20"/>
              <w:rPr>
                <w:szCs w:val="22"/>
              </w:rPr>
            </w:pPr>
            <w:r w:rsidRPr="008E7F6A">
              <w:rPr>
                <w:szCs w:val="22"/>
              </w:rPr>
              <w:t>TDI = 0.0001 mg/kg/day</w:t>
            </w:r>
          </w:p>
        </w:tc>
        <w:tc>
          <w:tcPr>
            <w:tcW w:w="6169" w:type="dxa"/>
          </w:tcPr>
          <w:p w:rsidR="00BD4D54" w:rsidRPr="00565D8E" w:rsidRDefault="00BD4D54" w:rsidP="00EC6328">
            <w:pPr>
              <w:spacing w:before="20"/>
              <w:rPr>
                <w:sz w:val="21"/>
                <w:szCs w:val="21"/>
              </w:rPr>
            </w:pPr>
            <w:r w:rsidRPr="00565D8E">
              <w:rPr>
                <w:sz w:val="21"/>
                <w:szCs w:val="21"/>
              </w:rPr>
              <w:t>Based on lowest NOAEL of 0.025 mg/kg/day for histopathological liver changes from dog studies and a LOAEL/NOAEL of 0.03 mg/kg/day associated with developmental neurotoxicity and immunotoxicological studies in rats (more recent study than in dogs), and an uncertainty factor of 200.</w:t>
            </w:r>
          </w:p>
        </w:tc>
      </w:tr>
      <w:tr w:rsidR="00BD4D54" w:rsidRPr="008E7F6A" w:rsidTr="00EC6328">
        <w:tc>
          <w:tcPr>
            <w:tcW w:w="1384" w:type="dxa"/>
          </w:tcPr>
          <w:p w:rsidR="00BD4D54" w:rsidRPr="008E7F6A" w:rsidRDefault="00BD4D54" w:rsidP="00EC6328">
            <w:pPr>
              <w:spacing w:before="20"/>
              <w:rPr>
                <w:szCs w:val="22"/>
              </w:rPr>
            </w:pPr>
            <w:r w:rsidRPr="008E7F6A">
              <w:rPr>
                <w:szCs w:val="22"/>
              </w:rPr>
              <w:t>ATSDR (2007)</w:t>
            </w:r>
          </w:p>
        </w:tc>
        <w:tc>
          <w:tcPr>
            <w:tcW w:w="2410" w:type="dxa"/>
          </w:tcPr>
          <w:p w:rsidR="00BD4D54" w:rsidRPr="008E7F6A" w:rsidRDefault="00BD4D54" w:rsidP="00EC6328">
            <w:pPr>
              <w:spacing w:before="20"/>
              <w:rPr>
                <w:szCs w:val="22"/>
              </w:rPr>
            </w:pPr>
            <w:r w:rsidRPr="008E7F6A">
              <w:rPr>
                <w:szCs w:val="22"/>
              </w:rPr>
              <w:t>No chronic value derived</w:t>
            </w:r>
          </w:p>
        </w:tc>
        <w:tc>
          <w:tcPr>
            <w:tcW w:w="6169" w:type="dxa"/>
          </w:tcPr>
          <w:p w:rsidR="00BD4D54" w:rsidRPr="00565D8E" w:rsidRDefault="00BD4D54" w:rsidP="00EC6328">
            <w:pPr>
              <w:spacing w:before="20"/>
              <w:rPr>
                <w:sz w:val="21"/>
                <w:szCs w:val="21"/>
              </w:rPr>
            </w:pPr>
            <w:r w:rsidRPr="00565D8E">
              <w:rPr>
                <w:sz w:val="21"/>
                <w:szCs w:val="21"/>
              </w:rPr>
              <w:t>No chronic MRL was derived, however an intermediate MRL of 0.0001 mg/kg/day was derived on the basis of a LOAEL of 0.03 mg/kg/day associated with developmental immunological and neurological effects in rats (study also considered by WHO 2006), and an uncertainty factor of 300.</w:t>
            </w:r>
          </w:p>
        </w:tc>
      </w:tr>
      <w:tr w:rsidR="00BD4D54" w:rsidRPr="008E7F6A" w:rsidTr="00EC6328">
        <w:tc>
          <w:tcPr>
            <w:tcW w:w="1384" w:type="dxa"/>
          </w:tcPr>
          <w:p w:rsidR="00BD4D54" w:rsidRPr="008E7F6A" w:rsidRDefault="00BD4D54" w:rsidP="00EC6328">
            <w:pPr>
              <w:spacing w:before="20"/>
              <w:rPr>
                <w:szCs w:val="22"/>
              </w:rPr>
            </w:pPr>
            <w:r w:rsidRPr="008E7F6A">
              <w:rPr>
                <w:szCs w:val="22"/>
              </w:rPr>
              <w:t>US EPA (IRIS 2012)</w:t>
            </w:r>
          </w:p>
        </w:tc>
        <w:tc>
          <w:tcPr>
            <w:tcW w:w="2410" w:type="dxa"/>
          </w:tcPr>
          <w:p w:rsidR="00BD4D54" w:rsidRPr="008E7F6A" w:rsidRDefault="00BD4D54" w:rsidP="00EC6328">
            <w:pPr>
              <w:spacing w:before="20"/>
              <w:rPr>
                <w:szCs w:val="22"/>
              </w:rPr>
            </w:pPr>
            <w:r w:rsidRPr="008E7F6A">
              <w:rPr>
                <w:szCs w:val="22"/>
              </w:rPr>
              <w:t>RfD = 0.0005 mg/kg/day</w:t>
            </w:r>
          </w:p>
          <w:p w:rsidR="00BD4D54" w:rsidRPr="008E7F6A" w:rsidRDefault="00BD4D54" w:rsidP="00EC6328">
            <w:pPr>
              <w:spacing w:before="20"/>
              <w:rPr>
                <w:szCs w:val="22"/>
              </w:rPr>
            </w:pPr>
          </w:p>
        </w:tc>
        <w:tc>
          <w:tcPr>
            <w:tcW w:w="6169" w:type="dxa"/>
          </w:tcPr>
          <w:p w:rsidR="00BD4D54" w:rsidRPr="00565D8E" w:rsidRDefault="00BD4D54" w:rsidP="00EC6328">
            <w:pPr>
              <w:spacing w:before="20"/>
              <w:rPr>
                <w:sz w:val="21"/>
                <w:szCs w:val="21"/>
              </w:rPr>
            </w:pPr>
            <w:r w:rsidRPr="00565D8E">
              <w:rPr>
                <w:sz w:val="21"/>
                <w:szCs w:val="21"/>
              </w:rPr>
              <w:t>Oral RfD (last reviewed in 1987) based on a NOEL of 0.15 mg/kg/day associated with liver weight increases in a 2-year feeding study in rats and an uncertainty factor of 300. The US EPA has also derived non-threshold oral and inhalation values which are not presented here as they are not considered relevant.</w:t>
            </w:r>
          </w:p>
        </w:tc>
      </w:tr>
    </w:tbl>
    <w:p w:rsidR="00BD4D54" w:rsidRDefault="00BD4D54" w:rsidP="00BD4D54"/>
    <w:p w:rsidR="00BD4D54" w:rsidRDefault="00BD4D54" w:rsidP="00BD4D54">
      <w:r>
        <w:t>Based on the available reviews, the oral TRVs derived are generally consistent with the value adopted in the ADWG (NHMRC 2011) considered to be suitable for the derivation of soil HILs. No inhalation or dermal data is available, hence it is recommended that all intakes associated with contaminated soil be assessed on the basis of the oral TRV.</w:t>
      </w:r>
    </w:p>
    <w:p w:rsidR="00BD4D54" w:rsidRPr="00921D7B" w:rsidRDefault="00BD4D54" w:rsidP="00BD4D54">
      <w:pPr>
        <w:pStyle w:val="Heading3"/>
      </w:pPr>
      <w:bookmarkStart w:id="88" w:name="_Toc351714177"/>
      <w:r w:rsidRPr="00921D7B">
        <w:t>Recommendation</w:t>
      </w:r>
      <w:bookmarkEnd w:id="88"/>
    </w:p>
    <w:p w:rsidR="00BD4D54" w:rsidRPr="00191EC8" w:rsidRDefault="00BD4D54" w:rsidP="00BD4D54">
      <w:r>
        <w:t>On the basis of the discussion above, the following toxicity reference values (TRVs) have been adopted for heptachlor in the derivation of HILs:</w:t>
      </w:r>
    </w:p>
    <w:p w:rsidR="00BD4D54" w:rsidRDefault="00BD4D54" w:rsidP="00BD4D54">
      <w:r>
        <w:rPr>
          <w:noProof/>
          <w:lang w:eastAsia="en-AU"/>
        </w:rPr>
        <mc:AlternateContent>
          <mc:Choice Requires="wps">
            <w:drawing>
              <wp:inline distT="0" distB="0" distL="0" distR="0">
                <wp:extent cx="5582285" cy="1814830"/>
                <wp:effectExtent l="13335" t="6350" r="5080" b="762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285" cy="1814830"/>
                        </a:xfrm>
                        <a:prstGeom prst="rect">
                          <a:avLst/>
                        </a:prstGeom>
                        <a:solidFill>
                          <a:srgbClr val="D8D8D8"/>
                        </a:solidFill>
                        <a:ln w="9525">
                          <a:solidFill>
                            <a:srgbClr val="000000"/>
                          </a:solidFill>
                          <a:miter lim="800000"/>
                          <a:headEnd/>
                          <a:tailEnd/>
                        </a:ln>
                      </wps:spPr>
                      <wps:txbx>
                        <w:txbxContent>
                          <w:p w:rsidR="00480C84" w:rsidRPr="00742163" w:rsidRDefault="00480C84" w:rsidP="00BD4D54">
                            <w:pPr>
                              <w:spacing w:after="40"/>
                              <w:rPr>
                                <w:b/>
                                <w:u w:val="single"/>
                              </w:rPr>
                            </w:pPr>
                            <w:r w:rsidRPr="00742163">
                              <w:rPr>
                                <w:b/>
                                <w:u w:val="single"/>
                              </w:rPr>
                              <w:t xml:space="preserve">Recommendation for </w:t>
                            </w:r>
                            <w:r>
                              <w:rPr>
                                <w:b/>
                                <w:u w:val="single"/>
                              </w:rPr>
                              <w:t>Heptachlor</w:t>
                            </w:r>
                          </w:p>
                          <w:p w:rsidR="00480C84" w:rsidRDefault="00480C84" w:rsidP="00BD4D54">
                            <w:pPr>
                              <w:spacing w:after="40"/>
                            </w:pPr>
                            <w:r>
                              <w:t>Oral TRV (TRV</w:t>
                            </w:r>
                            <w:r w:rsidRPr="00684B59">
                              <w:rPr>
                                <w:vertAlign w:val="subscript"/>
                              </w:rPr>
                              <w:t>O</w:t>
                            </w:r>
                            <w:r>
                              <w:t>) = 0.0001 mg/kg/day (NHMRC 2011; WHO 2011) for all routes of exposure</w:t>
                            </w:r>
                          </w:p>
                          <w:p w:rsidR="00480C84" w:rsidRDefault="00480C84" w:rsidP="00BD4D54">
                            <w:pPr>
                              <w:spacing w:after="40"/>
                            </w:pPr>
                            <w:r>
                              <w:t>Dermal absorption factor (DAF) = 0.1 (or 10%) (US EPA 1995)</w:t>
                            </w:r>
                          </w:p>
                          <w:p w:rsidR="00480C84" w:rsidRDefault="00480C84" w:rsidP="00BD4D54">
                            <w:pPr>
                              <w:spacing w:after="40"/>
                            </w:pPr>
                            <w:r>
                              <w:t>Background intakes from other sources (as % of TRV):</w:t>
                            </w:r>
                          </w:p>
                          <w:p w:rsidR="00480C84" w:rsidRDefault="00480C84" w:rsidP="00BD4D54">
                            <w:pPr>
                              <w:spacing w:after="40"/>
                              <w:ind w:left="720"/>
                            </w:pPr>
                            <w:r>
                              <w:t>BI</w:t>
                            </w:r>
                            <w:r w:rsidRPr="002049F5">
                              <w:rPr>
                                <w:vertAlign w:val="subscript"/>
                              </w:rPr>
                              <w:t>O</w:t>
                            </w:r>
                            <w:r>
                              <w:t xml:space="preserve"> = 0% for oral and dermal intakes</w:t>
                            </w:r>
                          </w:p>
                          <w:p w:rsidR="00480C84" w:rsidRDefault="00480C84" w:rsidP="00BD4D54">
                            <w:pPr>
                              <w:spacing w:after="40"/>
                              <w:ind w:left="720"/>
                            </w:pPr>
                            <w:r>
                              <w:t xml:space="preserve">BIi = 0% for inhalation </w:t>
                            </w:r>
                          </w:p>
                        </w:txbxContent>
                      </wps:txbx>
                      <wps:bodyPr rot="0" vert="horz" wrap="square" lIns="91440" tIns="45720" rIns="91440" bIns="45720" anchor="t" anchorCtr="0" upright="1">
                        <a:noAutofit/>
                      </wps:bodyPr>
                    </wps:wsp>
                  </a:graphicData>
                </a:graphic>
              </wp:inline>
            </w:drawing>
          </mc:Choice>
          <mc:Fallback>
            <w:pict>
              <v:shape id="Text Box 7" o:spid="_x0000_s1034" type="#_x0000_t202" style="width:439.55pt;height:14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" fillcolor="#d8d8d8">
                <v:textbox>
                  <w:txbxContent>
                    <w:p w:rsidR="00480C84" w:rsidRPr="00742163" w:rsidRDefault="00480C84" w:rsidP="00BD4D54">
                      <w:pPr>
                        <w:spacing w:after="40"/>
                        <w:rPr>
                          <w:b/>
                          <w:u w:val="single"/>
                        </w:rPr>
                      </w:pPr>
                      <w:r w:rsidRPr="00742163">
                        <w:rPr>
                          <w:b/>
                          <w:u w:val="single"/>
                        </w:rPr>
                        <w:t xml:space="preserve">Recommendation for </w:t>
                      </w:r>
                      <w:r>
                        <w:rPr>
                          <w:b/>
                          <w:u w:val="single"/>
                        </w:rPr>
                        <w:t>Heptachlor</w:t>
                      </w:r>
                    </w:p>
                    <w:p w:rsidR="00480C84" w:rsidRDefault="00480C84" w:rsidP="00BD4D54">
                      <w:pPr>
                        <w:spacing w:after="40"/>
                      </w:pPr>
                      <w:r>
                        <w:t>Oral TRV (TRV</w:t>
                      </w:r>
                      <w:r w:rsidRPr="00684B59">
                        <w:rPr>
                          <w:vertAlign w:val="subscript"/>
                        </w:rPr>
                        <w:t>O</w:t>
                      </w:r>
                      <w:r>
                        <w:t>) = 0.0001 mg/kg/day (NHMRC 2011; WHO 2011) for all routes of exposure</w:t>
                      </w:r>
                    </w:p>
                    <w:p w:rsidR="00480C84" w:rsidRDefault="00480C84" w:rsidP="00BD4D54">
                      <w:pPr>
                        <w:spacing w:after="40"/>
                      </w:pPr>
                      <w:r>
                        <w:t>Dermal absorption factor (DAF) = 0.1 (or 10%) (US EPA 1995)</w:t>
                      </w:r>
                    </w:p>
                    <w:p w:rsidR="00480C84" w:rsidRDefault="00480C84" w:rsidP="00BD4D54">
                      <w:pPr>
                        <w:spacing w:after="40"/>
                      </w:pPr>
                      <w:r>
                        <w:t>Background intakes from other sources (as % of TRV):</w:t>
                      </w:r>
                    </w:p>
                    <w:p w:rsidR="00480C84" w:rsidRDefault="00480C84" w:rsidP="00BD4D54">
                      <w:pPr>
                        <w:spacing w:after="40"/>
                        <w:ind w:left="720"/>
                      </w:pPr>
                      <w:r>
                        <w:t>BI</w:t>
                      </w:r>
                      <w:r w:rsidRPr="002049F5">
                        <w:rPr>
                          <w:vertAlign w:val="subscript"/>
                        </w:rPr>
                        <w:t>O</w:t>
                      </w:r>
                      <w:r>
                        <w:t xml:space="preserve"> = 0% for oral and dermal intakes</w:t>
                      </w:r>
                    </w:p>
                    <w:p w:rsidR="00480C84" w:rsidRDefault="00480C84" w:rsidP="00BD4D54">
                      <w:pPr>
                        <w:spacing w:after="40"/>
                        <w:ind w:left="720"/>
                      </w:pPr>
                      <w:r>
                        <w:t xml:space="preserve">BIi = 0% for inhalation </w:t>
                      </w:r>
                    </w:p>
                  </w:txbxContent>
                </v:textbox>
                <w10:anchorlock/>
              </v:shape>
            </w:pict>
          </mc:Fallback>
        </mc:AlternateContent>
      </w:r>
    </w:p>
    <w:p w:rsidR="00BD4D54" w:rsidRPr="00DB16F5" w:rsidRDefault="00BD4D54" w:rsidP="00BD4D54">
      <w:pPr>
        <w:pStyle w:val="Heading2"/>
        <w:tabs>
          <w:tab w:val="clear" w:pos="1209"/>
        </w:tabs>
      </w:pPr>
      <w:bookmarkStart w:id="89" w:name="_Toc351714178"/>
      <w:r w:rsidRPr="00DB16F5">
        <w:lastRenderedPageBreak/>
        <w:t>Calculated HILs</w:t>
      </w:r>
      <w:bookmarkEnd w:id="89"/>
    </w:p>
    <w:p w:rsidR="00BD4D54" w:rsidRDefault="00BD4D54" w:rsidP="00BD4D54">
      <w:r>
        <w:t>On the basis of the above, the following HILs have been derived for heptachlor (refer to Appendix B for equations used to calculate the HILs and Appendix C for calculations):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9"/>
        <w:gridCol w:w="1287"/>
        <w:gridCol w:w="1445"/>
        <w:gridCol w:w="1517"/>
        <w:gridCol w:w="1553"/>
        <w:gridCol w:w="1392"/>
      </w:tblGrid>
      <w:tr w:rsidR="00BD4D54" w:rsidRPr="00565D8E" w:rsidTr="00EC6328">
        <w:tc>
          <w:tcPr>
            <w:tcW w:w="1639" w:type="dxa"/>
            <w:vMerge w:val="restart"/>
            <w:shd w:val="clear" w:color="auto" w:fill="C6D9F1" w:themeFill="text2" w:themeFillTint="33"/>
          </w:tcPr>
          <w:p w:rsidR="00BD4D54" w:rsidRPr="00565D8E" w:rsidRDefault="00BD4D54" w:rsidP="00EC6328">
            <w:pPr>
              <w:spacing w:after="40"/>
              <w:rPr>
                <w:b/>
                <w:szCs w:val="22"/>
              </w:rPr>
            </w:pPr>
            <w:r w:rsidRPr="00565D8E">
              <w:rPr>
                <w:b/>
                <w:szCs w:val="22"/>
              </w:rPr>
              <w:t>HIL Scenario</w:t>
            </w:r>
          </w:p>
        </w:tc>
        <w:tc>
          <w:tcPr>
            <w:tcW w:w="1287" w:type="dxa"/>
            <w:vMerge w:val="restart"/>
            <w:shd w:val="clear" w:color="auto" w:fill="C6D9F1" w:themeFill="text2" w:themeFillTint="33"/>
          </w:tcPr>
          <w:p w:rsidR="00BD4D54" w:rsidRPr="00565D8E" w:rsidRDefault="00BD4D54" w:rsidP="00EC6328">
            <w:pPr>
              <w:spacing w:after="40"/>
              <w:jc w:val="center"/>
              <w:rPr>
                <w:b/>
                <w:szCs w:val="22"/>
              </w:rPr>
            </w:pPr>
            <w:r w:rsidRPr="00565D8E">
              <w:rPr>
                <w:b/>
                <w:szCs w:val="22"/>
              </w:rPr>
              <w:t>HIL (mg/kg)</w:t>
            </w:r>
          </w:p>
        </w:tc>
        <w:tc>
          <w:tcPr>
            <w:tcW w:w="5907" w:type="dxa"/>
            <w:gridSpan w:val="4"/>
            <w:shd w:val="clear" w:color="auto" w:fill="C6D9F1" w:themeFill="text2" w:themeFillTint="33"/>
          </w:tcPr>
          <w:p w:rsidR="00BD4D54" w:rsidRPr="00565D8E" w:rsidRDefault="00BD4D54" w:rsidP="00EC6328">
            <w:pPr>
              <w:spacing w:after="40"/>
              <w:jc w:val="center"/>
              <w:rPr>
                <w:b/>
                <w:szCs w:val="22"/>
              </w:rPr>
            </w:pPr>
            <w:r w:rsidRPr="00565D8E">
              <w:rPr>
                <w:b/>
                <w:szCs w:val="22"/>
              </w:rPr>
              <w:t>Percentage Contribution from Exposure Pathways</w:t>
            </w:r>
          </w:p>
        </w:tc>
      </w:tr>
      <w:tr w:rsidR="00BD4D54" w:rsidRPr="00565D8E" w:rsidTr="00EC6328">
        <w:trPr>
          <w:trHeight w:val="427"/>
        </w:trPr>
        <w:tc>
          <w:tcPr>
            <w:tcW w:w="1639" w:type="dxa"/>
            <w:vMerge/>
            <w:shd w:val="clear" w:color="auto" w:fill="C6D9F1" w:themeFill="text2" w:themeFillTint="33"/>
          </w:tcPr>
          <w:p w:rsidR="00BD4D54" w:rsidRPr="00565D8E" w:rsidRDefault="00BD4D54" w:rsidP="00EC6328">
            <w:pPr>
              <w:spacing w:after="40"/>
              <w:rPr>
                <w:szCs w:val="22"/>
              </w:rPr>
            </w:pPr>
          </w:p>
        </w:tc>
        <w:tc>
          <w:tcPr>
            <w:tcW w:w="1287" w:type="dxa"/>
            <w:vMerge/>
            <w:shd w:val="clear" w:color="auto" w:fill="C6D9F1" w:themeFill="text2" w:themeFillTint="33"/>
          </w:tcPr>
          <w:p w:rsidR="00BD4D54" w:rsidRPr="00565D8E" w:rsidRDefault="00BD4D54" w:rsidP="00EC6328">
            <w:pPr>
              <w:spacing w:after="40"/>
              <w:jc w:val="center"/>
              <w:rPr>
                <w:szCs w:val="22"/>
              </w:rPr>
            </w:pPr>
          </w:p>
        </w:tc>
        <w:tc>
          <w:tcPr>
            <w:tcW w:w="1445" w:type="dxa"/>
            <w:shd w:val="clear" w:color="auto" w:fill="C6D9F1" w:themeFill="text2" w:themeFillTint="33"/>
          </w:tcPr>
          <w:p w:rsidR="00BD4D54" w:rsidRPr="00565D8E" w:rsidRDefault="00BD4D54" w:rsidP="00EC6328">
            <w:pPr>
              <w:spacing w:after="40"/>
              <w:jc w:val="center"/>
              <w:rPr>
                <w:b/>
                <w:szCs w:val="22"/>
              </w:rPr>
            </w:pPr>
            <w:r w:rsidRPr="00565D8E">
              <w:rPr>
                <w:b/>
                <w:szCs w:val="22"/>
              </w:rPr>
              <w:t>Ingestion of Soil/Dust</w:t>
            </w:r>
          </w:p>
        </w:tc>
        <w:tc>
          <w:tcPr>
            <w:tcW w:w="1517" w:type="dxa"/>
            <w:shd w:val="clear" w:color="auto" w:fill="C6D9F1" w:themeFill="text2" w:themeFillTint="33"/>
          </w:tcPr>
          <w:p w:rsidR="00BD4D54" w:rsidRPr="00565D8E" w:rsidRDefault="00BD4D54" w:rsidP="00EC6328">
            <w:pPr>
              <w:spacing w:after="40"/>
              <w:jc w:val="center"/>
              <w:rPr>
                <w:b/>
                <w:szCs w:val="22"/>
              </w:rPr>
            </w:pPr>
            <w:r w:rsidRPr="00565D8E">
              <w:rPr>
                <w:b/>
                <w:szCs w:val="22"/>
              </w:rPr>
              <w:t>Ingestion of Home-grown Produce</w:t>
            </w:r>
          </w:p>
        </w:tc>
        <w:tc>
          <w:tcPr>
            <w:tcW w:w="1553" w:type="dxa"/>
            <w:shd w:val="clear" w:color="auto" w:fill="C6D9F1" w:themeFill="text2" w:themeFillTint="33"/>
          </w:tcPr>
          <w:p w:rsidR="00BD4D54" w:rsidRPr="00565D8E" w:rsidRDefault="00BD4D54" w:rsidP="00EC6328">
            <w:pPr>
              <w:spacing w:after="40"/>
              <w:jc w:val="center"/>
              <w:rPr>
                <w:b/>
                <w:szCs w:val="22"/>
              </w:rPr>
            </w:pPr>
            <w:r w:rsidRPr="00565D8E">
              <w:rPr>
                <w:b/>
                <w:szCs w:val="22"/>
              </w:rPr>
              <w:t>Dermal Absorption of Soil/Dust</w:t>
            </w:r>
          </w:p>
        </w:tc>
        <w:tc>
          <w:tcPr>
            <w:tcW w:w="1392" w:type="dxa"/>
            <w:shd w:val="clear" w:color="auto" w:fill="C6D9F1" w:themeFill="text2" w:themeFillTint="33"/>
          </w:tcPr>
          <w:p w:rsidR="00BD4D54" w:rsidRPr="00565D8E" w:rsidRDefault="00BD4D54" w:rsidP="00EC6328">
            <w:pPr>
              <w:spacing w:after="40"/>
              <w:jc w:val="center"/>
              <w:rPr>
                <w:b/>
                <w:szCs w:val="22"/>
              </w:rPr>
            </w:pPr>
            <w:r w:rsidRPr="00565D8E">
              <w:rPr>
                <w:b/>
                <w:szCs w:val="22"/>
              </w:rPr>
              <w:t>Inhalation (dust)</w:t>
            </w:r>
          </w:p>
        </w:tc>
      </w:tr>
      <w:tr w:rsidR="00BD4D54" w:rsidRPr="00565D8E" w:rsidTr="00EC6328">
        <w:tc>
          <w:tcPr>
            <w:tcW w:w="1639" w:type="dxa"/>
          </w:tcPr>
          <w:p w:rsidR="00BD4D54" w:rsidRPr="00565D8E" w:rsidRDefault="00BD4D54" w:rsidP="00EC6328">
            <w:pPr>
              <w:spacing w:after="40"/>
              <w:rPr>
                <w:szCs w:val="22"/>
              </w:rPr>
            </w:pPr>
            <w:r w:rsidRPr="00565D8E">
              <w:rPr>
                <w:szCs w:val="22"/>
              </w:rPr>
              <w:t>Residential A</w:t>
            </w:r>
          </w:p>
        </w:tc>
        <w:tc>
          <w:tcPr>
            <w:tcW w:w="1287" w:type="dxa"/>
          </w:tcPr>
          <w:p w:rsidR="00BD4D54" w:rsidRPr="00565D8E" w:rsidRDefault="00BD4D54" w:rsidP="00EC6328">
            <w:pPr>
              <w:spacing w:after="40"/>
              <w:jc w:val="center"/>
              <w:rPr>
                <w:szCs w:val="22"/>
              </w:rPr>
            </w:pPr>
            <w:r w:rsidRPr="00565D8E">
              <w:rPr>
                <w:szCs w:val="22"/>
              </w:rPr>
              <w:t>6</w:t>
            </w:r>
          </w:p>
        </w:tc>
        <w:tc>
          <w:tcPr>
            <w:tcW w:w="1445" w:type="dxa"/>
          </w:tcPr>
          <w:p w:rsidR="00BD4D54" w:rsidRPr="00565D8E" w:rsidRDefault="00BD4D54" w:rsidP="00EC6328">
            <w:pPr>
              <w:spacing w:after="40"/>
              <w:jc w:val="center"/>
              <w:rPr>
                <w:szCs w:val="22"/>
              </w:rPr>
            </w:pPr>
            <w:r w:rsidRPr="00565D8E">
              <w:rPr>
                <w:szCs w:val="22"/>
              </w:rPr>
              <w:t>43</w:t>
            </w:r>
          </w:p>
        </w:tc>
        <w:tc>
          <w:tcPr>
            <w:tcW w:w="1517" w:type="dxa"/>
          </w:tcPr>
          <w:p w:rsidR="00BD4D54" w:rsidRPr="00565D8E" w:rsidRDefault="00BD4D54" w:rsidP="00EC6328">
            <w:pPr>
              <w:spacing w:after="40"/>
              <w:jc w:val="center"/>
              <w:rPr>
                <w:szCs w:val="22"/>
              </w:rPr>
            </w:pPr>
            <w:r w:rsidRPr="00565D8E">
              <w:rPr>
                <w:szCs w:val="22"/>
              </w:rPr>
              <w:t>--</w:t>
            </w:r>
          </w:p>
        </w:tc>
        <w:tc>
          <w:tcPr>
            <w:tcW w:w="1553" w:type="dxa"/>
          </w:tcPr>
          <w:p w:rsidR="00BD4D54" w:rsidRPr="00565D8E" w:rsidRDefault="00BD4D54" w:rsidP="00EC6328">
            <w:pPr>
              <w:spacing w:after="40"/>
              <w:jc w:val="center"/>
              <w:rPr>
                <w:szCs w:val="22"/>
              </w:rPr>
            </w:pPr>
            <w:r w:rsidRPr="00565D8E">
              <w:rPr>
                <w:szCs w:val="22"/>
              </w:rPr>
              <w:t>57</w:t>
            </w:r>
          </w:p>
        </w:tc>
        <w:tc>
          <w:tcPr>
            <w:tcW w:w="1392" w:type="dxa"/>
          </w:tcPr>
          <w:p w:rsidR="00BD4D54" w:rsidRPr="00565D8E" w:rsidRDefault="00BD4D54" w:rsidP="00EC6328">
            <w:pPr>
              <w:spacing w:after="40"/>
              <w:jc w:val="center"/>
              <w:rPr>
                <w:szCs w:val="22"/>
              </w:rPr>
            </w:pPr>
            <w:r w:rsidRPr="00565D8E">
              <w:rPr>
                <w:szCs w:val="22"/>
              </w:rPr>
              <w:t>&lt;1</w:t>
            </w:r>
          </w:p>
        </w:tc>
      </w:tr>
      <w:tr w:rsidR="00BD4D54" w:rsidRPr="00565D8E" w:rsidTr="00EC6328">
        <w:tc>
          <w:tcPr>
            <w:tcW w:w="1639" w:type="dxa"/>
          </w:tcPr>
          <w:p w:rsidR="00BD4D54" w:rsidRPr="00565D8E" w:rsidRDefault="00BD4D54" w:rsidP="00EC6328">
            <w:pPr>
              <w:spacing w:after="40"/>
              <w:rPr>
                <w:szCs w:val="22"/>
              </w:rPr>
            </w:pPr>
            <w:r w:rsidRPr="00565D8E">
              <w:rPr>
                <w:szCs w:val="22"/>
              </w:rPr>
              <w:t>Residential B</w:t>
            </w:r>
          </w:p>
        </w:tc>
        <w:tc>
          <w:tcPr>
            <w:tcW w:w="1287" w:type="dxa"/>
          </w:tcPr>
          <w:p w:rsidR="00BD4D54" w:rsidRPr="00565D8E" w:rsidRDefault="00BD4D54" w:rsidP="00EC6328">
            <w:pPr>
              <w:spacing w:after="40"/>
              <w:jc w:val="center"/>
              <w:rPr>
                <w:szCs w:val="22"/>
              </w:rPr>
            </w:pPr>
            <w:r w:rsidRPr="00565D8E">
              <w:rPr>
                <w:szCs w:val="22"/>
              </w:rPr>
              <w:t>10</w:t>
            </w:r>
          </w:p>
        </w:tc>
        <w:tc>
          <w:tcPr>
            <w:tcW w:w="1445" w:type="dxa"/>
          </w:tcPr>
          <w:p w:rsidR="00BD4D54" w:rsidRPr="00565D8E" w:rsidRDefault="00BD4D54" w:rsidP="00EC6328">
            <w:pPr>
              <w:spacing w:after="40"/>
              <w:jc w:val="center"/>
              <w:rPr>
                <w:szCs w:val="22"/>
              </w:rPr>
            </w:pPr>
            <w:r w:rsidRPr="00565D8E">
              <w:rPr>
                <w:szCs w:val="22"/>
              </w:rPr>
              <w:t>16</w:t>
            </w:r>
          </w:p>
        </w:tc>
        <w:tc>
          <w:tcPr>
            <w:tcW w:w="1517" w:type="dxa"/>
          </w:tcPr>
          <w:p w:rsidR="00BD4D54" w:rsidRPr="00565D8E" w:rsidRDefault="00BD4D54" w:rsidP="00EC6328">
            <w:pPr>
              <w:spacing w:after="40"/>
              <w:jc w:val="center"/>
              <w:rPr>
                <w:szCs w:val="22"/>
              </w:rPr>
            </w:pPr>
            <w:r w:rsidRPr="00565D8E">
              <w:rPr>
                <w:szCs w:val="22"/>
              </w:rPr>
              <w:t>--</w:t>
            </w:r>
          </w:p>
        </w:tc>
        <w:tc>
          <w:tcPr>
            <w:tcW w:w="1553" w:type="dxa"/>
          </w:tcPr>
          <w:p w:rsidR="00BD4D54" w:rsidRPr="00565D8E" w:rsidRDefault="00BD4D54" w:rsidP="00EC6328">
            <w:pPr>
              <w:spacing w:after="40"/>
              <w:jc w:val="center"/>
              <w:rPr>
                <w:szCs w:val="22"/>
              </w:rPr>
            </w:pPr>
            <w:r w:rsidRPr="00565D8E">
              <w:rPr>
                <w:szCs w:val="22"/>
              </w:rPr>
              <w:t>84</w:t>
            </w:r>
          </w:p>
        </w:tc>
        <w:tc>
          <w:tcPr>
            <w:tcW w:w="1392" w:type="dxa"/>
          </w:tcPr>
          <w:p w:rsidR="00BD4D54" w:rsidRPr="00565D8E" w:rsidRDefault="00BD4D54" w:rsidP="00EC6328">
            <w:pPr>
              <w:spacing w:after="40"/>
              <w:jc w:val="center"/>
              <w:rPr>
                <w:szCs w:val="22"/>
              </w:rPr>
            </w:pPr>
            <w:r w:rsidRPr="00565D8E">
              <w:rPr>
                <w:szCs w:val="22"/>
              </w:rPr>
              <w:t>&lt;1</w:t>
            </w:r>
          </w:p>
        </w:tc>
      </w:tr>
      <w:tr w:rsidR="00BD4D54" w:rsidRPr="00565D8E" w:rsidTr="00EC6328">
        <w:tc>
          <w:tcPr>
            <w:tcW w:w="1639" w:type="dxa"/>
          </w:tcPr>
          <w:p w:rsidR="00BD4D54" w:rsidRPr="00565D8E" w:rsidRDefault="00BD4D54" w:rsidP="00EC6328">
            <w:pPr>
              <w:spacing w:after="40"/>
              <w:rPr>
                <w:szCs w:val="22"/>
              </w:rPr>
            </w:pPr>
            <w:r w:rsidRPr="00565D8E">
              <w:rPr>
                <w:szCs w:val="22"/>
              </w:rPr>
              <w:t>Recreational C</w:t>
            </w:r>
          </w:p>
        </w:tc>
        <w:tc>
          <w:tcPr>
            <w:tcW w:w="1287" w:type="dxa"/>
          </w:tcPr>
          <w:p w:rsidR="00BD4D54" w:rsidRPr="00565D8E" w:rsidRDefault="00BD4D54" w:rsidP="00EC6328">
            <w:pPr>
              <w:spacing w:after="40"/>
              <w:jc w:val="center"/>
              <w:rPr>
                <w:szCs w:val="22"/>
              </w:rPr>
            </w:pPr>
            <w:r w:rsidRPr="00565D8E">
              <w:rPr>
                <w:szCs w:val="22"/>
              </w:rPr>
              <w:t>10</w:t>
            </w:r>
          </w:p>
        </w:tc>
        <w:tc>
          <w:tcPr>
            <w:tcW w:w="1445" w:type="dxa"/>
          </w:tcPr>
          <w:p w:rsidR="00BD4D54" w:rsidRPr="00565D8E" w:rsidRDefault="00BD4D54" w:rsidP="00EC6328">
            <w:pPr>
              <w:spacing w:after="40"/>
              <w:jc w:val="center"/>
              <w:rPr>
                <w:szCs w:val="22"/>
              </w:rPr>
            </w:pPr>
            <w:r w:rsidRPr="00565D8E">
              <w:rPr>
                <w:szCs w:val="22"/>
              </w:rPr>
              <w:t>27</w:t>
            </w:r>
          </w:p>
        </w:tc>
        <w:tc>
          <w:tcPr>
            <w:tcW w:w="1517" w:type="dxa"/>
          </w:tcPr>
          <w:p w:rsidR="00BD4D54" w:rsidRPr="00565D8E" w:rsidRDefault="00BD4D54" w:rsidP="00EC6328">
            <w:pPr>
              <w:spacing w:after="40"/>
              <w:jc w:val="center"/>
              <w:rPr>
                <w:szCs w:val="22"/>
              </w:rPr>
            </w:pPr>
            <w:r w:rsidRPr="00565D8E">
              <w:rPr>
                <w:szCs w:val="22"/>
              </w:rPr>
              <w:t>--</w:t>
            </w:r>
          </w:p>
        </w:tc>
        <w:tc>
          <w:tcPr>
            <w:tcW w:w="1553" w:type="dxa"/>
          </w:tcPr>
          <w:p w:rsidR="00BD4D54" w:rsidRPr="00565D8E" w:rsidRDefault="00BD4D54" w:rsidP="00EC6328">
            <w:pPr>
              <w:spacing w:after="40"/>
              <w:jc w:val="center"/>
              <w:rPr>
                <w:szCs w:val="22"/>
              </w:rPr>
            </w:pPr>
            <w:r w:rsidRPr="00565D8E">
              <w:rPr>
                <w:szCs w:val="22"/>
              </w:rPr>
              <w:t>73</w:t>
            </w:r>
          </w:p>
        </w:tc>
        <w:tc>
          <w:tcPr>
            <w:tcW w:w="1392" w:type="dxa"/>
          </w:tcPr>
          <w:p w:rsidR="00BD4D54" w:rsidRPr="00565D8E" w:rsidRDefault="00BD4D54" w:rsidP="00EC6328">
            <w:pPr>
              <w:spacing w:after="40"/>
              <w:jc w:val="center"/>
              <w:rPr>
                <w:szCs w:val="22"/>
              </w:rPr>
            </w:pPr>
            <w:r w:rsidRPr="00565D8E">
              <w:rPr>
                <w:szCs w:val="22"/>
              </w:rPr>
              <w:t>&lt;1</w:t>
            </w:r>
          </w:p>
        </w:tc>
      </w:tr>
      <w:tr w:rsidR="00BD4D54" w:rsidRPr="00565D8E" w:rsidTr="00EC6328">
        <w:tc>
          <w:tcPr>
            <w:tcW w:w="1639" w:type="dxa"/>
          </w:tcPr>
          <w:p w:rsidR="00BD4D54" w:rsidRPr="00565D8E" w:rsidRDefault="00BD4D54" w:rsidP="00EC6328">
            <w:pPr>
              <w:spacing w:after="40"/>
              <w:rPr>
                <w:szCs w:val="22"/>
              </w:rPr>
            </w:pPr>
            <w:r w:rsidRPr="00565D8E">
              <w:rPr>
                <w:szCs w:val="22"/>
              </w:rPr>
              <w:t>Commercial D</w:t>
            </w:r>
          </w:p>
        </w:tc>
        <w:tc>
          <w:tcPr>
            <w:tcW w:w="1287" w:type="dxa"/>
          </w:tcPr>
          <w:p w:rsidR="00BD4D54" w:rsidRPr="00565D8E" w:rsidRDefault="00BD4D54" w:rsidP="00EC6328">
            <w:pPr>
              <w:spacing w:after="40"/>
              <w:jc w:val="center"/>
              <w:rPr>
                <w:szCs w:val="22"/>
              </w:rPr>
            </w:pPr>
            <w:r w:rsidRPr="00565D8E">
              <w:rPr>
                <w:szCs w:val="22"/>
              </w:rPr>
              <w:t>50</w:t>
            </w:r>
          </w:p>
        </w:tc>
        <w:tc>
          <w:tcPr>
            <w:tcW w:w="1445" w:type="dxa"/>
          </w:tcPr>
          <w:p w:rsidR="00BD4D54" w:rsidRPr="00565D8E" w:rsidRDefault="00BD4D54" w:rsidP="00EC6328">
            <w:pPr>
              <w:spacing w:after="40"/>
              <w:jc w:val="center"/>
              <w:rPr>
                <w:szCs w:val="22"/>
              </w:rPr>
            </w:pPr>
            <w:r w:rsidRPr="00565D8E">
              <w:rPr>
                <w:szCs w:val="22"/>
              </w:rPr>
              <w:t>12</w:t>
            </w:r>
          </w:p>
        </w:tc>
        <w:tc>
          <w:tcPr>
            <w:tcW w:w="1517" w:type="dxa"/>
          </w:tcPr>
          <w:p w:rsidR="00BD4D54" w:rsidRPr="00565D8E" w:rsidRDefault="00BD4D54" w:rsidP="00EC6328">
            <w:pPr>
              <w:spacing w:after="40"/>
              <w:jc w:val="center"/>
              <w:rPr>
                <w:szCs w:val="22"/>
              </w:rPr>
            </w:pPr>
            <w:r w:rsidRPr="00565D8E">
              <w:rPr>
                <w:szCs w:val="22"/>
              </w:rPr>
              <w:t>--</w:t>
            </w:r>
          </w:p>
        </w:tc>
        <w:tc>
          <w:tcPr>
            <w:tcW w:w="1553" w:type="dxa"/>
          </w:tcPr>
          <w:p w:rsidR="00BD4D54" w:rsidRPr="00565D8E" w:rsidRDefault="00BD4D54" w:rsidP="00EC6328">
            <w:pPr>
              <w:spacing w:after="40"/>
              <w:jc w:val="center"/>
              <w:rPr>
                <w:szCs w:val="22"/>
              </w:rPr>
            </w:pPr>
            <w:r w:rsidRPr="00565D8E">
              <w:rPr>
                <w:szCs w:val="22"/>
              </w:rPr>
              <w:t>88</w:t>
            </w:r>
          </w:p>
        </w:tc>
        <w:tc>
          <w:tcPr>
            <w:tcW w:w="1392" w:type="dxa"/>
          </w:tcPr>
          <w:p w:rsidR="00BD4D54" w:rsidRPr="00565D8E" w:rsidRDefault="00BD4D54" w:rsidP="00EC6328">
            <w:pPr>
              <w:spacing w:after="40"/>
              <w:jc w:val="center"/>
              <w:rPr>
                <w:szCs w:val="22"/>
              </w:rPr>
            </w:pPr>
            <w:r w:rsidRPr="00565D8E">
              <w:rPr>
                <w:szCs w:val="22"/>
              </w:rPr>
              <w:t>&lt;1</w:t>
            </w:r>
          </w:p>
        </w:tc>
      </w:tr>
    </w:tbl>
    <w:p w:rsidR="00BD4D54" w:rsidRPr="00565D8E" w:rsidRDefault="00BD4D54" w:rsidP="00BD4D54">
      <w:pPr>
        <w:spacing w:after="40"/>
        <w:rPr>
          <w:sz w:val="18"/>
          <w:szCs w:val="18"/>
        </w:rPr>
      </w:pPr>
      <w:r w:rsidRPr="00565D8E">
        <w:rPr>
          <w:sz w:val="18"/>
          <w:szCs w:val="18"/>
        </w:rPr>
        <w:t>-- Pathway not included in derivation of HIL</w:t>
      </w:r>
    </w:p>
    <w:p w:rsidR="00BD4D54" w:rsidRDefault="00BD4D54" w:rsidP="00BD4D54"/>
    <w:p w:rsidR="00BD4D54" w:rsidRDefault="00BD4D54" w:rsidP="00BD4D54">
      <w:pPr>
        <w:rPr>
          <w:b/>
          <w:kern w:val="28"/>
          <w:sz w:val="24"/>
        </w:rPr>
      </w:pPr>
      <w:r>
        <w:br w:type="page"/>
      </w:r>
    </w:p>
    <w:p w:rsidR="00BD4D54" w:rsidRDefault="00BD4D54" w:rsidP="00BD4D54">
      <w:pPr>
        <w:pStyle w:val="Heading2"/>
        <w:tabs>
          <w:tab w:val="clear" w:pos="1209"/>
        </w:tabs>
      </w:pPr>
      <w:bookmarkStart w:id="90" w:name="_Toc351714179"/>
      <w:r>
        <w:lastRenderedPageBreak/>
        <w:t>References</w:t>
      </w:r>
      <w:bookmarkEnd w:id="90"/>
    </w:p>
    <w:p w:rsidR="00BD4D54" w:rsidRPr="00565D8E" w:rsidRDefault="00BD4D54" w:rsidP="00BD4D54">
      <w:pPr>
        <w:pStyle w:val="StyletextLeft0cmHanging1cm"/>
      </w:pPr>
      <w:r w:rsidRPr="00565D8E">
        <w:t xml:space="preserve">ATSDR 2007, </w:t>
      </w:r>
      <w:r w:rsidRPr="00565D8E">
        <w:rPr>
          <w:i/>
        </w:rPr>
        <w:t>Toxicological Profile for Heptachlor and Heptachlor Epoxide</w:t>
      </w:r>
      <w:r w:rsidRPr="00565D8E">
        <w:t xml:space="preserve">, US Department of Health and Human Services, ATSDR, available from </w:t>
      </w:r>
      <w:hyperlink r:id="rId42" w:history="1">
        <w:r w:rsidRPr="00565D8E">
          <w:rPr>
            <w:rStyle w:val="Hyperlink"/>
            <w:szCs w:val="22"/>
          </w:rPr>
          <w:t>http://www.atsdr.cdc.gov/ToxProfiles/tp.asp?id=746&amp;tid=135</w:t>
        </w:r>
      </w:hyperlink>
      <w:r w:rsidRPr="00565D8E">
        <w:t>.</w:t>
      </w:r>
    </w:p>
    <w:p w:rsidR="00BD4D54" w:rsidRPr="00565D8E" w:rsidRDefault="00BD4D54" w:rsidP="00BD4D54">
      <w:pPr>
        <w:pStyle w:val="StyletextLeft0cmHanging1cm"/>
        <w:rPr>
          <w:rFonts w:cs="Arial"/>
          <w:i/>
        </w:rPr>
      </w:pPr>
      <w:r w:rsidRPr="00565D8E">
        <w:rPr>
          <w:rFonts w:cs="Arial"/>
        </w:rPr>
        <w:t xml:space="preserve">Di Marco, P 1993, ‘The Assessment and Management of Organochlorine Termiticides’, presented in the proceedings of the </w:t>
      </w:r>
      <w:r w:rsidRPr="00565D8E">
        <w:rPr>
          <w:rFonts w:cs="Arial"/>
          <w:i/>
        </w:rPr>
        <w:t>Second National Workshop on the Health Risk Assessment and Management of Contaminated Sites, Contaminated Sites Monograph Series, No. 2.</w:t>
      </w:r>
    </w:p>
    <w:p w:rsidR="00BD4D54" w:rsidRPr="00565D8E" w:rsidRDefault="00BD4D54" w:rsidP="00BD4D54">
      <w:pPr>
        <w:pStyle w:val="StyletextLeft0cmHanging1cm"/>
        <w:rPr>
          <w:rFonts w:cs="Arial"/>
        </w:rPr>
      </w:pPr>
      <w:r w:rsidRPr="00565D8E">
        <w:rPr>
          <w:rFonts w:cs="Arial"/>
        </w:rPr>
        <w:t xml:space="preserve">FSANZ 2003, </w:t>
      </w:r>
      <w:r w:rsidRPr="00565D8E">
        <w:rPr>
          <w:rFonts w:cs="Arial"/>
          <w:i/>
        </w:rPr>
        <w:t>The 20</w:t>
      </w:r>
      <w:r w:rsidRPr="00565D8E">
        <w:rPr>
          <w:rFonts w:cs="Arial"/>
          <w:i/>
          <w:vertAlign w:val="superscript"/>
        </w:rPr>
        <w:t>th</w:t>
      </w:r>
      <w:r w:rsidRPr="00565D8E">
        <w:rPr>
          <w:rFonts w:cs="Arial"/>
          <w:i/>
        </w:rPr>
        <w:t xml:space="preserve"> Australian Total Diet Survey</w:t>
      </w:r>
      <w:r w:rsidRPr="00565D8E">
        <w:rPr>
          <w:rFonts w:cs="Arial"/>
        </w:rPr>
        <w:t>, a total diet survey of pesticide residues and contaminants, Food Standards Australia andNew Zealand.</w:t>
      </w:r>
    </w:p>
    <w:p w:rsidR="00BD4D54" w:rsidRPr="00565D8E" w:rsidRDefault="00BD4D54" w:rsidP="00BD4D54">
      <w:pPr>
        <w:pStyle w:val="StyletextLeft0cmHanging1cm"/>
        <w:rPr>
          <w:lang w:eastAsia="en-US"/>
        </w:rPr>
      </w:pPr>
      <w:r w:rsidRPr="00565D8E">
        <w:rPr>
          <w:lang w:eastAsia="en-US"/>
        </w:rPr>
        <w:t xml:space="preserve">FSANZ 2011, </w:t>
      </w:r>
      <w:r w:rsidRPr="00565D8E">
        <w:rPr>
          <w:i/>
          <w:lang w:eastAsia="en-US"/>
        </w:rPr>
        <w:t>The 23</w:t>
      </w:r>
      <w:r w:rsidRPr="00565D8E">
        <w:rPr>
          <w:i/>
          <w:vertAlign w:val="superscript"/>
          <w:lang w:eastAsia="en-US"/>
        </w:rPr>
        <w:t>rd</w:t>
      </w:r>
      <w:r w:rsidRPr="00565D8E">
        <w:rPr>
          <w:i/>
          <w:lang w:eastAsia="en-US"/>
        </w:rPr>
        <w:t xml:space="preserve"> Australian Total Diet Study</w:t>
      </w:r>
      <w:r w:rsidRPr="00565D8E">
        <w:rPr>
          <w:lang w:eastAsia="en-US"/>
        </w:rPr>
        <w:t>, Food Standards Australia and New Zealand.</w:t>
      </w:r>
    </w:p>
    <w:p w:rsidR="00BD4D54" w:rsidRPr="00565D8E" w:rsidRDefault="00BD4D54" w:rsidP="00BD4D54">
      <w:pPr>
        <w:pStyle w:val="StyletextLeft0cmHanging1cm"/>
      </w:pPr>
      <w:r w:rsidRPr="00565D8E">
        <w:t xml:space="preserve">IARC 2001, </w:t>
      </w:r>
      <w:r w:rsidRPr="00565D8E">
        <w:rPr>
          <w:i/>
        </w:rPr>
        <w:t>Summaries &amp; Evaluations, Chlordane and Heptachlor</w:t>
      </w:r>
      <w:r w:rsidRPr="00565D8E">
        <w:t>, Vol 79, p. 411, International Agency for Research on Cancer.</w:t>
      </w:r>
    </w:p>
    <w:p w:rsidR="00BD4D54" w:rsidRPr="00565D8E" w:rsidRDefault="00BD4D54" w:rsidP="00BD4D54">
      <w:pPr>
        <w:pStyle w:val="StyletextLeft0cmHanging1cm"/>
      </w:pPr>
      <w:r w:rsidRPr="00565D8E">
        <w:rPr>
          <w:rFonts w:cs="Arial"/>
        </w:rPr>
        <w:t xml:space="preserve">JMPR (various), </w:t>
      </w:r>
      <w:r w:rsidRPr="00565D8E">
        <w:rPr>
          <w:rFonts w:cs="Arial"/>
          <w:i/>
        </w:rPr>
        <w:t>JMPR – Monographs and Evaluations for Heptachlor</w:t>
      </w:r>
      <w:r w:rsidRPr="00565D8E">
        <w:rPr>
          <w:rFonts w:cs="Arial"/>
        </w:rPr>
        <w:t xml:space="preserve">, available from </w:t>
      </w:r>
      <w:hyperlink r:id="rId43" w:history="1">
        <w:r w:rsidRPr="00565D8E">
          <w:rPr>
            <w:rStyle w:val="Hyperlink"/>
            <w:rFonts w:cs="Arial"/>
            <w:szCs w:val="22"/>
          </w:rPr>
          <w:t>http://www.inchem.org/pages/jmpr.html</w:t>
        </w:r>
      </w:hyperlink>
      <w:r w:rsidRPr="00565D8E">
        <w:rPr>
          <w:rFonts w:cs="Arial"/>
        </w:rPr>
        <w:t>.</w:t>
      </w:r>
    </w:p>
    <w:p w:rsidR="00BD4D54" w:rsidRPr="00565D8E" w:rsidRDefault="00BD4D54" w:rsidP="00BD4D54">
      <w:pPr>
        <w:pStyle w:val="StyletextLeft0cmHanging1cm"/>
      </w:pPr>
      <w:r w:rsidRPr="00565D8E">
        <w:t xml:space="preserve">NEPC 1999, </w:t>
      </w:r>
      <w:r w:rsidRPr="00565D8E">
        <w:rPr>
          <w:i/>
        </w:rPr>
        <w:t>Schedule B (7a), Guideline on Health-Based Investigation Levels, National Environment Protection (Assessment of Site Contamination) Measure,</w:t>
      </w:r>
      <w:r w:rsidRPr="00565D8E">
        <w:t xml:space="preserve"> National Environment Protection Council, Australia.</w:t>
      </w:r>
    </w:p>
    <w:p w:rsidR="00BD4D54" w:rsidRPr="00565D8E" w:rsidRDefault="00BD4D54" w:rsidP="00BD4D54">
      <w:pPr>
        <w:pStyle w:val="StyletextLeft0cmHanging1cm"/>
        <w:rPr>
          <w:noProof/>
        </w:rPr>
      </w:pPr>
      <w:r w:rsidRPr="00565D8E">
        <w:t xml:space="preserve">NHMRC 2011, </w:t>
      </w:r>
      <w:r w:rsidRPr="00565D8E">
        <w:rPr>
          <w:i/>
          <w:iCs/>
        </w:rPr>
        <w:t>National water quality management strategy, Australian drinking water guidelines</w:t>
      </w:r>
      <w:r w:rsidRPr="00565D8E">
        <w:t>, National Health and Medical Research Council, Australia</w:t>
      </w:r>
      <w:r w:rsidRPr="00565D8E">
        <w:rPr>
          <w:noProof/>
        </w:rPr>
        <w:t>.</w:t>
      </w:r>
    </w:p>
    <w:p w:rsidR="00BD4D54" w:rsidRPr="00565D8E" w:rsidRDefault="00BD4D54" w:rsidP="00BD4D54">
      <w:pPr>
        <w:pStyle w:val="StyletextLeft0cmHanging1cm"/>
        <w:rPr>
          <w:rFonts w:cs="Arial"/>
          <w:noProof/>
        </w:rPr>
      </w:pPr>
      <w:r w:rsidRPr="00565D8E">
        <w:rPr>
          <w:rFonts w:cs="Arial"/>
          <w:noProof/>
        </w:rPr>
        <w:t xml:space="preserve">OCS 2012, </w:t>
      </w:r>
      <w:r w:rsidRPr="00565D8E">
        <w:rPr>
          <w:rFonts w:cs="Arial"/>
          <w:i/>
          <w:noProof/>
        </w:rPr>
        <w:t>ADI List, Acceptable Daily Intakes for Agricultural and Veterinary Chemicals</w:t>
      </w:r>
      <w:r w:rsidRPr="00565D8E">
        <w:rPr>
          <w:rFonts w:cs="Arial"/>
          <w:noProof/>
        </w:rPr>
        <w:t xml:space="preserve">, current to 31 March 2012, Australian Government, Department of Health and Ageing, Office of Chemical Safety (OCS), available from: </w:t>
      </w:r>
      <w:r w:rsidRPr="00565D8E">
        <w:rPr>
          <w:rFonts w:cs="Arial"/>
        </w:rPr>
        <w:t>http://www.health.gov.au/internet/main/publishing.nsf/content/E8F4D2F95D616584CA2573D700770C2A/$File/ADI-apr12.pdf.</w:t>
      </w:r>
    </w:p>
    <w:p w:rsidR="00BD4D54" w:rsidRPr="00565D8E" w:rsidRDefault="00BD4D54" w:rsidP="00BD4D54">
      <w:pPr>
        <w:pStyle w:val="StyletextLeft0cmHanging1cm"/>
      </w:pPr>
      <w:r w:rsidRPr="00565D8E">
        <w:t xml:space="preserve">US EPA 1995, </w:t>
      </w:r>
      <w:r w:rsidRPr="00565D8E">
        <w:rPr>
          <w:i/>
        </w:rPr>
        <w:t>Technical Guidance Manual, Assessing Dermal Exposure from Soil</w:t>
      </w:r>
      <w:r w:rsidRPr="00565D8E">
        <w:t xml:space="preserve">, US EPA Region 3, available from: </w:t>
      </w:r>
      <w:hyperlink r:id="rId44" w:history="1">
        <w:r w:rsidRPr="00565D8E">
          <w:rPr>
            <w:rStyle w:val="Hyperlink"/>
            <w:szCs w:val="22"/>
          </w:rPr>
          <w:t>http://www.epa.gov/reg3hwmd/risk/human/info/solabsg2.htm</w:t>
        </w:r>
      </w:hyperlink>
      <w:r w:rsidRPr="00565D8E">
        <w:t>.</w:t>
      </w:r>
    </w:p>
    <w:p w:rsidR="00BD4D54" w:rsidRPr="00565D8E" w:rsidRDefault="00BD4D54" w:rsidP="00BD4D54">
      <w:pPr>
        <w:pStyle w:val="StyletextLeft0cmHanging1cm"/>
      </w:pPr>
      <w:r w:rsidRPr="00565D8E">
        <w:t xml:space="preserve">US EPA (IRIS 2012), data and information available from the </w:t>
      </w:r>
      <w:r w:rsidRPr="00565D8E">
        <w:rPr>
          <w:i/>
        </w:rPr>
        <w:t>Integrated Risk Information System</w:t>
      </w:r>
      <w:r w:rsidRPr="00565D8E">
        <w:t xml:space="preserve">, an online database, available from </w:t>
      </w:r>
      <w:hyperlink r:id="rId45" w:history="1">
        <w:r w:rsidRPr="00565D8E">
          <w:rPr>
            <w:rStyle w:val="Hyperlink"/>
            <w:szCs w:val="22"/>
          </w:rPr>
          <w:t>http://www.epa.gov/iris/</w:t>
        </w:r>
      </w:hyperlink>
      <w:r w:rsidRPr="00565D8E">
        <w:t>.</w:t>
      </w:r>
    </w:p>
    <w:p w:rsidR="00BD4D54" w:rsidRPr="00565D8E" w:rsidRDefault="00BD4D54" w:rsidP="00BD4D54">
      <w:pPr>
        <w:pStyle w:val="StyletextLeft0cmHanging1cm"/>
      </w:pPr>
      <w:r w:rsidRPr="00565D8E">
        <w:rPr>
          <w:rFonts w:cs="BookAntiqua"/>
        </w:rPr>
        <w:t xml:space="preserve">WHO 1984, </w:t>
      </w:r>
      <w:r w:rsidRPr="00565D8E">
        <w:rPr>
          <w:rFonts w:cs="BookAntiqua-Italic"/>
          <w:i/>
          <w:iCs/>
        </w:rPr>
        <w:t xml:space="preserve">Environmental Health Criteria 38 </w:t>
      </w:r>
      <w:r w:rsidRPr="00565D8E">
        <w:rPr>
          <w:i/>
          <w:iCs/>
        </w:rPr>
        <w:t>Heptachlor</w:t>
      </w:r>
      <w:r w:rsidRPr="00565D8E">
        <w:rPr>
          <w:rFonts w:cs="BookAntiqua"/>
        </w:rPr>
        <w:t xml:space="preserve">, </w:t>
      </w:r>
      <w:r w:rsidRPr="00565D8E">
        <w:rPr>
          <w:rFonts w:cs="TimesNewRomanPSMT"/>
        </w:rPr>
        <w:t>International Programme of Chemical Safety, World Health Organization, Geneva.</w:t>
      </w:r>
    </w:p>
    <w:p w:rsidR="00BD4D54" w:rsidRPr="00565D8E" w:rsidRDefault="00BD4D54" w:rsidP="00BD4D54">
      <w:pPr>
        <w:pStyle w:val="StyletextLeft0cmHanging1cm"/>
        <w:rPr>
          <w:rFonts w:cs="Arial"/>
        </w:rPr>
      </w:pPr>
      <w:r w:rsidRPr="00565D8E">
        <w:rPr>
          <w:rFonts w:cs="Arial"/>
          <w:lang w:eastAsia="en-US"/>
        </w:rPr>
        <w:t xml:space="preserve">WHO 2006, </w:t>
      </w:r>
      <w:r w:rsidRPr="00565D8E">
        <w:rPr>
          <w:rFonts w:cs="Arial"/>
          <w:i/>
          <w:lang w:eastAsia="en-US"/>
        </w:rPr>
        <w:t>Concise International Chemical Assessment Document (CICAD) 70, Heptachlor</w:t>
      </w:r>
      <w:r w:rsidRPr="00565D8E">
        <w:rPr>
          <w:rFonts w:cs="Arial"/>
          <w:lang w:eastAsia="en-US"/>
        </w:rPr>
        <w:t xml:space="preserve">, available from: </w:t>
      </w:r>
      <w:hyperlink r:id="rId46" w:history="1">
        <w:r w:rsidRPr="00565D8E">
          <w:rPr>
            <w:rStyle w:val="Hyperlink"/>
            <w:rFonts w:cs="Arial"/>
            <w:szCs w:val="22"/>
            <w:lang w:eastAsia="en-US"/>
          </w:rPr>
          <w:t>http://www.inchem.org/documents/cicads/cicads/cicad70.htm</w:t>
        </w:r>
      </w:hyperlink>
      <w:r w:rsidRPr="00565D8E">
        <w:rPr>
          <w:rFonts w:cs="Arial"/>
          <w:lang w:eastAsia="en-US"/>
        </w:rPr>
        <w:t>.</w:t>
      </w:r>
    </w:p>
    <w:p w:rsidR="00BD4D54" w:rsidRPr="00565D8E" w:rsidRDefault="00BD4D54" w:rsidP="00BD4D54">
      <w:pPr>
        <w:pStyle w:val="StyletextLeft0cmHanging1cm"/>
      </w:pPr>
      <w:r w:rsidRPr="00565D8E">
        <w:t xml:space="preserve">WHO 2011, </w:t>
      </w:r>
      <w:r w:rsidRPr="00565D8E">
        <w:rPr>
          <w:i/>
        </w:rPr>
        <w:t>Guidelines for drinking-water quality, 4</w:t>
      </w:r>
      <w:r w:rsidRPr="00565D8E">
        <w:rPr>
          <w:i/>
          <w:vertAlign w:val="superscript"/>
        </w:rPr>
        <w:t>th</w:t>
      </w:r>
      <w:r w:rsidRPr="00565D8E">
        <w:rPr>
          <w:i/>
        </w:rPr>
        <w:t xml:space="preserve"> edn</w:t>
      </w:r>
      <w:r w:rsidRPr="00565D8E">
        <w:t>, World Health Organization, Geneva</w:t>
      </w:r>
      <w:r>
        <w:t>,</w:t>
      </w:r>
      <w:r w:rsidRPr="00565D8E">
        <w:t xml:space="preserve"> available from </w:t>
      </w:r>
      <w:hyperlink r:id="rId47" w:history="1">
        <w:r w:rsidRPr="00565D8E">
          <w:rPr>
            <w:rStyle w:val="Hyperlink"/>
            <w:szCs w:val="22"/>
          </w:rPr>
          <w:t>http://www.who.int/water_sanitation_health/dwq/chemicals/en/index.html</w:t>
        </w:r>
      </w:hyperlink>
      <w:r w:rsidRPr="00565D8E">
        <w:t>.</w:t>
      </w:r>
    </w:p>
    <w:p w:rsidR="00BD4D54" w:rsidRDefault="00BD4D54" w:rsidP="00BD4D54"/>
    <w:p w:rsidR="00BD4D54" w:rsidRDefault="00BD4D54" w:rsidP="00BD4D54"/>
    <w:p w:rsidR="00BD4D54" w:rsidRDefault="00BD4D54" w:rsidP="00BD4D54"/>
    <w:p w:rsidR="00BD4D54" w:rsidRDefault="00BD4D54" w:rsidP="00BD4D54"/>
    <w:p w:rsidR="00BD4D54" w:rsidRDefault="00BD4D54" w:rsidP="00BD4D54">
      <w:pPr>
        <w:pStyle w:val="Heading1"/>
        <w:tabs>
          <w:tab w:val="clear" w:pos="1209"/>
          <w:tab w:val="num" w:pos="720"/>
        </w:tabs>
      </w:pPr>
      <w:bookmarkStart w:id="91" w:name="_Toc351714180"/>
      <w:r>
        <w:lastRenderedPageBreak/>
        <w:t>Hexachlorobenzene (HCB)</w:t>
      </w:r>
      <w:bookmarkEnd w:id="91"/>
    </w:p>
    <w:p w:rsidR="00BD4D54" w:rsidRDefault="00BD4D54" w:rsidP="00BD4D54">
      <w:pPr>
        <w:pStyle w:val="Heading2"/>
        <w:tabs>
          <w:tab w:val="clear" w:pos="1209"/>
        </w:tabs>
      </w:pPr>
      <w:bookmarkStart w:id="92" w:name="_Toc351714181"/>
      <w:r>
        <w:t>General</w:t>
      </w:r>
      <w:bookmarkEnd w:id="92"/>
    </w:p>
    <w:p w:rsidR="00BD4D54" w:rsidRDefault="00BD4D54" w:rsidP="00BD4D54">
      <w:r>
        <w:t>Several comprehensive reviews of HCB in the environment and its toxicity to humans are available and should be consulted for more detailed information (ATSDR 2002; WHO 1997). The following provides a summary of the key aspects of HCB that are relevant to the derivation of a soil HIL.</w:t>
      </w:r>
    </w:p>
    <w:p w:rsidR="00B0287F" w:rsidRDefault="00B0287F" w:rsidP="00BD4D54"/>
    <w:p w:rsidR="00BD4D54" w:rsidRDefault="00BD4D54" w:rsidP="00BD4D54">
      <w:r>
        <w:t>HCB</w:t>
      </w:r>
      <w:r w:rsidRPr="00D83E4E">
        <w:t xml:space="preserve"> is a fully chlorinated aromatic hydrocarbon. In its pure state </w:t>
      </w:r>
      <w:r>
        <w:t>HCB</w:t>
      </w:r>
      <w:r w:rsidRPr="00D83E4E">
        <w:t xml:space="preserve"> is a stable, white crystalline solid, which is insoluble in water but is soluble in fats and organic solvents. </w:t>
      </w:r>
      <w:r>
        <w:t>HCB</w:t>
      </w:r>
      <w:r w:rsidRPr="00D83E4E">
        <w:t xml:space="preserve"> has low flammability but when heated, it decomposes and emits toxic fumes</w:t>
      </w:r>
      <w:r>
        <w:t>. HCB</w:t>
      </w:r>
      <w:r w:rsidRPr="00D83E4E">
        <w:t xml:space="preserve"> was originally manufactured primarily for use as a pesticide to prevent fun</w:t>
      </w:r>
      <w:r>
        <w:t>gal disease in seeds and grains but</w:t>
      </w:r>
      <w:r w:rsidRPr="00D83E4E">
        <w:t xml:space="preserve"> its use in the agricultural industry was discontinued in most countries in the mid-1960s to 1970s (WHO 1997; ATSDR 2002). </w:t>
      </w:r>
      <w:r>
        <w:t>HCB</w:t>
      </w:r>
      <w:r w:rsidRPr="00D83E4E">
        <w:t xml:space="preserve"> was also used in the manufacturing of fireworks, ammunition and synthetic rubber, and as a fluxing agent in the manufacture of aluminium. Given the concerns regarding </w:t>
      </w:r>
      <w:r>
        <w:t xml:space="preserve">HCB’s </w:t>
      </w:r>
      <w:r w:rsidRPr="00D83E4E">
        <w:t>effect on human health and the environment, its intentional uses in commerce are limited (ATSDR 2002).</w:t>
      </w:r>
    </w:p>
    <w:p w:rsidR="00B0287F" w:rsidRPr="00D83E4E" w:rsidRDefault="00B0287F" w:rsidP="00BD4D54"/>
    <w:p w:rsidR="00BD4D54" w:rsidRPr="00D83E4E" w:rsidRDefault="00BD4D54" w:rsidP="00BD4D54">
      <w:pPr>
        <w:rPr>
          <w:rFonts w:cs="Arial"/>
        </w:rPr>
      </w:pPr>
      <w:r>
        <w:rPr>
          <w:rFonts w:cs="Arial"/>
        </w:rPr>
        <w:t>O</w:t>
      </w:r>
      <w:r w:rsidRPr="00D83E4E">
        <w:rPr>
          <w:rFonts w:cs="Arial"/>
        </w:rPr>
        <w:t>n the basis of the potential for long-range transport, persistence in air, water, soil and sediment, bioaccumulation, toxicity and ecotoxicity, HCB meets the UN-ECE Persistent Organic Pollutant (POP) criteria (UN</w:t>
      </w:r>
      <w:r>
        <w:rPr>
          <w:rFonts w:cs="Arial"/>
        </w:rPr>
        <w:t>-</w:t>
      </w:r>
      <w:r w:rsidRPr="00D83E4E">
        <w:rPr>
          <w:rFonts w:cs="Arial"/>
        </w:rPr>
        <w:t>ECE 1998)</w:t>
      </w:r>
      <w:r>
        <w:rPr>
          <w:rFonts w:cs="Arial"/>
        </w:rPr>
        <w:t xml:space="preserve">. </w:t>
      </w:r>
      <w:r w:rsidRPr="00D83E4E">
        <w:rPr>
          <w:rFonts w:cs="Arial"/>
        </w:rPr>
        <w:t>HCB is listed under Schedule X within the National Strategy for the Management of Scheduled Waste</w:t>
      </w:r>
      <w:r>
        <w:rPr>
          <w:rFonts w:cs="Arial"/>
        </w:rPr>
        <w:t xml:space="preserve">. </w:t>
      </w:r>
      <w:r w:rsidRPr="00D83E4E">
        <w:rPr>
          <w:rFonts w:cs="Arial"/>
        </w:rPr>
        <w:t>In addition, HCB has a National Waste Management Plan endorsed by ANZECC in 1996</w:t>
      </w:r>
      <w:r>
        <w:rPr>
          <w:rFonts w:cs="Arial"/>
        </w:rPr>
        <w:t xml:space="preserve">. </w:t>
      </w:r>
    </w:p>
    <w:p w:rsidR="00BD4D54" w:rsidRDefault="00BD4D54" w:rsidP="00BD4D54">
      <w:pPr>
        <w:pStyle w:val="Heading2"/>
        <w:tabs>
          <w:tab w:val="clear" w:pos="1209"/>
        </w:tabs>
      </w:pPr>
      <w:bookmarkStart w:id="93" w:name="_Toc351714182"/>
      <w:r>
        <w:t>Previous HIL</w:t>
      </w:r>
      <w:bookmarkEnd w:id="93"/>
    </w:p>
    <w:p w:rsidR="00BD4D54" w:rsidRDefault="00BD4D54" w:rsidP="00BD4D54">
      <w:r>
        <w:t>No previous HIL is available for HCB (NEPC 1999).</w:t>
      </w:r>
    </w:p>
    <w:p w:rsidR="00BD4D54" w:rsidRDefault="00BD4D54" w:rsidP="00BD4D54">
      <w:pPr>
        <w:pStyle w:val="Heading2"/>
        <w:tabs>
          <w:tab w:val="clear" w:pos="1209"/>
        </w:tabs>
      </w:pPr>
      <w:bookmarkStart w:id="94" w:name="_Toc351714183"/>
      <w:r>
        <w:t>Significance of Exposure Pathways</w:t>
      </w:r>
      <w:bookmarkEnd w:id="94"/>
    </w:p>
    <w:p w:rsidR="00BD4D54" w:rsidRPr="00E00A6A" w:rsidRDefault="00BD4D54" w:rsidP="00BD4D54">
      <w:pPr>
        <w:pStyle w:val="Heading3"/>
      </w:pPr>
      <w:bookmarkStart w:id="95" w:name="_Toc351714184"/>
      <w:r>
        <w:t xml:space="preserve">Oral </w:t>
      </w:r>
      <w:r w:rsidRPr="00E00A6A">
        <w:t>Bioavailability</w:t>
      </w:r>
      <w:bookmarkEnd w:id="95"/>
    </w:p>
    <w:p w:rsidR="00BD4D54" w:rsidRDefault="00BD4D54" w:rsidP="00BD4D54">
      <w:r>
        <w:t>Insufficient data is available to adequately define the bioavailability of HCB hence a default approach of assuming 100% oral bioavailability has been adopted in the derivation of an HIL. It is noted that a site-specific assessment of bioavailability can be undertaken where required.</w:t>
      </w:r>
    </w:p>
    <w:p w:rsidR="00BD4D54" w:rsidRPr="002D7B71" w:rsidRDefault="00BD4D54" w:rsidP="00BD4D54">
      <w:pPr>
        <w:pStyle w:val="Heading3"/>
      </w:pPr>
      <w:bookmarkStart w:id="96" w:name="_Toc351714185"/>
      <w:r>
        <w:t>Dermal absorption</w:t>
      </w:r>
      <w:bookmarkEnd w:id="96"/>
    </w:p>
    <w:p w:rsidR="00BD4D54" w:rsidRDefault="00BD4D54" w:rsidP="00BD4D54">
      <w:r>
        <w:t>Insufficient data is available on the dermal absorption of HCB from soil. Hence the default value of 0.1 (10%) suggested by US EPA (1995) for pesticides has been adopted in the derivation of HILs.</w:t>
      </w:r>
    </w:p>
    <w:p w:rsidR="00BD4D54" w:rsidRPr="009338FB" w:rsidRDefault="00BD4D54" w:rsidP="00BD4D54">
      <w:pPr>
        <w:pStyle w:val="Heading3"/>
      </w:pPr>
      <w:bookmarkStart w:id="97" w:name="_Toc351714186"/>
      <w:r w:rsidRPr="009338FB">
        <w:t>Inhalation of Dust</w:t>
      </w:r>
      <w:bookmarkEnd w:id="97"/>
    </w:p>
    <w:p w:rsidR="00BD4D54" w:rsidRDefault="00BD4D54" w:rsidP="00BD4D54">
      <w:r>
        <w:t>HCB is not considered sufficiently volatile to be of significance and inhalation exposures associated with particulates outdoors and indoors are expected to be of less significance than ingestion of soil. While likely to be negligible, potential inhalation exposures associated with dust have been considered in the HIL derived.</w:t>
      </w:r>
    </w:p>
    <w:p w:rsidR="00BD4D54" w:rsidRPr="009338FB" w:rsidRDefault="00BD4D54" w:rsidP="00BD4D54">
      <w:pPr>
        <w:pStyle w:val="Heading3"/>
      </w:pPr>
      <w:bookmarkStart w:id="98" w:name="_Toc351714187"/>
      <w:r>
        <w:t>Plant Uptake</w:t>
      </w:r>
      <w:bookmarkEnd w:id="98"/>
    </w:p>
    <w:p w:rsidR="00BD4D54" w:rsidRDefault="00BD4D54" w:rsidP="00BD4D54">
      <w:r>
        <w:t>The few studies that are available with respect to the potential for plant uptake of HCB relate to the application of the product in solution (as a product), or from fresh applications where some volatilisation has occurred (not considered relevant where HCB products are no longer used), rather than uptake from soil. HCB has a high Koc value (log Koc = 3.59</w:t>
      </w:r>
      <w:r>
        <w:sym w:font="Symbol" w:char="F02D"/>
      </w:r>
      <w:r>
        <w:t>6.08) and low solubility in water (ATSDR 2002), suggesting that the compound is largely bound to the soil particulates and is immobile in soil. For plant uptake to be significant, the chemicals must be able to partition to soil water. With respect to HCB bound to the soil, the potential for partitioning to soil water is considered to be low and hence plant uptake is considered to be negligible.</w:t>
      </w:r>
    </w:p>
    <w:p w:rsidR="00BD4D54" w:rsidRPr="0089652E" w:rsidRDefault="00BD4D54" w:rsidP="00BD4D54">
      <w:pPr>
        <w:pStyle w:val="Heading3"/>
      </w:pPr>
      <w:bookmarkStart w:id="99" w:name="_Toc351714188"/>
      <w:r w:rsidRPr="0089652E">
        <w:lastRenderedPageBreak/>
        <w:t xml:space="preserve">Intakes from Other Sources </w:t>
      </w:r>
      <w:r>
        <w:t>–</w:t>
      </w:r>
      <w:r w:rsidRPr="0089652E">
        <w:t xml:space="preserve"> Background</w:t>
      </w:r>
      <w:bookmarkEnd w:id="99"/>
    </w:p>
    <w:p w:rsidR="00BD4D54" w:rsidRDefault="00BD4D54" w:rsidP="00BD4D54">
      <w:r>
        <w:t xml:space="preserve">For the general population, away from areas where significant stores of HCB waste have been identified (refer to HCB Waste Management Plan, ANZECC 1996), background intakes would be expected to be primarily associated with residues in food. </w:t>
      </w:r>
    </w:p>
    <w:p w:rsidR="00B0287F" w:rsidRDefault="00B0287F" w:rsidP="00BD4D54"/>
    <w:p w:rsidR="00BD4D54" w:rsidRDefault="00BD4D54" w:rsidP="00BD4D54">
      <w:r>
        <w:t>Food Standards Australia and New Zealand has not detected HCB in any sample in the 18</w:t>
      </w:r>
      <w:r w:rsidRPr="008D7243">
        <w:rPr>
          <w:vertAlign w:val="superscript"/>
        </w:rPr>
        <w:t>th</w:t>
      </w:r>
      <w:r>
        <w:t>, 19</w:t>
      </w:r>
      <w:r w:rsidRPr="005D4B18">
        <w:rPr>
          <w:vertAlign w:val="superscript"/>
        </w:rPr>
        <w:t>th</w:t>
      </w:r>
      <w:r>
        <w:t xml:space="preserve"> or 20</w:t>
      </w:r>
      <w:r w:rsidRPr="005D4B18">
        <w:rPr>
          <w:vertAlign w:val="superscript"/>
        </w:rPr>
        <w:t>th</w:t>
      </w:r>
      <w:r>
        <w:t xml:space="preserve"> food surveys (FSANZ 2003). WHO (1997) calculated that the total background intake by an adult of HCB is between 0.0004 and 0.003 µg/kg body weight per day, mostly derived from dietary exposures. This intake is essentially negligible compared to the recommended oral TRV. Hence, background intakes would be expected to be negligible. This is consistent with reviews of background intakes estimated by RIVM (2001).</w:t>
      </w:r>
    </w:p>
    <w:p w:rsidR="00BD4D54" w:rsidRDefault="00BD4D54" w:rsidP="00BD4D54">
      <w:pPr>
        <w:pStyle w:val="Heading2"/>
        <w:tabs>
          <w:tab w:val="clear" w:pos="1209"/>
        </w:tabs>
      </w:pPr>
      <w:bookmarkStart w:id="100" w:name="_Toc351714189"/>
      <w:r>
        <w:t>Identification of Toxicity Reference Values</w:t>
      </w:r>
      <w:bookmarkEnd w:id="100"/>
    </w:p>
    <w:p w:rsidR="00BD4D54" w:rsidRPr="00983A79" w:rsidRDefault="00BD4D54" w:rsidP="00BD4D54">
      <w:pPr>
        <w:pStyle w:val="Heading3"/>
      </w:pPr>
      <w:bookmarkStart w:id="101" w:name="_Toc351714190"/>
      <w:r>
        <w:t>Classification</w:t>
      </w:r>
      <w:bookmarkEnd w:id="101"/>
    </w:p>
    <w:p w:rsidR="00BD4D54" w:rsidRDefault="00BD4D54" w:rsidP="00BD4D54">
      <w:r w:rsidRPr="00C259C1">
        <w:t>The International Agency for Research on Cancer (IARC</w:t>
      </w:r>
      <w:r>
        <w:t xml:space="preserve"> 2001) has classified HCB as Group 2B—</w:t>
      </w:r>
      <w:r w:rsidRPr="00D83E4E">
        <w:t>possibly carcinogenic to humans</w:t>
      </w:r>
      <w:r>
        <w:t>,</w:t>
      </w:r>
      <w:r w:rsidRPr="00D83E4E">
        <w:t xml:space="preserve"> based on inadequate evidence in humans and sufficient evidence in animals</w:t>
      </w:r>
      <w:r>
        <w:t xml:space="preserve">. </w:t>
      </w:r>
    </w:p>
    <w:p w:rsidR="00B0287F" w:rsidRDefault="00B0287F" w:rsidP="00BD4D54"/>
    <w:p w:rsidR="00BD4D54" w:rsidRPr="00D83E4E" w:rsidRDefault="00BD4D54" w:rsidP="00BD4D54">
      <w:r w:rsidRPr="00D83E4E">
        <w:t>HCB has been classified</w:t>
      </w:r>
      <w:r>
        <w:t xml:space="preserve"> as a probable</w:t>
      </w:r>
      <w:r w:rsidRPr="00D83E4E">
        <w:t xml:space="preserve"> human carcinogen (Category B2) by </w:t>
      </w:r>
      <w:r>
        <w:t>US EPA</w:t>
      </w:r>
      <w:r w:rsidRPr="00D83E4E">
        <w:t xml:space="preserve"> on the basis of the induction of tumours in the liver, thyroid and kidney in three rodent species following oral exposure</w:t>
      </w:r>
      <w:r>
        <w:t xml:space="preserve">. </w:t>
      </w:r>
    </w:p>
    <w:p w:rsidR="00BD4D54" w:rsidRPr="00907E92" w:rsidRDefault="00BD4D54" w:rsidP="00BD4D54">
      <w:pPr>
        <w:pStyle w:val="Heading3"/>
      </w:pPr>
      <w:bookmarkStart w:id="102" w:name="_Toc351714191"/>
      <w:r w:rsidRPr="00907E92">
        <w:t>Review of Available Values</w:t>
      </w:r>
      <w:r>
        <w:t>/Information</w:t>
      </w:r>
      <w:bookmarkEnd w:id="102"/>
    </w:p>
    <w:p w:rsidR="00BD4D54" w:rsidRDefault="00BD4D54" w:rsidP="00BD4D54">
      <w:r>
        <w:t>HCB has been associated with carcinogenic effects however; the mode of action is of prime importance for determining the most appropriate dose</w:t>
      </w:r>
      <w:r>
        <w:sym w:font="Symbol" w:char="F02D"/>
      </w:r>
      <w:r>
        <w:t xml:space="preserve">response approach to adopt for establishing an HIL. The available data (WHO DWG 2011; WHO 1997; RIVM 2001) shows that the weight of evidence does not suggest that HCB is genotoxic and hence a threshold approach is considered appropriate for the derivation of an HIL. Further review of HCB by WHO (1997) considered the derivation of a threshold TDI based on both non-neoplastic and neoplastic effects (similar threshold values), hence appropriate threshold values are available that adequately address neoplastic (carcinogenic) effects. </w:t>
      </w:r>
    </w:p>
    <w:p w:rsidR="00B0287F" w:rsidRDefault="00B0287F" w:rsidP="00BD4D54"/>
    <w:p w:rsidR="00BD4D54" w:rsidRDefault="00BD4D54" w:rsidP="00BD4D54">
      <w:pPr>
        <w:spacing w:after="60"/>
      </w:pPr>
      <w:r>
        <w:t>The following are available from Level 1 Australian and International sources: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3"/>
        <w:gridCol w:w="2231"/>
        <w:gridCol w:w="5543"/>
      </w:tblGrid>
      <w:tr w:rsidR="00BD4D54" w:rsidRPr="00565D8E" w:rsidTr="00EC6328">
        <w:trPr>
          <w:cantSplit/>
          <w:tblHeader/>
        </w:trPr>
        <w:tc>
          <w:tcPr>
            <w:tcW w:w="1384" w:type="dxa"/>
            <w:shd w:val="clear" w:color="auto" w:fill="C6D9F1" w:themeFill="text2" w:themeFillTint="33"/>
          </w:tcPr>
          <w:p w:rsidR="00BD4D54" w:rsidRPr="00565D8E" w:rsidRDefault="00BD4D54" w:rsidP="00EC6328">
            <w:pPr>
              <w:spacing w:before="20"/>
              <w:jc w:val="center"/>
              <w:rPr>
                <w:b/>
                <w:szCs w:val="22"/>
              </w:rPr>
            </w:pPr>
            <w:r w:rsidRPr="00565D8E">
              <w:rPr>
                <w:b/>
                <w:szCs w:val="22"/>
              </w:rPr>
              <w:t>Source</w:t>
            </w:r>
          </w:p>
        </w:tc>
        <w:tc>
          <w:tcPr>
            <w:tcW w:w="2410" w:type="dxa"/>
            <w:shd w:val="clear" w:color="auto" w:fill="C6D9F1" w:themeFill="text2" w:themeFillTint="33"/>
          </w:tcPr>
          <w:p w:rsidR="00BD4D54" w:rsidRPr="00565D8E" w:rsidRDefault="00BD4D54" w:rsidP="00EC6328">
            <w:pPr>
              <w:spacing w:before="20"/>
              <w:jc w:val="center"/>
              <w:rPr>
                <w:b/>
                <w:szCs w:val="22"/>
              </w:rPr>
            </w:pPr>
            <w:r w:rsidRPr="00565D8E">
              <w:rPr>
                <w:b/>
                <w:szCs w:val="22"/>
              </w:rPr>
              <w:t>Value</w:t>
            </w:r>
          </w:p>
        </w:tc>
        <w:tc>
          <w:tcPr>
            <w:tcW w:w="6169" w:type="dxa"/>
            <w:shd w:val="clear" w:color="auto" w:fill="C6D9F1" w:themeFill="text2" w:themeFillTint="33"/>
          </w:tcPr>
          <w:p w:rsidR="00BD4D54" w:rsidRPr="00565D8E" w:rsidRDefault="00BD4D54" w:rsidP="00EC6328">
            <w:pPr>
              <w:spacing w:before="20"/>
              <w:jc w:val="center"/>
              <w:rPr>
                <w:b/>
                <w:szCs w:val="22"/>
              </w:rPr>
            </w:pPr>
            <w:r w:rsidRPr="00565D8E">
              <w:rPr>
                <w:b/>
                <w:szCs w:val="22"/>
              </w:rPr>
              <w:t>Basis/Comments</w:t>
            </w:r>
          </w:p>
        </w:tc>
      </w:tr>
      <w:tr w:rsidR="00BD4D54" w:rsidRPr="00565D8E" w:rsidTr="00EC6328">
        <w:trPr>
          <w:cantSplit/>
        </w:trPr>
        <w:tc>
          <w:tcPr>
            <w:tcW w:w="9963" w:type="dxa"/>
            <w:gridSpan w:val="3"/>
          </w:tcPr>
          <w:p w:rsidR="00BD4D54" w:rsidRPr="00565D8E" w:rsidRDefault="00BD4D54" w:rsidP="00EC6328">
            <w:pPr>
              <w:spacing w:before="20"/>
              <w:jc w:val="center"/>
              <w:rPr>
                <w:b/>
                <w:szCs w:val="22"/>
              </w:rPr>
            </w:pPr>
            <w:r w:rsidRPr="00565D8E">
              <w:rPr>
                <w:b/>
                <w:szCs w:val="22"/>
              </w:rPr>
              <w:t>Australian</w:t>
            </w:r>
          </w:p>
        </w:tc>
      </w:tr>
      <w:tr w:rsidR="00BD4D54" w:rsidRPr="00565D8E" w:rsidTr="00EC6328">
        <w:trPr>
          <w:cantSplit/>
        </w:trPr>
        <w:tc>
          <w:tcPr>
            <w:tcW w:w="1384" w:type="dxa"/>
          </w:tcPr>
          <w:p w:rsidR="00BD4D54" w:rsidRPr="00565D8E" w:rsidRDefault="00BD4D54" w:rsidP="00EC6328">
            <w:pPr>
              <w:spacing w:before="20"/>
              <w:rPr>
                <w:szCs w:val="22"/>
              </w:rPr>
            </w:pPr>
            <w:r w:rsidRPr="00565D8E">
              <w:rPr>
                <w:szCs w:val="22"/>
              </w:rPr>
              <w:t xml:space="preserve">ADWG (NHMRC 2011) </w:t>
            </w:r>
          </w:p>
        </w:tc>
        <w:tc>
          <w:tcPr>
            <w:tcW w:w="2410" w:type="dxa"/>
          </w:tcPr>
          <w:p w:rsidR="00BD4D54" w:rsidRPr="00565D8E" w:rsidRDefault="00BD4D54" w:rsidP="00EC6328">
            <w:pPr>
              <w:spacing w:before="20"/>
              <w:rPr>
                <w:szCs w:val="22"/>
              </w:rPr>
            </w:pPr>
            <w:r w:rsidRPr="00565D8E">
              <w:rPr>
                <w:szCs w:val="22"/>
              </w:rPr>
              <w:t>No evaluation available</w:t>
            </w:r>
          </w:p>
        </w:tc>
        <w:tc>
          <w:tcPr>
            <w:tcW w:w="6169" w:type="dxa"/>
          </w:tcPr>
          <w:p w:rsidR="00BD4D54" w:rsidRPr="00565D8E" w:rsidRDefault="00BD4D54" w:rsidP="00EC6328">
            <w:pPr>
              <w:spacing w:before="20"/>
              <w:rPr>
                <w:szCs w:val="22"/>
              </w:rPr>
            </w:pPr>
          </w:p>
        </w:tc>
      </w:tr>
      <w:tr w:rsidR="00BD4D54" w:rsidRPr="00565D8E" w:rsidTr="00EC6328">
        <w:trPr>
          <w:cantSplit/>
        </w:trPr>
        <w:tc>
          <w:tcPr>
            <w:tcW w:w="1384" w:type="dxa"/>
          </w:tcPr>
          <w:p w:rsidR="00BD4D54" w:rsidRPr="00565D8E" w:rsidRDefault="00BD4D54" w:rsidP="00EC6328">
            <w:pPr>
              <w:spacing w:before="20"/>
              <w:rPr>
                <w:szCs w:val="22"/>
              </w:rPr>
            </w:pPr>
            <w:r w:rsidRPr="00565D8E">
              <w:rPr>
                <w:szCs w:val="22"/>
              </w:rPr>
              <w:t>OCS (2012)</w:t>
            </w:r>
          </w:p>
        </w:tc>
        <w:tc>
          <w:tcPr>
            <w:tcW w:w="2410" w:type="dxa"/>
          </w:tcPr>
          <w:p w:rsidR="00BD4D54" w:rsidRPr="00565D8E" w:rsidRDefault="00BD4D54" w:rsidP="00EC6328">
            <w:pPr>
              <w:spacing w:before="20"/>
              <w:rPr>
                <w:szCs w:val="22"/>
              </w:rPr>
            </w:pPr>
            <w:r w:rsidRPr="00565D8E">
              <w:rPr>
                <w:szCs w:val="22"/>
              </w:rPr>
              <w:t>No evaluation available</w:t>
            </w:r>
          </w:p>
        </w:tc>
        <w:tc>
          <w:tcPr>
            <w:tcW w:w="6169" w:type="dxa"/>
          </w:tcPr>
          <w:p w:rsidR="00BD4D54" w:rsidRPr="00565D8E" w:rsidRDefault="00BD4D54" w:rsidP="00EC6328">
            <w:pPr>
              <w:spacing w:before="20"/>
              <w:rPr>
                <w:szCs w:val="22"/>
              </w:rPr>
            </w:pPr>
          </w:p>
        </w:tc>
      </w:tr>
      <w:tr w:rsidR="00BD4D54" w:rsidRPr="00565D8E" w:rsidTr="00EC6328">
        <w:trPr>
          <w:cantSplit/>
        </w:trPr>
        <w:tc>
          <w:tcPr>
            <w:tcW w:w="9963" w:type="dxa"/>
            <w:gridSpan w:val="3"/>
          </w:tcPr>
          <w:p w:rsidR="00BD4D54" w:rsidRPr="00565D8E" w:rsidRDefault="00BD4D54" w:rsidP="00EC6328">
            <w:pPr>
              <w:spacing w:before="20"/>
              <w:jc w:val="center"/>
              <w:rPr>
                <w:b/>
                <w:szCs w:val="22"/>
              </w:rPr>
            </w:pPr>
            <w:r w:rsidRPr="00565D8E">
              <w:rPr>
                <w:b/>
                <w:szCs w:val="22"/>
              </w:rPr>
              <w:t>International</w:t>
            </w:r>
          </w:p>
        </w:tc>
      </w:tr>
      <w:tr w:rsidR="00BD4D54" w:rsidRPr="00565D8E" w:rsidTr="00EC6328">
        <w:trPr>
          <w:cantSplit/>
        </w:trPr>
        <w:tc>
          <w:tcPr>
            <w:tcW w:w="1384" w:type="dxa"/>
          </w:tcPr>
          <w:p w:rsidR="00BD4D54" w:rsidRPr="00565D8E" w:rsidRDefault="00BD4D54" w:rsidP="00EC6328">
            <w:pPr>
              <w:spacing w:before="20"/>
              <w:rPr>
                <w:szCs w:val="22"/>
              </w:rPr>
            </w:pPr>
            <w:r w:rsidRPr="00565D8E">
              <w:rPr>
                <w:szCs w:val="22"/>
              </w:rPr>
              <w:t xml:space="preserve">JMPR </w:t>
            </w:r>
          </w:p>
        </w:tc>
        <w:tc>
          <w:tcPr>
            <w:tcW w:w="2410" w:type="dxa"/>
          </w:tcPr>
          <w:p w:rsidR="00BD4D54" w:rsidRPr="00565D8E" w:rsidRDefault="00BD4D54" w:rsidP="00EC6328">
            <w:pPr>
              <w:spacing w:before="20"/>
              <w:rPr>
                <w:szCs w:val="22"/>
              </w:rPr>
            </w:pPr>
            <w:r w:rsidRPr="00565D8E">
              <w:rPr>
                <w:szCs w:val="22"/>
              </w:rPr>
              <w:t>ADI =0.0006 mg/kg/day</w:t>
            </w:r>
          </w:p>
        </w:tc>
        <w:tc>
          <w:tcPr>
            <w:tcW w:w="6169" w:type="dxa"/>
          </w:tcPr>
          <w:p w:rsidR="00BD4D54" w:rsidRPr="00565D8E" w:rsidRDefault="00BD4D54" w:rsidP="00EC6328">
            <w:pPr>
              <w:spacing w:before="20"/>
              <w:rPr>
                <w:szCs w:val="22"/>
              </w:rPr>
            </w:pPr>
            <w:r w:rsidRPr="00565D8E">
              <w:rPr>
                <w:szCs w:val="22"/>
              </w:rPr>
              <w:t xml:space="preserve">An ADI of 0.0006 mg/kg/day was estimated for HCB by JMPR in 1969 (reaffirmed in 1974) based on a dietary study in rats. </w:t>
            </w:r>
          </w:p>
        </w:tc>
      </w:tr>
      <w:tr w:rsidR="00BD4D54" w:rsidRPr="00565D8E" w:rsidTr="00EC6328">
        <w:trPr>
          <w:cantSplit/>
        </w:trPr>
        <w:tc>
          <w:tcPr>
            <w:tcW w:w="1384" w:type="dxa"/>
          </w:tcPr>
          <w:p w:rsidR="00BD4D54" w:rsidRPr="00565D8E" w:rsidRDefault="00BD4D54" w:rsidP="00EC6328">
            <w:pPr>
              <w:spacing w:before="20"/>
              <w:rPr>
                <w:szCs w:val="22"/>
              </w:rPr>
            </w:pPr>
            <w:r w:rsidRPr="00565D8E">
              <w:rPr>
                <w:szCs w:val="22"/>
              </w:rPr>
              <w:t>WHO (2011)</w:t>
            </w:r>
          </w:p>
        </w:tc>
        <w:tc>
          <w:tcPr>
            <w:tcW w:w="2410" w:type="dxa"/>
          </w:tcPr>
          <w:p w:rsidR="00BD4D54" w:rsidRPr="00565D8E" w:rsidRDefault="00BD4D54" w:rsidP="00EC6328">
            <w:pPr>
              <w:spacing w:before="20"/>
              <w:rPr>
                <w:szCs w:val="22"/>
              </w:rPr>
            </w:pPr>
            <w:r w:rsidRPr="00565D8E">
              <w:rPr>
                <w:szCs w:val="22"/>
              </w:rPr>
              <w:t>TDI = 0.00016 mg/kg/day</w:t>
            </w:r>
          </w:p>
        </w:tc>
        <w:tc>
          <w:tcPr>
            <w:tcW w:w="6169" w:type="dxa"/>
          </w:tcPr>
          <w:p w:rsidR="00BD4D54" w:rsidRPr="00565D8E" w:rsidRDefault="00BD4D54" w:rsidP="00EC6328">
            <w:pPr>
              <w:spacing w:before="20"/>
              <w:rPr>
                <w:szCs w:val="22"/>
              </w:rPr>
            </w:pPr>
            <w:r w:rsidRPr="00565D8E">
              <w:rPr>
                <w:szCs w:val="22"/>
              </w:rPr>
              <w:t xml:space="preserve">No guideline has been established by WHO, as concentrations of HCB occur in drinking water well below those of health concern. However the review conducted (in 2003) has indicated a health-based guideline of 0.0005 to 0.001 mg/L can be derived on the basis of a linear multistage low-dose extrapolation model or a TDI of 0.00016 mg/kg/day. </w:t>
            </w:r>
          </w:p>
        </w:tc>
      </w:tr>
      <w:tr w:rsidR="00BD4D54" w:rsidRPr="00565D8E" w:rsidTr="00EC6328">
        <w:trPr>
          <w:cantSplit/>
        </w:trPr>
        <w:tc>
          <w:tcPr>
            <w:tcW w:w="1384" w:type="dxa"/>
          </w:tcPr>
          <w:p w:rsidR="00BD4D54" w:rsidRPr="00565D8E" w:rsidRDefault="00BD4D54" w:rsidP="00EC6328">
            <w:pPr>
              <w:spacing w:before="20"/>
              <w:rPr>
                <w:szCs w:val="22"/>
              </w:rPr>
            </w:pPr>
            <w:r w:rsidRPr="00565D8E">
              <w:rPr>
                <w:szCs w:val="22"/>
              </w:rPr>
              <w:lastRenderedPageBreak/>
              <w:t>WHO (1997)</w:t>
            </w:r>
          </w:p>
        </w:tc>
        <w:tc>
          <w:tcPr>
            <w:tcW w:w="2410" w:type="dxa"/>
          </w:tcPr>
          <w:p w:rsidR="00BD4D54" w:rsidRPr="00565D8E" w:rsidRDefault="00BD4D54" w:rsidP="00EC6328">
            <w:pPr>
              <w:spacing w:before="20"/>
              <w:rPr>
                <w:szCs w:val="22"/>
              </w:rPr>
            </w:pPr>
            <w:r w:rsidRPr="00565D8E">
              <w:rPr>
                <w:szCs w:val="22"/>
              </w:rPr>
              <w:t>TDI = 0.00016 mg/kg/day</w:t>
            </w:r>
          </w:p>
        </w:tc>
        <w:tc>
          <w:tcPr>
            <w:tcW w:w="6169" w:type="dxa"/>
          </w:tcPr>
          <w:p w:rsidR="00BD4D54" w:rsidRPr="00565D8E" w:rsidRDefault="00BD4D54" w:rsidP="00EC6328">
            <w:pPr>
              <w:spacing w:before="20"/>
              <w:rPr>
                <w:szCs w:val="22"/>
              </w:rPr>
            </w:pPr>
            <w:r w:rsidRPr="00565D8E">
              <w:rPr>
                <w:szCs w:val="22"/>
              </w:rPr>
              <w:t>TDI presented is the lowest TDI derived on the basis of non-neoplastic and neoplastic effects. A TDI of 0.00017 mg/kg/day was derived on the basis of a NOEL of 0.05 mg/kg/day associated hepatic effects in pigs and rats, and an uncertainty factor of 200 (the evaluation presented included consideration of the study used by ATSDR in the derivation of the chronic MRL). The lower TDI presented was derived on the basis of a Tumorigenic Dose (TD</w:t>
            </w:r>
            <w:r w:rsidRPr="00565D8E">
              <w:rPr>
                <w:szCs w:val="22"/>
                <w:vertAlign w:val="subscript"/>
              </w:rPr>
              <w:t>5</w:t>
            </w:r>
            <w:r w:rsidRPr="00565D8E">
              <w:rPr>
                <w:szCs w:val="22"/>
              </w:rPr>
              <w:t>) associated with a 5% excess incidence in tumours in experimental animals. The TDI was derived on the basis of results from a 2-generation study in rats where the TD</w:t>
            </w:r>
            <w:r w:rsidRPr="00565D8E">
              <w:rPr>
                <w:szCs w:val="22"/>
                <w:vertAlign w:val="subscript"/>
              </w:rPr>
              <w:t>5</w:t>
            </w:r>
            <w:r w:rsidRPr="00565D8E">
              <w:rPr>
                <w:szCs w:val="22"/>
              </w:rPr>
              <w:t xml:space="preserve"> values ranged from 0.81 mg/kg/day to 2.01 mg/kg/day. The lower value associated with neoplastic effects in the liver was adopted with an uncertainty factor of 5000 to derive the TDI of 0.00016 mg/kg/day.</w:t>
            </w:r>
          </w:p>
          <w:p w:rsidR="00BD4D54" w:rsidRPr="00565D8E" w:rsidRDefault="00BD4D54" w:rsidP="00EC6328">
            <w:pPr>
              <w:spacing w:before="20"/>
              <w:rPr>
                <w:szCs w:val="22"/>
              </w:rPr>
            </w:pPr>
            <w:r w:rsidRPr="00565D8E">
              <w:rPr>
                <w:szCs w:val="22"/>
              </w:rPr>
              <w:t>It is noted that review also derived a TDI for non-neoplastic effects of 0.00017 mg/kg/day based on a NOEL of 0.05 mg/kg/day based on hepatic effects in a subchronic study in pigs and a chronic study in rats. This evaluation considered the same studies as ATSDR and US EPA and the non-neoplastic TDI is similar to that derived for neoplastic effects.</w:t>
            </w:r>
          </w:p>
        </w:tc>
      </w:tr>
      <w:tr w:rsidR="00BD4D54" w:rsidRPr="00565D8E" w:rsidTr="00EC6328">
        <w:trPr>
          <w:cantSplit/>
        </w:trPr>
        <w:tc>
          <w:tcPr>
            <w:tcW w:w="1384" w:type="dxa"/>
          </w:tcPr>
          <w:p w:rsidR="00BD4D54" w:rsidRPr="00565D8E" w:rsidRDefault="00BD4D54" w:rsidP="00EC6328">
            <w:pPr>
              <w:spacing w:before="20"/>
              <w:rPr>
                <w:szCs w:val="22"/>
              </w:rPr>
            </w:pPr>
            <w:r w:rsidRPr="00565D8E">
              <w:rPr>
                <w:szCs w:val="22"/>
              </w:rPr>
              <w:t>ATSDR (2002)</w:t>
            </w:r>
          </w:p>
        </w:tc>
        <w:tc>
          <w:tcPr>
            <w:tcW w:w="2410" w:type="dxa"/>
          </w:tcPr>
          <w:p w:rsidR="00BD4D54" w:rsidRPr="00565D8E" w:rsidRDefault="00BD4D54" w:rsidP="00EC6328">
            <w:pPr>
              <w:spacing w:before="20"/>
              <w:rPr>
                <w:szCs w:val="22"/>
              </w:rPr>
            </w:pPr>
            <w:r w:rsidRPr="00565D8E">
              <w:rPr>
                <w:szCs w:val="22"/>
              </w:rPr>
              <w:t>Oral MRL = 0.00005 mg/kg/day</w:t>
            </w:r>
          </w:p>
        </w:tc>
        <w:tc>
          <w:tcPr>
            <w:tcW w:w="6169" w:type="dxa"/>
          </w:tcPr>
          <w:p w:rsidR="00BD4D54" w:rsidRPr="00565D8E" w:rsidRDefault="00BD4D54" w:rsidP="00EC6328">
            <w:pPr>
              <w:spacing w:before="20"/>
              <w:rPr>
                <w:szCs w:val="22"/>
              </w:rPr>
            </w:pPr>
            <w:r w:rsidRPr="00565D8E">
              <w:rPr>
                <w:szCs w:val="22"/>
              </w:rPr>
              <w:t>Chronic oral MRL derived on the basis of a LOAEL of 0.016 mg/kg/day for peribiliary lymphocytosis and fibrosis of the liver in a 2-generation study on rats, and an uncertainty factor of 300. The ATSDR review has considered the same study as the US EPA (Arnold et al. 1985), however they have applied slightly different uncertainty factors to the NOAEL.</w:t>
            </w:r>
          </w:p>
        </w:tc>
      </w:tr>
      <w:tr w:rsidR="00BD4D54" w:rsidRPr="00565D8E" w:rsidTr="00EC6328">
        <w:trPr>
          <w:cantSplit/>
        </w:trPr>
        <w:tc>
          <w:tcPr>
            <w:tcW w:w="1384" w:type="dxa"/>
          </w:tcPr>
          <w:p w:rsidR="00BD4D54" w:rsidRPr="00565D8E" w:rsidRDefault="00BD4D54" w:rsidP="00EC6328">
            <w:pPr>
              <w:spacing w:before="20"/>
              <w:rPr>
                <w:szCs w:val="22"/>
              </w:rPr>
            </w:pPr>
            <w:r w:rsidRPr="00565D8E">
              <w:rPr>
                <w:szCs w:val="22"/>
              </w:rPr>
              <w:t>US EPA (IRIS 2012)</w:t>
            </w:r>
          </w:p>
        </w:tc>
        <w:tc>
          <w:tcPr>
            <w:tcW w:w="2410" w:type="dxa"/>
          </w:tcPr>
          <w:p w:rsidR="00BD4D54" w:rsidRPr="00565D8E" w:rsidRDefault="00BD4D54" w:rsidP="00EC6328">
            <w:pPr>
              <w:spacing w:before="20"/>
              <w:rPr>
                <w:szCs w:val="22"/>
              </w:rPr>
            </w:pPr>
            <w:r w:rsidRPr="00565D8E">
              <w:rPr>
                <w:szCs w:val="22"/>
              </w:rPr>
              <w:t>RfD = 0.0008 mg/kg/day</w:t>
            </w:r>
          </w:p>
          <w:p w:rsidR="00BD4D54" w:rsidRPr="00565D8E" w:rsidRDefault="00BD4D54" w:rsidP="00EC6328">
            <w:pPr>
              <w:spacing w:before="20"/>
              <w:rPr>
                <w:szCs w:val="22"/>
              </w:rPr>
            </w:pPr>
          </w:p>
        </w:tc>
        <w:tc>
          <w:tcPr>
            <w:tcW w:w="6169" w:type="dxa"/>
          </w:tcPr>
          <w:p w:rsidR="00BD4D54" w:rsidRPr="00565D8E" w:rsidRDefault="00BD4D54" w:rsidP="00EC6328">
            <w:pPr>
              <w:spacing w:before="20"/>
              <w:rPr>
                <w:szCs w:val="22"/>
              </w:rPr>
            </w:pPr>
            <w:r w:rsidRPr="00565D8E">
              <w:rPr>
                <w:szCs w:val="22"/>
              </w:rPr>
              <w:t>Oral RfD (last reviewed in 1988) based on a NOAEL of 0.08 mg/kg/day associated with liver effects in a rat study, and an uncertainty factor of 100. The US EPA has also derived non-threshold oral and inhalation values which are not presented here as they are not considered relevant.</w:t>
            </w:r>
          </w:p>
        </w:tc>
      </w:tr>
    </w:tbl>
    <w:p w:rsidR="00BD4D54" w:rsidRDefault="00BD4D54" w:rsidP="00BD4D54"/>
    <w:p w:rsidR="00BD4D54" w:rsidRDefault="00BD4D54" w:rsidP="00BD4D54">
      <w:r>
        <w:t>Based on the available reviews presented above, a range of oral TRVs is available. The oral TRV adopted by WHO (1997) is relevant to both neoplastic and non-neoplastic effects (note the ATSDR and US EPA threshold values relate to non-neoplastic effects only) and is therefore considered suitable and appropriate for use in the derivation of soil HILs. No inhalation or dermal data are available, hence it is recommended that all intakes associated with contaminated soil be assessed on the basis of the oral TRV.</w:t>
      </w:r>
    </w:p>
    <w:p w:rsidR="00BD4D54" w:rsidRPr="00921D7B" w:rsidRDefault="00BD4D54" w:rsidP="00BD4D54">
      <w:pPr>
        <w:pStyle w:val="Heading3"/>
      </w:pPr>
      <w:bookmarkStart w:id="103" w:name="_Toc351714192"/>
      <w:r w:rsidRPr="00921D7B">
        <w:t>Recommendation</w:t>
      </w:r>
      <w:bookmarkEnd w:id="103"/>
    </w:p>
    <w:p w:rsidR="00BD4D54" w:rsidRPr="00191EC8" w:rsidRDefault="00BD4D54" w:rsidP="00BD4D54">
      <w:r>
        <w:t>On the basis of the discussion above, the following toxicity reference values (TRVs) have been adopted for HCB in the derivation of HILs:</w:t>
      </w:r>
    </w:p>
    <w:p w:rsidR="00BD4D54" w:rsidRDefault="00BD4D54" w:rsidP="00BD4D54">
      <w:r>
        <w:rPr>
          <w:noProof/>
          <w:lang w:eastAsia="en-AU"/>
        </w:rPr>
        <w:lastRenderedPageBreak/>
        <mc:AlternateContent>
          <mc:Choice Requires="wps">
            <w:drawing>
              <wp:inline distT="0" distB="0" distL="0" distR="0">
                <wp:extent cx="5629910" cy="1639570"/>
                <wp:effectExtent l="13335" t="6350" r="5080" b="1143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910" cy="1639570"/>
                        </a:xfrm>
                        <a:prstGeom prst="rect">
                          <a:avLst/>
                        </a:prstGeom>
                        <a:solidFill>
                          <a:srgbClr val="D8D8D8"/>
                        </a:solidFill>
                        <a:ln w="9525">
                          <a:solidFill>
                            <a:srgbClr val="000000"/>
                          </a:solidFill>
                          <a:miter lim="800000"/>
                          <a:headEnd/>
                          <a:tailEnd/>
                        </a:ln>
                      </wps:spPr>
                      <wps:txbx>
                        <w:txbxContent>
                          <w:p w:rsidR="00480C84" w:rsidRPr="00742163" w:rsidRDefault="00480C84" w:rsidP="00BD4D54">
                            <w:pPr>
                              <w:spacing w:after="40"/>
                              <w:rPr>
                                <w:b/>
                                <w:u w:val="single"/>
                              </w:rPr>
                            </w:pPr>
                            <w:r w:rsidRPr="00742163">
                              <w:rPr>
                                <w:b/>
                                <w:u w:val="single"/>
                              </w:rPr>
                              <w:t xml:space="preserve">Recommendation for </w:t>
                            </w:r>
                            <w:r>
                              <w:rPr>
                                <w:b/>
                                <w:u w:val="single"/>
                              </w:rPr>
                              <w:t>Hexachlorobenzene</w:t>
                            </w:r>
                            <w:r w:rsidRPr="00742163">
                              <w:rPr>
                                <w:b/>
                                <w:u w:val="single"/>
                              </w:rPr>
                              <w:t xml:space="preserve"> (</w:t>
                            </w:r>
                            <w:r>
                              <w:rPr>
                                <w:b/>
                                <w:u w:val="single"/>
                              </w:rPr>
                              <w:t>HCB</w:t>
                            </w:r>
                            <w:r w:rsidRPr="00742163">
                              <w:rPr>
                                <w:b/>
                                <w:u w:val="single"/>
                              </w:rPr>
                              <w:t>)</w:t>
                            </w:r>
                          </w:p>
                          <w:p w:rsidR="00480C84" w:rsidRDefault="00480C84" w:rsidP="00BD4D54">
                            <w:pPr>
                              <w:spacing w:after="40"/>
                            </w:pPr>
                            <w:r>
                              <w:t>Oral TRV (TRV</w:t>
                            </w:r>
                            <w:r w:rsidRPr="00684B59">
                              <w:rPr>
                                <w:vertAlign w:val="subscript"/>
                              </w:rPr>
                              <w:t>O</w:t>
                            </w:r>
                            <w:r>
                              <w:t>) = 0.00016 mg/kg/day (WHO 1997) for all pathways of exposure.</w:t>
                            </w:r>
                          </w:p>
                          <w:p w:rsidR="00480C84" w:rsidRDefault="00480C84" w:rsidP="00BD4D54">
                            <w:pPr>
                              <w:spacing w:after="40"/>
                            </w:pPr>
                            <w:r>
                              <w:t>Dermal absorption factor (DAF) = 0.1 (or 10%) (US EPA 1995)</w:t>
                            </w:r>
                          </w:p>
                          <w:p w:rsidR="00480C84" w:rsidRDefault="00480C84" w:rsidP="00BD4D54">
                            <w:pPr>
                              <w:spacing w:after="40"/>
                            </w:pPr>
                            <w:r>
                              <w:t>Background intakes from other sources (as % of TRV):</w:t>
                            </w:r>
                          </w:p>
                          <w:p w:rsidR="00480C84" w:rsidRDefault="00480C84" w:rsidP="00BD4D54">
                            <w:pPr>
                              <w:spacing w:after="40"/>
                              <w:ind w:left="720"/>
                            </w:pPr>
                            <w:r>
                              <w:t>BI</w:t>
                            </w:r>
                            <w:r w:rsidRPr="002049F5">
                              <w:rPr>
                                <w:vertAlign w:val="subscript"/>
                              </w:rPr>
                              <w:t>O</w:t>
                            </w:r>
                            <w:r>
                              <w:t xml:space="preserve"> = 0% for oral and dermal intakes</w:t>
                            </w:r>
                          </w:p>
                          <w:p w:rsidR="00480C84" w:rsidRDefault="00480C84" w:rsidP="00BD4D54">
                            <w:pPr>
                              <w:spacing w:after="40"/>
                              <w:ind w:left="720"/>
                            </w:pPr>
                            <w:r>
                              <w:t xml:space="preserve">BIi = 0% for inhalation </w:t>
                            </w:r>
                          </w:p>
                        </w:txbxContent>
                      </wps:txbx>
                      <wps:bodyPr rot="0" vert="horz" wrap="square" lIns="91440" tIns="45720" rIns="91440" bIns="45720" anchor="t" anchorCtr="0" upright="1">
                        <a:noAutofit/>
                      </wps:bodyPr>
                    </wps:wsp>
                  </a:graphicData>
                </a:graphic>
              </wp:inline>
            </w:drawing>
          </mc:Choice>
          <mc:Fallback>
            <w:pict>
              <v:shape id="Text Box 6" o:spid="_x0000_s1035" type="#_x0000_t202" style="width:443.3pt;height:1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" fillcolor="#d8d8d8">
                <v:textbox>
                  <w:txbxContent>
                    <w:p w:rsidR="00480C84" w:rsidRPr="00742163" w:rsidRDefault="00480C84" w:rsidP="00BD4D54">
                      <w:pPr>
                        <w:spacing w:after="40"/>
                        <w:rPr>
                          <w:b/>
                          <w:u w:val="single"/>
                        </w:rPr>
                      </w:pPr>
                      <w:r w:rsidRPr="00742163">
                        <w:rPr>
                          <w:b/>
                          <w:u w:val="single"/>
                        </w:rPr>
                        <w:t xml:space="preserve">Recommendation for </w:t>
                      </w:r>
                      <w:r>
                        <w:rPr>
                          <w:b/>
                          <w:u w:val="single"/>
                        </w:rPr>
                        <w:t>Hexachlorobenzene</w:t>
                      </w:r>
                      <w:r w:rsidRPr="00742163">
                        <w:rPr>
                          <w:b/>
                          <w:u w:val="single"/>
                        </w:rPr>
                        <w:t xml:space="preserve"> (</w:t>
                      </w:r>
                      <w:r>
                        <w:rPr>
                          <w:b/>
                          <w:u w:val="single"/>
                        </w:rPr>
                        <w:t>HCB</w:t>
                      </w:r>
                      <w:r w:rsidRPr="00742163">
                        <w:rPr>
                          <w:b/>
                          <w:u w:val="single"/>
                        </w:rPr>
                        <w:t>)</w:t>
                      </w:r>
                    </w:p>
                    <w:p w:rsidR="00480C84" w:rsidRDefault="00480C84" w:rsidP="00BD4D54">
                      <w:pPr>
                        <w:spacing w:after="40"/>
                      </w:pPr>
                      <w:r>
                        <w:t>Oral TRV (TRV</w:t>
                      </w:r>
                      <w:r w:rsidRPr="00684B59">
                        <w:rPr>
                          <w:vertAlign w:val="subscript"/>
                        </w:rPr>
                        <w:t>O</w:t>
                      </w:r>
                      <w:r>
                        <w:t>) = 0.00016 mg/kg/day (WHO 1997) for all pathways of exposure.</w:t>
                      </w:r>
                    </w:p>
                    <w:p w:rsidR="00480C84" w:rsidRDefault="00480C84" w:rsidP="00BD4D54">
                      <w:pPr>
                        <w:spacing w:after="40"/>
                      </w:pPr>
                      <w:r>
                        <w:t>Dermal absorption factor (DAF) = 0.1 (or 10%) (US EPA 1995)</w:t>
                      </w:r>
                    </w:p>
                    <w:p w:rsidR="00480C84" w:rsidRDefault="00480C84" w:rsidP="00BD4D54">
                      <w:pPr>
                        <w:spacing w:after="40"/>
                      </w:pPr>
                      <w:r>
                        <w:t>Background intakes from other sources (as % of TRV):</w:t>
                      </w:r>
                    </w:p>
                    <w:p w:rsidR="00480C84" w:rsidRDefault="00480C84" w:rsidP="00BD4D54">
                      <w:pPr>
                        <w:spacing w:after="40"/>
                        <w:ind w:left="720"/>
                      </w:pPr>
                      <w:r>
                        <w:t>BI</w:t>
                      </w:r>
                      <w:r w:rsidRPr="002049F5">
                        <w:rPr>
                          <w:vertAlign w:val="subscript"/>
                        </w:rPr>
                        <w:t>O</w:t>
                      </w:r>
                      <w:r>
                        <w:t xml:space="preserve"> = 0% for oral and dermal intakes</w:t>
                      </w:r>
                    </w:p>
                    <w:p w:rsidR="00480C84" w:rsidRDefault="00480C84" w:rsidP="00BD4D54">
                      <w:pPr>
                        <w:spacing w:after="40"/>
                        <w:ind w:left="720"/>
                      </w:pPr>
                      <w:r>
                        <w:t xml:space="preserve">BIi = 0% for inhalation </w:t>
                      </w:r>
                    </w:p>
                  </w:txbxContent>
                </v:textbox>
                <w10:anchorlock/>
              </v:shape>
            </w:pict>
          </mc:Fallback>
        </mc:AlternateContent>
      </w:r>
    </w:p>
    <w:p w:rsidR="00BD4D54" w:rsidRPr="00DB16F5" w:rsidRDefault="00BD4D54" w:rsidP="00BD4D54">
      <w:pPr>
        <w:pStyle w:val="Heading2"/>
        <w:tabs>
          <w:tab w:val="clear" w:pos="1209"/>
        </w:tabs>
      </w:pPr>
      <w:bookmarkStart w:id="104" w:name="_Toc351714193"/>
      <w:r w:rsidRPr="00DB16F5">
        <w:t>Calculated HILs</w:t>
      </w:r>
      <w:bookmarkEnd w:id="104"/>
    </w:p>
    <w:p w:rsidR="00BD4D54" w:rsidRDefault="00BD4D54" w:rsidP="00BD4D54">
      <w:r>
        <w:t>On the basis of the above, the following HILs have been derived for HCB (refer to Appendix B for equations used to calculate the HILs and Appendix C for calculations):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9"/>
        <w:gridCol w:w="1287"/>
        <w:gridCol w:w="1445"/>
        <w:gridCol w:w="1517"/>
        <w:gridCol w:w="1553"/>
        <w:gridCol w:w="1392"/>
      </w:tblGrid>
      <w:tr w:rsidR="00BD4D54" w:rsidRPr="00565D8E" w:rsidTr="00EC6328">
        <w:tc>
          <w:tcPr>
            <w:tcW w:w="1639" w:type="dxa"/>
            <w:vMerge w:val="restart"/>
            <w:shd w:val="clear" w:color="auto" w:fill="C6D9F1" w:themeFill="text2" w:themeFillTint="33"/>
          </w:tcPr>
          <w:p w:rsidR="00BD4D54" w:rsidRPr="00565D8E" w:rsidRDefault="00BD4D54" w:rsidP="00EC6328">
            <w:pPr>
              <w:spacing w:after="40"/>
              <w:rPr>
                <w:b/>
                <w:szCs w:val="22"/>
              </w:rPr>
            </w:pPr>
            <w:r w:rsidRPr="00565D8E">
              <w:rPr>
                <w:b/>
                <w:szCs w:val="22"/>
              </w:rPr>
              <w:t>HIL Scenario</w:t>
            </w:r>
          </w:p>
        </w:tc>
        <w:tc>
          <w:tcPr>
            <w:tcW w:w="1287" w:type="dxa"/>
            <w:vMerge w:val="restart"/>
            <w:shd w:val="clear" w:color="auto" w:fill="C6D9F1" w:themeFill="text2" w:themeFillTint="33"/>
          </w:tcPr>
          <w:p w:rsidR="00BD4D54" w:rsidRPr="00565D8E" w:rsidRDefault="00BD4D54" w:rsidP="00EC6328">
            <w:pPr>
              <w:spacing w:after="40"/>
              <w:jc w:val="center"/>
              <w:rPr>
                <w:b/>
                <w:szCs w:val="22"/>
              </w:rPr>
            </w:pPr>
            <w:r w:rsidRPr="00565D8E">
              <w:rPr>
                <w:b/>
                <w:szCs w:val="22"/>
              </w:rPr>
              <w:t>HIL (mg/kg)</w:t>
            </w:r>
          </w:p>
        </w:tc>
        <w:tc>
          <w:tcPr>
            <w:tcW w:w="5907" w:type="dxa"/>
            <w:gridSpan w:val="4"/>
            <w:shd w:val="clear" w:color="auto" w:fill="C6D9F1" w:themeFill="text2" w:themeFillTint="33"/>
          </w:tcPr>
          <w:p w:rsidR="00BD4D54" w:rsidRPr="00565D8E" w:rsidRDefault="00BD4D54" w:rsidP="00EC6328">
            <w:pPr>
              <w:spacing w:after="40"/>
              <w:jc w:val="center"/>
              <w:rPr>
                <w:b/>
                <w:szCs w:val="22"/>
              </w:rPr>
            </w:pPr>
            <w:r w:rsidRPr="00565D8E">
              <w:rPr>
                <w:b/>
                <w:szCs w:val="22"/>
              </w:rPr>
              <w:t>Percentage Contribution from Exposure Pathways</w:t>
            </w:r>
          </w:p>
        </w:tc>
      </w:tr>
      <w:tr w:rsidR="00BD4D54" w:rsidRPr="00565D8E" w:rsidTr="00EC6328">
        <w:trPr>
          <w:trHeight w:val="427"/>
        </w:trPr>
        <w:tc>
          <w:tcPr>
            <w:tcW w:w="1639" w:type="dxa"/>
            <w:vMerge/>
            <w:shd w:val="clear" w:color="auto" w:fill="C6D9F1" w:themeFill="text2" w:themeFillTint="33"/>
          </w:tcPr>
          <w:p w:rsidR="00BD4D54" w:rsidRPr="00565D8E" w:rsidRDefault="00BD4D54" w:rsidP="00EC6328">
            <w:pPr>
              <w:spacing w:after="40"/>
              <w:rPr>
                <w:szCs w:val="22"/>
              </w:rPr>
            </w:pPr>
          </w:p>
        </w:tc>
        <w:tc>
          <w:tcPr>
            <w:tcW w:w="1287" w:type="dxa"/>
            <w:vMerge/>
            <w:shd w:val="clear" w:color="auto" w:fill="C6D9F1" w:themeFill="text2" w:themeFillTint="33"/>
          </w:tcPr>
          <w:p w:rsidR="00BD4D54" w:rsidRPr="00565D8E" w:rsidRDefault="00BD4D54" w:rsidP="00EC6328">
            <w:pPr>
              <w:spacing w:after="40"/>
              <w:jc w:val="center"/>
              <w:rPr>
                <w:szCs w:val="22"/>
              </w:rPr>
            </w:pPr>
          </w:p>
        </w:tc>
        <w:tc>
          <w:tcPr>
            <w:tcW w:w="1445" w:type="dxa"/>
            <w:shd w:val="clear" w:color="auto" w:fill="C6D9F1" w:themeFill="text2" w:themeFillTint="33"/>
          </w:tcPr>
          <w:p w:rsidR="00BD4D54" w:rsidRPr="00565D8E" w:rsidRDefault="00BD4D54" w:rsidP="00EC6328">
            <w:pPr>
              <w:spacing w:after="40"/>
              <w:jc w:val="center"/>
              <w:rPr>
                <w:b/>
                <w:szCs w:val="22"/>
              </w:rPr>
            </w:pPr>
            <w:r w:rsidRPr="00565D8E">
              <w:rPr>
                <w:b/>
                <w:szCs w:val="22"/>
              </w:rPr>
              <w:t>Ingestion of Soil/Dust</w:t>
            </w:r>
          </w:p>
        </w:tc>
        <w:tc>
          <w:tcPr>
            <w:tcW w:w="1517" w:type="dxa"/>
            <w:shd w:val="clear" w:color="auto" w:fill="C6D9F1" w:themeFill="text2" w:themeFillTint="33"/>
          </w:tcPr>
          <w:p w:rsidR="00BD4D54" w:rsidRPr="00565D8E" w:rsidRDefault="00BD4D54" w:rsidP="00EC6328">
            <w:pPr>
              <w:spacing w:after="40"/>
              <w:jc w:val="center"/>
              <w:rPr>
                <w:b/>
                <w:szCs w:val="22"/>
              </w:rPr>
            </w:pPr>
            <w:r w:rsidRPr="00565D8E">
              <w:rPr>
                <w:b/>
                <w:szCs w:val="22"/>
              </w:rPr>
              <w:t>Ingestion of Home-grown Produce</w:t>
            </w:r>
          </w:p>
        </w:tc>
        <w:tc>
          <w:tcPr>
            <w:tcW w:w="1553" w:type="dxa"/>
            <w:shd w:val="clear" w:color="auto" w:fill="C6D9F1" w:themeFill="text2" w:themeFillTint="33"/>
          </w:tcPr>
          <w:p w:rsidR="00BD4D54" w:rsidRPr="00565D8E" w:rsidRDefault="00BD4D54" w:rsidP="00EC6328">
            <w:pPr>
              <w:spacing w:after="40"/>
              <w:jc w:val="center"/>
              <w:rPr>
                <w:b/>
                <w:szCs w:val="22"/>
              </w:rPr>
            </w:pPr>
            <w:r w:rsidRPr="00565D8E">
              <w:rPr>
                <w:b/>
                <w:szCs w:val="22"/>
              </w:rPr>
              <w:t>Dermal Absorption of Soil/Dust</w:t>
            </w:r>
          </w:p>
        </w:tc>
        <w:tc>
          <w:tcPr>
            <w:tcW w:w="1392" w:type="dxa"/>
            <w:shd w:val="clear" w:color="auto" w:fill="C6D9F1" w:themeFill="text2" w:themeFillTint="33"/>
          </w:tcPr>
          <w:p w:rsidR="00BD4D54" w:rsidRPr="00565D8E" w:rsidRDefault="00BD4D54" w:rsidP="00EC6328">
            <w:pPr>
              <w:spacing w:after="40"/>
              <w:jc w:val="center"/>
              <w:rPr>
                <w:b/>
                <w:szCs w:val="22"/>
              </w:rPr>
            </w:pPr>
            <w:r w:rsidRPr="00565D8E">
              <w:rPr>
                <w:b/>
                <w:szCs w:val="22"/>
              </w:rPr>
              <w:t>Inhalation (dust)</w:t>
            </w:r>
          </w:p>
        </w:tc>
      </w:tr>
      <w:tr w:rsidR="00BD4D54" w:rsidRPr="00565D8E" w:rsidTr="00EC6328">
        <w:tc>
          <w:tcPr>
            <w:tcW w:w="1639" w:type="dxa"/>
          </w:tcPr>
          <w:p w:rsidR="00BD4D54" w:rsidRPr="00565D8E" w:rsidRDefault="00BD4D54" w:rsidP="00EC6328">
            <w:pPr>
              <w:spacing w:after="40"/>
              <w:rPr>
                <w:szCs w:val="22"/>
              </w:rPr>
            </w:pPr>
            <w:r w:rsidRPr="00565D8E">
              <w:rPr>
                <w:szCs w:val="22"/>
              </w:rPr>
              <w:t>Residential A</w:t>
            </w:r>
          </w:p>
        </w:tc>
        <w:tc>
          <w:tcPr>
            <w:tcW w:w="1287" w:type="dxa"/>
          </w:tcPr>
          <w:p w:rsidR="00BD4D54" w:rsidRPr="00565D8E" w:rsidRDefault="00BD4D54" w:rsidP="00EC6328">
            <w:pPr>
              <w:spacing w:after="40"/>
              <w:jc w:val="center"/>
              <w:rPr>
                <w:szCs w:val="22"/>
              </w:rPr>
            </w:pPr>
            <w:r w:rsidRPr="00565D8E">
              <w:rPr>
                <w:szCs w:val="22"/>
              </w:rPr>
              <w:t>10</w:t>
            </w:r>
          </w:p>
        </w:tc>
        <w:tc>
          <w:tcPr>
            <w:tcW w:w="1445" w:type="dxa"/>
          </w:tcPr>
          <w:p w:rsidR="00BD4D54" w:rsidRPr="00565D8E" w:rsidRDefault="00BD4D54" w:rsidP="00EC6328">
            <w:pPr>
              <w:spacing w:after="40"/>
              <w:jc w:val="center"/>
              <w:rPr>
                <w:szCs w:val="22"/>
              </w:rPr>
            </w:pPr>
            <w:r w:rsidRPr="00565D8E">
              <w:rPr>
                <w:szCs w:val="22"/>
              </w:rPr>
              <w:t>43</w:t>
            </w:r>
          </w:p>
        </w:tc>
        <w:tc>
          <w:tcPr>
            <w:tcW w:w="1517" w:type="dxa"/>
          </w:tcPr>
          <w:p w:rsidR="00BD4D54" w:rsidRPr="00565D8E" w:rsidRDefault="00BD4D54" w:rsidP="00EC6328">
            <w:pPr>
              <w:spacing w:after="40"/>
              <w:jc w:val="center"/>
              <w:rPr>
                <w:szCs w:val="22"/>
              </w:rPr>
            </w:pPr>
            <w:r w:rsidRPr="00565D8E">
              <w:rPr>
                <w:szCs w:val="22"/>
              </w:rPr>
              <w:t>--</w:t>
            </w:r>
          </w:p>
        </w:tc>
        <w:tc>
          <w:tcPr>
            <w:tcW w:w="1553" w:type="dxa"/>
          </w:tcPr>
          <w:p w:rsidR="00BD4D54" w:rsidRPr="00565D8E" w:rsidRDefault="00BD4D54" w:rsidP="00EC6328">
            <w:pPr>
              <w:spacing w:after="40"/>
              <w:jc w:val="center"/>
              <w:rPr>
                <w:szCs w:val="22"/>
              </w:rPr>
            </w:pPr>
            <w:r w:rsidRPr="00565D8E">
              <w:rPr>
                <w:szCs w:val="22"/>
              </w:rPr>
              <w:t>57</w:t>
            </w:r>
          </w:p>
        </w:tc>
        <w:tc>
          <w:tcPr>
            <w:tcW w:w="1392" w:type="dxa"/>
          </w:tcPr>
          <w:p w:rsidR="00BD4D54" w:rsidRPr="00565D8E" w:rsidRDefault="00BD4D54" w:rsidP="00EC6328">
            <w:pPr>
              <w:spacing w:after="40"/>
              <w:jc w:val="center"/>
              <w:rPr>
                <w:szCs w:val="22"/>
              </w:rPr>
            </w:pPr>
            <w:r w:rsidRPr="00565D8E">
              <w:rPr>
                <w:szCs w:val="22"/>
              </w:rPr>
              <w:t>&lt;1</w:t>
            </w:r>
          </w:p>
        </w:tc>
      </w:tr>
      <w:tr w:rsidR="00BD4D54" w:rsidRPr="00565D8E" w:rsidTr="00EC6328">
        <w:tc>
          <w:tcPr>
            <w:tcW w:w="1639" w:type="dxa"/>
          </w:tcPr>
          <w:p w:rsidR="00BD4D54" w:rsidRPr="00565D8E" w:rsidRDefault="00BD4D54" w:rsidP="00EC6328">
            <w:pPr>
              <w:spacing w:after="40"/>
              <w:rPr>
                <w:szCs w:val="22"/>
              </w:rPr>
            </w:pPr>
            <w:r w:rsidRPr="00565D8E">
              <w:rPr>
                <w:szCs w:val="22"/>
              </w:rPr>
              <w:t>Residential B</w:t>
            </w:r>
          </w:p>
        </w:tc>
        <w:tc>
          <w:tcPr>
            <w:tcW w:w="1287" w:type="dxa"/>
          </w:tcPr>
          <w:p w:rsidR="00BD4D54" w:rsidRPr="00565D8E" w:rsidRDefault="00BD4D54" w:rsidP="00EC6328">
            <w:pPr>
              <w:spacing w:after="40"/>
              <w:jc w:val="center"/>
              <w:rPr>
                <w:szCs w:val="22"/>
              </w:rPr>
            </w:pPr>
            <w:r w:rsidRPr="00565D8E">
              <w:rPr>
                <w:szCs w:val="22"/>
              </w:rPr>
              <w:t>15</w:t>
            </w:r>
          </w:p>
        </w:tc>
        <w:tc>
          <w:tcPr>
            <w:tcW w:w="1445" w:type="dxa"/>
          </w:tcPr>
          <w:p w:rsidR="00BD4D54" w:rsidRPr="00565D8E" w:rsidRDefault="00BD4D54" w:rsidP="00EC6328">
            <w:pPr>
              <w:spacing w:after="40"/>
              <w:jc w:val="center"/>
              <w:rPr>
                <w:szCs w:val="22"/>
              </w:rPr>
            </w:pPr>
            <w:r w:rsidRPr="00565D8E">
              <w:rPr>
                <w:szCs w:val="22"/>
              </w:rPr>
              <w:t>16</w:t>
            </w:r>
          </w:p>
        </w:tc>
        <w:tc>
          <w:tcPr>
            <w:tcW w:w="1517" w:type="dxa"/>
          </w:tcPr>
          <w:p w:rsidR="00BD4D54" w:rsidRPr="00565D8E" w:rsidRDefault="00BD4D54" w:rsidP="00EC6328">
            <w:pPr>
              <w:spacing w:after="40"/>
              <w:jc w:val="center"/>
              <w:rPr>
                <w:szCs w:val="22"/>
              </w:rPr>
            </w:pPr>
            <w:r w:rsidRPr="00565D8E">
              <w:rPr>
                <w:szCs w:val="22"/>
              </w:rPr>
              <w:t>--</w:t>
            </w:r>
          </w:p>
        </w:tc>
        <w:tc>
          <w:tcPr>
            <w:tcW w:w="1553" w:type="dxa"/>
          </w:tcPr>
          <w:p w:rsidR="00BD4D54" w:rsidRPr="00565D8E" w:rsidRDefault="00BD4D54" w:rsidP="00EC6328">
            <w:pPr>
              <w:spacing w:after="40"/>
              <w:jc w:val="center"/>
              <w:rPr>
                <w:szCs w:val="22"/>
              </w:rPr>
            </w:pPr>
            <w:r w:rsidRPr="00565D8E">
              <w:rPr>
                <w:szCs w:val="22"/>
              </w:rPr>
              <w:t>84</w:t>
            </w:r>
          </w:p>
        </w:tc>
        <w:tc>
          <w:tcPr>
            <w:tcW w:w="1392" w:type="dxa"/>
          </w:tcPr>
          <w:p w:rsidR="00BD4D54" w:rsidRPr="00565D8E" w:rsidRDefault="00BD4D54" w:rsidP="00EC6328">
            <w:pPr>
              <w:spacing w:after="40"/>
              <w:jc w:val="center"/>
              <w:rPr>
                <w:szCs w:val="22"/>
              </w:rPr>
            </w:pPr>
            <w:r w:rsidRPr="00565D8E">
              <w:rPr>
                <w:szCs w:val="22"/>
              </w:rPr>
              <w:t>&lt;1</w:t>
            </w:r>
          </w:p>
        </w:tc>
      </w:tr>
      <w:tr w:rsidR="00BD4D54" w:rsidRPr="00565D8E" w:rsidTr="00EC6328">
        <w:tc>
          <w:tcPr>
            <w:tcW w:w="1639" w:type="dxa"/>
          </w:tcPr>
          <w:p w:rsidR="00BD4D54" w:rsidRPr="00565D8E" w:rsidRDefault="00BD4D54" w:rsidP="00EC6328">
            <w:pPr>
              <w:spacing w:after="40"/>
              <w:rPr>
                <w:szCs w:val="22"/>
              </w:rPr>
            </w:pPr>
            <w:r w:rsidRPr="00565D8E">
              <w:rPr>
                <w:szCs w:val="22"/>
              </w:rPr>
              <w:t>Recreational C</w:t>
            </w:r>
          </w:p>
        </w:tc>
        <w:tc>
          <w:tcPr>
            <w:tcW w:w="1287" w:type="dxa"/>
          </w:tcPr>
          <w:p w:rsidR="00BD4D54" w:rsidRPr="00565D8E" w:rsidRDefault="00BD4D54" w:rsidP="00EC6328">
            <w:pPr>
              <w:spacing w:after="40"/>
              <w:jc w:val="center"/>
              <w:rPr>
                <w:szCs w:val="22"/>
              </w:rPr>
            </w:pPr>
            <w:r w:rsidRPr="00565D8E">
              <w:rPr>
                <w:szCs w:val="22"/>
              </w:rPr>
              <w:t>10</w:t>
            </w:r>
          </w:p>
        </w:tc>
        <w:tc>
          <w:tcPr>
            <w:tcW w:w="1445" w:type="dxa"/>
          </w:tcPr>
          <w:p w:rsidR="00BD4D54" w:rsidRPr="00565D8E" w:rsidRDefault="00BD4D54" w:rsidP="00EC6328">
            <w:pPr>
              <w:spacing w:after="40"/>
              <w:jc w:val="center"/>
              <w:rPr>
                <w:szCs w:val="22"/>
              </w:rPr>
            </w:pPr>
            <w:r w:rsidRPr="00565D8E">
              <w:rPr>
                <w:szCs w:val="22"/>
              </w:rPr>
              <w:t>27</w:t>
            </w:r>
          </w:p>
        </w:tc>
        <w:tc>
          <w:tcPr>
            <w:tcW w:w="1517" w:type="dxa"/>
          </w:tcPr>
          <w:p w:rsidR="00BD4D54" w:rsidRPr="00565D8E" w:rsidRDefault="00BD4D54" w:rsidP="00EC6328">
            <w:pPr>
              <w:spacing w:after="40"/>
              <w:jc w:val="center"/>
              <w:rPr>
                <w:szCs w:val="22"/>
              </w:rPr>
            </w:pPr>
            <w:r w:rsidRPr="00565D8E">
              <w:rPr>
                <w:szCs w:val="22"/>
              </w:rPr>
              <w:t>--</w:t>
            </w:r>
          </w:p>
        </w:tc>
        <w:tc>
          <w:tcPr>
            <w:tcW w:w="1553" w:type="dxa"/>
          </w:tcPr>
          <w:p w:rsidR="00BD4D54" w:rsidRPr="00565D8E" w:rsidRDefault="00BD4D54" w:rsidP="00EC6328">
            <w:pPr>
              <w:spacing w:after="40"/>
              <w:jc w:val="center"/>
              <w:rPr>
                <w:szCs w:val="22"/>
              </w:rPr>
            </w:pPr>
            <w:r w:rsidRPr="00565D8E">
              <w:rPr>
                <w:szCs w:val="22"/>
              </w:rPr>
              <w:t>73</w:t>
            </w:r>
          </w:p>
        </w:tc>
        <w:tc>
          <w:tcPr>
            <w:tcW w:w="1392" w:type="dxa"/>
          </w:tcPr>
          <w:p w:rsidR="00BD4D54" w:rsidRPr="00565D8E" w:rsidRDefault="00BD4D54" w:rsidP="00EC6328">
            <w:pPr>
              <w:spacing w:after="40"/>
              <w:jc w:val="center"/>
              <w:rPr>
                <w:szCs w:val="22"/>
              </w:rPr>
            </w:pPr>
            <w:r w:rsidRPr="00565D8E">
              <w:rPr>
                <w:szCs w:val="22"/>
              </w:rPr>
              <w:t>&lt;1</w:t>
            </w:r>
          </w:p>
        </w:tc>
      </w:tr>
      <w:tr w:rsidR="00BD4D54" w:rsidRPr="00565D8E" w:rsidTr="00EC6328">
        <w:tc>
          <w:tcPr>
            <w:tcW w:w="1639" w:type="dxa"/>
          </w:tcPr>
          <w:p w:rsidR="00BD4D54" w:rsidRPr="00565D8E" w:rsidRDefault="00BD4D54" w:rsidP="00EC6328">
            <w:pPr>
              <w:spacing w:after="40"/>
              <w:rPr>
                <w:szCs w:val="22"/>
              </w:rPr>
            </w:pPr>
            <w:r w:rsidRPr="00565D8E">
              <w:rPr>
                <w:szCs w:val="22"/>
              </w:rPr>
              <w:t>Commercial D</w:t>
            </w:r>
          </w:p>
        </w:tc>
        <w:tc>
          <w:tcPr>
            <w:tcW w:w="1287" w:type="dxa"/>
          </w:tcPr>
          <w:p w:rsidR="00BD4D54" w:rsidRPr="00565D8E" w:rsidRDefault="00BD4D54" w:rsidP="00EC6328">
            <w:pPr>
              <w:spacing w:after="40"/>
              <w:jc w:val="center"/>
              <w:rPr>
                <w:szCs w:val="22"/>
              </w:rPr>
            </w:pPr>
            <w:r w:rsidRPr="00565D8E">
              <w:rPr>
                <w:szCs w:val="22"/>
              </w:rPr>
              <w:t>80</w:t>
            </w:r>
          </w:p>
        </w:tc>
        <w:tc>
          <w:tcPr>
            <w:tcW w:w="1445" w:type="dxa"/>
          </w:tcPr>
          <w:p w:rsidR="00BD4D54" w:rsidRPr="00565D8E" w:rsidRDefault="00BD4D54" w:rsidP="00EC6328">
            <w:pPr>
              <w:spacing w:after="40"/>
              <w:jc w:val="center"/>
              <w:rPr>
                <w:szCs w:val="22"/>
              </w:rPr>
            </w:pPr>
            <w:r w:rsidRPr="00565D8E">
              <w:rPr>
                <w:szCs w:val="22"/>
              </w:rPr>
              <w:t>12</w:t>
            </w:r>
          </w:p>
        </w:tc>
        <w:tc>
          <w:tcPr>
            <w:tcW w:w="1517" w:type="dxa"/>
          </w:tcPr>
          <w:p w:rsidR="00BD4D54" w:rsidRPr="00565D8E" w:rsidRDefault="00BD4D54" w:rsidP="00EC6328">
            <w:pPr>
              <w:spacing w:after="40"/>
              <w:jc w:val="center"/>
              <w:rPr>
                <w:szCs w:val="22"/>
              </w:rPr>
            </w:pPr>
            <w:r w:rsidRPr="00565D8E">
              <w:rPr>
                <w:szCs w:val="22"/>
              </w:rPr>
              <w:t>--</w:t>
            </w:r>
          </w:p>
        </w:tc>
        <w:tc>
          <w:tcPr>
            <w:tcW w:w="1553" w:type="dxa"/>
          </w:tcPr>
          <w:p w:rsidR="00BD4D54" w:rsidRPr="00565D8E" w:rsidRDefault="00BD4D54" w:rsidP="00EC6328">
            <w:pPr>
              <w:spacing w:after="40"/>
              <w:jc w:val="center"/>
              <w:rPr>
                <w:szCs w:val="22"/>
              </w:rPr>
            </w:pPr>
            <w:r w:rsidRPr="00565D8E">
              <w:rPr>
                <w:szCs w:val="22"/>
              </w:rPr>
              <w:t>88</w:t>
            </w:r>
          </w:p>
        </w:tc>
        <w:tc>
          <w:tcPr>
            <w:tcW w:w="1392" w:type="dxa"/>
          </w:tcPr>
          <w:p w:rsidR="00BD4D54" w:rsidRPr="00565D8E" w:rsidRDefault="00BD4D54" w:rsidP="00EC6328">
            <w:pPr>
              <w:spacing w:after="40"/>
              <w:jc w:val="center"/>
              <w:rPr>
                <w:szCs w:val="22"/>
              </w:rPr>
            </w:pPr>
            <w:r w:rsidRPr="00565D8E">
              <w:rPr>
                <w:szCs w:val="22"/>
              </w:rPr>
              <w:t>&lt;1</w:t>
            </w:r>
          </w:p>
        </w:tc>
      </w:tr>
    </w:tbl>
    <w:p w:rsidR="00BD4D54" w:rsidRPr="00565D8E" w:rsidRDefault="00BD4D54" w:rsidP="00BD4D54">
      <w:pPr>
        <w:spacing w:after="40"/>
        <w:rPr>
          <w:sz w:val="18"/>
          <w:szCs w:val="18"/>
        </w:rPr>
      </w:pPr>
      <w:r w:rsidRPr="00565D8E">
        <w:rPr>
          <w:sz w:val="18"/>
          <w:szCs w:val="18"/>
        </w:rPr>
        <w:t>-- Pathway not included in derivation of HIL</w:t>
      </w:r>
    </w:p>
    <w:p w:rsidR="00BD4D54" w:rsidRDefault="00BD4D54" w:rsidP="00BD4D54"/>
    <w:p w:rsidR="00BD4D54" w:rsidRDefault="00BD4D54" w:rsidP="00BD4D54">
      <w:pPr>
        <w:pStyle w:val="Heading2"/>
        <w:tabs>
          <w:tab w:val="clear" w:pos="1209"/>
        </w:tabs>
      </w:pPr>
      <w:bookmarkStart w:id="105" w:name="_Toc351714194"/>
      <w:r>
        <w:t>References</w:t>
      </w:r>
      <w:bookmarkEnd w:id="105"/>
    </w:p>
    <w:p w:rsidR="00BD4D54" w:rsidRPr="00565D8E" w:rsidRDefault="00BD4D54" w:rsidP="00BD4D54">
      <w:pPr>
        <w:pStyle w:val="StyletextLeft0cmHanging1cm"/>
      </w:pPr>
      <w:r w:rsidRPr="00565D8E">
        <w:t xml:space="preserve">ANZECC 1996, </w:t>
      </w:r>
      <w:r w:rsidRPr="00565D8E">
        <w:rPr>
          <w:i/>
        </w:rPr>
        <w:t>Hexachlorobenzene Water Management Plan</w:t>
      </w:r>
      <w:r w:rsidRPr="00565D8E">
        <w:t xml:space="preserve">, available from </w:t>
      </w:r>
      <w:hyperlink r:id="rId48" w:anchor="hcbs" w:history="1">
        <w:r w:rsidRPr="00565D8E">
          <w:rPr>
            <w:rStyle w:val="Hyperlink"/>
            <w:rFonts w:cs="Arial"/>
            <w:szCs w:val="22"/>
          </w:rPr>
          <w:t>http://www.environment.gov.au/settlements/chemicals/scheduled-waste/index.html#hcbs</w:t>
        </w:r>
      </w:hyperlink>
      <w:r w:rsidRPr="00565D8E">
        <w:t>.</w:t>
      </w:r>
    </w:p>
    <w:p w:rsidR="00BD4D54" w:rsidRPr="00565D8E" w:rsidRDefault="00BD4D54" w:rsidP="00BD4D54">
      <w:pPr>
        <w:pStyle w:val="StyletextLeft0cmHanging1cm"/>
      </w:pPr>
      <w:r w:rsidRPr="00565D8E">
        <w:t xml:space="preserve">Arnold, DL, Moodie, CA, Charbonneau, SM, Grice, HC, McGuire, PF, Bryce, FR, Collins, BT, Zwadizka, ZZ, Krewski, DR, Nera, EA &amp; Munro, IC 1985, ‘Long-term toxicity of </w:t>
      </w:r>
      <w:r w:rsidRPr="00565D8E">
        <w:rPr>
          <w:rStyle w:val="Strong"/>
          <w:szCs w:val="22"/>
        </w:rPr>
        <w:t>hexachlorobenzene</w:t>
      </w:r>
      <w:r w:rsidRPr="00565D8E">
        <w:t xml:space="preserve"> in the rat and the effect of dietary vitamin A’, </w:t>
      </w:r>
      <w:r w:rsidRPr="00565D8E">
        <w:rPr>
          <w:i/>
        </w:rPr>
        <w:t>Food Chem Toxicol</w:t>
      </w:r>
      <w:r w:rsidRPr="00565D8E">
        <w:t>, vol. 23(9), pp. 779</w:t>
      </w:r>
      <w:r w:rsidRPr="00565D8E">
        <w:sym w:font="Symbol" w:char="F02D"/>
      </w:r>
      <w:r w:rsidRPr="00565D8E">
        <w:t>793.</w:t>
      </w:r>
    </w:p>
    <w:p w:rsidR="00BD4D54" w:rsidRPr="00565D8E" w:rsidRDefault="00BD4D54" w:rsidP="00BD4D54">
      <w:pPr>
        <w:pStyle w:val="StyletextLeft0cmHanging1cm"/>
      </w:pPr>
      <w:r w:rsidRPr="00565D8E">
        <w:t xml:space="preserve">ATSDR 2002, </w:t>
      </w:r>
      <w:r w:rsidRPr="00565D8E">
        <w:rPr>
          <w:i/>
        </w:rPr>
        <w:t>Toxicological Profile for Hexachlorobenzene</w:t>
      </w:r>
      <w:r w:rsidRPr="00565D8E">
        <w:t xml:space="preserve">, US Department of Health and Human Services, ATSDR, available from </w:t>
      </w:r>
      <w:hyperlink r:id="rId49" w:history="1">
        <w:r w:rsidRPr="00565D8E">
          <w:rPr>
            <w:rStyle w:val="Hyperlink"/>
            <w:rFonts w:cs="Arial"/>
            <w:szCs w:val="22"/>
          </w:rPr>
          <w:t>http://www.atsdr.cdc.gov/ToxProfiles/tp.asp?id=627&amp;tid=115</w:t>
        </w:r>
      </w:hyperlink>
      <w:r w:rsidRPr="00565D8E">
        <w:t>.</w:t>
      </w:r>
    </w:p>
    <w:p w:rsidR="00BD4D54" w:rsidRPr="00565D8E" w:rsidRDefault="00BD4D54" w:rsidP="00BD4D54">
      <w:pPr>
        <w:pStyle w:val="StyletextLeft0cmHanging1cm"/>
      </w:pPr>
      <w:r w:rsidRPr="00565D8E">
        <w:t xml:space="preserve">FSANZ 2003, </w:t>
      </w:r>
      <w:r w:rsidRPr="00565D8E">
        <w:rPr>
          <w:i/>
        </w:rPr>
        <w:t>The 20</w:t>
      </w:r>
      <w:r w:rsidRPr="00565D8E">
        <w:rPr>
          <w:i/>
          <w:vertAlign w:val="superscript"/>
        </w:rPr>
        <w:t>th</w:t>
      </w:r>
      <w:r w:rsidRPr="00565D8E">
        <w:rPr>
          <w:i/>
        </w:rPr>
        <w:t xml:space="preserve"> Australian Total Diet Survey</w:t>
      </w:r>
      <w:r w:rsidRPr="00565D8E">
        <w:t>, a total diet survey of pesticide residues and contaminants, Food Standards Australia and New Zealand.</w:t>
      </w:r>
    </w:p>
    <w:p w:rsidR="00BD4D54" w:rsidRPr="00565D8E" w:rsidRDefault="00BD4D54" w:rsidP="00BD4D54">
      <w:pPr>
        <w:pStyle w:val="StyletextLeft0cmHanging1cm"/>
      </w:pPr>
      <w:r w:rsidRPr="00565D8E">
        <w:t xml:space="preserve">IARC 2001, </w:t>
      </w:r>
      <w:r w:rsidRPr="00565D8E">
        <w:rPr>
          <w:i/>
        </w:rPr>
        <w:t>Summaries &amp; Evaluations, Hexachlorobenzene</w:t>
      </w:r>
      <w:r w:rsidRPr="00565D8E">
        <w:t>, vol. 79, p. 493, International Agency for Research on Cancer.</w:t>
      </w:r>
    </w:p>
    <w:p w:rsidR="00BD4D54" w:rsidRPr="00565D8E" w:rsidRDefault="00BD4D54" w:rsidP="00BD4D54">
      <w:pPr>
        <w:pStyle w:val="StyletextLeft0cmHanging1cm"/>
      </w:pPr>
      <w:r w:rsidRPr="00565D8E">
        <w:t xml:space="preserve">JMPR (various), </w:t>
      </w:r>
      <w:r w:rsidRPr="00565D8E">
        <w:rPr>
          <w:i/>
        </w:rPr>
        <w:t>JMPR – Monographs and Evaluations for Hexachlorobenzene</w:t>
      </w:r>
      <w:r w:rsidRPr="00565D8E">
        <w:t xml:space="preserve">, available from </w:t>
      </w:r>
      <w:hyperlink r:id="rId50" w:history="1">
        <w:r w:rsidRPr="00565D8E">
          <w:rPr>
            <w:rStyle w:val="Hyperlink"/>
            <w:rFonts w:cs="Arial"/>
            <w:szCs w:val="22"/>
          </w:rPr>
          <w:t>http://www.inchem.org/pages/jmpr.html</w:t>
        </w:r>
      </w:hyperlink>
      <w:r w:rsidRPr="00565D8E">
        <w:t>.</w:t>
      </w:r>
    </w:p>
    <w:p w:rsidR="00BD4D54" w:rsidRPr="00565D8E" w:rsidRDefault="00BD4D54" w:rsidP="00BD4D54">
      <w:pPr>
        <w:pStyle w:val="StyletextLeft0cmHanging1cm"/>
      </w:pPr>
      <w:r w:rsidRPr="00565D8E">
        <w:t xml:space="preserve">NEPC 1999, </w:t>
      </w:r>
      <w:r w:rsidRPr="00565D8E">
        <w:rPr>
          <w:i/>
        </w:rPr>
        <w:t>Schedule B (7a), Guideline on Health-Based Investigation Levels, National Environment Protection (Assessment of Site Contamination) Measure</w:t>
      </w:r>
      <w:r w:rsidRPr="00565D8E">
        <w:t>, National Environment Protection Council, Australia.</w:t>
      </w:r>
    </w:p>
    <w:p w:rsidR="00BD4D54" w:rsidRPr="00565D8E" w:rsidRDefault="00BD4D54" w:rsidP="00BD4D54">
      <w:pPr>
        <w:pStyle w:val="StyletextLeft0cmHanging1cm"/>
        <w:rPr>
          <w:noProof/>
        </w:rPr>
      </w:pPr>
      <w:r w:rsidRPr="00565D8E">
        <w:t xml:space="preserve">NHMRC 2011, </w:t>
      </w:r>
      <w:r w:rsidRPr="00565D8E">
        <w:rPr>
          <w:i/>
          <w:iCs/>
        </w:rPr>
        <w:t>National water quality management strategy, Australian drinking water guidelines</w:t>
      </w:r>
      <w:r w:rsidRPr="00565D8E">
        <w:t>, National Health and Medical Research Council, Australia</w:t>
      </w:r>
      <w:r w:rsidRPr="00565D8E">
        <w:rPr>
          <w:noProof/>
        </w:rPr>
        <w:t>.</w:t>
      </w:r>
    </w:p>
    <w:p w:rsidR="00BD4D54" w:rsidRPr="00565D8E" w:rsidRDefault="00BD4D54" w:rsidP="00BD4D54">
      <w:pPr>
        <w:pStyle w:val="StyletextLeft0cmHanging1cm"/>
        <w:rPr>
          <w:lang w:eastAsia="en-US"/>
        </w:rPr>
      </w:pPr>
      <w:r w:rsidRPr="00565D8E">
        <w:rPr>
          <w:lang w:eastAsia="en-US"/>
        </w:rPr>
        <w:lastRenderedPageBreak/>
        <w:t xml:space="preserve">RIVM 2001, </w:t>
      </w:r>
      <w:r w:rsidRPr="00565D8E">
        <w:rPr>
          <w:i/>
          <w:lang w:eastAsia="en-US"/>
        </w:rPr>
        <w:t>Re-evaluation of human-toxicological Maximum Permissible Risk levels,</w:t>
      </w:r>
      <w:r w:rsidRPr="00565D8E">
        <w:rPr>
          <w:lang w:eastAsia="en-US"/>
        </w:rPr>
        <w:t xml:space="preserve"> National Institute of Public Health and the Environment, Bilthoven, Netherlands, available from: </w:t>
      </w:r>
      <w:hyperlink r:id="rId51" w:history="1">
        <w:r w:rsidRPr="00565D8E">
          <w:rPr>
            <w:rStyle w:val="Hyperlink"/>
            <w:rFonts w:cs="Arial"/>
            <w:szCs w:val="22"/>
            <w:lang w:eastAsia="en-US"/>
          </w:rPr>
          <w:t>http://www.rivm.nl/bibliotheek/rapporten/711701025.html</w:t>
        </w:r>
      </w:hyperlink>
      <w:r w:rsidRPr="00565D8E">
        <w:rPr>
          <w:lang w:eastAsia="en-US"/>
        </w:rPr>
        <w:t>.</w:t>
      </w:r>
    </w:p>
    <w:p w:rsidR="00BD4D54" w:rsidRPr="00565D8E" w:rsidRDefault="00BD4D54" w:rsidP="00BD4D54">
      <w:pPr>
        <w:pStyle w:val="StyletextLeft0cmHanging1cm"/>
      </w:pPr>
      <w:r w:rsidRPr="00565D8E">
        <w:t xml:space="preserve">UN-ECE 1998, </w:t>
      </w:r>
      <w:r w:rsidRPr="00565D8E">
        <w:rPr>
          <w:i/>
        </w:rPr>
        <w:t>Protocol on Persistent Organic Pollutants</w:t>
      </w:r>
      <w:r w:rsidRPr="00565D8E">
        <w:t>, United Nations Economic Commission for Europe.</w:t>
      </w:r>
    </w:p>
    <w:p w:rsidR="00BD4D54" w:rsidRPr="00565D8E" w:rsidRDefault="00BD4D54" w:rsidP="00BD4D54">
      <w:pPr>
        <w:pStyle w:val="StyletextLeft0cmHanging1cm"/>
      </w:pPr>
      <w:r w:rsidRPr="00565D8E">
        <w:t xml:space="preserve">US EPA 1995, </w:t>
      </w:r>
      <w:r w:rsidRPr="00565D8E">
        <w:rPr>
          <w:i/>
        </w:rPr>
        <w:t>Technical Guidance Manual, Assessing Dermal Exposure from Soil.</w:t>
      </w:r>
      <w:r w:rsidRPr="00565D8E">
        <w:t xml:space="preserve"> US EPA Region 3, available from: </w:t>
      </w:r>
      <w:hyperlink r:id="rId52" w:history="1">
        <w:r w:rsidRPr="00565D8E">
          <w:rPr>
            <w:rStyle w:val="Hyperlink"/>
            <w:szCs w:val="22"/>
          </w:rPr>
          <w:t>http://www.epa.gov/reg3hwmd/risk/human/info/solabsg2.htm</w:t>
        </w:r>
      </w:hyperlink>
      <w:r w:rsidRPr="00565D8E">
        <w:t>.</w:t>
      </w:r>
    </w:p>
    <w:p w:rsidR="00BD4D54" w:rsidRPr="00565D8E" w:rsidRDefault="00BD4D54" w:rsidP="00BD4D54">
      <w:pPr>
        <w:pStyle w:val="StyletextLeft0cmHanging1cm"/>
      </w:pPr>
      <w:r w:rsidRPr="00565D8E">
        <w:t xml:space="preserve">US EPA (IRIS 2012), data and information available from the </w:t>
      </w:r>
      <w:r w:rsidRPr="00565D8E">
        <w:rPr>
          <w:i/>
        </w:rPr>
        <w:t>Integrated Risk Information System</w:t>
      </w:r>
      <w:r w:rsidRPr="00565D8E">
        <w:t xml:space="preserve">, an online database, available from </w:t>
      </w:r>
      <w:hyperlink r:id="rId53" w:history="1">
        <w:r w:rsidRPr="00565D8E">
          <w:rPr>
            <w:rStyle w:val="Hyperlink"/>
            <w:szCs w:val="22"/>
          </w:rPr>
          <w:t>http://www.epa.gov/iris/</w:t>
        </w:r>
      </w:hyperlink>
      <w:r w:rsidRPr="00565D8E">
        <w:t>.</w:t>
      </w:r>
    </w:p>
    <w:p w:rsidR="00BD4D54" w:rsidRPr="00565D8E" w:rsidRDefault="00BD4D54" w:rsidP="00BD4D54">
      <w:pPr>
        <w:pStyle w:val="StyletextLeft0cmHanging1cm"/>
      </w:pPr>
      <w:r w:rsidRPr="00565D8E">
        <w:t xml:space="preserve">WHO 1997, </w:t>
      </w:r>
      <w:r w:rsidRPr="00565D8E">
        <w:rPr>
          <w:i/>
        </w:rPr>
        <w:t>Environmental Health Criteria 195, Hexachlorobenzene</w:t>
      </w:r>
      <w:r w:rsidRPr="00565D8E">
        <w:t>, International Programme On Chemical Safety, United Nations Environment Programme, International Labour Organisation, World Health Organization.</w:t>
      </w:r>
    </w:p>
    <w:p w:rsidR="00BD4D54" w:rsidRPr="00565D8E" w:rsidRDefault="00BD4D54" w:rsidP="00BD4D54">
      <w:pPr>
        <w:pStyle w:val="StyletextLeft0cmHanging1cm"/>
      </w:pPr>
      <w:r w:rsidRPr="00565D8E">
        <w:t xml:space="preserve">WHO 2011, </w:t>
      </w:r>
      <w:r w:rsidRPr="00565D8E">
        <w:rPr>
          <w:i/>
        </w:rPr>
        <w:t>Guidelines for drinking-water quality, 4</w:t>
      </w:r>
      <w:r w:rsidRPr="00565D8E">
        <w:rPr>
          <w:i/>
          <w:vertAlign w:val="superscript"/>
        </w:rPr>
        <w:t>th</w:t>
      </w:r>
      <w:r w:rsidRPr="00565D8E">
        <w:rPr>
          <w:i/>
        </w:rPr>
        <w:t xml:space="preserve"> edn</w:t>
      </w:r>
      <w:r w:rsidRPr="00565D8E">
        <w:t>, World Health Organization, Geneva</w:t>
      </w:r>
      <w:r>
        <w:t>,</w:t>
      </w:r>
      <w:r w:rsidRPr="00565D8E">
        <w:t xml:space="preserve"> available from </w:t>
      </w:r>
      <w:hyperlink r:id="rId54" w:history="1">
        <w:r w:rsidRPr="00565D8E">
          <w:rPr>
            <w:rStyle w:val="Hyperlink"/>
            <w:szCs w:val="22"/>
          </w:rPr>
          <w:t>http://www.who.int/water_sanitation_health/dwq/chemicals/en/index.html</w:t>
        </w:r>
      </w:hyperlink>
      <w:r w:rsidRPr="00565D8E">
        <w:t>.</w:t>
      </w:r>
    </w:p>
    <w:p w:rsidR="00BD4D54" w:rsidRPr="00565D8E" w:rsidRDefault="00BD4D54" w:rsidP="00BD4D54">
      <w:pPr>
        <w:pStyle w:val="StyletextLeft0cmHanging1cm"/>
      </w:pPr>
    </w:p>
    <w:p w:rsidR="00BD4D54" w:rsidRDefault="00BD4D54" w:rsidP="00BD4D54">
      <w:pPr>
        <w:pStyle w:val="Heading1"/>
        <w:tabs>
          <w:tab w:val="clear" w:pos="1209"/>
          <w:tab w:val="num" w:pos="720"/>
        </w:tabs>
      </w:pPr>
      <w:bookmarkStart w:id="106" w:name="_Toc351714195"/>
      <w:r>
        <w:lastRenderedPageBreak/>
        <w:t>Methoxychlor</w:t>
      </w:r>
      <w:bookmarkEnd w:id="106"/>
    </w:p>
    <w:p w:rsidR="00BD4D54" w:rsidRDefault="00BD4D54" w:rsidP="00BD4D54">
      <w:pPr>
        <w:pStyle w:val="Heading2"/>
        <w:tabs>
          <w:tab w:val="clear" w:pos="1209"/>
        </w:tabs>
      </w:pPr>
      <w:bookmarkStart w:id="107" w:name="_Toc351714196"/>
      <w:r>
        <w:t>General</w:t>
      </w:r>
      <w:bookmarkEnd w:id="107"/>
    </w:p>
    <w:p w:rsidR="00BD4D54" w:rsidRDefault="00BD4D54" w:rsidP="00BD4D54">
      <w:r>
        <w:t>Several comprehensive reviews of methoxychlor in the environment and its toxicity to humans are available and should be consulted for more detailed information (ATSDR 2002; ATSDR 2009; JMPR 1977; OEHHA 1999). The following provides a summary of the key aspects of methoxychlor that are relevant to the derivation of a soil HIL.</w:t>
      </w:r>
    </w:p>
    <w:p w:rsidR="00B0287F" w:rsidRDefault="00B0287F" w:rsidP="00BD4D54"/>
    <w:p w:rsidR="00BD4D54" w:rsidRDefault="00BD4D54" w:rsidP="00BD4D54">
      <w:r w:rsidRPr="00DB1034">
        <w:t>Methoxychlor does not occur naturally in the environment. Pure methoxychlor is a pale yellow powder that has a slightly fruity or musty odour. It does not readily evaporate or dissolve in water (ATSDR 2002).</w:t>
      </w:r>
    </w:p>
    <w:p w:rsidR="00B0287F" w:rsidRPr="00DB1034" w:rsidRDefault="00B0287F" w:rsidP="00BD4D54"/>
    <w:p w:rsidR="00BD4D54" w:rsidRDefault="00BD4D54" w:rsidP="00BD4D54">
      <w:r w:rsidRPr="00DB1034">
        <w:t>Methoxychlor is a manufactured chemical used for controlling insects. The chemical is effective against flies, mosquitoes and cockroaches and is used on agricultural crops and livestock, in animal feed barns and in grain storage bins. Some pesticide products that contain methoxychlor are used for controlling insects in gardens or on household pets (ATSDR 2002).</w:t>
      </w:r>
    </w:p>
    <w:p w:rsidR="00B0287F" w:rsidRDefault="00B0287F" w:rsidP="00BD4D54"/>
    <w:p w:rsidR="00BD4D54" w:rsidRDefault="00BD4D54" w:rsidP="00BD4D54">
      <w:pPr>
        <w:rPr>
          <w:rFonts w:cs="Arial"/>
        </w:rPr>
      </w:pPr>
      <w:r>
        <w:rPr>
          <w:rFonts w:cs="Arial"/>
        </w:rPr>
        <w:t>It is noted that</w:t>
      </w:r>
      <w:r w:rsidRPr="00DB1034">
        <w:rPr>
          <w:rFonts w:cs="Arial"/>
        </w:rPr>
        <w:t xml:space="preserve"> the only methoxychlor product registration in Australian was cancelled in mid-1987 (information available from APVMA).</w:t>
      </w:r>
    </w:p>
    <w:p w:rsidR="00BD4D54" w:rsidRDefault="00BD4D54" w:rsidP="00BD4D54">
      <w:pPr>
        <w:pStyle w:val="Heading2"/>
        <w:tabs>
          <w:tab w:val="clear" w:pos="1209"/>
        </w:tabs>
      </w:pPr>
      <w:bookmarkStart w:id="108" w:name="_Toc351714197"/>
      <w:r>
        <w:t>Previous HIL</w:t>
      </w:r>
      <w:bookmarkEnd w:id="108"/>
    </w:p>
    <w:p w:rsidR="00BD4D54" w:rsidRDefault="00BD4D54" w:rsidP="00BD4D54">
      <w:r>
        <w:t>No previous HIL is available for methoxychlor (NEPC 1999).</w:t>
      </w:r>
    </w:p>
    <w:p w:rsidR="00BD4D54" w:rsidRDefault="00BD4D54" w:rsidP="00BD4D54">
      <w:pPr>
        <w:pStyle w:val="Heading2"/>
        <w:tabs>
          <w:tab w:val="clear" w:pos="1209"/>
        </w:tabs>
      </w:pPr>
      <w:bookmarkStart w:id="109" w:name="_Toc351714198"/>
      <w:r>
        <w:t>Significance of Exposure Pathways</w:t>
      </w:r>
      <w:bookmarkEnd w:id="109"/>
    </w:p>
    <w:p w:rsidR="00BD4D54" w:rsidRPr="00E00A6A" w:rsidRDefault="00BD4D54" w:rsidP="00BD4D54">
      <w:pPr>
        <w:pStyle w:val="Heading3"/>
      </w:pPr>
      <w:bookmarkStart w:id="110" w:name="_Toc351714199"/>
      <w:r>
        <w:t xml:space="preserve">Oral </w:t>
      </w:r>
      <w:r w:rsidRPr="00E00A6A">
        <w:t>Bioavailability</w:t>
      </w:r>
      <w:bookmarkEnd w:id="110"/>
    </w:p>
    <w:p w:rsidR="00BD4D54" w:rsidRDefault="00BD4D54" w:rsidP="00BD4D54">
      <w:r>
        <w:t>Insufficient data is available to adequately define the bioavailability of methoxychlor hence a default approach of assuming 100% oral bioavailability has been adopted in the derivation of an HIL. It is noted that a site-specific assessment of bioavailability can be undertaken where required.</w:t>
      </w:r>
    </w:p>
    <w:p w:rsidR="00BD4D54" w:rsidRPr="002D7B71" w:rsidRDefault="00BD4D54" w:rsidP="00BD4D54">
      <w:pPr>
        <w:pStyle w:val="Heading3"/>
      </w:pPr>
      <w:bookmarkStart w:id="111" w:name="_Toc351714200"/>
      <w:r>
        <w:t>Dermal absorption</w:t>
      </w:r>
      <w:bookmarkEnd w:id="111"/>
    </w:p>
    <w:p w:rsidR="00BD4D54" w:rsidRDefault="00BD4D54" w:rsidP="00BD4D54">
      <w:r>
        <w:t>Insufficient data is available on the dermal absorption of methoxychlor from soil. Hence the default value of 0.1 (10%) suggested by US EPA (1995) for pesticides has been adopted in the derivation of HILs.</w:t>
      </w:r>
    </w:p>
    <w:p w:rsidR="00BD4D54" w:rsidRPr="009338FB" w:rsidRDefault="00BD4D54" w:rsidP="00BD4D54">
      <w:pPr>
        <w:pStyle w:val="Heading3"/>
      </w:pPr>
      <w:bookmarkStart w:id="112" w:name="_Toc351714201"/>
      <w:r w:rsidRPr="009338FB">
        <w:t>Inhalation of Dust</w:t>
      </w:r>
      <w:bookmarkEnd w:id="112"/>
    </w:p>
    <w:p w:rsidR="00BD4D54" w:rsidRDefault="00BD4D54" w:rsidP="00BD4D54">
      <w:r>
        <w:t>Methoxychlor is not considered sufficiently volatile to be of significance and inhalation exposures associated with particulates outdoors and indoors are expected to be of less significance than ingestion of soil. While likely to be negligible, potential inhalation exposures associated with dust have been considered in the HIL derived.</w:t>
      </w:r>
    </w:p>
    <w:p w:rsidR="00BD4D54" w:rsidRPr="009338FB" w:rsidRDefault="00BD4D54" w:rsidP="00BD4D54">
      <w:pPr>
        <w:pStyle w:val="Heading3"/>
      </w:pPr>
      <w:bookmarkStart w:id="113" w:name="_Toc351714202"/>
      <w:r>
        <w:t>Plant Uptake</w:t>
      </w:r>
      <w:bookmarkEnd w:id="113"/>
    </w:p>
    <w:p w:rsidR="00BD4D54" w:rsidRDefault="00BD4D54" w:rsidP="00BD4D54">
      <w:r w:rsidRPr="00105059">
        <w:t>There is no information regarding the plant uptake of methoxychlor following its application as a pesticide (ATSDR 2002)</w:t>
      </w:r>
      <w:r>
        <w:t>. Methoxychlor has a high Koc value (log Koc = 4.9) and low solubility in water (ATSDR 2002), suggesting that the compound is largely bound to soil particulates and is immobile in soil. For plant uptake to be significant, the chemicals must be able to partition to soil water. With respect to methoxychlor bound to the soil, the potential for partitioning to soil water is considered to be low and hence plant uptake is considered to be negligible.</w:t>
      </w:r>
    </w:p>
    <w:p w:rsidR="00BD4D54" w:rsidRPr="0089652E" w:rsidRDefault="00BD4D54" w:rsidP="00BD4D54">
      <w:pPr>
        <w:pStyle w:val="Heading3"/>
      </w:pPr>
      <w:bookmarkStart w:id="114" w:name="_Toc351714203"/>
      <w:r w:rsidRPr="0089652E">
        <w:t xml:space="preserve">Intakes from Other Sources </w:t>
      </w:r>
      <w:r>
        <w:t>–</w:t>
      </w:r>
      <w:r w:rsidRPr="0089652E">
        <w:t xml:space="preserve"> Background</w:t>
      </w:r>
      <w:bookmarkEnd w:id="114"/>
    </w:p>
    <w:p w:rsidR="00BD4D54" w:rsidRDefault="00BD4D54" w:rsidP="00BD4D54">
      <w:r>
        <w:t xml:space="preserve">No data is available regarding background concentrations of methoxychlor in Australia. </w:t>
      </w:r>
      <w:r w:rsidRPr="00DA38D3">
        <w:rPr>
          <w:i/>
        </w:rPr>
        <w:t>The 23</w:t>
      </w:r>
      <w:r w:rsidRPr="00DA38D3">
        <w:rPr>
          <w:i/>
          <w:vertAlign w:val="superscript"/>
        </w:rPr>
        <w:t>rd</w:t>
      </w:r>
      <w:r w:rsidRPr="00DA38D3">
        <w:rPr>
          <w:i/>
        </w:rPr>
        <w:t xml:space="preserve"> Australian Total Diet Study </w:t>
      </w:r>
      <w:r>
        <w:t xml:space="preserve">(FSANZ 2011) did not detect methoxychlor in any products sampled and tested. US data is available for dietary intakes, but as methoxychlor is not used in Australia and is </w:t>
      </w:r>
      <w:r>
        <w:lastRenderedPageBreak/>
        <w:t>generally not persistent in the environment, background intakes can be assumed to be essentially negligible.</w:t>
      </w:r>
    </w:p>
    <w:p w:rsidR="00BD4D54" w:rsidRDefault="00BD4D54" w:rsidP="00BD4D54">
      <w:pPr>
        <w:pStyle w:val="Heading2"/>
        <w:tabs>
          <w:tab w:val="clear" w:pos="1209"/>
        </w:tabs>
      </w:pPr>
      <w:bookmarkStart w:id="115" w:name="_Toc351714204"/>
      <w:r>
        <w:t>Identification of Toxicity Reference Values</w:t>
      </w:r>
      <w:bookmarkEnd w:id="115"/>
    </w:p>
    <w:p w:rsidR="00BD4D54" w:rsidRPr="00983A79" w:rsidRDefault="00BD4D54" w:rsidP="00BD4D54">
      <w:pPr>
        <w:pStyle w:val="Heading3"/>
      </w:pPr>
      <w:bookmarkStart w:id="116" w:name="_Toc351714205"/>
      <w:r>
        <w:t>Classification</w:t>
      </w:r>
      <w:bookmarkEnd w:id="116"/>
    </w:p>
    <w:p w:rsidR="00BD4D54" w:rsidRDefault="00BD4D54" w:rsidP="00BD4D54">
      <w:pPr>
        <w:rPr>
          <w:rFonts w:cs="Arial"/>
        </w:rPr>
      </w:pPr>
      <w:r w:rsidRPr="00C259C1">
        <w:t>The International Agency for Research on Cancer (IARC</w:t>
      </w:r>
      <w:r>
        <w:t xml:space="preserve"> 1987) has classified </w:t>
      </w:r>
      <w:r w:rsidRPr="00DB1034">
        <w:rPr>
          <w:rFonts w:cs="Arial"/>
        </w:rPr>
        <w:t>methoxychlor as Group 3</w:t>
      </w:r>
      <w:r>
        <w:rPr>
          <w:rFonts w:cs="Arial"/>
        </w:rPr>
        <w:t>—</w:t>
      </w:r>
      <w:r w:rsidRPr="00DB1034">
        <w:rPr>
          <w:rFonts w:cs="Arial"/>
        </w:rPr>
        <w:t>not classifiable</w:t>
      </w:r>
      <w:r>
        <w:rPr>
          <w:rFonts w:cs="Arial"/>
        </w:rPr>
        <w:t xml:space="preserve">. </w:t>
      </w:r>
    </w:p>
    <w:p w:rsidR="00BD4D54" w:rsidRPr="00DB1034" w:rsidRDefault="00BD4D54" w:rsidP="00BD4D54">
      <w:pPr>
        <w:rPr>
          <w:rFonts w:cs="Arial"/>
        </w:rPr>
      </w:pPr>
      <w:r w:rsidRPr="00DB1034">
        <w:rPr>
          <w:rFonts w:cs="Arial"/>
        </w:rPr>
        <w:t>It is note</w:t>
      </w:r>
      <w:r>
        <w:rPr>
          <w:rFonts w:cs="Arial"/>
        </w:rPr>
        <w:t>d</w:t>
      </w:r>
      <w:r w:rsidRPr="00DB1034">
        <w:rPr>
          <w:rFonts w:cs="Arial"/>
        </w:rPr>
        <w:t xml:space="preserve"> that </w:t>
      </w:r>
      <w:r>
        <w:rPr>
          <w:rFonts w:cs="Arial"/>
        </w:rPr>
        <w:t>US EPA</w:t>
      </w:r>
      <w:r w:rsidRPr="00DB1034">
        <w:rPr>
          <w:rFonts w:cs="Arial"/>
        </w:rPr>
        <w:t xml:space="preserve"> has classified methoxychlor as Class D</w:t>
      </w:r>
      <w:r>
        <w:rPr>
          <w:rFonts w:cs="Arial"/>
        </w:rPr>
        <w:t>—</w:t>
      </w:r>
      <w:r w:rsidRPr="00DB1034">
        <w:rPr>
          <w:rFonts w:cs="Arial"/>
        </w:rPr>
        <w:t>not classifiable.</w:t>
      </w:r>
    </w:p>
    <w:p w:rsidR="00BD4D54" w:rsidRPr="00907E92" w:rsidRDefault="00BD4D54" w:rsidP="00BD4D54">
      <w:pPr>
        <w:pStyle w:val="Heading3"/>
      </w:pPr>
      <w:bookmarkStart w:id="117" w:name="_Toc351714206"/>
      <w:r w:rsidRPr="00907E92">
        <w:t>Review of Available Values</w:t>
      </w:r>
      <w:r>
        <w:t>/Information</w:t>
      </w:r>
      <w:bookmarkEnd w:id="117"/>
    </w:p>
    <w:p w:rsidR="00BD4D54" w:rsidRDefault="00BD4D54" w:rsidP="00BD4D54">
      <w:r>
        <w:t>Review of methoxychlor by the WHO (2011) and ATSDR (2002) indicates that recent data (considered inadequate to be conclusive) suggests some carcinogenic potential for methoxychlor for liver and testis in mice, which may be due to the hormonal activity of progestogenic metabolites and may therefore have a threshold. It is noted that methoxychlor is a suspected endocrine disruptor. The review undertaken by ASTDR (2002) considered available genotoxicity studies, with most showing negative results. Hence the genotoxic potential of methoxychlor appears to be negligible (WHO 2011). On this basis, it is appropriate that a threshold approach be adopted. The following are available from Level 1 Australian and International sources: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3"/>
        <w:gridCol w:w="2231"/>
        <w:gridCol w:w="5543"/>
      </w:tblGrid>
      <w:tr w:rsidR="00BD4D54" w:rsidRPr="00565D8E" w:rsidTr="00EC6328">
        <w:trPr>
          <w:tblHeader/>
        </w:trPr>
        <w:tc>
          <w:tcPr>
            <w:tcW w:w="1384" w:type="dxa"/>
            <w:shd w:val="clear" w:color="auto" w:fill="C6D9F1" w:themeFill="text2" w:themeFillTint="33"/>
          </w:tcPr>
          <w:p w:rsidR="00BD4D54" w:rsidRPr="00565D8E" w:rsidRDefault="00BD4D54" w:rsidP="00EC6328">
            <w:pPr>
              <w:spacing w:before="20"/>
              <w:jc w:val="center"/>
              <w:rPr>
                <w:b/>
                <w:szCs w:val="22"/>
              </w:rPr>
            </w:pPr>
            <w:r w:rsidRPr="00565D8E">
              <w:rPr>
                <w:b/>
                <w:szCs w:val="22"/>
              </w:rPr>
              <w:t>Source</w:t>
            </w:r>
          </w:p>
        </w:tc>
        <w:tc>
          <w:tcPr>
            <w:tcW w:w="2410" w:type="dxa"/>
            <w:shd w:val="clear" w:color="auto" w:fill="C6D9F1" w:themeFill="text2" w:themeFillTint="33"/>
          </w:tcPr>
          <w:p w:rsidR="00BD4D54" w:rsidRPr="00565D8E" w:rsidRDefault="00BD4D54" w:rsidP="00EC6328">
            <w:pPr>
              <w:spacing w:before="20"/>
              <w:jc w:val="center"/>
              <w:rPr>
                <w:b/>
                <w:szCs w:val="22"/>
              </w:rPr>
            </w:pPr>
            <w:r w:rsidRPr="00565D8E">
              <w:rPr>
                <w:b/>
                <w:szCs w:val="22"/>
              </w:rPr>
              <w:t>Value</w:t>
            </w:r>
          </w:p>
        </w:tc>
        <w:tc>
          <w:tcPr>
            <w:tcW w:w="6169" w:type="dxa"/>
            <w:shd w:val="clear" w:color="auto" w:fill="C6D9F1" w:themeFill="text2" w:themeFillTint="33"/>
          </w:tcPr>
          <w:p w:rsidR="00BD4D54" w:rsidRPr="00565D8E" w:rsidRDefault="00BD4D54" w:rsidP="00EC6328">
            <w:pPr>
              <w:spacing w:before="20"/>
              <w:jc w:val="center"/>
              <w:rPr>
                <w:b/>
                <w:szCs w:val="22"/>
              </w:rPr>
            </w:pPr>
            <w:r w:rsidRPr="00565D8E">
              <w:rPr>
                <w:b/>
                <w:szCs w:val="22"/>
              </w:rPr>
              <w:t>Basis/Comments</w:t>
            </w:r>
          </w:p>
        </w:tc>
      </w:tr>
      <w:tr w:rsidR="00BD4D54" w:rsidRPr="00565D8E" w:rsidTr="00EC6328">
        <w:tc>
          <w:tcPr>
            <w:tcW w:w="9963" w:type="dxa"/>
            <w:gridSpan w:val="3"/>
          </w:tcPr>
          <w:p w:rsidR="00BD4D54" w:rsidRPr="00565D8E" w:rsidRDefault="00BD4D54" w:rsidP="00EC6328">
            <w:pPr>
              <w:spacing w:before="20"/>
              <w:jc w:val="center"/>
              <w:rPr>
                <w:b/>
                <w:szCs w:val="22"/>
              </w:rPr>
            </w:pPr>
            <w:r w:rsidRPr="00565D8E">
              <w:rPr>
                <w:b/>
                <w:szCs w:val="22"/>
              </w:rPr>
              <w:t>Australian</w:t>
            </w:r>
          </w:p>
        </w:tc>
      </w:tr>
      <w:tr w:rsidR="00BD4D54" w:rsidRPr="00565D8E" w:rsidTr="00EC6328">
        <w:tc>
          <w:tcPr>
            <w:tcW w:w="1384" w:type="dxa"/>
          </w:tcPr>
          <w:p w:rsidR="00BD4D54" w:rsidRPr="00565D8E" w:rsidRDefault="00BD4D54" w:rsidP="00EC6328">
            <w:pPr>
              <w:spacing w:before="20"/>
              <w:rPr>
                <w:szCs w:val="22"/>
              </w:rPr>
            </w:pPr>
            <w:r w:rsidRPr="00565D8E">
              <w:rPr>
                <w:szCs w:val="22"/>
              </w:rPr>
              <w:t>ADWG (NHMRC 2011)</w:t>
            </w:r>
          </w:p>
        </w:tc>
        <w:tc>
          <w:tcPr>
            <w:tcW w:w="2410" w:type="dxa"/>
          </w:tcPr>
          <w:p w:rsidR="00BD4D54" w:rsidRPr="00565D8E" w:rsidRDefault="00BD4D54" w:rsidP="00EC6328">
            <w:pPr>
              <w:spacing w:before="20"/>
              <w:rPr>
                <w:szCs w:val="22"/>
              </w:rPr>
            </w:pPr>
            <w:r w:rsidRPr="00565D8E">
              <w:rPr>
                <w:szCs w:val="22"/>
              </w:rPr>
              <w:t>TDI = 0.09 mg/kg/day</w:t>
            </w:r>
          </w:p>
        </w:tc>
        <w:tc>
          <w:tcPr>
            <w:tcW w:w="6169" w:type="dxa"/>
          </w:tcPr>
          <w:p w:rsidR="00BD4D54" w:rsidRPr="00565D8E" w:rsidRDefault="00BD4D54" w:rsidP="00EC6328">
            <w:pPr>
              <w:spacing w:before="20"/>
              <w:rPr>
                <w:szCs w:val="22"/>
              </w:rPr>
            </w:pPr>
            <w:r w:rsidRPr="00565D8E">
              <w:rPr>
                <w:szCs w:val="22"/>
              </w:rPr>
              <w:t>A health-based guideline of 0.3 mg/L is presented in the ADWG (NHMRC 2011). While no further information is available, based on the assumptions adopted in the ADWG (10% intake from drinking water, 2 L/day and 70 kg body weight), the guideline was derived from a TDI of 0.09 mg/kg/day.</w:t>
            </w:r>
          </w:p>
        </w:tc>
      </w:tr>
      <w:tr w:rsidR="00BD4D54" w:rsidRPr="00565D8E" w:rsidTr="00EC6328">
        <w:tc>
          <w:tcPr>
            <w:tcW w:w="1384" w:type="dxa"/>
          </w:tcPr>
          <w:p w:rsidR="00BD4D54" w:rsidRPr="00565D8E" w:rsidRDefault="00BD4D54" w:rsidP="00EC6328">
            <w:pPr>
              <w:spacing w:before="20"/>
              <w:rPr>
                <w:szCs w:val="22"/>
              </w:rPr>
            </w:pPr>
            <w:r w:rsidRPr="00565D8E">
              <w:rPr>
                <w:szCs w:val="22"/>
              </w:rPr>
              <w:t>OCS (2012)</w:t>
            </w:r>
          </w:p>
        </w:tc>
        <w:tc>
          <w:tcPr>
            <w:tcW w:w="2410" w:type="dxa"/>
          </w:tcPr>
          <w:p w:rsidR="00BD4D54" w:rsidRPr="00565D8E" w:rsidRDefault="00BD4D54" w:rsidP="00EC6328">
            <w:pPr>
              <w:spacing w:before="20"/>
              <w:rPr>
                <w:szCs w:val="22"/>
              </w:rPr>
            </w:pPr>
            <w:r w:rsidRPr="00565D8E">
              <w:rPr>
                <w:szCs w:val="22"/>
              </w:rPr>
              <w:t>TDI = 0.1 mg/kg/day</w:t>
            </w:r>
          </w:p>
        </w:tc>
        <w:tc>
          <w:tcPr>
            <w:tcW w:w="6169" w:type="dxa"/>
          </w:tcPr>
          <w:p w:rsidR="00BD4D54" w:rsidRPr="00565D8E" w:rsidRDefault="00BD4D54" w:rsidP="00EC6328">
            <w:pPr>
              <w:spacing w:before="20"/>
              <w:rPr>
                <w:szCs w:val="22"/>
              </w:rPr>
            </w:pPr>
            <w:r w:rsidRPr="00565D8E">
              <w:rPr>
                <w:szCs w:val="22"/>
              </w:rPr>
              <w:t>TDI (set in 2003, changed from the ADI of the same value), noted to be based on the JMPR evaluation. It is noted that methoxychlor is no longer used in Australia and hence the TDI is maintained to address potential dietary intakes.</w:t>
            </w:r>
          </w:p>
        </w:tc>
      </w:tr>
      <w:tr w:rsidR="00BD4D54" w:rsidRPr="00565D8E" w:rsidTr="00EC6328">
        <w:tc>
          <w:tcPr>
            <w:tcW w:w="9963" w:type="dxa"/>
            <w:gridSpan w:val="3"/>
          </w:tcPr>
          <w:p w:rsidR="00BD4D54" w:rsidRPr="00565D8E" w:rsidRDefault="00BD4D54" w:rsidP="00EC6328">
            <w:pPr>
              <w:spacing w:before="20"/>
              <w:jc w:val="center"/>
              <w:rPr>
                <w:b/>
                <w:szCs w:val="22"/>
              </w:rPr>
            </w:pPr>
            <w:r w:rsidRPr="00565D8E">
              <w:rPr>
                <w:b/>
                <w:szCs w:val="22"/>
              </w:rPr>
              <w:t>International</w:t>
            </w:r>
          </w:p>
        </w:tc>
      </w:tr>
      <w:tr w:rsidR="00BD4D54" w:rsidRPr="00565D8E" w:rsidTr="00EC6328">
        <w:tc>
          <w:tcPr>
            <w:tcW w:w="1384" w:type="dxa"/>
          </w:tcPr>
          <w:p w:rsidR="00BD4D54" w:rsidRPr="00565D8E" w:rsidRDefault="00BD4D54" w:rsidP="00EC6328">
            <w:pPr>
              <w:spacing w:before="20"/>
              <w:rPr>
                <w:szCs w:val="22"/>
              </w:rPr>
            </w:pPr>
            <w:r w:rsidRPr="00565D8E">
              <w:rPr>
                <w:szCs w:val="22"/>
              </w:rPr>
              <w:t>JMPR (1977)</w:t>
            </w:r>
          </w:p>
        </w:tc>
        <w:tc>
          <w:tcPr>
            <w:tcW w:w="2410" w:type="dxa"/>
          </w:tcPr>
          <w:p w:rsidR="00BD4D54" w:rsidRPr="00565D8E" w:rsidRDefault="00BD4D54" w:rsidP="00EC6328">
            <w:pPr>
              <w:spacing w:before="20"/>
              <w:rPr>
                <w:szCs w:val="22"/>
              </w:rPr>
            </w:pPr>
            <w:r w:rsidRPr="00565D8E">
              <w:rPr>
                <w:szCs w:val="22"/>
              </w:rPr>
              <w:t>ADI =0.1 mg/kg/day</w:t>
            </w:r>
          </w:p>
        </w:tc>
        <w:tc>
          <w:tcPr>
            <w:tcW w:w="6169" w:type="dxa"/>
          </w:tcPr>
          <w:p w:rsidR="00BD4D54" w:rsidRPr="00565D8E" w:rsidRDefault="00BD4D54" w:rsidP="00EC6328">
            <w:pPr>
              <w:spacing w:before="20"/>
              <w:rPr>
                <w:szCs w:val="22"/>
              </w:rPr>
            </w:pPr>
            <w:r w:rsidRPr="00565D8E">
              <w:rPr>
                <w:szCs w:val="22"/>
              </w:rPr>
              <w:t>The ADI of 0.1 mg/kg/day was established in 1963, reviewed and confirmed in 1965 and 1977 based on a NOEL of 10 mg/kg/day in a dietary rat study, and an uncertainty factor of 100.</w:t>
            </w:r>
          </w:p>
        </w:tc>
      </w:tr>
      <w:tr w:rsidR="00BD4D54" w:rsidRPr="00565D8E" w:rsidTr="00EC6328">
        <w:tc>
          <w:tcPr>
            <w:tcW w:w="1384" w:type="dxa"/>
          </w:tcPr>
          <w:p w:rsidR="00BD4D54" w:rsidRPr="00565D8E" w:rsidRDefault="00BD4D54" w:rsidP="00EC6328">
            <w:pPr>
              <w:spacing w:before="20"/>
              <w:rPr>
                <w:szCs w:val="22"/>
              </w:rPr>
            </w:pPr>
            <w:r w:rsidRPr="00565D8E">
              <w:rPr>
                <w:szCs w:val="22"/>
              </w:rPr>
              <w:t>WHO (2011)</w:t>
            </w:r>
          </w:p>
        </w:tc>
        <w:tc>
          <w:tcPr>
            <w:tcW w:w="2410" w:type="dxa"/>
          </w:tcPr>
          <w:p w:rsidR="00BD4D54" w:rsidRPr="00565D8E" w:rsidRDefault="00BD4D54" w:rsidP="00EC6328">
            <w:pPr>
              <w:spacing w:before="20"/>
              <w:rPr>
                <w:szCs w:val="22"/>
              </w:rPr>
            </w:pPr>
            <w:r w:rsidRPr="00565D8E">
              <w:rPr>
                <w:szCs w:val="22"/>
              </w:rPr>
              <w:t>TDI = 0.005 mg/kg/day</w:t>
            </w:r>
          </w:p>
        </w:tc>
        <w:tc>
          <w:tcPr>
            <w:tcW w:w="6169" w:type="dxa"/>
          </w:tcPr>
          <w:p w:rsidR="00BD4D54" w:rsidRPr="00565D8E" w:rsidRDefault="00BD4D54" w:rsidP="00EC6328">
            <w:pPr>
              <w:spacing w:before="20"/>
              <w:rPr>
                <w:szCs w:val="22"/>
              </w:rPr>
            </w:pPr>
            <w:r w:rsidRPr="00565D8E">
              <w:rPr>
                <w:szCs w:val="22"/>
              </w:rPr>
              <w:t>A guideline of 0.02 mg/L (last reviewed in 2003) has been derived on the basis of a TDI of 0.005 mg/kg/day from a NOAEL of 5 mg/kg/day associated with a teratology study in rabbits, and an uncertainty factor of 1000 (including a 10 fold factor to address concern for threshold carcinogenicity and the limited database). Methoxychlor is noted to be included in the rolling revision of the WHO DWG. No revised evaluations are currently available.</w:t>
            </w:r>
          </w:p>
        </w:tc>
      </w:tr>
      <w:tr w:rsidR="00BD4D54" w:rsidRPr="00565D8E" w:rsidTr="00EC6328">
        <w:tc>
          <w:tcPr>
            <w:tcW w:w="1384" w:type="dxa"/>
          </w:tcPr>
          <w:p w:rsidR="00BD4D54" w:rsidRPr="00565D8E" w:rsidRDefault="00BD4D54" w:rsidP="00EC6328">
            <w:pPr>
              <w:spacing w:before="20"/>
              <w:rPr>
                <w:szCs w:val="22"/>
              </w:rPr>
            </w:pPr>
            <w:r w:rsidRPr="00565D8E">
              <w:rPr>
                <w:szCs w:val="22"/>
              </w:rPr>
              <w:t>ATSDR (2002)</w:t>
            </w:r>
          </w:p>
        </w:tc>
        <w:tc>
          <w:tcPr>
            <w:tcW w:w="2410" w:type="dxa"/>
          </w:tcPr>
          <w:p w:rsidR="00BD4D54" w:rsidRPr="00565D8E" w:rsidRDefault="00BD4D54" w:rsidP="00EC6328">
            <w:pPr>
              <w:spacing w:before="20"/>
              <w:rPr>
                <w:szCs w:val="22"/>
              </w:rPr>
            </w:pPr>
            <w:r w:rsidRPr="00565D8E">
              <w:rPr>
                <w:szCs w:val="22"/>
              </w:rPr>
              <w:t>No chronic oral MRL derived</w:t>
            </w:r>
          </w:p>
        </w:tc>
        <w:tc>
          <w:tcPr>
            <w:tcW w:w="6169" w:type="dxa"/>
          </w:tcPr>
          <w:p w:rsidR="00BD4D54" w:rsidRPr="00565D8E" w:rsidRDefault="00BD4D54" w:rsidP="00EC6328">
            <w:pPr>
              <w:spacing w:before="20"/>
              <w:rPr>
                <w:szCs w:val="22"/>
              </w:rPr>
            </w:pPr>
            <w:r w:rsidRPr="00565D8E">
              <w:rPr>
                <w:szCs w:val="22"/>
              </w:rPr>
              <w:t>No chronic MRL derived, however an intermediate duration MRL of 0.005 mg/kg/day was derived.</w:t>
            </w:r>
          </w:p>
        </w:tc>
      </w:tr>
      <w:tr w:rsidR="00BD4D54" w:rsidRPr="00565D8E" w:rsidTr="00EC6328">
        <w:tc>
          <w:tcPr>
            <w:tcW w:w="1384" w:type="dxa"/>
          </w:tcPr>
          <w:p w:rsidR="00BD4D54" w:rsidRPr="00565D8E" w:rsidRDefault="00BD4D54" w:rsidP="00EC6328">
            <w:pPr>
              <w:spacing w:before="20"/>
              <w:rPr>
                <w:szCs w:val="22"/>
              </w:rPr>
            </w:pPr>
            <w:r w:rsidRPr="00565D8E">
              <w:rPr>
                <w:szCs w:val="22"/>
              </w:rPr>
              <w:t>OEHHA (1999)</w:t>
            </w:r>
          </w:p>
        </w:tc>
        <w:tc>
          <w:tcPr>
            <w:tcW w:w="2410" w:type="dxa"/>
          </w:tcPr>
          <w:p w:rsidR="00BD4D54" w:rsidRPr="00565D8E" w:rsidRDefault="00BD4D54" w:rsidP="00EC6328">
            <w:pPr>
              <w:spacing w:before="20"/>
              <w:rPr>
                <w:szCs w:val="22"/>
              </w:rPr>
            </w:pPr>
            <w:r w:rsidRPr="00565D8E">
              <w:rPr>
                <w:szCs w:val="22"/>
              </w:rPr>
              <w:t>RfD = 0.005 mg/kg/day</w:t>
            </w:r>
          </w:p>
          <w:p w:rsidR="00BD4D54" w:rsidRPr="00565D8E" w:rsidRDefault="00BD4D54" w:rsidP="00EC6328">
            <w:pPr>
              <w:spacing w:before="20"/>
              <w:rPr>
                <w:szCs w:val="22"/>
              </w:rPr>
            </w:pPr>
          </w:p>
        </w:tc>
        <w:tc>
          <w:tcPr>
            <w:tcW w:w="6169" w:type="dxa"/>
          </w:tcPr>
          <w:p w:rsidR="00BD4D54" w:rsidRPr="00565D8E" w:rsidRDefault="00BD4D54" w:rsidP="00EC6328">
            <w:pPr>
              <w:spacing w:before="20"/>
              <w:rPr>
                <w:szCs w:val="22"/>
              </w:rPr>
            </w:pPr>
            <w:r w:rsidRPr="00565D8E">
              <w:rPr>
                <w:szCs w:val="22"/>
              </w:rPr>
              <w:t>A public health goal (drinking water guideline) of 0.03 mg/L was derived on the basis of an RfD of 0.005 mg/kg/day derived from a LOAEL of 5 mg/kg/day associated with developmental effects in female rats, and an uncertainty factor of 1000.</w:t>
            </w:r>
          </w:p>
        </w:tc>
      </w:tr>
      <w:tr w:rsidR="00BD4D54" w:rsidRPr="00565D8E" w:rsidTr="00EC6328">
        <w:tc>
          <w:tcPr>
            <w:tcW w:w="1384" w:type="dxa"/>
          </w:tcPr>
          <w:p w:rsidR="00BD4D54" w:rsidRPr="00565D8E" w:rsidRDefault="00BD4D54" w:rsidP="00EC6328">
            <w:pPr>
              <w:spacing w:before="20"/>
              <w:rPr>
                <w:szCs w:val="22"/>
              </w:rPr>
            </w:pPr>
            <w:r w:rsidRPr="00565D8E">
              <w:rPr>
                <w:szCs w:val="22"/>
              </w:rPr>
              <w:t>US EPA (IRIS 2012)</w:t>
            </w:r>
          </w:p>
        </w:tc>
        <w:tc>
          <w:tcPr>
            <w:tcW w:w="2410" w:type="dxa"/>
          </w:tcPr>
          <w:p w:rsidR="00BD4D54" w:rsidRPr="00565D8E" w:rsidRDefault="00BD4D54" w:rsidP="00EC6328">
            <w:pPr>
              <w:spacing w:before="20"/>
              <w:rPr>
                <w:szCs w:val="22"/>
              </w:rPr>
            </w:pPr>
            <w:r w:rsidRPr="00565D8E">
              <w:rPr>
                <w:szCs w:val="22"/>
              </w:rPr>
              <w:t>RfD = 0.005 mg/kg/day</w:t>
            </w:r>
          </w:p>
          <w:p w:rsidR="00BD4D54" w:rsidRPr="00565D8E" w:rsidRDefault="00BD4D54" w:rsidP="00EC6328">
            <w:pPr>
              <w:spacing w:before="20"/>
              <w:rPr>
                <w:szCs w:val="22"/>
              </w:rPr>
            </w:pPr>
          </w:p>
        </w:tc>
        <w:tc>
          <w:tcPr>
            <w:tcW w:w="6169" w:type="dxa"/>
          </w:tcPr>
          <w:p w:rsidR="00BD4D54" w:rsidRPr="00565D8E" w:rsidRDefault="00BD4D54" w:rsidP="00EC6328">
            <w:pPr>
              <w:spacing w:before="20"/>
              <w:rPr>
                <w:szCs w:val="22"/>
              </w:rPr>
            </w:pPr>
            <w:r w:rsidRPr="00565D8E">
              <w:rPr>
                <w:szCs w:val="22"/>
              </w:rPr>
              <w:lastRenderedPageBreak/>
              <w:t xml:space="preserve">Oral RfD (last reviewed in 1990) based on a NOEL of 5 mg/kg/day associated with reproductive effects in rabbits, </w:t>
            </w:r>
            <w:r w:rsidRPr="00565D8E">
              <w:rPr>
                <w:szCs w:val="22"/>
              </w:rPr>
              <w:lastRenderedPageBreak/>
              <w:t>and an uncertainty factor 1000.</w:t>
            </w:r>
          </w:p>
        </w:tc>
      </w:tr>
    </w:tbl>
    <w:p w:rsidR="00BD4D54" w:rsidRDefault="00BD4D54" w:rsidP="00BD4D54"/>
    <w:p w:rsidR="00BD4D54" w:rsidRDefault="00BD4D54" w:rsidP="00BD4D54">
      <w:r>
        <w:t>Based on the available data above, essentially two threshold values are available, though they are significantly different. The ADI available from JMPR has not been reviewed since 1977 and has not considered the studies used in subsequent evaluations in WHO (2011) and presented by the OEHHA, ATSDR and US EPA. While the older JMPR has been adopted by OCS (2012) and NHMRC (2011), the lower value presented in the current WHO DWG is more technically sound and has been adopted for the purpose of deriving soil HILs. No inhalation or dermal data are available, hence it is recommended that all intakes associated with contaminated soil be assessed on the basis of the oral TRV.</w:t>
      </w:r>
    </w:p>
    <w:p w:rsidR="00BD4D54" w:rsidRPr="00921D7B" w:rsidRDefault="00BD4D54" w:rsidP="00BD4D54">
      <w:pPr>
        <w:pStyle w:val="Heading3"/>
      </w:pPr>
      <w:bookmarkStart w:id="118" w:name="_Toc351714207"/>
      <w:r w:rsidRPr="00921D7B">
        <w:t>Recommendation</w:t>
      </w:r>
      <w:bookmarkEnd w:id="118"/>
    </w:p>
    <w:p w:rsidR="00BD4D54" w:rsidRPr="00191EC8" w:rsidRDefault="00BD4D54" w:rsidP="00BD4D54">
      <w:r>
        <w:t>On the basis of the discussion above, the following toxicity reference values (TRVs) have been adopted for methoxychlor in the derivation of HILs:</w:t>
      </w:r>
    </w:p>
    <w:p w:rsidR="00BD4D54" w:rsidRDefault="00BD4D54" w:rsidP="00BD4D54">
      <w:r>
        <w:rPr>
          <w:noProof/>
          <w:lang w:eastAsia="en-AU"/>
        </w:rPr>
        <mc:AlternateContent>
          <mc:Choice Requires="wps">
            <w:drawing>
              <wp:inline distT="0" distB="0" distL="0" distR="0">
                <wp:extent cx="5593080" cy="1718310"/>
                <wp:effectExtent l="13335" t="10160" r="13335" b="508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1718310"/>
                        </a:xfrm>
                        <a:prstGeom prst="rect">
                          <a:avLst/>
                        </a:prstGeom>
                        <a:solidFill>
                          <a:srgbClr val="D8D8D8"/>
                        </a:solidFill>
                        <a:ln w="9525">
                          <a:solidFill>
                            <a:srgbClr val="000000"/>
                          </a:solidFill>
                          <a:miter lim="800000"/>
                          <a:headEnd/>
                          <a:tailEnd/>
                        </a:ln>
                      </wps:spPr>
                      <wps:txbx>
                        <w:txbxContent>
                          <w:p w:rsidR="00480C84" w:rsidRPr="00742163" w:rsidRDefault="00480C84" w:rsidP="00BD4D54">
                            <w:pPr>
                              <w:spacing w:after="40"/>
                              <w:rPr>
                                <w:b/>
                                <w:u w:val="single"/>
                              </w:rPr>
                            </w:pPr>
                            <w:r w:rsidRPr="00742163">
                              <w:rPr>
                                <w:b/>
                                <w:u w:val="single"/>
                              </w:rPr>
                              <w:t xml:space="preserve">Recommendation for </w:t>
                            </w:r>
                            <w:r>
                              <w:rPr>
                                <w:b/>
                                <w:u w:val="single"/>
                              </w:rPr>
                              <w:t>Methoxychlor</w:t>
                            </w:r>
                          </w:p>
                          <w:p w:rsidR="00480C84" w:rsidRDefault="00480C84" w:rsidP="00BD4D54">
                            <w:pPr>
                              <w:spacing w:after="40"/>
                            </w:pPr>
                            <w:r>
                              <w:t>Oral TRV (TRV</w:t>
                            </w:r>
                            <w:r w:rsidRPr="00684B59">
                              <w:rPr>
                                <w:vertAlign w:val="subscript"/>
                              </w:rPr>
                              <w:t>O</w:t>
                            </w:r>
                            <w:r>
                              <w:t>) = 0.005 mg/kg/day (WHO 2011) for all pathways of exposure</w:t>
                            </w:r>
                          </w:p>
                          <w:p w:rsidR="00480C84" w:rsidRDefault="00480C84" w:rsidP="00BD4D54">
                            <w:pPr>
                              <w:spacing w:after="40"/>
                            </w:pPr>
                            <w:r>
                              <w:t>Dermal absorption factor (DAF) = 0.1 (or 10%) (US EPA 1995)</w:t>
                            </w:r>
                          </w:p>
                          <w:p w:rsidR="00480C84" w:rsidRDefault="00480C84" w:rsidP="00BD4D54">
                            <w:pPr>
                              <w:spacing w:after="40"/>
                            </w:pPr>
                            <w:r>
                              <w:t>Background intakes from other sources (as % of TRV):</w:t>
                            </w:r>
                          </w:p>
                          <w:p w:rsidR="00480C84" w:rsidRDefault="00480C84" w:rsidP="00BD4D54">
                            <w:pPr>
                              <w:spacing w:after="40"/>
                              <w:ind w:left="720"/>
                            </w:pPr>
                            <w:r>
                              <w:t>BI</w:t>
                            </w:r>
                            <w:r w:rsidRPr="002049F5">
                              <w:rPr>
                                <w:vertAlign w:val="subscript"/>
                              </w:rPr>
                              <w:t>O</w:t>
                            </w:r>
                            <w:r>
                              <w:t xml:space="preserve"> = 0% for oral and dermal intakes</w:t>
                            </w:r>
                          </w:p>
                          <w:p w:rsidR="00480C84" w:rsidRDefault="00480C84" w:rsidP="00BD4D54">
                            <w:pPr>
                              <w:spacing w:after="40"/>
                              <w:ind w:left="720"/>
                            </w:pPr>
                            <w:r>
                              <w:t xml:space="preserve">BIi = 0% for inhalation </w:t>
                            </w:r>
                          </w:p>
                        </w:txbxContent>
                      </wps:txbx>
                      <wps:bodyPr rot="0" vert="horz" wrap="square" lIns="91440" tIns="45720" rIns="91440" bIns="45720" anchor="t" anchorCtr="0" upright="1">
                        <a:noAutofit/>
                      </wps:bodyPr>
                    </wps:wsp>
                  </a:graphicData>
                </a:graphic>
              </wp:inline>
            </w:drawing>
          </mc:Choice>
          <mc:Fallback>
            <w:pict>
              <v:shape id="Text Box 5" o:spid="_x0000_s1036" type="#_x0000_t202" style="width:440.4pt;height:1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" fillcolor="#d8d8d8">
                <v:textbox>
                  <w:txbxContent>
                    <w:p w:rsidR="00480C84" w:rsidRPr="00742163" w:rsidRDefault="00480C84" w:rsidP="00BD4D54">
                      <w:pPr>
                        <w:spacing w:after="40"/>
                        <w:rPr>
                          <w:b/>
                          <w:u w:val="single"/>
                        </w:rPr>
                      </w:pPr>
                      <w:r w:rsidRPr="00742163">
                        <w:rPr>
                          <w:b/>
                          <w:u w:val="single"/>
                        </w:rPr>
                        <w:t xml:space="preserve">Recommendation for </w:t>
                      </w:r>
                      <w:r>
                        <w:rPr>
                          <w:b/>
                          <w:u w:val="single"/>
                        </w:rPr>
                        <w:t>Methoxychlor</w:t>
                      </w:r>
                    </w:p>
                    <w:p w:rsidR="00480C84" w:rsidRDefault="00480C84" w:rsidP="00BD4D54">
                      <w:pPr>
                        <w:spacing w:after="40"/>
                      </w:pPr>
                      <w:r>
                        <w:t>Oral TRV (TRV</w:t>
                      </w:r>
                      <w:r w:rsidRPr="00684B59">
                        <w:rPr>
                          <w:vertAlign w:val="subscript"/>
                        </w:rPr>
                        <w:t>O</w:t>
                      </w:r>
                      <w:r>
                        <w:t>) = 0.005 mg/kg/day (WHO 2011) for all pathways of exposure</w:t>
                      </w:r>
                    </w:p>
                    <w:p w:rsidR="00480C84" w:rsidRDefault="00480C84" w:rsidP="00BD4D54">
                      <w:pPr>
                        <w:spacing w:after="40"/>
                      </w:pPr>
                      <w:r>
                        <w:t>Dermal absorption factor (DAF) = 0.1 (or 10%) (US EPA 1995)</w:t>
                      </w:r>
                    </w:p>
                    <w:p w:rsidR="00480C84" w:rsidRDefault="00480C84" w:rsidP="00BD4D54">
                      <w:pPr>
                        <w:spacing w:after="40"/>
                      </w:pPr>
                      <w:r>
                        <w:t>Background intakes from other sources (as % of TRV):</w:t>
                      </w:r>
                    </w:p>
                    <w:p w:rsidR="00480C84" w:rsidRDefault="00480C84" w:rsidP="00BD4D54">
                      <w:pPr>
                        <w:spacing w:after="40"/>
                        <w:ind w:left="720"/>
                      </w:pPr>
                      <w:r>
                        <w:t>BI</w:t>
                      </w:r>
                      <w:r w:rsidRPr="002049F5">
                        <w:rPr>
                          <w:vertAlign w:val="subscript"/>
                        </w:rPr>
                        <w:t>O</w:t>
                      </w:r>
                      <w:r>
                        <w:t xml:space="preserve"> = 0% for oral and dermal intakes</w:t>
                      </w:r>
                    </w:p>
                    <w:p w:rsidR="00480C84" w:rsidRDefault="00480C84" w:rsidP="00BD4D54">
                      <w:pPr>
                        <w:spacing w:after="40"/>
                        <w:ind w:left="720"/>
                      </w:pPr>
                      <w:r>
                        <w:t xml:space="preserve">BIi = 0% for inhalation </w:t>
                      </w:r>
                    </w:p>
                  </w:txbxContent>
                </v:textbox>
                <w10:anchorlock/>
              </v:shape>
            </w:pict>
          </mc:Fallback>
        </mc:AlternateContent>
      </w:r>
    </w:p>
    <w:p w:rsidR="00BD4D54" w:rsidRPr="00DB16F5" w:rsidRDefault="00BD4D54" w:rsidP="00BD4D54">
      <w:pPr>
        <w:pStyle w:val="Heading2"/>
        <w:tabs>
          <w:tab w:val="clear" w:pos="1209"/>
        </w:tabs>
      </w:pPr>
      <w:bookmarkStart w:id="119" w:name="_Toc351714208"/>
      <w:r w:rsidRPr="00DB16F5">
        <w:t>Calculated HILs</w:t>
      </w:r>
      <w:bookmarkEnd w:id="119"/>
    </w:p>
    <w:p w:rsidR="00BD4D54" w:rsidRDefault="00BD4D54" w:rsidP="00BD4D54">
      <w:r>
        <w:t>On the basis of the above the following HILs have been derived for methoxychlor (refer to Appendix B for equations used to calculate the HILs and Appendix C for calculations):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9"/>
        <w:gridCol w:w="1287"/>
        <w:gridCol w:w="1445"/>
        <w:gridCol w:w="1517"/>
        <w:gridCol w:w="1553"/>
        <w:gridCol w:w="1392"/>
      </w:tblGrid>
      <w:tr w:rsidR="00BD4D54" w:rsidRPr="00565D8E" w:rsidTr="00EC6328">
        <w:tc>
          <w:tcPr>
            <w:tcW w:w="1639" w:type="dxa"/>
            <w:vMerge w:val="restart"/>
            <w:shd w:val="clear" w:color="auto" w:fill="C6D9F1" w:themeFill="text2" w:themeFillTint="33"/>
          </w:tcPr>
          <w:p w:rsidR="00BD4D54" w:rsidRPr="00565D8E" w:rsidRDefault="00BD4D54" w:rsidP="00EC6328">
            <w:pPr>
              <w:spacing w:after="40"/>
              <w:rPr>
                <w:b/>
                <w:szCs w:val="22"/>
              </w:rPr>
            </w:pPr>
            <w:r w:rsidRPr="00565D8E">
              <w:rPr>
                <w:b/>
                <w:szCs w:val="22"/>
              </w:rPr>
              <w:t>HIL Scenario</w:t>
            </w:r>
          </w:p>
        </w:tc>
        <w:tc>
          <w:tcPr>
            <w:tcW w:w="1287" w:type="dxa"/>
            <w:vMerge w:val="restart"/>
            <w:shd w:val="clear" w:color="auto" w:fill="C6D9F1" w:themeFill="text2" w:themeFillTint="33"/>
          </w:tcPr>
          <w:p w:rsidR="00BD4D54" w:rsidRPr="00565D8E" w:rsidRDefault="00BD4D54" w:rsidP="00EC6328">
            <w:pPr>
              <w:spacing w:after="40"/>
              <w:jc w:val="center"/>
              <w:rPr>
                <w:b/>
                <w:szCs w:val="22"/>
              </w:rPr>
            </w:pPr>
            <w:r w:rsidRPr="00565D8E">
              <w:rPr>
                <w:b/>
                <w:szCs w:val="22"/>
              </w:rPr>
              <w:t>HIL (mg/kg)</w:t>
            </w:r>
          </w:p>
        </w:tc>
        <w:tc>
          <w:tcPr>
            <w:tcW w:w="5907" w:type="dxa"/>
            <w:gridSpan w:val="4"/>
            <w:shd w:val="clear" w:color="auto" w:fill="C6D9F1" w:themeFill="text2" w:themeFillTint="33"/>
          </w:tcPr>
          <w:p w:rsidR="00BD4D54" w:rsidRPr="00565D8E" w:rsidRDefault="00BD4D54" w:rsidP="00EC6328">
            <w:pPr>
              <w:spacing w:after="40"/>
              <w:jc w:val="center"/>
              <w:rPr>
                <w:b/>
                <w:szCs w:val="22"/>
              </w:rPr>
            </w:pPr>
            <w:r w:rsidRPr="00565D8E">
              <w:rPr>
                <w:b/>
                <w:szCs w:val="22"/>
              </w:rPr>
              <w:t>Percentage Contribution from Exposure Pathways</w:t>
            </w:r>
          </w:p>
        </w:tc>
      </w:tr>
      <w:tr w:rsidR="00BD4D54" w:rsidRPr="00565D8E" w:rsidTr="00EC6328">
        <w:trPr>
          <w:trHeight w:val="427"/>
        </w:trPr>
        <w:tc>
          <w:tcPr>
            <w:tcW w:w="1639" w:type="dxa"/>
            <w:vMerge/>
            <w:shd w:val="clear" w:color="auto" w:fill="C6D9F1" w:themeFill="text2" w:themeFillTint="33"/>
          </w:tcPr>
          <w:p w:rsidR="00BD4D54" w:rsidRPr="00565D8E" w:rsidRDefault="00BD4D54" w:rsidP="00EC6328">
            <w:pPr>
              <w:spacing w:after="40"/>
              <w:rPr>
                <w:szCs w:val="22"/>
              </w:rPr>
            </w:pPr>
          </w:p>
        </w:tc>
        <w:tc>
          <w:tcPr>
            <w:tcW w:w="1287" w:type="dxa"/>
            <w:vMerge/>
            <w:shd w:val="clear" w:color="auto" w:fill="C6D9F1" w:themeFill="text2" w:themeFillTint="33"/>
          </w:tcPr>
          <w:p w:rsidR="00BD4D54" w:rsidRPr="00565D8E" w:rsidRDefault="00BD4D54" w:rsidP="00EC6328">
            <w:pPr>
              <w:spacing w:after="40"/>
              <w:jc w:val="center"/>
              <w:rPr>
                <w:szCs w:val="22"/>
              </w:rPr>
            </w:pPr>
          </w:p>
        </w:tc>
        <w:tc>
          <w:tcPr>
            <w:tcW w:w="1445" w:type="dxa"/>
            <w:shd w:val="clear" w:color="auto" w:fill="C6D9F1" w:themeFill="text2" w:themeFillTint="33"/>
          </w:tcPr>
          <w:p w:rsidR="00BD4D54" w:rsidRPr="00565D8E" w:rsidRDefault="00BD4D54" w:rsidP="00EC6328">
            <w:pPr>
              <w:spacing w:after="40"/>
              <w:jc w:val="center"/>
              <w:rPr>
                <w:b/>
                <w:szCs w:val="22"/>
              </w:rPr>
            </w:pPr>
            <w:r w:rsidRPr="00565D8E">
              <w:rPr>
                <w:b/>
                <w:szCs w:val="22"/>
              </w:rPr>
              <w:t>Ingestion of Soil/Dust</w:t>
            </w:r>
          </w:p>
        </w:tc>
        <w:tc>
          <w:tcPr>
            <w:tcW w:w="1517" w:type="dxa"/>
            <w:shd w:val="clear" w:color="auto" w:fill="C6D9F1" w:themeFill="text2" w:themeFillTint="33"/>
          </w:tcPr>
          <w:p w:rsidR="00BD4D54" w:rsidRPr="00565D8E" w:rsidRDefault="00BD4D54" w:rsidP="00EC6328">
            <w:pPr>
              <w:spacing w:after="40"/>
              <w:jc w:val="center"/>
              <w:rPr>
                <w:b/>
                <w:szCs w:val="22"/>
              </w:rPr>
            </w:pPr>
            <w:r w:rsidRPr="00565D8E">
              <w:rPr>
                <w:b/>
                <w:szCs w:val="22"/>
              </w:rPr>
              <w:t>Ingestion of Home-grown Produce</w:t>
            </w:r>
          </w:p>
        </w:tc>
        <w:tc>
          <w:tcPr>
            <w:tcW w:w="1553" w:type="dxa"/>
            <w:shd w:val="clear" w:color="auto" w:fill="C6D9F1" w:themeFill="text2" w:themeFillTint="33"/>
          </w:tcPr>
          <w:p w:rsidR="00BD4D54" w:rsidRPr="00565D8E" w:rsidRDefault="00BD4D54" w:rsidP="00EC6328">
            <w:pPr>
              <w:spacing w:after="40"/>
              <w:jc w:val="center"/>
              <w:rPr>
                <w:b/>
                <w:szCs w:val="22"/>
              </w:rPr>
            </w:pPr>
            <w:r w:rsidRPr="00565D8E">
              <w:rPr>
                <w:b/>
                <w:szCs w:val="22"/>
              </w:rPr>
              <w:t>Dermal Absorption of Soil/Dust</w:t>
            </w:r>
          </w:p>
        </w:tc>
        <w:tc>
          <w:tcPr>
            <w:tcW w:w="1392" w:type="dxa"/>
            <w:shd w:val="clear" w:color="auto" w:fill="C6D9F1" w:themeFill="text2" w:themeFillTint="33"/>
          </w:tcPr>
          <w:p w:rsidR="00BD4D54" w:rsidRPr="00565D8E" w:rsidRDefault="00BD4D54" w:rsidP="00EC6328">
            <w:pPr>
              <w:spacing w:after="40"/>
              <w:jc w:val="center"/>
              <w:rPr>
                <w:b/>
                <w:szCs w:val="22"/>
              </w:rPr>
            </w:pPr>
            <w:r w:rsidRPr="00565D8E">
              <w:rPr>
                <w:b/>
                <w:szCs w:val="22"/>
              </w:rPr>
              <w:t>Inhalation (dust)</w:t>
            </w:r>
          </w:p>
        </w:tc>
      </w:tr>
      <w:tr w:rsidR="00BD4D54" w:rsidRPr="00565D8E" w:rsidTr="00EC6328">
        <w:tc>
          <w:tcPr>
            <w:tcW w:w="1639" w:type="dxa"/>
          </w:tcPr>
          <w:p w:rsidR="00BD4D54" w:rsidRPr="00565D8E" w:rsidRDefault="00BD4D54" w:rsidP="00EC6328">
            <w:pPr>
              <w:spacing w:after="40"/>
              <w:rPr>
                <w:szCs w:val="22"/>
              </w:rPr>
            </w:pPr>
            <w:r w:rsidRPr="00565D8E">
              <w:rPr>
                <w:szCs w:val="22"/>
              </w:rPr>
              <w:t>Residential A</w:t>
            </w:r>
          </w:p>
        </w:tc>
        <w:tc>
          <w:tcPr>
            <w:tcW w:w="1287" w:type="dxa"/>
            <w:tcMar>
              <w:right w:w="397" w:type="dxa"/>
            </w:tcMar>
          </w:tcPr>
          <w:p w:rsidR="00BD4D54" w:rsidRPr="00565D8E" w:rsidRDefault="00BD4D54" w:rsidP="00EC6328">
            <w:pPr>
              <w:spacing w:after="40"/>
              <w:jc w:val="right"/>
              <w:rPr>
                <w:szCs w:val="22"/>
              </w:rPr>
            </w:pPr>
            <w:r w:rsidRPr="00565D8E">
              <w:rPr>
                <w:szCs w:val="22"/>
              </w:rPr>
              <w:t>300</w:t>
            </w:r>
          </w:p>
        </w:tc>
        <w:tc>
          <w:tcPr>
            <w:tcW w:w="1445" w:type="dxa"/>
          </w:tcPr>
          <w:p w:rsidR="00BD4D54" w:rsidRPr="00565D8E" w:rsidRDefault="00BD4D54" w:rsidP="00EC6328">
            <w:pPr>
              <w:spacing w:after="40"/>
              <w:jc w:val="center"/>
              <w:rPr>
                <w:szCs w:val="22"/>
              </w:rPr>
            </w:pPr>
            <w:r w:rsidRPr="00565D8E">
              <w:rPr>
                <w:szCs w:val="22"/>
              </w:rPr>
              <w:t>43</w:t>
            </w:r>
          </w:p>
        </w:tc>
        <w:tc>
          <w:tcPr>
            <w:tcW w:w="1517" w:type="dxa"/>
          </w:tcPr>
          <w:p w:rsidR="00BD4D54" w:rsidRPr="00565D8E" w:rsidRDefault="00BD4D54" w:rsidP="00EC6328">
            <w:pPr>
              <w:spacing w:after="40"/>
              <w:jc w:val="center"/>
              <w:rPr>
                <w:szCs w:val="22"/>
              </w:rPr>
            </w:pPr>
            <w:r w:rsidRPr="00565D8E">
              <w:rPr>
                <w:szCs w:val="22"/>
              </w:rPr>
              <w:t>--</w:t>
            </w:r>
          </w:p>
        </w:tc>
        <w:tc>
          <w:tcPr>
            <w:tcW w:w="1553" w:type="dxa"/>
          </w:tcPr>
          <w:p w:rsidR="00BD4D54" w:rsidRPr="00565D8E" w:rsidRDefault="00BD4D54" w:rsidP="00EC6328">
            <w:pPr>
              <w:spacing w:after="40"/>
              <w:jc w:val="center"/>
              <w:rPr>
                <w:szCs w:val="22"/>
              </w:rPr>
            </w:pPr>
            <w:r w:rsidRPr="00565D8E">
              <w:rPr>
                <w:szCs w:val="22"/>
              </w:rPr>
              <w:t>57</w:t>
            </w:r>
          </w:p>
        </w:tc>
        <w:tc>
          <w:tcPr>
            <w:tcW w:w="1392" w:type="dxa"/>
          </w:tcPr>
          <w:p w:rsidR="00BD4D54" w:rsidRPr="00565D8E" w:rsidRDefault="00BD4D54" w:rsidP="00EC6328">
            <w:pPr>
              <w:spacing w:after="40"/>
              <w:jc w:val="center"/>
              <w:rPr>
                <w:szCs w:val="22"/>
              </w:rPr>
            </w:pPr>
            <w:r w:rsidRPr="00565D8E">
              <w:rPr>
                <w:szCs w:val="22"/>
              </w:rPr>
              <w:t>&lt;1</w:t>
            </w:r>
          </w:p>
        </w:tc>
      </w:tr>
      <w:tr w:rsidR="00BD4D54" w:rsidRPr="00565D8E" w:rsidTr="00EC6328">
        <w:tc>
          <w:tcPr>
            <w:tcW w:w="1639" w:type="dxa"/>
          </w:tcPr>
          <w:p w:rsidR="00BD4D54" w:rsidRPr="00565D8E" w:rsidRDefault="00BD4D54" w:rsidP="00EC6328">
            <w:pPr>
              <w:spacing w:after="40"/>
              <w:rPr>
                <w:szCs w:val="22"/>
              </w:rPr>
            </w:pPr>
            <w:r w:rsidRPr="00565D8E">
              <w:rPr>
                <w:szCs w:val="22"/>
              </w:rPr>
              <w:t>Residential B</w:t>
            </w:r>
          </w:p>
        </w:tc>
        <w:tc>
          <w:tcPr>
            <w:tcW w:w="1287" w:type="dxa"/>
            <w:tcMar>
              <w:right w:w="397" w:type="dxa"/>
            </w:tcMar>
          </w:tcPr>
          <w:p w:rsidR="00BD4D54" w:rsidRPr="00565D8E" w:rsidRDefault="00BD4D54" w:rsidP="00EC6328">
            <w:pPr>
              <w:spacing w:after="40"/>
              <w:jc w:val="right"/>
              <w:rPr>
                <w:szCs w:val="22"/>
              </w:rPr>
            </w:pPr>
            <w:r w:rsidRPr="00565D8E">
              <w:rPr>
                <w:szCs w:val="22"/>
              </w:rPr>
              <w:t>500</w:t>
            </w:r>
          </w:p>
        </w:tc>
        <w:tc>
          <w:tcPr>
            <w:tcW w:w="1445" w:type="dxa"/>
          </w:tcPr>
          <w:p w:rsidR="00BD4D54" w:rsidRPr="00565D8E" w:rsidRDefault="00BD4D54" w:rsidP="00EC6328">
            <w:pPr>
              <w:spacing w:after="40"/>
              <w:jc w:val="center"/>
              <w:rPr>
                <w:szCs w:val="22"/>
              </w:rPr>
            </w:pPr>
            <w:r w:rsidRPr="00565D8E">
              <w:rPr>
                <w:szCs w:val="22"/>
              </w:rPr>
              <w:t>16</w:t>
            </w:r>
          </w:p>
        </w:tc>
        <w:tc>
          <w:tcPr>
            <w:tcW w:w="1517" w:type="dxa"/>
          </w:tcPr>
          <w:p w:rsidR="00BD4D54" w:rsidRPr="00565D8E" w:rsidRDefault="00BD4D54" w:rsidP="00EC6328">
            <w:pPr>
              <w:spacing w:after="40"/>
              <w:jc w:val="center"/>
              <w:rPr>
                <w:szCs w:val="22"/>
              </w:rPr>
            </w:pPr>
            <w:r w:rsidRPr="00565D8E">
              <w:rPr>
                <w:szCs w:val="22"/>
              </w:rPr>
              <w:t>--</w:t>
            </w:r>
          </w:p>
        </w:tc>
        <w:tc>
          <w:tcPr>
            <w:tcW w:w="1553" w:type="dxa"/>
          </w:tcPr>
          <w:p w:rsidR="00BD4D54" w:rsidRPr="00565D8E" w:rsidRDefault="00BD4D54" w:rsidP="00EC6328">
            <w:pPr>
              <w:spacing w:after="40"/>
              <w:jc w:val="center"/>
              <w:rPr>
                <w:szCs w:val="22"/>
              </w:rPr>
            </w:pPr>
            <w:r w:rsidRPr="00565D8E">
              <w:rPr>
                <w:szCs w:val="22"/>
              </w:rPr>
              <w:t>84</w:t>
            </w:r>
          </w:p>
        </w:tc>
        <w:tc>
          <w:tcPr>
            <w:tcW w:w="1392" w:type="dxa"/>
          </w:tcPr>
          <w:p w:rsidR="00BD4D54" w:rsidRPr="00565D8E" w:rsidRDefault="00BD4D54" w:rsidP="00EC6328">
            <w:pPr>
              <w:spacing w:after="40"/>
              <w:jc w:val="center"/>
              <w:rPr>
                <w:szCs w:val="22"/>
              </w:rPr>
            </w:pPr>
            <w:r w:rsidRPr="00565D8E">
              <w:rPr>
                <w:szCs w:val="22"/>
              </w:rPr>
              <w:t>&lt;1</w:t>
            </w:r>
          </w:p>
        </w:tc>
      </w:tr>
      <w:tr w:rsidR="00BD4D54" w:rsidRPr="00565D8E" w:rsidTr="00EC6328">
        <w:tc>
          <w:tcPr>
            <w:tcW w:w="1639" w:type="dxa"/>
          </w:tcPr>
          <w:p w:rsidR="00BD4D54" w:rsidRPr="00565D8E" w:rsidRDefault="00BD4D54" w:rsidP="00EC6328">
            <w:pPr>
              <w:spacing w:after="40"/>
              <w:rPr>
                <w:szCs w:val="22"/>
              </w:rPr>
            </w:pPr>
            <w:r w:rsidRPr="00565D8E">
              <w:rPr>
                <w:szCs w:val="22"/>
              </w:rPr>
              <w:t>Recreational C</w:t>
            </w:r>
          </w:p>
        </w:tc>
        <w:tc>
          <w:tcPr>
            <w:tcW w:w="1287" w:type="dxa"/>
            <w:tcMar>
              <w:right w:w="397" w:type="dxa"/>
            </w:tcMar>
          </w:tcPr>
          <w:p w:rsidR="00BD4D54" w:rsidRPr="00565D8E" w:rsidRDefault="00BD4D54" w:rsidP="00EC6328">
            <w:pPr>
              <w:spacing w:after="40"/>
              <w:jc w:val="right"/>
              <w:rPr>
                <w:szCs w:val="22"/>
              </w:rPr>
            </w:pPr>
            <w:r w:rsidRPr="00565D8E">
              <w:rPr>
                <w:szCs w:val="22"/>
              </w:rPr>
              <w:t>400</w:t>
            </w:r>
          </w:p>
        </w:tc>
        <w:tc>
          <w:tcPr>
            <w:tcW w:w="1445" w:type="dxa"/>
          </w:tcPr>
          <w:p w:rsidR="00BD4D54" w:rsidRPr="00565D8E" w:rsidRDefault="00BD4D54" w:rsidP="00EC6328">
            <w:pPr>
              <w:spacing w:after="40"/>
              <w:jc w:val="center"/>
              <w:rPr>
                <w:szCs w:val="22"/>
              </w:rPr>
            </w:pPr>
            <w:r w:rsidRPr="00565D8E">
              <w:rPr>
                <w:szCs w:val="22"/>
              </w:rPr>
              <w:t>27</w:t>
            </w:r>
          </w:p>
        </w:tc>
        <w:tc>
          <w:tcPr>
            <w:tcW w:w="1517" w:type="dxa"/>
          </w:tcPr>
          <w:p w:rsidR="00BD4D54" w:rsidRPr="00565D8E" w:rsidRDefault="00BD4D54" w:rsidP="00EC6328">
            <w:pPr>
              <w:spacing w:after="40"/>
              <w:jc w:val="center"/>
              <w:rPr>
                <w:szCs w:val="22"/>
              </w:rPr>
            </w:pPr>
            <w:r w:rsidRPr="00565D8E">
              <w:rPr>
                <w:szCs w:val="22"/>
              </w:rPr>
              <w:t>--</w:t>
            </w:r>
          </w:p>
        </w:tc>
        <w:tc>
          <w:tcPr>
            <w:tcW w:w="1553" w:type="dxa"/>
          </w:tcPr>
          <w:p w:rsidR="00BD4D54" w:rsidRPr="00565D8E" w:rsidRDefault="00BD4D54" w:rsidP="00EC6328">
            <w:pPr>
              <w:spacing w:after="40"/>
              <w:jc w:val="center"/>
              <w:rPr>
                <w:szCs w:val="22"/>
              </w:rPr>
            </w:pPr>
            <w:r w:rsidRPr="00565D8E">
              <w:rPr>
                <w:szCs w:val="22"/>
              </w:rPr>
              <w:t>73</w:t>
            </w:r>
          </w:p>
        </w:tc>
        <w:tc>
          <w:tcPr>
            <w:tcW w:w="1392" w:type="dxa"/>
          </w:tcPr>
          <w:p w:rsidR="00BD4D54" w:rsidRPr="00565D8E" w:rsidRDefault="00BD4D54" w:rsidP="00EC6328">
            <w:pPr>
              <w:spacing w:after="40"/>
              <w:jc w:val="center"/>
              <w:rPr>
                <w:szCs w:val="22"/>
              </w:rPr>
            </w:pPr>
            <w:r w:rsidRPr="00565D8E">
              <w:rPr>
                <w:szCs w:val="22"/>
              </w:rPr>
              <w:t>&lt;1</w:t>
            </w:r>
          </w:p>
        </w:tc>
      </w:tr>
      <w:tr w:rsidR="00BD4D54" w:rsidRPr="00565D8E" w:rsidTr="00EC6328">
        <w:tc>
          <w:tcPr>
            <w:tcW w:w="1639" w:type="dxa"/>
          </w:tcPr>
          <w:p w:rsidR="00BD4D54" w:rsidRPr="00565D8E" w:rsidRDefault="00BD4D54" w:rsidP="00EC6328">
            <w:pPr>
              <w:spacing w:after="40"/>
              <w:rPr>
                <w:szCs w:val="22"/>
              </w:rPr>
            </w:pPr>
            <w:r w:rsidRPr="00565D8E">
              <w:rPr>
                <w:szCs w:val="22"/>
              </w:rPr>
              <w:t>Commercial D</w:t>
            </w:r>
          </w:p>
        </w:tc>
        <w:tc>
          <w:tcPr>
            <w:tcW w:w="1287" w:type="dxa"/>
            <w:tcMar>
              <w:right w:w="397" w:type="dxa"/>
            </w:tcMar>
          </w:tcPr>
          <w:p w:rsidR="00BD4D54" w:rsidRPr="00565D8E" w:rsidRDefault="00BD4D54" w:rsidP="00EC6328">
            <w:pPr>
              <w:spacing w:after="40"/>
              <w:jc w:val="right"/>
              <w:rPr>
                <w:szCs w:val="22"/>
              </w:rPr>
            </w:pPr>
            <w:r w:rsidRPr="00565D8E">
              <w:rPr>
                <w:szCs w:val="22"/>
              </w:rPr>
              <w:t>2500</w:t>
            </w:r>
          </w:p>
        </w:tc>
        <w:tc>
          <w:tcPr>
            <w:tcW w:w="1445" w:type="dxa"/>
          </w:tcPr>
          <w:p w:rsidR="00BD4D54" w:rsidRPr="00565D8E" w:rsidRDefault="00BD4D54" w:rsidP="00EC6328">
            <w:pPr>
              <w:spacing w:after="40"/>
              <w:jc w:val="center"/>
              <w:rPr>
                <w:szCs w:val="22"/>
              </w:rPr>
            </w:pPr>
            <w:r w:rsidRPr="00565D8E">
              <w:rPr>
                <w:szCs w:val="22"/>
              </w:rPr>
              <w:t>12</w:t>
            </w:r>
          </w:p>
        </w:tc>
        <w:tc>
          <w:tcPr>
            <w:tcW w:w="1517" w:type="dxa"/>
          </w:tcPr>
          <w:p w:rsidR="00BD4D54" w:rsidRPr="00565D8E" w:rsidRDefault="00BD4D54" w:rsidP="00EC6328">
            <w:pPr>
              <w:spacing w:after="40"/>
              <w:jc w:val="center"/>
              <w:rPr>
                <w:szCs w:val="22"/>
              </w:rPr>
            </w:pPr>
            <w:r w:rsidRPr="00565D8E">
              <w:rPr>
                <w:szCs w:val="22"/>
              </w:rPr>
              <w:t>--</w:t>
            </w:r>
          </w:p>
        </w:tc>
        <w:tc>
          <w:tcPr>
            <w:tcW w:w="1553" w:type="dxa"/>
          </w:tcPr>
          <w:p w:rsidR="00BD4D54" w:rsidRPr="00565D8E" w:rsidRDefault="00BD4D54" w:rsidP="00EC6328">
            <w:pPr>
              <w:spacing w:after="40"/>
              <w:jc w:val="center"/>
              <w:rPr>
                <w:szCs w:val="22"/>
              </w:rPr>
            </w:pPr>
            <w:r w:rsidRPr="00565D8E">
              <w:rPr>
                <w:szCs w:val="22"/>
              </w:rPr>
              <w:t>88</w:t>
            </w:r>
          </w:p>
        </w:tc>
        <w:tc>
          <w:tcPr>
            <w:tcW w:w="1392" w:type="dxa"/>
          </w:tcPr>
          <w:p w:rsidR="00BD4D54" w:rsidRPr="00565D8E" w:rsidRDefault="00BD4D54" w:rsidP="00EC6328">
            <w:pPr>
              <w:spacing w:after="40"/>
              <w:jc w:val="center"/>
              <w:rPr>
                <w:szCs w:val="22"/>
              </w:rPr>
            </w:pPr>
            <w:r w:rsidRPr="00565D8E">
              <w:rPr>
                <w:szCs w:val="22"/>
              </w:rPr>
              <w:t>&lt;1</w:t>
            </w:r>
          </w:p>
        </w:tc>
      </w:tr>
    </w:tbl>
    <w:p w:rsidR="00BD4D54" w:rsidRPr="007D411C" w:rsidRDefault="00BD4D54" w:rsidP="00BD4D54">
      <w:pPr>
        <w:spacing w:after="40"/>
        <w:rPr>
          <w:sz w:val="18"/>
          <w:szCs w:val="18"/>
        </w:rPr>
      </w:pPr>
      <w:r w:rsidRPr="007D411C">
        <w:rPr>
          <w:sz w:val="18"/>
          <w:szCs w:val="18"/>
        </w:rPr>
        <w:t>-- Pathway not included in derivation of HIL</w:t>
      </w:r>
    </w:p>
    <w:p w:rsidR="00BD4D54" w:rsidRDefault="00BD4D54" w:rsidP="00BD4D54"/>
    <w:p w:rsidR="00BD4D54" w:rsidRDefault="00BD4D54" w:rsidP="00BD4D54">
      <w:pPr>
        <w:pStyle w:val="Heading2"/>
        <w:tabs>
          <w:tab w:val="clear" w:pos="1209"/>
        </w:tabs>
      </w:pPr>
      <w:bookmarkStart w:id="120" w:name="_Toc351714209"/>
      <w:r>
        <w:t>References</w:t>
      </w:r>
      <w:bookmarkEnd w:id="120"/>
    </w:p>
    <w:p w:rsidR="00BD4D54" w:rsidRPr="007D411C" w:rsidRDefault="00BD4D54" w:rsidP="00BD4D54">
      <w:pPr>
        <w:pStyle w:val="StyletextLeft0cmHanging1cm"/>
      </w:pPr>
      <w:r w:rsidRPr="007D411C">
        <w:t xml:space="preserve">ATSDR 2002, </w:t>
      </w:r>
      <w:r w:rsidRPr="007D411C">
        <w:rPr>
          <w:i/>
        </w:rPr>
        <w:t>Toxicological Profile for Methoxychlor</w:t>
      </w:r>
      <w:r w:rsidRPr="007D411C">
        <w:t xml:space="preserve">, Agency for Toxic Substances and Disease Registry, available from </w:t>
      </w:r>
      <w:hyperlink r:id="rId55" w:history="1">
        <w:r w:rsidRPr="007D411C">
          <w:rPr>
            <w:rStyle w:val="Hyperlink"/>
            <w:szCs w:val="22"/>
          </w:rPr>
          <w:t>http://www.atsdr.cdc.gov/ToxProfiles/tp.asp?id=778&amp;tid=151</w:t>
        </w:r>
      </w:hyperlink>
      <w:r w:rsidRPr="007D411C">
        <w:t>.</w:t>
      </w:r>
    </w:p>
    <w:p w:rsidR="00BD4D54" w:rsidRPr="007D411C" w:rsidRDefault="00BD4D54" w:rsidP="00BD4D54">
      <w:pPr>
        <w:pStyle w:val="StyletextLeft0cmHanging1cm"/>
      </w:pPr>
      <w:r w:rsidRPr="007D411C">
        <w:t xml:space="preserve">ATSDR 2009, </w:t>
      </w:r>
      <w:r w:rsidRPr="007D411C">
        <w:rPr>
          <w:i/>
        </w:rPr>
        <w:t>Addendum to the Toxicological Profile for Methoxychlor</w:t>
      </w:r>
      <w:r w:rsidRPr="007D411C">
        <w:t xml:space="preserve">, Agency for Toxic Substances and Disease Registry, available from </w:t>
      </w:r>
      <w:hyperlink r:id="rId56" w:history="1">
        <w:r w:rsidRPr="007D411C">
          <w:rPr>
            <w:rStyle w:val="Hyperlink"/>
            <w:szCs w:val="22"/>
          </w:rPr>
          <w:t>http://www.atsdr.cdc.gov/ToxProfiles/tp.asp?id=778&amp;tid=151</w:t>
        </w:r>
      </w:hyperlink>
      <w:r w:rsidRPr="007D411C">
        <w:t>.</w:t>
      </w:r>
    </w:p>
    <w:p w:rsidR="00BD4D54" w:rsidRPr="007D411C" w:rsidRDefault="00BD4D54" w:rsidP="00BD4D54">
      <w:pPr>
        <w:pStyle w:val="StyletextLeft0cmHanging1cm"/>
        <w:rPr>
          <w:lang w:eastAsia="en-US"/>
        </w:rPr>
      </w:pPr>
      <w:r w:rsidRPr="007D411C">
        <w:rPr>
          <w:lang w:eastAsia="en-US"/>
        </w:rPr>
        <w:t xml:space="preserve">FSANZ 2011, </w:t>
      </w:r>
      <w:r w:rsidRPr="007D411C">
        <w:rPr>
          <w:i/>
          <w:lang w:eastAsia="en-US"/>
        </w:rPr>
        <w:t>The 23</w:t>
      </w:r>
      <w:r w:rsidRPr="007D411C">
        <w:rPr>
          <w:i/>
          <w:vertAlign w:val="superscript"/>
          <w:lang w:eastAsia="en-US"/>
        </w:rPr>
        <w:t>rd</w:t>
      </w:r>
      <w:r w:rsidRPr="007D411C">
        <w:rPr>
          <w:i/>
          <w:lang w:eastAsia="en-US"/>
        </w:rPr>
        <w:t xml:space="preserve"> Australian Total Diet Study</w:t>
      </w:r>
      <w:r w:rsidRPr="007D411C">
        <w:rPr>
          <w:lang w:eastAsia="en-US"/>
        </w:rPr>
        <w:t>, Food Standards Australia and New Zealand.</w:t>
      </w:r>
    </w:p>
    <w:p w:rsidR="00BD4D54" w:rsidRPr="007D411C" w:rsidRDefault="00BD4D54" w:rsidP="00BD4D54">
      <w:pPr>
        <w:pStyle w:val="StyletextLeft0cmHanging1cm"/>
      </w:pPr>
      <w:r w:rsidRPr="007D411C">
        <w:lastRenderedPageBreak/>
        <w:t xml:space="preserve">IARC 1987, </w:t>
      </w:r>
      <w:r w:rsidRPr="007D411C">
        <w:rPr>
          <w:i/>
        </w:rPr>
        <w:t>Summaries &amp; Evaluations, Methoxychlor</w:t>
      </w:r>
      <w:r w:rsidRPr="007D411C">
        <w:t>, Suppl 7, p.66, International Agency for Research on Cancer.</w:t>
      </w:r>
    </w:p>
    <w:p w:rsidR="00BD4D54" w:rsidRPr="007D411C" w:rsidRDefault="00BD4D54" w:rsidP="00BD4D54">
      <w:pPr>
        <w:pStyle w:val="StyletextLeft0cmHanging1cm"/>
      </w:pPr>
      <w:r w:rsidRPr="007D411C">
        <w:t xml:space="preserve">JMPR 1977, </w:t>
      </w:r>
      <w:r w:rsidRPr="007D411C">
        <w:rPr>
          <w:i/>
        </w:rPr>
        <w:t>Methoxychlor, Evaluation of the Joint Meeting on Pesticide Residue</w:t>
      </w:r>
      <w:r w:rsidRPr="007D411C">
        <w:t xml:space="preserve">, available at </w:t>
      </w:r>
      <w:hyperlink r:id="rId57" w:history="1">
        <w:r w:rsidRPr="007D411C">
          <w:rPr>
            <w:rStyle w:val="Hyperlink"/>
            <w:szCs w:val="22"/>
          </w:rPr>
          <w:t>http://www.inchem.org/documents/jmpr/jmpmono/v077pr37.htm</w:t>
        </w:r>
      </w:hyperlink>
      <w:r w:rsidRPr="007D411C">
        <w:t>.</w:t>
      </w:r>
    </w:p>
    <w:p w:rsidR="00BD4D54" w:rsidRPr="007D411C" w:rsidRDefault="00BD4D54" w:rsidP="00BD4D54">
      <w:pPr>
        <w:pStyle w:val="StyletextLeft0cmHanging1cm"/>
      </w:pPr>
      <w:r w:rsidRPr="007D411C">
        <w:t xml:space="preserve">NEPC 1999, </w:t>
      </w:r>
      <w:r w:rsidRPr="007D411C">
        <w:rPr>
          <w:i/>
        </w:rPr>
        <w:t>Schedule B (7a), Guideline on Health-Based Investigation Levels, National Environment Protection (Assessment of Site Contamination) Measure</w:t>
      </w:r>
      <w:r w:rsidRPr="007D411C">
        <w:t>, National Environment Protection Council, Australia.</w:t>
      </w:r>
    </w:p>
    <w:p w:rsidR="00BD4D54" w:rsidRPr="007D411C" w:rsidRDefault="00BD4D54" w:rsidP="00BD4D54">
      <w:pPr>
        <w:pStyle w:val="StyletextLeft0cmHanging1cm"/>
        <w:rPr>
          <w:noProof/>
        </w:rPr>
      </w:pPr>
      <w:r w:rsidRPr="007D411C">
        <w:t xml:space="preserve">NHMRC 2011, </w:t>
      </w:r>
      <w:r w:rsidRPr="007D411C">
        <w:rPr>
          <w:i/>
          <w:iCs/>
        </w:rPr>
        <w:t>National water quality management strategy, Australian drinking water guidelines</w:t>
      </w:r>
      <w:r w:rsidRPr="007D411C">
        <w:t>, National Health and Medical Research Council, Australia</w:t>
      </w:r>
      <w:r w:rsidRPr="007D411C">
        <w:rPr>
          <w:noProof/>
        </w:rPr>
        <w:t>.</w:t>
      </w:r>
    </w:p>
    <w:p w:rsidR="00BD4D54" w:rsidRPr="007D411C" w:rsidRDefault="00BD4D54" w:rsidP="00BD4D54">
      <w:pPr>
        <w:pStyle w:val="StyletextLeft0cmHanging1cm"/>
        <w:rPr>
          <w:rFonts w:cs="Arial"/>
          <w:noProof/>
        </w:rPr>
      </w:pPr>
      <w:r w:rsidRPr="007D411C">
        <w:rPr>
          <w:rFonts w:cs="Arial"/>
          <w:noProof/>
        </w:rPr>
        <w:t xml:space="preserve">OCS 2012, </w:t>
      </w:r>
      <w:r w:rsidRPr="007D411C">
        <w:rPr>
          <w:rFonts w:cs="Arial"/>
          <w:i/>
          <w:noProof/>
        </w:rPr>
        <w:t>ADI List, Acceptable Daily Intakes for Agricultural and Veterinary Chemicals</w:t>
      </w:r>
      <w:r w:rsidRPr="007D411C">
        <w:rPr>
          <w:rFonts w:cs="Arial"/>
          <w:noProof/>
        </w:rPr>
        <w:t xml:space="preserve">, current to 31 March 2012, Australian Government, Department of Health and Ageing, Office of Chemical Safety (OCS), available from: </w:t>
      </w:r>
      <w:r w:rsidRPr="007D411C">
        <w:rPr>
          <w:rFonts w:cs="Arial"/>
        </w:rPr>
        <w:t>http://www.health.gov.au/internet/main/publishing.nsf/content/E8F4D2F95D616584CA2573D700770C2A/$File/ADI-apr12.pdf.</w:t>
      </w:r>
    </w:p>
    <w:p w:rsidR="00BD4D54" w:rsidRPr="007D411C" w:rsidRDefault="00BD4D54" w:rsidP="00BD4D54">
      <w:pPr>
        <w:pStyle w:val="StyletextLeft0cmHanging1cm"/>
      </w:pPr>
      <w:r w:rsidRPr="007D411C">
        <w:t xml:space="preserve">OEHHA 1999, </w:t>
      </w:r>
      <w:r w:rsidRPr="007D411C">
        <w:rPr>
          <w:i/>
        </w:rPr>
        <w:t>Public Health Goal for Methoxychlor in Drinking Water</w:t>
      </w:r>
      <w:r w:rsidRPr="007D411C">
        <w:t>, Office of Environmental Health Hazard Assessment, California Environmental Protection Agency.</w:t>
      </w:r>
    </w:p>
    <w:p w:rsidR="00BD4D54" w:rsidRPr="007D411C" w:rsidRDefault="00BD4D54" w:rsidP="00BD4D54">
      <w:pPr>
        <w:pStyle w:val="StyletextLeft0cmHanging1cm"/>
      </w:pPr>
      <w:r w:rsidRPr="007D411C">
        <w:t xml:space="preserve">US EPA 1995, </w:t>
      </w:r>
      <w:r w:rsidRPr="007D411C">
        <w:rPr>
          <w:i/>
        </w:rPr>
        <w:t>Technical Guidance Manual, Assessing Dermal Exposure from Soil</w:t>
      </w:r>
      <w:r w:rsidRPr="007D411C">
        <w:t xml:space="preserve">, US EPA Region 3, available from: </w:t>
      </w:r>
      <w:hyperlink r:id="rId58" w:history="1">
        <w:r w:rsidRPr="007D411C">
          <w:rPr>
            <w:rStyle w:val="Hyperlink"/>
            <w:szCs w:val="22"/>
          </w:rPr>
          <w:t>http://www.epa.gov/reg3hwmd/risk/human/info/solabsg2.htm</w:t>
        </w:r>
      </w:hyperlink>
      <w:r w:rsidRPr="007D411C">
        <w:t>.</w:t>
      </w:r>
    </w:p>
    <w:p w:rsidR="00BD4D54" w:rsidRPr="007D411C" w:rsidRDefault="00BD4D54" w:rsidP="00BD4D54">
      <w:pPr>
        <w:pStyle w:val="StyletextLeft0cmHanging1cm"/>
      </w:pPr>
      <w:r w:rsidRPr="007D411C">
        <w:t xml:space="preserve">US EPA (IRIS 2012), data and information available from the </w:t>
      </w:r>
      <w:r w:rsidRPr="007D411C">
        <w:rPr>
          <w:i/>
        </w:rPr>
        <w:t>Integrated Risk Information System</w:t>
      </w:r>
      <w:r w:rsidRPr="007D411C">
        <w:t xml:space="preserve">, an online database, available from </w:t>
      </w:r>
      <w:hyperlink r:id="rId59" w:history="1">
        <w:r w:rsidRPr="007D411C">
          <w:rPr>
            <w:rStyle w:val="Hyperlink"/>
            <w:szCs w:val="22"/>
          </w:rPr>
          <w:t>http://www.epa.gov/iris/</w:t>
        </w:r>
      </w:hyperlink>
      <w:r w:rsidRPr="007D411C">
        <w:t>.</w:t>
      </w:r>
    </w:p>
    <w:p w:rsidR="00BD4D54" w:rsidRPr="007D411C" w:rsidRDefault="00BD4D54" w:rsidP="00BD4D54">
      <w:pPr>
        <w:pStyle w:val="StyletextLeft0cmHanging1cm"/>
      </w:pPr>
      <w:r w:rsidRPr="007D411C">
        <w:t xml:space="preserve">WHO 2011, </w:t>
      </w:r>
      <w:r w:rsidRPr="007D411C">
        <w:rPr>
          <w:i/>
        </w:rPr>
        <w:t>Guidelines for drinking-water quality, 4</w:t>
      </w:r>
      <w:r w:rsidRPr="007D411C">
        <w:rPr>
          <w:i/>
          <w:vertAlign w:val="superscript"/>
        </w:rPr>
        <w:t>th</w:t>
      </w:r>
      <w:r w:rsidRPr="007D411C">
        <w:rPr>
          <w:i/>
        </w:rPr>
        <w:t xml:space="preserve"> edn</w:t>
      </w:r>
      <w:r w:rsidRPr="007D411C">
        <w:t>, World Health Organization, Geneva</w:t>
      </w:r>
      <w:r>
        <w:t>,</w:t>
      </w:r>
      <w:r w:rsidRPr="007D411C">
        <w:t xml:space="preserve"> available from </w:t>
      </w:r>
      <w:hyperlink r:id="rId60" w:history="1">
        <w:r w:rsidRPr="007D411C">
          <w:rPr>
            <w:rStyle w:val="Hyperlink"/>
            <w:szCs w:val="22"/>
          </w:rPr>
          <w:t>http://www.who.int/water_sanitation_health/dwq/chemicals/en/index.html</w:t>
        </w:r>
      </w:hyperlink>
      <w:r w:rsidRPr="007D411C">
        <w:t>.</w:t>
      </w:r>
    </w:p>
    <w:p w:rsidR="00BD4D54" w:rsidRDefault="00BD4D54" w:rsidP="00BD4D54">
      <w:pPr>
        <w:pStyle w:val="Heading1"/>
        <w:tabs>
          <w:tab w:val="clear" w:pos="1209"/>
          <w:tab w:val="num" w:pos="720"/>
        </w:tabs>
      </w:pPr>
      <w:bookmarkStart w:id="121" w:name="_Toc351714210"/>
      <w:r>
        <w:lastRenderedPageBreak/>
        <w:t>Mirex</w:t>
      </w:r>
      <w:bookmarkEnd w:id="121"/>
    </w:p>
    <w:p w:rsidR="00BD4D54" w:rsidRDefault="00BD4D54" w:rsidP="00BD4D54">
      <w:pPr>
        <w:pStyle w:val="Heading2"/>
        <w:tabs>
          <w:tab w:val="clear" w:pos="1209"/>
        </w:tabs>
      </w:pPr>
      <w:bookmarkStart w:id="122" w:name="_Toc351714211"/>
      <w:r>
        <w:t>General</w:t>
      </w:r>
      <w:bookmarkEnd w:id="122"/>
    </w:p>
    <w:p w:rsidR="00BD4D54" w:rsidRDefault="00BD4D54" w:rsidP="00BD4D54">
      <w:r>
        <w:t>Several comprehensive reviews of mirex in the environment and its toxicity to humans are available and should be consulted for more detailed information (ATSDR 1995; WHO 1984; US EPA 2003). The following provides a summary of the key aspects of mirex that are relevant to the derivation of a soil HIL.</w:t>
      </w:r>
    </w:p>
    <w:p w:rsidR="00B0287F" w:rsidRDefault="00B0287F" w:rsidP="00BD4D54"/>
    <w:p w:rsidR="00BD4D54" w:rsidRDefault="00BD4D54" w:rsidP="00BD4D54">
      <w:r w:rsidRPr="004D4B76">
        <w:t>Mirex is the common name for the compound 1,1a,2,2,3,3a,4,5,5,5a,5b,6-dodecachloroocta-hydro-1,3,4-metheno-1H-cyclobuta[c,d]pentalene. Mirex can also be used to describe an insecticide containing the compound as its active ingredient</w:t>
      </w:r>
      <w:r>
        <w:t xml:space="preserve">. </w:t>
      </w:r>
      <w:r w:rsidRPr="004D4B76">
        <w:t>The mirex compound is an odourless, white, crystalline solid. It is virtually insoluble in water, has a low vapour pressure and does not burn easily (WHO 1984; ATSDR 1995). Mirex is very stable and does not react with acids (sulfuric, nitric or hydrochloric), bases, chlorine or ozone (WHO 1984).</w:t>
      </w:r>
    </w:p>
    <w:p w:rsidR="00B0287F" w:rsidRPr="004D4B76" w:rsidRDefault="00B0287F" w:rsidP="00BD4D54"/>
    <w:p w:rsidR="00BD4D54" w:rsidRPr="004D4B76" w:rsidRDefault="00BD4D54" w:rsidP="00BD4D54">
      <w:r w:rsidRPr="004D4B76">
        <w:t xml:space="preserve">Until recently, mirex was used extensively in the Northern Territory to control giant termite populations. An exemption was granted under the Stockholm Convention for the continued use of mirex for giant termite control </w:t>
      </w:r>
      <w:r>
        <w:t>but</w:t>
      </w:r>
      <w:r w:rsidRPr="004D4B76">
        <w:t xml:space="preserve"> the compound was completely banned in </w:t>
      </w:r>
      <w:r>
        <w:t xml:space="preserve">Australia in </w:t>
      </w:r>
      <w:r w:rsidRPr="004D4B76">
        <w:t>2007 following the development of suitable alternative treatments</w:t>
      </w:r>
      <w:r>
        <w:t xml:space="preserve"> (DEH 2006; APVMA 2007)</w:t>
      </w:r>
      <w:r w:rsidRPr="004D4B76">
        <w:t>. Mirex was historically used as a pesticide to control</w:t>
      </w:r>
      <w:r>
        <w:t xml:space="preserve"> fire ants, mostly in the south-</w:t>
      </w:r>
      <w:r w:rsidRPr="004D4B76">
        <w:t>eastern part of the United</w:t>
      </w:r>
      <w:r>
        <w:t xml:space="preserve"> </w:t>
      </w:r>
      <w:r w:rsidRPr="004D4B76">
        <w:t>States. It was also used as a flame retardant in plastics, rubber, paint, paper and electrical goods and as a smoke generating compound when mixed with</w:t>
      </w:r>
      <w:r>
        <w:t xml:space="preserve"> zinc oxide and aluminium </w:t>
      </w:r>
      <w:r w:rsidRPr="004D4B76">
        <w:t>(WHO 1984; ATSDR 1995).</w:t>
      </w:r>
    </w:p>
    <w:p w:rsidR="00BD4D54" w:rsidRDefault="00BD4D54" w:rsidP="00BD4D54">
      <w:pPr>
        <w:pStyle w:val="Heading2"/>
        <w:tabs>
          <w:tab w:val="clear" w:pos="1209"/>
        </w:tabs>
      </w:pPr>
      <w:bookmarkStart w:id="123" w:name="_Toc351714212"/>
      <w:r>
        <w:t>Previous HIL</w:t>
      </w:r>
      <w:bookmarkEnd w:id="123"/>
    </w:p>
    <w:p w:rsidR="00BD4D54" w:rsidRDefault="00BD4D54" w:rsidP="00BD4D54">
      <w:r>
        <w:t>No previous HIL is available for mirex (NEPC 1999).</w:t>
      </w:r>
    </w:p>
    <w:p w:rsidR="00BD4D54" w:rsidRDefault="00BD4D54" w:rsidP="00BD4D54">
      <w:pPr>
        <w:pStyle w:val="Heading2"/>
        <w:tabs>
          <w:tab w:val="clear" w:pos="1209"/>
        </w:tabs>
      </w:pPr>
      <w:bookmarkStart w:id="124" w:name="_Toc351714213"/>
      <w:r>
        <w:t>Significance of Exposure Pathways</w:t>
      </w:r>
      <w:bookmarkEnd w:id="124"/>
    </w:p>
    <w:p w:rsidR="00BD4D54" w:rsidRPr="00E00A6A" w:rsidRDefault="00BD4D54" w:rsidP="00BD4D54">
      <w:pPr>
        <w:pStyle w:val="Heading3"/>
      </w:pPr>
      <w:bookmarkStart w:id="125" w:name="_Toc351714214"/>
      <w:r>
        <w:t xml:space="preserve">Oral </w:t>
      </w:r>
      <w:r w:rsidRPr="00E00A6A">
        <w:t>Bioavailability</w:t>
      </w:r>
      <w:bookmarkEnd w:id="125"/>
    </w:p>
    <w:p w:rsidR="00BD4D54" w:rsidRDefault="00BD4D54" w:rsidP="00BD4D54">
      <w:r w:rsidRPr="004F1F8F">
        <w:t xml:space="preserve">Insufficient data is available to adequately define the bioavailability of mirex hence a default approach of assuming 100% oral bioavailability has been adopted in the derivation of </w:t>
      </w:r>
      <w:r>
        <w:t xml:space="preserve">an HIL. </w:t>
      </w:r>
      <w:r w:rsidRPr="004F1F8F">
        <w:t>It is noted that a site-specific</w:t>
      </w:r>
      <w:r>
        <w:t xml:space="preserve"> assessment of bioavailability can be undertaken where required.</w:t>
      </w:r>
    </w:p>
    <w:p w:rsidR="00BD4D54" w:rsidRPr="002D7B71" w:rsidRDefault="00BD4D54" w:rsidP="00BD4D54">
      <w:pPr>
        <w:pStyle w:val="Heading3"/>
      </w:pPr>
      <w:bookmarkStart w:id="126" w:name="_Toc351714215"/>
      <w:r>
        <w:t>Dermal absorption</w:t>
      </w:r>
      <w:bookmarkEnd w:id="126"/>
    </w:p>
    <w:p w:rsidR="00BD4D54" w:rsidRDefault="00BD4D54" w:rsidP="00BD4D54">
      <w:r>
        <w:t>Insufficient data is available on the dermal absorption of mirex from soil. Hence the default value of 0.1 (10%) suggested by US EPA (1995) for pesticides has been adopted in the derivation of HILs.</w:t>
      </w:r>
    </w:p>
    <w:p w:rsidR="00BD4D54" w:rsidRPr="009338FB" w:rsidRDefault="00BD4D54" w:rsidP="00BD4D54">
      <w:pPr>
        <w:pStyle w:val="Heading3"/>
      </w:pPr>
      <w:bookmarkStart w:id="127" w:name="_Toc351714216"/>
      <w:r w:rsidRPr="009338FB">
        <w:t>Inhalation of Dust</w:t>
      </w:r>
      <w:bookmarkEnd w:id="127"/>
    </w:p>
    <w:p w:rsidR="00BD4D54" w:rsidRDefault="00BD4D54" w:rsidP="00BD4D54">
      <w:r>
        <w:t>Mirex is not considered sufficiently volatile to be of significance and inhalation exposures associated with particulates outdoors and indoors are expected to be of less significance than ingestion of soil. While likely to be negligible, potential inhalation exposures associated with dust have been considered in the HIL derived.</w:t>
      </w:r>
    </w:p>
    <w:p w:rsidR="00BD4D54" w:rsidRPr="009338FB" w:rsidRDefault="00BD4D54" w:rsidP="00BD4D54">
      <w:pPr>
        <w:pStyle w:val="Heading3"/>
      </w:pPr>
      <w:bookmarkStart w:id="128" w:name="_Toc351714217"/>
      <w:r>
        <w:t>Plant Uptake</w:t>
      </w:r>
      <w:bookmarkEnd w:id="128"/>
    </w:p>
    <w:p w:rsidR="00BD4D54" w:rsidRDefault="00BD4D54" w:rsidP="00BD4D54">
      <w:r>
        <w:t>Mirex is noted to bioaccumulate in terrestrial plants (ATSDR 1995). Limited data shows plant uptake of mirex when applied as a pesticide, however no data is available on plant uptake from soil with residual contamination of mirex. Mirex has a high Koc value (log Koc = 3.7) and low solubility in water (ATSDR 1995), suggesting that the compound is largely bound to soil particulates and is immobile in soil. For plant uptake to be significant, the chemicals must be able to partition to soil water. With respect to mirex bound to the soil, the potential for partitioning to soil water is considered to be low and hence plant uptake is considered to be negligible.</w:t>
      </w:r>
    </w:p>
    <w:p w:rsidR="00BD4D54" w:rsidRPr="0089652E" w:rsidRDefault="00BD4D54" w:rsidP="00BD4D54">
      <w:pPr>
        <w:pStyle w:val="Heading3"/>
      </w:pPr>
      <w:bookmarkStart w:id="129" w:name="_Toc351714218"/>
      <w:r w:rsidRPr="0089652E">
        <w:lastRenderedPageBreak/>
        <w:t xml:space="preserve">Intakes from Other Sources </w:t>
      </w:r>
      <w:r>
        <w:t>–</w:t>
      </w:r>
      <w:r w:rsidRPr="0089652E">
        <w:t xml:space="preserve"> Background</w:t>
      </w:r>
      <w:bookmarkEnd w:id="129"/>
    </w:p>
    <w:p w:rsidR="00BD4D54" w:rsidRDefault="00BD4D54" w:rsidP="00BD4D54">
      <w:r>
        <w:t xml:space="preserve">No data is available regarding background concentrations of mirex in Australia. Given the chemical’s persistence in the environment, dietary intakes (particularly seafood) are expected to be of most significance for the general population. Mirex has not been detected in any food products evaluated in the </w:t>
      </w:r>
      <w:r w:rsidRPr="00F7443C">
        <w:rPr>
          <w:i/>
        </w:rPr>
        <w:t>23</w:t>
      </w:r>
      <w:r w:rsidRPr="00F7443C">
        <w:rPr>
          <w:i/>
          <w:vertAlign w:val="superscript"/>
        </w:rPr>
        <w:t>rd</w:t>
      </w:r>
      <w:r w:rsidRPr="00F7443C">
        <w:rPr>
          <w:i/>
        </w:rPr>
        <w:t xml:space="preserve"> Australian Total Diet Survey </w:t>
      </w:r>
      <w:r>
        <w:t xml:space="preserve">(FSANZ 2011). Limited data reported from the US in WHO (1984) suggest intakes of mirex from fish consumption ranged from 0.13 </w:t>
      </w:r>
      <w:r>
        <w:rPr>
          <w:rFonts w:cs="Arial"/>
        </w:rPr>
        <w:t>µ</w:t>
      </w:r>
      <w:r>
        <w:t xml:space="preserve">g/day to 0.39 </w:t>
      </w:r>
      <w:r>
        <w:rPr>
          <w:rFonts w:cs="Arial"/>
        </w:rPr>
        <w:t>µ</w:t>
      </w:r>
      <w:r>
        <w:t>g/day. These intakes are low however, if the upper value were considered this may comprise up to 10% of the recommended oral TRV. Mirex use in Australia in the past decade was limited (only in the NT) prior to final phase-out in 2007. Hence, background intakes in Australia are expected to be less than reported in the US. It is therefore reasonable to consider background intakes as essentially negligible.</w:t>
      </w:r>
    </w:p>
    <w:p w:rsidR="00BD4D54" w:rsidRDefault="00BD4D54" w:rsidP="00BD4D54">
      <w:pPr>
        <w:pStyle w:val="Heading2"/>
        <w:tabs>
          <w:tab w:val="clear" w:pos="1209"/>
        </w:tabs>
      </w:pPr>
      <w:bookmarkStart w:id="130" w:name="_Toc351714219"/>
      <w:r>
        <w:t>Identification of Toxicity Reference Values</w:t>
      </w:r>
      <w:bookmarkEnd w:id="130"/>
    </w:p>
    <w:p w:rsidR="00BD4D54" w:rsidRPr="00983A79" w:rsidRDefault="00BD4D54" w:rsidP="00BD4D54">
      <w:pPr>
        <w:pStyle w:val="Heading3"/>
      </w:pPr>
      <w:bookmarkStart w:id="131" w:name="_Toc351714220"/>
      <w:r w:rsidRPr="00983A79">
        <w:t>Classificatio</w:t>
      </w:r>
      <w:r>
        <w:t>n</w:t>
      </w:r>
      <w:bookmarkEnd w:id="131"/>
    </w:p>
    <w:p w:rsidR="00BD4D54" w:rsidRDefault="00BD4D54" w:rsidP="00BD4D54">
      <w:r w:rsidRPr="00C259C1">
        <w:t>The International Agency for Research on Cancer (IARC</w:t>
      </w:r>
      <w:r>
        <w:t xml:space="preserve"> 1987) has classified mirex as Group 2B—</w:t>
      </w:r>
      <w:r w:rsidRPr="004D4B76">
        <w:t>possibly carcinogenic to humans</w:t>
      </w:r>
      <w:r>
        <w:t xml:space="preserve">. </w:t>
      </w:r>
    </w:p>
    <w:p w:rsidR="00B0287F" w:rsidRDefault="00B0287F" w:rsidP="00BD4D54"/>
    <w:p w:rsidR="00BD4D54" w:rsidRPr="004D4B76" w:rsidRDefault="00BD4D54" w:rsidP="00BD4D54">
      <w:r w:rsidRPr="004D4B76">
        <w:t>It is noted</w:t>
      </w:r>
      <w:r>
        <w:t>,</w:t>
      </w:r>
      <w:r w:rsidRPr="004D4B76">
        <w:t xml:space="preserve"> that the current information </w:t>
      </w:r>
      <w:r>
        <w:t>from US EPA (</w:t>
      </w:r>
      <w:r w:rsidRPr="004D4B76">
        <w:t>IRIS</w:t>
      </w:r>
      <w:r>
        <w:t xml:space="preserve"> 2012)</w:t>
      </w:r>
      <w:r w:rsidRPr="004D4B76">
        <w:t xml:space="preserve"> notes that </w:t>
      </w:r>
      <w:r>
        <w:t>US EPA</w:t>
      </w:r>
      <w:r w:rsidRPr="004D4B76">
        <w:t xml:space="preserve"> has not classified mirex</w:t>
      </w:r>
      <w:r>
        <w:t xml:space="preserve">. </w:t>
      </w:r>
      <w:r w:rsidRPr="004D4B76">
        <w:t>A draft review of mirex (</w:t>
      </w:r>
      <w:r>
        <w:t>US EPA</w:t>
      </w:r>
      <w:r w:rsidRPr="004D4B76">
        <w:t xml:space="preserve"> 2003) identified mirex as likely to be carcinogenic to humans based on consistent findings of hepatic carcinogenic responses and less consistent findings of tumours in other tissues in several dietary studies in rats and mice. The human relevance of the animal evidence of carcinogenicity is assumed in the absence of adequate human data or mechanistic data to indicate that the mode of carcinogenic action in animals is not relevant to humans.</w:t>
      </w:r>
    </w:p>
    <w:p w:rsidR="00BD4D54" w:rsidRPr="00907E92" w:rsidRDefault="00BD4D54" w:rsidP="00BD4D54">
      <w:pPr>
        <w:pStyle w:val="Heading3"/>
      </w:pPr>
      <w:bookmarkStart w:id="132" w:name="_Toc351714221"/>
      <w:r w:rsidRPr="00907E92">
        <w:t>Review of Available Values</w:t>
      </w:r>
      <w:r>
        <w:t>/Information</w:t>
      </w:r>
      <w:bookmarkEnd w:id="132"/>
    </w:p>
    <w:p w:rsidR="00BD4D54" w:rsidRDefault="00BD4D54" w:rsidP="00BD4D54">
      <w:r>
        <w:t>There is some evidence that mirex is carcinogenic, based on studies in experimental rats and mice (WHO 1984). More recent review of mirex by US EPA (2003) indicates that the mechanism by which mirex causes non-neoplastic and neoplastic lesions in the liver is poorly understood. Mirex has not been genotoxic in numerous short-</w:t>
      </w:r>
      <w:r w:rsidRPr="00106607">
        <w:t>term in vitro</w:t>
      </w:r>
      <w:r w:rsidRPr="00106607">
        <w:rPr>
          <w:rFonts w:ascii="GPCEBO+TimesNewRoman,Italic" w:hAnsi="GPCEBO+TimesNewRoman,Italic" w:cs="GPCEBO+TimesNewRoman,Italic"/>
        </w:rPr>
        <w:t xml:space="preserve"> </w:t>
      </w:r>
      <w:r w:rsidRPr="00106607">
        <w:t>and a few in vivo</w:t>
      </w:r>
      <w:r w:rsidRPr="00106607">
        <w:rPr>
          <w:rFonts w:ascii="GPCEBO+TimesNewRoman,Italic" w:hAnsi="GPCEBO+TimesNewRoman,Italic" w:cs="GPCEBO+TimesNewRoman,Italic"/>
        </w:rPr>
        <w:t xml:space="preserve"> </w:t>
      </w:r>
      <w:r w:rsidRPr="00106607">
        <w:t>tests</w:t>
      </w:r>
      <w:r>
        <w:t xml:space="preserve"> (also noted by WHO 1984), leading to the hypothesis that tumorigenic responses to mirex in the liver do not directly involve a genotoxic mechanism and may involve proliferation of cells initiated spontaneously, or by some other agent, to become tumours. Review by ATSDR (1995) suggested that, based on weight of evidence, mirex is a probable tumour promoter. </w:t>
      </w:r>
    </w:p>
    <w:p w:rsidR="00B0287F" w:rsidRDefault="00B0287F" w:rsidP="00BD4D54"/>
    <w:p w:rsidR="00BD4D54" w:rsidRDefault="00BD4D54" w:rsidP="00BD4D54">
      <w:r>
        <w:t>On this basis, it is appropriate that a threshold approach be adopted. The following are available from Level 1 Australian and International sources:</w:t>
      </w:r>
    </w:p>
    <w:p w:rsidR="00BD4D54" w:rsidRDefault="00BD4D54" w:rsidP="00BD4D54"/>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3"/>
        <w:gridCol w:w="2203"/>
        <w:gridCol w:w="5454"/>
      </w:tblGrid>
      <w:tr w:rsidR="00BD4D54" w:rsidRPr="007D411C" w:rsidTr="00EC6328">
        <w:trPr>
          <w:tblHeader/>
        </w:trPr>
        <w:tc>
          <w:tcPr>
            <w:tcW w:w="1346" w:type="dxa"/>
            <w:shd w:val="clear" w:color="auto" w:fill="C6D9F1" w:themeFill="text2" w:themeFillTint="33"/>
          </w:tcPr>
          <w:p w:rsidR="00BD4D54" w:rsidRPr="007D411C" w:rsidRDefault="00BD4D54" w:rsidP="00EC6328">
            <w:pPr>
              <w:spacing w:before="20"/>
              <w:jc w:val="center"/>
              <w:rPr>
                <w:b/>
                <w:szCs w:val="22"/>
              </w:rPr>
            </w:pPr>
            <w:r w:rsidRPr="007D411C">
              <w:rPr>
                <w:b/>
                <w:szCs w:val="22"/>
              </w:rPr>
              <w:t>Source</w:t>
            </w:r>
          </w:p>
        </w:tc>
        <w:tc>
          <w:tcPr>
            <w:tcW w:w="2203" w:type="dxa"/>
            <w:shd w:val="clear" w:color="auto" w:fill="C6D9F1" w:themeFill="text2" w:themeFillTint="33"/>
          </w:tcPr>
          <w:p w:rsidR="00BD4D54" w:rsidRPr="007D411C" w:rsidRDefault="00BD4D54" w:rsidP="00EC6328">
            <w:pPr>
              <w:spacing w:before="20"/>
              <w:jc w:val="center"/>
              <w:rPr>
                <w:b/>
                <w:szCs w:val="22"/>
              </w:rPr>
            </w:pPr>
            <w:r w:rsidRPr="007D411C">
              <w:rPr>
                <w:b/>
                <w:szCs w:val="22"/>
              </w:rPr>
              <w:t>Value</w:t>
            </w:r>
          </w:p>
        </w:tc>
        <w:tc>
          <w:tcPr>
            <w:tcW w:w="5454" w:type="dxa"/>
            <w:shd w:val="clear" w:color="auto" w:fill="C6D9F1" w:themeFill="text2" w:themeFillTint="33"/>
          </w:tcPr>
          <w:p w:rsidR="00BD4D54" w:rsidRPr="007D411C" w:rsidRDefault="00BD4D54" w:rsidP="00EC6328">
            <w:pPr>
              <w:spacing w:before="20"/>
              <w:jc w:val="center"/>
              <w:rPr>
                <w:b/>
                <w:szCs w:val="22"/>
              </w:rPr>
            </w:pPr>
            <w:r w:rsidRPr="007D411C">
              <w:rPr>
                <w:b/>
                <w:szCs w:val="22"/>
              </w:rPr>
              <w:t>Basis/Comments</w:t>
            </w:r>
          </w:p>
        </w:tc>
      </w:tr>
      <w:tr w:rsidR="00BD4D54" w:rsidRPr="007D411C" w:rsidTr="00EC6328">
        <w:tc>
          <w:tcPr>
            <w:tcW w:w="9003" w:type="dxa"/>
            <w:gridSpan w:val="3"/>
          </w:tcPr>
          <w:p w:rsidR="00BD4D54" w:rsidRPr="007D411C" w:rsidRDefault="00BD4D54" w:rsidP="00EC6328">
            <w:pPr>
              <w:spacing w:before="20"/>
              <w:jc w:val="center"/>
              <w:rPr>
                <w:b/>
                <w:szCs w:val="22"/>
              </w:rPr>
            </w:pPr>
            <w:r w:rsidRPr="007D411C">
              <w:rPr>
                <w:b/>
                <w:szCs w:val="22"/>
              </w:rPr>
              <w:t>Australian</w:t>
            </w:r>
          </w:p>
        </w:tc>
      </w:tr>
      <w:tr w:rsidR="00BD4D54" w:rsidRPr="007D411C" w:rsidTr="00EC6328">
        <w:tc>
          <w:tcPr>
            <w:tcW w:w="1346" w:type="dxa"/>
          </w:tcPr>
          <w:p w:rsidR="00BD4D54" w:rsidRPr="007D411C" w:rsidRDefault="00BD4D54" w:rsidP="00EC6328">
            <w:pPr>
              <w:spacing w:before="20"/>
              <w:rPr>
                <w:szCs w:val="22"/>
              </w:rPr>
            </w:pPr>
            <w:r w:rsidRPr="007D411C">
              <w:rPr>
                <w:szCs w:val="22"/>
              </w:rPr>
              <w:t>ADWG (NHMRC 2011)</w:t>
            </w:r>
          </w:p>
        </w:tc>
        <w:tc>
          <w:tcPr>
            <w:tcW w:w="2203" w:type="dxa"/>
          </w:tcPr>
          <w:p w:rsidR="00BD4D54" w:rsidRPr="007D411C" w:rsidRDefault="00BD4D54" w:rsidP="00EC6328">
            <w:pPr>
              <w:spacing w:before="20"/>
              <w:rPr>
                <w:szCs w:val="22"/>
              </w:rPr>
            </w:pPr>
            <w:r w:rsidRPr="007D411C">
              <w:rPr>
                <w:szCs w:val="22"/>
              </w:rPr>
              <w:t>No evaluation available</w:t>
            </w:r>
          </w:p>
        </w:tc>
        <w:tc>
          <w:tcPr>
            <w:tcW w:w="5454" w:type="dxa"/>
          </w:tcPr>
          <w:p w:rsidR="00BD4D54" w:rsidRPr="007D411C" w:rsidRDefault="00BD4D54" w:rsidP="00EC6328">
            <w:pPr>
              <w:spacing w:before="20"/>
              <w:rPr>
                <w:szCs w:val="22"/>
              </w:rPr>
            </w:pPr>
          </w:p>
        </w:tc>
      </w:tr>
      <w:tr w:rsidR="00BD4D54" w:rsidRPr="007D411C" w:rsidTr="00EC6328">
        <w:tc>
          <w:tcPr>
            <w:tcW w:w="1346" w:type="dxa"/>
          </w:tcPr>
          <w:p w:rsidR="00BD4D54" w:rsidRPr="007D411C" w:rsidRDefault="00BD4D54" w:rsidP="00EC6328">
            <w:pPr>
              <w:spacing w:before="20"/>
              <w:rPr>
                <w:szCs w:val="22"/>
              </w:rPr>
            </w:pPr>
            <w:r w:rsidRPr="007D411C">
              <w:rPr>
                <w:szCs w:val="22"/>
              </w:rPr>
              <w:t>OCS (2012)</w:t>
            </w:r>
          </w:p>
        </w:tc>
        <w:tc>
          <w:tcPr>
            <w:tcW w:w="2203" w:type="dxa"/>
          </w:tcPr>
          <w:p w:rsidR="00BD4D54" w:rsidRPr="007D411C" w:rsidRDefault="00BD4D54" w:rsidP="00EC6328">
            <w:pPr>
              <w:spacing w:before="20"/>
              <w:rPr>
                <w:szCs w:val="22"/>
              </w:rPr>
            </w:pPr>
            <w:r w:rsidRPr="007D411C">
              <w:rPr>
                <w:szCs w:val="22"/>
              </w:rPr>
              <w:t>No evaluation available</w:t>
            </w:r>
          </w:p>
        </w:tc>
        <w:tc>
          <w:tcPr>
            <w:tcW w:w="5454" w:type="dxa"/>
          </w:tcPr>
          <w:p w:rsidR="00BD4D54" w:rsidRPr="007D411C" w:rsidRDefault="00BD4D54" w:rsidP="00EC6328">
            <w:pPr>
              <w:spacing w:before="20"/>
              <w:rPr>
                <w:szCs w:val="22"/>
              </w:rPr>
            </w:pPr>
          </w:p>
        </w:tc>
      </w:tr>
      <w:tr w:rsidR="00BD4D54" w:rsidRPr="007D411C" w:rsidTr="00EC6328">
        <w:tc>
          <w:tcPr>
            <w:tcW w:w="9003" w:type="dxa"/>
            <w:gridSpan w:val="3"/>
          </w:tcPr>
          <w:p w:rsidR="00BD4D54" w:rsidRPr="007D411C" w:rsidRDefault="00BD4D54" w:rsidP="00EC6328">
            <w:pPr>
              <w:spacing w:before="20"/>
              <w:jc w:val="center"/>
              <w:rPr>
                <w:b/>
                <w:szCs w:val="22"/>
              </w:rPr>
            </w:pPr>
            <w:r w:rsidRPr="007D411C">
              <w:rPr>
                <w:b/>
                <w:szCs w:val="22"/>
              </w:rPr>
              <w:t>International</w:t>
            </w:r>
          </w:p>
        </w:tc>
      </w:tr>
      <w:tr w:rsidR="00BD4D54" w:rsidRPr="007D411C" w:rsidTr="00EC6328">
        <w:tc>
          <w:tcPr>
            <w:tcW w:w="1346" w:type="dxa"/>
          </w:tcPr>
          <w:p w:rsidR="00BD4D54" w:rsidRPr="007D411C" w:rsidRDefault="00BD4D54" w:rsidP="00EC6328">
            <w:pPr>
              <w:spacing w:before="20"/>
              <w:rPr>
                <w:szCs w:val="22"/>
              </w:rPr>
            </w:pPr>
            <w:r w:rsidRPr="007D411C">
              <w:rPr>
                <w:szCs w:val="22"/>
              </w:rPr>
              <w:t>JMPR/WHO (1984)</w:t>
            </w:r>
          </w:p>
        </w:tc>
        <w:tc>
          <w:tcPr>
            <w:tcW w:w="2203" w:type="dxa"/>
          </w:tcPr>
          <w:p w:rsidR="00BD4D54" w:rsidRPr="007D411C" w:rsidRDefault="00BD4D54" w:rsidP="00EC6328">
            <w:pPr>
              <w:spacing w:before="20"/>
              <w:rPr>
                <w:szCs w:val="22"/>
              </w:rPr>
            </w:pPr>
            <w:r w:rsidRPr="007D411C">
              <w:rPr>
                <w:szCs w:val="22"/>
              </w:rPr>
              <w:t>No ADI established</w:t>
            </w:r>
          </w:p>
        </w:tc>
        <w:tc>
          <w:tcPr>
            <w:tcW w:w="5454" w:type="dxa"/>
          </w:tcPr>
          <w:p w:rsidR="00BD4D54" w:rsidRPr="007D411C" w:rsidRDefault="00BD4D54" w:rsidP="00EC6328">
            <w:pPr>
              <w:spacing w:before="20"/>
              <w:rPr>
                <w:szCs w:val="22"/>
              </w:rPr>
            </w:pPr>
            <w:r w:rsidRPr="007D411C">
              <w:rPr>
                <w:szCs w:val="22"/>
              </w:rPr>
              <w:t>No ADI was established by WHO (1984) or by JMPR.</w:t>
            </w:r>
          </w:p>
        </w:tc>
      </w:tr>
      <w:tr w:rsidR="00BD4D54" w:rsidRPr="007D411C" w:rsidTr="00EC6328">
        <w:tc>
          <w:tcPr>
            <w:tcW w:w="1346" w:type="dxa"/>
          </w:tcPr>
          <w:p w:rsidR="00BD4D54" w:rsidRPr="007D411C" w:rsidRDefault="00BD4D54" w:rsidP="00EC6328">
            <w:pPr>
              <w:spacing w:before="20"/>
              <w:rPr>
                <w:szCs w:val="22"/>
              </w:rPr>
            </w:pPr>
            <w:r w:rsidRPr="007D411C">
              <w:rPr>
                <w:szCs w:val="22"/>
              </w:rPr>
              <w:t>WHO (2011)</w:t>
            </w:r>
          </w:p>
        </w:tc>
        <w:tc>
          <w:tcPr>
            <w:tcW w:w="2203" w:type="dxa"/>
          </w:tcPr>
          <w:p w:rsidR="00BD4D54" w:rsidRPr="007D411C" w:rsidRDefault="00BD4D54" w:rsidP="00EC6328">
            <w:pPr>
              <w:spacing w:before="20"/>
              <w:rPr>
                <w:szCs w:val="22"/>
              </w:rPr>
            </w:pPr>
            <w:r w:rsidRPr="007D411C">
              <w:rPr>
                <w:szCs w:val="22"/>
              </w:rPr>
              <w:t>No evaluation available</w:t>
            </w:r>
          </w:p>
        </w:tc>
        <w:tc>
          <w:tcPr>
            <w:tcW w:w="5454" w:type="dxa"/>
          </w:tcPr>
          <w:p w:rsidR="00BD4D54" w:rsidRPr="007D411C" w:rsidRDefault="00BD4D54" w:rsidP="00EC6328">
            <w:pPr>
              <w:spacing w:before="20"/>
              <w:rPr>
                <w:szCs w:val="22"/>
              </w:rPr>
            </w:pPr>
            <w:r w:rsidRPr="007D411C">
              <w:rPr>
                <w:szCs w:val="22"/>
              </w:rPr>
              <w:t>No guideline established as mirex is listed as excluded from the DWG as it is unlikely to occur in drinking-water.</w:t>
            </w:r>
          </w:p>
        </w:tc>
      </w:tr>
      <w:tr w:rsidR="00BD4D54" w:rsidRPr="007D411C" w:rsidTr="00EC6328">
        <w:tc>
          <w:tcPr>
            <w:tcW w:w="1346" w:type="dxa"/>
          </w:tcPr>
          <w:p w:rsidR="00BD4D54" w:rsidRPr="007D411C" w:rsidRDefault="00BD4D54" w:rsidP="00EC6328">
            <w:pPr>
              <w:spacing w:before="20"/>
              <w:rPr>
                <w:szCs w:val="22"/>
              </w:rPr>
            </w:pPr>
            <w:r w:rsidRPr="007D411C">
              <w:rPr>
                <w:szCs w:val="22"/>
              </w:rPr>
              <w:t>ATSDR (1995)</w:t>
            </w:r>
          </w:p>
        </w:tc>
        <w:tc>
          <w:tcPr>
            <w:tcW w:w="2203" w:type="dxa"/>
          </w:tcPr>
          <w:p w:rsidR="00BD4D54" w:rsidRPr="007D411C" w:rsidRDefault="00BD4D54" w:rsidP="00EC6328">
            <w:pPr>
              <w:spacing w:before="20"/>
              <w:rPr>
                <w:szCs w:val="22"/>
              </w:rPr>
            </w:pPr>
            <w:r w:rsidRPr="007D411C">
              <w:rPr>
                <w:szCs w:val="22"/>
              </w:rPr>
              <w:t>MRL = 0.0008 mg/kg/day</w:t>
            </w:r>
          </w:p>
        </w:tc>
        <w:tc>
          <w:tcPr>
            <w:tcW w:w="5454" w:type="dxa"/>
          </w:tcPr>
          <w:p w:rsidR="00BD4D54" w:rsidRPr="007D411C" w:rsidRDefault="00BD4D54" w:rsidP="00EC6328">
            <w:pPr>
              <w:spacing w:before="20"/>
              <w:rPr>
                <w:szCs w:val="22"/>
              </w:rPr>
            </w:pPr>
            <w:r w:rsidRPr="007D411C">
              <w:rPr>
                <w:szCs w:val="22"/>
              </w:rPr>
              <w:t xml:space="preserve">Chronic oral MRL based on a NOAEL of 0.05 mg/kg/day for dose-dependent liver changes in a chronic duration rat study, and an uncertainty factor of 100. </w:t>
            </w:r>
          </w:p>
        </w:tc>
      </w:tr>
      <w:tr w:rsidR="00BD4D54" w:rsidRPr="007D411C" w:rsidTr="00EC6328">
        <w:tc>
          <w:tcPr>
            <w:tcW w:w="1346" w:type="dxa"/>
          </w:tcPr>
          <w:p w:rsidR="00BD4D54" w:rsidRPr="007D411C" w:rsidRDefault="00BD4D54" w:rsidP="00EC6328">
            <w:pPr>
              <w:spacing w:before="20"/>
              <w:rPr>
                <w:szCs w:val="22"/>
              </w:rPr>
            </w:pPr>
            <w:r w:rsidRPr="007D411C">
              <w:rPr>
                <w:szCs w:val="22"/>
              </w:rPr>
              <w:t xml:space="preserve">US EPA </w:t>
            </w:r>
            <w:r w:rsidRPr="007D411C">
              <w:rPr>
                <w:szCs w:val="22"/>
              </w:rPr>
              <w:lastRenderedPageBreak/>
              <w:t>(IRIS 2012)</w:t>
            </w:r>
          </w:p>
        </w:tc>
        <w:tc>
          <w:tcPr>
            <w:tcW w:w="2203" w:type="dxa"/>
          </w:tcPr>
          <w:p w:rsidR="00BD4D54" w:rsidRPr="007D411C" w:rsidRDefault="00BD4D54" w:rsidP="00EC6328">
            <w:pPr>
              <w:spacing w:before="20"/>
              <w:rPr>
                <w:szCs w:val="22"/>
              </w:rPr>
            </w:pPr>
            <w:r w:rsidRPr="007D411C">
              <w:rPr>
                <w:szCs w:val="22"/>
              </w:rPr>
              <w:lastRenderedPageBreak/>
              <w:t xml:space="preserve">RfD = 0.0002 </w:t>
            </w:r>
            <w:r w:rsidRPr="007D411C">
              <w:rPr>
                <w:szCs w:val="22"/>
              </w:rPr>
              <w:lastRenderedPageBreak/>
              <w:t>mg/kg/day</w:t>
            </w:r>
          </w:p>
          <w:p w:rsidR="00BD4D54" w:rsidRPr="007D411C" w:rsidRDefault="00BD4D54" w:rsidP="00EC6328">
            <w:pPr>
              <w:spacing w:before="20"/>
              <w:rPr>
                <w:szCs w:val="22"/>
              </w:rPr>
            </w:pPr>
          </w:p>
        </w:tc>
        <w:tc>
          <w:tcPr>
            <w:tcW w:w="5454" w:type="dxa"/>
          </w:tcPr>
          <w:p w:rsidR="00BD4D54" w:rsidRPr="007D411C" w:rsidRDefault="00BD4D54" w:rsidP="00EC6328">
            <w:pPr>
              <w:spacing w:before="20"/>
              <w:rPr>
                <w:szCs w:val="22"/>
              </w:rPr>
            </w:pPr>
            <w:r w:rsidRPr="007D411C">
              <w:rPr>
                <w:szCs w:val="22"/>
              </w:rPr>
              <w:lastRenderedPageBreak/>
              <w:t xml:space="preserve">Oral RfD currently within IRIS (last reviewed in 1992) </w:t>
            </w:r>
            <w:r w:rsidRPr="007D411C">
              <w:rPr>
                <w:szCs w:val="22"/>
              </w:rPr>
              <w:lastRenderedPageBreak/>
              <w:t xml:space="preserve">based on a NOAEL of 0.07 mg/kg/day associated with liver effects in a chronic duration rat study, and an uncertainty factor of 300. </w:t>
            </w:r>
          </w:p>
          <w:p w:rsidR="00BD4D54" w:rsidRPr="007D411C" w:rsidRDefault="00BD4D54" w:rsidP="00EC6328">
            <w:pPr>
              <w:spacing w:before="20"/>
              <w:rPr>
                <w:szCs w:val="22"/>
              </w:rPr>
            </w:pPr>
            <w:r w:rsidRPr="007D411C">
              <w:rPr>
                <w:szCs w:val="22"/>
              </w:rPr>
              <w:t>Mirex is currently being reassessed by the US EPA with a draft (2003) review deriving an oral RfD of 0.0005 mg/kg/day derived using a benchmark approach based on a LED10 of 0.15 mg/kg/day associated with liver effects in male and female rats, and an uncertainty factor of 300. A non-threshold (linear) assessment was also presented. This draft review has not been finalised as at March 2012.</w:t>
            </w:r>
          </w:p>
        </w:tc>
      </w:tr>
    </w:tbl>
    <w:p w:rsidR="00BD4D54" w:rsidRDefault="00BD4D54" w:rsidP="00BD4D54"/>
    <w:p w:rsidR="00BD4D54" w:rsidRDefault="00BD4D54" w:rsidP="00BD4D54">
      <w:r>
        <w:t>Limited quantitative data is available for mirex, with the few values available within the same order or magnitude. As there are so few evaluations available, the lower value currently available on IRIS is considered reasonable. No inhalation or dermal data are available, hence it is recommended that all intakes associated with contaminated soil be assessed on the basis of the oral TRV.</w:t>
      </w:r>
    </w:p>
    <w:p w:rsidR="00BD4D54" w:rsidRPr="00921D7B" w:rsidRDefault="00BD4D54" w:rsidP="00BD4D54">
      <w:pPr>
        <w:pStyle w:val="Heading3"/>
      </w:pPr>
      <w:bookmarkStart w:id="133" w:name="_Toc351714222"/>
      <w:r w:rsidRPr="00921D7B">
        <w:t>Recommendation</w:t>
      </w:r>
      <w:bookmarkEnd w:id="133"/>
    </w:p>
    <w:p w:rsidR="00BD4D54" w:rsidRPr="00191EC8" w:rsidRDefault="00BD4D54" w:rsidP="00BD4D54">
      <w:r>
        <w:t>On the basis of the discussion above the following toxicity reference values (TRVs) have been adopted for mirex in the derivation of HILs:</w:t>
      </w:r>
    </w:p>
    <w:p w:rsidR="00BD4D54" w:rsidRDefault="00BD4D54" w:rsidP="00BD4D54">
      <w:r>
        <w:rPr>
          <w:noProof/>
          <w:lang w:eastAsia="en-AU"/>
        </w:rPr>
        <mc:AlternateContent>
          <mc:Choice Requires="wps">
            <w:drawing>
              <wp:inline distT="0" distB="0" distL="0" distR="0">
                <wp:extent cx="5622290" cy="1743710"/>
                <wp:effectExtent l="13335" t="12065" r="12700" b="63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290" cy="1743710"/>
                        </a:xfrm>
                        <a:prstGeom prst="rect">
                          <a:avLst/>
                        </a:prstGeom>
                        <a:solidFill>
                          <a:srgbClr val="D8D8D8"/>
                        </a:solidFill>
                        <a:ln w="9525">
                          <a:solidFill>
                            <a:srgbClr val="000000"/>
                          </a:solidFill>
                          <a:miter lim="800000"/>
                          <a:headEnd/>
                          <a:tailEnd/>
                        </a:ln>
                      </wps:spPr>
                      <wps:txbx>
                        <w:txbxContent>
                          <w:p w:rsidR="00480C84" w:rsidRPr="00742163" w:rsidRDefault="00480C84" w:rsidP="00BD4D54">
                            <w:pPr>
                              <w:spacing w:after="40"/>
                              <w:rPr>
                                <w:b/>
                                <w:u w:val="single"/>
                              </w:rPr>
                            </w:pPr>
                            <w:r w:rsidRPr="00742163">
                              <w:rPr>
                                <w:b/>
                                <w:u w:val="single"/>
                              </w:rPr>
                              <w:t xml:space="preserve">Recommendation for </w:t>
                            </w:r>
                            <w:r>
                              <w:rPr>
                                <w:b/>
                                <w:u w:val="single"/>
                              </w:rPr>
                              <w:t>Mirex</w:t>
                            </w:r>
                          </w:p>
                          <w:p w:rsidR="00480C84" w:rsidRDefault="00480C84" w:rsidP="00BD4D54">
                            <w:pPr>
                              <w:spacing w:after="40"/>
                            </w:pPr>
                            <w:r>
                              <w:t>Oral TRV (TRV</w:t>
                            </w:r>
                            <w:r w:rsidRPr="00684B59">
                              <w:rPr>
                                <w:vertAlign w:val="subscript"/>
                              </w:rPr>
                              <w:t>O</w:t>
                            </w:r>
                            <w:r>
                              <w:t>) = 0.0002 mg/kg/day (US EPA IRIS 2012) for all pathways of exposure</w:t>
                            </w:r>
                          </w:p>
                          <w:p w:rsidR="00480C84" w:rsidRDefault="00480C84" w:rsidP="00BD4D54">
                            <w:pPr>
                              <w:spacing w:after="40"/>
                            </w:pPr>
                            <w:r>
                              <w:t>Dermal absorption factor (DAF) = 0.1 (or 10%) (US EPA 1995)</w:t>
                            </w:r>
                          </w:p>
                          <w:p w:rsidR="00480C84" w:rsidRDefault="00480C84" w:rsidP="00BD4D54">
                            <w:pPr>
                              <w:spacing w:after="40"/>
                            </w:pPr>
                            <w:r>
                              <w:t>Background intakes from other sources (as % of TRV):</w:t>
                            </w:r>
                          </w:p>
                          <w:p w:rsidR="00480C84" w:rsidRDefault="00480C84" w:rsidP="00BD4D54">
                            <w:pPr>
                              <w:spacing w:after="40"/>
                              <w:ind w:left="720"/>
                            </w:pPr>
                            <w:r>
                              <w:t>BI</w:t>
                            </w:r>
                            <w:r w:rsidRPr="002049F5">
                              <w:rPr>
                                <w:vertAlign w:val="subscript"/>
                              </w:rPr>
                              <w:t>O</w:t>
                            </w:r>
                            <w:r>
                              <w:t xml:space="preserve"> = 0% for oral and dermal intakes</w:t>
                            </w:r>
                          </w:p>
                          <w:p w:rsidR="00480C84" w:rsidRDefault="00480C84" w:rsidP="00BD4D54">
                            <w:pPr>
                              <w:spacing w:after="40"/>
                              <w:ind w:left="720"/>
                            </w:pPr>
                            <w:r>
                              <w:t xml:space="preserve">BIi = 0% for inhalation </w:t>
                            </w:r>
                          </w:p>
                        </w:txbxContent>
                      </wps:txbx>
                      <wps:bodyPr rot="0" vert="horz" wrap="square" lIns="91440" tIns="45720" rIns="91440" bIns="45720" anchor="t" anchorCtr="0" upright="1">
                        <a:noAutofit/>
                      </wps:bodyPr>
                    </wps:wsp>
                  </a:graphicData>
                </a:graphic>
              </wp:inline>
            </w:drawing>
          </mc:Choice>
          <mc:Fallback>
            <w:pict>
              <v:shape id="Text Box 4" o:spid="_x0000_s1037" type="#_x0000_t202" style="width:442.7pt;height:13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" fillcolor="#d8d8d8">
                <v:textbox>
                  <w:txbxContent>
                    <w:p w:rsidR="00480C84" w:rsidRPr="00742163" w:rsidRDefault="00480C84" w:rsidP="00BD4D54">
                      <w:pPr>
                        <w:spacing w:after="40"/>
                        <w:rPr>
                          <w:b/>
                          <w:u w:val="single"/>
                        </w:rPr>
                      </w:pPr>
                      <w:r w:rsidRPr="00742163">
                        <w:rPr>
                          <w:b/>
                          <w:u w:val="single"/>
                        </w:rPr>
                        <w:t xml:space="preserve">Recommendation for </w:t>
                      </w:r>
                      <w:r>
                        <w:rPr>
                          <w:b/>
                          <w:u w:val="single"/>
                        </w:rPr>
                        <w:t>Mirex</w:t>
                      </w:r>
                    </w:p>
                    <w:p w:rsidR="00480C84" w:rsidRDefault="00480C84" w:rsidP="00BD4D54">
                      <w:pPr>
                        <w:spacing w:after="40"/>
                      </w:pPr>
                      <w:r>
                        <w:t>Oral TRV (TRV</w:t>
                      </w:r>
                      <w:r w:rsidRPr="00684B59">
                        <w:rPr>
                          <w:vertAlign w:val="subscript"/>
                        </w:rPr>
                        <w:t>O</w:t>
                      </w:r>
                      <w:r>
                        <w:t>) = 0.0002 mg/kg/day (US EPA IRIS 2012) for all pathways of exposure</w:t>
                      </w:r>
                    </w:p>
                    <w:p w:rsidR="00480C84" w:rsidRDefault="00480C84" w:rsidP="00BD4D54">
                      <w:pPr>
                        <w:spacing w:after="40"/>
                      </w:pPr>
                      <w:r>
                        <w:t>Dermal absorption factor (DAF) = 0.1 (or 10%) (US EPA 1995)</w:t>
                      </w:r>
                    </w:p>
                    <w:p w:rsidR="00480C84" w:rsidRDefault="00480C84" w:rsidP="00BD4D54">
                      <w:pPr>
                        <w:spacing w:after="40"/>
                      </w:pPr>
                      <w:r>
                        <w:t>Background intakes from other sources (as % of TRV):</w:t>
                      </w:r>
                    </w:p>
                    <w:p w:rsidR="00480C84" w:rsidRDefault="00480C84" w:rsidP="00BD4D54">
                      <w:pPr>
                        <w:spacing w:after="40"/>
                        <w:ind w:left="720"/>
                      </w:pPr>
                      <w:r>
                        <w:t>BI</w:t>
                      </w:r>
                      <w:r w:rsidRPr="002049F5">
                        <w:rPr>
                          <w:vertAlign w:val="subscript"/>
                        </w:rPr>
                        <w:t>O</w:t>
                      </w:r>
                      <w:r>
                        <w:t xml:space="preserve"> = 0% for oral and dermal intakes</w:t>
                      </w:r>
                    </w:p>
                    <w:p w:rsidR="00480C84" w:rsidRDefault="00480C84" w:rsidP="00BD4D54">
                      <w:pPr>
                        <w:spacing w:after="40"/>
                        <w:ind w:left="720"/>
                      </w:pPr>
                      <w:r>
                        <w:t xml:space="preserve">BIi = 0% for inhalation </w:t>
                      </w:r>
                    </w:p>
                  </w:txbxContent>
                </v:textbox>
                <w10:anchorlock/>
              </v:shape>
            </w:pict>
          </mc:Fallback>
        </mc:AlternateContent>
      </w:r>
    </w:p>
    <w:p w:rsidR="00BD4D54" w:rsidRPr="00DB16F5" w:rsidRDefault="00BD4D54" w:rsidP="00BD4D54">
      <w:pPr>
        <w:pStyle w:val="Heading2"/>
        <w:tabs>
          <w:tab w:val="clear" w:pos="1209"/>
        </w:tabs>
      </w:pPr>
      <w:bookmarkStart w:id="134" w:name="_Toc351714223"/>
      <w:r w:rsidRPr="00DB16F5">
        <w:t>Calculated HILs</w:t>
      </w:r>
      <w:bookmarkEnd w:id="134"/>
    </w:p>
    <w:p w:rsidR="00BD4D54" w:rsidRDefault="00BD4D54" w:rsidP="00BD4D54">
      <w:r>
        <w:t>On the basis of the above, the following HILs have been derived for mirex (refer to Appendix B for equations used to calculate the HILs and Appendix C for calculations):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9"/>
        <w:gridCol w:w="1287"/>
        <w:gridCol w:w="1445"/>
        <w:gridCol w:w="1517"/>
        <w:gridCol w:w="1553"/>
        <w:gridCol w:w="1392"/>
      </w:tblGrid>
      <w:tr w:rsidR="00BD4D54" w:rsidRPr="007D411C" w:rsidTr="00EC6328">
        <w:tc>
          <w:tcPr>
            <w:tcW w:w="1639" w:type="dxa"/>
            <w:vMerge w:val="restart"/>
            <w:shd w:val="clear" w:color="auto" w:fill="C6D9F1" w:themeFill="text2" w:themeFillTint="33"/>
          </w:tcPr>
          <w:p w:rsidR="00BD4D54" w:rsidRPr="007D411C" w:rsidRDefault="00BD4D54" w:rsidP="00EC6328">
            <w:pPr>
              <w:spacing w:after="40"/>
              <w:rPr>
                <w:b/>
                <w:szCs w:val="22"/>
              </w:rPr>
            </w:pPr>
            <w:r w:rsidRPr="007D411C">
              <w:rPr>
                <w:b/>
                <w:szCs w:val="22"/>
              </w:rPr>
              <w:t>HIL Scenario</w:t>
            </w:r>
          </w:p>
        </w:tc>
        <w:tc>
          <w:tcPr>
            <w:tcW w:w="1287" w:type="dxa"/>
            <w:vMerge w:val="restart"/>
            <w:shd w:val="clear" w:color="auto" w:fill="C6D9F1" w:themeFill="text2" w:themeFillTint="33"/>
          </w:tcPr>
          <w:p w:rsidR="00BD4D54" w:rsidRPr="007D411C" w:rsidRDefault="00BD4D54" w:rsidP="00EC6328">
            <w:pPr>
              <w:spacing w:after="40"/>
              <w:jc w:val="center"/>
              <w:rPr>
                <w:b/>
                <w:szCs w:val="22"/>
              </w:rPr>
            </w:pPr>
            <w:r w:rsidRPr="007D411C">
              <w:rPr>
                <w:b/>
                <w:szCs w:val="22"/>
              </w:rPr>
              <w:t>HIL (mg/kg)</w:t>
            </w:r>
          </w:p>
        </w:tc>
        <w:tc>
          <w:tcPr>
            <w:tcW w:w="5907" w:type="dxa"/>
            <w:gridSpan w:val="4"/>
            <w:shd w:val="clear" w:color="auto" w:fill="C6D9F1" w:themeFill="text2" w:themeFillTint="33"/>
          </w:tcPr>
          <w:p w:rsidR="00BD4D54" w:rsidRPr="007D411C" w:rsidRDefault="00BD4D54" w:rsidP="00EC6328">
            <w:pPr>
              <w:spacing w:after="40"/>
              <w:jc w:val="center"/>
              <w:rPr>
                <w:b/>
                <w:szCs w:val="22"/>
              </w:rPr>
            </w:pPr>
            <w:r w:rsidRPr="007D411C">
              <w:rPr>
                <w:b/>
                <w:szCs w:val="22"/>
              </w:rPr>
              <w:t>Percentage Contribution from Exposure Pathways</w:t>
            </w:r>
          </w:p>
        </w:tc>
      </w:tr>
      <w:tr w:rsidR="00BD4D54" w:rsidRPr="007D411C" w:rsidTr="00EC6328">
        <w:trPr>
          <w:trHeight w:val="427"/>
        </w:trPr>
        <w:tc>
          <w:tcPr>
            <w:tcW w:w="1639" w:type="dxa"/>
            <w:vMerge/>
            <w:shd w:val="clear" w:color="auto" w:fill="C6D9F1" w:themeFill="text2" w:themeFillTint="33"/>
          </w:tcPr>
          <w:p w:rsidR="00BD4D54" w:rsidRPr="007D411C" w:rsidRDefault="00BD4D54" w:rsidP="00EC6328">
            <w:pPr>
              <w:spacing w:after="40"/>
              <w:rPr>
                <w:szCs w:val="22"/>
              </w:rPr>
            </w:pPr>
          </w:p>
        </w:tc>
        <w:tc>
          <w:tcPr>
            <w:tcW w:w="1287" w:type="dxa"/>
            <w:vMerge/>
            <w:shd w:val="clear" w:color="auto" w:fill="C6D9F1" w:themeFill="text2" w:themeFillTint="33"/>
          </w:tcPr>
          <w:p w:rsidR="00BD4D54" w:rsidRPr="007D411C" w:rsidRDefault="00BD4D54" w:rsidP="00EC6328">
            <w:pPr>
              <w:spacing w:after="40"/>
              <w:jc w:val="center"/>
              <w:rPr>
                <w:szCs w:val="22"/>
              </w:rPr>
            </w:pPr>
          </w:p>
        </w:tc>
        <w:tc>
          <w:tcPr>
            <w:tcW w:w="1445" w:type="dxa"/>
            <w:shd w:val="clear" w:color="auto" w:fill="C6D9F1" w:themeFill="text2" w:themeFillTint="33"/>
          </w:tcPr>
          <w:p w:rsidR="00BD4D54" w:rsidRPr="007D411C" w:rsidRDefault="00BD4D54" w:rsidP="00EC6328">
            <w:pPr>
              <w:spacing w:after="40"/>
              <w:jc w:val="center"/>
              <w:rPr>
                <w:b/>
                <w:szCs w:val="22"/>
              </w:rPr>
            </w:pPr>
            <w:r w:rsidRPr="007D411C">
              <w:rPr>
                <w:b/>
                <w:szCs w:val="22"/>
              </w:rPr>
              <w:t>Ingestion of Soil/Dust</w:t>
            </w:r>
          </w:p>
        </w:tc>
        <w:tc>
          <w:tcPr>
            <w:tcW w:w="1517" w:type="dxa"/>
            <w:shd w:val="clear" w:color="auto" w:fill="C6D9F1" w:themeFill="text2" w:themeFillTint="33"/>
          </w:tcPr>
          <w:p w:rsidR="00BD4D54" w:rsidRPr="007D411C" w:rsidRDefault="00BD4D54" w:rsidP="00EC6328">
            <w:pPr>
              <w:spacing w:after="40"/>
              <w:jc w:val="center"/>
              <w:rPr>
                <w:b/>
                <w:szCs w:val="22"/>
              </w:rPr>
            </w:pPr>
            <w:r w:rsidRPr="007D411C">
              <w:rPr>
                <w:b/>
                <w:szCs w:val="22"/>
              </w:rPr>
              <w:t>Ingestion of Home-grown Produce</w:t>
            </w:r>
          </w:p>
        </w:tc>
        <w:tc>
          <w:tcPr>
            <w:tcW w:w="1553" w:type="dxa"/>
            <w:shd w:val="clear" w:color="auto" w:fill="C6D9F1" w:themeFill="text2" w:themeFillTint="33"/>
          </w:tcPr>
          <w:p w:rsidR="00BD4D54" w:rsidRPr="007D411C" w:rsidRDefault="00BD4D54" w:rsidP="00EC6328">
            <w:pPr>
              <w:spacing w:after="40"/>
              <w:jc w:val="center"/>
              <w:rPr>
                <w:b/>
                <w:szCs w:val="22"/>
              </w:rPr>
            </w:pPr>
            <w:r w:rsidRPr="007D411C">
              <w:rPr>
                <w:b/>
                <w:szCs w:val="22"/>
              </w:rPr>
              <w:t>Dermal Absorption of Soil/Dust</w:t>
            </w:r>
          </w:p>
        </w:tc>
        <w:tc>
          <w:tcPr>
            <w:tcW w:w="1392" w:type="dxa"/>
            <w:shd w:val="clear" w:color="auto" w:fill="C6D9F1" w:themeFill="text2" w:themeFillTint="33"/>
          </w:tcPr>
          <w:p w:rsidR="00BD4D54" w:rsidRPr="007D411C" w:rsidRDefault="00BD4D54" w:rsidP="00EC6328">
            <w:pPr>
              <w:spacing w:after="40"/>
              <w:jc w:val="center"/>
              <w:rPr>
                <w:b/>
                <w:szCs w:val="22"/>
              </w:rPr>
            </w:pPr>
            <w:r w:rsidRPr="007D411C">
              <w:rPr>
                <w:b/>
                <w:szCs w:val="22"/>
              </w:rPr>
              <w:t>Inhalation (dust)</w:t>
            </w:r>
          </w:p>
        </w:tc>
      </w:tr>
      <w:tr w:rsidR="00BD4D54" w:rsidRPr="007D411C" w:rsidTr="00EC6328">
        <w:tc>
          <w:tcPr>
            <w:tcW w:w="1639" w:type="dxa"/>
          </w:tcPr>
          <w:p w:rsidR="00BD4D54" w:rsidRPr="007D411C" w:rsidRDefault="00BD4D54" w:rsidP="00EC6328">
            <w:pPr>
              <w:spacing w:after="40"/>
              <w:rPr>
                <w:szCs w:val="22"/>
              </w:rPr>
            </w:pPr>
            <w:r w:rsidRPr="007D411C">
              <w:rPr>
                <w:szCs w:val="22"/>
              </w:rPr>
              <w:t>Residential A</w:t>
            </w:r>
          </w:p>
        </w:tc>
        <w:tc>
          <w:tcPr>
            <w:tcW w:w="1287" w:type="dxa"/>
          </w:tcPr>
          <w:p w:rsidR="00BD4D54" w:rsidRPr="007D411C" w:rsidRDefault="00BD4D54" w:rsidP="00EC6328">
            <w:pPr>
              <w:spacing w:after="40"/>
              <w:jc w:val="center"/>
              <w:rPr>
                <w:szCs w:val="22"/>
              </w:rPr>
            </w:pPr>
            <w:r w:rsidRPr="007D411C">
              <w:rPr>
                <w:szCs w:val="22"/>
              </w:rPr>
              <w:t>10</w:t>
            </w:r>
          </w:p>
        </w:tc>
        <w:tc>
          <w:tcPr>
            <w:tcW w:w="1445" w:type="dxa"/>
          </w:tcPr>
          <w:p w:rsidR="00BD4D54" w:rsidRPr="007D411C" w:rsidRDefault="00BD4D54" w:rsidP="00EC6328">
            <w:pPr>
              <w:spacing w:after="40"/>
              <w:jc w:val="center"/>
              <w:rPr>
                <w:szCs w:val="22"/>
              </w:rPr>
            </w:pPr>
            <w:r w:rsidRPr="007D411C">
              <w:rPr>
                <w:szCs w:val="22"/>
              </w:rPr>
              <w:t>43</w:t>
            </w:r>
          </w:p>
        </w:tc>
        <w:tc>
          <w:tcPr>
            <w:tcW w:w="1517" w:type="dxa"/>
          </w:tcPr>
          <w:p w:rsidR="00BD4D54" w:rsidRPr="007D411C" w:rsidRDefault="00BD4D54" w:rsidP="00EC6328">
            <w:pPr>
              <w:spacing w:after="40"/>
              <w:jc w:val="center"/>
              <w:rPr>
                <w:szCs w:val="22"/>
              </w:rPr>
            </w:pPr>
            <w:r w:rsidRPr="007D411C">
              <w:rPr>
                <w:szCs w:val="22"/>
              </w:rPr>
              <w:t>--</w:t>
            </w:r>
          </w:p>
        </w:tc>
        <w:tc>
          <w:tcPr>
            <w:tcW w:w="1553" w:type="dxa"/>
          </w:tcPr>
          <w:p w:rsidR="00BD4D54" w:rsidRPr="007D411C" w:rsidRDefault="00BD4D54" w:rsidP="00EC6328">
            <w:pPr>
              <w:spacing w:after="40"/>
              <w:jc w:val="center"/>
              <w:rPr>
                <w:szCs w:val="22"/>
              </w:rPr>
            </w:pPr>
            <w:r w:rsidRPr="007D411C">
              <w:rPr>
                <w:szCs w:val="22"/>
              </w:rPr>
              <w:t>57</w:t>
            </w:r>
          </w:p>
        </w:tc>
        <w:tc>
          <w:tcPr>
            <w:tcW w:w="1392" w:type="dxa"/>
          </w:tcPr>
          <w:p w:rsidR="00BD4D54" w:rsidRPr="007D411C" w:rsidRDefault="00BD4D54" w:rsidP="00EC6328">
            <w:pPr>
              <w:spacing w:after="40"/>
              <w:jc w:val="center"/>
              <w:rPr>
                <w:szCs w:val="22"/>
              </w:rPr>
            </w:pPr>
            <w:r w:rsidRPr="007D411C">
              <w:rPr>
                <w:szCs w:val="22"/>
              </w:rPr>
              <w:t>&lt;1</w:t>
            </w:r>
          </w:p>
        </w:tc>
      </w:tr>
      <w:tr w:rsidR="00BD4D54" w:rsidRPr="007D411C" w:rsidTr="00EC6328">
        <w:tc>
          <w:tcPr>
            <w:tcW w:w="1639" w:type="dxa"/>
          </w:tcPr>
          <w:p w:rsidR="00BD4D54" w:rsidRPr="007D411C" w:rsidRDefault="00BD4D54" w:rsidP="00EC6328">
            <w:pPr>
              <w:spacing w:after="40"/>
              <w:rPr>
                <w:szCs w:val="22"/>
              </w:rPr>
            </w:pPr>
            <w:r w:rsidRPr="007D411C">
              <w:rPr>
                <w:szCs w:val="22"/>
              </w:rPr>
              <w:t>Residential B</w:t>
            </w:r>
          </w:p>
        </w:tc>
        <w:tc>
          <w:tcPr>
            <w:tcW w:w="1287" w:type="dxa"/>
          </w:tcPr>
          <w:p w:rsidR="00BD4D54" w:rsidRPr="007D411C" w:rsidRDefault="00BD4D54" w:rsidP="00EC6328">
            <w:pPr>
              <w:spacing w:after="40"/>
              <w:jc w:val="center"/>
              <w:rPr>
                <w:szCs w:val="22"/>
              </w:rPr>
            </w:pPr>
            <w:r w:rsidRPr="007D411C">
              <w:rPr>
                <w:szCs w:val="22"/>
              </w:rPr>
              <w:t>20</w:t>
            </w:r>
          </w:p>
        </w:tc>
        <w:tc>
          <w:tcPr>
            <w:tcW w:w="1445" w:type="dxa"/>
          </w:tcPr>
          <w:p w:rsidR="00BD4D54" w:rsidRPr="007D411C" w:rsidRDefault="00BD4D54" w:rsidP="00EC6328">
            <w:pPr>
              <w:spacing w:after="40"/>
              <w:jc w:val="center"/>
              <w:rPr>
                <w:szCs w:val="22"/>
              </w:rPr>
            </w:pPr>
            <w:r w:rsidRPr="007D411C">
              <w:rPr>
                <w:szCs w:val="22"/>
              </w:rPr>
              <w:t>16</w:t>
            </w:r>
          </w:p>
        </w:tc>
        <w:tc>
          <w:tcPr>
            <w:tcW w:w="1517" w:type="dxa"/>
          </w:tcPr>
          <w:p w:rsidR="00BD4D54" w:rsidRPr="007D411C" w:rsidRDefault="00BD4D54" w:rsidP="00EC6328">
            <w:pPr>
              <w:spacing w:after="40"/>
              <w:jc w:val="center"/>
              <w:rPr>
                <w:szCs w:val="22"/>
              </w:rPr>
            </w:pPr>
            <w:r w:rsidRPr="007D411C">
              <w:rPr>
                <w:szCs w:val="22"/>
              </w:rPr>
              <w:t>--</w:t>
            </w:r>
          </w:p>
        </w:tc>
        <w:tc>
          <w:tcPr>
            <w:tcW w:w="1553" w:type="dxa"/>
          </w:tcPr>
          <w:p w:rsidR="00BD4D54" w:rsidRPr="007D411C" w:rsidRDefault="00BD4D54" w:rsidP="00EC6328">
            <w:pPr>
              <w:spacing w:after="40"/>
              <w:jc w:val="center"/>
              <w:rPr>
                <w:szCs w:val="22"/>
              </w:rPr>
            </w:pPr>
            <w:r w:rsidRPr="007D411C">
              <w:rPr>
                <w:szCs w:val="22"/>
              </w:rPr>
              <w:t>84</w:t>
            </w:r>
          </w:p>
        </w:tc>
        <w:tc>
          <w:tcPr>
            <w:tcW w:w="1392" w:type="dxa"/>
          </w:tcPr>
          <w:p w:rsidR="00BD4D54" w:rsidRPr="007D411C" w:rsidRDefault="00BD4D54" w:rsidP="00EC6328">
            <w:pPr>
              <w:spacing w:after="40"/>
              <w:jc w:val="center"/>
              <w:rPr>
                <w:szCs w:val="22"/>
              </w:rPr>
            </w:pPr>
            <w:r w:rsidRPr="007D411C">
              <w:rPr>
                <w:szCs w:val="22"/>
              </w:rPr>
              <w:t>&lt;1</w:t>
            </w:r>
          </w:p>
        </w:tc>
      </w:tr>
      <w:tr w:rsidR="00BD4D54" w:rsidRPr="007D411C" w:rsidTr="00EC6328">
        <w:tc>
          <w:tcPr>
            <w:tcW w:w="1639" w:type="dxa"/>
          </w:tcPr>
          <w:p w:rsidR="00BD4D54" w:rsidRPr="007D411C" w:rsidRDefault="00BD4D54" w:rsidP="00EC6328">
            <w:pPr>
              <w:spacing w:after="40"/>
              <w:rPr>
                <w:szCs w:val="22"/>
              </w:rPr>
            </w:pPr>
            <w:r w:rsidRPr="007D411C">
              <w:rPr>
                <w:szCs w:val="22"/>
              </w:rPr>
              <w:t>Recreational C</w:t>
            </w:r>
          </w:p>
        </w:tc>
        <w:tc>
          <w:tcPr>
            <w:tcW w:w="1287" w:type="dxa"/>
          </w:tcPr>
          <w:p w:rsidR="00BD4D54" w:rsidRPr="007D411C" w:rsidRDefault="00BD4D54" w:rsidP="00EC6328">
            <w:pPr>
              <w:spacing w:after="40"/>
              <w:jc w:val="center"/>
              <w:rPr>
                <w:szCs w:val="22"/>
              </w:rPr>
            </w:pPr>
            <w:r w:rsidRPr="007D411C">
              <w:rPr>
                <w:szCs w:val="22"/>
              </w:rPr>
              <w:t>20</w:t>
            </w:r>
          </w:p>
        </w:tc>
        <w:tc>
          <w:tcPr>
            <w:tcW w:w="1445" w:type="dxa"/>
          </w:tcPr>
          <w:p w:rsidR="00BD4D54" w:rsidRPr="007D411C" w:rsidRDefault="00BD4D54" w:rsidP="00EC6328">
            <w:pPr>
              <w:spacing w:after="40"/>
              <w:jc w:val="center"/>
              <w:rPr>
                <w:szCs w:val="22"/>
              </w:rPr>
            </w:pPr>
            <w:r w:rsidRPr="007D411C">
              <w:rPr>
                <w:szCs w:val="22"/>
              </w:rPr>
              <w:t>27</w:t>
            </w:r>
          </w:p>
        </w:tc>
        <w:tc>
          <w:tcPr>
            <w:tcW w:w="1517" w:type="dxa"/>
          </w:tcPr>
          <w:p w:rsidR="00BD4D54" w:rsidRPr="007D411C" w:rsidRDefault="00BD4D54" w:rsidP="00EC6328">
            <w:pPr>
              <w:spacing w:after="40"/>
              <w:jc w:val="center"/>
              <w:rPr>
                <w:szCs w:val="22"/>
              </w:rPr>
            </w:pPr>
            <w:r w:rsidRPr="007D411C">
              <w:rPr>
                <w:szCs w:val="22"/>
              </w:rPr>
              <w:t>--</w:t>
            </w:r>
          </w:p>
        </w:tc>
        <w:tc>
          <w:tcPr>
            <w:tcW w:w="1553" w:type="dxa"/>
          </w:tcPr>
          <w:p w:rsidR="00BD4D54" w:rsidRPr="007D411C" w:rsidRDefault="00BD4D54" w:rsidP="00EC6328">
            <w:pPr>
              <w:spacing w:after="40"/>
              <w:jc w:val="center"/>
              <w:rPr>
                <w:szCs w:val="22"/>
              </w:rPr>
            </w:pPr>
            <w:r w:rsidRPr="007D411C">
              <w:rPr>
                <w:szCs w:val="22"/>
              </w:rPr>
              <w:t>73</w:t>
            </w:r>
          </w:p>
        </w:tc>
        <w:tc>
          <w:tcPr>
            <w:tcW w:w="1392" w:type="dxa"/>
          </w:tcPr>
          <w:p w:rsidR="00BD4D54" w:rsidRPr="007D411C" w:rsidRDefault="00BD4D54" w:rsidP="00EC6328">
            <w:pPr>
              <w:spacing w:after="40"/>
              <w:jc w:val="center"/>
              <w:rPr>
                <w:szCs w:val="22"/>
              </w:rPr>
            </w:pPr>
            <w:r w:rsidRPr="007D411C">
              <w:rPr>
                <w:szCs w:val="22"/>
              </w:rPr>
              <w:t>&lt;1</w:t>
            </w:r>
          </w:p>
        </w:tc>
      </w:tr>
      <w:tr w:rsidR="00BD4D54" w:rsidRPr="007D411C" w:rsidTr="00EC6328">
        <w:tc>
          <w:tcPr>
            <w:tcW w:w="1639" w:type="dxa"/>
          </w:tcPr>
          <w:p w:rsidR="00BD4D54" w:rsidRPr="007D411C" w:rsidRDefault="00BD4D54" w:rsidP="00EC6328">
            <w:pPr>
              <w:spacing w:after="40"/>
              <w:rPr>
                <w:szCs w:val="22"/>
              </w:rPr>
            </w:pPr>
            <w:r w:rsidRPr="007D411C">
              <w:rPr>
                <w:szCs w:val="22"/>
              </w:rPr>
              <w:t>Commercial D</w:t>
            </w:r>
          </w:p>
        </w:tc>
        <w:tc>
          <w:tcPr>
            <w:tcW w:w="1287" w:type="dxa"/>
          </w:tcPr>
          <w:p w:rsidR="00BD4D54" w:rsidRPr="007D411C" w:rsidRDefault="00BD4D54" w:rsidP="00EC6328">
            <w:pPr>
              <w:spacing w:after="40"/>
              <w:jc w:val="center"/>
              <w:rPr>
                <w:szCs w:val="22"/>
              </w:rPr>
            </w:pPr>
            <w:r w:rsidRPr="007D411C">
              <w:rPr>
                <w:szCs w:val="22"/>
              </w:rPr>
              <w:t>100</w:t>
            </w:r>
          </w:p>
        </w:tc>
        <w:tc>
          <w:tcPr>
            <w:tcW w:w="1445" w:type="dxa"/>
          </w:tcPr>
          <w:p w:rsidR="00BD4D54" w:rsidRPr="007D411C" w:rsidRDefault="00BD4D54" w:rsidP="00EC6328">
            <w:pPr>
              <w:spacing w:after="40"/>
              <w:jc w:val="center"/>
              <w:rPr>
                <w:szCs w:val="22"/>
              </w:rPr>
            </w:pPr>
            <w:r w:rsidRPr="007D411C">
              <w:rPr>
                <w:szCs w:val="22"/>
              </w:rPr>
              <w:t>12</w:t>
            </w:r>
          </w:p>
        </w:tc>
        <w:tc>
          <w:tcPr>
            <w:tcW w:w="1517" w:type="dxa"/>
          </w:tcPr>
          <w:p w:rsidR="00BD4D54" w:rsidRPr="007D411C" w:rsidRDefault="00BD4D54" w:rsidP="00EC6328">
            <w:pPr>
              <w:spacing w:after="40"/>
              <w:jc w:val="center"/>
              <w:rPr>
                <w:szCs w:val="22"/>
              </w:rPr>
            </w:pPr>
            <w:r w:rsidRPr="007D411C">
              <w:rPr>
                <w:szCs w:val="22"/>
              </w:rPr>
              <w:t>--</w:t>
            </w:r>
          </w:p>
        </w:tc>
        <w:tc>
          <w:tcPr>
            <w:tcW w:w="1553" w:type="dxa"/>
          </w:tcPr>
          <w:p w:rsidR="00BD4D54" w:rsidRPr="007D411C" w:rsidRDefault="00BD4D54" w:rsidP="00EC6328">
            <w:pPr>
              <w:spacing w:after="40"/>
              <w:jc w:val="center"/>
              <w:rPr>
                <w:szCs w:val="22"/>
              </w:rPr>
            </w:pPr>
            <w:r w:rsidRPr="007D411C">
              <w:rPr>
                <w:szCs w:val="22"/>
              </w:rPr>
              <w:t>88</w:t>
            </w:r>
          </w:p>
        </w:tc>
        <w:tc>
          <w:tcPr>
            <w:tcW w:w="1392" w:type="dxa"/>
          </w:tcPr>
          <w:p w:rsidR="00BD4D54" w:rsidRPr="007D411C" w:rsidRDefault="00BD4D54" w:rsidP="00EC6328">
            <w:pPr>
              <w:spacing w:after="40"/>
              <w:jc w:val="center"/>
              <w:rPr>
                <w:szCs w:val="22"/>
              </w:rPr>
            </w:pPr>
            <w:r w:rsidRPr="007D411C">
              <w:rPr>
                <w:szCs w:val="22"/>
              </w:rPr>
              <w:t>&lt;1</w:t>
            </w:r>
          </w:p>
        </w:tc>
      </w:tr>
    </w:tbl>
    <w:p w:rsidR="00BD4D54" w:rsidRPr="007D411C" w:rsidRDefault="00BD4D54" w:rsidP="00BD4D54">
      <w:pPr>
        <w:spacing w:after="40"/>
        <w:rPr>
          <w:sz w:val="18"/>
          <w:szCs w:val="18"/>
        </w:rPr>
      </w:pPr>
      <w:r w:rsidRPr="007D411C">
        <w:rPr>
          <w:sz w:val="18"/>
          <w:szCs w:val="18"/>
        </w:rPr>
        <w:t>-- Pathway not included in derivation of HIL</w:t>
      </w:r>
    </w:p>
    <w:p w:rsidR="00BD4D54" w:rsidRDefault="00BD4D54" w:rsidP="00BD4D54">
      <w:pPr>
        <w:pStyle w:val="Heading2"/>
        <w:tabs>
          <w:tab w:val="clear" w:pos="1209"/>
        </w:tabs>
      </w:pPr>
      <w:bookmarkStart w:id="135" w:name="_Toc351714224"/>
      <w:r>
        <w:t>References</w:t>
      </w:r>
      <w:bookmarkEnd w:id="135"/>
    </w:p>
    <w:p w:rsidR="00BD4D54" w:rsidRPr="007D411C" w:rsidRDefault="00BD4D54" w:rsidP="00BD4D54">
      <w:pPr>
        <w:pStyle w:val="StyletextLeft0cmHanging1cm"/>
      </w:pPr>
      <w:r w:rsidRPr="007D411C">
        <w:t>APVMA 2007, Special Gazette No S27, Monday 5th February 2007, APVMA Notice Regarding Agricultural Chemical Products Mirant, Commonwealth of Australia, Canberra, Australia.</w:t>
      </w:r>
    </w:p>
    <w:p w:rsidR="00BD4D54" w:rsidRPr="007D411C" w:rsidRDefault="00BD4D54" w:rsidP="00BD4D54">
      <w:pPr>
        <w:pStyle w:val="StyletextLeft0cmHanging1cm"/>
      </w:pPr>
      <w:r w:rsidRPr="007D411C">
        <w:t xml:space="preserve">ATSDR 1995, Toxicological Profile for Mirex and Chlordecone, Agency for Toxic Substances and Disease Registry, available from </w:t>
      </w:r>
      <w:hyperlink r:id="rId61" w:history="1">
        <w:r w:rsidRPr="007D411C">
          <w:rPr>
            <w:rStyle w:val="Hyperlink"/>
            <w:rFonts w:cs="Arial"/>
            <w:szCs w:val="22"/>
          </w:rPr>
          <w:t>http://www.atsdr.cdc.gov/ToxProfiles/tp.asp?id=643&amp;tid=118</w:t>
        </w:r>
      </w:hyperlink>
      <w:r w:rsidRPr="007D411C">
        <w:t>.</w:t>
      </w:r>
    </w:p>
    <w:p w:rsidR="00BD4D54" w:rsidRPr="007D411C" w:rsidRDefault="00BD4D54" w:rsidP="00BD4D54">
      <w:pPr>
        <w:pStyle w:val="StyletextLeft0cmHanging1cm"/>
      </w:pPr>
      <w:r w:rsidRPr="007D411C">
        <w:lastRenderedPageBreak/>
        <w:t>DEH 2006, Stockholm Convention on Persistent Organic Pollutants, Australia’s National Implementation Plan, Commonwealth of Australia, Canberra, Australia.</w:t>
      </w:r>
    </w:p>
    <w:p w:rsidR="00BD4D54" w:rsidRPr="007D411C" w:rsidRDefault="00BD4D54" w:rsidP="00BD4D54">
      <w:pPr>
        <w:pStyle w:val="StyletextLeft0cmHanging1cm"/>
        <w:rPr>
          <w:lang w:eastAsia="en-US"/>
        </w:rPr>
      </w:pPr>
      <w:r w:rsidRPr="007D411C">
        <w:rPr>
          <w:lang w:eastAsia="en-US"/>
        </w:rPr>
        <w:t>FSANZ 2011, The 23</w:t>
      </w:r>
      <w:r w:rsidRPr="007D411C">
        <w:rPr>
          <w:vertAlign w:val="superscript"/>
          <w:lang w:eastAsia="en-US"/>
        </w:rPr>
        <w:t>rd</w:t>
      </w:r>
      <w:r w:rsidRPr="007D411C">
        <w:rPr>
          <w:lang w:eastAsia="en-US"/>
        </w:rPr>
        <w:t xml:space="preserve"> Australian Total Diet Study, Food Standards Australia and New Zealand.</w:t>
      </w:r>
    </w:p>
    <w:p w:rsidR="00BD4D54" w:rsidRPr="007D411C" w:rsidRDefault="00BD4D54" w:rsidP="00BD4D54">
      <w:pPr>
        <w:pStyle w:val="StyletextLeft0cmHanging1cm"/>
      </w:pPr>
      <w:r w:rsidRPr="007D411C">
        <w:t>IARC 1987, Summaries &amp; Evaluations, Mirex, Suppl. 7, p.66, International Agency for Research on Cancer.</w:t>
      </w:r>
    </w:p>
    <w:p w:rsidR="00BD4D54" w:rsidRPr="007D411C" w:rsidRDefault="00BD4D54" w:rsidP="00BD4D54">
      <w:pPr>
        <w:pStyle w:val="StyletextLeft0cmHanging1cm"/>
      </w:pPr>
      <w:r w:rsidRPr="007D411C">
        <w:t>NEPC 1999, Schedule B (7a), Guideline on Health-Based Investigation Levels, National Environment Protection (Assessment of Site Contamination) Measure, National Environment Protection Council, Australia.</w:t>
      </w:r>
    </w:p>
    <w:p w:rsidR="00BD4D54" w:rsidRPr="007D411C" w:rsidRDefault="00BD4D54" w:rsidP="00BD4D54">
      <w:pPr>
        <w:pStyle w:val="StyletextLeft0cmHanging1cm"/>
        <w:rPr>
          <w:noProof/>
        </w:rPr>
      </w:pPr>
      <w:r w:rsidRPr="007D411C">
        <w:t>NHMRC 2011, National water quality management strategy, Australian drinking water guidelines, National Health and Medical Research Council, Australia</w:t>
      </w:r>
      <w:r w:rsidRPr="007D411C">
        <w:rPr>
          <w:noProof/>
        </w:rPr>
        <w:t>.</w:t>
      </w:r>
    </w:p>
    <w:p w:rsidR="00BD4D54" w:rsidRPr="007D411C" w:rsidRDefault="00BD4D54" w:rsidP="00BD4D54">
      <w:pPr>
        <w:pStyle w:val="StyletextLeft0cmHanging1cm"/>
      </w:pPr>
      <w:r w:rsidRPr="007D411C">
        <w:t xml:space="preserve">US EPA 1995, Technical Guidance Manual, Assessing Dermal Exposure from Soil, US EPA Region 3, available from: </w:t>
      </w:r>
      <w:hyperlink r:id="rId62" w:history="1">
        <w:r w:rsidRPr="007D411C">
          <w:rPr>
            <w:rStyle w:val="Hyperlink"/>
            <w:szCs w:val="22"/>
          </w:rPr>
          <w:t>http://www.epa.gov/reg3hwmd/risk/human/info/solabsg2.htm</w:t>
        </w:r>
      </w:hyperlink>
      <w:r w:rsidRPr="007D411C">
        <w:t>.</w:t>
      </w:r>
    </w:p>
    <w:p w:rsidR="00BD4D54" w:rsidRPr="007D411C" w:rsidRDefault="00BD4D54" w:rsidP="00BD4D54">
      <w:pPr>
        <w:pStyle w:val="StyletextLeft0cmHanging1cm"/>
      </w:pPr>
      <w:r w:rsidRPr="007D411C">
        <w:t xml:space="preserve">US EPA (IRIS 2012), data and information available from the Integrated Risk Information System, an online database, available from </w:t>
      </w:r>
      <w:hyperlink r:id="rId63" w:history="1">
        <w:r w:rsidRPr="007D411C">
          <w:rPr>
            <w:rStyle w:val="Hyperlink"/>
            <w:rFonts w:cs="Arial"/>
            <w:szCs w:val="22"/>
          </w:rPr>
          <w:t>http://www.epa.gov/iris/</w:t>
        </w:r>
      </w:hyperlink>
      <w:r w:rsidRPr="007D411C">
        <w:t>.</w:t>
      </w:r>
    </w:p>
    <w:p w:rsidR="00BD4D54" w:rsidRPr="007D411C" w:rsidRDefault="00BD4D54" w:rsidP="00BD4D54">
      <w:pPr>
        <w:pStyle w:val="StyletextLeft0cmHanging1cm"/>
      </w:pPr>
      <w:r w:rsidRPr="007D411C">
        <w:t xml:space="preserve">US EPA 2003, Toxicological Review of Mirex, in support of Summary Information on the Integrated Risk Information System (IRIS), External Review Draft. </w:t>
      </w:r>
    </w:p>
    <w:p w:rsidR="00BD4D54" w:rsidRPr="007D411C" w:rsidRDefault="00BD4D54" w:rsidP="00BD4D54">
      <w:pPr>
        <w:pStyle w:val="StyletextLeft0cmHanging1cm"/>
      </w:pPr>
      <w:r w:rsidRPr="007D411C">
        <w:t>WHO 1984, Environmental Health Criteria 44 Mirex, International Programme of Chemical Safety, World Health Organization, Geneva.</w:t>
      </w:r>
    </w:p>
    <w:p w:rsidR="00BD4D54" w:rsidRPr="007D411C" w:rsidRDefault="00BD4D54" w:rsidP="00BD4D54">
      <w:pPr>
        <w:pStyle w:val="StyletextLeft0cmHanging1cm"/>
      </w:pPr>
      <w:r w:rsidRPr="007D411C">
        <w:t>WHO 2011, Guidelines for drinking-water quality, 4</w:t>
      </w:r>
      <w:r w:rsidRPr="007D411C">
        <w:rPr>
          <w:vertAlign w:val="superscript"/>
        </w:rPr>
        <w:t>th</w:t>
      </w:r>
      <w:r w:rsidRPr="007D411C">
        <w:t xml:space="preserve"> edn, World Health Organization, Geneva</w:t>
      </w:r>
      <w:r>
        <w:t>,</w:t>
      </w:r>
      <w:r w:rsidRPr="007D411C">
        <w:t xml:space="preserve"> available from </w:t>
      </w:r>
      <w:hyperlink r:id="rId64" w:history="1">
        <w:r w:rsidRPr="007D411C">
          <w:rPr>
            <w:rStyle w:val="Hyperlink"/>
            <w:szCs w:val="22"/>
          </w:rPr>
          <w:t>http://www.who.int/water_sanitation_health/dwq/chemicals/en/index.html</w:t>
        </w:r>
      </w:hyperlink>
      <w:r w:rsidRPr="007D411C">
        <w:t>.</w:t>
      </w:r>
    </w:p>
    <w:p w:rsidR="00BD4D54" w:rsidRDefault="00BD4D54" w:rsidP="00BD4D54">
      <w:pPr>
        <w:pStyle w:val="Heading1"/>
        <w:tabs>
          <w:tab w:val="clear" w:pos="1209"/>
          <w:tab w:val="num" w:pos="720"/>
        </w:tabs>
      </w:pPr>
      <w:bookmarkStart w:id="136" w:name="_Toc351714225"/>
      <w:r>
        <w:lastRenderedPageBreak/>
        <w:t>Toxaphene</w:t>
      </w:r>
      <w:bookmarkEnd w:id="136"/>
    </w:p>
    <w:p w:rsidR="00BD4D54" w:rsidRDefault="00BD4D54" w:rsidP="00BD4D54">
      <w:pPr>
        <w:pStyle w:val="Heading2"/>
        <w:tabs>
          <w:tab w:val="clear" w:pos="1209"/>
        </w:tabs>
      </w:pPr>
      <w:bookmarkStart w:id="137" w:name="_Toc351714226"/>
      <w:r>
        <w:t>General</w:t>
      </w:r>
      <w:bookmarkEnd w:id="137"/>
    </w:p>
    <w:p w:rsidR="00BD4D54" w:rsidRDefault="00BD4D54" w:rsidP="00BD4D54">
      <w:r>
        <w:t>Several comprehensive reviews of toxaphene in the environment and its toxicity to humans are available and should be consulted for more detailed information (ATSDR 1996; IARC 2001). The following provides a summary of the key aspects of toxaphene that are relevant to the derivation of a soil HIL.</w:t>
      </w:r>
    </w:p>
    <w:p w:rsidR="00B0287F" w:rsidRDefault="00B0287F" w:rsidP="00BD4D54"/>
    <w:p w:rsidR="00BD4D54" w:rsidRDefault="00BD4D54" w:rsidP="00BD4D54">
      <w:r w:rsidRPr="00AB55BF">
        <w:t xml:space="preserve">Toxaphene is a mixture of over 670 compounds produced via the chlorination of camphenes from pine resins. Toxaphene is the active ingredient in a class of insecticides produced under a number of trade names including the following: Alltox, Attac, Camphechlor, chlorinated camphene, Compound 3956, Huilex, Melipax, Motox, Strobane-T, Texadust and Toxakil </w:t>
      </w:r>
      <w:r>
        <w:t>(ATSDR 1996)</w:t>
      </w:r>
      <w:r w:rsidRPr="00AB55BF">
        <w:t>. In its original form</w:t>
      </w:r>
      <w:r>
        <w:t>,</w:t>
      </w:r>
      <w:r w:rsidRPr="00AB55BF">
        <w:t xml:space="preserve"> toxaphene is a yellow, waxy solid with a chlorine or turpentine-like</w:t>
      </w:r>
      <w:r>
        <w:t xml:space="preserve"> </w:t>
      </w:r>
      <w:r w:rsidRPr="00AB55BF">
        <w:t xml:space="preserve">odour. It is highly insoluble in water but readily soluble in aromatic hydrocarbons. It is not flammable and evaporates slowly when in its solid form or when mixed with liquids </w:t>
      </w:r>
      <w:r>
        <w:t>(ATSDR 1996; IARC 2001)</w:t>
      </w:r>
      <w:r w:rsidRPr="00AB55BF">
        <w:t>.</w:t>
      </w:r>
    </w:p>
    <w:p w:rsidR="00B0287F" w:rsidRPr="00AB55BF" w:rsidRDefault="00B0287F" w:rsidP="00BD4D54"/>
    <w:p w:rsidR="00BD4D54" w:rsidRPr="00AB55BF" w:rsidRDefault="00BD4D54" w:rsidP="00BD4D54">
      <w:r w:rsidRPr="00AB55BF">
        <w:t xml:space="preserve">Toxaphene was manufactured and used as a non-systemic, contact insecticide </w:t>
      </w:r>
      <w:r>
        <w:t>from</w:t>
      </w:r>
      <w:r w:rsidRPr="00AB55BF">
        <w:t xml:space="preserve"> the late 1940s. Its use </w:t>
      </w:r>
      <w:r w:rsidRPr="004F1F8F">
        <w:t>was banned in Australia (since 1987) and much of the world in the 1980s; however, toxaphene is still used (to some degree) in some developing regions of the world including Africa, Asia and South America (ATSDR</w:t>
      </w:r>
      <w:r>
        <w:t xml:space="preserve"> 1996)</w:t>
      </w:r>
      <w:r w:rsidRPr="00AB55BF">
        <w:t>. Insecticide products containing toxaphene were primarily used on cotton, cereal grains, fruits, nuts and vegetables and were also used to control lice, ticks and mites in livestock and fish po</w:t>
      </w:r>
      <w:r>
        <w:t>pulations in water bodies (ATSDR 1996; IARC 2001)</w:t>
      </w:r>
      <w:r w:rsidRPr="00AB55BF">
        <w:t>.</w:t>
      </w:r>
      <w:r>
        <w:t xml:space="preserve"> Toxaphene was never used in Australia, with any registered products cancelled in 1987.</w:t>
      </w:r>
    </w:p>
    <w:p w:rsidR="00BD4D54" w:rsidRDefault="00BD4D54" w:rsidP="00BD4D54">
      <w:pPr>
        <w:pStyle w:val="Heading2"/>
        <w:tabs>
          <w:tab w:val="clear" w:pos="1209"/>
        </w:tabs>
      </w:pPr>
      <w:bookmarkStart w:id="138" w:name="_Toc351714227"/>
      <w:r>
        <w:t>Previous HIL</w:t>
      </w:r>
      <w:bookmarkEnd w:id="138"/>
    </w:p>
    <w:p w:rsidR="00BD4D54" w:rsidRDefault="00BD4D54" w:rsidP="00BD4D54">
      <w:r>
        <w:t>No previous HIL is available for toxaphene (NEPC 1999).</w:t>
      </w:r>
    </w:p>
    <w:p w:rsidR="00BD4D54" w:rsidRDefault="00BD4D54" w:rsidP="00BD4D54">
      <w:pPr>
        <w:pStyle w:val="Heading2"/>
        <w:tabs>
          <w:tab w:val="clear" w:pos="1209"/>
        </w:tabs>
      </w:pPr>
      <w:bookmarkStart w:id="139" w:name="_Toc351714228"/>
      <w:r>
        <w:t>Significance of Exposure Pathways</w:t>
      </w:r>
      <w:bookmarkEnd w:id="139"/>
    </w:p>
    <w:p w:rsidR="00BD4D54" w:rsidRPr="00E00A6A" w:rsidRDefault="00BD4D54" w:rsidP="00BD4D54">
      <w:pPr>
        <w:pStyle w:val="Heading3"/>
      </w:pPr>
      <w:bookmarkStart w:id="140" w:name="_Toc351714229"/>
      <w:r>
        <w:t xml:space="preserve">Oral </w:t>
      </w:r>
      <w:r w:rsidRPr="00E00A6A">
        <w:t>Bioavailability</w:t>
      </w:r>
      <w:bookmarkEnd w:id="140"/>
    </w:p>
    <w:p w:rsidR="00BD4D54" w:rsidRDefault="00BD4D54" w:rsidP="00BD4D54">
      <w:r>
        <w:t>Insufficient data is available to adequately define the bioavailability of toxaphene hence a default approach of assuming 100% oral bioavailability has been adopted in the derivation of an HIL. It is noted that a site-specific assessment of bioavailability can be undertaken where required.</w:t>
      </w:r>
    </w:p>
    <w:p w:rsidR="00BD4D54" w:rsidRPr="002D7B71" w:rsidRDefault="00BD4D54" w:rsidP="00BD4D54">
      <w:pPr>
        <w:pStyle w:val="Heading3"/>
      </w:pPr>
      <w:bookmarkStart w:id="141" w:name="_Toc351714230"/>
      <w:r>
        <w:t>Dermal absorption</w:t>
      </w:r>
      <w:bookmarkEnd w:id="141"/>
    </w:p>
    <w:p w:rsidR="00BD4D54" w:rsidRDefault="00BD4D54" w:rsidP="00BD4D54">
      <w:r>
        <w:t>Insufficient data is available on the dermal absorption of toxaphene from soil. Hence the default value of 0.1 (10%) suggested by US EPA (1995) for pesticides has been adopted in the derivation of HILs.</w:t>
      </w:r>
    </w:p>
    <w:p w:rsidR="00BD4D54" w:rsidRPr="009338FB" w:rsidRDefault="00BD4D54" w:rsidP="00BD4D54">
      <w:pPr>
        <w:pStyle w:val="Heading3"/>
      </w:pPr>
      <w:bookmarkStart w:id="142" w:name="_Toc351714231"/>
      <w:r w:rsidRPr="009338FB">
        <w:t>Inhalation of Dust</w:t>
      </w:r>
      <w:bookmarkEnd w:id="142"/>
    </w:p>
    <w:p w:rsidR="00BD4D54" w:rsidRDefault="00BD4D54" w:rsidP="00BD4D54">
      <w:r>
        <w:t>Toxaphene is not considered sufficiently volatile to be of significance and inhalation exposures associated with particulates outdoors and indoors are expected to be of less significance than ingestion of soil. While likely to be negligible, potential inhalation exposures associated with dust have been considered in the HIL derived.</w:t>
      </w:r>
    </w:p>
    <w:p w:rsidR="00BD4D54" w:rsidRPr="009338FB" w:rsidRDefault="00BD4D54" w:rsidP="00BD4D54">
      <w:pPr>
        <w:pStyle w:val="Heading3"/>
      </w:pPr>
      <w:bookmarkStart w:id="143" w:name="_Toc351714232"/>
      <w:r>
        <w:t>Plant Uptake</w:t>
      </w:r>
      <w:bookmarkEnd w:id="143"/>
    </w:p>
    <w:p w:rsidR="00BD4D54" w:rsidRDefault="00BD4D54" w:rsidP="00BD4D54">
      <w:r>
        <w:t xml:space="preserve">Limited data is available on the potential for plant uptake of toxaphene. ATSDR (1996) notes that toxaphene is not expected to be available to humans via ingestion of plants unless they have been recently treated with the mixture. </w:t>
      </w:r>
    </w:p>
    <w:p w:rsidR="00B0287F" w:rsidRDefault="00B0287F" w:rsidP="00BD4D54"/>
    <w:p w:rsidR="00BD4D54" w:rsidRDefault="00BD4D54" w:rsidP="00BD4D54">
      <w:r>
        <w:t>Toxaphene has a high Koc value (log Koc = 2.4</w:t>
      </w:r>
      <w:r>
        <w:sym w:font="Symbol" w:char="F02D"/>
      </w:r>
      <w:r>
        <w:t xml:space="preserve">5) and very low solubility in water (ATSDR 1996), suggesting that the compound is largely bound to soil particulates and is immobile in soil. For plant uptake to be </w:t>
      </w:r>
      <w:r w:rsidRPr="004F1F8F">
        <w:t>significant</w:t>
      </w:r>
      <w:r>
        <w:t>,</w:t>
      </w:r>
      <w:r w:rsidRPr="004F1F8F">
        <w:t xml:space="preserve"> the chemicals must be able to partition to soil water</w:t>
      </w:r>
      <w:r>
        <w:t>.</w:t>
      </w:r>
    </w:p>
    <w:p w:rsidR="00B0287F" w:rsidRDefault="00B0287F" w:rsidP="00BD4D54"/>
    <w:p w:rsidR="00BD4D54" w:rsidRDefault="00BD4D54" w:rsidP="00BD4D54">
      <w:r w:rsidRPr="004F1F8F">
        <w:lastRenderedPageBreak/>
        <w:t>With respect to toxaphene bound to the soil, the potential for partitioning to soil water is considered to be low and hence plant uptake is considered to be negligible.</w:t>
      </w:r>
    </w:p>
    <w:p w:rsidR="00BD4D54" w:rsidRPr="0089652E" w:rsidRDefault="00BD4D54" w:rsidP="00BD4D54">
      <w:pPr>
        <w:pStyle w:val="Heading3"/>
      </w:pPr>
      <w:bookmarkStart w:id="144" w:name="_Toc351714233"/>
      <w:r w:rsidRPr="0089652E">
        <w:t xml:space="preserve">Intakes from Other Sources </w:t>
      </w:r>
      <w:r>
        <w:t>–</w:t>
      </w:r>
      <w:r w:rsidRPr="0089652E">
        <w:t xml:space="preserve"> Background</w:t>
      </w:r>
      <w:bookmarkEnd w:id="144"/>
    </w:p>
    <w:p w:rsidR="00BD4D54" w:rsidRDefault="00BD4D54" w:rsidP="00BD4D54">
      <w:r>
        <w:t>No data is available regarding background concentrations of toxaphene in Australia. Given the chemical’s persistence in the environment and that it is no longer used in Australia, dietary intakes of residues are expected to be of most significance for the general population. Toxaphene was not included in the Australian Total Diet Surveys. Limited data reported from the US (ATSDR 1996) suggests intakes from dietary sources (based on data from 1986</w:t>
      </w:r>
      <w:r>
        <w:sym w:font="Symbol" w:char="F02D"/>
      </w:r>
      <w:r>
        <w:t xml:space="preserve">1991) are approximately 0.007 </w:t>
      </w:r>
      <w:r>
        <w:rPr>
          <w:rFonts w:cs="Arial"/>
        </w:rPr>
        <w:t>µ</w:t>
      </w:r>
      <w:r>
        <w:t xml:space="preserve">g/kg/day for adults and 0.0224 </w:t>
      </w:r>
      <w:r>
        <w:rPr>
          <w:rFonts w:cs="Arial"/>
        </w:rPr>
        <w:t>µ</w:t>
      </w:r>
      <w:r>
        <w:t>g/kg/day for children aged 2 years. These intakes are less than 10% of the recommended threshold TRV and, given that the compound is not used in Australia (and has not been used in 1987), potential background intakes are expected to be lower than estimated in the US. As no Australian data is available to confirm this assumption, a conservative approach has been adopted where background intakes have been assumed to comprise 10% of the adopted TRV.</w:t>
      </w:r>
    </w:p>
    <w:p w:rsidR="00BD4D54" w:rsidRDefault="00BD4D54" w:rsidP="00BD4D54">
      <w:pPr>
        <w:pStyle w:val="Heading2"/>
        <w:tabs>
          <w:tab w:val="clear" w:pos="1209"/>
        </w:tabs>
      </w:pPr>
      <w:bookmarkStart w:id="145" w:name="_Toc351714234"/>
      <w:r>
        <w:t>Identification of Toxicity Reference Values</w:t>
      </w:r>
      <w:bookmarkEnd w:id="145"/>
    </w:p>
    <w:p w:rsidR="00BD4D54" w:rsidRPr="00983A79" w:rsidRDefault="00BD4D54" w:rsidP="00BD4D54">
      <w:pPr>
        <w:pStyle w:val="Heading3"/>
      </w:pPr>
      <w:bookmarkStart w:id="146" w:name="_Toc351714235"/>
      <w:r>
        <w:t>Classification</w:t>
      </w:r>
      <w:bookmarkEnd w:id="146"/>
    </w:p>
    <w:p w:rsidR="00BD4D54" w:rsidRDefault="00BD4D54" w:rsidP="00BD4D54">
      <w:r w:rsidRPr="00C259C1">
        <w:t>The International Agency for Research on Cancer (IARC</w:t>
      </w:r>
      <w:r>
        <w:t xml:space="preserve"> 2001) has classified toxaphene as Group 2B</w:t>
      </w:r>
      <w:r>
        <w:rPr>
          <w:rFonts w:cs="Arial"/>
        </w:rPr>
        <w:t>—</w:t>
      </w:r>
      <w:r>
        <w:t>possibly carcinogenic to humans.</w:t>
      </w:r>
    </w:p>
    <w:p w:rsidR="00B0287F" w:rsidRDefault="00B0287F" w:rsidP="00BD4D54"/>
    <w:p w:rsidR="00BD4D54" w:rsidRDefault="00BD4D54" w:rsidP="00BD4D54">
      <w:r>
        <w:t>It is noted that US EPA has classified toxaphene as Group B2</w:t>
      </w:r>
      <w:r>
        <w:rPr>
          <w:rFonts w:cs="Arial"/>
        </w:rPr>
        <w:t>—</w:t>
      </w:r>
      <w:r>
        <w:t xml:space="preserve">probable human carcinogen. The evaluation is based on increased hepatocellular adenomas and carcinomas in mice and increased thyroid tumours in rats. </w:t>
      </w:r>
    </w:p>
    <w:p w:rsidR="00BD4D54" w:rsidRPr="00907E92" w:rsidRDefault="00BD4D54" w:rsidP="00BD4D54">
      <w:pPr>
        <w:pStyle w:val="Heading3"/>
      </w:pPr>
      <w:bookmarkStart w:id="147" w:name="_Toc351714236"/>
      <w:r w:rsidRPr="00907E92">
        <w:t>Review of Available Values</w:t>
      </w:r>
      <w:r>
        <w:t>/Information</w:t>
      </w:r>
      <w:bookmarkEnd w:id="147"/>
    </w:p>
    <w:p w:rsidR="00BD4D54" w:rsidRDefault="00BD4D54" w:rsidP="00BD4D54">
      <w:r>
        <w:t xml:space="preserve">Toxaphene induces hepatocellular adenomas and carcinomas in mice, thyroid follicular-cell adenomas and carcinomas in both sexes of rats, and pituitary adenomas in female rats. However, the available human data did not indicate a significant increase in cancer risk associated with exposure to toxaphene (IARC 2001). The mechanism underlying the carcinogenic effect is at present unclear. IARC (2001) notes that </w:t>
      </w:r>
      <w:r w:rsidRPr="00D97DEE">
        <w:t>some in vitro tests</w:t>
      </w:r>
      <w:r>
        <w:t xml:space="preserve"> for genotoxicity were positive, however due to limitations in the available database it cannot be concluded if toxaphene has genotoxic </w:t>
      </w:r>
      <w:r w:rsidRPr="00D97DEE">
        <w:t>potential in vivo or</w:t>
      </w:r>
      <w:r>
        <w:t xml:space="preserve"> not. Review by ATSDR (1996) suggests that toxaphene may be genotoxic. Review by ATSDR (1996) suggests that while organochlorines in general induce carcinogenic effects via an epigenetic mechanism rather than a genotoxic mechanism, the available data for toxaphene does not suggest that it meets all the criteria for an epigenetic carcinogen. Hence, ATSDR concludes that toxaphene may induce carcinogenicity via an epigenetic and genotoxic mechanism. The available data shows that toxaphene may be weakly genotoxic though there is insufficient data available to suggest that a non-threshold approach is relevant. </w:t>
      </w:r>
    </w:p>
    <w:p w:rsidR="00B0287F" w:rsidRDefault="00B0287F" w:rsidP="00BD4D54"/>
    <w:p w:rsidR="00BD4D54" w:rsidRDefault="00BD4D54" w:rsidP="00BD4D54">
      <w:pPr>
        <w:spacing w:after="60"/>
      </w:pPr>
      <w:r>
        <w:t>Few quantitative toxicity values are available for toxaphene with the following available from Level 1 Australian and International sources:</w:t>
      </w:r>
    </w:p>
    <w:p w:rsidR="00BD4D54" w:rsidRDefault="00BD4D54" w:rsidP="00BD4D54"/>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3"/>
        <w:gridCol w:w="2203"/>
        <w:gridCol w:w="5454"/>
      </w:tblGrid>
      <w:tr w:rsidR="00BD4D54" w:rsidRPr="007D411C" w:rsidTr="00EC6328">
        <w:trPr>
          <w:tblHeader/>
        </w:trPr>
        <w:tc>
          <w:tcPr>
            <w:tcW w:w="1346" w:type="dxa"/>
            <w:shd w:val="clear" w:color="auto" w:fill="C6D9F1" w:themeFill="text2" w:themeFillTint="33"/>
          </w:tcPr>
          <w:p w:rsidR="00BD4D54" w:rsidRPr="007D411C" w:rsidRDefault="00BD4D54" w:rsidP="00EC6328">
            <w:pPr>
              <w:spacing w:before="20"/>
              <w:jc w:val="center"/>
              <w:rPr>
                <w:b/>
                <w:szCs w:val="22"/>
              </w:rPr>
            </w:pPr>
            <w:r w:rsidRPr="007D411C">
              <w:rPr>
                <w:b/>
                <w:szCs w:val="22"/>
              </w:rPr>
              <w:t>Source</w:t>
            </w:r>
          </w:p>
        </w:tc>
        <w:tc>
          <w:tcPr>
            <w:tcW w:w="2203" w:type="dxa"/>
            <w:shd w:val="clear" w:color="auto" w:fill="C6D9F1" w:themeFill="text2" w:themeFillTint="33"/>
          </w:tcPr>
          <w:p w:rsidR="00BD4D54" w:rsidRPr="007D411C" w:rsidRDefault="00BD4D54" w:rsidP="00EC6328">
            <w:pPr>
              <w:spacing w:before="20"/>
              <w:jc w:val="center"/>
              <w:rPr>
                <w:b/>
                <w:szCs w:val="22"/>
              </w:rPr>
            </w:pPr>
            <w:r w:rsidRPr="007D411C">
              <w:rPr>
                <w:b/>
                <w:szCs w:val="22"/>
              </w:rPr>
              <w:t>Value</w:t>
            </w:r>
          </w:p>
        </w:tc>
        <w:tc>
          <w:tcPr>
            <w:tcW w:w="5454" w:type="dxa"/>
            <w:shd w:val="clear" w:color="auto" w:fill="C6D9F1" w:themeFill="text2" w:themeFillTint="33"/>
          </w:tcPr>
          <w:p w:rsidR="00BD4D54" w:rsidRPr="007D411C" w:rsidRDefault="00BD4D54" w:rsidP="00EC6328">
            <w:pPr>
              <w:spacing w:before="20"/>
              <w:jc w:val="center"/>
              <w:rPr>
                <w:b/>
                <w:szCs w:val="22"/>
              </w:rPr>
            </w:pPr>
            <w:r w:rsidRPr="007D411C">
              <w:rPr>
                <w:b/>
                <w:szCs w:val="22"/>
              </w:rPr>
              <w:t>Basis/Comments</w:t>
            </w:r>
          </w:p>
        </w:tc>
      </w:tr>
      <w:tr w:rsidR="00BD4D54" w:rsidRPr="007D411C" w:rsidTr="00EC6328">
        <w:tc>
          <w:tcPr>
            <w:tcW w:w="9003" w:type="dxa"/>
            <w:gridSpan w:val="3"/>
          </w:tcPr>
          <w:p w:rsidR="00BD4D54" w:rsidRPr="007D411C" w:rsidRDefault="00BD4D54" w:rsidP="00EC6328">
            <w:pPr>
              <w:spacing w:before="20"/>
              <w:jc w:val="center"/>
              <w:rPr>
                <w:b/>
                <w:szCs w:val="22"/>
              </w:rPr>
            </w:pPr>
            <w:r w:rsidRPr="007D411C">
              <w:rPr>
                <w:b/>
                <w:szCs w:val="22"/>
              </w:rPr>
              <w:t>Australian</w:t>
            </w:r>
          </w:p>
        </w:tc>
      </w:tr>
      <w:tr w:rsidR="00BD4D54" w:rsidRPr="007D411C" w:rsidTr="00EC6328">
        <w:tc>
          <w:tcPr>
            <w:tcW w:w="1346" w:type="dxa"/>
          </w:tcPr>
          <w:p w:rsidR="00BD4D54" w:rsidRPr="007D411C" w:rsidRDefault="00BD4D54" w:rsidP="00EC6328">
            <w:pPr>
              <w:spacing w:before="20"/>
              <w:rPr>
                <w:szCs w:val="22"/>
              </w:rPr>
            </w:pPr>
            <w:r w:rsidRPr="007D411C">
              <w:rPr>
                <w:szCs w:val="22"/>
              </w:rPr>
              <w:t xml:space="preserve">ADWG </w:t>
            </w:r>
          </w:p>
        </w:tc>
        <w:tc>
          <w:tcPr>
            <w:tcW w:w="2203" w:type="dxa"/>
          </w:tcPr>
          <w:p w:rsidR="00BD4D54" w:rsidRPr="007D411C" w:rsidRDefault="00BD4D54" w:rsidP="00EC6328">
            <w:pPr>
              <w:spacing w:before="20"/>
              <w:rPr>
                <w:szCs w:val="22"/>
              </w:rPr>
            </w:pPr>
            <w:r w:rsidRPr="007D411C">
              <w:rPr>
                <w:szCs w:val="22"/>
              </w:rPr>
              <w:t>No evaluation available</w:t>
            </w:r>
          </w:p>
        </w:tc>
        <w:tc>
          <w:tcPr>
            <w:tcW w:w="5454" w:type="dxa"/>
          </w:tcPr>
          <w:p w:rsidR="00BD4D54" w:rsidRPr="007D411C" w:rsidRDefault="00BD4D54" w:rsidP="00EC6328">
            <w:pPr>
              <w:spacing w:before="20"/>
              <w:rPr>
                <w:szCs w:val="22"/>
              </w:rPr>
            </w:pPr>
          </w:p>
        </w:tc>
      </w:tr>
      <w:tr w:rsidR="00BD4D54" w:rsidRPr="007D411C" w:rsidTr="00EC6328">
        <w:tc>
          <w:tcPr>
            <w:tcW w:w="1346" w:type="dxa"/>
          </w:tcPr>
          <w:p w:rsidR="00BD4D54" w:rsidRPr="007D411C" w:rsidRDefault="00BD4D54" w:rsidP="00EC6328">
            <w:pPr>
              <w:spacing w:before="20"/>
              <w:rPr>
                <w:szCs w:val="22"/>
              </w:rPr>
            </w:pPr>
            <w:r w:rsidRPr="007D411C">
              <w:rPr>
                <w:szCs w:val="22"/>
              </w:rPr>
              <w:t>OCS (2012)</w:t>
            </w:r>
          </w:p>
        </w:tc>
        <w:tc>
          <w:tcPr>
            <w:tcW w:w="2203" w:type="dxa"/>
          </w:tcPr>
          <w:p w:rsidR="00BD4D54" w:rsidRPr="007D411C" w:rsidRDefault="00BD4D54" w:rsidP="00EC6328">
            <w:pPr>
              <w:spacing w:before="20"/>
              <w:rPr>
                <w:szCs w:val="22"/>
              </w:rPr>
            </w:pPr>
            <w:r w:rsidRPr="007D411C">
              <w:rPr>
                <w:szCs w:val="22"/>
              </w:rPr>
              <w:t>No evaluation available</w:t>
            </w:r>
          </w:p>
        </w:tc>
        <w:tc>
          <w:tcPr>
            <w:tcW w:w="5454" w:type="dxa"/>
          </w:tcPr>
          <w:p w:rsidR="00BD4D54" w:rsidRPr="007D411C" w:rsidRDefault="00BD4D54" w:rsidP="00EC6328">
            <w:pPr>
              <w:spacing w:before="20"/>
              <w:rPr>
                <w:szCs w:val="22"/>
              </w:rPr>
            </w:pPr>
          </w:p>
        </w:tc>
      </w:tr>
      <w:tr w:rsidR="00BD4D54" w:rsidRPr="007D411C" w:rsidTr="00EC6328">
        <w:tc>
          <w:tcPr>
            <w:tcW w:w="9003" w:type="dxa"/>
            <w:gridSpan w:val="3"/>
          </w:tcPr>
          <w:p w:rsidR="00BD4D54" w:rsidRPr="007D411C" w:rsidRDefault="00BD4D54" w:rsidP="00EC6328">
            <w:pPr>
              <w:spacing w:before="20"/>
              <w:jc w:val="center"/>
              <w:rPr>
                <w:b/>
                <w:szCs w:val="22"/>
              </w:rPr>
            </w:pPr>
            <w:r w:rsidRPr="007D411C">
              <w:rPr>
                <w:b/>
                <w:szCs w:val="22"/>
              </w:rPr>
              <w:t>International</w:t>
            </w:r>
          </w:p>
        </w:tc>
      </w:tr>
      <w:tr w:rsidR="00BD4D54" w:rsidRPr="007D411C" w:rsidTr="00EC6328">
        <w:tc>
          <w:tcPr>
            <w:tcW w:w="1346" w:type="dxa"/>
          </w:tcPr>
          <w:p w:rsidR="00BD4D54" w:rsidRPr="007D411C" w:rsidRDefault="00BD4D54" w:rsidP="00EC6328">
            <w:pPr>
              <w:spacing w:before="20"/>
              <w:rPr>
                <w:szCs w:val="22"/>
              </w:rPr>
            </w:pPr>
            <w:r w:rsidRPr="007D411C">
              <w:rPr>
                <w:szCs w:val="22"/>
              </w:rPr>
              <w:t>JMPR/WHO</w:t>
            </w:r>
          </w:p>
        </w:tc>
        <w:tc>
          <w:tcPr>
            <w:tcW w:w="2203" w:type="dxa"/>
          </w:tcPr>
          <w:p w:rsidR="00BD4D54" w:rsidRPr="007D411C" w:rsidRDefault="00BD4D54" w:rsidP="00EC6328">
            <w:pPr>
              <w:spacing w:before="20"/>
              <w:rPr>
                <w:szCs w:val="22"/>
              </w:rPr>
            </w:pPr>
            <w:r w:rsidRPr="007D411C">
              <w:rPr>
                <w:szCs w:val="22"/>
              </w:rPr>
              <w:t>No ADI established</w:t>
            </w:r>
          </w:p>
        </w:tc>
        <w:tc>
          <w:tcPr>
            <w:tcW w:w="5454" w:type="dxa"/>
          </w:tcPr>
          <w:p w:rsidR="00BD4D54" w:rsidRPr="007D411C" w:rsidRDefault="00BD4D54" w:rsidP="00EC6328">
            <w:pPr>
              <w:spacing w:before="20"/>
              <w:rPr>
                <w:szCs w:val="22"/>
              </w:rPr>
            </w:pPr>
            <w:r w:rsidRPr="007D411C">
              <w:rPr>
                <w:szCs w:val="22"/>
              </w:rPr>
              <w:t>NO ADI was established by WHO or by JMPR for toxaphene or campheclor.</w:t>
            </w:r>
          </w:p>
        </w:tc>
      </w:tr>
      <w:tr w:rsidR="00BD4D54" w:rsidRPr="007D411C" w:rsidTr="00EC6328">
        <w:tc>
          <w:tcPr>
            <w:tcW w:w="1346" w:type="dxa"/>
          </w:tcPr>
          <w:p w:rsidR="00BD4D54" w:rsidRPr="007D411C" w:rsidRDefault="00BD4D54" w:rsidP="00EC6328">
            <w:pPr>
              <w:spacing w:before="20"/>
              <w:rPr>
                <w:szCs w:val="22"/>
              </w:rPr>
            </w:pPr>
            <w:r w:rsidRPr="007D411C">
              <w:rPr>
                <w:szCs w:val="22"/>
              </w:rPr>
              <w:t xml:space="preserve">WHO </w:t>
            </w:r>
            <w:r w:rsidRPr="007D411C">
              <w:rPr>
                <w:szCs w:val="22"/>
              </w:rPr>
              <w:lastRenderedPageBreak/>
              <w:t>(2011)</w:t>
            </w:r>
          </w:p>
        </w:tc>
        <w:tc>
          <w:tcPr>
            <w:tcW w:w="2203" w:type="dxa"/>
          </w:tcPr>
          <w:p w:rsidR="00BD4D54" w:rsidRPr="007D411C" w:rsidRDefault="00BD4D54" w:rsidP="00EC6328">
            <w:pPr>
              <w:spacing w:before="20"/>
              <w:rPr>
                <w:szCs w:val="22"/>
              </w:rPr>
            </w:pPr>
            <w:r w:rsidRPr="007D411C">
              <w:rPr>
                <w:szCs w:val="22"/>
              </w:rPr>
              <w:lastRenderedPageBreak/>
              <w:t xml:space="preserve">No evaluation </w:t>
            </w:r>
            <w:r w:rsidRPr="007D411C">
              <w:rPr>
                <w:szCs w:val="22"/>
              </w:rPr>
              <w:lastRenderedPageBreak/>
              <w:t>available</w:t>
            </w:r>
          </w:p>
        </w:tc>
        <w:tc>
          <w:tcPr>
            <w:tcW w:w="5454" w:type="dxa"/>
          </w:tcPr>
          <w:p w:rsidR="00BD4D54" w:rsidRPr="007D411C" w:rsidRDefault="00BD4D54" w:rsidP="00EC6328">
            <w:pPr>
              <w:spacing w:before="20"/>
              <w:rPr>
                <w:szCs w:val="22"/>
              </w:rPr>
            </w:pPr>
          </w:p>
        </w:tc>
      </w:tr>
      <w:tr w:rsidR="00BD4D54" w:rsidRPr="007D411C" w:rsidTr="00EC6328">
        <w:tc>
          <w:tcPr>
            <w:tcW w:w="1346" w:type="dxa"/>
          </w:tcPr>
          <w:p w:rsidR="00BD4D54" w:rsidRPr="007D411C" w:rsidRDefault="00BD4D54" w:rsidP="00EC6328">
            <w:pPr>
              <w:spacing w:before="20"/>
              <w:rPr>
                <w:szCs w:val="22"/>
              </w:rPr>
            </w:pPr>
            <w:r w:rsidRPr="007D411C">
              <w:rPr>
                <w:szCs w:val="22"/>
              </w:rPr>
              <w:lastRenderedPageBreak/>
              <w:t>ATSDR (1996)</w:t>
            </w:r>
          </w:p>
        </w:tc>
        <w:tc>
          <w:tcPr>
            <w:tcW w:w="2203" w:type="dxa"/>
          </w:tcPr>
          <w:p w:rsidR="00BD4D54" w:rsidRPr="007D411C" w:rsidRDefault="00BD4D54" w:rsidP="00EC6328">
            <w:pPr>
              <w:spacing w:before="20"/>
              <w:rPr>
                <w:szCs w:val="22"/>
              </w:rPr>
            </w:pPr>
            <w:r w:rsidRPr="007D411C">
              <w:rPr>
                <w:szCs w:val="22"/>
              </w:rPr>
              <w:t>No chronic MRLs derived</w:t>
            </w:r>
          </w:p>
        </w:tc>
        <w:tc>
          <w:tcPr>
            <w:tcW w:w="5454" w:type="dxa"/>
          </w:tcPr>
          <w:p w:rsidR="00BD4D54" w:rsidRPr="007D411C" w:rsidRDefault="00BD4D54" w:rsidP="00EC6328">
            <w:pPr>
              <w:spacing w:before="20"/>
              <w:rPr>
                <w:szCs w:val="22"/>
              </w:rPr>
            </w:pPr>
            <w:r w:rsidRPr="007D411C">
              <w:rPr>
                <w:szCs w:val="22"/>
              </w:rPr>
              <w:t>No chronic duration MRLs derived, however ATSDR has derived an intermediate duration oral MRL of 0.001 mg/kg/day based on hepatic effects.</w:t>
            </w:r>
          </w:p>
        </w:tc>
      </w:tr>
      <w:tr w:rsidR="00BD4D54" w:rsidRPr="007D411C" w:rsidTr="00EC6328">
        <w:tc>
          <w:tcPr>
            <w:tcW w:w="1346" w:type="dxa"/>
          </w:tcPr>
          <w:p w:rsidR="00BD4D54" w:rsidRPr="007D411C" w:rsidRDefault="00BD4D54" w:rsidP="00EC6328">
            <w:pPr>
              <w:spacing w:before="20"/>
              <w:rPr>
                <w:szCs w:val="22"/>
              </w:rPr>
            </w:pPr>
            <w:r w:rsidRPr="007D411C">
              <w:rPr>
                <w:szCs w:val="22"/>
              </w:rPr>
              <w:t>OEHHA (2003)</w:t>
            </w:r>
          </w:p>
        </w:tc>
        <w:tc>
          <w:tcPr>
            <w:tcW w:w="2203" w:type="dxa"/>
          </w:tcPr>
          <w:p w:rsidR="00BD4D54" w:rsidRPr="007D411C" w:rsidRDefault="00BD4D54" w:rsidP="00EC6328">
            <w:pPr>
              <w:spacing w:before="20"/>
              <w:rPr>
                <w:szCs w:val="22"/>
              </w:rPr>
            </w:pPr>
            <w:r w:rsidRPr="007D411C">
              <w:rPr>
                <w:szCs w:val="22"/>
              </w:rPr>
              <w:t>RfD = 0.00035 mg/kg/day</w:t>
            </w:r>
          </w:p>
          <w:p w:rsidR="00BD4D54" w:rsidRPr="007D411C" w:rsidRDefault="00BD4D54" w:rsidP="00EC6328">
            <w:pPr>
              <w:spacing w:before="20"/>
              <w:rPr>
                <w:szCs w:val="22"/>
              </w:rPr>
            </w:pPr>
          </w:p>
        </w:tc>
        <w:tc>
          <w:tcPr>
            <w:tcW w:w="5454" w:type="dxa"/>
          </w:tcPr>
          <w:p w:rsidR="00BD4D54" w:rsidRPr="007D411C" w:rsidRDefault="00BD4D54" w:rsidP="00EC6328">
            <w:pPr>
              <w:spacing w:before="20"/>
              <w:rPr>
                <w:szCs w:val="22"/>
              </w:rPr>
            </w:pPr>
            <w:r w:rsidRPr="007D411C">
              <w:rPr>
                <w:szCs w:val="22"/>
              </w:rPr>
              <w:t>RfD derived to assess non-carcinogenic effects. Value based on a NOAEL of 0.35 mg/kg/day associated with slight hepatic changes in rats, and an uncertainty factor of 1000.</w:t>
            </w:r>
          </w:p>
          <w:p w:rsidR="00BD4D54" w:rsidRPr="007D411C" w:rsidRDefault="00BD4D54" w:rsidP="00EC6328">
            <w:pPr>
              <w:spacing w:before="20"/>
              <w:rPr>
                <w:szCs w:val="22"/>
              </w:rPr>
            </w:pPr>
            <w:r w:rsidRPr="007D411C">
              <w:rPr>
                <w:szCs w:val="22"/>
              </w:rPr>
              <w:t>An oral slope factor has also been derived, however it is not considered to be relevant for this evaluation.</w:t>
            </w:r>
          </w:p>
        </w:tc>
      </w:tr>
      <w:tr w:rsidR="00BD4D54" w:rsidRPr="007D411C" w:rsidTr="00EC6328">
        <w:tc>
          <w:tcPr>
            <w:tcW w:w="1346" w:type="dxa"/>
          </w:tcPr>
          <w:p w:rsidR="00BD4D54" w:rsidRPr="007D411C" w:rsidRDefault="00BD4D54" w:rsidP="00EC6328">
            <w:pPr>
              <w:spacing w:before="20"/>
              <w:rPr>
                <w:szCs w:val="22"/>
              </w:rPr>
            </w:pPr>
            <w:r w:rsidRPr="007D411C">
              <w:rPr>
                <w:szCs w:val="22"/>
              </w:rPr>
              <w:t>US EPA (IRIS 2012)</w:t>
            </w:r>
          </w:p>
        </w:tc>
        <w:tc>
          <w:tcPr>
            <w:tcW w:w="2203" w:type="dxa"/>
          </w:tcPr>
          <w:p w:rsidR="00BD4D54" w:rsidRPr="007D411C" w:rsidRDefault="00BD4D54" w:rsidP="00EC6328">
            <w:pPr>
              <w:spacing w:before="20"/>
              <w:rPr>
                <w:szCs w:val="22"/>
              </w:rPr>
            </w:pPr>
            <w:r w:rsidRPr="007D411C">
              <w:rPr>
                <w:szCs w:val="22"/>
              </w:rPr>
              <w:t>No threshold value calculated</w:t>
            </w:r>
          </w:p>
          <w:p w:rsidR="00BD4D54" w:rsidRPr="007D411C" w:rsidRDefault="00BD4D54" w:rsidP="00EC6328">
            <w:pPr>
              <w:spacing w:before="20"/>
              <w:rPr>
                <w:szCs w:val="22"/>
              </w:rPr>
            </w:pPr>
          </w:p>
        </w:tc>
        <w:tc>
          <w:tcPr>
            <w:tcW w:w="5454" w:type="dxa"/>
          </w:tcPr>
          <w:p w:rsidR="00BD4D54" w:rsidRPr="007D411C" w:rsidRDefault="00BD4D54" w:rsidP="00EC6328">
            <w:pPr>
              <w:spacing w:before="20"/>
              <w:rPr>
                <w:szCs w:val="22"/>
              </w:rPr>
            </w:pPr>
            <w:r w:rsidRPr="007D411C">
              <w:rPr>
                <w:szCs w:val="22"/>
              </w:rPr>
              <w:t>The US EPA review has not derived any threshold TRVs. The only values derived are non-threshold oral and inhalation values not considered to be relevant for this evaluation. Oral slope factor (last reviewed in 1991) derived on the basis of hepatocellular carcinomas and neoplastic nodules in a dietary study in mice and a linearised multistage model.</w:t>
            </w:r>
          </w:p>
          <w:p w:rsidR="00BD4D54" w:rsidRPr="007D411C" w:rsidRDefault="00BD4D54" w:rsidP="00EC6328">
            <w:pPr>
              <w:spacing w:before="20"/>
              <w:rPr>
                <w:szCs w:val="22"/>
              </w:rPr>
            </w:pPr>
            <w:r w:rsidRPr="007D411C">
              <w:rPr>
                <w:szCs w:val="22"/>
              </w:rPr>
              <w:t xml:space="preserve">Inhalation unit risk based on route extrapolation from the derived oral slope factor. </w:t>
            </w:r>
          </w:p>
          <w:p w:rsidR="00BD4D54" w:rsidRPr="007D411C" w:rsidRDefault="00BD4D54" w:rsidP="00EC6328">
            <w:pPr>
              <w:spacing w:before="20"/>
              <w:rPr>
                <w:szCs w:val="22"/>
              </w:rPr>
            </w:pPr>
            <w:r w:rsidRPr="007D411C">
              <w:rPr>
                <w:szCs w:val="22"/>
              </w:rPr>
              <w:t>No threshold values available.</w:t>
            </w:r>
          </w:p>
        </w:tc>
      </w:tr>
    </w:tbl>
    <w:p w:rsidR="00BD4D54" w:rsidRDefault="00BD4D54" w:rsidP="00BD4D54"/>
    <w:p w:rsidR="00BD4D54" w:rsidRDefault="00BD4D54" w:rsidP="00BD4D54">
      <w:r>
        <w:t>Limited quantitative data is available for toxaphene with the only threshold value available from OEHHA. No inhalation or dermal-specific data is available and hence the oral value has been used to assess intakes derived from all pathways of exposure.</w:t>
      </w:r>
    </w:p>
    <w:p w:rsidR="00BD4D54" w:rsidRPr="00810691" w:rsidRDefault="00BD4D54" w:rsidP="00810691">
      <w:pPr>
        <w:pStyle w:val="Heading3"/>
      </w:pPr>
      <w:bookmarkStart w:id="148" w:name="_Toc351714237"/>
      <w:r w:rsidRPr="00810691">
        <w:t>Recommendation</w:t>
      </w:r>
      <w:bookmarkEnd w:id="148"/>
    </w:p>
    <w:p w:rsidR="00BD4D54" w:rsidRPr="00191EC8" w:rsidRDefault="00BD4D54" w:rsidP="00BD4D54">
      <w:r>
        <w:t>On the basis of the discussion above, the following toxicity reference values (TRVs) have been adopted for toxaphene in the derivation of HILs:</w:t>
      </w:r>
    </w:p>
    <w:p w:rsidR="00BD4D54" w:rsidRDefault="00BD4D54" w:rsidP="00BD4D54">
      <w:r>
        <w:rPr>
          <w:noProof/>
          <w:lang w:eastAsia="en-AU"/>
        </w:rPr>
        <mc:AlternateContent>
          <mc:Choice Requires="wps">
            <w:drawing>
              <wp:inline distT="0" distB="0" distL="0" distR="0">
                <wp:extent cx="5640705" cy="1855470"/>
                <wp:effectExtent l="13335" t="8890" r="13335" b="1206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1855470"/>
                        </a:xfrm>
                        <a:prstGeom prst="rect">
                          <a:avLst/>
                        </a:prstGeom>
                        <a:solidFill>
                          <a:srgbClr val="D8D8D8"/>
                        </a:solidFill>
                        <a:ln w="9525">
                          <a:solidFill>
                            <a:srgbClr val="000000"/>
                          </a:solidFill>
                          <a:miter lim="800000"/>
                          <a:headEnd/>
                          <a:tailEnd/>
                        </a:ln>
                      </wps:spPr>
                      <wps:txbx>
                        <w:txbxContent>
                          <w:p w:rsidR="00480C84" w:rsidRPr="00742163" w:rsidRDefault="00480C84" w:rsidP="00BD4D54">
                            <w:pPr>
                              <w:spacing w:after="40"/>
                              <w:rPr>
                                <w:b/>
                                <w:u w:val="single"/>
                              </w:rPr>
                            </w:pPr>
                            <w:r w:rsidRPr="00742163">
                              <w:rPr>
                                <w:b/>
                                <w:u w:val="single"/>
                              </w:rPr>
                              <w:t xml:space="preserve">Recommendation for </w:t>
                            </w:r>
                            <w:r>
                              <w:rPr>
                                <w:b/>
                                <w:u w:val="single"/>
                              </w:rPr>
                              <w:t>Toxaphene</w:t>
                            </w:r>
                          </w:p>
                          <w:p w:rsidR="00480C84" w:rsidRDefault="00480C84" w:rsidP="00BD4D54">
                            <w:pPr>
                              <w:spacing w:after="40"/>
                            </w:pPr>
                            <w:r>
                              <w:t>Oral TRV (TRV</w:t>
                            </w:r>
                            <w:r w:rsidRPr="00684B59">
                              <w:rPr>
                                <w:vertAlign w:val="subscript"/>
                              </w:rPr>
                              <w:t>O</w:t>
                            </w:r>
                            <w:r>
                              <w:t>) = 0.00035 mg/kg/day (OEHHA 2003) relevant for all pathways of exposure</w:t>
                            </w:r>
                          </w:p>
                          <w:p w:rsidR="00480C84" w:rsidRDefault="00480C84" w:rsidP="00BD4D54">
                            <w:pPr>
                              <w:spacing w:after="40"/>
                            </w:pPr>
                            <w:r>
                              <w:t>Dermal absorption factor (DAF) = 0.1 (or 10%) (US EPA 1995)</w:t>
                            </w:r>
                          </w:p>
                          <w:p w:rsidR="00480C84" w:rsidRDefault="00480C84" w:rsidP="00BD4D54">
                            <w:pPr>
                              <w:spacing w:after="40"/>
                            </w:pPr>
                            <w:r>
                              <w:t>Background intakes from other sources (as % of TRV):</w:t>
                            </w:r>
                          </w:p>
                          <w:p w:rsidR="00480C84" w:rsidRDefault="00480C84" w:rsidP="00BD4D54">
                            <w:pPr>
                              <w:spacing w:after="40"/>
                              <w:ind w:left="720"/>
                            </w:pPr>
                            <w:r>
                              <w:t>BI</w:t>
                            </w:r>
                            <w:r w:rsidRPr="002049F5">
                              <w:rPr>
                                <w:vertAlign w:val="subscript"/>
                              </w:rPr>
                              <w:t>O</w:t>
                            </w:r>
                            <w:r>
                              <w:t xml:space="preserve"> = 10% for oral and dermal intakes</w:t>
                            </w:r>
                          </w:p>
                          <w:p w:rsidR="00480C84" w:rsidRDefault="00480C84" w:rsidP="00BD4D54">
                            <w:pPr>
                              <w:spacing w:after="40"/>
                              <w:ind w:left="720"/>
                            </w:pPr>
                            <w:r>
                              <w:t xml:space="preserve">BIi = 10% for inhalation </w:t>
                            </w:r>
                          </w:p>
                        </w:txbxContent>
                      </wps:txbx>
                      <wps:bodyPr rot="0" vert="horz" wrap="square" lIns="91440" tIns="45720" rIns="91440" bIns="45720" anchor="t" anchorCtr="0" upright="1">
                        <a:noAutofit/>
                      </wps:bodyPr>
                    </wps:wsp>
                  </a:graphicData>
                </a:graphic>
              </wp:inline>
            </w:drawing>
          </mc:Choice>
          <mc:Fallback>
            <w:pict>
              <v:shape id="Text Box 3" o:spid="_x0000_s1038" type="#_x0000_t202" style="width:444.15pt;height:14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" fillcolor="#d8d8d8">
                <v:textbox>
                  <w:txbxContent>
                    <w:p w:rsidR="00480C84" w:rsidRPr="00742163" w:rsidRDefault="00480C84" w:rsidP="00BD4D54">
                      <w:pPr>
                        <w:spacing w:after="40"/>
                        <w:rPr>
                          <w:b/>
                          <w:u w:val="single"/>
                        </w:rPr>
                      </w:pPr>
                      <w:r w:rsidRPr="00742163">
                        <w:rPr>
                          <w:b/>
                          <w:u w:val="single"/>
                        </w:rPr>
                        <w:t xml:space="preserve">Recommendation for </w:t>
                      </w:r>
                      <w:r>
                        <w:rPr>
                          <w:b/>
                          <w:u w:val="single"/>
                        </w:rPr>
                        <w:t>Toxaphene</w:t>
                      </w:r>
                    </w:p>
                    <w:p w:rsidR="00480C84" w:rsidRDefault="00480C84" w:rsidP="00BD4D54">
                      <w:pPr>
                        <w:spacing w:after="40"/>
                      </w:pPr>
                      <w:r>
                        <w:t>Oral TRV (TRV</w:t>
                      </w:r>
                      <w:r w:rsidRPr="00684B59">
                        <w:rPr>
                          <w:vertAlign w:val="subscript"/>
                        </w:rPr>
                        <w:t>O</w:t>
                      </w:r>
                      <w:r>
                        <w:t>) = 0.00035 mg/kg/day (OEHHA 2003) relevant for all pathways of exposure</w:t>
                      </w:r>
                    </w:p>
                    <w:p w:rsidR="00480C84" w:rsidRDefault="00480C84" w:rsidP="00BD4D54">
                      <w:pPr>
                        <w:spacing w:after="40"/>
                      </w:pPr>
                      <w:r>
                        <w:t>Dermal absorption factor (DAF) = 0.1 (or 10%) (US EPA 1995)</w:t>
                      </w:r>
                    </w:p>
                    <w:p w:rsidR="00480C84" w:rsidRDefault="00480C84" w:rsidP="00BD4D54">
                      <w:pPr>
                        <w:spacing w:after="40"/>
                      </w:pPr>
                      <w:r>
                        <w:t>Background intakes from other sources (as % of TRV):</w:t>
                      </w:r>
                    </w:p>
                    <w:p w:rsidR="00480C84" w:rsidRDefault="00480C84" w:rsidP="00BD4D54">
                      <w:pPr>
                        <w:spacing w:after="40"/>
                        <w:ind w:left="720"/>
                      </w:pPr>
                      <w:r>
                        <w:t>BI</w:t>
                      </w:r>
                      <w:r w:rsidRPr="002049F5">
                        <w:rPr>
                          <w:vertAlign w:val="subscript"/>
                        </w:rPr>
                        <w:t>O</w:t>
                      </w:r>
                      <w:r>
                        <w:t xml:space="preserve"> = 10% for oral and dermal intakes</w:t>
                      </w:r>
                    </w:p>
                    <w:p w:rsidR="00480C84" w:rsidRDefault="00480C84" w:rsidP="00BD4D54">
                      <w:pPr>
                        <w:spacing w:after="40"/>
                        <w:ind w:left="720"/>
                      </w:pPr>
                      <w:r>
                        <w:t xml:space="preserve">BIi = 10% for inhalation </w:t>
                      </w:r>
                    </w:p>
                  </w:txbxContent>
                </v:textbox>
                <w10:anchorlock/>
              </v:shape>
            </w:pict>
          </mc:Fallback>
        </mc:AlternateContent>
      </w:r>
    </w:p>
    <w:p w:rsidR="00BD4D54" w:rsidRDefault="00BD4D54" w:rsidP="00BD4D54"/>
    <w:p w:rsidR="00BD4D54" w:rsidRPr="00DB16F5" w:rsidRDefault="00BD4D54" w:rsidP="00BD4D54">
      <w:pPr>
        <w:pStyle w:val="Heading2"/>
        <w:tabs>
          <w:tab w:val="clear" w:pos="1209"/>
        </w:tabs>
      </w:pPr>
      <w:bookmarkStart w:id="149" w:name="_Toc351714238"/>
      <w:r w:rsidRPr="00DB16F5">
        <w:t>Calculated HILs</w:t>
      </w:r>
      <w:bookmarkEnd w:id="149"/>
    </w:p>
    <w:p w:rsidR="00BD4D54" w:rsidRDefault="00BD4D54" w:rsidP="00BD4D54">
      <w:r>
        <w:t>On the basis of the above, the following HILs have been derived for toxaphene (refer to Appendix B for equations used to calculate the HILs and Appendix C for calculations):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9"/>
        <w:gridCol w:w="1287"/>
        <w:gridCol w:w="1445"/>
        <w:gridCol w:w="1517"/>
        <w:gridCol w:w="1553"/>
        <w:gridCol w:w="1392"/>
      </w:tblGrid>
      <w:tr w:rsidR="00BD4D54" w:rsidRPr="007D411C" w:rsidTr="00EC6328">
        <w:tc>
          <w:tcPr>
            <w:tcW w:w="1639" w:type="dxa"/>
            <w:vMerge w:val="restart"/>
            <w:shd w:val="clear" w:color="auto" w:fill="C6D9F1" w:themeFill="text2" w:themeFillTint="33"/>
          </w:tcPr>
          <w:p w:rsidR="00BD4D54" w:rsidRPr="007D411C" w:rsidRDefault="00BD4D54" w:rsidP="00EC6328">
            <w:pPr>
              <w:spacing w:after="40"/>
              <w:rPr>
                <w:b/>
                <w:szCs w:val="22"/>
              </w:rPr>
            </w:pPr>
            <w:r w:rsidRPr="007D411C">
              <w:rPr>
                <w:b/>
                <w:szCs w:val="22"/>
              </w:rPr>
              <w:t>HIL Scenario</w:t>
            </w:r>
          </w:p>
        </w:tc>
        <w:tc>
          <w:tcPr>
            <w:tcW w:w="1287" w:type="dxa"/>
            <w:vMerge w:val="restart"/>
            <w:shd w:val="clear" w:color="auto" w:fill="C6D9F1" w:themeFill="text2" w:themeFillTint="33"/>
          </w:tcPr>
          <w:p w:rsidR="00BD4D54" w:rsidRPr="007D411C" w:rsidRDefault="00BD4D54" w:rsidP="00EC6328">
            <w:pPr>
              <w:spacing w:after="40"/>
              <w:jc w:val="center"/>
              <w:rPr>
                <w:b/>
                <w:szCs w:val="22"/>
              </w:rPr>
            </w:pPr>
            <w:r w:rsidRPr="007D411C">
              <w:rPr>
                <w:b/>
                <w:szCs w:val="22"/>
              </w:rPr>
              <w:t>HIL (mg/kg)</w:t>
            </w:r>
          </w:p>
        </w:tc>
        <w:tc>
          <w:tcPr>
            <w:tcW w:w="5907" w:type="dxa"/>
            <w:gridSpan w:val="4"/>
            <w:shd w:val="clear" w:color="auto" w:fill="C6D9F1" w:themeFill="text2" w:themeFillTint="33"/>
          </w:tcPr>
          <w:p w:rsidR="00BD4D54" w:rsidRPr="007D411C" w:rsidRDefault="00BD4D54" w:rsidP="00EC6328">
            <w:pPr>
              <w:spacing w:after="40"/>
              <w:jc w:val="center"/>
              <w:rPr>
                <w:b/>
                <w:szCs w:val="22"/>
              </w:rPr>
            </w:pPr>
            <w:r w:rsidRPr="007D411C">
              <w:rPr>
                <w:b/>
                <w:szCs w:val="22"/>
              </w:rPr>
              <w:t>Percentage Contribution from Exposure Pathways</w:t>
            </w:r>
          </w:p>
        </w:tc>
      </w:tr>
      <w:tr w:rsidR="00BD4D54" w:rsidRPr="007D411C" w:rsidTr="00EC6328">
        <w:trPr>
          <w:trHeight w:val="427"/>
        </w:trPr>
        <w:tc>
          <w:tcPr>
            <w:tcW w:w="1639" w:type="dxa"/>
            <w:vMerge/>
            <w:shd w:val="clear" w:color="auto" w:fill="C6D9F1" w:themeFill="text2" w:themeFillTint="33"/>
          </w:tcPr>
          <w:p w:rsidR="00BD4D54" w:rsidRPr="007D411C" w:rsidRDefault="00BD4D54" w:rsidP="00EC6328">
            <w:pPr>
              <w:spacing w:after="40"/>
              <w:rPr>
                <w:szCs w:val="22"/>
              </w:rPr>
            </w:pPr>
          </w:p>
        </w:tc>
        <w:tc>
          <w:tcPr>
            <w:tcW w:w="1287" w:type="dxa"/>
            <w:vMerge/>
            <w:shd w:val="clear" w:color="auto" w:fill="C6D9F1" w:themeFill="text2" w:themeFillTint="33"/>
          </w:tcPr>
          <w:p w:rsidR="00BD4D54" w:rsidRPr="007D411C" w:rsidRDefault="00BD4D54" w:rsidP="00EC6328">
            <w:pPr>
              <w:spacing w:after="40"/>
              <w:jc w:val="center"/>
              <w:rPr>
                <w:szCs w:val="22"/>
              </w:rPr>
            </w:pPr>
          </w:p>
        </w:tc>
        <w:tc>
          <w:tcPr>
            <w:tcW w:w="1445" w:type="dxa"/>
            <w:shd w:val="clear" w:color="auto" w:fill="C6D9F1" w:themeFill="text2" w:themeFillTint="33"/>
          </w:tcPr>
          <w:p w:rsidR="00BD4D54" w:rsidRPr="007D411C" w:rsidRDefault="00BD4D54" w:rsidP="00EC6328">
            <w:pPr>
              <w:spacing w:after="40"/>
              <w:jc w:val="center"/>
              <w:rPr>
                <w:b/>
                <w:szCs w:val="22"/>
              </w:rPr>
            </w:pPr>
            <w:r w:rsidRPr="007D411C">
              <w:rPr>
                <w:b/>
                <w:szCs w:val="22"/>
              </w:rPr>
              <w:t>Ingestion of Soil/Dust</w:t>
            </w:r>
          </w:p>
        </w:tc>
        <w:tc>
          <w:tcPr>
            <w:tcW w:w="1517" w:type="dxa"/>
            <w:shd w:val="clear" w:color="auto" w:fill="C6D9F1" w:themeFill="text2" w:themeFillTint="33"/>
          </w:tcPr>
          <w:p w:rsidR="00BD4D54" w:rsidRPr="007D411C" w:rsidRDefault="00BD4D54" w:rsidP="00EC6328">
            <w:pPr>
              <w:spacing w:after="40"/>
              <w:jc w:val="center"/>
              <w:rPr>
                <w:b/>
                <w:szCs w:val="22"/>
              </w:rPr>
            </w:pPr>
            <w:r w:rsidRPr="007D411C">
              <w:rPr>
                <w:b/>
                <w:szCs w:val="22"/>
              </w:rPr>
              <w:t>Ingestion of Home-grown Produce</w:t>
            </w:r>
          </w:p>
        </w:tc>
        <w:tc>
          <w:tcPr>
            <w:tcW w:w="1553" w:type="dxa"/>
            <w:shd w:val="clear" w:color="auto" w:fill="C6D9F1" w:themeFill="text2" w:themeFillTint="33"/>
          </w:tcPr>
          <w:p w:rsidR="00BD4D54" w:rsidRPr="007D411C" w:rsidRDefault="00BD4D54" w:rsidP="00EC6328">
            <w:pPr>
              <w:spacing w:after="40"/>
              <w:jc w:val="center"/>
              <w:rPr>
                <w:b/>
                <w:szCs w:val="22"/>
              </w:rPr>
            </w:pPr>
            <w:r w:rsidRPr="007D411C">
              <w:rPr>
                <w:b/>
                <w:szCs w:val="22"/>
              </w:rPr>
              <w:t>Dermal Absorption of Soil/Dust</w:t>
            </w:r>
          </w:p>
        </w:tc>
        <w:tc>
          <w:tcPr>
            <w:tcW w:w="1392" w:type="dxa"/>
            <w:shd w:val="clear" w:color="auto" w:fill="C6D9F1" w:themeFill="text2" w:themeFillTint="33"/>
          </w:tcPr>
          <w:p w:rsidR="00BD4D54" w:rsidRPr="007D411C" w:rsidRDefault="00BD4D54" w:rsidP="00EC6328">
            <w:pPr>
              <w:spacing w:after="40"/>
              <w:jc w:val="center"/>
              <w:rPr>
                <w:b/>
                <w:szCs w:val="22"/>
              </w:rPr>
            </w:pPr>
            <w:r w:rsidRPr="007D411C">
              <w:rPr>
                <w:b/>
                <w:szCs w:val="22"/>
              </w:rPr>
              <w:t>Inhalation (dust)</w:t>
            </w:r>
          </w:p>
        </w:tc>
      </w:tr>
      <w:tr w:rsidR="00BD4D54" w:rsidRPr="007D411C" w:rsidTr="00EC6328">
        <w:tc>
          <w:tcPr>
            <w:tcW w:w="1639" w:type="dxa"/>
          </w:tcPr>
          <w:p w:rsidR="00BD4D54" w:rsidRPr="007D411C" w:rsidRDefault="00BD4D54" w:rsidP="00EC6328">
            <w:pPr>
              <w:spacing w:after="40"/>
              <w:rPr>
                <w:szCs w:val="22"/>
              </w:rPr>
            </w:pPr>
            <w:r w:rsidRPr="007D411C">
              <w:rPr>
                <w:szCs w:val="22"/>
              </w:rPr>
              <w:t>Residential A</w:t>
            </w:r>
          </w:p>
        </w:tc>
        <w:tc>
          <w:tcPr>
            <w:tcW w:w="1287" w:type="dxa"/>
          </w:tcPr>
          <w:p w:rsidR="00BD4D54" w:rsidRPr="007D411C" w:rsidRDefault="00BD4D54" w:rsidP="00EC6328">
            <w:pPr>
              <w:spacing w:after="40"/>
              <w:jc w:val="center"/>
              <w:rPr>
                <w:szCs w:val="22"/>
              </w:rPr>
            </w:pPr>
            <w:r w:rsidRPr="007D411C">
              <w:rPr>
                <w:szCs w:val="22"/>
              </w:rPr>
              <w:t>20</w:t>
            </w:r>
          </w:p>
        </w:tc>
        <w:tc>
          <w:tcPr>
            <w:tcW w:w="1445" w:type="dxa"/>
          </w:tcPr>
          <w:p w:rsidR="00BD4D54" w:rsidRPr="007D411C" w:rsidRDefault="00BD4D54" w:rsidP="00EC6328">
            <w:pPr>
              <w:spacing w:after="40"/>
              <w:jc w:val="center"/>
              <w:rPr>
                <w:szCs w:val="22"/>
              </w:rPr>
            </w:pPr>
            <w:r w:rsidRPr="007D411C">
              <w:rPr>
                <w:szCs w:val="22"/>
              </w:rPr>
              <w:t>43</w:t>
            </w:r>
          </w:p>
        </w:tc>
        <w:tc>
          <w:tcPr>
            <w:tcW w:w="1517" w:type="dxa"/>
          </w:tcPr>
          <w:p w:rsidR="00BD4D54" w:rsidRPr="007D411C" w:rsidRDefault="00BD4D54" w:rsidP="00EC6328">
            <w:pPr>
              <w:spacing w:after="40"/>
              <w:jc w:val="center"/>
              <w:rPr>
                <w:szCs w:val="22"/>
              </w:rPr>
            </w:pPr>
            <w:r w:rsidRPr="007D411C">
              <w:rPr>
                <w:szCs w:val="22"/>
              </w:rPr>
              <w:t>--</w:t>
            </w:r>
          </w:p>
        </w:tc>
        <w:tc>
          <w:tcPr>
            <w:tcW w:w="1553" w:type="dxa"/>
          </w:tcPr>
          <w:p w:rsidR="00BD4D54" w:rsidRPr="007D411C" w:rsidRDefault="00BD4D54" w:rsidP="00EC6328">
            <w:pPr>
              <w:spacing w:after="40"/>
              <w:jc w:val="center"/>
              <w:rPr>
                <w:szCs w:val="22"/>
              </w:rPr>
            </w:pPr>
            <w:r w:rsidRPr="007D411C">
              <w:rPr>
                <w:szCs w:val="22"/>
              </w:rPr>
              <w:t>57</w:t>
            </w:r>
          </w:p>
        </w:tc>
        <w:tc>
          <w:tcPr>
            <w:tcW w:w="1392" w:type="dxa"/>
          </w:tcPr>
          <w:p w:rsidR="00BD4D54" w:rsidRPr="007D411C" w:rsidRDefault="00BD4D54" w:rsidP="00EC6328">
            <w:pPr>
              <w:spacing w:after="40"/>
              <w:jc w:val="center"/>
              <w:rPr>
                <w:szCs w:val="22"/>
              </w:rPr>
            </w:pPr>
            <w:r w:rsidRPr="007D411C">
              <w:rPr>
                <w:szCs w:val="22"/>
              </w:rPr>
              <w:t>&lt;1</w:t>
            </w:r>
          </w:p>
        </w:tc>
      </w:tr>
      <w:tr w:rsidR="00BD4D54" w:rsidRPr="007D411C" w:rsidTr="00EC6328">
        <w:tc>
          <w:tcPr>
            <w:tcW w:w="1639" w:type="dxa"/>
          </w:tcPr>
          <w:p w:rsidR="00BD4D54" w:rsidRPr="007D411C" w:rsidRDefault="00BD4D54" w:rsidP="00EC6328">
            <w:pPr>
              <w:spacing w:after="40"/>
              <w:rPr>
                <w:szCs w:val="22"/>
              </w:rPr>
            </w:pPr>
            <w:r w:rsidRPr="007D411C">
              <w:rPr>
                <w:szCs w:val="22"/>
              </w:rPr>
              <w:t>Residential B</w:t>
            </w:r>
          </w:p>
        </w:tc>
        <w:tc>
          <w:tcPr>
            <w:tcW w:w="1287" w:type="dxa"/>
          </w:tcPr>
          <w:p w:rsidR="00BD4D54" w:rsidRPr="007D411C" w:rsidRDefault="00BD4D54" w:rsidP="00EC6328">
            <w:pPr>
              <w:spacing w:after="40"/>
              <w:jc w:val="center"/>
              <w:rPr>
                <w:szCs w:val="22"/>
              </w:rPr>
            </w:pPr>
            <w:r w:rsidRPr="007D411C">
              <w:rPr>
                <w:szCs w:val="22"/>
              </w:rPr>
              <w:t>30</w:t>
            </w:r>
          </w:p>
        </w:tc>
        <w:tc>
          <w:tcPr>
            <w:tcW w:w="1445" w:type="dxa"/>
          </w:tcPr>
          <w:p w:rsidR="00BD4D54" w:rsidRPr="007D411C" w:rsidRDefault="00BD4D54" w:rsidP="00EC6328">
            <w:pPr>
              <w:spacing w:after="40"/>
              <w:jc w:val="center"/>
              <w:rPr>
                <w:szCs w:val="22"/>
              </w:rPr>
            </w:pPr>
            <w:r w:rsidRPr="007D411C">
              <w:rPr>
                <w:szCs w:val="22"/>
              </w:rPr>
              <w:t>16</w:t>
            </w:r>
          </w:p>
        </w:tc>
        <w:tc>
          <w:tcPr>
            <w:tcW w:w="1517" w:type="dxa"/>
          </w:tcPr>
          <w:p w:rsidR="00BD4D54" w:rsidRPr="007D411C" w:rsidRDefault="00BD4D54" w:rsidP="00EC6328">
            <w:pPr>
              <w:spacing w:after="40"/>
              <w:jc w:val="center"/>
              <w:rPr>
                <w:szCs w:val="22"/>
              </w:rPr>
            </w:pPr>
            <w:r w:rsidRPr="007D411C">
              <w:rPr>
                <w:szCs w:val="22"/>
              </w:rPr>
              <w:t>--</w:t>
            </w:r>
          </w:p>
        </w:tc>
        <w:tc>
          <w:tcPr>
            <w:tcW w:w="1553" w:type="dxa"/>
          </w:tcPr>
          <w:p w:rsidR="00BD4D54" w:rsidRPr="007D411C" w:rsidRDefault="00BD4D54" w:rsidP="00EC6328">
            <w:pPr>
              <w:spacing w:after="40"/>
              <w:jc w:val="center"/>
              <w:rPr>
                <w:szCs w:val="22"/>
              </w:rPr>
            </w:pPr>
            <w:r w:rsidRPr="007D411C">
              <w:rPr>
                <w:szCs w:val="22"/>
              </w:rPr>
              <w:t>84</w:t>
            </w:r>
          </w:p>
        </w:tc>
        <w:tc>
          <w:tcPr>
            <w:tcW w:w="1392" w:type="dxa"/>
          </w:tcPr>
          <w:p w:rsidR="00BD4D54" w:rsidRPr="007D411C" w:rsidRDefault="00BD4D54" w:rsidP="00EC6328">
            <w:pPr>
              <w:spacing w:after="40"/>
              <w:jc w:val="center"/>
              <w:rPr>
                <w:szCs w:val="22"/>
              </w:rPr>
            </w:pPr>
            <w:r w:rsidRPr="007D411C">
              <w:rPr>
                <w:szCs w:val="22"/>
              </w:rPr>
              <w:t>&lt;1</w:t>
            </w:r>
          </w:p>
        </w:tc>
      </w:tr>
      <w:tr w:rsidR="00BD4D54" w:rsidRPr="007D411C" w:rsidTr="00EC6328">
        <w:tc>
          <w:tcPr>
            <w:tcW w:w="1639" w:type="dxa"/>
          </w:tcPr>
          <w:p w:rsidR="00BD4D54" w:rsidRPr="007D411C" w:rsidRDefault="00BD4D54" w:rsidP="00EC6328">
            <w:pPr>
              <w:spacing w:after="40"/>
              <w:rPr>
                <w:szCs w:val="22"/>
              </w:rPr>
            </w:pPr>
            <w:r w:rsidRPr="007D411C">
              <w:rPr>
                <w:szCs w:val="22"/>
              </w:rPr>
              <w:t>Recreational C</w:t>
            </w:r>
          </w:p>
        </w:tc>
        <w:tc>
          <w:tcPr>
            <w:tcW w:w="1287" w:type="dxa"/>
          </w:tcPr>
          <w:p w:rsidR="00BD4D54" w:rsidRPr="007D411C" w:rsidRDefault="00BD4D54" w:rsidP="00EC6328">
            <w:pPr>
              <w:spacing w:after="40"/>
              <w:jc w:val="center"/>
              <w:rPr>
                <w:szCs w:val="22"/>
              </w:rPr>
            </w:pPr>
            <w:r w:rsidRPr="007D411C">
              <w:rPr>
                <w:szCs w:val="22"/>
              </w:rPr>
              <w:t>30</w:t>
            </w:r>
          </w:p>
        </w:tc>
        <w:tc>
          <w:tcPr>
            <w:tcW w:w="1445" w:type="dxa"/>
          </w:tcPr>
          <w:p w:rsidR="00BD4D54" w:rsidRPr="007D411C" w:rsidRDefault="00BD4D54" w:rsidP="00EC6328">
            <w:pPr>
              <w:spacing w:after="40"/>
              <w:jc w:val="center"/>
              <w:rPr>
                <w:szCs w:val="22"/>
              </w:rPr>
            </w:pPr>
            <w:r w:rsidRPr="007D411C">
              <w:rPr>
                <w:szCs w:val="22"/>
              </w:rPr>
              <w:t>27</w:t>
            </w:r>
          </w:p>
        </w:tc>
        <w:tc>
          <w:tcPr>
            <w:tcW w:w="1517" w:type="dxa"/>
          </w:tcPr>
          <w:p w:rsidR="00BD4D54" w:rsidRPr="007D411C" w:rsidRDefault="00BD4D54" w:rsidP="00EC6328">
            <w:pPr>
              <w:spacing w:after="40"/>
              <w:jc w:val="center"/>
              <w:rPr>
                <w:szCs w:val="22"/>
              </w:rPr>
            </w:pPr>
            <w:r w:rsidRPr="007D411C">
              <w:rPr>
                <w:szCs w:val="22"/>
              </w:rPr>
              <w:t>--</w:t>
            </w:r>
          </w:p>
        </w:tc>
        <w:tc>
          <w:tcPr>
            <w:tcW w:w="1553" w:type="dxa"/>
          </w:tcPr>
          <w:p w:rsidR="00BD4D54" w:rsidRPr="007D411C" w:rsidRDefault="00BD4D54" w:rsidP="00EC6328">
            <w:pPr>
              <w:spacing w:after="40"/>
              <w:jc w:val="center"/>
              <w:rPr>
                <w:szCs w:val="22"/>
              </w:rPr>
            </w:pPr>
            <w:r w:rsidRPr="007D411C">
              <w:rPr>
                <w:szCs w:val="22"/>
              </w:rPr>
              <w:t>73</w:t>
            </w:r>
          </w:p>
        </w:tc>
        <w:tc>
          <w:tcPr>
            <w:tcW w:w="1392" w:type="dxa"/>
          </w:tcPr>
          <w:p w:rsidR="00BD4D54" w:rsidRPr="007D411C" w:rsidRDefault="00BD4D54" w:rsidP="00EC6328">
            <w:pPr>
              <w:spacing w:after="40"/>
              <w:jc w:val="center"/>
              <w:rPr>
                <w:szCs w:val="22"/>
              </w:rPr>
            </w:pPr>
            <w:r w:rsidRPr="007D411C">
              <w:rPr>
                <w:szCs w:val="22"/>
              </w:rPr>
              <w:t>&lt;1</w:t>
            </w:r>
          </w:p>
        </w:tc>
      </w:tr>
      <w:tr w:rsidR="00BD4D54" w:rsidRPr="007D411C" w:rsidTr="00EC6328">
        <w:tc>
          <w:tcPr>
            <w:tcW w:w="1639" w:type="dxa"/>
          </w:tcPr>
          <w:p w:rsidR="00BD4D54" w:rsidRPr="007D411C" w:rsidRDefault="00BD4D54" w:rsidP="00EC6328">
            <w:pPr>
              <w:spacing w:after="40"/>
              <w:rPr>
                <w:szCs w:val="22"/>
              </w:rPr>
            </w:pPr>
            <w:r w:rsidRPr="007D411C">
              <w:rPr>
                <w:szCs w:val="22"/>
              </w:rPr>
              <w:lastRenderedPageBreak/>
              <w:t>Commercial D</w:t>
            </w:r>
          </w:p>
        </w:tc>
        <w:tc>
          <w:tcPr>
            <w:tcW w:w="1287" w:type="dxa"/>
          </w:tcPr>
          <w:p w:rsidR="00BD4D54" w:rsidRPr="007D411C" w:rsidRDefault="00BD4D54" w:rsidP="00EC6328">
            <w:pPr>
              <w:spacing w:after="40"/>
              <w:jc w:val="center"/>
              <w:rPr>
                <w:szCs w:val="22"/>
              </w:rPr>
            </w:pPr>
            <w:r w:rsidRPr="007D411C">
              <w:rPr>
                <w:szCs w:val="22"/>
              </w:rPr>
              <w:t>160</w:t>
            </w:r>
          </w:p>
        </w:tc>
        <w:tc>
          <w:tcPr>
            <w:tcW w:w="1445" w:type="dxa"/>
          </w:tcPr>
          <w:p w:rsidR="00BD4D54" w:rsidRPr="007D411C" w:rsidRDefault="00BD4D54" w:rsidP="00EC6328">
            <w:pPr>
              <w:spacing w:after="40"/>
              <w:jc w:val="center"/>
              <w:rPr>
                <w:szCs w:val="22"/>
              </w:rPr>
            </w:pPr>
            <w:r w:rsidRPr="007D411C">
              <w:rPr>
                <w:szCs w:val="22"/>
              </w:rPr>
              <w:t>12</w:t>
            </w:r>
          </w:p>
        </w:tc>
        <w:tc>
          <w:tcPr>
            <w:tcW w:w="1517" w:type="dxa"/>
          </w:tcPr>
          <w:p w:rsidR="00BD4D54" w:rsidRPr="007D411C" w:rsidRDefault="00BD4D54" w:rsidP="00EC6328">
            <w:pPr>
              <w:spacing w:after="40"/>
              <w:jc w:val="center"/>
              <w:rPr>
                <w:szCs w:val="22"/>
              </w:rPr>
            </w:pPr>
            <w:r w:rsidRPr="007D411C">
              <w:rPr>
                <w:szCs w:val="22"/>
              </w:rPr>
              <w:t>--</w:t>
            </w:r>
          </w:p>
        </w:tc>
        <w:tc>
          <w:tcPr>
            <w:tcW w:w="1553" w:type="dxa"/>
          </w:tcPr>
          <w:p w:rsidR="00BD4D54" w:rsidRPr="007D411C" w:rsidRDefault="00BD4D54" w:rsidP="00EC6328">
            <w:pPr>
              <w:spacing w:after="40"/>
              <w:jc w:val="center"/>
              <w:rPr>
                <w:szCs w:val="22"/>
              </w:rPr>
            </w:pPr>
            <w:r w:rsidRPr="007D411C">
              <w:rPr>
                <w:szCs w:val="22"/>
              </w:rPr>
              <w:t>88</w:t>
            </w:r>
          </w:p>
        </w:tc>
        <w:tc>
          <w:tcPr>
            <w:tcW w:w="1392" w:type="dxa"/>
          </w:tcPr>
          <w:p w:rsidR="00BD4D54" w:rsidRPr="007D411C" w:rsidRDefault="00BD4D54" w:rsidP="00EC6328">
            <w:pPr>
              <w:spacing w:after="40"/>
              <w:jc w:val="center"/>
              <w:rPr>
                <w:szCs w:val="22"/>
              </w:rPr>
            </w:pPr>
            <w:r w:rsidRPr="007D411C">
              <w:rPr>
                <w:szCs w:val="22"/>
              </w:rPr>
              <w:t>&lt;1</w:t>
            </w:r>
          </w:p>
        </w:tc>
      </w:tr>
    </w:tbl>
    <w:p w:rsidR="00BD4D54" w:rsidRPr="007D411C" w:rsidRDefault="00BD4D54" w:rsidP="00BD4D54">
      <w:pPr>
        <w:spacing w:after="40"/>
        <w:rPr>
          <w:sz w:val="18"/>
          <w:szCs w:val="18"/>
        </w:rPr>
      </w:pPr>
      <w:r w:rsidRPr="007D411C">
        <w:rPr>
          <w:sz w:val="18"/>
          <w:szCs w:val="18"/>
        </w:rPr>
        <w:t>-- Pathway not included in derivation of HIL</w:t>
      </w:r>
    </w:p>
    <w:p w:rsidR="00BD4D54" w:rsidRDefault="00BD4D54" w:rsidP="00BD4D54">
      <w:pPr>
        <w:pStyle w:val="Heading2"/>
        <w:tabs>
          <w:tab w:val="clear" w:pos="1209"/>
        </w:tabs>
      </w:pPr>
      <w:bookmarkStart w:id="150" w:name="_Toc351714239"/>
      <w:r>
        <w:t>References</w:t>
      </w:r>
      <w:bookmarkEnd w:id="150"/>
    </w:p>
    <w:p w:rsidR="00BD4D54" w:rsidRPr="007D411C" w:rsidRDefault="00BD4D54" w:rsidP="00BD4D54">
      <w:pPr>
        <w:pStyle w:val="StyletextLeft0cmHanging1cm"/>
      </w:pPr>
      <w:r w:rsidRPr="007D411C">
        <w:t xml:space="preserve">ATSDR 1996, </w:t>
      </w:r>
      <w:r w:rsidRPr="007D411C">
        <w:rPr>
          <w:i/>
        </w:rPr>
        <w:t>Toxicological Profile for Toxaphene</w:t>
      </w:r>
      <w:r w:rsidRPr="007D411C">
        <w:t>, Agency for Toxic Substances and Disease Registry. Available from http://www.atsdr.cdc.gov/ToxProfiles/tp.asp?id=548&amp;tid=99.</w:t>
      </w:r>
    </w:p>
    <w:p w:rsidR="00BD4D54" w:rsidRPr="007D411C" w:rsidRDefault="00BD4D54" w:rsidP="00BD4D54">
      <w:pPr>
        <w:pStyle w:val="StyletextLeft0cmHanging1cm"/>
      </w:pPr>
      <w:r w:rsidRPr="007D411C">
        <w:t xml:space="preserve">IARC 2001, </w:t>
      </w:r>
      <w:r w:rsidRPr="007D411C">
        <w:rPr>
          <w:i/>
        </w:rPr>
        <w:t>Summaries and Evaluations, Toxaphene</w:t>
      </w:r>
      <w:r w:rsidRPr="007D411C">
        <w:t>, vol. 79, International Agency for Research on Cancer.</w:t>
      </w:r>
    </w:p>
    <w:p w:rsidR="00BD4D54" w:rsidRPr="007D411C" w:rsidRDefault="00BD4D54" w:rsidP="00BD4D54">
      <w:pPr>
        <w:pStyle w:val="StyletextLeft0cmHanging1cm"/>
      </w:pPr>
      <w:r w:rsidRPr="007D411C">
        <w:t xml:space="preserve">NEPC 1999, </w:t>
      </w:r>
      <w:r w:rsidRPr="007D411C">
        <w:rPr>
          <w:i/>
        </w:rPr>
        <w:t>Schedule B (7a), Guideline on Health-Based Investigation Levels, National Environment Protection (Assessment of Site Contamination) Measure</w:t>
      </w:r>
      <w:r w:rsidRPr="007D411C">
        <w:t>, National Environment Protection Council, Australia.</w:t>
      </w:r>
    </w:p>
    <w:p w:rsidR="00BD4D54" w:rsidRPr="007D411C" w:rsidRDefault="00BD4D54" w:rsidP="00BD4D54">
      <w:pPr>
        <w:pStyle w:val="StyletextLeft0cmHanging1cm"/>
        <w:rPr>
          <w:noProof/>
        </w:rPr>
      </w:pPr>
      <w:r w:rsidRPr="007D411C">
        <w:t xml:space="preserve">NHMRC 2011, </w:t>
      </w:r>
      <w:r w:rsidRPr="007D411C">
        <w:rPr>
          <w:i/>
          <w:iCs/>
        </w:rPr>
        <w:t>National water quality management strategy, Australian drinking water guidelines</w:t>
      </w:r>
      <w:r w:rsidRPr="007D411C">
        <w:t>, National Health and Medical Research Council, Australia</w:t>
      </w:r>
      <w:r w:rsidRPr="007D411C">
        <w:rPr>
          <w:noProof/>
        </w:rPr>
        <w:t>.</w:t>
      </w:r>
    </w:p>
    <w:p w:rsidR="00BD4D54" w:rsidRPr="007D411C" w:rsidRDefault="00BD4D54" w:rsidP="00BD4D54">
      <w:pPr>
        <w:pStyle w:val="StyletextLeft0cmHanging1cm"/>
      </w:pPr>
      <w:r w:rsidRPr="007D411C">
        <w:t xml:space="preserve">OEHHA 2003, </w:t>
      </w:r>
      <w:r w:rsidRPr="007D411C">
        <w:rPr>
          <w:i/>
        </w:rPr>
        <w:t>Public Health Goals for Chemicals in Drinking Water, Toxaphene</w:t>
      </w:r>
      <w:r w:rsidRPr="007D411C">
        <w:t>, Office of Environmental Health Hazard Assessment (OEHHA), September 2003.</w:t>
      </w:r>
    </w:p>
    <w:p w:rsidR="00BD4D54" w:rsidRPr="007D411C" w:rsidRDefault="00BD4D54" w:rsidP="00BD4D54">
      <w:pPr>
        <w:pStyle w:val="StyletextLeft0cmHanging1cm"/>
      </w:pPr>
      <w:r w:rsidRPr="007D411C">
        <w:t xml:space="preserve">US EPA 1995, </w:t>
      </w:r>
      <w:r w:rsidRPr="007D411C">
        <w:rPr>
          <w:i/>
        </w:rPr>
        <w:t>Technical Guidance Manual, Assessing Dermal Exposure from Soil</w:t>
      </w:r>
      <w:r w:rsidRPr="007D411C">
        <w:t xml:space="preserve">, US EPA Region 3, available from: </w:t>
      </w:r>
      <w:hyperlink r:id="rId65" w:history="1">
        <w:r w:rsidRPr="007D411C">
          <w:rPr>
            <w:rStyle w:val="Hyperlink"/>
            <w:szCs w:val="22"/>
          </w:rPr>
          <w:t>http://www.epa.gov/reg3hwmd/risk/human/info/solabsg2.htm</w:t>
        </w:r>
      </w:hyperlink>
      <w:r w:rsidRPr="007D411C">
        <w:t>.</w:t>
      </w:r>
    </w:p>
    <w:p w:rsidR="00BD4D54" w:rsidRPr="007D411C" w:rsidRDefault="00BD4D54" w:rsidP="00BD4D54">
      <w:pPr>
        <w:pStyle w:val="StyletextLeft0cmHanging1cm"/>
      </w:pPr>
      <w:r w:rsidRPr="007D411C">
        <w:t xml:space="preserve">US EPA (IRIS 2012), data and information available from the </w:t>
      </w:r>
      <w:r w:rsidRPr="007D411C">
        <w:rPr>
          <w:i/>
        </w:rPr>
        <w:t>Integrated Risk Information System</w:t>
      </w:r>
      <w:r w:rsidRPr="007D411C">
        <w:t xml:space="preserve">, an online database, available from </w:t>
      </w:r>
      <w:hyperlink r:id="rId66" w:history="1">
        <w:r w:rsidRPr="007D411C">
          <w:rPr>
            <w:rStyle w:val="Hyperlink"/>
            <w:szCs w:val="22"/>
          </w:rPr>
          <w:t>http://www.epa.gov/iris/</w:t>
        </w:r>
      </w:hyperlink>
      <w:r w:rsidRPr="007D411C">
        <w:t>.</w:t>
      </w:r>
    </w:p>
    <w:p w:rsidR="00BD4D54" w:rsidRPr="007D411C" w:rsidRDefault="00BD4D54" w:rsidP="00BD4D54">
      <w:pPr>
        <w:pStyle w:val="StyletextLeft0cmHanging1cm"/>
      </w:pPr>
      <w:r w:rsidRPr="007D411C">
        <w:t xml:space="preserve">WHO 2011, </w:t>
      </w:r>
      <w:r w:rsidRPr="007D411C">
        <w:rPr>
          <w:i/>
        </w:rPr>
        <w:t>Guidelines for drinking-water quality, 4th edn</w:t>
      </w:r>
      <w:r w:rsidRPr="007D411C">
        <w:t>, World Health Organization, Geneva</w:t>
      </w:r>
      <w:r>
        <w:t>,</w:t>
      </w:r>
      <w:r w:rsidRPr="007D411C">
        <w:t xml:space="preserve"> available from </w:t>
      </w:r>
      <w:hyperlink r:id="rId67" w:history="1">
        <w:r w:rsidRPr="007D411C">
          <w:rPr>
            <w:rStyle w:val="Hyperlink"/>
            <w:szCs w:val="22"/>
          </w:rPr>
          <w:t>http://www.who.int/water_sanitation_health/dwq/chemicals/en/index.html</w:t>
        </w:r>
      </w:hyperlink>
      <w:r w:rsidRPr="007D411C">
        <w:t>.</w:t>
      </w:r>
    </w:p>
    <w:p w:rsidR="00BD4D54" w:rsidRPr="00544EAE" w:rsidRDefault="00BD4D54" w:rsidP="00BD4D54">
      <w:pPr>
        <w:rPr>
          <w:sz w:val="18"/>
          <w:szCs w:val="18"/>
        </w:rPr>
      </w:pPr>
    </w:p>
    <w:p w:rsidR="00BD4D54" w:rsidRDefault="00BD4D54" w:rsidP="00BD4D54"/>
    <w:p w:rsidR="00BD4D54" w:rsidRDefault="00BD4D54" w:rsidP="00BD4D54"/>
    <w:p w:rsidR="00BD4D54" w:rsidRDefault="00BD4D54" w:rsidP="00BD4D54">
      <w:pPr>
        <w:pStyle w:val="Heading1"/>
        <w:tabs>
          <w:tab w:val="clear" w:pos="1209"/>
          <w:tab w:val="num" w:pos="720"/>
        </w:tabs>
      </w:pPr>
      <w:bookmarkStart w:id="151" w:name="_Toc351714240"/>
      <w:r>
        <w:lastRenderedPageBreak/>
        <w:t>Shortened forms</w:t>
      </w:r>
      <w:bookmarkEnd w:id="151"/>
    </w:p>
    <w:tbl>
      <w:tblPr>
        <w:tblW w:w="9322" w:type="dxa"/>
        <w:tblInd w:w="136" w:type="dxa"/>
        <w:tblLayout w:type="fixed"/>
        <w:tblLook w:val="0000" w:firstRow="0" w:lastRow="0" w:firstColumn="0" w:lastColumn="0" w:noHBand="0" w:noVBand="0"/>
      </w:tblPr>
      <w:tblGrid>
        <w:gridCol w:w="1815"/>
        <w:gridCol w:w="7507"/>
      </w:tblGrid>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ADI</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acceptable daily intake</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ADWG</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Australian Drinking Water Guidelines</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AI</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adequate intake</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ANZECC</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Australia and New Zealand Environment and Conservation Council</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APVMA</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Australian Pesticides and Veterinary Medicines Authority</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ATDS</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Australian Total Diet Survey</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ATSDR</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Agency for Toxic Substances and Disease Registry</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BA</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bioavailability</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BI</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background intake</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BMD</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benchmark dose</w:t>
            </w:r>
          </w:p>
        </w:tc>
      </w:tr>
      <w:tr w:rsidR="00BD4D54" w:rsidRPr="007D411C" w:rsidTr="00EC6328">
        <w:trPr>
          <w:cantSplit/>
          <w:trHeight w:hRule="exact" w:val="454"/>
        </w:trPr>
        <w:tc>
          <w:tcPr>
            <w:tcW w:w="1815" w:type="dxa"/>
            <w:shd w:val="clear" w:color="auto" w:fill="auto"/>
          </w:tcPr>
          <w:p w:rsidR="00BD4D54" w:rsidRPr="007D411C" w:rsidDel="0001713B"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BMDL</w:t>
            </w:r>
          </w:p>
        </w:tc>
        <w:tc>
          <w:tcPr>
            <w:tcW w:w="7507" w:type="dxa"/>
            <w:shd w:val="clear" w:color="auto" w:fill="auto"/>
          </w:tcPr>
          <w:p w:rsidR="00BD4D54" w:rsidRPr="007D411C" w:rsidDel="0001713B"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Benchmark dose lower confidence limit</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CCME</w:t>
            </w:r>
          </w:p>
        </w:tc>
        <w:tc>
          <w:tcPr>
            <w:tcW w:w="7507" w:type="dxa"/>
            <w:shd w:val="clear" w:color="auto" w:fill="auto"/>
          </w:tcPr>
          <w:p w:rsidR="00BD4D54" w:rsidRPr="007D411C" w:rsidRDefault="00BD4D54" w:rsidP="00EC6328">
            <w:pPr>
              <w:pStyle w:val="TableBody"/>
              <w:spacing w:before="20" w:after="20"/>
              <w:rPr>
                <w:rFonts w:ascii="Book Antiqua" w:hAnsi="Book Antiqua"/>
                <w:color w:val="000000"/>
                <w:sz w:val="22"/>
                <w:szCs w:val="22"/>
              </w:rPr>
            </w:pPr>
            <w:r w:rsidRPr="007D411C">
              <w:rPr>
                <w:rFonts w:ascii="Book Antiqua" w:hAnsi="Book Antiqua"/>
                <w:color w:val="000000"/>
                <w:sz w:val="22"/>
                <w:szCs w:val="22"/>
              </w:rPr>
              <w:t>Canadian Council of Ministers of the Environment</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CICAD</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color w:val="000000"/>
                <w:sz w:val="22"/>
                <w:szCs w:val="22"/>
              </w:rPr>
              <w:t>Concise International Chemicals Assessment Document</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CNS</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central nervous system</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DAF</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dermal absorption factor</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DW</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dry weight</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EA</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Environment Agency (England and Wales)</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EHC</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Environmental Health Criteria</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EPA</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Environment Protection Authority</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FSANZ</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Food Standards Australia and New Zealand</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GAF</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gastrointestinal absorption factor</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HCB</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hexachlorobenzene</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HEC</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human equivalent concentration</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HED</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human equivalent dose</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HIARC</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Hazard Identification Assessment Review Committee</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HIL</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health investigation level</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HSDB</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Hazardous Substances Data Bank</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HSL</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health screening level</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IARC</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International Agency for Research on Cancer</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IEUBK</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Integrated exposure uptake biokinetic model</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lastRenderedPageBreak/>
              <w:t>IRIS</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Integrated Risk Information System</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JECFA</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color w:val="000000"/>
                <w:sz w:val="22"/>
                <w:szCs w:val="22"/>
              </w:rPr>
              <w:t>Joint FAO/WHO Expert Committee on Food Additives</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JMPR</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color w:val="000000"/>
                <w:sz w:val="22"/>
                <w:szCs w:val="22"/>
              </w:rPr>
              <w:t>WHO/FAO Joint Meeting on Pesticide Residues</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LOAEL</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lowest observed adverse effect level</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LOEL</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lowest observed effect level</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MF</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modifying factor</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MOA</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mode (or mechanism) of action</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MRL</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minimal risk level</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NEPC</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National Environment Protection Council</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NEPM</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National Environment Protection Measure</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NHMRC</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National Health and Medical Research Council</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NOAEL</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no observable adverse effect level</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NOEL</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no observable effect level</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NSW DECC</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New South Wales Department of Environment and Climate Change</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OCS</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Office of Chemical Safety</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POP</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persistent organic pollutant</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PTDI</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provisional tolerable daily intake</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PTMI</w:t>
            </w:r>
          </w:p>
        </w:tc>
        <w:tc>
          <w:tcPr>
            <w:tcW w:w="7507" w:type="dxa"/>
            <w:shd w:val="clear" w:color="auto" w:fill="auto"/>
          </w:tcPr>
          <w:p w:rsidR="00BD4D54" w:rsidRPr="007D411C" w:rsidRDefault="00BD4D54" w:rsidP="00EC6328">
            <w:pPr>
              <w:pStyle w:val="TableBody"/>
              <w:spacing w:before="20" w:after="20"/>
              <w:rPr>
                <w:rFonts w:ascii="Book Antiqua" w:hAnsi="Book Antiqua"/>
                <w:i/>
                <w:color w:val="1F497D"/>
                <w:sz w:val="22"/>
                <w:szCs w:val="22"/>
              </w:rPr>
            </w:pPr>
            <w:r w:rsidRPr="007D411C">
              <w:rPr>
                <w:rFonts w:ascii="Book Antiqua" w:hAnsi="Book Antiqua"/>
                <w:sz w:val="22"/>
                <w:szCs w:val="22"/>
              </w:rPr>
              <w:t>provisional tolerable monthly intake</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PTWI</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provisional tolerable weekly intake</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RAIS</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Risk Assessment Information System</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RDI</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recommended daily intake</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REL</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reference exposure level</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RfC</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reference concentration</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RfD</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reference dose</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RME</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reasonable maximum exposure</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SF</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slope factor</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TC</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tolerable concentration</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TD</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tumorigenic dose</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TDI</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tolerable daily intake</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TRV</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toxicity reference value</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UF</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uncertainty factor</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lastRenderedPageBreak/>
              <w:t>UL</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upper limit</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UR</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unit risk</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US EPA</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United States Environmental Protection Agency</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WHO</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World Health Organization</w:t>
            </w:r>
          </w:p>
        </w:tc>
      </w:tr>
      <w:tr w:rsidR="00BD4D54" w:rsidRPr="007D411C" w:rsidTr="00EC6328">
        <w:trPr>
          <w:cantSplit/>
          <w:trHeight w:hRule="exact" w:val="454"/>
        </w:trPr>
        <w:tc>
          <w:tcPr>
            <w:tcW w:w="1815" w:type="dxa"/>
            <w:shd w:val="clear" w:color="auto" w:fill="auto"/>
          </w:tcPr>
          <w:p w:rsidR="00BD4D54" w:rsidRPr="007D411C" w:rsidRDefault="00BD4D54" w:rsidP="00EC6328">
            <w:pPr>
              <w:pStyle w:val="TableBody"/>
              <w:spacing w:before="20" w:after="20"/>
              <w:rPr>
                <w:rFonts w:ascii="Book Antiqua" w:hAnsi="Book Antiqua"/>
                <w:b/>
                <w:sz w:val="22"/>
                <w:szCs w:val="22"/>
              </w:rPr>
            </w:pPr>
            <w:r w:rsidRPr="007D411C">
              <w:rPr>
                <w:rFonts w:ascii="Book Antiqua" w:hAnsi="Book Antiqua"/>
                <w:b/>
                <w:sz w:val="22"/>
                <w:szCs w:val="22"/>
              </w:rPr>
              <w:t>WHO DWG</w:t>
            </w:r>
          </w:p>
        </w:tc>
        <w:tc>
          <w:tcPr>
            <w:tcW w:w="7507" w:type="dxa"/>
            <w:shd w:val="clear" w:color="auto" w:fill="auto"/>
          </w:tcPr>
          <w:p w:rsidR="00BD4D54" w:rsidRPr="007D411C" w:rsidRDefault="00BD4D54" w:rsidP="00EC6328">
            <w:pPr>
              <w:pStyle w:val="TableBody"/>
              <w:spacing w:before="20" w:after="20"/>
              <w:rPr>
                <w:rFonts w:ascii="Book Antiqua" w:hAnsi="Book Antiqua"/>
                <w:sz w:val="22"/>
                <w:szCs w:val="22"/>
              </w:rPr>
            </w:pPr>
            <w:r w:rsidRPr="007D411C">
              <w:rPr>
                <w:rFonts w:ascii="Book Antiqua" w:hAnsi="Book Antiqua"/>
                <w:sz w:val="22"/>
                <w:szCs w:val="22"/>
              </w:rPr>
              <w:t>World Health Organization Drinking Water Guidelines</w:t>
            </w:r>
          </w:p>
        </w:tc>
      </w:tr>
    </w:tbl>
    <w:p w:rsidR="00480C84" w:rsidRDefault="00480C84" w:rsidP="00480C84">
      <w:pPr>
        <w:pStyle w:val="text"/>
      </w:pPr>
      <w:r>
        <w:t xml:space="preserve"> </w:t>
      </w:r>
    </w:p>
    <w:p w:rsidR="00775051" w:rsidRDefault="00775051" w:rsidP="00775051">
      <w:pPr>
        <w:sectPr w:rsidR="00775051" w:rsidSect="00480C84">
          <w:headerReference w:type="even" r:id="rId68"/>
          <w:headerReference w:type="default" r:id="rId69"/>
          <w:footerReference w:type="default" r:id="rId70"/>
          <w:headerReference w:type="first" r:id="rId71"/>
          <w:pgSz w:w="11906" w:h="16838" w:code="9"/>
          <w:pgMar w:top="1134" w:right="1134" w:bottom="1418" w:left="1701" w:header="720" w:footer="567" w:gutter="0"/>
          <w:paperSrc w:first="2" w:other="2"/>
          <w:pgNumType w:start="1"/>
          <w:cols w:space="720"/>
        </w:sectPr>
      </w:pPr>
    </w:p>
    <w:p w:rsidR="00BD4D54" w:rsidRDefault="00BD4D54" w:rsidP="00775051"/>
    <w:sectPr w:rsidR="00BD4D54" w:rsidSect="00775051">
      <w:headerReference w:type="even" r:id="rId72"/>
      <w:headerReference w:type="default" r:id="rId73"/>
      <w:footerReference w:type="even" r:id="rId74"/>
      <w:footerReference w:type="default" r:id="rId75"/>
      <w:headerReference w:type="first" r:id="rId76"/>
      <w:footerReference w:type="first" r:id="rId77"/>
      <w:type w:val="continuous"/>
      <w:pgSz w:w="11906" w:h="16838" w:code="9"/>
      <w:pgMar w:top="1134" w:right="1134" w:bottom="1418" w:left="1701" w:header="720" w:footer="567" w:gutter="0"/>
      <w:paperSrc w:first="2" w:other="2"/>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C84" w:rsidRDefault="00480C84" w:rsidP="00664C63">
      <w:pPr>
        <w:spacing w:line="240" w:lineRule="auto"/>
      </w:pPr>
      <w:r>
        <w:separator/>
      </w:r>
    </w:p>
  </w:endnote>
  <w:endnote w:type="continuationSeparator" w:id="0">
    <w:p w:rsidR="00480C84" w:rsidRDefault="00480C84"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embedItalic r:id="rId1" w:subsetted="1" w:fontKey="{B3B2410C-5CF4-41E2-9095-2F32E83D1EA5}"/>
  </w:font>
  <w:font w:name="Book Antiqua">
    <w:panose1 w:val="02040602050305030304"/>
    <w:charset w:val="00"/>
    <w:family w:val="roman"/>
    <w:pitch w:val="variable"/>
    <w:sig w:usb0="00000287" w:usb1="00000000" w:usb2="00000000" w:usb3="00000000" w:csb0="0000009F" w:csb1="00000000"/>
    <w:embedRegular r:id="rId2" w:fontKey="{54BDFE79-6ACB-4479-B789-735AA31D0BE3}"/>
    <w:embedBold r:id="rId3" w:fontKey="{7531CE3C-CA70-4C21-BA8D-9D7D10CA3510}"/>
    <w:embedItalic r:id="rId4" w:fontKey="{D14B8A5B-6D7A-4780-B808-A5E7440316FD}"/>
  </w:font>
  <w:font w:name="Calibri">
    <w:panose1 w:val="020F0502020204030204"/>
    <w:charset w:val="00"/>
    <w:family w:val="swiss"/>
    <w:pitch w:val="variable"/>
    <w:sig w:usb0="E10002FF" w:usb1="4000ACFF" w:usb2="00000009" w:usb3="00000000" w:csb0="0000019F" w:csb1="00000000"/>
    <w:embedRegular r:id="rId5" w:subsetted="1" w:fontKey="{5F150BDB-0F1A-426A-8C76-DC7997232732}"/>
    <w:embedBold r:id="rId6" w:subsetted="1" w:fontKey="{F100B942-B0A5-48BB-B1C2-853DDC2BEC82}"/>
  </w:font>
  <w:font w:name="Arial Bol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embedBold r:id="rId7" w:subsetted="1" w:fontKey="{575E14CB-1653-4C14-A2CD-A5C47D0A974A}"/>
  </w:font>
  <w:font w:name="Kozuka Mincho Pro B">
    <w:panose1 w:val="00000000000000000000"/>
    <w:charset w:val="80"/>
    <w:family w:val="roman"/>
    <w:notTrueType/>
    <w:pitch w:val="variable"/>
    <w:sig w:usb0="00000283" w:usb1="2AC71C11" w:usb2="00000012" w:usb3="00000000" w:csb0="00020005" w:csb1="00000000"/>
  </w:font>
  <w:font w:name="TimesNewRomanPSMT">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BookAntiqua-Italic">
    <w:panose1 w:val="00000000000000000000"/>
    <w:charset w:val="00"/>
    <w:family w:val="auto"/>
    <w:notTrueType/>
    <w:pitch w:val="default"/>
    <w:sig w:usb0="00000003" w:usb1="00000000" w:usb2="00000000" w:usb3="00000000" w:csb0="00000001" w:csb1="00000000"/>
  </w:font>
  <w:font w:name="GPCEBO+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84" w:rsidRDefault="00480C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73</w:t>
    </w:r>
    <w:r>
      <w:rPr>
        <w:rStyle w:val="PageNumber"/>
      </w:rPr>
      <w:fldChar w:fldCharType="end"/>
    </w:r>
  </w:p>
  <w:p w:rsidR="00480C84" w:rsidRDefault="00480C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27C" w:rsidRPr="00EE627C" w:rsidRDefault="00EE627C" w:rsidP="00EE627C">
    <w:pPr>
      <w:pStyle w:val="Footer"/>
      <w:rPr>
        <w:rFonts w:ascii="Arial" w:hAnsi="Arial" w:cs="Arial"/>
        <w:sz w:val="14"/>
      </w:rPr>
    </w:pPr>
    <w:r>
      <w:rPr>
        <w:rFonts w:ascii="Arial" w:hAnsi="Arial" w:cs="Arial"/>
        <w:sz w:val="14"/>
      </w:rPr>
      <w:t>OPC50357</w:t>
    </w:r>
    <w:r w:rsidRPr="00EE627C">
      <w:rPr>
        <w:rFonts w:ascii="Arial" w:hAnsi="Arial" w:cs="Arial"/>
        <w:sz w:val="14"/>
      </w:rPr>
      <w:t xml:space="preserve"> - 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27C" w:rsidRPr="00EE627C" w:rsidRDefault="00EE627C" w:rsidP="00EE627C">
    <w:pPr>
      <w:pStyle w:val="text"/>
      <w:jc w:val="left"/>
      <w:rPr>
        <w:rFonts w:ascii="Arial" w:hAnsi="Arial" w:cs="Arial"/>
        <w:sz w:val="14"/>
      </w:rPr>
    </w:pPr>
    <w:r>
      <w:rPr>
        <w:rFonts w:ascii="Arial" w:hAnsi="Arial" w:cs="Arial"/>
        <w:sz w:val="14"/>
      </w:rPr>
      <w:t>OPC50357</w:t>
    </w:r>
    <w:r w:rsidRPr="00EE627C">
      <w:rPr>
        <w:rFonts w:ascii="Arial" w:hAnsi="Arial" w:cs="Arial"/>
        <w:sz w:val="14"/>
      </w:rPr>
      <w:t xml:space="preserve"> - B</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84" w:rsidRPr="00EE627C" w:rsidRDefault="00EE627C" w:rsidP="00EE627C">
    <w:pPr>
      <w:pStyle w:val="text"/>
      <w:jc w:val="left"/>
      <w:rPr>
        <w:rFonts w:ascii="Arial" w:hAnsi="Arial" w:cs="Arial"/>
        <w:sz w:val="14"/>
      </w:rPr>
    </w:pPr>
    <w:r>
      <w:rPr>
        <w:rFonts w:ascii="Arial" w:hAnsi="Arial" w:cs="Arial"/>
        <w:sz w:val="14"/>
      </w:rPr>
      <w:t>OPC50357</w:t>
    </w:r>
    <w:r w:rsidRPr="00EE627C">
      <w:rPr>
        <w:rFonts w:ascii="Arial" w:hAnsi="Arial" w:cs="Arial"/>
        <w:sz w:val="14"/>
      </w:rPr>
      <w:t xml:space="preserve"> - B</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84" w:rsidRPr="00EE627C" w:rsidRDefault="00480C84" w:rsidP="00EE627C">
    <w:pPr>
      <w:pStyle w:val="Footer"/>
      <w:framePr w:wrap="around" w:vAnchor="text" w:hAnchor="page" w:x="10706" w:y="227"/>
      <w:rPr>
        <w:rStyle w:val="PageNumber"/>
        <w:rFonts w:ascii="Arial" w:hAnsi="Arial" w:cs="Arial"/>
        <w:sz w:val="14"/>
      </w:rPr>
    </w:pPr>
    <w:r w:rsidRPr="00EE627C">
      <w:rPr>
        <w:rStyle w:val="PageNumber"/>
        <w:rFonts w:ascii="Arial" w:hAnsi="Arial" w:cs="Arial"/>
        <w:sz w:val="14"/>
      </w:rPr>
      <w:fldChar w:fldCharType="begin"/>
    </w:r>
    <w:r w:rsidRPr="00EE627C">
      <w:rPr>
        <w:rStyle w:val="PageNumber"/>
        <w:rFonts w:ascii="Arial" w:hAnsi="Arial" w:cs="Arial"/>
        <w:sz w:val="14"/>
      </w:rPr>
      <w:instrText xml:space="preserve">PAGE  </w:instrText>
    </w:r>
    <w:r w:rsidRPr="00EE627C">
      <w:rPr>
        <w:rStyle w:val="PageNumber"/>
        <w:rFonts w:ascii="Arial" w:hAnsi="Arial" w:cs="Arial"/>
        <w:sz w:val="14"/>
      </w:rPr>
      <w:fldChar w:fldCharType="separate"/>
    </w:r>
    <w:r w:rsidR="00EE627C">
      <w:rPr>
        <w:rStyle w:val="PageNumber"/>
        <w:rFonts w:ascii="Arial" w:hAnsi="Arial" w:cs="Arial"/>
        <w:noProof/>
        <w:sz w:val="14"/>
      </w:rPr>
      <w:t>51</w:t>
    </w:r>
    <w:r w:rsidRPr="00EE627C">
      <w:rPr>
        <w:rStyle w:val="PageNumber"/>
        <w:rFonts w:ascii="Arial" w:hAnsi="Arial" w:cs="Arial"/>
        <w:sz w:val="14"/>
      </w:rPr>
      <w:fldChar w:fldCharType="end"/>
    </w:r>
  </w:p>
  <w:p w:rsidR="00EE627C" w:rsidRDefault="00480C84" w:rsidP="00EE627C">
    <w:pPr>
      <w:pBdr>
        <w:top w:val="single" w:sz="4" w:space="5" w:color="auto"/>
      </w:pBdr>
      <w:tabs>
        <w:tab w:val="right" w:pos="9071"/>
      </w:tabs>
      <w:ind w:right="-1"/>
      <w:rPr>
        <w:rFonts w:ascii="Arial" w:hAnsi="Arial" w:cs="Arial"/>
        <w:sz w:val="14"/>
        <w:szCs w:val="16"/>
      </w:rPr>
    </w:pPr>
    <w:r w:rsidRPr="00EE627C">
      <w:rPr>
        <w:rFonts w:ascii="Arial" w:hAnsi="Arial" w:cs="Arial"/>
        <w:sz w:val="14"/>
        <w:szCs w:val="16"/>
      </w:rPr>
      <w:t xml:space="preserve">Schedule B7 – </w:t>
    </w:r>
    <w:r w:rsidR="001F3C6C" w:rsidRPr="00EE627C">
      <w:rPr>
        <w:rFonts w:ascii="Arial" w:hAnsi="Arial" w:cs="Arial"/>
        <w:sz w:val="14"/>
        <w:szCs w:val="16"/>
      </w:rPr>
      <w:t>APPENDIX A3 Derivation of HILs for Organochlorine Pesticides</w:t>
    </w:r>
    <w:r w:rsidRPr="00EE627C">
      <w:rPr>
        <w:rFonts w:ascii="Arial" w:hAnsi="Arial" w:cs="Arial"/>
        <w:sz w:val="14"/>
        <w:szCs w:val="16"/>
      </w:rPr>
      <w:tab/>
    </w:r>
  </w:p>
  <w:p w:rsidR="00480C84" w:rsidRPr="00EE627C" w:rsidRDefault="00EE627C" w:rsidP="00EE627C">
    <w:pPr>
      <w:pBdr>
        <w:top w:val="single" w:sz="4" w:space="5" w:color="auto"/>
      </w:pBdr>
      <w:tabs>
        <w:tab w:val="right" w:pos="9071"/>
      </w:tabs>
      <w:ind w:right="-1"/>
      <w:rPr>
        <w:rFonts w:ascii="Arial" w:hAnsi="Arial" w:cs="Arial"/>
        <w:sz w:val="14"/>
        <w:szCs w:val="16"/>
      </w:rPr>
    </w:pPr>
    <w:r>
      <w:rPr>
        <w:rFonts w:ascii="Arial" w:hAnsi="Arial" w:cs="Arial"/>
        <w:sz w:val="14"/>
        <w:szCs w:val="16"/>
      </w:rPr>
      <w:t>OPC50357</w:t>
    </w:r>
    <w:r w:rsidRPr="00EE627C">
      <w:rPr>
        <w:rFonts w:ascii="Arial" w:hAnsi="Arial" w:cs="Arial"/>
        <w:sz w:val="14"/>
        <w:szCs w:val="16"/>
      </w:rPr>
      <w:t xml:space="preserve"> - B</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84" w:rsidRPr="00BB4623" w:rsidRDefault="00480C84" w:rsidP="00FA3991">
    <w:pPr>
      <w:pBdr>
        <w:top w:val="single" w:sz="6" w:space="1" w:color="auto"/>
      </w:pBdr>
      <w:spacing w:before="120"/>
      <w:jc w:val="right"/>
      <w:rPr>
        <w:sz w:val="18"/>
      </w:rPr>
    </w:pPr>
  </w:p>
  <w:p w:rsidR="00480C84" w:rsidRPr="00BB4623" w:rsidRDefault="00480C84"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Pr>
        <w:i/>
        <w:noProof/>
        <w:sz w:val="18"/>
      </w:rPr>
      <w:t>73</w:t>
    </w:r>
    <w:r w:rsidRPr="00BB4623">
      <w:rPr>
        <w:i/>
        <w:sz w:val="18"/>
      </w:rPr>
      <w:fldChar w:fldCharType="end"/>
    </w:r>
  </w:p>
  <w:p w:rsidR="00480C84" w:rsidRPr="00BB4623" w:rsidRDefault="00480C84" w:rsidP="00664C63">
    <w:pPr>
      <w:jc w:val="right"/>
      <w:rPr>
        <w:i/>
        <w:sz w:val="18"/>
      </w:rPr>
    </w:pPr>
    <w:r w:rsidRPr="00BB4623">
      <w:rPr>
        <w:i/>
        <w:sz w:val="18"/>
      </w:rPr>
      <w:fldChar w:fldCharType="begin"/>
    </w:r>
    <w:r w:rsidRPr="00BB4623">
      <w:rPr>
        <w:i/>
        <w:sz w:val="18"/>
      </w:rPr>
      <w:instrText xml:space="preserve"> FILENAME \p </w:instrText>
    </w:r>
    <w:r w:rsidRPr="00BB4623">
      <w:rPr>
        <w:i/>
        <w:sz w:val="18"/>
      </w:rPr>
      <w:fldChar w:fldCharType="separate"/>
    </w:r>
    <w:r w:rsidR="00EE627C">
      <w:rPr>
        <w:i/>
        <w:noProof/>
        <w:sz w:val="18"/>
      </w:rPr>
      <w:t>Q:\Word\INSTRUMENTS\I13KE131.DOCX</w:t>
    </w:r>
    <w:r w:rsidRPr="00BB4623">
      <w:rPr>
        <w:i/>
        <w:sz w:val="18"/>
      </w:rPr>
      <w:fldChar w:fldCharType="end"/>
    </w:r>
    <w:r w:rsidRPr="00BB4623">
      <w:rPr>
        <w:i/>
        <w:sz w:val="18"/>
      </w:rPr>
      <w:t xml:space="preserve">  </w:t>
    </w:r>
    <w:r w:rsidRPr="00BB4623">
      <w:rPr>
        <w:i/>
        <w:sz w:val="18"/>
      </w:rPr>
      <w:fldChar w:fldCharType="begin"/>
    </w:r>
    <w:r w:rsidRPr="00BB4623">
      <w:rPr>
        <w:i/>
        <w:sz w:val="18"/>
      </w:rPr>
      <w:instrText xml:space="preserve"> TIME \@ "d/M/yyyy h:mm AM/PM" </w:instrText>
    </w:r>
    <w:r w:rsidRPr="00BB4623">
      <w:rPr>
        <w:i/>
        <w:sz w:val="18"/>
      </w:rPr>
      <w:fldChar w:fldCharType="separate"/>
    </w:r>
    <w:r w:rsidR="00EE627C">
      <w:rPr>
        <w:i/>
        <w:noProof/>
        <w:sz w:val="18"/>
      </w:rPr>
      <w:t>22/3/2013 12:52 PM</w:t>
    </w:r>
    <w:r w:rsidRPr="00BB4623">
      <w:rPr>
        <w:i/>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84" w:rsidRPr="00EE627C" w:rsidRDefault="00480C84" w:rsidP="00A6121F">
    <w:pPr>
      <w:pBdr>
        <w:top w:val="single" w:sz="6" w:space="1" w:color="auto"/>
      </w:pBdr>
      <w:spacing w:line="0" w:lineRule="atLeast"/>
      <w:rPr>
        <w:rFonts w:ascii="Arial" w:hAnsi="Arial" w:cs="Arial"/>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480C84" w:rsidRPr="00EE627C" w:rsidTr="006C5791">
      <w:tc>
        <w:tcPr>
          <w:tcW w:w="8472" w:type="dxa"/>
        </w:tcPr>
        <w:p w:rsidR="00480C84" w:rsidRPr="00EE627C" w:rsidRDefault="00480C84" w:rsidP="00A6121F">
          <w:pPr>
            <w:spacing w:line="0" w:lineRule="atLeast"/>
            <w:jc w:val="right"/>
            <w:rPr>
              <w:rFonts w:ascii="Arial" w:hAnsi="Arial" w:cs="Arial"/>
              <w:i/>
              <w:sz w:val="14"/>
            </w:rPr>
          </w:pPr>
          <w:r w:rsidRPr="00EE627C">
            <w:rPr>
              <w:rFonts w:ascii="Arial" w:hAnsi="Arial" w:cs="Arial"/>
              <w:i/>
              <w:sz w:val="14"/>
            </w:rPr>
            <w:fldChar w:fldCharType="begin"/>
          </w:r>
          <w:r w:rsidRPr="00EE627C">
            <w:rPr>
              <w:rFonts w:ascii="Arial" w:hAnsi="Arial" w:cs="Arial"/>
              <w:i/>
              <w:sz w:val="14"/>
            </w:rPr>
            <w:instrText xml:space="preserve"> PAGE </w:instrText>
          </w:r>
          <w:r w:rsidRPr="00EE627C">
            <w:rPr>
              <w:rFonts w:ascii="Arial" w:hAnsi="Arial" w:cs="Arial"/>
              <w:i/>
              <w:sz w:val="14"/>
            </w:rPr>
            <w:fldChar w:fldCharType="separate"/>
          </w:r>
          <w:r w:rsidR="00775051" w:rsidRPr="00EE627C">
            <w:rPr>
              <w:rFonts w:ascii="Arial" w:hAnsi="Arial" w:cs="Arial"/>
              <w:i/>
              <w:noProof/>
              <w:sz w:val="14"/>
            </w:rPr>
            <w:t>2</w:t>
          </w:r>
          <w:r w:rsidRPr="00EE627C">
            <w:rPr>
              <w:rFonts w:ascii="Arial" w:hAnsi="Arial" w:cs="Arial"/>
              <w:i/>
              <w:sz w:val="14"/>
            </w:rPr>
            <w:fldChar w:fldCharType="end"/>
          </w:r>
        </w:p>
      </w:tc>
    </w:tr>
    <w:tr w:rsidR="00480C84" w:rsidRPr="00EE627C" w:rsidTr="006C5791">
      <w:tc>
        <w:tcPr>
          <w:tcW w:w="8472" w:type="dxa"/>
        </w:tcPr>
        <w:p w:rsidR="00480C84" w:rsidRPr="00EE627C" w:rsidRDefault="00480C84" w:rsidP="00A6121F">
          <w:pPr>
            <w:rPr>
              <w:rFonts w:ascii="Arial" w:hAnsi="Arial" w:cs="Arial"/>
              <w:i/>
              <w:sz w:val="14"/>
            </w:rPr>
          </w:pPr>
          <w:r w:rsidRPr="00EE627C">
            <w:rPr>
              <w:rFonts w:ascii="Arial" w:hAnsi="Arial" w:cs="Arial"/>
              <w:i/>
              <w:sz w:val="14"/>
            </w:rPr>
            <w:fldChar w:fldCharType="begin"/>
          </w:r>
          <w:r w:rsidRPr="00EE627C">
            <w:rPr>
              <w:rFonts w:ascii="Arial" w:hAnsi="Arial" w:cs="Arial"/>
              <w:i/>
              <w:sz w:val="14"/>
            </w:rPr>
            <w:instrText xml:space="preserve"> FILENAME \p </w:instrText>
          </w:r>
          <w:r w:rsidRPr="00EE627C">
            <w:rPr>
              <w:rFonts w:ascii="Arial" w:hAnsi="Arial" w:cs="Arial"/>
              <w:i/>
              <w:sz w:val="14"/>
            </w:rPr>
            <w:fldChar w:fldCharType="separate"/>
          </w:r>
          <w:r w:rsidR="00EE627C">
            <w:rPr>
              <w:rFonts w:ascii="Arial" w:hAnsi="Arial" w:cs="Arial"/>
              <w:i/>
              <w:noProof/>
              <w:sz w:val="14"/>
            </w:rPr>
            <w:t>Q:\Word\INSTRUMENTS\I13KE131.DOCX</w:t>
          </w:r>
          <w:r w:rsidRPr="00EE627C">
            <w:rPr>
              <w:rFonts w:ascii="Arial" w:hAnsi="Arial" w:cs="Arial"/>
              <w:i/>
              <w:sz w:val="14"/>
            </w:rPr>
            <w:fldChar w:fldCharType="end"/>
          </w:r>
          <w:r w:rsidRPr="00EE627C">
            <w:rPr>
              <w:rFonts w:ascii="Arial" w:hAnsi="Arial" w:cs="Arial"/>
              <w:i/>
              <w:sz w:val="14"/>
            </w:rPr>
            <w:t xml:space="preserve">  </w:t>
          </w:r>
          <w:r w:rsidRPr="00EE627C">
            <w:rPr>
              <w:rFonts w:ascii="Arial" w:hAnsi="Arial" w:cs="Arial"/>
              <w:i/>
              <w:sz w:val="14"/>
            </w:rPr>
            <w:fldChar w:fldCharType="begin"/>
          </w:r>
          <w:r w:rsidRPr="00EE627C">
            <w:rPr>
              <w:rFonts w:ascii="Arial" w:hAnsi="Arial" w:cs="Arial"/>
              <w:i/>
              <w:sz w:val="14"/>
            </w:rPr>
            <w:instrText xml:space="preserve"> TIME \@ "d/M/yyyy h:mm AM/PM" </w:instrText>
          </w:r>
          <w:r w:rsidRPr="00EE627C">
            <w:rPr>
              <w:rFonts w:ascii="Arial" w:hAnsi="Arial" w:cs="Arial"/>
              <w:i/>
              <w:sz w:val="14"/>
            </w:rPr>
            <w:fldChar w:fldCharType="separate"/>
          </w:r>
          <w:r w:rsidR="00EE627C">
            <w:rPr>
              <w:rFonts w:ascii="Arial" w:hAnsi="Arial" w:cs="Arial"/>
              <w:i/>
              <w:noProof/>
              <w:sz w:val="14"/>
            </w:rPr>
            <w:t>22/3/2013 12:52 PM</w:t>
          </w:r>
          <w:r w:rsidRPr="00EE627C">
            <w:rPr>
              <w:rFonts w:ascii="Arial" w:hAnsi="Arial" w:cs="Arial"/>
              <w:i/>
              <w:sz w:val="14"/>
            </w:rPr>
            <w:fldChar w:fldCharType="end"/>
          </w:r>
        </w:p>
      </w:tc>
    </w:tr>
  </w:tbl>
  <w:p w:rsidR="00480C84" w:rsidRPr="00EE627C" w:rsidRDefault="00480C84" w:rsidP="00EE627C">
    <w:pPr>
      <w:spacing w:before="120"/>
      <w:rPr>
        <w:rFonts w:ascii="Arial" w:hAnsi="Arial" w:cs="Arial"/>
        <w:sz w:val="14"/>
      </w:rPr>
    </w:pPr>
    <w:r w:rsidRPr="00EE627C">
      <w:rPr>
        <w:rFonts w:ascii="Arial" w:hAnsi="Arial" w:cs="Arial"/>
        <w:noProof/>
        <w:sz w:val="14"/>
        <w:lang w:eastAsia="en-AU"/>
      </w:rPr>
      <mc:AlternateContent>
        <mc:Choice Requires="wps">
          <w:drawing>
            <wp:anchor distT="0" distB="0" distL="114300" distR="114300" simplePos="0" relativeHeight="251656704" behindDoc="1" locked="0" layoutInCell="1" allowOverlap="1" wp14:anchorId="4257B3B6" wp14:editId="399631D2">
              <wp:simplePos x="0" y="0"/>
              <wp:positionH relativeFrom="column">
                <wp:align>center</wp:align>
              </wp:positionH>
              <wp:positionV relativeFrom="page">
                <wp:posOffset>10223500</wp:posOffset>
              </wp:positionV>
              <wp:extent cx="4410075" cy="3429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3429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80C84" w:rsidRPr="00F20C37" w:rsidRDefault="00480C84" w:rsidP="00F20C37">
                          <w:pPr>
                            <w:jc w:val="center"/>
                            <w:rPr>
                              <w:rFonts w:ascii="Arial" w:hAnsi="Arial" w:cs="Arial"/>
                              <w:b/>
                              <w:sz w:val="40"/>
                            </w:rPr>
                          </w:pPr>
                          <w:r w:rsidRPr="00F20C37">
                            <w:rPr>
                              <w:rFonts w:ascii="Arial" w:hAnsi="Arial" w:cs="Arial"/>
                              <w:b/>
                              <w:sz w:val="40"/>
                            </w:rPr>
                            <w:fldChar w:fldCharType="begin"/>
                          </w:r>
                          <w:r w:rsidRPr="00F20C37">
                            <w:rPr>
                              <w:rFonts w:ascii="Arial" w:hAnsi="Arial" w:cs="Arial"/>
                              <w:b/>
                              <w:sz w:val="40"/>
                            </w:rPr>
                            <w:instrText xml:space="preserve"> DOCPROPERTY  Classification  \* MERGEFORMAT </w:instrText>
                          </w:r>
                          <w:r w:rsidRPr="00F20C37">
                            <w:rPr>
                              <w:rFonts w:ascii="Arial" w:hAnsi="Arial" w:cs="Arial"/>
                              <w:b/>
                              <w:sz w:val="40"/>
                            </w:rPr>
                            <w:fldChar w:fldCharType="separate"/>
                          </w:r>
                          <w:r w:rsidR="00EE627C">
                            <w:rPr>
                              <w:rFonts w:ascii="Arial" w:hAnsi="Arial" w:cs="Arial"/>
                              <w:b/>
                              <w:sz w:val="40"/>
                            </w:rPr>
                            <w:t>DRAFT-IN-CONFIDENCE</w:t>
                          </w:r>
                          <w:r w:rsidRPr="00F20C37">
                            <w:rPr>
                              <w:rFonts w:ascii="Arial" w:hAnsi="Arial" w:cs="Arial"/>
                              <w:b/>
                              <w:sz w:val="40"/>
                            </w:rPr>
                            <w:fldChar w:fldCharType="end"/>
                          </w:r>
                          <w:r w:rsidRPr="00F20C37">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0;margin-top:805pt;width:347.25pt;height:27pt;z-index:-251659776;visibility:visible;mso-wrap-style:square;mso-width-percent:0;mso-wrap-distance-left:9pt;mso-wrap-distance-top:0;mso-wrap-distance-right:9pt;mso-wrap-distance-bottom:0;mso-position-horizontal:center;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" stroked="f">
              <v:stroke joinstyle="round"/>
              <v:path arrowok="t"/>
              <v:textbox>
                <w:txbxContent>
                  <w:p w:rsidR="00480C84" w:rsidRPr="00F20C37" w:rsidRDefault="00480C84" w:rsidP="00F20C37">
                    <w:pPr>
                      <w:jc w:val="center"/>
                      <w:rPr>
                        <w:rFonts w:ascii="Arial" w:hAnsi="Arial" w:cs="Arial"/>
                        <w:b/>
                        <w:sz w:val="40"/>
                      </w:rPr>
                    </w:pPr>
                    <w:r w:rsidRPr="00F20C37">
                      <w:rPr>
                        <w:rFonts w:ascii="Arial" w:hAnsi="Arial" w:cs="Arial"/>
                        <w:b/>
                        <w:sz w:val="40"/>
                      </w:rPr>
                      <w:fldChar w:fldCharType="begin"/>
                    </w:r>
                    <w:r w:rsidRPr="00F20C37">
                      <w:rPr>
                        <w:rFonts w:ascii="Arial" w:hAnsi="Arial" w:cs="Arial"/>
                        <w:b/>
                        <w:sz w:val="40"/>
                      </w:rPr>
                      <w:instrText xml:space="preserve"> DOCPROPERTY  Classification  \* MERGEFORMAT </w:instrText>
                    </w:r>
                    <w:r w:rsidRPr="00F20C37">
                      <w:rPr>
                        <w:rFonts w:ascii="Arial" w:hAnsi="Arial" w:cs="Arial"/>
                        <w:b/>
                        <w:sz w:val="40"/>
                      </w:rPr>
                      <w:fldChar w:fldCharType="separate"/>
                    </w:r>
                    <w:r w:rsidR="00EE627C">
                      <w:rPr>
                        <w:rFonts w:ascii="Arial" w:hAnsi="Arial" w:cs="Arial"/>
                        <w:b/>
                        <w:sz w:val="40"/>
                      </w:rPr>
                      <w:t>DRAFT-IN-CONFIDENCE</w:t>
                    </w:r>
                    <w:r w:rsidRPr="00F20C37">
                      <w:rPr>
                        <w:rFonts w:ascii="Arial" w:hAnsi="Arial" w:cs="Arial"/>
                        <w:b/>
                        <w:sz w:val="40"/>
                      </w:rPr>
                      <w:fldChar w:fldCharType="end"/>
                    </w:r>
                    <w:r w:rsidRPr="00F20C37">
                      <w:rPr>
                        <w:rFonts w:ascii="Arial" w:hAnsi="Arial" w:cs="Arial"/>
                        <w:b/>
                        <w:sz w:val="40"/>
                      </w:rPr>
                      <w:t xml:space="preserve"> </w:t>
                    </w:r>
                  </w:p>
                </w:txbxContent>
              </v:textbox>
              <w10:wrap anchory="page"/>
            </v:shape>
          </w:pict>
        </mc:Fallback>
      </mc:AlternateContent>
    </w:r>
    <w:r w:rsidR="00EE627C">
      <w:rPr>
        <w:rFonts w:ascii="Arial" w:hAnsi="Arial" w:cs="Arial"/>
        <w:sz w:val="14"/>
      </w:rPr>
      <w:t>OPC50357</w:t>
    </w:r>
    <w:r w:rsidR="00EE627C" w:rsidRPr="00EE627C">
      <w:rPr>
        <w:rFonts w:ascii="Arial" w:hAnsi="Arial" w:cs="Arial"/>
        <w:sz w:val="14"/>
      </w:rPr>
      <w:t xml:space="preserve"> - B</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84" w:rsidRPr="00BB4623" w:rsidRDefault="00480C84" w:rsidP="00FA3991">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C84" w:rsidRDefault="00480C84" w:rsidP="00664C63">
      <w:pPr>
        <w:spacing w:line="240" w:lineRule="auto"/>
      </w:pPr>
      <w:r>
        <w:separator/>
      </w:r>
    </w:p>
  </w:footnote>
  <w:footnote w:type="continuationSeparator" w:id="0">
    <w:p w:rsidR="00480C84" w:rsidRDefault="00480C84" w:rsidP="00664C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84" w:rsidRDefault="00EE627C">
    <w:pPr>
      <w:pStyle w:val="Header"/>
    </w:pPr>
    <w:r>
      <w:rPr>
        <w:noProof/>
      </w:rPr>
      <w:pict>
        <v:shapetype id="_x0000_t202" coordsize="21600,21600" o:spt="202" path="m,l,21600r21600,l21600,xe">
          <v:stroke joinstyle="miter"/>
          <v:path gradientshapeok="t" o:connecttype="rect"/>
        </v:shapetype>
        <v:shape id="_x0000_s4097" type="#_x0000_t202" style="position:absolute;margin-left:60.95pt;margin-top:265.1pt;width:331.4pt;height:241.2pt;z-index:-251656704" o:allowincell="f" filled="f" fillcolor="silver" stroked="f">
          <v:shadow color="#868686"/>
          <v:textbox>
            <w:txbxContent>
              <w:p w:rsidR="00480C84" w:rsidRDefault="00480C84">
                <w:r>
                  <w:object w:dxaOrig="5881" w:dyaOrig="4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7.9pt;height:234.35pt" o:ole="" fillcolor="window">
                      <v:imagedata r:id="rId1" o:title="" gain="30147f" blacklevel="5898f"/>
                    </v:shape>
                    <o:OLEObject Type="Embed" ProgID="Word.Picture.8" ShapeID="_x0000_i1026" DrawAspect="Content" ObjectID="_1425462472" r:id="rId2"/>
                  </w:object>
                </w:r>
              </w:p>
            </w:txbxContent>
          </v:textbox>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84" w:rsidRPr="00BB4623" w:rsidRDefault="00480C84" w:rsidP="00664C63">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84" w:rsidRDefault="00480C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84" w:rsidRDefault="00480C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84" w:rsidRDefault="00480C8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84" w:rsidRDefault="00EE62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1" type="#_x0000_t136" style="position:absolute;margin-left:0;margin-top:0;width:600.9pt;height:38.35pt;rotation:315;z-index:-251658752;mso-position-horizontal:center;mso-position-horizontal-relative:margin;mso-position-vertical:center;mso-position-vertical-relative:margin" o:allowincell="f" fillcolor="silver" stroked="f">
          <v:fill opacity=".5"/>
          <v:textpath style="font-family:&quot;Book Antiqua&quot;;font-size:1pt" string="CONFIDENTIAL DRAFT for consultation onl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84" w:rsidRDefault="00480C8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84" w:rsidRDefault="00EE62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0" type="#_x0000_t136" style="position:absolute;margin-left:0;margin-top:0;width:600.9pt;height:38.35pt;rotation:315;z-index:-251657728;mso-position-horizontal:center;mso-position-horizontal-relative:margin;mso-position-vertical:center;mso-position-vertical-relative:margin" o:allowincell="f" fillcolor="silver" stroked="f">
          <v:fill opacity=".5"/>
          <v:textpath style="font-family:&quot;Book Antiqua&quot;;font-size:1pt" string="CONFIDENTIAL DRAFT for consultation only"/>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84" w:rsidRPr="00BB4623" w:rsidRDefault="00480C84" w:rsidP="00664C63">
    <w:pPr>
      <w:rPr>
        <w:sz w:val="24"/>
      </w:rPr>
    </w:pPr>
  </w:p>
  <w:p w:rsidR="00480C84" w:rsidRPr="00BB4623" w:rsidRDefault="00480C84" w:rsidP="00664C63">
    <w:pPr>
      <w:pBdr>
        <w:bottom w:val="single" w:sz="6" w:space="1" w:color="auto"/>
      </w:pBdr>
      <w:rPr>
        <w:sz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84" w:rsidRPr="00BB4623" w:rsidRDefault="00480C84" w:rsidP="00664C63">
    <w:pPr>
      <w:jc w:val="right"/>
      <w:rPr>
        <w:sz w:val="24"/>
      </w:rPr>
    </w:pPr>
    <w:r>
      <w:rPr>
        <w:noProof/>
        <w:sz w:val="24"/>
        <w:lang w:eastAsia="en-AU"/>
      </w:rPr>
      <mc:AlternateContent>
        <mc:Choice Requires="wps">
          <w:drawing>
            <wp:anchor distT="0" distB="0" distL="114300" distR="114300" simplePos="0" relativeHeight="251655680" behindDoc="1" locked="0" layoutInCell="1" allowOverlap="1" wp14:anchorId="2F15CE88" wp14:editId="72A0F299">
              <wp:simplePos x="0" y="0"/>
              <wp:positionH relativeFrom="column">
                <wp:align>center</wp:align>
              </wp:positionH>
              <wp:positionV relativeFrom="page">
                <wp:posOffset>143510</wp:posOffset>
              </wp:positionV>
              <wp:extent cx="4410075" cy="3429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3429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80C84" w:rsidRPr="00F20C37" w:rsidRDefault="00480C84" w:rsidP="00F20C37">
                          <w:pPr>
                            <w:jc w:val="center"/>
                            <w:rPr>
                              <w:rFonts w:ascii="Arial" w:hAnsi="Arial" w:cs="Arial"/>
                              <w:b/>
                              <w:sz w:val="40"/>
                            </w:rPr>
                          </w:pPr>
                          <w:r w:rsidRPr="00F20C37">
                            <w:rPr>
                              <w:rFonts w:ascii="Arial" w:hAnsi="Arial" w:cs="Arial"/>
                              <w:b/>
                              <w:sz w:val="40"/>
                            </w:rPr>
                            <w:fldChar w:fldCharType="begin"/>
                          </w:r>
                          <w:r w:rsidRPr="00F20C37">
                            <w:rPr>
                              <w:rFonts w:ascii="Arial" w:hAnsi="Arial" w:cs="Arial"/>
                              <w:b/>
                              <w:sz w:val="40"/>
                            </w:rPr>
                            <w:instrText xml:space="preserve"> DOCPROPERTY  Classification  \* MERGEFORMAT </w:instrText>
                          </w:r>
                          <w:r w:rsidRPr="00F20C37">
                            <w:rPr>
                              <w:rFonts w:ascii="Arial" w:hAnsi="Arial" w:cs="Arial"/>
                              <w:b/>
                              <w:sz w:val="40"/>
                            </w:rPr>
                            <w:fldChar w:fldCharType="separate"/>
                          </w:r>
                          <w:r w:rsidR="00EE627C">
                            <w:rPr>
                              <w:rFonts w:ascii="Arial" w:hAnsi="Arial" w:cs="Arial"/>
                              <w:b/>
                              <w:sz w:val="40"/>
                            </w:rPr>
                            <w:t>DRAFT-IN-CONFIDENCE</w:t>
                          </w:r>
                          <w:r w:rsidRPr="00F20C37">
                            <w:rPr>
                              <w:rFonts w:ascii="Arial" w:hAnsi="Arial" w:cs="Arial"/>
                              <w:b/>
                              <w:sz w:val="40"/>
                            </w:rPr>
                            <w:fldChar w:fldCharType="end"/>
                          </w:r>
                          <w:r w:rsidRPr="00F20C37">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39" type="#_x0000_t202" style="position:absolute;left:0;text-align:left;margin-left:0;margin-top:11.3pt;width:347.25pt;height:27pt;z-index:-251660800;visibility:visible;mso-wrap-style:square;mso-width-percent:0;mso-wrap-distance-left:9pt;mso-wrap-distance-top:0;mso-wrap-distance-right:9pt;mso-wrap-distance-bottom:0;mso-position-horizontal:center;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" stroked="f">
              <v:stroke joinstyle="round"/>
              <v:path arrowok="t"/>
              <v:textbox>
                <w:txbxContent>
                  <w:p w:rsidR="00480C84" w:rsidRPr="00F20C37" w:rsidRDefault="00480C84" w:rsidP="00F20C37">
                    <w:pPr>
                      <w:jc w:val="center"/>
                      <w:rPr>
                        <w:rFonts w:ascii="Arial" w:hAnsi="Arial" w:cs="Arial"/>
                        <w:b/>
                        <w:sz w:val="40"/>
                      </w:rPr>
                    </w:pPr>
                    <w:r w:rsidRPr="00F20C37">
                      <w:rPr>
                        <w:rFonts w:ascii="Arial" w:hAnsi="Arial" w:cs="Arial"/>
                        <w:b/>
                        <w:sz w:val="40"/>
                      </w:rPr>
                      <w:fldChar w:fldCharType="begin"/>
                    </w:r>
                    <w:r w:rsidRPr="00F20C37">
                      <w:rPr>
                        <w:rFonts w:ascii="Arial" w:hAnsi="Arial" w:cs="Arial"/>
                        <w:b/>
                        <w:sz w:val="40"/>
                      </w:rPr>
                      <w:instrText xml:space="preserve"> DOCPROPERTY  Classification  \* MERGEFORMAT </w:instrText>
                    </w:r>
                    <w:r w:rsidRPr="00F20C37">
                      <w:rPr>
                        <w:rFonts w:ascii="Arial" w:hAnsi="Arial" w:cs="Arial"/>
                        <w:b/>
                        <w:sz w:val="40"/>
                      </w:rPr>
                      <w:fldChar w:fldCharType="separate"/>
                    </w:r>
                    <w:r w:rsidR="00EE627C">
                      <w:rPr>
                        <w:rFonts w:ascii="Arial" w:hAnsi="Arial" w:cs="Arial"/>
                        <w:b/>
                        <w:sz w:val="40"/>
                      </w:rPr>
                      <w:t>DRAFT-IN-CONFIDENCE</w:t>
                    </w:r>
                    <w:r w:rsidRPr="00F20C37">
                      <w:rPr>
                        <w:rFonts w:ascii="Arial" w:hAnsi="Arial" w:cs="Arial"/>
                        <w:b/>
                        <w:sz w:val="40"/>
                      </w:rPr>
                      <w:fldChar w:fldCharType="end"/>
                    </w:r>
                    <w:r w:rsidRPr="00F20C37">
                      <w:rPr>
                        <w:rFonts w:ascii="Arial" w:hAnsi="Arial" w:cs="Arial"/>
                        <w:b/>
                        <w:sz w:val="40"/>
                      </w:rPr>
                      <w:t xml:space="preserve"> </w:t>
                    </w:r>
                  </w:p>
                </w:txbxContent>
              </v:textbox>
              <w10:wrap anchory="page"/>
            </v:shape>
          </w:pict>
        </mc:Fallback>
      </mc:AlternateContent>
    </w:r>
  </w:p>
  <w:p w:rsidR="00480C84" w:rsidRPr="00BB4623" w:rsidRDefault="00480C84" w:rsidP="00664C63">
    <w:pPr>
      <w:pBdr>
        <w:bottom w:val="single" w:sz="6" w:space="1" w:color="auto"/>
      </w:pBdr>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227E5A"/>
    <w:lvl w:ilvl="0">
      <w:start w:val="1"/>
      <w:numFmt w:val="decimal"/>
      <w:lvlText w:val="%1."/>
      <w:lvlJc w:val="left"/>
      <w:pPr>
        <w:tabs>
          <w:tab w:val="num" w:pos="1492"/>
        </w:tabs>
        <w:ind w:left="1492" w:hanging="360"/>
      </w:pPr>
    </w:lvl>
  </w:abstractNum>
  <w:abstractNum w:abstractNumId="1">
    <w:nsid w:val="FFFFFF7D"/>
    <w:multiLevelType w:val="singleLevel"/>
    <w:tmpl w:val="E2B621B4"/>
    <w:lvl w:ilvl="0">
      <w:start w:val="1"/>
      <w:numFmt w:val="decimal"/>
      <w:lvlText w:val="%1."/>
      <w:lvlJc w:val="left"/>
      <w:pPr>
        <w:tabs>
          <w:tab w:val="num" w:pos="1209"/>
        </w:tabs>
        <w:ind w:left="1209" w:hanging="360"/>
      </w:pPr>
    </w:lvl>
  </w:abstractNum>
  <w:abstractNum w:abstractNumId="2">
    <w:nsid w:val="FFFFFF7E"/>
    <w:multiLevelType w:val="singleLevel"/>
    <w:tmpl w:val="87C61B2C"/>
    <w:lvl w:ilvl="0">
      <w:start w:val="1"/>
      <w:numFmt w:val="decimal"/>
      <w:lvlText w:val="%1."/>
      <w:lvlJc w:val="left"/>
      <w:pPr>
        <w:tabs>
          <w:tab w:val="num" w:pos="926"/>
        </w:tabs>
        <w:ind w:left="926" w:hanging="360"/>
      </w:pPr>
    </w:lvl>
  </w:abstractNum>
  <w:abstractNum w:abstractNumId="3">
    <w:nsid w:val="FFFFFF7F"/>
    <w:multiLevelType w:val="singleLevel"/>
    <w:tmpl w:val="443637D0"/>
    <w:lvl w:ilvl="0">
      <w:start w:val="1"/>
      <w:numFmt w:val="decimal"/>
      <w:lvlText w:val="%1."/>
      <w:lvlJc w:val="left"/>
      <w:pPr>
        <w:tabs>
          <w:tab w:val="num" w:pos="643"/>
        </w:tabs>
        <w:ind w:left="643" w:hanging="360"/>
      </w:pPr>
    </w:lvl>
  </w:abstractNum>
  <w:abstractNum w:abstractNumId="4">
    <w:nsid w:val="FFFFFF80"/>
    <w:multiLevelType w:val="singleLevel"/>
    <w:tmpl w:val="9E26C9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B2AAA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7089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0E42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3EFDB8"/>
    <w:lvl w:ilvl="0">
      <w:start w:val="1"/>
      <w:numFmt w:val="decimal"/>
      <w:lvlText w:val="%1."/>
      <w:lvlJc w:val="left"/>
      <w:pPr>
        <w:tabs>
          <w:tab w:val="num" w:pos="360"/>
        </w:tabs>
        <w:ind w:left="360" w:hanging="360"/>
      </w:pPr>
    </w:lvl>
  </w:abstractNum>
  <w:abstractNum w:abstractNumId="9">
    <w:nsid w:val="FFFFFF89"/>
    <w:multiLevelType w:val="singleLevel"/>
    <w:tmpl w:val="98D0CF9C"/>
    <w:lvl w:ilvl="0">
      <w:start w:val="1"/>
      <w:numFmt w:val="bullet"/>
      <w:lvlText w:val=""/>
      <w:lvlJc w:val="left"/>
      <w:pPr>
        <w:tabs>
          <w:tab w:val="num" w:pos="360"/>
        </w:tabs>
        <w:ind w:left="360" w:hanging="360"/>
      </w:pPr>
      <w:rPr>
        <w:rFonts w:ascii="Symbol" w:hAnsi="Symbol" w:hint="default"/>
      </w:rPr>
    </w:lvl>
  </w:abstractNum>
  <w:abstractNum w:abstractNumId="10">
    <w:nsid w:val="05955278"/>
    <w:multiLevelType w:val="hybridMultilevel"/>
    <w:tmpl w:val="11322722"/>
    <w:lvl w:ilvl="0" w:tplc="DC5C6D56">
      <w:start w:val="1"/>
      <w:numFmt w:val="bullet"/>
      <w:lvlRestart w:val="0"/>
      <w:pStyle w:val="BulletedList"/>
      <w:lvlText w:val="·"/>
      <w:lvlJc w:val="left"/>
      <w:pPr>
        <w:tabs>
          <w:tab w:val="num" w:pos="425"/>
        </w:tabs>
        <w:ind w:left="425" w:hanging="425"/>
      </w:pPr>
      <w:rPr>
        <w:rFonts w:ascii="Symbol" w:hAnsi="Symbol" w:cs="Times New Roman" w:hint="default"/>
        <w:color w:val="0C479D"/>
      </w:rPr>
    </w:lvl>
    <w:lvl w:ilvl="1" w:tplc="0C090001">
      <w:start w:val="1"/>
      <w:numFmt w:val="bullet"/>
      <w:lvlText w:val=""/>
      <w:lvlJc w:val="left"/>
      <w:pPr>
        <w:tabs>
          <w:tab w:val="num" w:pos="1440"/>
        </w:tabs>
        <w:ind w:left="1440" w:hanging="360"/>
      </w:pPr>
      <w:rPr>
        <w:rFonts w:ascii="Symbol" w:hAnsi="Symbol" w:hint="default"/>
        <w:color w:val="0C479D"/>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E36538E"/>
    <w:multiLevelType w:val="multilevel"/>
    <w:tmpl w:val="E1D8E0D6"/>
    <w:lvl w:ilvl="0">
      <w:start w:val="1"/>
      <w:numFmt w:val="bullet"/>
      <w:pStyle w:val="Bullet"/>
      <w:lvlText w:val=""/>
      <w:lvlJc w:val="left"/>
      <w:pPr>
        <w:tabs>
          <w:tab w:val="num" w:pos="1134"/>
        </w:tabs>
        <w:ind w:left="1134" w:hanging="567"/>
      </w:pPr>
      <w:rPr>
        <w:rFonts w:ascii="Symbol" w:hAnsi="Symbol" w:hint="default"/>
        <w:sz w:val="22"/>
      </w:rPr>
    </w:lvl>
    <w:lvl w:ilvl="1">
      <w:start w:val="1"/>
      <w:numFmt w:val="bullet"/>
      <w:pStyle w:val="Bullet2"/>
      <w:lvlText w:val="-"/>
      <w:lvlJc w:val="left"/>
      <w:pPr>
        <w:tabs>
          <w:tab w:val="num" w:pos="1701"/>
        </w:tabs>
        <w:ind w:left="1701" w:hanging="567"/>
      </w:pPr>
      <w:rPr>
        <w:rFonts w:ascii="Arial" w:hAnsi="Arial" w:hint="default"/>
      </w:rPr>
    </w:lvl>
    <w:lvl w:ilvl="2">
      <w:start w:val="1"/>
      <w:numFmt w:val="bullet"/>
      <w:pStyle w:val="Bullet3"/>
      <w:lvlText w:val=""/>
      <w:lvlJc w:val="left"/>
      <w:pPr>
        <w:tabs>
          <w:tab w:val="num" w:pos="2268"/>
        </w:tabs>
        <w:ind w:left="2268" w:hanging="567"/>
      </w:pPr>
      <w:rPr>
        <w:rFonts w:ascii="Wingdings" w:hAnsi="Wingdings" w:hint="default"/>
      </w:rPr>
    </w:lvl>
    <w:lvl w:ilvl="3">
      <w:start w:val="1"/>
      <w:numFmt w:val="bullet"/>
      <w:lvlText w:val=""/>
      <w:lvlJc w:val="left"/>
      <w:pPr>
        <w:tabs>
          <w:tab w:val="num" w:pos="15876"/>
        </w:tabs>
        <w:ind w:left="16443" w:hanging="567"/>
      </w:pPr>
      <w:rPr>
        <w:rFonts w:ascii="Symbol" w:hAnsi="Symbol" w:hint="default"/>
      </w:rPr>
    </w:lvl>
    <w:lvl w:ilvl="4">
      <w:start w:val="1"/>
      <w:numFmt w:val="bullet"/>
      <w:lvlText w:val="o"/>
      <w:lvlJc w:val="left"/>
      <w:pPr>
        <w:tabs>
          <w:tab w:val="num" w:pos="16641"/>
        </w:tabs>
        <w:ind w:left="16641" w:hanging="360"/>
      </w:pPr>
      <w:rPr>
        <w:rFonts w:ascii="Courier New" w:hAnsi="Courier New" w:cs="Courier New" w:hint="default"/>
      </w:rPr>
    </w:lvl>
    <w:lvl w:ilvl="5">
      <w:start w:val="1"/>
      <w:numFmt w:val="bullet"/>
      <w:lvlText w:val=""/>
      <w:lvlJc w:val="left"/>
      <w:pPr>
        <w:tabs>
          <w:tab w:val="num" w:pos="17361"/>
        </w:tabs>
        <w:ind w:left="17361" w:hanging="360"/>
      </w:pPr>
      <w:rPr>
        <w:rFonts w:ascii="Wingdings" w:hAnsi="Wingdings" w:hint="default"/>
      </w:rPr>
    </w:lvl>
    <w:lvl w:ilvl="6">
      <w:start w:val="1"/>
      <w:numFmt w:val="bullet"/>
      <w:lvlText w:val=""/>
      <w:lvlJc w:val="left"/>
      <w:pPr>
        <w:tabs>
          <w:tab w:val="num" w:pos="18081"/>
        </w:tabs>
        <w:ind w:left="18081" w:hanging="360"/>
      </w:pPr>
      <w:rPr>
        <w:rFonts w:ascii="Symbol" w:hAnsi="Symbol" w:hint="default"/>
      </w:rPr>
    </w:lvl>
    <w:lvl w:ilvl="7">
      <w:start w:val="1"/>
      <w:numFmt w:val="bullet"/>
      <w:lvlText w:val="o"/>
      <w:lvlJc w:val="left"/>
      <w:pPr>
        <w:tabs>
          <w:tab w:val="num" w:pos="18801"/>
        </w:tabs>
        <w:ind w:left="18801" w:hanging="360"/>
      </w:pPr>
      <w:rPr>
        <w:rFonts w:ascii="Courier New" w:hAnsi="Courier New" w:cs="Courier New" w:hint="default"/>
      </w:rPr>
    </w:lvl>
    <w:lvl w:ilvl="8">
      <w:start w:val="1"/>
      <w:numFmt w:val="bullet"/>
      <w:lvlText w:val=""/>
      <w:lvlJc w:val="left"/>
      <w:pPr>
        <w:tabs>
          <w:tab w:val="num" w:pos="19521"/>
        </w:tabs>
        <w:ind w:left="19521" w:hanging="360"/>
      </w:pPr>
      <w:rPr>
        <w:rFonts w:ascii="Wingdings" w:hAnsi="Wingdings" w:hint="default"/>
      </w:rPr>
    </w:lvl>
  </w:abstractNum>
  <w:abstractNum w:abstractNumId="13">
    <w:nsid w:val="124B7CF1"/>
    <w:multiLevelType w:val="multilevel"/>
    <w:tmpl w:val="7AC6A14E"/>
    <w:styleLink w:val="UrbanNumberedList"/>
    <w:lvl w:ilvl="0">
      <w:start w:val="1"/>
      <w:numFmt w:val="decimal"/>
      <w:lvlText w:val="%1."/>
      <w:lvlJc w:val="left"/>
      <w:pPr>
        <w:ind w:left="288" w:hanging="288"/>
      </w:pPr>
      <w:rPr>
        <w:rFonts w:ascii="Verdana" w:hAnsi="Verdana" w:hint="default"/>
        <w:i w:val="0"/>
        <w:color w:val="9BBB59"/>
        <w:sz w:val="20"/>
      </w:rPr>
    </w:lvl>
    <w:lvl w:ilvl="1">
      <w:start w:val="1"/>
      <w:numFmt w:val="upperLetter"/>
      <w:lvlText w:val="%2."/>
      <w:lvlJc w:val="left"/>
      <w:pPr>
        <w:ind w:left="792" w:hanging="288"/>
      </w:pPr>
      <w:rPr>
        <w:rFonts w:ascii="Verdana" w:hAnsi="Verdana" w:hint="default"/>
        <w:b w:val="0"/>
        <w:i w:val="0"/>
        <w:color w:val="C0504D"/>
        <w:sz w:val="20"/>
      </w:rPr>
    </w:lvl>
    <w:lvl w:ilvl="2">
      <w:start w:val="1"/>
      <w:numFmt w:val="lowerRoman"/>
      <w:lvlText w:val="%3."/>
      <w:lvlJc w:val="right"/>
      <w:pPr>
        <w:ind w:left="1296" w:hanging="288"/>
      </w:pPr>
      <w:rPr>
        <w:rFonts w:ascii="Verdana" w:hAnsi="Verdana" w:hint="default"/>
        <w:b w:val="0"/>
        <w:i w:val="0"/>
        <w:color w:val="4F81BD"/>
        <w:sz w:val="20"/>
      </w:rPr>
    </w:lvl>
    <w:lvl w:ilvl="3">
      <w:start w:val="1"/>
      <w:numFmt w:val="decimal"/>
      <w:lvlText w:val="%4."/>
      <w:lvlJc w:val="left"/>
      <w:pPr>
        <w:ind w:left="1800" w:hanging="288"/>
      </w:pPr>
      <w:rPr>
        <w:rFonts w:ascii="Verdana" w:hAnsi="Verdana" w:hint="default"/>
        <w:b w:val="0"/>
        <w:i w:val="0"/>
        <w:color w:val="4F81BD"/>
        <w:sz w:val="20"/>
      </w:rPr>
    </w:lvl>
    <w:lvl w:ilvl="4">
      <w:start w:val="1"/>
      <w:numFmt w:val="lowerLetter"/>
      <w:lvlText w:val="%5."/>
      <w:lvlJc w:val="left"/>
      <w:pPr>
        <w:ind w:left="2304" w:hanging="288"/>
      </w:pPr>
      <w:rPr>
        <w:rFonts w:ascii="Verdana" w:hAnsi="Verdana" w:hint="default"/>
        <w:b w:val="0"/>
        <w:i w:val="0"/>
        <w:color w:val="4F81BD"/>
        <w:sz w:val="20"/>
      </w:rPr>
    </w:lvl>
    <w:lvl w:ilvl="5">
      <w:start w:val="1"/>
      <w:numFmt w:val="lowerRoman"/>
      <w:lvlText w:val="%6."/>
      <w:lvlJc w:val="right"/>
      <w:pPr>
        <w:ind w:left="2808" w:hanging="288"/>
      </w:pPr>
      <w:rPr>
        <w:rFonts w:ascii="Verdana" w:hAnsi="Verdana" w:hint="default"/>
        <w:b w:val="0"/>
        <w:i w:val="0"/>
        <w:color w:val="4F81BD"/>
        <w:sz w:val="20"/>
      </w:rPr>
    </w:lvl>
    <w:lvl w:ilvl="6">
      <w:start w:val="1"/>
      <w:numFmt w:val="decimal"/>
      <w:lvlText w:val="%7."/>
      <w:lvlJc w:val="left"/>
      <w:pPr>
        <w:ind w:left="3312" w:hanging="288"/>
      </w:pPr>
      <w:rPr>
        <w:rFonts w:ascii="Verdana" w:hAnsi="Verdana" w:hint="default"/>
        <w:b w:val="0"/>
        <w:i w:val="0"/>
        <w:color w:val="4F81BD"/>
        <w:sz w:val="20"/>
      </w:rPr>
    </w:lvl>
    <w:lvl w:ilvl="7">
      <w:start w:val="1"/>
      <w:numFmt w:val="lowerLetter"/>
      <w:lvlText w:val="%8."/>
      <w:lvlJc w:val="left"/>
      <w:pPr>
        <w:ind w:left="3816" w:hanging="288"/>
      </w:pPr>
      <w:rPr>
        <w:rFonts w:ascii="Verdana" w:hAnsi="Verdana" w:hint="default"/>
        <w:b w:val="0"/>
        <w:i w:val="0"/>
        <w:color w:val="4F81BD"/>
        <w:sz w:val="20"/>
      </w:rPr>
    </w:lvl>
    <w:lvl w:ilvl="8">
      <w:start w:val="1"/>
      <w:numFmt w:val="lowerRoman"/>
      <w:lvlText w:val="%9."/>
      <w:lvlJc w:val="right"/>
      <w:pPr>
        <w:ind w:left="4320" w:hanging="288"/>
      </w:pPr>
      <w:rPr>
        <w:rFonts w:ascii="Verdana" w:hAnsi="Verdana" w:hint="default"/>
        <w:b w:val="0"/>
        <w:i w:val="0"/>
        <w:color w:val="4F81BD"/>
        <w:sz w:val="20"/>
      </w:rPr>
    </w:lvl>
  </w:abstractNum>
  <w:abstractNum w:abstractNumId="14">
    <w:nsid w:val="27157DBB"/>
    <w:multiLevelType w:val="singleLevel"/>
    <w:tmpl w:val="7278FBC6"/>
    <w:lvl w:ilvl="0">
      <w:start w:val="1"/>
      <w:numFmt w:val="lowerRoman"/>
      <w:pStyle w:val="DotpointiCONSITES"/>
      <w:lvlText w:val="(%1)"/>
      <w:lvlJc w:val="left"/>
      <w:pPr>
        <w:tabs>
          <w:tab w:val="num" w:pos="720"/>
        </w:tabs>
        <w:ind w:left="36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BB26458"/>
    <w:multiLevelType w:val="multilevel"/>
    <w:tmpl w:val="085C0706"/>
    <w:lvl w:ilvl="0">
      <w:start w:val="1"/>
      <w:numFmt w:val="decimal"/>
      <w:pStyle w:val="OutlineLev1"/>
      <w:lvlText w:val="%1."/>
      <w:lvlJc w:val="left"/>
      <w:pPr>
        <w:tabs>
          <w:tab w:val="num" w:pos="360"/>
        </w:tabs>
        <w:ind w:left="360" w:hanging="360"/>
      </w:pPr>
      <w:rPr>
        <w:rFonts w:ascii="Book Antiqua" w:hAnsi="Book Antiqua" w:hint="default"/>
        <w:b w:val="0"/>
        <w:i w:val="0"/>
        <w:sz w:val="24"/>
      </w:rPr>
    </w:lvl>
    <w:lvl w:ilvl="1">
      <w:start w:val="1"/>
      <w:numFmt w:val="bullet"/>
      <w:pStyle w:val="OutlineLev2"/>
      <w:lvlText w:val=""/>
      <w:lvlJc w:val="left"/>
      <w:pPr>
        <w:tabs>
          <w:tab w:val="num" w:pos="720"/>
        </w:tabs>
        <w:ind w:left="720" w:hanging="360"/>
      </w:pPr>
      <w:rPr>
        <w:rFonts w:ascii="Symbol" w:hAnsi="Symbol" w:hint="default"/>
        <w:sz w:val="16"/>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9BBB59"/>
        <w:sz w:val="18"/>
      </w:rPr>
    </w:lvl>
    <w:lvl w:ilvl="1">
      <w:start w:val="1"/>
      <w:numFmt w:val="bullet"/>
      <w:pStyle w:val="Bullet20"/>
      <w:lvlText w:val=""/>
      <w:lvlJc w:val="left"/>
      <w:pPr>
        <w:ind w:left="461" w:hanging="216"/>
      </w:pPr>
      <w:rPr>
        <w:rFonts w:ascii="Wingdings" w:hAnsi="Wingdings" w:hint="default"/>
        <w:b w:val="0"/>
        <w:i w:val="0"/>
        <w:color w:val="C0504D"/>
        <w:sz w:val="12"/>
      </w:rPr>
    </w:lvl>
    <w:lvl w:ilvl="2">
      <w:start w:val="1"/>
      <w:numFmt w:val="bullet"/>
      <w:pStyle w:val="Bullet30"/>
      <w:lvlText w:val=""/>
      <w:lvlJc w:val="left"/>
      <w:pPr>
        <w:ind w:left="706" w:hanging="216"/>
      </w:pPr>
      <w:rPr>
        <w:rFonts w:ascii="Symbol" w:hAnsi="Symbol" w:hint="default"/>
        <w:b w:val="0"/>
        <w:i w:val="0"/>
        <w:color w:val="4F81BD"/>
        <w:sz w:val="16"/>
      </w:rPr>
    </w:lvl>
    <w:lvl w:ilvl="3">
      <w:start w:val="1"/>
      <w:numFmt w:val="bullet"/>
      <w:lvlText w:val=""/>
      <w:lvlJc w:val="left"/>
      <w:pPr>
        <w:ind w:left="951" w:hanging="216"/>
      </w:pPr>
      <w:rPr>
        <w:rFonts w:ascii="Symbol" w:hAnsi="Symbol" w:hint="default"/>
        <w:b w:val="0"/>
        <w:i w:val="0"/>
        <w:color w:val="4F81BD"/>
        <w:sz w:val="16"/>
      </w:rPr>
    </w:lvl>
    <w:lvl w:ilvl="4">
      <w:start w:val="1"/>
      <w:numFmt w:val="bullet"/>
      <w:lvlText w:val=""/>
      <w:lvlJc w:val="left"/>
      <w:pPr>
        <w:ind w:left="1196" w:hanging="216"/>
      </w:pPr>
      <w:rPr>
        <w:rFonts w:ascii="Symbol" w:hAnsi="Symbol" w:hint="default"/>
        <w:color w:val="4F81BD"/>
        <w:sz w:val="16"/>
      </w:rPr>
    </w:lvl>
    <w:lvl w:ilvl="5">
      <w:start w:val="1"/>
      <w:numFmt w:val="bullet"/>
      <w:lvlText w:val=""/>
      <w:lvlJc w:val="left"/>
      <w:pPr>
        <w:ind w:left="1441" w:hanging="216"/>
      </w:pPr>
      <w:rPr>
        <w:rFonts w:ascii="Symbol" w:hAnsi="Symbol" w:hint="default"/>
        <w:color w:val="4F81BD"/>
        <w:sz w:val="16"/>
      </w:rPr>
    </w:lvl>
    <w:lvl w:ilvl="6">
      <w:start w:val="1"/>
      <w:numFmt w:val="bullet"/>
      <w:lvlText w:val=""/>
      <w:lvlJc w:val="left"/>
      <w:pPr>
        <w:ind w:left="1686" w:hanging="216"/>
      </w:pPr>
      <w:rPr>
        <w:rFonts w:ascii="Symbol" w:hAnsi="Symbol" w:hint="default"/>
        <w:color w:val="4F81BD"/>
        <w:sz w:val="16"/>
      </w:rPr>
    </w:lvl>
    <w:lvl w:ilvl="7">
      <w:start w:val="1"/>
      <w:numFmt w:val="bullet"/>
      <w:lvlText w:val=""/>
      <w:lvlJc w:val="left"/>
      <w:pPr>
        <w:ind w:left="1931" w:hanging="216"/>
      </w:pPr>
      <w:rPr>
        <w:rFonts w:ascii="Symbol" w:hAnsi="Symbol" w:hint="default"/>
        <w:color w:val="4F81BD"/>
        <w:sz w:val="16"/>
      </w:rPr>
    </w:lvl>
    <w:lvl w:ilvl="8">
      <w:start w:val="1"/>
      <w:numFmt w:val="bullet"/>
      <w:lvlText w:val=""/>
      <w:lvlJc w:val="left"/>
      <w:pPr>
        <w:ind w:left="2176" w:hanging="216"/>
      </w:pPr>
      <w:rPr>
        <w:rFonts w:ascii="Symbol" w:hAnsi="Symbol" w:hint="default"/>
        <w:color w:val="4F81BD"/>
        <w:sz w:val="16"/>
      </w:rPr>
    </w:lvl>
  </w:abstractNum>
  <w:abstractNum w:abstractNumId="18">
    <w:nsid w:val="47E31FB5"/>
    <w:multiLevelType w:val="multilevel"/>
    <w:tmpl w:val="1F345A5C"/>
    <w:lvl w:ilvl="0">
      <w:start w:val="1"/>
      <w:numFmt w:val="bullet"/>
      <w:pStyle w:val="Dot-points"/>
      <w:lvlText w:val=""/>
      <w:lvlJc w:val="left"/>
      <w:pPr>
        <w:tabs>
          <w:tab w:val="num" w:pos="360"/>
        </w:tabs>
        <w:ind w:left="360" w:hanging="360"/>
      </w:pPr>
      <w:rPr>
        <w:rFonts w:ascii="Symbol" w:hAnsi="Symbol" w:hint="default"/>
        <w:sz w:val="18"/>
      </w:rPr>
    </w:lvl>
    <w:lvl w:ilvl="1">
      <w:start w:val="1"/>
      <w:numFmt w:val="bullet"/>
      <w:lvlText w:val=""/>
      <w:lvlJc w:val="left"/>
      <w:pPr>
        <w:tabs>
          <w:tab w:val="num" w:pos="720"/>
        </w:tabs>
        <w:ind w:left="720" w:hanging="360"/>
      </w:pPr>
      <w:rPr>
        <w:rFonts w:ascii="Symbol" w:hAnsi="Symbol" w:hint="default"/>
        <w:sz w:val="16"/>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29C4473"/>
    <w:multiLevelType w:val="multilevel"/>
    <w:tmpl w:val="2DC09246"/>
    <w:lvl w:ilvl="0">
      <w:start w:val="1"/>
      <w:numFmt w:val="decimal"/>
      <w:pStyle w:val="Heading1"/>
      <w:lvlText w:val="%1"/>
      <w:lvlJc w:val="left"/>
      <w:pPr>
        <w:tabs>
          <w:tab w:val="num" w:pos="720"/>
        </w:tabs>
        <w:ind w:left="720" w:hanging="720"/>
      </w:pPr>
      <w:rPr>
        <w:rFonts w:ascii="Book Antiqua" w:hAnsi="Book Antiqua" w:hint="default"/>
        <w:b/>
        <w:i w:val="0"/>
        <w:sz w:val="3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i w:val="0"/>
        <w:sz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645F562F"/>
    <w:multiLevelType w:val="singleLevel"/>
    <w:tmpl w:val="19683378"/>
    <w:lvl w:ilvl="0">
      <w:start w:val="1"/>
      <w:numFmt w:val="decimal"/>
      <w:pStyle w:val="NumberedList"/>
      <w:lvlText w:val="%1."/>
      <w:lvlJc w:val="left"/>
      <w:pPr>
        <w:tabs>
          <w:tab w:val="num" w:pos="425"/>
        </w:tabs>
        <w:ind w:left="425" w:hanging="425"/>
      </w:pPr>
      <w:rPr>
        <w:rFonts w:hint="default"/>
      </w:rPr>
    </w:lvl>
  </w:abstractNum>
  <w:abstractNum w:abstractNumId="21">
    <w:nsid w:val="684B4745"/>
    <w:multiLevelType w:val="multilevel"/>
    <w:tmpl w:val="88E40C24"/>
    <w:lvl w:ilvl="0">
      <w:start w:val="1"/>
      <w:numFmt w:val="lowerRoman"/>
      <w:lvlText w:val="(%1)"/>
      <w:lvlJc w:val="left"/>
      <w:pPr>
        <w:tabs>
          <w:tab w:val="num" w:pos="1080"/>
        </w:tabs>
        <w:ind w:left="360" w:hanging="360"/>
      </w:pPr>
    </w:lvl>
    <w:lvl w:ilvl="1">
      <w:start w:val="1"/>
      <w:numFmt w:val="bullet"/>
      <w:pStyle w:val="Dotpoint2ndCONSITES"/>
      <w:lvlText w:val=""/>
      <w:lvlJc w:val="left"/>
      <w:pPr>
        <w:tabs>
          <w:tab w:val="num" w:pos="720"/>
        </w:tabs>
        <w:ind w:left="720" w:hanging="360"/>
      </w:pPr>
      <w:rPr>
        <w:rFonts w:ascii="Symbol" w:hAnsi="Symbol" w:hint="default"/>
        <w:sz w:val="16"/>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21"/>
  </w:num>
  <w:num w:numId="14">
    <w:abstractNumId w:val="14"/>
  </w:num>
  <w:num w:numId="15">
    <w:abstractNumId w:val="18"/>
  </w:num>
  <w:num w:numId="16">
    <w:abstractNumId w:val="19"/>
  </w:num>
  <w:num w:numId="17">
    <w:abstractNumId w:val="16"/>
  </w:num>
  <w:num w:numId="18">
    <w:abstractNumId w:val="17"/>
  </w:num>
  <w:num w:numId="19">
    <w:abstractNumId w:val="13"/>
  </w:num>
  <w:num w:numId="20">
    <w:abstractNumId w:val="10"/>
  </w:num>
  <w:num w:numId="21">
    <w:abstractNumId w:val="20"/>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4C1"/>
    <w:rsid w:val="000136AF"/>
    <w:rsid w:val="00014B9A"/>
    <w:rsid w:val="000279D9"/>
    <w:rsid w:val="000614BF"/>
    <w:rsid w:val="000853AD"/>
    <w:rsid w:val="00087033"/>
    <w:rsid w:val="000D05EF"/>
    <w:rsid w:val="000F21C1"/>
    <w:rsid w:val="001016D1"/>
    <w:rsid w:val="0010745C"/>
    <w:rsid w:val="0011206D"/>
    <w:rsid w:val="00166C2F"/>
    <w:rsid w:val="0018435F"/>
    <w:rsid w:val="001939E1"/>
    <w:rsid w:val="00195382"/>
    <w:rsid w:val="001B0F61"/>
    <w:rsid w:val="001C69C4"/>
    <w:rsid w:val="001E3590"/>
    <w:rsid w:val="001E7407"/>
    <w:rsid w:val="001F3C6C"/>
    <w:rsid w:val="00232229"/>
    <w:rsid w:val="00240749"/>
    <w:rsid w:val="0024239A"/>
    <w:rsid w:val="00252D66"/>
    <w:rsid w:val="00297ECB"/>
    <w:rsid w:val="002D043A"/>
    <w:rsid w:val="00304548"/>
    <w:rsid w:val="00313C6F"/>
    <w:rsid w:val="003415D3"/>
    <w:rsid w:val="00352B0F"/>
    <w:rsid w:val="00366A72"/>
    <w:rsid w:val="003776B3"/>
    <w:rsid w:val="003915F9"/>
    <w:rsid w:val="003D0BFE"/>
    <w:rsid w:val="003D5700"/>
    <w:rsid w:val="004116CD"/>
    <w:rsid w:val="00424CA9"/>
    <w:rsid w:val="0043512F"/>
    <w:rsid w:val="0044291A"/>
    <w:rsid w:val="00457506"/>
    <w:rsid w:val="00480C84"/>
    <w:rsid w:val="00496F97"/>
    <w:rsid w:val="004C54C1"/>
    <w:rsid w:val="005056D9"/>
    <w:rsid w:val="00515EFE"/>
    <w:rsid w:val="00516B8D"/>
    <w:rsid w:val="005230DA"/>
    <w:rsid w:val="00537FBC"/>
    <w:rsid w:val="00584811"/>
    <w:rsid w:val="00593AA6"/>
    <w:rsid w:val="00594161"/>
    <w:rsid w:val="00594749"/>
    <w:rsid w:val="005B4067"/>
    <w:rsid w:val="005C3F41"/>
    <w:rsid w:val="00600219"/>
    <w:rsid w:val="00664C63"/>
    <w:rsid w:val="00677CC2"/>
    <w:rsid w:val="0069207B"/>
    <w:rsid w:val="006B0CF5"/>
    <w:rsid w:val="006C5791"/>
    <w:rsid w:val="006C7F8C"/>
    <w:rsid w:val="00700B2C"/>
    <w:rsid w:val="00713084"/>
    <w:rsid w:val="00731E00"/>
    <w:rsid w:val="007440B7"/>
    <w:rsid w:val="00756144"/>
    <w:rsid w:val="007715C9"/>
    <w:rsid w:val="00774EDD"/>
    <w:rsid w:val="00775051"/>
    <w:rsid w:val="007757EC"/>
    <w:rsid w:val="007836F1"/>
    <w:rsid w:val="007E335B"/>
    <w:rsid w:val="00810691"/>
    <w:rsid w:val="00813DAB"/>
    <w:rsid w:val="00830815"/>
    <w:rsid w:val="00856A31"/>
    <w:rsid w:val="008754D0"/>
    <w:rsid w:val="008D0EE0"/>
    <w:rsid w:val="008E3226"/>
    <w:rsid w:val="009276F1"/>
    <w:rsid w:val="00932377"/>
    <w:rsid w:val="009620C2"/>
    <w:rsid w:val="009661E0"/>
    <w:rsid w:val="00985C9E"/>
    <w:rsid w:val="009B6F60"/>
    <w:rsid w:val="00A231E2"/>
    <w:rsid w:val="00A24CB9"/>
    <w:rsid w:val="00A25627"/>
    <w:rsid w:val="00A6121F"/>
    <w:rsid w:val="00A639E7"/>
    <w:rsid w:val="00A64912"/>
    <w:rsid w:val="00A70A74"/>
    <w:rsid w:val="00A84457"/>
    <w:rsid w:val="00AA7570"/>
    <w:rsid w:val="00AD5641"/>
    <w:rsid w:val="00AE59F7"/>
    <w:rsid w:val="00AE7BD7"/>
    <w:rsid w:val="00B0287F"/>
    <w:rsid w:val="00B33B3C"/>
    <w:rsid w:val="00B340B6"/>
    <w:rsid w:val="00B90D47"/>
    <w:rsid w:val="00BD4D54"/>
    <w:rsid w:val="00BD5689"/>
    <w:rsid w:val="00BD6B2E"/>
    <w:rsid w:val="00BE719A"/>
    <w:rsid w:val="00BE720A"/>
    <w:rsid w:val="00C255AB"/>
    <w:rsid w:val="00C42BF8"/>
    <w:rsid w:val="00C50043"/>
    <w:rsid w:val="00C7573B"/>
    <w:rsid w:val="00CE4AF2"/>
    <w:rsid w:val="00CF0BB2"/>
    <w:rsid w:val="00CF4975"/>
    <w:rsid w:val="00D13441"/>
    <w:rsid w:val="00D3213F"/>
    <w:rsid w:val="00D70DFB"/>
    <w:rsid w:val="00D766DF"/>
    <w:rsid w:val="00DB3051"/>
    <w:rsid w:val="00DE09E5"/>
    <w:rsid w:val="00DF09AC"/>
    <w:rsid w:val="00E05704"/>
    <w:rsid w:val="00E4146C"/>
    <w:rsid w:val="00E74DC7"/>
    <w:rsid w:val="00E83295"/>
    <w:rsid w:val="00E9136A"/>
    <w:rsid w:val="00EC6328"/>
    <w:rsid w:val="00ED1A6C"/>
    <w:rsid w:val="00EE627C"/>
    <w:rsid w:val="00EF2E3A"/>
    <w:rsid w:val="00F078DC"/>
    <w:rsid w:val="00F12595"/>
    <w:rsid w:val="00F14573"/>
    <w:rsid w:val="00F1779C"/>
    <w:rsid w:val="00F20C37"/>
    <w:rsid w:val="00F5076A"/>
    <w:rsid w:val="00FA39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line number"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3"/>
    <w:lsdException w:name="Strong" w:semiHidden="0" w:uiPriority="22" w:unhideWhenUsed="0" w:qFormat="1"/>
    <w:lsdException w:name="Emphasis" w:semiHidden="0" w:uiPriority="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41"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4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46"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9C4"/>
    <w:pPr>
      <w:spacing w:line="260" w:lineRule="atLeast"/>
    </w:pPr>
    <w:rPr>
      <w:sz w:val="22"/>
    </w:rPr>
  </w:style>
  <w:style w:type="paragraph" w:styleId="Heading1">
    <w:name w:val="heading 1"/>
    <w:aliases w:val="Chapter Heading,Chapter Heading1,Chapter Heading2,Chapter Heading3,Chapter Heading4,Chapter Heading5,Chapter Heading6,Chapter Heading7,Chapter Heading8,Chapter Heading9,Chapter Heading10,Chapter Heading11,Chapter Heading21,Chapter Heading31,h1"/>
    <w:basedOn w:val="text"/>
    <w:next w:val="text"/>
    <w:link w:val="Heading1Char"/>
    <w:autoRedefine/>
    <w:uiPriority w:val="9"/>
    <w:qFormat/>
    <w:rsid w:val="00BD4D54"/>
    <w:pPr>
      <w:keepNext/>
      <w:pageBreakBefore/>
      <w:numPr>
        <w:numId w:val="16"/>
      </w:numPr>
      <w:tabs>
        <w:tab w:val="clear" w:pos="720"/>
        <w:tab w:val="num" w:pos="1209"/>
        <w:tab w:val="right" w:pos="9072"/>
      </w:tabs>
      <w:spacing w:before="0"/>
      <w:ind w:left="709" w:hanging="709"/>
      <w:outlineLvl w:val="0"/>
    </w:pPr>
    <w:rPr>
      <w:b/>
      <w:kern w:val="28"/>
      <w:sz w:val="32"/>
    </w:rPr>
  </w:style>
  <w:style w:type="paragraph" w:styleId="Heading2">
    <w:name w:val="heading 2"/>
    <w:aliases w:val="Major Heading,Major Heading1,Major Heading2,Major Heading3,Major Heading4,Major Heading5,Major Heading6,Major Heading11,Major Heading21,Major Heading31,Major Heading7,Major Heading12,Major Heading22,Major Heading32,Major Heading8,h2,H2,2,Para2"/>
    <w:basedOn w:val="Heading1"/>
    <w:next w:val="Normal"/>
    <w:link w:val="Heading2Char"/>
    <w:autoRedefine/>
    <w:uiPriority w:val="9"/>
    <w:qFormat/>
    <w:rsid w:val="00BD4D54"/>
    <w:pPr>
      <w:keepLines/>
      <w:pageBreakBefore w:val="0"/>
      <w:numPr>
        <w:ilvl w:val="1"/>
      </w:numPr>
      <w:tabs>
        <w:tab w:val="clear" w:pos="576"/>
        <w:tab w:val="right" w:pos="709"/>
        <w:tab w:val="num" w:pos="1209"/>
        <w:tab w:val="left" w:pos="9180"/>
      </w:tabs>
      <w:autoSpaceDE w:val="0"/>
      <w:autoSpaceDN w:val="0"/>
      <w:adjustRightInd w:val="0"/>
      <w:spacing w:before="240" w:after="0"/>
      <w:ind w:left="709" w:hanging="709"/>
      <w:outlineLvl w:val="1"/>
    </w:pPr>
    <w:rPr>
      <w:sz w:val="24"/>
      <w:lang w:eastAsia="en-US"/>
    </w:rPr>
  </w:style>
  <w:style w:type="paragraph" w:styleId="Heading3">
    <w:name w:val="heading 3"/>
    <w:aliases w:val="Sub-heading,Sub-heading1,Sub-heading2,Sub-heading3,Sub-heading4,Sub-heading5,Sub-heading6,Sub-heading11,Sub-heading21,Sub-heading31,Sub-heading7,Sub-heading12,Sub-heading22,Sub-heading32,Sub-heading8,Sub-heading13,Sub-heading23,Sub-heading33"/>
    <w:basedOn w:val="Heading2"/>
    <w:next w:val="Normal"/>
    <w:link w:val="Heading3Char"/>
    <w:uiPriority w:val="9"/>
    <w:qFormat/>
    <w:rsid w:val="00BD4D54"/>
    <w:pPr>
      <w:numPr>
        <w:ilvl w:val="2"/>
      </w:numPr>
      <w:outlineLvl w:val="2"/>
    </w:pPr>
    <w:rPr>
      <w:sz w:val="22"/>
    </w:rPr>
  </w:style>
  <w:style w:type="paragraph" w:styleId="Heading4">
    <w:name w:val="heading 4"/>
    <w:aliases w:val="Minor Heading,Minor Heading1,Minor Heading2,Minor Heading3,Minor Heading4,Minor Heading5,Minor Heading6,Minor Heading7,Minor Heading8,Minor Heading11,Minor Heading21,Minor Heading31,Minor Heading41,Minor Heading51,Minor Heading9,D&amp;M,h4,h41,h42"/>
    <w:basedOn w:val="Normal"/>
    <w:next w:val="Normal"/>
    <w:link w:val="Heading4Char"/>
    <w:uiPriority w:val="9"/>
    <w:qFormat/>
    <w:rsid w:val="00BD4D54"/>
    <w:pPr>
      <w:keepNext/>
      <w:numPr>
        <w:ilvl w:val="3"/>
        <w:numId w:val="16"/>
      </w:numPr>
      <w:tabs>
        <w:tab w:val="left" w:pos="1134"/>
      </w:tabs>
      <w:spacing w:before="240" w:after="120" w:line="240" w:lineRule="auto"/>
      <w:jc w:val="both"/>
      <w:outlineLvl w:val="3"/>
    </w:pPr>
    <w:rPr>
      <w:rFonts w:ascii="Book Antiqua" w:eastAsia="Times New Roman" w:hAnsi="Book Antiqua" w:cs="Times New Roman"/>
      <w:i/>
      <w:lang w:eastAsia="en-AU"/>
    </w:rPr>
  </w:style>
  <w:style w:type="paragraph" w:styleId="Heading5">
    <w:name w:val="heading 5"/>
    <w:aliases w:val="Further Points,Further Points1,Further Points2,Further Points3,Further Points11,Further Points4,Further Points5,Further Points12,Further Points21,Further Points111,Further Points6,Further Points13,Further Points22,Further Points112,h5,Para5"/>
    <w:basedOn w:val="Normal"/>
    <w:next w:val="Normal"/>
    <w:link w:val="Heading5Char"/>
    <w:uiPriority w:val="9"/>
    <w:rsid w:val="00BD4D54"/>
    <w:pPr>
      <w:keepNext/>
      <w:numPr>
        <w:ilvl w:val="4"/>
        <w:numId w:val="16"/>
      </w:numPr>
      <w:spacing w:before="120" w:after="120" w:line="240" w:lineRule="auto"/>
      <w:ind w:right="-2"/>
      <w:outlineLvl w:val="4"/>
    </w:pPr>
    <w:rPr>
      <w:rFonts w:ascii="Book Antiqua" w:eastAsia="Times New Roman" w:hAnsi="Book Antiqua" w:cs="Times New Roman"/>
      <w:b/>
      <w:sz w:val="20"/>
      <w:lang w:eastAsia="en-AU"/>
    </w:rPr>
  </w:style>
  <w:style w:type="paragraph" w:styleId="Heading6">
    <w:name w:val="heading 6"/>
    <w:aliases w:val="Points in Text,Points in Text1,Points in Text2,Points in Text3,Points in Text4,Points in Text5,Points in Text11,Points in Text21,Points in Text6,Points in Text12,Points in Text22,Points in Text7,Points in Text13,Points in Text23,not Kinhill,H"/>
    <w:basedOn w:val="Normal"/>
    <w:next w:val="Normal"/>
    <w:link w:val="Heading6Char"/>
    <w:uiPriority w:val="9"/>
    <w:rsid w:val="00BD4D54"/>
    <w:pPr>
      <w:numPr>
        <w:ilvl w:val="5"/>
        <w:numId w:val="16"/>
      </w:numPr>
      <w:spacing w:before="240" w:after="60" w:line="240" w:lineRule="auto"/>
      <w:jc w:val="both"/>
      <w:outlineLvl w:val="5"/>
    </w:pPr>
    <w:rPr>
      <w:rFonts w:eastAsia="Times New Roman" w:cs="Times New Roman"/>
      <w:i/>
      <w:lang w:eastAsia="en-AU"/>
    </w:rPr>
  </w:style>
  <w:style w:type="paragraph" w:styleId="Heading7">
    <w:name w:val="heading 7"/>
    <w:aliases w:val="DO NOT USE 7,DO NOT USE 71,H7,H71,H72,H711,DO NOT USE 72,DO NOT USE 711,H73,H712,DO NOT USE 73,DO NOT USE 712,H74,H713,DO NOT USE 74,DO NOT USE 713,H75,H714,DO NOT USE 75,DO NOT USE 714,H76,H715,DO NOT USE 76,DO NOT USE 715,H77,H716,H78,H717"/>
    <w:basedOn w:val="Normal"/>
    <w:next w:val="Normal"/>
    <w:link w:val="Heading7Char"/>
    <w:uiPriority w:val="9"/>
    <w:rsid w:val="00BD4D54"/>
    <w:pPr>
      <w:numPr>
        <w:ilvl w:val="6"/>
        <w:numId w:val="16"/>
      </w:numPr>
      <w:spacing w:before="240" w:after="60" w:line="240" w:lineRule="auto"/>
      <w:jc w:val="both"/>
      <w:outlineLvl w:val="6"/>
    </w:pPr>
    <w:rPr>
      <w:rFonts w:ascii="Arial" w:eastAsia="Times New Roman" w:hAnsi="Arial" w:cs="Times New Roman"/>
      <w:sz w:val="20"/>
      <w:lang w:eastAsia="en-AU"/>
    </w:rPr>
  </w:style>
  <w:style w:type="paragraph" w:styleId="Heading8">
    <w:name w:val="heading 8"/>
    <w:aliases w:val="Appendix Level 2,not Kinhill1,Appendix Level 21,Appendix Level 22,Appendix Level 23,Appendix Level 24,Appendix Level 25,Appendix Level 26,Appendix Level 27,DO NOT USE 8,Appendix Level 28,Appendix Level 211,Appendix Level 221"/>
    <w:basedOn w:val="Normal"/>
    <w:next w:val="Normal"/>
    <w:link w:val="Heading8Char"/>
    <w:uiPriority w:val="9"/>
    <w:rsid w:val="00BD4D54"/>
    <w:pPr>
      <w:numPr>
        <w:ilvl w:val="7"/>
        <w:numId w:val="16"/>
      </w:numPr>
      <w:spacing w:before="240" w:after="60" w:line="240" w:lineRule="auto"/>
      <w:jc w:val="both"/>
      <w:outlineLvl w:val="7"/>
    </w:pPr>
    <w:rPr>
      <w:rFonts w:ascii="Arial" w:eastAsia="Times New Roman" w:hAnsi="Arial" w:cs="Times New Roman"/>
      <w:i/>
      <w:sz w:val="20"/>
      <w:lang w:eastAsia="en-AU"/>
    </w:rPr>
  </w:style>
  <w:style w:type="paragraph" w:styleId="Heading9">
    <w:name w:val="heading 9"/>
    <w:aliases w:val="Appendix Level 3,Appendix Level 31,Appendix Level 32,Appendix Level 33,Appendix Level 34,Appendix Level 35,Appendix Level 36,Appendix Level 37,DO NOT USE 9,Appendix Level 38,Appendix Level 311,Appendix Level 321,Appendix Level 331,H9,H91,H92"/>
    <w:basedOn w:val="Normal"/>
    <w:next w:val="Normal"/>
    <w:link w:val="Heading9Char"/>
    <w:uiPriority w:val="9"/>
    <w:rsid w:val="00BD4D54"/>
    <w:pPr>
      <w:numPr>
        <w:ilvl w:val="8"/>
        <w:numId w:val="16"/>
      </w:numPr>
      <w:spacing w:before="240" w:after="60" w:line="240" w:lineRule="auto"/>
      <w:jc w:val="both"/>
      <w:outlineLvl w:val="8"/>
    </w:pPr>
    <w:rPr>
      <w:rFonts w:ascii="Arial" w:eastAsia="Times New Roman" w:hAnsi="Arial" w:cs="Times New Roman"/>
      <w:b/>
      <w:i/>
      <w:sz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uiPriority w:val="1"/>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iPriority w:val="99"/>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A24CB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1B0F61"/>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D1344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754D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754D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754D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B0F6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116C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F0BB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F0BB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F0BB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uiPriority w:val="99"/>
    <w:rsid w:val="00664C6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uiPriority w:val="99"/>
    <w:rsid w:val="00664C63"/>
    <w:rPr>
      <w:rFonts w:eastAsia="Times New Roman" w:cs="Times New Roman"/>
      <w:sz w:val="22"/>
      <w:szCs w:val="24"/>
      <w:lang w:eastAsia="en-AU"/>
    </w:rPr>
  </w:style>
  <w:style w:type="character" w:styleId="LineNumber">
    <w:name w:val="line number"/>
    <w:basedOn w:val="OPCCharBase"/>
    <w:unhideWhenUsed/>
    <w:rsid w:val="001B0F61"/>
    <w:rPr>
      <w:sz w:val="16"/>
    </w:rPr>
  </w:style>
  <w:style w:type="table" w:customStyle="1" w:styleId="CFlag">
    <w:name w:val="CFlag"/>
    <w:basedOn w:val="TableNormal"/>
    <w:uiPriority w:val="99"/>
    <w:rsid w:val="0018435F"/>
    <w:rPr>
      <w:rFonts w:eastAsia="Times New Roman" w:cs="Times New Roman"/>
      <w:lang w:eastAsia="en-AU"/>
    </w:rPr>
    <w:tblPr>
      <w:tblInd w:w="0" w:type="dxa"/>
      <w:tblCellMar>
        <w:top w:w="0" w:type="dxa"/>
        <w:left w:w="108" w:type="dxa"/>
        <w:bottom w:w="0" w:type="dxa"/>
        <w:right w:w="108" w:type="dxa"/>
      </w:tblCellMar>
    </w:tblPr>
  </w:style>
  <w:style w:type="table" w:styleId="TableGrid">
    <w:name w:val="Table Grid"/>
    <w:basedOn w:val="TableNormal"/>
    <w:uiPriority w:val="1"/>
    <w:rsid w:val="00A61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PartCASA">
    <w:name w:val="SubPart(CASA)"/>
    <w:aliases w:val="csp"/>
    <w:basedOn w:val="OPCParaBase"/>
    <w:next w:val="ActHead3"/>
    <w:rsid w:val="007E335B"/>
    <w:pPr>
      <w:keepNext/>
      <w:keepLines/>
      <w:spacing w:before="280"/>
      <w:outlineLvl w:val="1"/>
    </w:pPr>
    <w:rPr>
      <w:b/>
      <w:kern w:val="28"/>
      <w:sz w:val="32"/>
    </w:rPr>
  </w:style>
  <w:style w:type="paragraph" w:customStyle="1" w:styleId="ENotesHeading1">
    <w:name w:val="ENotesHeading 1"/>
    <w:aliases w:val="Enh1"/>
    <w:basedOn w:val="OPCParaBase"/>
    <w:next w:val="Normal"/>
    <w:rsid w:val="00DF09AC"/>
    <w:pPr>
      <w:spacing w:before="120"/>
      <w:outlineLvl w:val="0"/>
    </w:pPr>
    <w:rPr>
      <w:b/>
      <w:sz w:val="28"/>
      <w:szCs w:val="28"/>
    </w:rPr>
  </w:style>
  <w:style w:type="paragraph" w:customStyle="1" w:styleId="ENotesHeading2">
    <w:name w:val="ENotesHeading 2"/>
    <w:aliases w:val="Enh2"/>
    <w:basedOn w:val="OPCParaBase"/>
    <w:next w:val="Normal"/>
    <w:rsid w:val="00DF09AC"/>
    <w:pPr>
      <w:spacing w:before="120" w:after="120"/>
      <w:outlineLvl w:val="6"/>
    </w:pPr>
    <w:rPr>
      <w:b/>
      <w:sz w:val="24"/>
      <w:szCs w:val="28"/>
    </w:rPr>
  </w:style>
  <w:style w:type="paragraph" w:customStyle="1" w:styleId="ENotesHeading3">
    <w:name w:val="ENotesHeading 3"/>
    <w:aliases w:val="Enh3"/>
    <w:basedOn w:val="OPCParaBase"/>
    <w:next w:val="Normal"/>
    <w:rsid w:val="00DF09AC"/>
    <w:pPr>
      <w:spacing w:before="120" w:line="240" w:lineRule="auto"/>
      <w:outlineLvl w:val="7"/>
    </w:pPr>
    <w:rPr>
      <w:b/>
      <w:szCs w:val="24"/>
    </w:rPr>
  </w:style>
  <w:style w:type="paragraph" w:customStyle="1" w:styleId="ENotesText">
    <w:name w:val="ENotesText"/>
    <w:aliases w:val="Ent"/>
    <w:basedOn w:val="OPCParaBase"/>
    <w:next w:val="Normal"/>
    <w:rsid w:val="00DF09AC"/>
    <w:pPr>
      <w:spacing w:before="120"/>
    </w:pPr>
  </w:style>
  <w:style w:type="paragraph" w:customStyle="1" w:styleId="CompiledActNo">
    <w:name w:val="CompiledActNo"/>
    <w:basedOn w:val="OPCParaBase"/>
    <w:next w:val="Normal"/>
    <w:rsid w:val="00C255AB"/>
    <w:rPr>
      <w:b/>
      <w:sz w:val="24"/>
      <w:szCs w:val="24"/>
    </w:rPr>
  </w:style>
  <w:style w:type="paragraph" w:customStyle="1" w:styleId="CompiledMadeUnder">
    <w:name w:val="CompiledMadeUnder"/>
    <w:basedOn w:val="OPCParaBase"/>
    <w:next w:val="Normal"/>
    <w:rsid w:val="00C255AB"/>
    <w:rPr>
      <w:i/>
      <w:sz w:val="24"/>
      <w:szCs w:val="24"/>
    </w:rPr>
  </w:style>
  <w:style w:type="paragraph" w:customStyle="1" w:styleId="Paragraphsub-sub-sub">
    <w:name w:val="Paragraph(sub-sub-sub)"/>
    <w:aliases w:val="aaaa"/>
    <w:basedOn w:val="OPCParaBase"/>
    <w:rsid w:val="00BD6B2E"/>
    <w:pPr>
      <w:tabs>
        <w:tab w:val="right" w:pos="3402"/>
      </w:tabs>
      <w:spacing w:before="40" w:line="240" w:lineRule="auto"/>
      <w:ind w:left="3402" w:hanging="3402"/>
    </w:pPr>
  </w:style>
  <w:style w:type="paragraph" w:customStyle="1" w:styleId="EndNotespara">
    <w:name w:val="EndNotes(para)"/>
    <w:aliases w:val="eta"/>
    <w:basedOn w:val="OPCParaBase"/>
    <w:next w:val="Normal"/>
    <w:rsid w:val="00DF09A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F09A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DF09A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F09A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F09AC"/>
    <w:pPr>
      <w:spacing w:before="60" w:line="240" w:lineRule="auto"/>
    </w:pPr>
    <w:rPr>
      <w:rFonts w:cs="Arial"/>
      <w:sz w:val="20"/>
      <w:szCs w:val="22"/>
    </w:rPr>
  </w:style>
  <w:style w:type="paragraph" w:customStyle="1" w:styleId="TableHeading">
    <w:name w:val="TableHeading"/>
    <w:aliases w:val="th"/>
    <w:basedOn w:val="OPCParaBase"/>
    <w:next w:val="Tabletext"/>
    <w:rsid w:val="00F1779C"/>
    <w:pPr>
      <w:spacing w:before="60" w:line="240" w:lineRule="atLeast"/>
    </w:pPr>
    <w:rPr>
      <w:b/>
      <w:sz w:val="20"/>
    </w:rPr>
  </w:style>
  <w:style w:type="paragraph" w:customStyle="1" w:styleId="NoteToSubpara">
    <w:name w:val="NoteToSubpara"/>
    <w:aliases w:val="nts"/>
    <w:basedOn w:val="OPCParaBase"/>
    <w:rsid w:val="00E9136A"/>
    <w:pPr>
      <w:spacing w:before="40" w:line="198" w:lineRule="exact"/>
      <w:ind w:left="2835" w:hanging="709"/>
    </w:pPr>
    <w:rPr>
      <w:sz w:val="18"/>
    </w:rPr>
  </w:style>
  <w:style w:type="character" w:customStyle="1" w:styleId="Heading1Char">
    <w:name w:val="Heading 1 Char"/>
    <w:aliases w:val="Chapter Heading Char,Chapter Heading1 Char,Chapter Heading2 Char,Chapter Heading3 Char,Chapter Heading4 Char,Chapter Heading5 Char,Chapter Heading6 Char,Chapter Heading7 Char,Chapter Heading8 Char,Chapter Heading9 Char,h1 Char"/>
    <w:basedOn w:val="DefaultParagraphFont"/>
    <w:link w:val="Heading1"/>
    <w:uiPriority w:val="9"/>
    <w:rsid w:val="00BD4D54"/>
    <w:rPr>
      <w:rFonts w:ascii="Book Antiqua" w:eastAsia="Times New Roman" w:hAnsi="Book Antiqua" w:cs="Times New Roman"/>
      <w:b/>
      <w:kern w:val="28"/>
      <w:sz w:val="32"/>
      <w:lang w:eastAsia="en-AU"/>
    </w:rPr>
  </w:style>
  <w:style w:type="character" w:customStyle="1" w:styleId="Heading2Char">
    <w:name w:val="Heading 2 Char"/>
    <w:aliases w:val="Major Heading Char,Major Heading1 Char,Major Heading2 Char,Major Heading3 Char,Major Heading4 Char,Major Heading5 Char,Major Heading6 Char,Major Heading11 Char,Major Heading21 Char,Major Heading31 Char,Major Heading7 Char,h2 Char,H2 Char"/>
    <w:basedOn w:val="DefaultParagraphFont"/>
    <w:link w:val="Heading2"/>
    <w:uiPriority w:val="9"/>
    <w:rsid w:val="00BD4D54"/>
    <w:rPr>
      <w:rFonts w:ascii="Book Antiqua" w:eastAsia="Times New Roman" w:hAnsi="Book Antiqua" w:cs="Times New Roman"/>
      <w:b/>
      <w:kern w:val="28"/>
      <w:sz w:val="24"/>
    </w:rPr>
  </w:style>
  <w:style w:type="character" w:customStyle="1" w:styleId="Heading3Char">
    <w:name w:val="Heading 3 Char"/>
    <w:aliases w:val="Sub-heading Char,Sub-heading1 Char,Sub-heading2 Char,Sub-heading3 Char,Sub-heading4 Char,Sub-heading5 Char,Sub-heading6 Char,Sub-heading11 Char,Sub-heading21 Char,Sub-heading31 Char,Sub-heading7 Char,Sub-heading12 Char,Sub-heading22 Char"/>
    <w:basedOn w:val="DefaultParagraphFont"/>
    <w:link w:val="Heading3"/>
    <w:uiPriority w:val="9"/>
    <w:rsid w:val="00BD4D54"/>
    <w:rPr>
      <w:rFonts w:ascii="Book Antiqua" w:eastAsia="Times New Roman" w:hAnsi="Book Antiqua" w:cs="Times New Roman"/>
      <w:b/>
      <w:kern w:val="28"/>
      <w:sz w:val="22"/>
    </w:rPr>
  </w:style>
  <w:style w:type="character" w:customStyle="1" w:styleId="Heading4Char">
    <w:name w:val="Heading 4 Char"/>
    <w:aliases w:val="Minor Heading Char,Minor Heading1 Char,Minor Heading2 Char,Minor Heading3 Char,Minor Heading4 Char,Minor Heading5 Char,Minor Heading6 Char,Minor Heading7 Char,Minor Heading8 Char,Minor Heading11 Char,Minor Heading21 Char,D&amp;M Char,h4 Char"/>
    <w:basedOn w:val="DefaultParagraphFont"/>
    <w:link w:val="Heading4"/>
    <w:uiPriority w:val="9"/>
    <w:rsid w:val="00BD4D54"/>
    <w:rPr>
      <w:rFonts w:ascii="Book Antiqua" w:eastAsia="Times New Roman" w:hAnsi="Book Antiqua" w:cs="Times New Roman"/>
      <w:i/>
      <w:sz w:val="22"/>
      <w:lang w:eastAsia="en-AU"/>
    </w:rPr>
  </w:style>
  <w:style w:type="character" w:customStyle="1" w:styleId="Heading5Char">
    <w:name w:val="Heading 5 Char"/>
    <w:aliases w:val="Further Points Char,Further Points1 Char,Further Points2 Char,Further Points3 Char,Further Points11 Char,Further Points4 Char,Further Points5 Char,Further Points12 Char,Further Points21 Char,Further Points111 Char,Further Points6 Char"/>
    <w:basedOn w:val="DefaultParagraphFont"/>
    <w:link w:val="Heading5"/>
    <w:uiPriority w:val="9"/>
    <w:rsid w:val="00BD4D54"/>
    <w:rPr>
      <w:rFonts w:ascii="Book Antiqua" w:eastAsia="Times New Roman" w:hAnsi="Book Antiqua" w:cs="Times New Roman"/>
      <w:b/>
      <w:lang w:eastAsia="en-AU"/>
    </w:rPr>
  </w:style>
  <w:style w:type="character" w:customStyle="1" w:styleId="Heading6Char">
    <w:name w:val="Heading 6 Char"/>
    <w:aliases w:val="Points in Text Char,Points in Text1 Char,Points in Text2 Char,Points in Text3 Char,Points in Text4 Char,Points in Text5 Char,Points in Text11 Char,Points in Text21 Char,Points in Text6 Char,Points in Text12 Char,Points in Text22 Char"/>
    <w:basedOn w:val="DefaultParagraphFont"/>
    <w:link w:val="Heading6"/>
    <w:uiPriority w:val="9"/>
    <w:rsid w:val="00BD4D54"/>
    <w:rPr>
      <w:rFonts w:eastAsia="Times New Roman" w:cs="Times New Roman"/>
      <w:i/>
      <w:sz w:val="22"/>
      <w:lang w:eastAsia="en-AU"/>
    </w:rPr>
  </w:style>
  <w:style w:type="character" w:customStyle="1" w:styleId="Heading7Char">
    <w:name w:val="Heading 7 Char"/>
    <w:aliases w:val="DO NOT USE 7 Char,DO NOT USE 71 Char,H7 Char,H71 Char,H72 Char,H711 Char,DO NOT USE 72 Char,DO NOT USE 711 Char,H73 Char,H712 Char,DO NOT USE 73 Char,DO NOT USE 712 Char,H74 Char,H713 Char,DO NOT USE 74 Char,DO NOT USE 713 Char,H75 Char"/>
    <w:basedOn w:val="DefaultParagraphFont"/>
    <w:link w:val="Heading7"/>
    <w:uiPriority w:val="9"/>
    <w:rsid w:val="00BD4D54"/>
    <w:rPr>
      <w:rFonts w:ascii="Arial" w:eastAsia="Times New Roman" w:hAnsi="Arial" w:cs="Times New Roman"/>
      <w:lang w:eastAsia="en-AU"/>
    </w:rPr>
  </w:style>
  <w:style w:type="character" w:customStyle="1" w:styleId="Heading8Char">
    <w:name w:val="Heading 8 Char"/>
    <w:aliases w:val="Appendix Level 2 Char,not Kinhill1 Char,Appendix Level 21 Char,Appendix Level 22 Char,Appendix Level 23 Char,Appendix Level 24 Char,Appendix Level 25 Char,Appendix Level 26 Char,Appendix Level 27 Char,DO NOT USE 8 Char"/>
    <w:basedOn w:val="DefaultParagraphFont"/>
    <w:link w:val="Heading8"/>
    <w:uiPriority w:val="9"/>
    <w:rsid w:val="00BD4D54"/>
    <w:rPr>
      <w:rFonts w:ascii="Arial" w:eastAsia="Times New Roman" w:hAnsi="Arial" w:cs="Times New Roman"/>
      <w:i/>
      <w:lang w:eastAsia="en-AU"/>
    </w:rPr>
  </w:style>
  <w:style w:type="character" w:customStyle="1" w:styleId="Heading9Char">
    <w:name w:val="Heading 9 Char"/>
    <w:aliases w:val="Appendix Level 3 Char,Appendix Level 31 Char,Appendix Level 32 Char,Appendix Level 33 Char,Appendix Level 34 Char,Appendix Level 35 Char,Appendix Level 36 Char,Appendix Level 37 Char,DO NOT USE 9 Char,Appendix Level 38 Char,H9 Char"/>
    <w:basedOn w:val="DefaultParagraphFont"/>
    <w:link w:val="Heading9"/>
    <w:uiPriority w:val="9"/>
    <w:rsid w:val="00BD4D54"/>
    <w:rPr>
      <w:rFonts w:ascii="Arial" w:eastAsia="Times New Roman" w:hAnsi="Arial" w:cs="Times New Roman"/>
      <w:b/>
      <w:i/>
      <w:sz w:val="18"/>
      <w:lang w:eastAsia="en-AU"/>
    </w:rPr>
  </w:style>
  <w:style w:type="paragraph" w:customStyle="1" w:styleId="DotpointCONSITES">
    <w:name w:val="Dotpoint CON SITES"/>
    <w:basedOn w:val="Normal"/>
    <w:next w:val="Normal"/>
    <w:autoRedefine/>
    <w:rsid w:val="00BD4D54"/>
    <w:pPr>
      <w:spacing w:before="120" w:after="120" w:line="240" w:lineRule="auto"/>
      <w:jc w:val="both"/>
    </w:pPr>
    <w:rPr>
      <w:rFonts w:ascii="Book Antiqua" w:eastAsia="Times New Roman" w:hAnsi="Book Antiqua" w:cs="Times New Roman"/>
      <w:b/>
      <w:lang w:eastAsia="en-AU"/>
    </w:rPr>
  </w:style>
  <w:style w:type="paragraph" w:customStyle="1" w:styleId="TableheadCONSITES">
    <w:name w:val="Tablehead CON SITES"/>
    <w:basedOn w:val="Normal"/>
    <w:next w:val="Normal"/>
    <w:rsid w:val="00BD4D54"/>
    <w:pPr>
      <w:spacing w:before="120" w:after="120" w:line="240" w:lineRule="auto"/>
      <w:jc w:val="center"/>
    </w:pPr>
    <w:rPr>
      <w:rFonts w:ascii="Book Antiqua" w:eastAsia="Times New Roman" w:hAnsi="Book Antiqua" w:cs="Times New Roman"/>
      <w:b/>
      <w:lang w:eastAsia="en-AU"/>
    </w:rPr>
  </w:style>
  <w:style w:type="character" w:styleId="PageNumber">
    <w:name w:val="page number"/>
    <w:basedOn w:val="DefaultParagraphFont"/>
    <w:rsid w:val="00BD4D54"/>
  </w:style>
  <w:style w:type="paragraph" w:styleId="BlockText">
    <w:name w:val="Block Text"/>
    <w:basedOn w:val="Normal"/>
    <w:uiPriority w:val="3"/>
    <w:rsid w:val="00BD4D54"/>
    <w:pPr>
      <w:pBdr>
        <w:top w:val="thinThickSmallGap" w:sz="24" w:space="12" w:color="auto"/>
        <w:left w:val="thinThickSmallGap" w:sz="24" w:space="12" w:color="auto"/>
        <w:bottom w:val="thickThinSmallGap" w:sz="24" w:space="12" w:color="auto"/>
        <w:right w:val="thickThinSmallGap" w:sz="24" w:space="12" w:color="auto"/>
      </w:pBdr>
      <w:spacing w:before="120" w:after="120" w:line="480" w:lineRule="auto"/>
      <w:ind w:left="567" w:right="567"/>
      <w:jc w:val="both"/>
    </w:pPr>
    <w:rPr>
      <w:rFonts w:ascii="Book Antiqua" w:eastAsia="Times New Roman" w:hAnsi="Book Antiqua" w:cs="Times New Roman"/>
      <w:lang w:eastAsia="en-AU"/>
    </w:rPr>
  </w:style>
  <w:style w:type="paragraph" w:customStyle="1" w:styleId="Glossary">
    <w:name w:val="Glossary"/>
    <w:basedOn w:val="Normal"/>
    <w:rsid w:val="00BD4D54"/>
    <w:pPr>
      <w:keepLines/>
      <w:spacing w:before="120" w:after="120" w:line="240" w:lineRule="auto"/>
      <w:jc w:val="both"/>
    </w:pPr>
    <w:rPr>
      <w:rFonts w:ascii="Book Antiqua" w:eastAsia="Times New Roman" w:hAnsi="Book Antiqua" w:cs="Times New Roman"/>
      <w:lang w:eastAsia="en-AU"/>
    </w:rPr>
  </w:style>
  <w:style w:type="paragraph" w:customStyle="1" w:styleId="TableText0">
    <w:name w:val="Table Text"/>
    <w:basedOn w:val="Normal"/>
    <w:rsid w:val="00BD4D54"/>
    <w:pPr>
      <w:spacing w:before="60" w:after="60" w:line="240" w:lineRule="auto"/>
    </w:pPr>
    <w:rPr>
      <w:rFonts w:ascii="Book Antiqua" w:eastAsia="Times New Roman" w:hAnsi="Book Antiqua" w:cs="Times New Roman"/>
      <w:sz w:val="20"/>
      <w:lang w:eastAsia="en-AU"/>
    </w:rPr>
  </w:style>
  <w:style w:type="paragraph" w:customStyle="1" w:styleId="Dotpoint2ndCONSITES">
    <w:name w:val="Dotpoint 2ndCON SITES"/>
    <w:basedOn w:val="DotpointCONSITES"/>
    <w:rsid w:val="00BD4D54"/>
    <w:pPr>
      <w:numPr>
        <w:ilvl w:val="1"/>
        <w:numId w:val="13"/>
      </w:numPr>
      <w:tabs>
        <w:tab w:val="clear" w:pos="720"/>
        <w:tab w:val="num" w:pos="851"/>
      </w:tabs>
      <w:ind w:left="851" w:hanging="284"/>
    </w:pPr>
  </w:style>
  <w:style w:type="paragraph" w:customStyle="1" w:styleId="DotpointiCONSITES">
    <w:name w:val="Dotpoint (i)CON SITES"/>
    <w:basedOn w:val="DotpointCONSITES"/>
    <w:rsid w:val="00BD4D54"/>
    <w:pPr>
      <w:numPr>
        <w:numId w:val="14"/>
      </w:numPr>
      <w:tabs>
        <w:tab w:val="clear" w:pos="720"/>
        <w:tab w:val="num" w:pos="567"/>
      </w:tabs>
      <w:ind w:left="567" w:hanging="567"/>
    </w:pPr>
  </w:style>
  <w:style w:type="paragraph" w:customStyle="1" w:styleId="AppendixHeading">
    <w:name w:val="Appendix Heading"/>
    <w:basedOn w:val="Heading1"/>
    <w:rsid w:val="00BD4D54"/>
    <w:pPr>
      <w:numPr>
        <w:numId w:val="0"/>
      </w:numPr>
      <w:spacing w:after="0"/>
      <w:jc w:val="center"/>
    </w:pPr>
  </w:style>
  <w:style w:type="paragraph" w:customStyle="1" w:styleId="text">
    <w:name w:val="text"/>
    <w:basedOn w:val="Normal"/>
    <w:link w:val="textChar"/>
    <w:rsid w:val="00BD4D54"/>
    <w:pPr>
      <w:spacing w:before="120" w:after="120" w:line="240" w:lineRule="auto"/>
      <w:jc w:val="both"/>
    </w:pPr>
    <w:rPr>
      <w:rFonts w:ascii="Book Antiqua" w:eastAsia="Times New Roman" w:hAnsi="Book Antiqua" w:cs="Times New Roman"/>
      <w:lang w:eastAsia="en-AU"/>
    </w:rPr>
  </w:style>
  <w:style w:type="paragraph" w:customStyle="1" w:styleId="Dot-points">
    <w:name w:val="Dot-points"/>
    <w:basedOn w:val="text"/>
    <w:autoRedefine/>
    <w:qFormat/>
    <w:rsid w:val="00BD4D54"/>
    <w:pPr>
      <w:numPr>
        <w:numId w:val="15"/>
      </w:numPr>
      <w:tabs>
        <w:tab w:val="clear" w:pos="360"/>
        <w:tab w:val="num" w:pos="926"/>
      </w:tabs>
      <w:spacing w:before="0"/>
      <w:ind w:left="357" w:hanging="357"/>
    </w:pPr>
  </w:style>
  <w:style w:type="paragraph" w:customStyle="1" w:styleId="GlossaryHeading">
    <w:name w:val="Glossary Heading"/>
    <w:basedOn w:val="Heading1"/>
    <w:rsid w:val="00BD4D54"/>
    <w:pPr>
      <w:numPr>
        <w:numId w:val="0"/>
      </w:numPr>
      <w:spacing w:after="0"/>
      <w:jc w:val="center"/>
    </w:pPr>
  </w:style>
  <w:style w:type="character" w:customStyle="1" w:styleId="Highlight">
    <w:name w:val="Highlight"/>
    <w:basedOn w:val="DefaultParagraphFont"/>
    <w:uiPriority w:val="99"/>
    <w:rsid w:val="00BD4D54"/>
    <w:rPr>
      <w:rFonts w:ascii="Arial" w:hAnsi="Arial"/>
      <w:b/>
      <w:sz w:val="24"/>
    </w:rPr>
  </w:style>
  <w:style w:type="paragraph" w:customStyle="1" w:styleId="Level1">
    <w:name w:val="Level 1"/>
    <w:basedOn w:val="Heading2"/>
    <w:rsid w:val="00BD4D54"/>
    <w:pPr>
      <w:numPr>
        <w:ilvl w:val="0"/>
        <w:numId w:val="0"/>
      </w:numPr>
    </w:pPr>
  </w:style>
  <w:style w:type="paragraph" w:customStyle="1" w:styleId="Level2">
    <w:name w:val="Level 2"/>
    <w:basedOn w:val="Heading3"/>
    <w:rsid w:val="00BD4D54"/>
    <w:pPr>
      <w:numPr>
        <w:ilvl w:val="0"/>
        <w:numId w:val="0"/>
      </w:numPr>
    </w:pPr>
  </w:style>
  <w:style w:type="paragraph" w:customStyle="1" w:styleId="Level3">
    <w:name w:val="Level 3"/>
    <w:basedOn w:val="Heading4"/>
    <w:rsid w:val="00BD4D54"/>
    <w:pPr>
      <w:numPr>
        <w:ilvl w:val="0"/>
        <w:numId w:val="0"/>
      </w:numPr>
    </w:pPr>
  </w:style>
  <w:style w:type="paragraph" w:customStyle="1" w:styleId="TitleHeading">
    <w:name w:val="Title Heading"/>
    <w:basedOn w:val="text"/>
    <w:rsid w:val="00BD4D54"/>
    <w:pPr>
      <w:spacing w:before="20" w:after="20"/>
      <w:ind w:left="1985"/>
      <w:jc w:val="center"/>
    </w:pPr>
    <w:rPr>
      <w:rFonts w:ascii="Arial Bold" w:hAnsi="Arial Bold"/>
      <w:b/>
      <w:sz w:val="40"/>
    </w:rPr>
  </w:style>
  <w:style w:type="paragraph" w:customStyle="1" w:styleId="NationalHeading">
    <w:name w:val="National Heading"/>
    <w:basedOn w:val="TitleHeading"/>
    <w:rsid w:val="00BD4D54"/>
  </w:style>
  <w:style w:type="paragraph" w:styleId="FootnoteText">
    <w:name w:val="footnote text"/>
    <w:basedOn w:val="Normal"/>
    <w:link w:val="FootnoteTextChar"/>
    <w:semiHidden/>
    <w:rsid w:val="00BD4D54"/>
    <w:pPr>
      <w:spacing w:before="120" w:after="120" w:line="240" w:lineRule="auto"/>
      <w:ind w:left="142" w:hanging="142"/>
      <w:jc w:val="both"/>
    </w:pPr>
    <w:rPr>
      <w:rFonts w:ascii="Book Antiqua" w:eastAsia="Times New Roman" w:hAnsi="Book Antiqua" w:cs="Times New Roman"/>
      <w:sz w:val="14"/>
    </w:rPr>
  </w:style>
  <w:style w:type="character" w:customStyle="1" w:styleId="FootnoteTextChar">
    <w:name w:val="Footnote Text Char"/>
    <w:basedOn w:val="DefaultParagraphFont"/>
    <w:link w:val="FootnoteText"/>
    <w:semiHidden/>
    <w:rsid w:val="00BD4D54"/>
    <w:rPr>
      <w:rFonts w:ascii="Book Antiqua" w:eastAsia="Times New Roman" w:hAnsi="Book Antiqua" w:cs="Times New Roman"/>
      <w:sz w:val="14"/>
    </w:rPr>
  </w:style>
  <w:style w:type="paragraph" w:customStyle="1" w:styleId="OutlineLev1">
    <w:name w:val="Outline Lev 1"/>
    <w:basedOn w:val="Normal"/>
    <w:rsid w:val="00BD4D54"/>
    <w:pPr>
      <w:numPr>
        <w:numId w:val="17"/>
      </w:numPr>
      <w:spacing w:before="240" w:after="100" w:line="240" w:lineRule="auto"/>
      <w:jc w:val="both"/>
    </w:pPr>
    <w:rPr>
      <w:rFonts w:ascii="Book Antiqua" w:eastAsia="Times New Roman" w:hAnsi="Book Antiqua" w:cs="Times New Roman"/>
      <w:lang w:eastAsia="en-AU"/>
    </w:rPr>
  </w:style>
  <w:style w:type="paragraph" w:customStyle="1" w:styleId="OutlineLev2">
    <w:name w:val="Outline Lev 2"/>
    <w:basedOn w:val="Normal"/>
    <w:rsid w:val="00BD4D54"/>
    <w:pPr>
      <w:numPr>
        <w:ilvl w:val="1"/>
        <w:numId w:val="17"/>
      </w:numPr>
      <w:spacing w:before="20" w:after="20" w:line="240" w:lineRule="auto"/>
      <w:jc w:val="both"/>
    </w:pPr>
    <w:rPr>
      <w:rFonts w:ascii="Book Antiqua" w:eastAsia="Times New Roman" w:hAnsi="Book Antiqua" w:cs="Times New Roman"/>
      <w:lang w:eastAsia="en-AU"/>
    </w:rPr>
  </w:style>
  <w:style w:type="paragraph" w:styleId="TOCHeading">
    <w:name w:val="TOC Heading"/>
    <w:basedOn w:val="Heading2"/>
    <w:uiPriority w:val="39"/>
    <w:rsid w:val="00BD4D54"/>
    <w:pPr>
      <w:numPr>
        <w:ilvl w:val="0"/>
        <w:numId w:val="0"/>
      </w:numPr>
      <w:spacing w:before="120"/>
      <w:jc w:val="center"/>
    </w:pPr>
    <w:rPr>
      <w:rFonts w:ascii="Arial" w:hAnsi="Arial"/>
      <w:sz w:val="32"/>
    </w:rPr>
  </w:style>
  <w:style w:type="paragraph" w:styleId="BalloonText">
    <w:name w:val="Balloon Text"/>
    <w:basedOn w:val="Normal"/>
    <w:link w:val="BalloonTextChar"/>
    <w:uiPriority w:val="99"/>
    <w:semiHidden/>
    <w:rsid w:val="00BD4D54"/>
    <w:pPr>
      <w:spacing w:before="120" w:after="120" w:line="240" w:lineRule="auto"/>
      <w:jc w:val="both"/>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BD4D54"/>
    <w:rPr>
      <w:rFonts w:ascii="Tahoma" w:eastAsia="Times New Roman" w:hAnsi="Tahoma" w:cs="Tahoma"/>
      <w:sz w:val="16"/>
      <w:szCs w:val="16"/>
      <w:lang w:eastAsia="en-AU"/>
    </w:rPr>
  </w:style>
  <w:style w:type="character" w:styleId="CommentReference">
    <w:name w:val="annotation reference"/>
    <w:basedOn w:val="DefaultParagraphFont"/>
    <w:rsid w:val="00BD4D54"/>
    <w:rPr>
      <w:sz w:val="16"/>
      <w:szCs w:val="16"/>
    </w:rPr>
  </w:style>
  <w:style w:type="paragraph" w:styleId="CommentText">
    <w:name w:val="annotation text"/>
    <w:basedOn w:val="Normal"/>
    <w:link w:val="CommentTextChar"/>
    <w:rsid w:val="00BD4D54"/>
    <w:pPr>
      <w:spacing w:before="120" w:after="120" w:line="240" w:lineRule="auto"/>
      <w:jc w:val="both"/>
    </w:pPr>
    <w:rPr>
      <w:rFonts w:ascii="Book Antiqua" w:eastAsia="Times New Roman" w:hAnsi="Book Antiqua" w:cs="Times New Roman"/>
      <w:sz w:val="20"/>
      <w:lang w:eastAsia="en-AU"/>
    </w:rPr>
  </w:style>
  <w:style w:type="character" w:customStyle="1" w:styleId="CommentTextChar">
    <w:name w:val="Comment Text Char"/>
    <w:basedOn w:val="DefaultParagraphFont"/>
    <w:link w:val="CommentText"/>
    <w:rsid w:val="00BD4D54"/>
    <w:rPr>
      <w:rFonts w:ascii="Book Antiqua" w:eastAsia="Times New Roman" w:hAnsi="Book Antiqua" w:cs="Times New Roman"/>
      <w:lang w:eastAsia="en-AU"/>
    </w:rPr>
  </w:style>
  <w:style w:type="paragraph" w:styleId="CommentSubject">
    <w:name w:val="annotation subject"/>
    <w:basedOn w:val="CommentText"/>
    <w:next w:val="CommentText"/>
    <w:link w:val="CommentSubjectChar"/>
    <w:uiPriority w:val="99"/>
    <w:rsid w:val="00BD4D54"/>
    <w:rPr>
      <w:b/>
      <w:bCs/>
    </w:rPr>
  </w:style>
  <w:style w:type="character" w:customStyle="1" w:styleId="CommentSubjectChar">
    <w:name w:val="Comment Subject Char"/>
    <w:basedOn w:val="CommentTextChar"/>
    <w:link w:val="CommentSubject"/>
    <w:uiPriority w:val="99"/>
    <w:rsid w:val="00BD4D54"/>
    <w:rPr>
      <w:rFonts w:ascii="Book Antiqua" w:eastAsia="Times New Roman" w:hAnsi="Book Antiqua" w:cs="Times New Roman"/>
      <w:b/>
      <w:bCs/>
      <w:lang w:eastAsia="en-AU"/>
    </w:rPr>
  </w:style>
  <w:style w:type="character" w:styleId="FootnoteReference">
    <w:name w:val="footnote reference"/>
    <w:basedOn w:val="DefaultParagraphFont"/>
    <w:semiHidden/>
    <w:rsid w:val="00BD4D54"/>
    <w:rPr>
      <w:rFonts w:ascii="Book Antiqua" w:hAnsi="Book Antiqua"/>
      <w:vertAlign w:val="superscript"/>
    </w:rPr>
  </w:style>
  <w:style w:type="paragraph" w:styleId="BodyText3">
    <w:name w:val="Body Text 3"/>
    <w:basedOn w:val="Normal"/>
    <w:link w:val="BodyText3Char"/>
    <w:rsid w:val="00BD4D54"/>
    <w:pPr>
      <w:spacing w:before="120" w:after="120" w:line="240" w:lineRule="auto"/>
    </w:pPr>
    <w:rPr>
      <w:rFonts w:ascii="Book Antiqua" w:eastAsia="Times New Roman" w:hAnsi="Book Antiqua" w:cs="Times New Roman"/>
      <w:i/>
      <w:color w:val="FF0000"/>
    </w:rPr>
  </w:style>
  <w:style w:type="character" w:customStyle="1" w:styleId="BodyText3Char">
    <w:name w:val="Body Text 3 Char"/>
    <w:basedOn w:val="DefaultParagraphFont"/>
    <w:link w:val="BodyText3"/>
    <w:rsid w:val="00BD4D54"/>
    <w:rPr>
      <w:rFonts w:ascii="Book Antiqua" w:eastAsia="Times New Roman" w:hAnsi="Book Antiqua" w:cs="Times New Roman"/>
      <w:i/>
      <w:color w:val="FF0000"/>
      <w:sz w:val="22"/>
    </w:rPr>
  </w:style>
  <w:style w:type="paragraph" w:styleId="Revision">
    <w:name w:val="Revision"/>
    <w:hidden/>
    <w:uiPriority w:val="99"/>
    <w:semiHidden/>
    <w:rsid w:val="00BD4D54"/>
    <w:rPr>
      <w:rFonts w:ascii="Book Antiqua" w:eastAsia="Times New Roman" w:hAnsi="Book Antiqua" w:cs="Times New Roman"/>
      <w:sz w:val="24"/>
      <w:lang w:eastAsia="en-AU"/>
    </w:rPr>
  </w:style>
  <w:style w:type="character" w:styleId="Hyperlink">
    <w:name w:val="Hyperlink"/>
    <w:basedOn w:val="DefaultParagraphFont"/>
    <w:uiPriority w:val="99"/>
    <w:rsid w:val="00BD4D54"/>
    <w:rPr>
      <w:color w:val="0000FF"/>
      <w:u w:val="single"/>
    </w:rPr>
  </w:style>
  <w:style w:type="paragraph" w:customStyle="1" w:styleId="Default">
    <w:name w:val="Default"/>
    <w:rsid w:val="00BD4D54"/>
    <w:pPr>
      <w:autoSpaceDE w:val="0"/>
      <w:autoSpaceDN w:val="0"/>
      <w:adjustRightInd w:val="0"/>
    </w:pPr>
    <w:rPr>
      <w:rFonts w:ascii="Arial" w:eastAsia="Times New Roman" w:hAnsi="Arial" w:cs="Arial"/>
      <w:color w:val="000000"/>
      <w:sz w:val="24"/>
      <w:szCs w:val="24"/>
      <w:lang w:val="en-US"/>
    </w:rPr>
  </w:style>
  <w:style w:type="paragraph" w:customStyle="1" w:styleId="Normal1">
    <w:name w:val="Normal+1"/>
    <w:basedOn w:val="Default"/>
    <w:next w:val="Default"/>
    <w:rsid w:val="00BD4D54"/>
    <w:rPr>
      <w:rFonts w:cs="Times New Roman"/>
      <w:color w:val="auto"/>
    </w:rPr>
  </w:style>
  <w:style w:type="paragraph" w:customStyle="1" w:styleId="glossary0">
    <w:name w:val="glossary"/>
    <w:basedOn w:val="Normal"/>
    <w:rsid w:val="00BD4D54"/>
    <w:pPr>
      <w:autoSpaceDE w:val="0"/>
      <w:autoSpaceDN w:val="0"/>
      <w:spacing w:before="100" w:after="100" w:line="240" w:lineRule="auto"/>
    </w:pPr>
    <w:rPr>
      <w:rFonts w:ascii="Book Antiqua" w:eastAsia="Times New Roman" w:hAnsi="Book Antiqua" w:cs="Times New Roman"/>
      <w:szCs w:val="24"/>
      <w:lang w:eastAsia="en-AU"/>
    </w:rPr>
  </w:style>
  <w:style w:type="paragraph" w:customStyle="1" w:styleId="Style1">
    <w:name w:val="Style1"/>
    <w:basedOn w:val="Heading2"/>
    <w:rsid w:val="00BD4D54"/>
    <w:rPr>
      <w:rFonts w:ascii="Arial" w:hAnsi="Arial"/>
    </w:rPr>
  </w:style>
  <w:style w:type="paragraph" w:customStyle="1" w:styleId="StyleTitleHeading22pt">
    <w:name w:val="Style Title Heading + 22 pt"/>
    <w:basedOn w:val="TitleHeading"/>
    <w:rsid w:val="00BD4D54"/>
    <w:rPr>
      <w:bCs/>
      <w:caps/>
    </w:rPr>
  </w:style>
  <w:style w:type="paragraph" w:customStyle="1" w:styleId="StyleglossaryJustified">
    <w:name w:val="Style glossary + Justified"/>
    <w:basedOn w:val="glossary0"/>
    <w:rsid w:val="00BD4D54"/>
    <w:pPr>
      <w:jc w:val="both"/>
    </w:pPr>
    <w:rPr>
      <w:szCs w:val="20"/>
    </w:rPr>
  </w:style>
  <w:style w:type="paragraph" w:customStyle="1" w:styleId="StyletextArialBold">
    <w:name w:val="Style text + Arial Bold"/>
    <w:basedOn w:val="text"/>
    <w:link w:val="StyletextArialBoldChar"/>
    <w:rsid w:val="00BD4D54"/>
    <w:rPr>
      <w:rFonts w:ascii="Arial" w:hAnsi="Arial"/>
      <w:b/>
      <w:bCs/>
    </w:rPr>
  </w:style>
  <w:style w:type="character" w:customStyle="1" w:styleId="textChar">
    <w:name w:val="text Char"/>
    <w:basedOn w:val="DefaultParagraphFont"/>
    <w:link w:val="text"/>
    <w:rsid w:val="00BD4D54"/>
    <w:rPr>
      <w:rFonts w:ascii="Book Antiqua" w:eastAsia="Times New Roman" w:hAnsi="Book Antiqua" w:cs="Times New Roman"/>
      <w:sz w:val="22"/>
      <w:lang w:eastAsia="en-AU"/>
    </w:rPr>
  </w:style>
  <w:style w:type="character" w:customStyle="1" w:styleId="StyletextArialBoldChar">
    <w:name w:val="Style text + Arial Bold Char"/>
    <w:basedOn w:val="textChar"/>
    <w:link w:val="StyletextArialBold"/>
    <w:rsid w:val="00BD4D54"/>
    <w:rPr>
      <w:rFonts w:ascii="Arial" w:eastAsia="Times New Roman" w:hAnsi="Arial" w:cs="Times New Roman"/>
      <w:b/>
      <w:bCs/>
      <w:sz w:val="22"/>
      <w:lang w:eastAsia="en-AU"/>
    </w:rPr>
  </w:style>
  <w:style w:type="character" w:styleId="Strong">
    <w:name w:val="Strong"/>
    <w:basedOn w:val="DefaultParagraphFont"/>
    <w:uiPriority w:val="22"/>
    <w:rsid w:val="00BD4D54"/>
    <w:rPr>
      <w:b/>
      <w:bCs/>
    </w:rPr>
  </w:style>
  <w:style w:type="paragraph" w:customStyle="1" w:styleId="Numbers">
    <w:name w:val="Numbers"/>
    <w:basedOn w:val="OutlineLev1"/>
    <w:rsid w:val="00BD4D54"/>
    <w:pPr>
      <w:keepNext/>
      <w:numPr>
        <w:numId w:val="0"/>
      </w:numPr>
      <w:tabs>
        <w:tab w:val="num" w:pos="426"/>
        <w:tab w:val="right" w:pos="9071"/>
      </w:tabs>
      <w:ind w:left="425" w:hanging="425"/>
    </w:pPr>
    <w:rPr>
      <w:b/>
      <w:szCs w:val="22"/>
    </w:rPr>
  </w:style>
  <w:style w:type="paragraph" w:styleId="Caption">
    <w:name w:val="caption"/>
    <w:basedOn w:val="Normal"/>
    <w:next w:val="Normal"/>
    <w:autoRedefine/>
    <w:uiPriority w:val="99"/>
    <w:qFormat/>
    <w:rsid w:val="00BD4D54"/>
    <w:pPr>
      <w:tabs>
        <w:tab w:val="right" w:pos="9071"/>
      </w:tabs>
      <w:spacing w:before="120" w:after="120" w:line="240" w:lineRule="auto"/>
      <w:ind w:left="142"/>
    </w:pPr>
    <w:rPr>
      <w:rFonts w:ascii="Book Antiqua" w:eastAsia="Times New Roman" w:hAnsi="Book Antiqua" w:cs="Times New Roman"/>
      <w:b/>
      <w:szCs w:val="22"/>
      <w:lang w:eastAsia="en-AU"/>
    </w:rPr>
  </w:style>
  <w:style w:type="paragraph" w:styleId="NormalWeb">
    <w:name w:val="Normal (Web)"/>
    <w:basedOn w:val="Normal"/>
    <w:uiPriority w:val="99"/>
    <w:rsid w:val="00BD4D54"/>
    <w:pPr>
      <w:spacing w:before="100" w:beforeAutospacing="1" w:after="100" w:afterAutospacing="1" w:line="240" w:lineRule="auto"/>
    </w:pPr>
    <w:rPr>
      <w:rFonts w:eastAsia="Times New Roman" w:cs="Times New Roman"/>
      <w:szCs w:val="24"/>
      <w:lang w:eastAsia="en-AU"/>
    </w:rPr>
  </w:style>
  <w:style w:type="character" w:customStyle="1" w:styleId="data">
    <w:name w:val="data"/>
    <w:basedOn w:val="DefaultParagraphFont"/>
    <w:rsid w:val="00BD4D54"/>
  </w:style>
  <w:style w:type="paragraph" w:customStyle="1" w:styleId="Indent2cm">
    <w:name w:val="Indent 2cm"/>
    <w:basedOn w:val="Normal"/>
    <w:rsid w:val="00BD4D54"/>
    <w:pPr>
      <w:spacing w:before="160" w:after="160" w:line="240" w:lineRule="auto"/>
      <w:jc w:val="both"/>
    </w:pPr>
    <w:rPr>
      <w:rFonts w:ascii="Book Antiqua" w:eastAsia="Times New Roman" w:hAnsi="Book Antiqua" w:cs="Times New Roman"/>
      <w:lang w:eastAsia="en-AU"/>
    </w:rPr>
  </w:style>
  <w:style w:type="paragraph" w:customStyle="1" w:styleId="StyleHeading1ChapterHeadingChapterHeading1ChapterHeading2C">
    <w:name w:val="Style Heading 1Chapter HeadingChapter Heading1Chapter Heading2C..."/>
    <w:basedOn w:val="Heading1"/>
    <w:rsid w:val="00BD4D54"/>
    <w:pPr>
      <w:tabs>
        <w:tab w:val="right" w:pos="709"/>
      </w:tabs>
    </w:pPr>
    <w:rPr>
      <w:bCs/>
    </w:rPr>
  </w:style>
  <w:style w:type="paragraph" w:customStyle="1" w:styleId="FigureTableHeading">
    <w:name w:val="FigureTableHeading"/>
    <w:basedOn w:val="text"/>
    <w:rsid w:val="00BD4D54"/>
    <w:pPr>
      <w:ind w:left="993" w:hanging="993"/>
    </w:pPr>
    <w:rPr>
      <w:b/>
      <w:sz w:val="20"/>
    </w:rPr>
  </w:style>
  <w:style w:type="paragraph" w:customStyle="1" w:styleId="Tableheader">
    <w:name w:val="Tableheader"/>
    <w:basedOn w:val="text"/>
    <w:rsid w:val="00BD4D54"/>
    <w:pPr>
      <w:jc w:val="center"/>
    </w:pPr>
    <w:rPr>
      <w:b/>
      <w:sz w:val="20"/>
    </w:rPr>
  </w:style>
  <w:style w:type="paragraph" w:customStyle="1" w:styleId="StyleHeading1ChapterHeadingMainHeadingh1H1AMAJORBOLDPar">
    <w:name w:val="Style Heading 1Chapter HeadingMain Headingh1H1A MAJOR/BOLDPar..."/>
    <w:basedOn w:val="Heading1"/>
    <w:uiPriority w:val="99"/>
    <w:rsid w:val="00BD4D54"/>
    <w:pPr>
      <w:keepLines/>
      <w:tabs>
        <w:tab w:val="clear" w:pos="9072"/>
        <w:tab w:val="num" w:pos="360"/>
      </w:tabs>
      <w:ind w:left="0" w:firstLine="0"/>
    </w:pPr>
    <w:rPr>
      <w:rFonts w:cs="Book Antiqua"/>
      <w:bCs/>
      <w:szCs w:val="32"/>
    </w:rPr>
  </w:style>
  <w:style w:type="character" w:customStyle="1" w:styleId="CommentTextChar1">
    <w:name w:val="Comment Text Char1"/>
    <w:rsid w:val="00BD4D54"/>
    <w:rPr>
      <w:rFonts w:ascii="Book Antiqua" w:hAnsi="Book Antiqua"/>
    </w:rPr>
  </w:style>
  <w:style w:type="paragraph" w:customStyle="1" w:styleId="StyletextLeft0cmHanging1cm">
    <w:name w:val="Style text + Left:  0 cm Hanging:  1 cm"/>
    <w:basedOn w:val="text"/>
    <w:autoRedefine/>
    <w:qFormat/>
    <w:rsid w:val="00BD4D54"/>
    <w:pPr>
      <w:ind w:left="720" w:hanging="720"/>
    </w:pPr>
  </w:style>
  <w:style w:type="paragraph" w:styleId="BodyText">
    <w:name w:val="Body Text"/>
    <w:aliases w:val="(Alt+1),Body,BodyText,body,b,block,Body Text before bullet,D&amp;M Body Text,IRMS (T),Body Text Char Char Char Char,Body Text Char1,Body Text Char Char,Body Text Char Char Char Char Char1 Char,BT"/>
    <w:basedOn w:val="Normal"/>
    <w:link w:val="BodyTextChar"/>
    <w:rsid w:val="00BD4D54"/>
    <w:pPr>
      <w:spacing w:before="120" w:after="120" w:line="240" w:lineRule="auto"/>
      <w:jc w:val="both"/>
    </w:pPr>
    <w:rPr>
      <w:rFonts w:ascii="Book Antiqua" w:eastAsia="Times New Roman" w:hAnsi="Book Antiqua" w:cs="Times New Roman"/>
      <w:lang w:eastAsia="en-AU"/>
    </w:rPr>
  </w:style>
  <w:style w:type="character" w:customStyle="1" w:styleId="BodyTextChar">
    <w:name w:val="Body Text Char"/>
    <w:aliases w:val="(Alt+1) Char,Body Char,BodyText Char,body Char,b Char,block Char,Body Text before bullet Char,D&amp;M Body Text Char,IRMS (T) Char,Body Text Char Char Char Char Char,Body Text Char1 Char,Body Text Char Char Char,BT Char"/>
    <w:basedOn w:val="DefaultParagraphFont"/>
    <w:link w:val="BodyText"/>
    <w:rsid w:val="00BD4D54"/>
    <w:rPr>
      <w:rFonts w:ascii="Book Antiqua" w:eastAsia="Times New Roman" w:hAnsi="Book Antiqua" w:cs="Times New Roman"/>
      <w:sz w:val="22"/>
      <w:lang w:eastAsia="en-AU"/>
    </w:rPr>
  </w:style>
  <w:style w:type="paragraph" w:styleId="Title">
    <w:name w:val="Title"/>
    <w:basedOn w:val="Normal"/>
    <w:link w:val="TitleChar"/>
    <w:uiPriority w:val="10"/>
    <w:rsid w:val="00BD4D54"/>
    <w:pPr>
      <w:spacing w:before="400" w:after="200" w:line="276" w:lineRule="auto"/>
    </w:pPr>
    <w:rPr>
      <w:rFonts w:ascii="Verdana" w:eastAsia="Verdana" w:hAnsi="Verdana" w:cs="Times New Roman"/>
      <w:color w:val="365F91"/>
      <w:sz w:val="56"/>
      <w:szCs w:val="56"/>
      <w:lang w:eastAsia="ja-JP"/>
    </w:rPr>
  </w:style>
  <w:style w:type="character" w:customStyle="1" w:styleId="TitleChar">
    <w:name w:val="Title Char"/>
    <w:basedOn w:val="DefaultParagraphFont"/>
    <w:link w:val="Title"/>
    <w:uiPriority w:val="10"/>
    <w:rsid w:val="00BD4D54"/>
    <w:rPr>
      <w:rFonts w:ascii="Verdana" w:eastAsia="Verdana" w:hAnsi="Verdana" w:cs="Times New Roman"/>
      <w:color w:val="365F91"/>
      <w:sz w:val="56"/>
      <w:szCs w:val="56"/>
      <w:lang w:eastAsia="ja-JP"/>
    </w:rPr>
  </w:style>
  <w:style w:type="paragraph" w:styleId="Subtitle">
    <w:name w:val="Subtitle"/>
    <w:basedOn w:val="Normal"/>
    <w:link w:val="SubtitleChar"/>
    <w:uiPriority w:val="11"/>
    <w:rsid w:val="00BD4D54"/>
    <w:pPr>
      <w:spacing w:after="480" w:line="276" w:lineRule="auto"/>
    </w:pPr>
    <w:rPr>
      <w:rFonts w:ascii="Verdana" w:eastAsia="Verdana" w:hAnsi="Verdana" w:cs="Times New Roman"/>
      <w:i/>
      <w:color w:val="1F497D"/>
      <w:sz w:val="24"/>
      <w:szCs w:val="24"/>
      <w:lang w:eastAsia="ja-JP"/>
    </w:rPr>
  </w:style>
  <w:style w:type="character" w:customStyle="1" w:styleId="SubtitleChar">
    <w:name w:val="Subtitle Char"/>
    <w:basedOn w:val="DefaultParagraphFont"/>
    <w:link w:val="Subtitle"/>
    <w:uiPriority w:val="11"/>
    <w:rsid w:val="00BD4D54"/>
    <w:rPr>
      <w:rFonts w:ascii="Verdana" w:eastAsia="Verdana" w:hAnsi="Verdana" w:cs="Times New Roman"/>
      <w:i/>
      <w:color w:val="1F497D"/>
      <w:sz w:val="24"/>
      <w:szCs w:val="24"/>
      <w:lang w:eastAsia="ja-JP"/>
    </w:rPr>
  </w:style>
  <w:style w:type="character" w:styleId="IntenseEmphasis">
    <w:name w:val="Intense Emphasis"/>
    <w:uiPriority w:val="21"/>
    <w:rsid w:val="00BD4D54"/>
    <w:rPr>
      <w:rFonts w:ascii="Verdana" w:hAnsi="Verdana" w:cs="Verdana"/>
      <w:b/>
      <w:i/>
      <w:caps/>
      <w:color w:val="438086"/>
      <w:spacing w:val="5"/>
    </w:rPr>
  </w:style>
  <w:style w:type="character" w:styleId="SubtleEmphasis">
    <w:name w:val="Subtle Emphasis"/>
    <w:uiPriority w:val="19"/>
    <w:rsid w:val="00BD4D54"/>
    <w:rPr>
      <w:rFonts w:ascii="Verdana" w:hAnsi="Verdana"/>
      <w:i/>
      <w:color w:val="006666"/>
    </w:rPr>
  </w:style>
  <w:style w:type="character" w:styleId="IntenseReference">
    <w:name w:val="Intense Reference"/>
    <w:uiPriority w:val="32"/>
    <w:rsid w:val="00BD4D54"/>
    <w:rPr>
      <w:rFonts w:ascii="Verdana" w:hAnsi="Verdana" w:cs="Times New Roman"/>
      <w:b/>
      <w:i/>
      <w:caps/>
      <w:color w:val="4E4F89"/>
      <w:spacing w:val="5"/>
    </w:rPr>
  </w:style>
  <w:style w:type="character" w:styleId="SubtleReference">
    <w:name w:val="Subtle Reference"/>
    <w:uiPriority w:val="31"/>
    <w:rsid w:val="00BD4D54"/>
    <w:rPr>
      <w:rFonts w:cs="Times New Roman"/>
      <w:i/>
      <w:color w:val="4E4F89"/>
    </w:rPr>
  </w:style>
  <w:style w:type="character" w:styleId="Emphasis">
    <w:name w:val="Emphasis"/>
    <w:rsid w:val="00BD4D54"/>
    <w:rPr>
      <w:rFonts w:ascii="Verdana" w:hAnsi="Verdana"/>
      <w:b/>
      <w:color w:val="C0504D"/>
      <w:spacing w:val="10"/>
    </w:rPr>
  </w:style>
  <w:style w:type="character" w:styleId="BookTitle">
    <w:name w:val="Book Title"/>
    <w:uiPriority w:val="33"/>
    <w:rsid w:val="00BD4D54"/>
    <w:rPr>
      <w:rFonts w:ascii="Cambria" w:hAnsi="Cambria" w:cs="Times New Roman"/>
      <w:i/>
      <w:color w:val="000000"/>
      <w:sz w:val="20"/>
      <w:szCs w:val="20"/>
    </w:rPr>
  </w:style>
  <w:style w:type="paragraph" w:styleId="NormalIndent">
    <w:name w:val="Normal Indent"/>
    <w:basedOn w:val="Normal"/>
    <w:uiPriority w:val="99"/>
    <w:unhideWhenUsed/>
    <w:rsid w:val="00BD4D54"/>
    <w:pPr>
      <w:spacing w:after="200" w:line="276" w:lineRule="auto"/>
      <w:ind w:left="720"/>
      <w:contextualSpacing/>
    </w:pPr>
    <w:rPr>
      <w:rFonts w:ascii="Arial" w:eastAsia="Verdana" w:hAnsi="Arial" w:cs="Verdana"/>
      <w:sz w:val="20"/>
      <w:lang w:eastAsia="ja-JP"/>
    </w:rPr>
  </w:style>
  <w:style w:type="paragraph" w:styleId="IntenseQuote">
    <w:name w:val="Intense Quote"/>
    <w:basedOn w:val="Normal"/>
    <w:link w:val="IntenseQuoteChar"/>
    <w:uiPriority w:val="30"/>
    <w:rsid w:val="00BD4D54"/>
    <w:pPr>
      <w:pBdr>
        <w:top w:val="threeDEngrave" w:sz="6" w:space="10" w:color="C0504D"/>
        <w:bottom w:val="single" w:sz="4" w:space="10" w:color="C0504D"/>
      </w:pBdr>
      <w:spacing w:before="360" w:after="360" w:line="324" w:lineRule="auto"/>
      <w:ind w:left="1080" w:right="1080"/>
    </w:pPr>
    <w:rPr>
      <w:rFonts w:ascii="Arial" w:eastAsia="Verdana" w:hAnsi="Arial" w:cs="Verdana"/>
      <w:i/>
      <w:color w:val="C0504D"/>
      <w:szCs w:val="22"/>
      <w:lang w:eastAsia="ja-JP"/>
    </w:rPr>
  </w:style>
  <w:style w:type="character" w:customStyle="1" w:styleId="IntenseQuoteChar">
    <w:name w:val="Intense Quote Char"/>
    <w:basedOn w:val="DefaultParagraphFont"/>
    <w:link w:val="IntenseQuote"/>
    <w:uiPriority w:val="30"/>
    <w:rsid w:val="00BD4D54"/>
    <w:rPr>
      <w:rFonts w:ascii="Arial" w:eastAsia="Verdana" w:hAnsi="Arial" w:cs="Verdana"/>
      <w:i/>
      <w:color w:val="C0504D"/>
      <w:sz w:val="22"/>
      <w:szCs w:val="22"/>
      <w:lang w:eastAsia="ja-JP"/>
    </w:rPr>
  </w:style>
  <w:style w:type="numbering" w:customStyle="1" w:styleId="UrbanBulletedList">
    <w:name w:val="Urban Bulleted List"/>
    <w:uiPriority w:val="99"/>
    <w:rsid w:val="00BD4D54"/>
    <w:pPr>
      <w:numPr>
        <w:numId w:val="18"/>
      </w:numPr>
    </w:pPr>
  </w:style>
  <w:style w:type="numbering" w:customStyle="1" w:styleId="UrbanNumberedList">
    <w:name w:val="Urban Numbered List"/>
    <w:uiPriority w:val="99"/>
    <w:rsid w:val="00BD4D54"/>
    <w:pPr>
      <w:numPr>
        <w:numId w:val="19"/>
      </w:numPr>
    </w:pPr>
  </w:style>
  <w:style w:type="paragraph" w:styleId="ListParagraph">
    <w:name w:val="List Paragraph"/>
    <w:basedOn w:val="Normal"/>
    <w:uiPriority w:val="34"/>
    <w:rsid w:val="00BD4D54"/>
    <w:pPr>
      <w:spacing w:after="200" w:line="276" w:lineRule="auto"/>
      <w:ind w:left="720"/>
      <w:contextualSpacing/>
    </w:pPr>
    <w:rPr>
      <w:rFonts w:ascii="Arial" w:eastAsia="Verdana" w:hAnsi="Arial" w:cs="Verdana"/>
      <w:sz w:val="20"/>
      <w:lang w:eastAsia="ja-JP"/>
    </w:rPr>
  </w:style>
  <w:style w:type="paragraph" w:styleId="NoSpacing">
    <w:name w:val="No Spacing"/>
    <w:basedOn w:val="Normal"/>
    <w:uiPriority w:val="1"/>
    <w:rsid w:val="00BD4D54"/>
    <w:pPr>
      <w:spacing w:line="240" w:lineRule="auto"/>
    </w:pPr>
    <w:rPr>
      <w:rFonts w:ascii="Arial" w:eastAsia="Verdana" w:hAnsi="Arial" w:cs="Verdana"/>
      <w:sz w:val="20"/>
      <w:szCs w:val="32"/>
      <w:lang w:eastAsia="ja-JP"/>
    </w:rPr>
  </w:style>
  <w:style w:type="character" w:styleId="PlaceholderText">
    <w:name w:val="Placeholder Text"/>
    <w:uiPriority w:val="99"/>
    <w:unhideWhenUsed/>
    <w:rsid w:val="00BD4D54"/>
    <w:rPr>
      <w:color w:val="808080"/>
    </w:rPr>
  </w:style>
  <w:style w:type="paragraph" w:customStyle="1" w:styleId="HeaderEven">
    <w:name w:val="Header Even"/>
    <w:basedOn w:val="Header"/>
    <w:uiPriority w:val="39"/>
    <w:rsid w:val="00BD4D54"/>
    <w:pPr>
      <w:keepNext w:val="0"/>
      <w:keepLines w:val="0"/>
      <w:pBdr>
        <w:bottom w:val="single" w:sz="4" w:space="1" w:color="auto"/>
      </w:pBdr>
      <w:tabs>
        <w:tab w:val="clear" w:pos="4150"/>
        <w:tab w:val="clear" w:pos="8307"/>
        <w:tab w:val="center" w:pos="4320"/>
        <w:tab w:val="right" w:pos="8640"/>
      </w:tabs>
      <w:spacing w:after="200" w:line="276" w:lineRule="auto"/>
    </w:pPr>
    <w:rPr>
      <w:rFonts w:ascii="Verdana" w:eastAsia="Verdana" w:hAnsi="Verdana"/>
      <w:sz w:val="20"/>
      <w:lang w:eastAsia="ja-JP"/>
    </w:rPr>
  </w:style>
  <w:style w:type="paragraph" w:customStyle="1" w:styleId="HeaderOdd">
    <w:name w:val="Header Odd"/>
    <w:basedOn w:val="Header"/>
    <w:uiPriority w:val="39"/>
    <w:rsid w:val="00BD4D54"/>
    <w:pPr>
      <w:keepNext w:val="0"/>
      <w:keepLines w:val="0"/>
      <w:pBdr>
        <w:bottom w:val="single" w:sz="4" w:space="1" w:color="auto"/>
      </w:pBdr>
      <w:tabs>
        <w:tab w:val="clear" w:pos="4150"/>
        <w:tab w:val="clear" w:pos="8307"/>
        <w:tab w:val="center" w:pos="4320"/>
        <w:tab w:val="right" w:pos="8640"/>
      </w:tabs>
      <w:spacing w:after="200" w:line="276" w:lineRule="auto"/>
      <w:jc w:val="right"/>
    </w:pPr>
    <w:rPr>
      <w:rFonts w:ascii="Verdana" w:eastAsia="Verdana" w:hAnsi="Verdana"/>
      <w:sz w:val="20"/>
      <w:lang w:eastAsia="ja-JP"/>
    </w:rPr>
  </w:style>
  <w:style w:type="paragraph" w:customStyle="1" w:styleId="Bullet1">
    <w:name w:val="Bullet 1"/>
    <w:basedOn w:val="ListParagraph"/>
    <w:uiPriority w:val="38"/>
    <w:rsid w:val="00BD4D54"/>
    <w:pPr>
      <w:numPr>
        <w:numId w:val="18"/>
      </w:numPr>
      <w:spacing w:after="0"/>
    </w:pPr>
  </w:style>
  <w:style w:type="paragraph" w:customStyle="1" w:styleId="Bullet20">
    <w:name w:val="Bullet 2"/>
    <w:basedOn w:val="ListParagraph"/>
    <w:uiPriority w:val="38"/>
    <w:rsid w:val="00BD4D54"/>
    <w:pPr>
      <w:numPr>
        <w:ilvl w:val="1"/>
        <w:numId w:val="18"/>
      </w:numPr>
      <w:spacing w:after="0"/>
    </w:pPr>
  </w:style>
  <w:style w:type="paragraph" w:customStyle="1" w:styleId="Bullet30">
    <w:name w:val="Bullet 3"/>
    <w:basedOn w:val="ListParagraph"/>
    <w:uiPriority w:val="38"/>
    <w:rsid w:val="00BD4D54"/>
    <w:pPr>
      <w:numPr>
        <w:ilvl w:val="2"/>
        <w:numId w:val="18"/>
      </w:numPr>
      <w:spacing w:after="0"/>
    </w:pPr>
  </w:style>
  <w:style w:type="paragraph" w:customStyle="1" w:styleId="DefaultPlaceholderSubject10">
    <w:name w:val="DefaultPlaceholder_Subject10"/>
    <w:uiPriority w:val="39"/>
    <w:rsid w:val="00BD4D54"/>
    <w:pPr>
      <w:spacing w:after="200" w:line="276" w:lineRule="auto"/>
    </w:pPr>
    <w:rPr>
      <w:rFonts w:ascii="Verdana" w:eastAsia="Verdana" w:hAnsi="Verdana" w:cs="Verdana"/>
      <w:i/>
      <w:color w:val="1F497D"/>
      <w:sz w:val="24"/>
      <w:szCs w:val="24"/>
      <w:lang w:val="en-US"/>
    </w:rPr>
  </w:style>
  <w:style w:type="paragraph" w:customStyle="1" w:styleId="Category">
    <w:name w:val="Category"/>
    <w:basedOn w:val="Normal"/>
    <w:link w:val="CategoryChar"/>
    <w:uiPriority w:val="39"/>
    <w:rsid w:val="00BD4D54"/>
    <w:pPr>
      <w:framePr w:hSpace="187" w:wrap="around" w:hAnchor="margin" w:xAlign="center" w:y="721"/>
      <w:spacing w:line="240" w:lineRule="auto"/>
    </w:pPr>
    <w:rPr>
      <w:rFonts w:ascii="Verdana" w:eastAsia="Verdana" w:hAnsi="Verdana" w:cs="Times New Roman"/>
      <w:caps/>
      <w:sz w:val="20"/>
      <w:lang w:eastAsia="ja-JP"/>
    </w:rPr>
  </w:style>
  <w:style w:type="paragraph" w:customStyle="1" w:styleId="Comments">
    <w:name w:val="Comments"/>
    <w:basedOn w:val="Normal"/>
    <w:link w:val="CommentsChar"/>
    <w:uiPriority w:val="39"/>
    <w:rsid w:val="00BD4D54"/>
    <w:pPr>
      <w:spacing w:after="120" w:line="240" w:lineRule="auto"/>
    </w:pPr>
    <w:rPr>
      <w:rFonts w:ascii="Verdana" w:eastAsia="Verdana" w:hAnsi="Verdana" w:cs="Times New Roman"/>
      <w:b/>
      <w:sz w:val="20"/>
      <w:lang w:eastAsia="ja-JP"/>
    </w:rPr>
  </w:style>
  <w:style w:type="character" w:customStyle="1" w:styleId="CategoryChar">
    <w:name w:val="Category Char"/>
    <w:link w:val="Category"/>
    <w:uiPriority w:val="39"/>
    <w:rsid w:val="00BD4D54"/>
    <w:rPr>
      <w:rFonts w:ascii="Verdana" w:eastAsia="Verdana" w:hAnsi="Verdana" w:cs="Times New Roman"/>
      <w:caps/>
      <w:lang w:eastAsia="ja-JP"/>
    </w:rPr>
  </w:style>
  <w:style w:type="character" w:customStyle="1" w:styleId="CommentsChar">
    <w:name w:val="Comments Char"/>
    <w:link w:val="Comments"/>
    <w:uiPriority w:val="39"/>
    <w:rsid w:val="00BD4D54"/>
    <w:rPr>
      <w:rFonts w:ascii="Verdana" w:eastAsia="Verdana" w:hAnsi="Verdana" w:cs="Times New Roman"/>
      <w:b/>
      <w:lang w:eastAsia="ja-JP"/>
    </w:rPr>
  </w:style>
  <w:style w:type="paragraph" w:customStyle="1" w:styleId="CommentsText">
    <w:name w:val="Comments Text"/>
    <w:basedOn w:val="Normal"/>
    <w:uiPriority w:val="39"/>
    <w:rsid w:val="00BD4D54"/>
    <w:pPr>
      <w:spacing w:after="120" w:line="288" w:lineRule="auto"/>
    </w:pPr>
    <w:rPr>
      <w:rFonts w:ascii="Arial" w:eastAsia="Verdana" w:hAnsi="Arial" w:cs="Verdana"/>
      <w:sz w:val="20"/>
      <w:szCs w:val="22"/>
      <w:lang w:eastAsia="ja-JP"/>
    </w:rPr>
  </w:style>
  <w:style w:type="table" w:styleId="ColorfulList-Accent1">
    <w:name w:val="Colorful List Accent 1"/>
    <w:basedOn w:val="TableNormal"/>
    <w:uiPriority w:val="41"/>
    <w:rsid w:val="00BD4D54"/>
    <w:rPr>
      <w:rFonts w:ascii="Verdana" w:eastAsia="Verdana" w:hAnsi="Verdana" w:cs="Verdana"/>
      <w:color w:val="000000"/>
      <w:lang w:eastAsia="en-A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ulletedList">
    <w:name w:val="BulletedList"/>
    <w:link w:val="BulletedListChar"/>
    <w:locked/>
    <w:rsid w:val="00BD4D54"/>
    <w:pPr>
      <w:numPr>
        <w:numId w:val="20"/>
      </w:numPr>
      <w:spacing w:after="160"/>
    </w:pPr>
    <w:rPr>
      <w:rFonts w:ascii="Arial" w:eastAsia="Times New Roman" w:hAnsi="Arial" w:cs="Arial"/>
    </w:rPr>
  </w:style>
  <w:style w:type="paragraph" w:customStyle="1" w:styleId="CaptionTable">
    <w:name w:val="Caption Table"/>
    <w:basedOn w:val="Caption"/>
    <w:next w:val="BodyText"/>
    <w:rsid w:val="00BD4D54"/>
    <w:pPr>
      <w:tabs>
        <w:tab w:val="clear" w:pos="9071"/>
      </w:tabs>
      <w:spacing w:after="240"/>
      <w:ind w:left="0"/>
      <w:jc w:val="center"/>
    </w:pPr>
    <w:rPr>
      <w:rFonts w:ascii="Arial" w:hAnsi="Arial" w:cs="Arial"/>
      <w:bCs/>
      <w:color w:val="0C479D"/>
      <w:szCs w:val="20"/>
      <w:lang w:eastAsia="en-US"/>
    </w:rPr>
  </w:style>
  <w:style w:type="paragraph" w:customStyle="1" w:styleId="TableHeadings">
    <w:name w:val="TableHeadings"/>
    <w:basedOn w:val="Normal"/>
    <w:next w:val="BodyText"/>
    <w:rsid w:val="00BD4D54"/>
    <w:pPr>
      <w:spacing w:before="60" w:after="60" w:line="240" w:lineRule="auto"/>
      <w:jc w:val="center"/>
    </w:pPr>
    <w:rPr>
      <w:rFonts w:ascii="Arial Black" w:eastAsia="Times New Roman" w:hAnsi="Arial Black" w:cs="Arial"/>
      <w:b/>
      <w:sz w:val="20"/>
    </w:rPr>
  </w:style>
  <w:style w:type="paragraph" w:customStyle="1" w:styleId="TableRows">
    <w:name w:val="TableRows"/>
    <w:basedOn w:val="Normal"/>
    <w:next w:val="BodyText"/>
    <w:rsid w:val="00BD4D54"/>
    <w:pPr>
      <w:spacing w:before="40" w:after="40" w:line="240" w:lineRule="auto"/>
    </w:pPr>
    <w:rPr>
      <w:rFonts w:ascii="Arial" w:eastAsia="Times New Roman" w:hAnsi="Arial" w:cs="Arial"/>
      <w:sz w:val="18"/>
    </w:rPr>
  </w:style>
  <w:style w:type="paragraph" w:customStyle="1" w:styleId="SubHeading">
    <w:name w:val="Sub Heading"/>
    <w:basedOn w:val="Normal"/>
    <w:next w:val="BodyText"/>
    <w:link w:val="SubHeadingChar"/>
    <w:rsid w:val="00BD4D54"/>
    <w:pPr>
      <w:keepNext/>
      <w:spacing w:before="240" w:after="160" w:line="240" w:lineRule="auto"/>
    </w:pPr>
    <w:rPr>
      <w:rFonts w:ascii="Arial" w:eastAsia="Times New Roman" w:hAnsi="Arial" w:cs="Times New Roman"/>
      <w:b/>
      <w:i/>
      <w:sz w:val="20"/>
      <w:szCs w:val="24"/>
      <w:lang w:eastAsia="ja-JP"/>
    </w:rPr>
  </w:style>
  <w:style w:type="table" w:styleId="ColorfulList-Accent4">
    <w:name w:val="Colorful List Accent 4"/>
    <w:basedOn w:val="TableNormal"/>
    <w:uiPriority w:val="72"/>
    <w:rsid w:val="00BD4D54"/>
    <w:rPr>
      <w:rFonts w:eastAsia="Times New Roman" w:cs="Times New Roman"/>
      <w:color w:val="000000"/>
      <w:lang w:eastAsia="en-A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2">
    <w:name w:val="Colorful List Accent 2"/>
    <w:basedOn w:val="TableNormal"/>
    <w:uiPriority w:val="42"/>
    <w:rsid w:val="00BD4D54"/>
    <w:rPr>
      <w:rFonts w:ascii="Verdana" w:eastAsia="Verdana" w:hAnsi="Verdana" w:cs="Verdana"/>
      <w:color w:val="000000"/>
      <w:lang w:eastAsia="en-A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BulletedListChar">
    <w:name w:val="BulletedList Char"/>
    <w:link w:val="BulletedList"/>
    <w:rsid w:val="00BD4D54"/>
    <w:rPr>
      <w:rFonts w:ascii="Arial" w:eastAsia="Times New Roman" w:hAnsi="Arial" w:cs="Arial"/>
    </w:rPr>
  </w:style>
  <w:style w:type="table" w:styleId="MediumShading2-Accent6">
    <w:name w:val="Medium Shading 2 Accent 6"/>
    <w:basedOn w:val="TableNormal"/>
    <w:uiPriority w:val="46"/>
    <w:rsid w:val="00BD4D54"/>
    <w:rPr>
      <w:rFonts w:ascii="Verdana" w:eastAsia="Verdana" w:hAnsi="Verdana" w:cs="Verdana"/>
      <w:lang w:eastAsia="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ubHeadingChar">
    <w:name w:val="Sub Heading Char"/>
    <w:link w:val="SubHeading"/>
    <w:rsid w:val="00BD4D54"/>
    <w:rPr>
      <w:rFonts w:ascii="Arial" w:eastAsia="Times New Roman" w:hAnsi="Arial" w:cs="Times New Roman"/>
      <w:b/>
      <w:i/>
      <w:szCs w:val="24"/>
      <w:lang w:eastAsia="ja-JP"/>
    </w:rPr>
  </w:style>
  <w:style w:type="paragraph" w:customStyle="1" w:styleId="TableBody">
    <w:name w:val="TableBody"/>
    <w:basedOn w:val="Normal"/>
    <w:rsid w:val="00BD4D54"/>
    <w:pPr>
      <w:tabs>
        <w:tab w:val="left" w:pos="1985"/>
      </w:tabs>
      <w:spacing w:before="60" w:after="60" w:line="240" w:lineRule="atLeast"/>
    </w:pPr>
    <w:rPr>
      <w:rFonts w:ascii="Arial" w:eastAsia="Times" w:hAnsi="Arial" w:cs="Times New Roman"/>
      <w:sz w:val="20"/>
      <w:lang w:eastAsia="ja-JP"/>
    </w:rPr>
  </w:style>
  <w:style w:type="paragraph" w:styleId="Bibliography">
    <w:name w:val="Bibliography"/>
    <w:basedOn w:val="Normal"/>
    <w:next w:val="Normal"/>
    <w:uiPriority w:val="37"/>
    <w:unhideWhenUsed/>
    <w:rsid w:val="00BD4D54"/>
    <w:pPr>
      <w:spacing w:after="240" w:line="240" w:lineRule="auto"/>
      <w:jc w:val="both"/>
    </w:pPr>
    <w:rPr>
      <w:rFonts w:ascii="Arial" w:eastAsia="Times New Roman" w:hAnsi="Arial" w:cs="Times New Roman"/>
    </w:rPr>
  </w:style>
  <w:style w:type="paragraph" w:styleId="EndnoteText">
    <w:name w:val="endnote text"/>
    <w:basedOn w:val="Normal"/>
    <w:link w:val="EndnoteTextChar"/>
    <w:uiPriority w:val="99"/>
    <w:unhideWhenUsed/>
    <w:rsid w:val="00BD4D54"/>
    <w:pPr>
      <w:spacing w:line="240" w:lineRule="auto"/>
    </w:pPr>
    <w:rPr>
      <w:rFonts w:ascii="Arial" w:eastAsia="Verdana" w:hAnsi="Arial" w:cs="Times New Roman"/>
      <w:sz w:val="20"/>
      <w:lang w:eastAsia="ja-JP"/>
    </w:rPr>
  </w:style>
  <w:style w:type="character" w:customStyle="1" w:styleId="EndnoteTextChar">
    <w:name w:val="Endnote Text Char"/>
    <w:basedOn w:val="DefaultParagraphFont"/>
    <w:link w:val="EndnoteText"/>
    <w:uiPriority w:val="99"/>
    <w:rsid w:val="00BD4D54"/>
    <w:rPr>
      <w:rFonts w:ascii="Arial" w:eastAsia="Verdana" w:hAnsi="Arial" w:cs="Times New Roman"/>
      <w:lang w:eastAsia="ja-JP"/>
    </w:rPr>
  </w:style>
  <w:style w:type="character" w:styleId="EndnoteReference">
    <w:name w:val="endnote reference"/>
    <w:uiPriority w:val="99"/>
    <w:unhideWhenUsed/>
    <w:rsid w:val="00BD4D54"/>
    <w:rPr>
      <w:vertAlign w:val="superscript"/>
    </w:rPr>
  </w:style>
  <w:style w:type="paragraph" w:customStyle="1" w:styleId="NumberedList">
    <w:name w:val="NumberedList"/>
    <w:basedOn w:val="BodyText"/>
    <w:rsid w:val="00BD4D54"/>
    <w:pPr>
      <w:numPr>
        <w:numId w:val="21"/>
      </w:numPr>
      <w:spacing w:before="0" w:after="240"/>
      <w:jc w:val="left"/>
    </w:pPr>
    <w:rPr>
      <w:rFonts w:ascii="Arial" w:hAnsi="Arial"/>
      <w:lang w:eastAsia="ja-JP"/>
    </w:rPr>
  </w:style>
  <w:style w:type="paragraph" w:styleId="ListBullet">
    <w:name w:val="List Bullet"/>
    <w:basedOn w:val="Normal"/>
    <w:rsid w:val="00BD4D54"/>
    <w:pPr>
      <w:tabs>
        <w:tab w:val="left" w:pos="284"/>
        <w:tab w:val="left" w:pos="567"/>
        <w:tab w:val="num" w:pos="2835"/>
      </w:tabs>
      <w:spacing w:after="240" w:line="260" w:lineRule="exact"/>
      <w:ind w:left="2836" w:hanging="284"/>
      <w:contextualSpacing/>
      <w:jc w:val="both"/>
    </w:pPr>
    <w:rPr>
      <w:rFonts w:ascii="Arial Narrow" w:eastAsia="Times New Roman" w:hAnsi="Arial Narrow" w:cs="Times New Roman"/>
      <w:sz w:val="20"/>
      <w:lang w:eastAsia="en-AU"/>
    </w:rPr>
  </w:style>
  <w:style w:type="character" w:styleId="FollowedHyperlink">
    <w:name w:val="FollowedHyperlink"/>
    <w:uiPriority w:val="99"/>
    <w:unhideWhenUsed/>
    <w:rsid w:val="00BD4D54"/>
    <w:rPr>
      <w:color w:val="800080"/>
      <w:u w:val="single"/>
    </w:rPr>
  </w:style>
  <w:style w:type="paragraph" w:styleId="HTMLPreformatted">
    <w:name w:val="HTML Preformatted"/>
    <w:basedOn w:val="Normal"/>
    <w:link w:val="HTMLPreformattedChar"/>
    <w:uiPriority w:val="99"/>
    <w:unhideWhenUsed/>
    <w:rsid w:val="00BD4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lang w:eastAsia="en-AU"/>
    </w:rPr>
  </w:style>
  <w:style w:type="character" w:customStyle="1" w:styleId="HTMLPreformattedChar">
    <w:name w:val="HTML Preformatted Char"/>
    <w:basedOn w:val="DefaultParagraphFont"/>
    <w:link w:val="HTMLPreformatted"/>
    <w:uiPriority w:val="99"/>
    <w:rsid w:val="00BD4D54"/>
    <w:rPr>
      <w:rFonts w:ascii="Courier New" w:eastAsia="Times New Roman" w:hAnsi="Courier New" w:cs="Times New Roman"/>
      <w:lang w:eastAsia="en-AU"/>
    </w:rPr>
  </w:style>
  <w:style w:type="paragraph" w:customStyle="1" w:styleId="Bullet">
    <w:name w:val="Bullet"/>
    <w:aliases w:val="b1"/>
    <w:basedOn w:val="Normal"/>
    <w:link w:val="BulletChar1"/>
    <w:rsid w:val="00BD4D54"/>
    <w:pPr>
      <w:numPr>
        <w:numId w:val="22"/>
      </w:numPr>
      <w:spacing w:after="120" w:line="240" w:lineRule="atLeast"/>
    </w:pPr>
    <w:rPr>
      <w:rFonts w:ascii="Arial" w:eastAsia="Times New Roman" w:hAnsi="Arial" w:cs="Times New Roman"/>
      <w:sz w:val="20"/>
      <w:lang w:eastAsia="ja-JP"/>
    </w:rPr>
  </w:style>
  <w:style w:type="paragraph" w:customStyle="1" w:styleId="Bullet2">
    <w:name w:val="Bullet2"/>
    <w:aliases w:val="b2"/>
    <w:basedOn w:val="Bullet"/>
    <w:rsid w:val="00BD4D54"/>
    <w:pPr>
      <w:numPr>
        <w:ilvl w:val="1"/>
      </w:numPr>
      <w:tabs>
        <w:tab w:val="clear" w:pos="1701"/>
        <w:tab w:val="num" w:pos="720"/>
      </w:tabs>
      <w:ind w:left="720" w:hanging="360"/>
    </w:pPr>
  </w:style>
  <w:style w:type="paragraph" w:customStyle="1" w:styleId="Bullet3">
    <w:name w:val="Bullet3"/>
    <w:basedOn w:val="Bullet"/>
    <w:rsid w:val="00BD4D54"/>
    <w:pPr>
      <w:numPr>
        <w:ilvl w:val="2"/>
      </w:numPr>
      <w:tabs>
        <w:tab w:val="clear" w:pos="2268"/>
        <w:tab w:val="num" w:pos="1080"/>
      </w:tabs>
      <w:ind w:left="1080" w:hanging="360"/>
    </w:pPr>
  </w:style>
  <w:style w:type="character" w:customStyle="1" w:styleId="BulletChar1">
    <w:name w:val="Bullet Char1"/>
    <w:link w:val="Bullet"/>
    <w:rsid w:val="00BD4D54"/>
    <w:rPr>
      <w:rFonts w:ascii="Arial" w:eastAsia="Times New Roman" w:hAnsi="Arial" w:cs="Times New Roman"/>
      <w:lang w:eastAsia="ja-JP"/>
    </w:rPr>
  </w:style>
  <w:style w:type="character" w:customStyle="1" w:styleId="italics1">
    <w:name w:val="italics1"/>
    <w:rsid w:val="00BD4D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line number"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3"/>
    <w:lsdException w:name="Strong" w:semiHidden="0" w:uiPriority="22" w:unhideWhenUsed="0" w:qFormat="1"/>
    <w:lsdException w:name="Emphasis" w:semiHidden="0" w:uiPriority="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41"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4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46"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9C4"/>
    <w:pPr>
      <w:spacing w:line="260" w:lineRule="atLeast"/>
    </w:pPr>
    <w:rPr>
      <w:sz w:val="22"/>
    </w:rPr>
  </w:style>
  <w:style w:type="paragraph" w:styleId="Heading1">
    <w:name w:val="heading 1"/>
    <w:aliases w:val="Chapter Heading,Chapter Heading1,Chapter Heading2,Chapter Heading3,Chapter Heading4,Chapter Heading5,Chapter Heading6,Chapter Heading7,Chapter Heading8,Chapter Heading9,Chapter Heading10,Chapter Heading11,Chapter Heading21,Chapter Heading31,h1"/>
    <w:basedOn w:val="text"/>
    <w:next w:val="text"/>
    <w:link w:val="Heading1Char"/>
    <w:autoRedefine/>
    <w:uiPriority w:val="9"/>
    <w:qFormat/>
    <w:rsid w:val="00BD4D54"/>
    <w:pPr>
      <w:keepNext/>
      <w:pageBreakBefore/>
      <w:numPr>
        <w:numId w:val="16"/>
      </w:numPr>
      <w:tabs>
        <w:tab w:val="clear" w:pos="720"/>
        <w:tab w:val="num" w:pos="1209"/>
        <w:tab w:val="right" w:pos="9072"/>
      </w:tabs>
      <w:spacing w:before="0"/>
      <w:ind w:left="709" w:hanging="709"/>
      <w:outlineLvl w:val="0"/>
    </w:pPr>
    <w:rPr>
      <w:b/>
      <w:kern w:val="28"/>
      <w:sz w:val="32"/>
    </w:rPr>
  </w:style>
  <w:style w:type="paragraph" w:styleId="Heading2">
    <w:name w:val="heading 2"/>
    <w:aliases w:val="Major Heading,Major Heading1,Major Heading2,Major Heading3,Major Heading4,Major Heading5,Major Heading6,Major Heading11,Major Heading21,Major Heading31,Major Heading7,Major Heading12,Major Heading22,Major Heading32,Major Heading8,h2,H2,2,Para2"/>
    <w:basedOn w:val="Heading1"/>
    <w:next w:val="Normal"/>
    <w:link w:val="Heading2Char"/>
    <w:autoRedefine/>
    <w:uiPriority w:val="9"/>
    <w:qFormat/>
    <w:rsid w:val="00BD4D54"/>
    <w:pPr>
      <w:keepLines/>
      <w:pageBreakBefore w:val="0"/>
      <w:numPr>
        <w:ilvl w:val="1"/>
      </w:numPr>
      <w:tabs>
        <w:tab w:val="clear" w:pos="576"/>
        <w:tab w:val="right" w:pos="709"/>
        <w:tab w:val="num" w:pos="1209"/>
        <w:tab w:val="left" w:pos="9180"/>
      </w:tabs>
      <w:autoSpaceDE w:val="0"/>
      <w:autoSpaceDN w:val="0"/>
      <w:adjustRightInd w:val="0"/>
      <w:spacing w:before="240" w:after="0"/>
      <w:ind w:left="709" w:hanging="709"/>
      <w:outlineLvl w:val="1"/>
    </w:pPr>
    <w:rPr>
      <w:sz w:val="24"/>
      <w:lang w:eastAsia="en-US"/>
    </w:rPr>
  </w:style>
  <w:style w:type="paragraph" w:styleId="Heading3">
    <w:name w:val="heading 3"/>
    <w:aliases w:val="Sub-heading,Sub-heading1,Sub-heading2,Sub-heading3,Sub-heading4,Sub-heading5,Sub-heading6,Sub-heading11,Sub-heading21,Sub-heading31,Sub-heading7,Sub-heading12,Sub-heading22,Sub-heading32,Sub-heading8,Sub-heading13,Sub-heading23,Sub-heading33"/>
    <w:basedOn w:val="Heading2"/>
    <w:next w:val="Normal"/>
    <w:link w:val="Heading3Char"/>
    <w:uiPriority w:val="9"/>
    <w:qFormat/>
    <w:rsid w:val="00BD4D54"/>
    <w:pPr>
      <w:numPr>
        <w:ilvl w:val="2"/>
      </w:numPr>
      <w:outlineLvl w:val="2"/>
    </w:pPr>
    <w:rPr>
      <w:sz w:val="22"/>
    </w:rPr>
  </w:style>
  <w:style w:type="paragraph" w:styleId="Heading4">
    <w:name w:val="heading 4"/>
    <w:aliases w:val="Minor Heading,Minor Heading1,Minor Heading2,Minor Heading3,Minor Heading4,Minor Heading5,Minor Heading6,Minor Heading7,Minor Heading8,Minor Heading11,Minor Heading21,Minor Heading31,Minor Heading41,Minor Heading51,Minor Heading9,D&amp;M,h4,h41,h42"/>
    <w:basedOn w:val="Normal"/>
    <w:next w:val="Normal"/>
    <w:link w:val="Heading4Char"/>
    <w:uiPriority w:val="9"/>
    <w:qFormat/>
    <w:rsid w:val="00BD4D54"/>
    <w:pPr>
      <w:keepNext/>
      <w:numPr>
        <w:ilvl w:val="3"/>
        <w:numId w:val="16"/>
      </w:numPr>
      <w:tabs>
        <w:tab w:val="left" w:pos="1134"/>
      </w:tabs>
      <w:spacing w:before="240" w:after="120" w:line="240" w:lineRule="auto"/>
      <w:jc w:val="both"/>
      <w:outlineLvl w:val="3"/>
    </w:pPr>
    <w:rPr>
      <w:rFonts w:ascii="Book Antiqua" w:eastAsia="Times New Roman" w:hAnsi="Book Antiqua" w:cs="Times New Roman"/>
      <w:i/>
      <w:lang w:eastAsia="en-AU"/>
    </w:rPr>
  </w:style>
  <w:style w:type="paragraph" w:styleId="Heading5">
    <w:name w:val="heading 5"/>
    <w:aliases w:val="Further Points,Further Points1,Further Points2,Further Points3,Further Points11,Further Points4,Further Points5,Further Points12,Further Points21,Further Points111,Further Points6,Further Points13,Further Points22,Further Points112,h5,Para5"/>
    <w:basedOn w:val="Normal"/>
    <w:next w:val="Normal"/>
    <w:link w:val="Heading5Char"/>
    <w:uiPriority w:val="9"/>
    <w:rsid w:val="00BD4D54"/>
    <w:pPr>
      <w:keepNext/>
      <w:numPr>
        <w:ilvl w:val="4"/>
        <w:numId w:val="16"/>
      </w:numPr>
      <w:spacing w:before="120" w:after="120" w:line="240" w:lineRule="auto"/>
      <w:ind w:right="-2"/>
      <w:outlineLvl w:val="4"/>
    </w:pPr>
    <w:rPr>
      <w:rFonts w:ascii="Book Antiqua" w:eastAsia="Times New Roman" w:hAnsi="Book Antiqua" w:cs="Times New Roman"/>
      <w:b/>
      <w:sz w:val="20"/>
      <w:lang w:eastAsia="en-AU"/>
    </w:rPr>
  </w:style>
  <w:style w:type="paragraph" w:styleId="Heading6">
    <w:name w:val="heading 6"/>
    <w:aliases w:val="Points in Text,Points in Text1,Points in Text2,Points in Text3,Points in Text4,Points in Text5,Points in Text11,Points in Text21,Points in Text6,Points in Text12,Points in Text22,Points in Text7,Points in Text13,Points in Text23,not Kinhill,H"/>
    <w:basedOn w:val="Normal"/>
    <w:next w:val="Normal"/>
    <w:link w:val="Heading6Char"/>
    <w:uiPriority w:val="9"/>
    <w:rsid w:val="00BD4D54"/>
    <w:pPr>
      <w:numPr>
        <w:ilvl w:val="5"/>
        <w:numId w:val="16"/>
      </w:numPr>
      <w:spacing w:before="240" w:after="60" w:line="240" w:lineRule="auto"/>
      <w:jc w:val="both"/>
      <w:outlineLvl w:val="5"/>
    </w:pPr>
    <w:rPr>
      <w:rFonts w:eastAsia="Times New Roman" w:cs="Times New Roman"/>
      <w:i/>
      <w:lang w:eastAsia="en-AU"/>
    </w:rPr>
  </w:style>
  <w:style w:type="paragraph" w:styleId="Heading7">
    <w:name w:val="heading 7"/>
    <w:aliases w:val="DO NOT USE 7,DO NOT USE 71,H7,H71,H72,H711,DO NOT USE 72,DO NOT USE 711,H73,H712,DO NOT USE 73,DO NOT USE 712,H74,H713,DO NOT USE 74,DO NOT USE 713,H75,H714,DO NOT USE 75,DO NOT USE 714,H76,H715,DO NOT USE 76,DO NOT USE 715,H77,H716,H78,H717"/>
    <w:basedOn w:val="Normal"/>
    <w:next w:val="Normal"/>
    <w:link w:val="Heading7Char"/>
    <w:uiPriority w:val="9"/>
    <w:rsid w:val="00BD4D54"/>
    <w:pPr>
      <w:numPr>
        <w:ilvl w:val="6"/>
        <w:numId w:val="16"/>
      </w:numPr>
      <w:spacing w:before="240" w:after="60" w:line="240" w:lineRule="auto"/>
      <w:jc w:val="both"/>
      <w:outlineLvl w:val="6"/>
    </w:pPr>
    <w:rPr>
      <w:rFonts w:ascii="Arial" w:eastAsia="Times New Roman" w:hAnsi="Arial" w:cs="Times New Roman"/>
      <w:sz w:val="20"/>
      <w:lang w:eastAsia="en-AU"/>
    </w:rPr>
  </w:style>
  <w:style w:type="paragraph" w:styleId="Heading8">
    <w:name w:val="heading 8"/>
    <w:aliases w:val="Appendix Level 2,not Kinhill1,Appendix Level 21,Appendix Level 22,Appendix Level 23,Appendix Level 24,Appendix Level 25,Appendix Level 26,Appendix Level 27,DO NOT USE 8,Appendix Level 28,Appendix Level 211,Appendix Level 221"/>
    <w:basedOn w:val="Normal"/>
    <w:next w:val="Normal"/>
    <w:link w:val="Heading8Char"/>
    <w:uiPriority w:val="9"/>
    <w:rsid w:val="00BD4D54"/>
    <w:pPr>
      <w:numPr>
        <w:ilvl w:val="7"/>
        <w:numId w:val="16"/>
      </w:numPr>
      <w:spacing w:before="240" w:after="60" w:line="240" w:lineRule="auto"/>
      <w:jc w:val="both"/>
      <w:outlineLvl w:val="7"/>
    </w:pPr>
    <w:rPr>
      <w:rFonts w:ascii="Arial" w:eastAsia="Times New Roman" w:hAnsi="Arial" w:cs="Times New Roman"/>
      <w:i/>
      <w:sz w:val="20"/>
      <w:lang w:eastAsia="en-AU"/>
    </w:rPr>
  </w:style>
  <w:style w:type="paragraph" w:styleId="Heading9">
    <w:name w:val="heading 9"/>
    <w:aliases w:val="Appendix Level 3,Appendix Level 31,Appendix Level 32,Appendix Level 33,Appendix Level 34,Appendix Level 35,Appendix Level 36,Appendix Level 37,DO NOT USE 9,Appendix Level 38,Appendix Level 311,Appendix Level 321,Appendix Level 331,H9,H91,H92"/>
    <w:basedOn w:val="Normal"/>
    <w:next w:val="Normal"/>
    <w:link w:val="Heading9Char"/>
    <w:uiPriority w:val="9"/>
    <w:rsid w:val="00BD4D54"/>
    <w:pPr>
      <w:numPr>
        <w:ilvl w:val="8"/>
        <w:numId w:val="16"/>
      </w:numPr>
      <w:spacing w:before="240" w:after="60" w:line="240" w:lineRule="auto"/>
      <w:jc w:val="both"/>
      <w:outlineLvl w:val="8"/>
    </w:pPr>
    <w:rPr>
      <w:rFonts w:ascii="Arial" w:eastAsia="Times New Roman" w:hAnsi="Arial" w:cs="Times New Roman"/>
      <w:b/>
      <w:i/>
      <w:sz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uiPriority w:val="1"/>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iPriority w:val="99"/>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A24CB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1B0F61"/>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D1344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754D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754D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754D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B0F6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116C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F0BB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F0BB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F0BB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uiPriority w:val="99"/>
    <w:rsid w:val="00664C6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uiPriority w:val="99"/>
    <w:rsid w:val="00664C63"/>
    <w:rPr>
      <w:rFonts w:eastAsia="Times New Roman" w:cs="Times New Roman"/>
      <w:sz w:val="22"/>
      <w:szCs w:val="24"/>
      <w:lang w:eastAsia="en-AU"/>
    </w:rPr>
  </w:style>
  <w:style w:type="character" w:styleId="LineNumber">
    <w:name w:val="line number"/>
    <w:basedOn w:val="OPCCharBase"/>
    <w:unhideWhenUsed/>
    <w:rsid w:val="001B0F61"/>
    <w:rPr>
      <w:sz w:val="16"/>
    </w:rPr>
  </w:style>
  <w:style w:type="table" w:customStyle="1" w:styleId="CFlag">
    <w:name w:val="CFlag"/>
    <w:basedOn w:val="TableNormal"/>
    <w:uiPriority w:val="99"/>
    <w:rsid w:val="0018435F"/>
    <w:rPr>
      <w:rFonts w:eastAsia="Times New Roman" w:cs="Times New Roman"/>
      <w:lang w:eastAsia="en-AU"/>
    </w:rPr>
    <w:tblPr>
      <w:tblInd w:w="0" w:type="dxa"/>
      <w:tblCellMar>
        <w:top w:w="0" w:type="dxa"/>
        <w:left w:w="108" w:type="dxa"/>
        <w:bottom w:w="0" w:type="dxa"/>
        <w:right w:w="108" w:type="dxa"/>
      </w:tblCellMar>
    </w:tblPr>
  </w:style>
  <w:style w:type="table" w:styleId="TableGrid">
    <w:name w:val="Table Grid"/>
    <w:basedOn w:val="TableNormal"/>
    <w:uiPriority w:val="1"/>
    <w:rsid w:val="00A61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PartCASA">
    <w:name w:val="SubPart(CASA)"/>
    <w:aliases w:val="csp"/>
    <w:basedOn w:val="OPCParaBase"/>
    <w:next w:val="ActHead3"/>
    <w:rsid w:val="007E335B"/>
    <w:pPr>
      <w:keepNext/>
      <w:keepLines/>
      <w:spacing w:before="280"/>
      <w:outlineLvl w:val="1"/>
    </w:pPr>
    <w:rPr>
      <w:b/>
      <w:kern w:val="28"/>
      <w:sz w:val="32"/>
    </w:rPr>
  </w:style>
  <w:style w:type="paragraph" w:customStyle="1" w:styleId="ENotesHeading1">
    <w:name w:val="ENotesHeading 1"/>
    <w:aliases w:val="Enh1"/>
    <w:basedOn w:val="OPCParaBase"/>
    <w:next w:val="Normal"/>
    <w:rsid w:val="00DF09AC"/>
    <w:pPr>
      <w:spacing w:before="120"/>
      <w:outlineLvl w:val="0"/>
    </w:pPr>
    <w:rPr>
      <w:b/>
      <w:sz w:val="28"/>
      <w:szCs w:val="28"/>
    </w:rPr>
  </w:style>
  <w:style w:type="paragraph" w:customStyle="1" w:styleId="ENotesHeading2">
    <w:name w:val="ENotesHeading 2"/>
    <w:aliases w:val="Enh2"/>
    <w:basedOn w:val="OPCParaBase"/>
    <w:next w:val="Normal"/>
    <w:rsid w:val="00DF09AC"/>
    <w:pPr>
      <w:spacing w:before="120" w:after="120"/>
      <w:outlineLvl w:val="6"/>
    </w:pPr>
    <w:rPr>
      <w:b/>
      <w:sz w:val="24"/>
      <w:szCs w:val="28"/>
    </w:rPr>
  </w:style>
  <w:style w:type="paragraph" w:customStyle="1" w:styleId="ENotesHeading3">
    <w:name w:val="ENotesHeading 3"/>
    <w:aliases w:val="Enh3"/>
    <w:basedOn w:val="OPCParaBase"/>
    <w:next w:val="Normal"/>
    <w:rsid w:val="00DF09AC"/>
    <w:pPr>
      <w:spacing w:before="120" w:line="240" w:lineRule="auto"/>
      <w:outlineLvl w:val="7"/>
    </w:pPr>
    <w:rPr>
      <w:b/>
      <w:szCs w:val="24"/>
    </w:rPr>
  </w:style>
  <w:style w:type="paragraph" w:customStyle="1" w:styleId="ENotesText">
    <w:name w:val="ENotesText"/>
    <w:aliases w:val="Ent"/>
    <w:basedOn w:val="OPCParaBase"/>
    <w:next w:val="Normal"/>
    <w:rsid w:val="00DF09AC"/>
    <w:pPr>
      <w:spacing w:before="120"/>
    </w:pPr>
  </w:style>
  <w:style w:type="paragraph" w:customStyle="1" w:styleId="CompiledActNo">
    <w:name w:val="CompiledActNo"/>
    <w:basedOn w:val="OPCParaBase"/>
    <w:next w:val="Normal"/>
    <w:rsid w:val="00C255AB"/>
    <w:rPr>
      <w:b/>
      <w:sz w:val="24"/>
      <w:szCs w:val="24"/>
    </w:rPr>
  </w:style>
  <w:style w:type="paragraph" w:customStyle="1" w:styleId="CompiledMadeUnder">
    <w:name w:val="CompiledMadeUnder"/>
    <w:basedOn w:val="OPCParaBase"/>
    <w:next w:val="Normal"/>
    <w:rsid w:val="00C255AB"/>
    <w:rPr>
      <w:i/>
      <w:sz w:val="24"/>
      <w:szCs w:val="24"/>
    </w:rPr>
  </w:style>
  <w:style w:type="paragraph" w:customStyle="1" w:styleId="Paragraphsub-sub-sub">
    <w:name w:val="Paragraph(sub-sub-sub)"/>
    <w:aliases w:val="aaaa"/>
    <w:basedOn w:val="OPCParaBase"/>
    <w:rsid w:val="00BD6B2E"/>
    <w:pPr>
      <w:tabs>
        <w:tab w:val="right" w:pos="3402"/>
      </w:tabs>
      <w:spacing w:before="40" w:line="240" w:lineRule="auto"/>
      <w:ind w:left="3402" w:hanging="3402"/>
    </w:pPr>
  </w:style>
  <w:style w:type="paragraph" w:customStyle="1" w:styleId="EndNotespara">
    <w:name w:val="EndNotes(para)"/>
    <w:aliases w:val="eta"/>
    <w:basedOn w:val="OPCParaBase"/>
    <w:next w:val="Normal"/>
    <w:rsid w:val="00DF09A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F09A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DF09A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F09A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F09AC"/>
    <w:pPr>
      <w:spacing w:before="60" w:line="240" w:lineRule="auto"/>
    </w:pPr>
    <w:rPr>
      <w:rFonts w:cs="Arial"/>
      <w:sz w:val="20"/>
      <w:szCs w:val="22"/>
    </w:rPr>
  </w:style>
  <w:style w:type="paragraph" w:customStyle="1" w:styleId="TableHeading">
    <w:name w:val="TableHeading"/>
    <w:aliases w:val="th"/>
    <w:basedOn w:val="OPCParaBase"/>
    <w:next w:val="Tabletext"/>
    <w:rsid w:val="00F1779C"/>
    <w:pPr>
      <w:spacing w:before="60" w:line="240" w:lineRule="atLeast"/>
    </w:pPr>
    <w:rPr>
      <w:b/>
      <w:sz w:val="20"/>
    </w:rPr>
  </w:style>
  <w:style w:type="paragraph" w:customStyle="1" w:styleId="NoteToSubpara">
    <w:name w:val="NoteToSubpara"/>
    <w:aliases w:val="nts"/>
    <w:basedOn w:val="OPCParaBase"/>
    <w:rsid w:val="00E9136A"/>
    <w:pPr>
      <w:spacing w:before="40" w:line="198" w:lineRule="exact"/>
      <w:ind w:left="2835" w:hanging="709"/>
    </w:pPr>
    <w:rPr>
      <w:sz w:val="18"/>
    </w:rPr>
  </w:style>
  <w:style w:type="character" w:customStyle="1" w:styleId="Heading1Char">
    <w:name w:val="Heading 1 Char"/>
    <w:aliases w:val="Chapter Heading Char,Chapter Heading1 Char,Chapter Heading2 Char,Chapter Heading3 Char,Chapter Heading4 Char,Chapter Heading5 Char,Chapter Heading6 Char,Chapter Heading7 Char,Chapter Heading8 Char,Chapter Heading9 Char,h1 Char"/>
    <w:basedOn w:val="DefaultParagraphFont"/>
    <w:link w:val="Heading1"/>
    <w:uiPriority w:val="9"/>
    <w:rsid w:val="00BD4D54"/>
    <w:rPr>
      <w:rFonts w:ascii="Book Antiqua" w:eastAsia="Times New Roman" w:hAnsi="Book Antiqua" w:cs="Times New Roman"/>
      <w:b/>
      <w:kern w:val="28"/>
      <w:sz w:val="32"/>
      <w:lang w:eastAsia="en-AU"/>
    </w:rPr>
  </w:style>
  <w:style w:type="character" w:customStyle="1" w:styleId="Heading2Char">
    <w:name w:val="Heading 2 Char"/>
    <w:aliases w:val="Major Heading Char,Major Heading1 Char,Major Heading2 Char,Major Heading3 Char,Major Heading4 Char,Major Heading5 Char,Major Heading6 Char,Major Heading11 Char,Major Heading21 Char,Major Heading31 Char,Major Heading7 Char,h2 Char,H2 Char"/>
    <w:basedOn w:val="DefaultParagraphFont"/>
    <w:link w:val="Heading2"/>
    <w:uiPriority w:val="9"/>
    <w:rsid w:val="00BD4D54"/>
    <w:rPr>
      <w:rFonts w:ascii="Book Antiqua" w:eastAsia="Times New Roman" w:hAnsi="Book Antiqua" w:cs="Times New Roman"/>
      <w:b/>
      <w:kern w:val="28"/>
      <w:sz w:val="24"/>
    </w:rPr>
  </w:style>
  <w:style w:type="character" w:customStyle="1" w:styleId="Heading3Char">
    <w:name w:val="Heading 3 Char"/>
    <w:aliases w:val="Sub-heading Char,Sub-heading1 Char,Sub-heading2 Char,Sub-heading3 Char,Sub-heading4 Char,Sub-heading5 Char,Sub-heading6 Char,Sub-heading11 Char,Sub-heading21 Char,Sub-heading31 Char,Sub-heading7 Char,Sub-heading12 Char,Sub-heading22 Char"/>
    <w:basedOn w:val="DefaultParagraphFont"/>
    <w:link w:val="Heading3"/>
    <w:uiPriority w:val="9"/>
    <w:rsid w:val="00BD4D54"/>
    <w:rPr>
      <w:rFonts w:ascii="Book Antiqua" w:eastAsia="Times New Roman" w:hAnsi="Book Antiqua" w:cs="Times New Roman"/>
      <w:b/>
      <w:kern w:val="28"/>
      <w:sz w:val="22"/>
    </w:rPr>
  </w:style>
  <w:style w:type="character" w:customStyle="1" w:styleId="Heading4Char">
    <w:name w:val="Heading 4 Char"/>
    <w:aliases w:val="Minor Heading Char,Minor Heading1 Char,Minor Heading2 Char,Minor Heading3 Char,Minor Heading4 Char,Minor Heading5 Char,Minor Heading6 Char,Minor Heading7 Char,Minor Heading8 Char,Minor Heading11 Char,Minor Heading21 Char,D&amp;M Char,h4 Char"/>
    <w:basedOn w:val="DefaultParagraphFont"/>
    <w:link w:val="Heading4"/>
    <w:uiPriority w:val="9"/>
    <w:rsid w:val="00BD4D54"/>
    <w:rPr>
      <w:rFonts w:ascii="Book Antiqua" w:eastAsia="Times New Roman" w:hAnsi="Book Antiqua" w:cs="Times New Roman"/>
      <w:i/>
      <w:sz w:val="22"/>
      <w:lang w:eastAsia="en-AU"/>
    </w:rPr>
  </w:style>
  <w:style w:type="character" w:customStyle="1" w:styleId="Heading5Char">
    <w:name w:val="Heading 5 Char"/>
    <w:aliases w:val="Further Points Char,Further Points1 Char,Further Points2 Char,Further Points3 Char,Further Points11 Char,Further Points4 Char,Further Points5 Char,Further Points12 Char,Further Points21 Char,Further Points111 Char,Further Points6 Char"/>
    <w:basedOn w:val="DefaultParagraphFont"/>
    <w:link w:val="Heading5"/>
    <w:uiPriority w:val="9"/>
    <w:rsid w:val="00BD4D54"/>
    <w:rPr>
      <w:rFonts w:ascii="Book Antiqua" w:eastAsia="Times New Roman" w:hAnsi="Book Antiqua" w:cs="Times New Roman"/>
      <w:b/>
      <w:lang w:eastAsia="en-AU"/>
    </w:rPr>
  </w:style>
  <w:style w:type="character" w:customStyle="1" w:styleId="Heading6Char">
    <w:name w:val="Heading 6 Char"/>
    <w:aliases w:val="Points in Text Char,Points in Text1 Char,Points in Text2 Char,Points in Text3 Char,Points in Text4 Char,Points in Text5 Char,Points in Text11 Char,Points in Text21 Char,Points in Text6 Char,Points in Text12 Char,Points in Text22 Char"/>
    <w:basedOn w:val="DefaultParagraphFont"/>
    <w:link w:val="Heading6"/>
    <w:uiPriority w:val="9"/>
    <w:rsid w:val="00BD4D54"/>
    <w:rPr>
      <w:rFonts w:eastAsia="Times New Roman" w:cs="Times New Roman"/>
      <w:i/>
      <w:sz w:val="22"/>
      <w:lang w:eastAsia="en-AU"/>
    </w:rPr>
  </w:style>
  <w:style w:type="character" w:customStyle="1" w:styleId="Heading7Char">
    <w:name w:val="Heading 7 Char"/>
    <w:aliases w:val="DO NOT USE 7 Char,DO NOT USE 71 Char,H7 Char,H71 Char,H72 Char,H711 Char,DO NOT USE 72 Char,DO NOT USE 711 Char,H73 Char,H712 Char,DO NOT USE 73 Char,DO NOT USE 712 Char,H74 Char,H713 Char,DO NOT USE 74 Char,DO NOT USE 713 Char,H75 Char"/>
    <w:basedOn w:val="DefaultParagraphFont"/>
    <w:link w:val="Heading7"/>
    <w:uiPriority w:val="9"/>
    <w:rsid w:val="00BD4D54"/>
    <w:rPr>
      <w:rFonts w:ascii="Arial" w:eastAsia="Times New Roman" w:hAnsi="Arial" w:cs="Times New Roman"/>
      <w:lang w:eastAsia="en-AU"/>
    </w:rPr>
  </w:style>
  <w:style w:type="character" w:customStyle="1" w:styleId="Heading8Char">
    <w:name w:val="Heading 8 Char"/>
    <w:aliases w:val="Appendix Level 2 Char,not Kinhill1 Char,Appendix Level 21 Char,Appendix Level 22 Char,Appendix Level 23 Char,Appendix Level 24 Char,Appendix Level 25 Char,Appendix Level 26 Char,Appendix Level 27 Char,DO NOT USE 8 Char"/>
    <w:basedOn w:val="DefaultParagraphFont"/>
    <w:link w:val="Heading8"/>
    <w:uiPriority w:val="9"/>
    <w:rsid w:val="00BD4D54"/>
    <w:rPr>
      <w:rFonts w:ascii="Arial" w:eastAsia="Times New Roman" w:hAnsi="Arial" w:cs="Times New Roman"/>
      <w:i/>
      <w:lang w:eastAsia="en-AU"/>
    </w:rPr>
  </w:style>
  <w:style w:type="character" w:customStyle="1" w:styleId="Heading9Char">
    <w:name w:val="Heading 9 Char"/>
    <w:aliases w:val="Appendix Level 3 Char,Appendix Level 31 Char,Appendix Level 32 Char,Appendix Level 33 Char,Appendix Level 34 Char,Appendix Level 35 Char,Appendix Level 36 Char,Appendix Level 37 Char,DO NOT USE 9 Char,Appendix Level 38 Char,H9 Char"/>
    <w:basedOn w:val="DefaultParagraphFont"/>
    <w:link w:val="Heading9"/>
    <w:uiPriority w:val="9"/>
    <w:rsid w:val="00BD4D54"/>
    <w:rPr>
      <w:rFonts w:ascii="Arial" w:eastAsia="Times New Roman" w:hAnsi="Arial" w:cs="Times New Roman"/>
      <w:b/>
      <w:i/>
      <w:sz w:val="18"/>
      <w:lang w:eastAsia="en-AU"/>
    </w:rPr>
  </w:style>
  <w:style w:type="paragraph" w:customStyle="1" w:styleId="DotpointCONSITES">
    <w:name w:val="Dotpoint CON SITES"/>
    <w:basedOn w:val="Normal"/>
    <w:next w:val="Normal"/>
    <w:autoRedefine/>
    <w:rsid w:val="00BD4D54"/>
    <w:pPr>
      <w:spacing w:before="120" w:after="120" w:line="240" w:lineRule="auto"/>
      <w:jc w:val="both"/>
    </w:pPr>
    <w:rPr>
      <w:rFonts w:ascii="Book Antiqua" w:eastAsia="Times New Roman" w:hAnsi="Book Antiqua" w:cs="Times New Roman"/>
      <w:b/>
      <w:lang w:eastAsia="en-AU"/>
    </w:rPr>
  </w:style>
  <w:style w:type="paragraph" w:customStyle="1" w:styleId="TableheadCONSITES">
    <w:name w:val="Tablehead CON SITES"/>
    <w:basedOn w:val="Normal"/>
    <w:next w:val="Normal"/>
    <w:rsid w:val="00BD4D54"/>
    <w:pPr>
      <w:spacing w:before="120" w:after="120" w:line="240" w:lineRule="auto"/>
      <w:jc w:val="center"/>
    </w:pPr>
    <w:rPr>
      <w:rFonts w:ascii="Book Antiqua" w:eastAsia="Times New Roman" w:hAnsi="Book Antiqua" w:cs="Times New Roman"/>
      <w:b/>
      <w:lang w:eastAsia="en-AU"/>
    </w:rPr>
  </w:style>
  <w:style w:type="character" w:styleId="PageNumber">
    <w:name w:val="page number"/>
    <w:basedOn w:val="DefaultParagraphFont"/>
    <w:rsid w:val="00BD4D54"/>
  </w:style>
  <w:style w:type="paragraph" w:styleId="BlockText">
    <w:name w:val="Block Text"/>
    <w:basedOn w:val="Normal"/>
    <w:uiPriority w:val="3"/>
    <w:rsid w:val="00BD4D54"/>
    <w:pPr>
      <w:pBdr>
        <w:top w:val="thinThickSmallGap" w:sz="24" w:space="12" w:color="auto"/>
        <w:left w:val="thinThickSmallGap" w:sz="24" w:space="12" w:color="auto"/>
        <w:bottom w:val="thickThinSmallGap" w:sz="24" w:space="12" w:color="auto"/>
        <w:right w:val="thickThinSmallGap" w:sz="24" w:space="12" w:color="auto"/>
      </w:pBdr>
      <w:spacing w:before="120" w:after="120" w:line="480" w:lineRule="auto"/>
      <w:ind w:left="567" w:right="567"/>
      <w:jc w:val="both"/>
    </w:pPr>
    <w:rPr>
      <w:rFonts w:ascii="Book Antiqua" w:eastAsia="Times New Roman" w:hAnsi="Book Antiqua" w:cs="Times New Roman"/>
      <w:lang w:eastAsia="en-AU"/>
    </w:rPr>
  </w:style>
  <w:style w:type="paragraph" w:customStyle="1" w:styleId="Glossary">
    <w:name w:val="Glossary"/>
    <w:basedOn w:val="Normal"/>
    <w:rsid w:val="00BD4D54"/>
    <w:pPr>
      <w:keepLines/>
      <w:spacing w:before="120" w:after="120" w:line="240" w:lineRule="auto"/>
      <w:jc w:val="both"/>
    </w:pPr>
    <w:rPr>
      <w:rFonts w:ascii="Book Antiqua" w:eastAsia="Times New Roman" w:hAnsi="Book Antiqua" w:cs="Times New Roman"/>
      <w:lang w:eastAsia="en-AU"/>
    </w:rPr>
  </w:style>
  <w:style w:type="paragraph" w:customStyle="1" w:styleId="TableText0">
    <w:name w:val="Table Text"/>
    <w:basedOn w:val="Normal"/>
    <w:rsid w:val="00BD4D54"/>
    <w:pPr>
      <w:spacing w:before="60" w:after="60" w:line="240" w:lineRule="auto"/>
    </w:pPr>
    <w:rPr>
      <w:rFonts w:ascii="Book Antiqua" w:eastAsia="Times New Roman" w:hAnsi="Book Antiqua" w:cs="Times New Roman"/>
      <w:sz w:val="20"/>
      <w:lang w:eastAsia="en-AU"/>
    </w:rPr>
  </w:style>
  <w:style w:type="paragraph" w:customStyle="1" w:styleId="Dotpoint2ndCONSITES">
    <w:name w:val="Dotpoint 2ndCON SITES"/>
    <w:basedOn w:val="DotpointCONSITES"/>
    <w:rsid w:val="00BD4D54"/>
    <w:pPr>
      <w:numPr>
        <w:ilvl w:val="1"/>
        <w:numId w:val="13"/>
      </w:numPr>
      <w:tabs>
        <w:tab w:val="clear" w:pos="720"/>
        <w:tab w:val="num" w:pos="851"/>
      </w:tabs>
      <w:ind w:left="851" w:hanging="284"/>
    </w:pPr>
  </w:style>
  <w:style w:type="paragraph" w:customStyle="1" w:styleId="DotpointiCONSITES">
    <w:name w:val="Dotpoint (i)CON SITES"/>
    <w:basedOn w:val="DotpointCONSITES"/>
    <w:rsid w:val="00BD4D54"/>
    <w:pPr>
      <w:numPr>
        <w:numId w:val="14"/>
      </w:numPr>
      <w:tabs>
        <w:tab w:val="clear" w:pos="720"/>
        <w:tab w:val="num" w:pos="567"/>
      </w:tabs>
      <w:ind w:left="567" w:hanging="567"/>
    </w:pPr>
  </w:style>
  <w:style w:type="paragraph" w:customStyle="1" w:styleId="AppendixHeading">
    <w:name w:val="Appendix Heading"/>
    <w:basedOn w:val="Heading1"/>
    <w:rsid w:val="00BD4D54"/>
    <w:pPr>
      <w:numPr>
        <w:numId w:val="0"/>
      </w:numPr>
      <w:spacing w:after="0"/>
      <w:jc w:val="center"/>
    </w:pPr>
  </w:style>
  <w:style w:type="paragraph" w:customStyle="1" w:styleId="text">
    <w:name w:val="text"/>
    <w:basedOn w:val="Normal"/>
    <w:link w:val="textChar"/>
    <w:rsid w:val="00BD4D54"/>
    <w:pPr>
      <w:spacing w:before="120" w:after="120" w:line="240" w:lineRule="auto"/>
      <w:jc w:val="both"/>
    </w:pPr>
    <w:rPr>
      <w:rFonts w:ascii="Book Antiqua" w:eastAsia="Times New Roman" w:hAnsi="Book Antiqua" w:cs="Times New Roman"/>
      <w:lang w:eastAsia="en-AU"/>
    </w:rPr>
  </w:style>
  <w:style w:type="paragraph" w:customStyle="1" w:styleId="Dot-points">
    <w:name w:val="Dot-points"/>
    <w:basedOn w:val="text"/>
    <w:autoRedefine/>
    <w:qFormat/>
    <w:rsid w:val="00BD4D54"/>
    <w:pPr>
      <w:numPr>
        <w:numId w:val="15"/>
      </w:numPr>
      <w:tabs>
        <w:tab w:val="clear" w:pos="360"/>
        <w:tab w:val="num" w:pos="926"/>
      </w:tabs>
      <w:spacing w:before="0"/>
      <w:ind w:left="357" w:hanging="357"/>
    </w:pPr>
  </w:style>
  <w:style w:type="paragraph" w:customStyle="1" w:styleId="GlossaryHeading">
    <w:name w:val="Glossary Heading"/>
    <w:basedOn w:val="Heading1"/>
    <w:rsid w:val="00BD4D54"/>
    <w:pPr>
      <w:numPr>
        <w:numId w:val="0"/>
      </w:numPr>
      <w:spacing w:after="0"/>
      <w:jc w:val="center"/>
    </w:pPr>
  </w:style>
  <w:style w:type="character" w:customStyle="1" w:styleId="Highlight">
    <w:name w:val="Highlight"/>
    <w:basedOn w:val="DefaultParagraphFont"/>
    <w:uiPriority w:val="99"/>
    <w:rsid w:val="00BD4D54"/>
    <w:rPr>
      <w:rFonts w:ascii="Arial" w:hAnsi="Arial"/>
      <w:b/>
      <w:sz w:val="24"/>
    </w:rPr>
  </w:style>
  <w:style w:type="paragraph" w:customStyle="1" w:styleId="Level1">
    <w:name w:val="Level 1"/>
    <w:basedOn w:val="Heading2"/>
    <w:rsid w:val="00BD4D54"/>
    <w:pPr>
      <w:numPr>
        <w:ilvl w:val="0"/>
        <w:numId w:val="0"/>
      </w:numPr>
    </w:pPr>
  </w:style>
  <w:style w:type="paragraph" w:customStyle="1" w:styleId="Level2">
    <w:name w:val="Level 2"/>
    <w:basedOn w:val="Heading3"/>
    <w:rsid w:val="00BD4D54"/>
    <w:pPr>
      <w:numPr>
        <w:ilvl w:val="0"/>
        <w:numId w:val="0"/>
      </w:numPr>
    </w:pPr>
  </w:style>
  <w:style w:type="paragraph" w:customStyle="1" w:styleId="Level3">
    <w:name w:val="Level 3"/>
    <w:basedOn w:val="Heading4"/>
    <w:rsid w:val="00BD4D54"/>
    <w:pPr>
      <w:numPr>
        <w:ilvl w:val="0"/>
        <w:numId w:val="0"/>
      </w:numPr>
    </w:pPr>
  </w:style>
  <w:style w:type="paragraph" w:customStyle="1" w:styleId="TitleHeading">
    <w:name w:val="Title Heading"/>
    <w:basedOn w:val="text"/>
    <w:rsid w:val="00BD4D54"/>
    <w:pPr>
      <w:spacing w:before="20" w:after="20"/>
      <w:ind w:left="1985"/>
      <w:jc w:val="center"/>
    </w:pPr>
    <w:rPr>
      <w:rFonts w:ascii="Arial Bold" w:hAnsi="Arial Bold"/>
      <w:b/>
      <w:sz w:val="40"/>
    </w:rPr>
  </w:style>
  <w:style w:type="paragraph" w:customStyle="1" w:styleId="NationalHeading">
    <w:name w:val="National Heading"/>
    <w:basedOn w:val="TitleHeading"/>
    <w:rsid w:val="00BD4D54"/>
  </w:style>
  <w:style w:type="paragraph" w:styleId="FootnoteText">
    <w:name w:val="footnote text"/>
    <w:basedOn w:val="Normal"/>
    <w:link w:val="FootnoteTextChar"/>
    <w:semiHidden/>
    <w:rsid w:val="00BD4D54"/>
    <w:pPr>
      <w:spacing w:before="120" w:after="120" w:line="240" w:lineRule="auto"/>
      <w:ind w:left="142" w:hanging="142"/>
      <w:jc w:val="both"/>
    </w:pPr>
    <w:rPr>
      <w:rFonts w:ascii="Book Antiqua" w:eastAsia="Times New Roman" w:hAnsi="Book Antiqua" w:cs="Times New Roman"/>
      <w:sz w:val="14"/>
    </w:rPr>
  </w:style>
  <w:style w:type="character" w:customStyle="1" w:styleId="FootnoteTextChar">
    <w:name w:val="Footnote Text Char"/>
    <w:basedOn w:val="DefaultParagraphFont"/>
    <w:link w:val="FootnoteText"/>
    <w:semiHidden/>
    <w:rsid w:val="00BD4D54"/>
    <w:rPr>
      <w:rFonts w:ascii="Book Antiqua" w:eastAsia="Times New Roman" w:hAnsi="Book Antiqua" w:cs="Times New Roman"/>
      <w:sz w:val="14"/>
    </w:rPr>
  </w:style>
  <w:style w:type="paragraph" w:customStyle="1" w:styleId="OutlineLev1">
    <w:name w:val="Outline Lev 1"/>
    <w:basedOn w:val="Normal"/>
    <w:rsid w:val="00BD4D54"/>
    <w:pPr>
      <w:numPr>
        <w:numId w:val="17"/>
      </w:numPr>
      <w:spacing w:before="240" w:after="100" w:line="240" w:lineRule="auto"/>
      <w:jc w:val="both"/>
    </w:pPr>
    <w:rPr>
      <w:rFonts w:ascii="Book Antiqua" w:eastAsia="Times New Roman" w:hAnsi="Book Antiqua" w:cs="Times New Roman"/>
      <w:lang w:eastAsia="en-AU"/>
    </w:rPr>
  </w:style>
  <w:style w:type="paragraph" w:customStyle="1" w:styleId="OutlineLev2">
    <w:name w:val="Outline Lev 2"/>
    <w:basedOn w:val="Normal"/>
    <w:rsid w:val="00BD4D54"/>
    <w:pPr>
      <w:numPr>
        <w:ilvl w:val="1"/>
        <w:numId w:val="17"/>
      </w:numPr>
      <w:spacing w:before="20" w:after="20" w:line="240" w:lineRule="auto"/>
      <w:jc w:val="both"/>
    </w:pPr>
    <w:rPr>
      <w:rFonts w:ascii="Book Antiqua" w:eastAsia="Times New Roman" w:hAnsi="Book Antiqua" w:cs="Times New Roman"/>
      <w:lang w:eastAsia="en-AU"/>
    </w:rPr>
  </w:style>
  <w:style w:type="paragraph" w:styleId="TOCHeading">
    <w:name w:val="TOC Heading"/>
    <w:basedOn w:val="Heading2"/>
    <w:uiPriority w:val="39"/>
    <w:rsid w:val="00BD4D54"/>
    <w:pPr>
      <w:numPr>
        <w:ilvl w:val="0"/>
        <w:numId w:val="0"/>
      </w:numPr>
      <w:spacing w:before="120"/>
      <w:jc w:val="center"/>
    </w:pPr>
    <w:rPr>
      <w:rFonts w:ascii="Arial" w:hAnsi="Arial"/>
      <w:sz w:val="32"/>
    </w:rPr>
  </w:style>
  <w:style w:type="paragraph" w:styleId="BalloonText">
    <w:name w:val="Balloon Text"/>
    <w:basedOn w:val="Normal"/>
    <w:link w:val="BalloonTextChar"/>
    <w:uiPriority w:val="99"/>
    <w:semiHidden/>
    <w:rsid w:val="00BD4D54"/>
    <w:pPr>
      <w:spacing w:before="120" w:after="120" w:line="240" w:lineRule="auto"/>
      <w:jc w:val="both"/>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BD4D54"/>
    <w:rPr>
      <w:rFonts w:ascii="Tahoma" w:eastAsia="Times New Roman" w:hAnsi="Tahoma" w:cs="Tahoma"/>
      <w:sz w:val="16"/>
      <w:szCs w:val="16"/>
      <w:lang w:eastAsia="en-AU"/>
    </w:rPr>
  </w:style>
  <w:style w:type="character" w:styleId="CommentReference">
    <w:name w:val="annotation reference"/>
    <w:basedOn w:val="DefaultParagraphFont"/>
    <w:rsid w:val="00BD4D54"/>
    <w:rPr>
      <w:sz w:val="16"/>
      <w:szCs w:val="16"/>
    </w:rPr>
  </w:style>
  <w:style w:type="paragraph" w:styleId="CommentText">
    <w:name w:val="annotation text"/>
    <w:basedOn w:val="Normal"/>
    <w:link w:val="CommentTextChar"/>
    <w:rsid w:val="00BD4D54"/>
    <w:pPr>
      <w:spacing w:before="120" w:after="120" w:line="240" w:lineRule="auto"/>
      <w:jc w:val="both"/>
    </w:pPr>
    <w:rPr>
      <w:rFonts w:ascii="Book Antiqua" w:eastAsia="Times New Roman" w:hAnsi="Book Antiqua" w:cs="Times New Roman"/>
      <w:sz w:val="20"/>
      <w:lang w:eastAsia="en-AU"/>
    </w:rPr>
  </w:style>
  <w:style w:type="character" w:customStyle="1" w:styleId="CommentTextChar">
    <w:name w:val="Comment Text Char"/>
    <w:basedOn w:val="DefaultParagraphFont"/>
    <w:link w:val="CommentText"/>
    <w:rsid w:val="00BD4D54"/>
    <w:rPr>
      <w:rFonts w:ascii="Book Antiqua" w:eastAsia="Times New Roman" w:hAnsi="Book Antiqua" w:cs="Times New Roman"/>
      <w:lang w:eastAsia="en-AU"/>
    </w:rPr>
  </w:style>
  <w:style w:type="paragraph" w:styleId="CommentSubject">
    <w:name w:val="annotation subject"/>
    <w:basedOn w:val="CommentText"/>
    <w:next w:val="CommentText"/>
    <w:link w:val="CommentSubjectChar"/>
    <w:uiPriority w:val="99"/>
    <w:rsid w:val="00BD4D54"/>
    <w:rPr>
      <w:b/>
      <w:bCs/>
    </w:rPr>
  </w:style>
  <w:style w:type="character" w:customStyle="1" w:styleId="CommentSubjectChar">
    <w:name w:val="Comment Subject Char"/>
    <w:basedOn w:val="CommentTextChar"/>
    <w:link w:val="CommentSubject"/>
    <w:uiPriority w:val="99"/>
    <w:rsid w:val="00BD4D54"/>
    <w:rPr>
      <w:rFonts w:ascii="Book Antiqua" w:eastAsia="Times New Roman" w:hAnsi="Book Antiqua" w:cs="Times New Roman"/>
      <w:b/>
      <w:bCs/>
      <w:lang w:eastAsia="en-AU"/>
    </w:rPr>
  </w:style>
  <w:style w:type="character" w:styleId="FootnoteReference">
    <w:name w:val="footnote reference"/>
    <w:basedOn w:val="DefaultParagraphFont"/>
    <w:semiHidden/>
    <w:rsid w:val="00BD4D54"/>
    <w:rPr>
      <w:rFonts w:ascii="Book Antiqua" w:hAnsi="Book Antiqua"/>
      <w:vertAlign w:val="superscript"/>
    </w:rPr>
  </w:style>
  <w:style w:type="paragraph" w:styleId="BodyText3">
    <w:name w:val="Body Text 3"/>
    <w:basedOn w:val="Normal"/>
    <w:link w:val="BodyText3Char"/>
    <w:rsid w:val="00BD4D54"/>
    <w:pPr>
      <w:spacing w:before="120" w:after="120" w:line="240" w:lineRule="auto"/>
    </w:pPr>
    <w:rPr>
      <w:rFonts w:ascii="Book Antiqua" w:eastAsia="Times New Roman" w:hAnsi="Book Antiqua" w:cs="Times New Roman"/>
      <w:i/>
      <w:color w:val="FF0000"/>
    </w:rPr>
  </w:style>
  <w:style w:type="character" w:customStyle="1" w:styleId="BodyText3Char">
    <w:name w:val="Body Text 3 Char"/>
    <w:basedOn w:val="DefaultParagraphFont"/>
    <w:link w:val="BodyText3"/>
    <w:rsid w:val="00BD4D54"/>
    <w:rPr>
      <w:rFonts w:ascii="Book Antiqua" w:eastAsia="Times New Roman" w:hAnsi="Book Antiqua" w:cs="Times New Roman"/>
      <w:i/>
      <w:color w:val="FF0000"/>
      <w:sz w:val="22"/>
    </w:rPr>
  </w:style>
  <w:style w:type="paragraph" w:styleId="Revision">
    <w:name w:val="Revision"/>
    <w:hidden/>
    <w:uiPriority w:val="99"/>
    <w:semiHidden/>
    <w:rsid w:val="00BD4D54"/>
    <w:rPr>
      <w:rFonts w:ascii="Book Antiqua" w:eastAsia="Times New Roman" w:hAnsi="Book Antiqua" w:cs="Times New Roman"/>
      <w:sz w:val="24"/>
      <w:lang w:eastAsia="en-AU"/>
    </w:rPr>
  </w:style>
  <w:style w:type="character" w:styleId="Hyperlink">
    <w:name w:val="Hyperlink"/>
    <w:basedOn w:val="DefaultParagraphFont"/>
    <w:uiPriority w:val="99"/>
    <w:rsid w:val="00BD4D54"/>
    <w:rPr>
      <w:color w:val="0000FF"/>
      <w:u w:val="single"/>
    </w:rPr>
  </w:style>
  <w:style w:type="paragraph" w:customStyle="1" w:styleId="Default">
    <w:name w:val="Default"/>
    <w:rsid w:val="00BD4D54"/>
    <w:pPr>
      <w:autoSpaceDE w:val="0"/>
      <w:autoSpaceDN w:val="0"/>
      <w:adjustRightInd w:val="0"/>
    </w:pPr>
    <w:rPr>
      <w:rFonts w:ascii="Arial" w:eastAsia="Times New Roman" w:hAnsi="Arial" w:cs="Arial"/>
      <w:color w:val="000000"/>
      <w:sz w:val="24"/>
      <w:szCs w:val="24"/>
      <w:lang w:val="en-US"/>
    </w:rPr>
  </w:style>
  <w:style w:type="paragraph" w:customStyle="1" w:styleId="Normal1">
    <w:name w:val="Normal+1"/>
    <w:basedOn w:val="Default"/>
    <w:next w:val="Default"/>
    <w:rsid w:val="00BD4D54"/>
    <w:rPr>
      <w:rFonts w:cs="Times New Roman"/>
      <w:color w:val="auto"/>
    </w:rPr>
  </w:style>
  <w:style w:type="paragraph" w:customStyle="1" w:styleId="glossary0">
    <w:name w:val="glossary"/>
    <w:basedOn w:val="Normal"/>
    <w:rsid w:val="00BD4D54"/>
    <w:pPr>
      <w:autoSpaceDE w:val="0"/>
      <w:autoSpaceDN w:val="0"/>
      <w:spacing w:before="100" w:after="100" w:line="240" w:lineRule="auto"/>
    </w:pPr>
    <w:rPr>
      <w:rFonts w:ascii="Book Antiqua" w:eastAsia="Times New Roman" w:hAnsi="Book Antiqua" w:cs="Times New Roman"/>
      <w:szCs w:val="24"/>
      <w:lang w:eastAsia="en-AU"/>
    </w:rPr>
  </w:style>
  <w:style w:type="paragraph" w:customStyle="1" w:styleId="Style1">
    <w:name w:val="Style1"/>
    <w:basedOn w:val="Heading2"/>
    <w:rsid w:val="00BD4D54"/>
    <w:rPr>
      <w:rFonts w:ascii="Arial" w:hAnsi="Arial"/>
    </w:rPr>
  </w:style>
  <w:style w:type="paragraph" w:customStyle="1" w:styleId="StyleTitleHeading22pt">
    <w:name w:val="Style Title Heading + 22 pt"/>
    <w:basedOn w:val="TitleHeading"/>
    <w:rsid w:val="00BD4D54"/>
    <w:rPr>
      <w:bCs/>
      <w:caps/>
    </w:rPr>
  </w:style>
  <w:style w:type="paragraph" w:customStyle="1" w:styleId="StyleglossaryJustified">
    <w:name w:val="Style glossary + Justified"/>
    <w:basedOn w:val="glossary0"/>
    <w:rsid w:val="00BD4D54"/>
    <w:pPr>
      <w:jc w:val="both"/>
    </w:pPr>
    <w:rPr>
      <w:szCs w:val="20"/>
    </w:rPr>
  </w:style>
  <w:style w:type="paragraph" w:customStyle="1" w:styleId="StyletextArialBold">
    <w:name w:val="Style text + Arial Bold"/>
    <w:basedOn w:val="text"/>
    <w:link w:val="StyletextArialBoldChar"/>
    <w:rsid w:val="00BD4D54"/>
    <w:rPr>
      <w:rFonts w:ascii="Arial" w:hAnsi="Arial"/>
      <w:b/>
      <w:bCs/>
    </w:rPr>
  </w:style>
  <w:style w:type="character" w:customStyle="1" w:styleId="textChar">
    <w:name w:val="text Char"/>
    <w:basedOn w:val="DefaultParagraphFont"/>
    <w:link w:val="text"/>
    <w:rsid w:val="00BD4D54"/>
    <w:rPr>
      <w:rFonts w:ascii="Book Antiqua" w:eastAsia="Times New Roman" w:hAnsi="Book Antiqua" w:cs="Times New Roman"/>
      <w:sz w:val="22"/>
      <w:lang w:eastAsia="en-AU"/>
    </w:rPr>
  </w:style>
  <w:style w:type="character" w:customStyle="1" w:styleId="StyletextArialBoldChar">
    <w:name w:val="Style text + Arial Bold Char"/>
    <w:basedOn w:val="textChar"/>
    <w:link w:val="StyletextArialBold"/>
    <w:rsid w:val="00BD4D54"/>
    <w:rPr>
      <w:rFonts w:ascii="Arial" w:eastAsia="Times New Roman" w:hAnsi="Arial" w:cs="Times New Roman"/>
      <w:b/>
      <w:bCs/>
      <w:sz w:val="22"/>
      <w:lang w:eastAsia="en-AU"/>
    </w:rPr>
  </w:style>
  <w:style w:type="character" w:styleId="Strong">
    <w:name w:val="Strong"/>
    <w:basedOn w:val="DefaultParagraphFont"/>
    <w:uiPriority w:val="22"/>
    <w:rsid w:val="00BD4D54"/>
    <w:rPr>
      <w:b/>
      <w:bCs/>
    </w:rPr>
  </w:style>
  <w:style w:type="paragraph" w:customStyle="1" w:styleId="Numbers">
    <w:name w:val="Numbers"/>
    <w:basedOn w:val="OutlineLev1"/>
    <w:rsid w:val="00BD4D54"/>
    <w:pPr>
      <w:keepNext/>
      <w:numPr>
        <w:numId w:val="0"/>
      </w:numPr>
      <w:tabs>
        <w:tab w:val="num" w:pos="426"/>
        <w:tab w:val="right" w:pos="9071"/>
      </w:tabs>
      <w:ind w:left="425" w:hanging="425"/>
    </w:pPr>
    <w:rPr>
      <w:b/>
      <w:szCs w:val="22"/>
    </w:rPr>
  </w:style>
  <w:style w:type="paragraph" w:styleId="Caption">
    <w:name w:val="caption"/>
    <w:basedOn w:val="Normal"/>
    <w:next w:val="Normal"/>
    <w:autoRedefine/>
    <w:uiPriority w:val="99"/>
    <w:qFormat/>
    <w:rsid w:val="00BD4D54"/>
    <w:pPr>
      <w:tabs>
        <w:tab w:val="right" w:pos="9071"/>
      </w:tabs>
      <w:spacing w:before="120" w:after="120" w:line="240" w:lineRule="auto"/>
      <w:ind w:left="142"/>
    </w:pPr>
    <w:rPr>
      <w:rFonts w:ascii="Book Antiqua" w:eastAsia="Times New Roman" w:hAnsi="Book Antiqua" w:cs="Times New Roman"/>
      <w:b/>
      <w:szCs w:val="22"/>
      <w:lang w:eastAsia="en-AU"/>
    </w:rPr>
  </w:style>
  <w:style w:type="paragraph" w:styleId="NormalWeb">
    <w:name w:val="Normal (Web)"/>
    <w:basedOn w:val="Normal"/>
    <w:uiPriority w:val="99"/>
    <w:rsid w:val="00BD4D54"/>
    <w:pPr>
      <w:spacing w:before="100" w:beforeAutospacing="1" w:after="100" w:afterAutospacing="1" w:line="240" w:lineRule="auto"/>
    </w:pPr>
    <w:rPr>
      <w:rFonts w:eastAsia="Times New Roman" w:cs="Times New Roman"/>
      <w:szCs w:val="24"/>
      <w:lang w:eastAsia="en-AU"/>
    </w:rPr>
  </w:style>
  <w:style w:type="character" w:customStyle="1" w:styleId="data">
    <w:name w:val="data"/>
    <w:basedOn w:val="DefaultParagraphFont"/>
    <w:rsid w:val="00BD4D54"/>
  </w:style>
  <w:style w:type="paragraph" w:customStyle="1" w:styleId="Indent2cm">
    <w:name w:val="Indent 2cm"/>
    <w:basedOn w:val="Normal"/>
    <w:rsid w:val="00BD4D54"/>
    <w:pPr>
      <w:spacing w:before="160" w:after="160" w:line="240" w:lineRule="auto"/>
      <w:jc w:val="both"/>
    </w:pPr>
    <w:rPr>
      <w:rFonts w:ascii="Book Antiqua" w:eastAsia="Times New Roman" w:hAnsi="Book Antiqua" w:cs="Times New Roman"/>
      <w:lang w:eastAsia="en-AU"/>
    </w:rPr>
  </w:style>
  <w:style w:type="paragraph" w:customStyle="1" w:styleId="StyleHeading1ChapterHeadingChapterHeading1ChapterHeading2C">
    <w:name w:val="Style Heading 1Chapter HeadingChapter Heading1Chapter Heading2C..."/>
    <w:basedOn w:val="Heading1"/>
    <w:rsid w:val="00BD4D54"/>
    <w:pPr>
      <w:tabs>
        <w:tab w:val="right" w:pos="709"/>
      </w:tabs>
    </w:pPr>
    <w:rPr>
      <w:bCs/>
    </w:rPr>
  </w:style>
  <w:style w:type="paragraph" w:customStyle="1" w:styleId="FigureTableHeading">
    <w:name w:val="FigureTableHeading"/>
    <w:basedOn w:val="text"/>
    <w:rsid w:val="00BD4D54"/>
    <w:pPr>
      <w:ind w:left="993" w:hanging="993"/>
    </w:pPr>
    <w:rPr>
      <w:b/>
      <w:sz w:val="20"/>
    </w:rPr>
  </w:style>
  <w:style w:type="paragraph" w:customStyle="1" w:styleId="Tableheader">
    <w:name w:val="Tableheader"/>
    <w:basedOn w:val="text"/>
    <w:rsid w:val="00BD4D54"/>
    <w:pPr>
      <w:jc w:val="center"/>
    </w:pPr>
    <w:rPr>
      <w:b/>
      <w:sz w:val="20"/>
    </w:rPr>
  </w:style>
  <w:style w:type="paragraph" w:customStyle="1" w:styleId="StyleHeading1ChapterHeadingMainHeadingh1H1AMAJORBOLDPar">
    <w:name w:val="Style Heading 1Chapter HeadingMain Headingh1H1A MAJOR/BOLDPar..."/>
    <w:basedOn w:val="Heading1"/>
    <w:uiPriority w:val="99"/>
    <w:rsid w:val="00BD4D54"/>
    <w:pPr>
      <w:keepLines/>
      <w:tabs>
        <w:tab w:val="clear" w:pos="9072"/>
        <w:tab w:val="num" w:pos="360"/>
      </w:tabs>
      <w:ind w:left="0" w:firstLine="0"/>
    </w:pPr>
    <w:rPr>
      <w:rFonts w:cs="Book Antiqua"/>
      <w:bCs/>
      <w:szCs w:val="32"/>
    </w:rPr>
  </w:style>
  <w:style w:type="character" w:customStyle="1" w:styleId="CommentTextChar1">
    <w:name w:val="Comment Text Char1"/>
    <w:rsid w:val="00BD4D54"/>
    <w:rPr>
      <w:rFonts w:ascii="Book Antiqua" w:hAnsi="Book Antiqua"/>
    </w:rPr>
  </w:style>
  <w:style w:type="paragraph" w:customStyle="1" w:styleId="StyletextLeft0cmHanging1cm">
    <w:name w:val="Style text + Left:  0 cm Hanging:  1 cm"/>
    <w:basedOn w:val="text"/>
    <w:autoRedefine/>
    <w:qFormat/>
    <w:rsid w:val="00BD4D54"/>
    <w:pPr>
      <w:ind w:left="720" w:hanging="720"/>
    </w:pPr>
  </w:style>
  <w:style w:type="paragraph" w:styleId="BodyText">
    <w:name w:val="Body Text"/>
    <w:aliases w:val="(Alt+1),Body,BodyText,body,b,block,Body Text before bullet,D&amp;M Body Text,IRMS (T),Body Text Char Char Char Char,Body Text Char1,Body Text Char Char,Body Text Char Char Char Char Char1 Char,BT"/>
    <w:basedOn w:val="Normal"/>
    <w:link w:val="BodyTextChar"/>
    <w:rsid w:val="00BD4D54"/>
    <w:pPr>
      <w:spacing w:before="120" w:after="120" w:line="240" w:lineRule="auto"/>
      <w:jc w:val="both"/>
    </w:pPr>
    <w:rPr>
      <w:rFonts w:ascii="Book Antiqua" w:eastAsia="Times New Roman" w:hAnsi="Book Antiqua" w:cs="Times New Roman"/>
      <w:lang w:eastAsia="en-AU"/>
    </w:rPr>
  </w:style>
  <w:style w:type="character" w:customStyle="1" w:styleId="BodyTextChar">
    <w:name w:val="Body Text Char"/>
    <w:aliases w:val="(Alt+1) Char,Body Char,BodyText Char,body Char,b Char,block Char,Body Text before bullet Char,D&amp;M Body Text Char,IRMS (T) Char,Body Text Char Char Char Char Char,Body Text Char1 Char,Body Text Char Char Char,BT Char"/>
    <w:basedOn w:val="DefaultParagraphFont"/>
    <w:link w:val="BodyText"/>
    <w:rsid w:val="00BD4D54"/>
    <w:rPr>
      <w:rFonts w:ascii="Book Antiqua" w:eastAsia="Times New Roman" w:hAnsi="Book Antiqua" w:cs="Times New Roman"/>
      <w:sz w:val="22"/>
      <w:lang w:eastAsia="en-AU"/>
    </w:rPr>
  </w:style>
  <w:style w:type="paragraph" w:styleId="Title">
    <w:name w:val="Title"/>
    <w:basedOn w:val="Normal"/>
    <w:link w:val="TitleChar"/>
    <w:uiPriority w:val="10"/>
    <w:rsid w:val="00BD4D54"/>
    <w:pPr>
      <w:spacing w:before="400" w:after="200" w:line="276" w:lineRule="auto"/>
    </w:pPr>
    <w:rPr>
      <w:rFonts w:ascii="Verdana" w:eastAsia="Verdana" w:hAnsi="Verdana" w:cs="Times New Roman"/>
      <w:color w:val="365F91"/>
      <w:sz w:val="56"/>
      <w:szCs w:val="56"/>
      <w:lang w:eastAsia="ja-JP"/>
    </w:rPr>
  </w:style>
  <w:style w:type="character" w:customStyle="1" w:styleId="TitleChar">
    <w:name w:val="Title Char"/>
    <w:basedOn w:val="DefaultParagraphFont"/>
    <w:link w:val="Title"/>
    <w:uiPriority w:val="10"/>
    <w:rsid w:val="00BD4D54"/>
    <w:rPr>
      <w:rFonts w:ascii="Verdana" w:eastAsia="Verdana" w:hAnsi="Verdana" w:cs="Times New Roman"/>
      <w:color w:val="365F91"/>
      <w:sz w:val="56"/>
      <w:szCs w:val="56"/>
      <w:lang w:eastAsia="ja-JP"/>
    </w:rPr>
  </w:style>
  <w:style w:type="paragraph" w:styleId="Subtitle">
    <w:name w:val="Subtitle"/>
    <w:basedOn w:val="Normal"/>
    <w:link w:val="SubtitleChar"/>
    <w:uiPriority w:val="11"/>
    <w:rsid w:val="00BD4D54"/>
    <w:pPr>
      <w:spacing w:after="480" w:line="276" w:lineRule="auto"/>
    </w:pPr>
    <w:rPr>
      <w:rFonts w:ascii="Verdana" w:eastAsia="Verdana" w:hAnsi="Verdana" w:cs="Times New Roman"/>
      <w:i/>
      <w:color w:val="1F497D"/>
      <w:sz w:val="24"/>
      <w:szCs w:val="24"/>
      <w:lang w:eastAsia="ja-JP"/>
    </w:rPr>
  </w:style>
  <w:style w:type="character" w:customStyle="1" w:styleId="SubtitleChar">
    <w:name w:val="Subtitle Char"/>
    <w:basedOn w:val="DefaultParagraphFont"/>
    <w:link w:val="Subtitle"/>
    <w:uiPriority w:val="11"/>
    <w:rsid w:val="00BD4D54"/>
    <w:rPr>
      <w:rFonts w:ascii="Verdana" w:eastAsia="Verdana" w:hAnsi="Verdana" w:cs="Times New Roman"/>
      <w:i/>
      <w:color w:val="1F497D"/>
      <w:sz w:val="24"/>
      <w:szCs w:val="24"/>
      <w:lang w:eastAsia="ja-JP"/>
    </w:rPr>
  </w:style>
  <w:style w:type="character" w:styleId="IntenseEmphasis">
    <w:name w:val="Intense Emphasis"/>
    <w:uiPriority w:val="21"/>
    <w:rsid w:val="00BD4D54"/>
    <w:rPr>
      <w:rFonts w:ascii="Verdana" w:hAnsi="Verdana" w:cs="Verdana"/>
      <w:b/>
      <w:i/>
      <w:caps/>
      <w:color w:val="438086"/>
      <w:spacing w:val="5"/>
    </w:rPr>
  </w:style>
  <w:style w:type="character" w:styleId="SubtleEmphasis">
    <w:name w:val="Subtle Emphasis"/>
    <w:uiPriority w:val="19"/>
    <w:rsid w:val="00BD4D54"/>
    <w:rPr>
      <w:rFonts w:ascii="Verdana" w:hAnsi="Verdana"/>
      <w:i/>
      <w:color w:val="006666"/>
    </w:rPr>
  </w:style>
  <w:style w:type="character" w:styleId="IntenseReference">
    <w:name w:val="Intense Reference"/>
    <w:uiPriority w:val="32"/>
    <w:rsid w:val="00BD4D54"/>
    <w:rPr>
      <w:rFonts w:ascii="Verdana" w:hAnsi="Verdana" w:cs="Times New Roman"/>
      <w:b/>
      <w:i/>
      <w:caps/>
      <w:color w:val="4E4F89"/>
      <w:spacing w:val="5"/>
    </w:rPr>
  </w:style>
  <w:style w:type="character" w:styleId="SubtleReference">
    <w:name w:val="Subtle Reference"/>
    <w:uiPriority w:val="31"/>
    <w:rsid w:val="00BD4D54"/>
    <w:rPr>
      <w:rFonts w:cs="Times New Roman"/>
      <w:i/>
      <w:color w:val="4E4F89"/>
    </w:rPr>
  </w:style>
  <w:style w:type="character" w:styleId="Emphasis">
    <w:name w:val="Emphasis"/>
    <w:rsid w:val="00BD4D54"/>
    <w:rPr>
      <w:rFonts w:ascii="Verdana" w:hAnsi="Verdana"/>
      <w:b/>
      <w:color w:val="C0504D"/>
      <w:spacing w:val="10"/>
    </w:rPr>
  </w:style>
  <w:style w:type="character" w:styleId="BookTitle">
    <w:name w:val="Book Title"/>
    <w:uiPriority w:val="33"/>
    <w:rsid w:val="00BD4D54"/>
    <w:rPr>
      <w:rFonts w:ascii="Cambria" w:hAnsi="Cambria" w:cs="Times New Roman"/>
      <w:i/>
      <w:color w:val="000000"/>
      <w:sz w:val="20"/>
      <w:szCs w:val="20"/>
    </w:rPr>
  </w:style>
  <w:style w:type="paragraph" w:styleId="NormalIndent">
    <w:name w:val="Normal Indent"/>
    <w:basedOn w:val="Normal"/>
    <w:uiPriority w:val="99"/>
    <w:unhideWhenUsed/>
    <w:rsid w:val="00BD4D54"/>
    <w:pPr>
      <w:spacing w:after="200" w:line="276" w:lineRule="auto"/>
      <w:ind w:left="720"/>
      <w:contextualSpacing/>
    </w:pPr>
    <w:rPr>
      <w:rFonts w:ascii="Arial" w:eastAsia="Verdana" w:hAnsi="Arial" w:cs="Verdana"/>
      <w:sz w:val="20"/>
      <w:lang w:eastAsia="ja-JP"/>
    </w:rPr>
  </w:style>
  <w:style w:type="paragraph" w:styleId="IntenseQuote">
    <w:name w:val="Intense Quote"/>
    <w:basedOn w:val="Normal"/>
    <w:link w:val="IntenseQuoteChar"/>
    <w:uiPriority w:val="30"/>
    <w:rsid w:val="00BD4D54"/>
    <w:pPr>
      <w:pBdr>
        <w:top w:val="threeDEngrave" w:sz="6" w:space="10" w:color="C0504D"/>
        <w:bottom w:val="single" w:sz="4" w:space="10" w:color="C0504D"/>
      </w:pBdr>
      <w:spacing w:before="360" w:after="360" w:line="324" w:lineRule="auto"/>
      <w:ind w:left="1080" w:right="1080"/>
    </w:pPr>
    <w:rPr>
      <w:rFonts w:ascii="Arial" w:eastAsia="Verdana" w:hAnsi="Arial" w:cs="Verdana"/>
      <w:i/>
      <w:color w:val="C0504D"/>
      <w:szCs w:val="22"/>
      <w:lang w:eastAsia="ja-JP"/>
    </w:rPr>
  </w:style>
  <w:style w:type="character" w:customStyle="1" w:styleId="IntenseQuoteChar">
    <w:name w:val="Intense Quote Char"/>
    <w:basedOn w:val="DefaultParagraphFont"/>
    <w:link w:val="IntenseQuote"/>
    <w:uiPriority w:val="30"/>
    <w:rsid w:val="00BD4D54"/>
    <w:rPr>
      <w:rFonts w:ascii="Arial" w:eastAsia="Verdana" w:hAnsi="Arial" w:cs="Verdana"/>
      <w:i/>
      <w:color w:val="C0504D"/>
      <w:sz w:val="22"/>
      <w:szCs w:val="22"/>
      <w:lang w:eastAsia="ja-JP"/>
    </w:rPr>
  </w:style>
  <w:style w:type="numbering" w:customStyle="1" w:styleId="UrbanBulletedList">
    <w:name w:val="Urban Bulleted List"/>
    <w:uiPriority w:val="99"/>
    <w:rsid w:val="00BD4D54"/>
    <w:pPr>
      <w:numPr>
        <w:numId w:val="18"/>
      </w:numPr>
    </w:pPr>
  </w:style>
  <w:style w:type="numbering" w:customStyle="1" w:styleId="UrbanNumberedList">
    <w:name w:val="Urban Numbered List"/>
    <w:uiPriority w:val="99"/>
    <w:rsid w:val="00BD4D54"/>
    <w:pPr>
      <w:numPr>
        <w:numId w:val="19"/>
      </w:numPr>
    </w:pPr>
  </w:style>
  <w:style w:type="paragraph" w:styleId="ListParagraph">
    <w:name w:val="List Paragraph"/>
    <w:basedOn w:val="Normal"/>
    <w:uiPriority w:val="34"/>
    <w:rsid w:val="00BD4D54"/>
    <w:pPr>
      <w:spacing w:after="200" w:line="276" w:lineRule="auto"/>
      <w:ind w:left="720"/>
      <w:contextualSpacing/>
    </w:pPr>
    <w:rPr>
      <w:rFonts w:ascii="Arial" w:eastAsia="Verdana" w:hAnsi="Arial" w:cs="Verdana"/>
      <w:sz w:val="20"/>
      <w:lang w:eastAsia="ja-JP"/>
    </w:rPr>
  </w:style>
  <w:style w:type="paragraph" w:styleId="NoSpacing">
    <w:name w:val="No Spacing"/>
    <w:basedOn w:val="Normal"/>
    <w:uiPriority w:val="1"/>
    <w:rsid w:val="00BD4D54"/>
    <w:pPr>
      <w:spacing w:line="240" w:lineRule="auto"/>
    </w:pPr>
    <w:rPr>
      <w:rFonts w:ascii="Arial" w:eastAsia="Verdana" w:hAnsi="Arial" w:cs="Verdana"/>
      <w:sz w:val="20"/>
      <w:szCs w:val="32"/>
      <w:lang w:eastAsia="ja-JP"/>
    </w:rPr>
  </w:style>
  <w:style w:type="character" w:styleId="PlaceholderText">
    <w:name w:val="Placeholder Text"/>
    <w:uiPriority w:val="99"/>
    <w:unhideWhenUsed/>
    <w:rsid w:val="00BD4D54"/>
    <w:rPr>
      <w:color w:val="808080"/>
    </w:rPr>
  </w:style>
  <w:style w:type="paragraph" w:customStyle="1" w:styleId="HeaderEven">
    <w:name w:val="Header Even"/>
    <w:basedOn w:val="Header"/>
    <w:uiPriority w:val="39"/>
    <w:rsid w:val="00BD4D54"/>
    <w:pPr>
      <w:keepNext w:val="0"/>
      <w:keepLines w:val="0"/>
      <w:pBdr>
        <w:bottom w:val="single" w:sz="4" w:space="1" w:color="auto"/>
      </w:pBdr>
      <w:tabs>
        <w:tab w:val="clear" w:pos="4150"/>
        <w:tab w:val="clear" w:pos="8307"/>
        <w:tab w:val="center" w:pos="4320"/>
        <w:tab w:val="right" w:pos="8640"/>
      </w:tabs>
      <w:spacing w:after="200" w:line="276" w:lineRule="auto"/>
    </w:pPr>
    <w:rPr>
      <w:rFonts w:ascii="Verdana" w:eastAsia="Verdana" w:hAnsi="Verdana"/>
      <w:sz w:val="20"/>
      <w:lang w:eastAsia="ja-JP"/>
    </w:rPr>
  </w:style>
  <w:style w:type="paragraph" w:customStyle="1" w:styleId="HeaderOdd">
    <w:name w:val="Header Odd"/>
    <w:basedOn w:val="Header"/>
    <w:uiPriority w:val="39"/>
    <w:rsid w:val="00BD4D54"/>
    <w:pPr>
      <w:keepNext w:val="0"/>
      <w:keepLines w:val="0"/>
      <w:pBdr>
        <w:bottom w:val="single" w:sz="4" w:space="1" w:color="auto"/>
      </w:pBdr>
      <w:tabs>
        <w:tab w:val="clear" w:pos="4150"/>
        <w:tab w:val="clear" w:pos="8307"/>
        <w:tab w:val="center" w:pos="4320"/>
        <w:tab w:val="right" w:pos="8640"/>
      </w:tabs>
      <w:spacing w:after="200" w:line="276" w:lineRule="auto"/>
      <w:jc w:val="right"/>
    </w:pPr>
    <w:rPr>
      <w:rFonts w:ascii="Verdana" w:eastAsia="Verdana" w:hAnsi="Verdana"/>
      <w:sz w:val="20"/>
      <w:lang w:eastAsia="ja-JP"/>
    </w:rPr>
  </w:style>
  <w:style w:type="paragraph" w:customStyle="1" w:styleId="Bullet1">
    <w:name w:val="Bullet 1"/>
    <w:basedOn w:val="ListParagraph"/>
    <w:uiPriority w:val="38"/>
    <w:rsid w:val="00BD4D54"/>
    <w:pPr>
      <w:numPr>
        <w:numId w:val="18"/>
      </w:numPr>
      <w:spacing w:after="0"/>
    </w:pPr>
  </w:style>
  <w:style w:type="paragraph" w:customStyle="1" w:styleId="Bullet20">
    <w:name w:val="Bullet 2"/>
    <w:basedOn w:val="ListParagraph"/>
    <w:uiPriority w:val="38"/>
    <w:rsid w:val="00BD4D54"/>
    <w:pPr>
      <w:numPr>
        <w:ilvl w:val="1"/>
        <w:numId w:val="18"/>
      </w:numPr>
      <w:spacing w:after="0"/>
    </w:pPr>
  </w:style>
  <w:style w:type="paragraph" w:customStyle="1" w:styleId="Bullet30">
    <w:name w:val="Bullet 3"/>
    <w:basedOn w:val="ListParagraph"/>
    <w:uiPriority w:val="38"/>
    <w:rsid w:val="00BD4D54"/>
    <w:pPr>
      <w:numPr>
        <w:ilvl w:val="2"/>
        <w:numId w:val="18"/>
      </w:numPr>
      <w:spacing w:after="0"/>
    </w:pPr>
  </w:style>
  <w:style w:type="paragraph" w:customStyle="1" w:styleId="DefaultPlaceholderSubject10">
    <w:name w:val="DefaultPlaceholder_Subject10"/>
    <w:uiPriority w:val="39"/>
    <w:rsid w:val="00BD4D54"/>
    <w:pPr>
      <w:spacing w:after="200" w:line="276" w:lineRule="auto"/>
    </w:pPr>
    <w:rPr>
      <w:rFonts w:ascii="Verdana" w:eastAsia="Verdana" w:hAnsi="Verdana" w:cs="Verdana"/>
      <w:i/>
      <w:color w:val="1F497D"/>
      <w:sz w:val="24"/>
      <w:szCs w:val="24"/>
      <w:lang w:val="en-US"/>
    </w:rPr>
  </w:style>
  <w:style w:type="paragraph" w:customStyle="1" w:styleId="Category">
    <w:name w:val="Category"/>
    <w:basedOn w:val="Normal"/>
    <w:link w:val="CategoryChar"/>
    <w:uiPriority w:val="39"/>
    <w:rsid w:val="00BD4D54"/>
    <w:pPr>
      <w:framePr w:hSpace="187" w:wrap="around" w:hAnchor="margin" w:xAlign="center" w:y="721"/>
      <w:spacing w:line="240" w:lineRule="auto"/>
    </w:pPr>
    <w:rPr>
      <w:rFonts w:ascii="Verdana" w:eastAsia="Verdana" w:hAnsi="Verdana" w:cs="Times New Roman"/>
      <w:caps/>
      <w:sz w:val="20"/>
      <w:lang w:eastAsia="ja-JP"/>
    </w:rPr>
  </w:style>
  <w:style w:type="paragraph" w:customStyle="1" w:styleId="Comments">
    <w:name w:val="Comments"/>
    <w:basedOn w:val="Normal"/>
    <w:link w:val="CommentsChar"/>
    <w:uiPriority w:val="39"/>
    <w:rsid w:val="00BD4D54"/>
    <w:pPr>
      <w:spacing w:after="120" w:line="240" w:lineRule="auto"/>
    </w:pPr>
    <w:rPr>
      <w:rFonts w:ascii="Verdana" w:eastAsia="Verdana" w:hAnsi="Verdana" w:cs="Times New Roman"/>
      <w:b/>
      <w:sz w:val="20"/>
      <w:lang w:eastAsia="ja-JP"/>
    </w:rPr>
  </w:style>
  <w:style w:type="character" w:customStyle="1" w:styleId="CategoryChar">
    <w:name w:val="Category Char"/>
    <w:link w:val="Category"/>
    <w:uiPriority w:val="39"/>
    <w:rsid w:val="00BD4D54"/>
    <w:rPr>
      <w:rFonts w:ascii="Verdana" w:eastAsia="Verdana" w:hAnsi="Verdana" w:cs="Times New Roman"/>
      <w:caps/>
      <w:lang w:eastAsia="ja-JP"/>
    </w:rPr>
  </w:style>
  <w:style w:type="character" w:customStyle="1" w:styleId="CommentsChar">
    <w:name w:val="Comments Char"/>
    <w:link w:val="Comments"/>
    <w:uiPriority w:val="39"/>
    <w:rsid w:val="00BD4D54"/>
    <w:rPr>
      <w:rFonts w:ascii="Verdana" w:eastAsia="Verdana" w:hAnsi="Verdana" w:cs="Times New Roman"/>
      <w:b/>
      <w:lang w:eastAsia="ja-JP"/>
    </w:rPr>
  </w:style>
  <w:style w:type="paragraph" w:customStyle="1" w:styleId="CommentsText">
    <w:name w:val="Comments Text"/>
    <w:basedOn w:val="Normal"/>
    <w:uiPriority w:val="39"/>
    <w:rsid w:val="00BD4D54"/>
    <w:pPr>
      <w:spacing w:after="120" w:line="288" w:lineRule="auto"/>
    </w:pPr>
    <w:rPr>
      <w:rFonts w:ascii="Arial" w:eastAsia="Verdana" w:hAnsi="Arial" w:cs="Verdana"/>
      <w:sz w:val="20"/>
      <w:szCs w:val="22"/>
      <w:lang w:eastAsia="ja-JP"/>
    </w:rPr>
  </w:style>
  <w:style w:type="table" w:styleId="ColorfulList-Accent1">
    <w:name w:val="Colorful List Accent 1"/>
    <w:basedOn w:val="TableNormal"/>
    <w:uiPriority w:val="41"/>
    <w:rsid w:val="00BD4D54"/>
    <w:rPr>
      <w:rFonts w:ascii="Verdana" w:eastAsia="Verdana" w:hAnsi="Verdana" w:cs="Verdana"/>
      <w:color w:val="000000"/>
      <w:lang w:eastAsia="en-A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ulletedList">
    <w:name w:val="BulletedList"/>
    <w:link w:val="BulletedListChar"/>
    <w:locked/>
    <w:rsid w:val="00BD4D54"/>
    <w:pPr>
      <w:numPr>
        <w:numId w:val="20"/>
      </w:numPr>
      <w:spacing w:after="160"/>
    </w:pPr>
    <w:rPr>
      <w:rFonts w:ascii="Arial" w:eastAsia="Times New Roman" w:hAnsi="Arial" w:cs="Arial"/>
    </w:rPr>
  </w:style>
  <w:style w:type="paragraph" w:customStyle="1" w:styleId="CaptionTable">
    <w:name w:val="Caption Table"/>
    <w:basedOn w:val="Caption"/>
    <w:next w:val="BodyText"/>
    <w:rsid w:val="00BD4D54"/>
    <w:pPr>
      <w:tabs>
        <w:tab w:val="clear" w:pos="9071"/>
      </w:tabs>
      <w:spacing w:after="240"/>
      <w:ind w:left="0"/>
      <w:jc w:val="center"/>
    </w:pPr>
    <w:rPr>
      <w:rFonts w:ascii="Arial" w:hAnsi="Arial" w:cs="Arial"/>
      <w:bCs/>
      <w:color w:val="0C479D"/>
      <w:szCs w:val="20"/>
      <w:lang w:eastAsia="en-US"/>
    </w:rPr>
  </w:style>
  <w:style w:type="paragraph" w:customStyle="1" w:styleId="TableHeadings">
    <w:name w:val="TableHeadings"/>
    <w:basedOn w:val="Normal"/>
    <w:next w:val="BodyText"/>
    <w:rsid w:val="00BD4D54"/>
    <w:pPr>
      <w:spacing w:before="60" w:after="60" w:line="240" w:lineRule="auto"/>
      <w:jc w:val="center"/>
    </w:pPr>
    <w:rPr>
      <w:rFonts w:ascii="Arial Black" w:eastAsia="Times New Roman" w:hAnsi="Arial Black" w:cs="Arial"/>
      <w:b/>
      <w:sz w:val="20"/>
    </w:rPr>
  </w:style>
  <w:style w:type="paragraph" w:customStyle="1" w:styleId="TableRows">
    <w:name w:val="TableRows"/>
    <w:basedOn w:val="Normal"/>
    <w:next w:val="BodyText"/>
    <w:rsid w:val="00BD4D54"/>
    <w:pPr>
      <w:spacing w:before="40" w:after="40" w:line="240" w:lineRule="auto"/>
    </w:pPr>
    <w:rPr>
      <w:rFonts w:ascii="Arial" w:eastAsia="Times New Roman" w:hAnsi="Arial" w:cs="Arial"/>
      <w:sz w:val="18"/>
    </w:rPr>
  </w:style>
  <w:style w:type="paragraph" w:customStyle="1" w:styleId="SubHeading">
    <w:name w:val="Sub Heading"/>
    <w:basedOn w:val="Normal"/>
    <w:next w:val="BodyText"/>
    <w:link w:val="SubHeadingChar"/>
    <w:rsid w:val="00BD4D54"/>
    <w:pPr>
      <w:keepNext/>
      <w:spacing w:before="240" w:after="160" w:line="240" w:lineRule="auto"/>
    </w:pPr>
    <w:rPr>
      <w:rFonts w:ascii="Arial" w:eastAsia="Times New Roman" w:hAnsi="Arial" w:cs="Times New Roman"/>
      <w:b/>
      <w:i/>
      <w:sz w:val="20"/>
      <w:szCs w:val="24"/>
      <w:lang w:eastAsia="ja-JP"/>
    </w:rPr>
  </w:style>
  <w:style w:type="table" w:styleId="ColorfulList-Accent4">
    <w:name w:val="Colorful List Accent 4"/>
    <w:basedOn w:val="TableNormal"/>
    <w:uiPriority w:val="72"/>
    <w:rsid w:val="00BD4D54"/>
    <w:rPr>
      <w:rFonts w:eastAsia="Times New Roman" w:cs="Times New Roman"/>
      <w:color w:val="000000"/>
      <w:lang w:eastAsia="en-A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2">
    <w:name w:val="Colorful List Accent 2"/>
    <w:basedOn w:val="TableNormal"/>
    <w:uiPriority w:val="42"/>
    <w:rsid w:val="00BD4D54"/>
    <w:rPr>
      <w:rFonts w:ascii="Verdana" w:eastAsia="Verdana" w:hAnsi="Verdana" w:cs="Verdana"/>
      <w:color w:val="000000"/>
      <w:lang w:eastAsia="en-A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BulletedListChar">
    <w:name w:val="BulletedList Char"/>
    <w:link w:val="BulletedList"/>
    <w:rsid w:val="00BD4D54"/>
    <w:rPr>
      <w:rFonts w:ascii="Arial" w:eastAsia="Times New Roman" w:hAnsi="Arial" w:cs="Arial"/>
    </w:rPr>
  </w:style>
  <w:style w:type="table" w:styleId="MediumShading2-Accent6">
    <w:name w:val="Medium Shading 2 Accent 6"/>
    <w:basedOn w:val="TableNormal"/>
    <w:uiPriority w:val="46"/>
    <w:rsid w:val="00BD4D54"/>
    <w:rPr>
      <w:rFonts w:ascii="Verdana" w:eastAsia="Verdana" w:hAnsi="Verdana" w:cs="Verdana"/>
      <w:lang w:eastAsia="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ubHeadingChar">
    <w:name w:val="Sub Heading Char"/>
    <w:link w:val="SubHeading"/>
    <w:rsid w:val="00BD4D54"/>
    <w:rPr>
      <w:rFonts w:ascii="Arial" w:eastAsia="Times New Roman" w:hAnsi="Arial" w:cs="Times New Roman"/>
      <w:b/>
      <w:i/>
      <w:szCs w:val="24"/>
      <w:lang w:eastAsia="ja-JP"/>
    </w:rPr>
  </w:style>
  <w:style w:type="paragraph" w:customStyle="1" w:styleId="TableBody">
    <w:name w:val="TableBody"/>
    <w:basedOn w:val="Normal"/>
    <w:rsid w:val="00BD4D54"/>
    <w:pPr>
      <w:tabs>
        <w:tab w:val="left" w:pos="1985"/>
      </w:tabs>
      <w:spacing w:before="60" w:after="60" w:line="240" w:lineRule="atLeast"/>
    </w:pPr>
    <w:rPr>
      <w:rFonts w:ascii="Arial" w:eastAsia="Times" w:hAnsi="Arial" w:cs="Times New Roman"/>
      <w:sz w:val="20"/>
      <w:lang w:eastAsia="ja-JP"/>
    </w:rPr>
  </w:style>
  <w:style w:type="paragraph" w:styleId="Bibliography">
    <w:name w:val="Bibliography"/>
    <w:basedOn w:val="Normal"/>
    <w:next w:val="Normal"/>
    <w:uiPriority w:val="37"/>
    <w:unhideWhenUsed/>
    <w:rsid w:val="00BD4D54"/>
    <w:pPr>
      <w:spacing w:after="240" w:line="240" w:lineRule="auto"/>
      <w:jc w:val="both"/>
    </w:pPr>
    <w:rPr>
      <w:rFonts w:ascii="Arial" w:eastAsia="Times New Roman" w:hAnsi="Arial" w:cs="Times New Roman"/>
    </w:rPr>
  </w:style>
  <w:style w:type="paragraph" w:styleId="EndnoteText">
    <w:name w:val="endnote text"/>
    <w:basedOn w:val="Normal"/>
    <w:link w:val="EndnoteTextChar"/>
    <w:uiPriority w:val="99"/>
    <w:unhideWhenUsed/>
    <w:rsid w:val="00BD4D54"/>
    <w:pPr>
      <w:spacing w:line="240" w:lineRule="auto"/>
    </w:pPr>
    <w:rPr>
      <w:rFonts w:ascii="Arial" w:eastAsia="Verdana" w:hAnsi="Arial" w:cs="Times New Roman"/>
      <w:sz w:val="20"/>
      <w:lang w:eastAsia="ja-JP"/>
    </w:rPr>
  </w:style>
  <w:style w:type="character" w:customStyle="1" w:styleId="EndnoteTextChar">
    <w:name w:val="Endnote Text Char"/>
    <w:basedOn w:val="DefaultParagraphFont"/>
    <w:link w:val="EndnoteText"/>
    <w:uiPriority w:val="99"/>
    <w:rsid w:val="00BD4D54"/>
    <w:rPr>
      <w:rFonts w:ascii="Arial" w:eastAsia="Verdana" w:hAnsi="Arial" w:cs="Times New Roman"/>
      <w:lang w:eastAsia="ja-JP"/>
    </w:rPr>
  </w:style>
  <w:style w:type="character" w:styleId="EndnoteReference">
    <w:name w:val="endnote reference"/>
    <w:uiPriority w:val="99"/>
    <w:unhideWhenUsed/>
    <w:rsid w:val="00BD4D54"/>
    <w:rPr>
      <w:vertAlign w:val="superscript"/>
    </w:rPr>
  </w:style>
  <w:style w:type="paragraph" w:customStyle="1" w:styleId="NumberedList">
    <w:name w:val="NumberedList"/>
    <w:basedOn w:val="BodyText"/>
    <w:rsid w:val="00BD4D54"/>
    <w:pPr>
      <w:numPr>
        <w:numId w:val="21"/>
      </w:numPr>
      <w:spacing w:before="0" w:after="240"/>
      <w:jc w:val="left"/>
    </w:pPr>
    <w:rPr>
      <w:rFonts w:ascii="Arial" w:hAnsi="Arial"/>
      <w:lang w:eastAsia="ja-JP"/>
    </w:rPr>
  </w:style>
  <w:style w:type="paragraph" w:styleId="ListBullet">
    <w:name w:val="List Bullet"/>
    <w:basedOn w:val="Normal"/>
    <w:rsid w:val="00BD4D54"/>
    <w:pPr>
      <w:tabs>
        <w:tab w:val="left" w:pos="284"/>
        <w:tab w:val="left" w:pos="567"/>
        <w:tab w:val="num" w:pos="2835"/>
      </w:tabs>
      <w:spacing w:after="240" w:line="260" w:lineRule="exact"/>
      <w:ind w:left="2836" w:hanging="284"/>
      <w:contextualSpacing/>
      <w:jc w:val="both"/>
    </w:pPr>
    <w:rPr>
      <w:rFonts w:ascii="Arial Narrow" w:eastAsia="Times New Roman" w:hAnsi="Arial Narrow" w:cs="Times New Roman"/>
      <w:sz w:val="20"/>
      <w:lang w:eastAsia="en-AU"/>
    </w:rPr>
  </w:style>
  <w:style w:type="character" w:styleId="FollowedHyperlink">
    <w:name w:val="FollowedHyperlink"/>
    <w:uiPriority w:val="99"/>
    <w:unhideWhenUsed/>
    <w:rsid w:val="00BD4D54"/>
    <w:rPr>
      <w:color w:val="800080"/>
      <w:u w:val="single"/>
    </w:rPr>
  </w:style>
  <w:style w:type="paragraph" w:styleId="HTMLPreformatted">
    <w:name w:val="HTML Preformatted"/>
    <w:basedOn w:val="Normal"/>
    <w:link w:val="HTMLPreformattedChar"/>
    <w:uiPriority w:val="99"/>
    <w:unhideWhenUsed/>
    <w:rsid w:val="00BD4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lang w:eastAsia="en-AU"/>
    </w:rPr>
  </w:style>
  <w:style w:type="character" w:customStyle="1" w:styleId="HTMLPreformattedChar">
    <w:name w:val="HTML Preformatted Char"/>
    <w:basedOn w:val="DefaultParagraphFont"/>
    <w:link w:val="HTMLPreformatted"/>
    <w:uiPriority w:val="99"/>
    <w:rsid w:val="00BD4D54"/>
    <w:rPr>
      <w:rFonts w:ascii="Courier New" w:eastAsia="Times New Roman" w:hAnsi="Courier New" w:cs="Times New Roman"/>
      <w:lang w:eastAsia="en-AU"/>
    </w:rPr>
  </w:style>
  <w:style w:type="paragraph" w:customStyle="1" w:styleId="Bullet">
    <w:name w:val="Bullet"/>
    <w:aliases w:val="b1"/>
    <w:basedOn w:val="Normal"/>
    <w:link w:val="BulletChar1"/>
    <w:rsid w:val="00BD4D54"/>
    <w:pPr>
      <w:numPr>
        <w:numId w:val="22"/>
      </w:numPr>
      <w:spacing w:after="120" w:line="240" w:lineRule="atLeast"/>
    </w:pPr>
    <w:rPr>
      <w:rFonts w:ascii="Arial" w:eastAsia="Times New Roman" w:hAnsi="Arial" w:cs="Times New Roman"/>
      <w:sz w:val="20"/>
      <w:lang w:eastAsia="ja-JP"/>
    </w:rPr>
  </w:style>
  <w:style w:type="paragraph" w:customStyle="1" w:styleId="Bullet2">
    <w:name w:val="Bullet2"/>
    <w:aliases w:val="b2"/>
    <w:basedOn w:val="Bullet"/>
    <w:rsid w:val="00BD4D54"/>
    <w:pPr>
      <w:numPr>
        <w:ilvl w:val="1"/>
      </w:numPr>
      <w:tabs>
        <w:tab w:val="clear" w:pos="1701"/>
        <w:tab w:val="num" w:pos="720"/>
      </w:tabs>
      <w:ind w:left="720" w:hanging="360"/>
    </w:pPr>
  </w:style>
  <w:style w:type="paragraph" w:customStyle="1" w:styleId="Bullet3">
    <w:name w:val="Bullet3"/>
    <w:basedOn w:val="Bullet"/>
    <w:rsid w:val="00BD4D54"/>
    <w:pPr>
      <w:numPr>
        <w:ilvl w:val="2"/>
      </w:numPr>
      <w:tabs>
        <w:tab w:val="clear" w:pos="2268"/>
        <w:tab w:val="num" w:pos="1080"/>
      </w:tabs>
      <w:ind w:left="1080" w:hanging="360"/>
    </w:pPr>
  </w:style>
  <w:style w:type="character" w:customStyle="1" w:styleId="BulletChar1">
    <w:name w:val="Bullet Char1"/>
    <w:link w:val="Bullet"/>
    <w:rsid w:val="00BD4D54"/>
    <w:rPr>
      <w:rFonts w:ascii="Arial" w:eastAsia="Times New Roman" w:hAnsi="Arial" w:cs="Times New Roman"/>
      <w:lang w:eastAsia="ja-JP"/>
    </w:rPr>
  </w:style>
  <w:style w:type="character" w:customStyle="1" w:styleId="italics1">
    <w:name w:val="italics1"/>
    <w:rsid w:val="00BD4D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atsdr.cdc.gov/toxprofiles/ddt_addendum.pdf" TargetMode="External"/><Relationship Id="rId26" Type="http://schemas.openxmlformats.org/officeDocument/2006/relationships/hyperlink" Target="http://www.epa.gov/iris/" TargetMode="External"/><Relationship Id="rId39" Type="http://schemas.openxmlformats.org/officeDocument/2006/relationships/hyperlink" Target="http://www.epa.gov/reg3hwmd/risk/human/info/solabsg2.htm" TargetMode="External"/><Relationship Id="rId21" Type="http://schemas.openxmlformats.org/officeDocument/2006/relationships/hyperlink" Target="http://www.inchem.org/documents/ehc/ehc/ehc009.htm" TargetMode="External"/><Relationship Id="rId34" Type="http://schemas.openxmlformats.org/officeDocument/2006/relationships/hyperlink" Target="http://www.epa.gov/iris/" TargetMode="External"/><Relationship Id="rId42" Type="http://schemas.openxmlformats.org/officeDocument/2006/relationships/hyperlink" Target="http://www.atsdr.cdc.gov/ToxProfiles/tp.asp?id=746&amp;tid=135" TargetMode="External"/><Relationship Id="rId47" Type="http://schemas.openxmlformats.org/officeDocument/2006/relationships/hyperlink" Target="http://www.who.int/water_sanitation_health/dwq/chemicals/en/index.html" TargetMode="External"/><Relationship Id="rId50" Type="http://schemas.openxmlformats.org/officeDocument/2006/relationships/hyperlink" Target="http://www.inchem.org/pages/jmpr.html" TargetMode="External"/><Relationship Id="rId55" Type="http://schemas.openxmlformats.org/officeDocument/2006/relationships/hyperlink" Target="http://www.atsdr.cdc.gov/ToxProfiles/tp.asp?id=778&amp;tid=151" TargetMode="External"/><Relationship Id="rId63" Type="http://schemas.openxmlformats.org/officeDocument/2006/relationships/hyperlink" Target="http://www.epa.gov/iris/" TargetMode="External"/><Relationship Id="rId68" Type="http://schemas.openxmlformats.org/officeDocument/2006/relationships/header" Target="header5.xml"/><Relationship Id="rId76" Type="http://schemas.openxmlformats.org/officeDocument/2006/relationships/header" Target="header10.xml"/><Relationship Id="rId7" Type="http://schemas.openxmlformats.org/officeDocument/2006/relationships/footnotes" Target="footnotes.xml"/><Relationship Id="rId71"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www.atsdr.cdc.gov/ToxProfiles/tp.asp?id=355&amp;tid=62" TargetMode="External"/><Relationship Id="rId11" Type="http://schemas.openxmlformats.org/officeDocument/2006/relationships/header" Target="header1.xml"/><Relationship Id="rId24" Type="http://schemas.openxmlformats.org/officeDocument/2006/relationships/hyperlink" Target="http://www.atsdr.cdc.gov/ToxProfiles/tp.asp?id=317&amp;tid=56" TargetMode="External"/><Relationship Id="rId32" Type="http://schemas.openxmlformats.org/officeDocument/2006/relationships/hyperlink" Target="http://www.atsdr.cdc.gov/ToxProfiles/tp.asp?id=609&amp;tid=113" TargetMode="External"/><Relationship Id="rId37" Type="http://schemas.openxmlformats.org/officeDocument/2006/relationships/hyperlink" Target="http://www.inchem.org/documents/jmpr/jmpmono/v070pr13.htm" TargetMode="External"/><Relationship Id="rId40" Type="http://schemas.openxmlformats.org/officeDocument/2006/relationships/hyperlink" Target="http://www.epa.gov/iris/" TargetMode="External"/><Relationship Id="rId45" Type="http://schemas.openxmlformats.org/officeDocument/2006/relationships/hyperlink" Target="http://www.epa.gov/iris/" TargetMode="External"/><Relationship Id="rId53" Type="http://schemas.openxmlformats.org/officeDocument/2006/relationships/hyperlink" Target="http://www.epa.gov/iris/" TargetMode="External"/><Relationship Id="rId58" Type="http://schemas.openxmlformats.org/officeDocument/2006/relationships/hyperlink" Target="http://www.epa.gov/reg3hwmd/risk/human/info/solabsg2.htm" TargetMode="External"/><Relationship Id="rId66" Type="http://schemas.openxmlformats.org/officeDocument/2006/relationships/hyperlink" Target="http://www.epa.gov/iris/" TargetMode="External"/><Relationship Id="rId74" Type="http://schemas.openxmlformats.org/officeDocument/2006/relationships/footer" Target="footer6.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atsdr.cdc.gov/ToxProfiles/tp.asp?id=643&amp;tid=118" TargetMode="External"/><Relationship Id="rId10" Type="http://schemas.openxmlformats.org/officeDocument/2006/relationships/footer" Target="footer2.xml"/><Relationship Id="rId19" Type="http://schemas.openxmlformats.org/officeDocument/2006/relationships/hyperlink" Target="http://www.rivm.nl/bibliotheek/rapporten/711701025.html" TargetMode="External"/><Relationship Id="rId31" Type="http://schemas.openxmlformats.org/officeDocument/2006/relationships/hyperlink" Target="http://www.who.int/water_sanitation_health/dwq/chemicals/en/index.html" TargetMode="External"/><Relationship Id="rId44" Type="http://schemas.openxmlformats.org/officeDocument/2006/relationships/hyperlink" Target="http://www.epa.gov/reg3hwmd/risk/human/info/solabsg2.htm" TargetMode="External"/><Relationship Id="rId52" Type="http://schemas.openxmlformats.org/officeDocument/2006/relationships/hyperlink" Target="http://www.epa.gov/reg3hwmd/risk/human/info/solabsg2.htm" TargetMode="External"/><Relationship Id="rId60" Type="http://schemas.openxmlformats.org/officeDocument/2006/relationships/hyperlink" Target="http://www.who.int/water_sanitation_health/dwq/chemicals/en/index.html" TargetMode="External"/><Relationship Id="rId65" Type="http://schemas.openxmlformats.org/officeDocument/2006/relationships/hyperlink" Target="http://www.epa.gov/reg3hwmd/risk/human/info/solabsg2.htm" TargetMode="External"/><Relationship Id="rId73" Type="http://schemas.openxmlformats.org/officeDocument/2006/relationships/header" Target="header9.xm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www.inchem.org/documents/ehc/ehc/ehc83.htm" TargetMode="External"/><Relationship Id="rId27" Type="http://schemas.openxmlformats.org/officeDocument/2006/relationships/hyperlink" Target="http://www.epa.gov/reg3hwmd/risk/human/info/solabsg2.htm" TargetMode="External"/><Relationship Id="rId30" Type="http://schemas.openxmlformats.org/officeDocument/2006/relationships/hyperlink" Target="http://www.epa.gov/iris/" TargetMode="External"/><Relationship Id="rId35" Type="http://schemas.openxmlformats.org/officeDocument/2006/relationships/hyperlink" Target="http://www.who.int/water_sanitation_health/dwq/chemicals/en/index.html" TargetMode="External"/><Relationship Id="rId43" Type="http://schemas.openxmlformats.org/officeDocument/2006/relationships/hyperlink" Target="http://www.inchem.org/pages/jmpr.html" TargetMode="External"/><Relationship Id="rId48" Type="http://schemas.openxmlformats.org/officeDocument/2006/relationships/hyperlink" Target="http://www.environment.gov.au/settlements/chemicals/scheduled-waste/index.html" TargetMode="External"/><Relationship Id="rId56" Type="http://schemas.openxmlformats.org/officeDocument/2006/relationships/hyperlink" Target="http://www.atsdr.cdc.gov/ToxProfiles/tp.asp?id=778&amp;tid=151" TargetMode="External"/><Relationship Id="rId64" Type="http://schemas.openxmlformats.org/officeDocument/2006/relationships/hyperlink" Target="http://www.who.int/water_sanitation_health/dwq/chemicals/en/index.html" TargetMode="External"/><Relationship Id="rId69" Type="http://schemas.openxmlformats.org/officeDocument/2006/relationships/header" Target="header6.xml"/><Relationship Id="rId77" Type="http://schemas.openxmlformats.org/officeDocument/2006/relationships/footer" Target="footer8.xml"/><Relationship Id="rId8" Type="http://schemas.openxmlformats.org/officeDocument/2006/relationships/endnotes" Target="endnotes.xml"/><Relationship Id="rId51" Type="http://schemas.openxmlformats.org/officeDocument/2006/relationships/hyperlink" Target="http://www.rivm.nl/bibliotheek/rapporten/711701025.html" TargetMode="External"/><Relationship Id="rId72" Type="http://schemas.openxmlformats.org/officeDocument/2006/relationships/header" Target="header8.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atsdr.cdc.gov/ToxProfiles/tp.asp?id=81&amp;tid=20" TargetMode="External"/><Relationship Id="rId25" Type="http://schemas.openxmlformats.org/officeDocument/2006/relationships/hyperlink" Target="http://www.rivm.nl/bibliotheek/rapporten/711701025.html" TargetMode="External"/><Relationship Id="rId33" Type="http://schemas.openxmlformats.org/officeDocument/2006/relationships/hyperlink" Target="http://www.epa.gov/reg3hwmd/risk/human/info/solabsg2.htm" TargetMode="External"/><Relationship Id="rId38" Type="http://schemas.openxmlformats.org/officeDocument/2006/relationships/hyperlink" Target="http://www.rivm.nl/bibliotheek/rapporten/711701025.html" TargetMode="External"/><Relationship Id="rId46" Type="http://schemas.openxmlformats.org/officeDocument/2006/relationships/hyperlink" Target="http://www.inchem.org/documents/cicads/cicads/cicad70.htm" TargetMode="External"/><Relationship Id="rId59" Type="http://schemas.openxmlformats.org/officeDocument/2006/relationships/hyperlink" Target="http://www.epa.gov/iris/" TargetMode="External"/><Relationship Id="rId67" Type="http://schemas.openxmlformats.org/officeDocument/2006/relationships/hyperlink" Target="http://www.who.int/water_sanitation_health/dwq/chemicals/en/index.html" TargetMode="External"/><Relationship Id="rId20" Type="http://schemas.openxmlformats.org/officeDocument/2006/relationships/hyperlink" Target="http://www.epa.gov/iris/" TargetMode="External"/><Relationship Id="rId41" Type="http://schemas.openxmlformats.org/officeDocument/2006/relationships/hyperlink" Target="http://www.who.int/water_sanitation_health/dwq/chemicals/en/index.html" TargetMode="External"/><Relationship Id="rId54" Type="http://schemas.openxmlformats.org/officeDocument/2006/relationships/hyperlink" Target="http://www.who.int/water_sanitation_health/dwq/chemicals/en/index.html" TargetMode="External"/><Relationship Id="rId62" Type="http://schemas.openxmlformats.org/officeDocument/2006/relationships/hyperlink" Target="http://www.epa.gov/reg3hwmd/risk/human/info/solabsg2.htm" TargetMode="External"/><Relationship Id="rId70" Type="http://schemas.openxmlformats.org/officeDocument/2006/relationships/footer" Target="footer5.xml"/><Relationship Id="rId75"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who.int/water_sanitation_health/dwq/chemicals/en/index.html" TargetMode="External"/><Relationship Id="rId28" Type="http://schemas.openxmlformats.org/officeDocument/2006/relationships/hyperlink" Target="http://www.who.int/water_sanitation_health/dwq/chemicals/en/index.html" TargetMode="External"/><Relationship Id="rId36" Type="http://schemas.openxmlformats.org/officeDocument/2006/relationships/hyperlink" Target="http://www.atsdr.cdc.gov/ToxProfiles/tp.asp?id=617&amp;tid=114" TargetMode="External"/><Relationship Id="rId49" Type="http://schemas.openxmlformats.org/officeDocument/2006/relationships/hyperlink" Target="http://www.atsdr.cdc.gov/ToxProfiles/tp.asp?id=627&amp;tid=115" TargetMode="External"/><Relationship Id="rId57" Type="http://schemas.openxmlformats.org/officeDocument/2006/relationships/hyperlink" Target="http://www.inchem.org/documents/jmpr/jmpmono/v077pr37.ht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8C228-A5F2-46FA-AA1F-D391E080A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INST_INS.DOTX</Template>
  <TotalTime>47</TotalTime>
  <Pages>57</Pages>
  <Words>19763</Words>
  <Characters>111859</Characters>
  <Application>Microsoft Office Word</Application>
  <DocSecurity>0</DocSecurity>
  <Lines>2943</Lines>
  <Paragraphs>1666</Paragraphs>
  <ScaleCrop>false</ScaleCrop>
  <HeadingPairs>
    <vt:vector size="2" baseType="variant">
      <vt:variant>
        <vt:lpstr>Title</vt:lpstr>
      </vt:variant>
      <vt:variant>
        <vt:i4>1</vt:i4>
      </vt:variant>
    </vt:vector>
  </HeadingPairs>
  <TitlesOfParts>
    <vt:vector size="1" baseType="lpstr">
      <vt:lpstr>National Environment Protection (Assessment of Site Contamination) Amendment Measure 2013 (No. A):Schedule B7 Appendix A3</vt:lpstr>
    </vt:vector>
  </TitlesOfParts>
  <Company>Office of Parliamentary Counsel</Company>
  <LinksUpToDate>false</LinksUpToDate>
  <CharactersWithSpaces>129956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Environment Protection (Assessment of Site Contamination) Amendment Measure 2013 (No. A):Schedule B7 Appendix A3</dc:title>
  <dc:creator>Larsen, Susan</dc:creator>
  <cp:lastModifiedBy>Anuj I. McFarland</cp:lastModifiedBy>
  <cp:revision>36</cp:revision>
  <cp:lastPrinted>2013-03-14T05:19:00Z</cp:lastPrinted>
  <dcterms:created xsi:type="dcterms:W3CDTF">2013-03-05T22:46:00Z</dcterms:created>
  <dcterms:modified xsi:type="dcterms:W3CDTF">2013-03-22T01:52:00Z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LI</vt:lpwstr>
  </property>
  <property fmtid="{D5CDD505-2E9C-101B-9397-08002B2CF9AE}" pid="3" name="ShortT">
    <vt:lpwstr>National Environment Protection (Assessment of Site Contamination) Amendment Measure 2013 (No. A):Schedule B7 Appendix A3;</vt:lpwstr>
  </property>
  <property fmtid="{D5CDD505-2E9C-101B-9397-08002B2CF9AE}" pid="4" name="Class">
    <vt:lpwstr>By-Law</vt:lpwstr>
  </property>
  <property fmtid="{D5CDD505-2E9C-101B-9397-08002B2CF9AE}" pid="5" name="DocType">
    <vt:lpwstr>INS</vt:lpwstr>
  </property>
  <property fmtid="{D5CDD505-2E9C-101B-9397-08002B2CF9AE}" pid="6" name="ID">
    <vt:lpwstr>OPC50357</vt:lpwstr>
  </property>
  <property fmtid="{D5CDD505-2E9C-101B-9397-08002B2CF9AE}" pid="7" name="ActMadeUnder">
    <vt:lpwstr/>
  </property>
  <property fmtid="{D5CDD505-2E9C-101B-9397-08002B2CF9AE}" pid="8" name="NonLegInst">
    <vt:lpwstr>0</vt:lpwstr>
  </property>
  <property fmtid="{D5CDD505-2E9C-101B-9397-08002B2CF9AE}" pid="9" name="Classification">
    <vt:lpwstr>DRAFT-IN-CONFIDENCE</vt:lpwstr>
  </property>
</Properties>
</file>