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026B3B" w:rsidRDefault="00193461" w:rsidP="0048364F">
      <w:pPr>
        <w:rPr>
          <w:sz w:val="28"/>
        </w:rPr>
      </w:pPr>
      <w:r w:rsidRPr="00026B3B">
        <w:rPr>
          <w:noProof/>
          <w:lang w:eastAsia="en-AU"/>
        </w:rPr>
        <w:drawing>
          <wp:inline distT="0" distB="0" distL="0" distR="0" wp14:anchorId="5305E352" wp14:editId="23EE916A">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8364F" w:rsidRPr="00026B3B" w:rsidRDefault="0048364F" w:rsidP="0048364F">
      <w:pPr>
        <w:rPr>
          <w:sz w:val="19"/>
        </w:rPr>
      </w:pPr>
    </w:p>
    <w:p w:rsidR="0048364F" w:rsidRPr="00026B3B" w:rsidRDefault="0048364F" w:rsidP="0048364F">
      <w:pPr>
        <w:rPr>
          <w:sz w:val="19"/>
        </w:rPr>
      </w:pPr>
      <w:bookmarkStart w:id="0" w:name="ConfidenceBlock"/>
      <w:bookmarkEnd w:id="0"/>
    </w:p>
    <w:p w:rsidR="0048364F" w:rsidRPr="00026B3B" w:rsidRDefault="00F46518" w:rsidP="0048364F">
      <w:pPr>
        <w:pStyle w:val="ShortT"/>
      </w:pPr>
      <w:r w:rsidRPr="00026B3B">
        <w:t xml:space="preserve">National Environment Protection (Assessment of Site Contamination) </w:t>
      </w:r>
      <w:r w:rsidR="00043211" w:rsidRPr="00026B3B">
        <w:t xml:space="preserve">Amendment </w:t>
      </w:r>
      <w:r w:rsidRPr="00026B3B">
        <w:t>Measure 2013</w:t>
      </w:r>
      <w:r w:rsidR="00043211" w:rsidRPr="00026B3B">
        <w:t xml:space="preserve"> (No.</w:t>
      </w:r>
      <w:r w:rsidR="00026B3B" w:rsidRPr="00026B3B">
        <w:t> </w:t>
      </w:r>
      <w:r w:rsidR="00AF0EC3" w:rsidRPr="00026B3B">
        <w:t>1</w:t>
      </w:r>
      <w:r w:rsidR="00043211" w:rsidRPr="00026B3B">
        <w:t>)</w:t>
      </w:r>
    </w:p>
    <w:p w:rsidR="000B5C8D" w:rsidRPr="00026B3B" w:rsidRDefault="000B5C8D" w:rsidP="009B62E9">
      <w:pPr>
        <w:pStyle w:val="SignCoverPageStart"/>
      </w:pPr>
      <w:r w:rsidRPr="00026B3B">
        <w:t>The NATIONAL ENVIRONMENT PROTECTION COUNCIL makes the following National Environment Protection Measure under subsection</w:t>
      </w:r>
      <w:r w:rsidR="00026B3B" w:rsidRPr="00026B3B">
        <w:t> </w:t>
      </w:r>
      <w:r w:rsidR="00AF0EC3" w:rsidRPr="00026B3B">
        <w:t>20</w:t>
      </w:r>
      <w:r w:rsidRPr="00026B3B">
        <w:t xml:space="preserve">(1) of the </w:t>
      </w:r>
      <w:r w:rsidRPr="00026B3B">
        <w:rPr>
          <w:i/>
        </w:rPr>
        <w:t>National Environment Protection Council Act 1994</w:t>
      </w:r>
      <w:r w:rsidRPr="00026B3B">
        <w:t xml:space="preserve"> of the Commonwealth, the </w:t>
      </w:r>
      <w:r w:rsidRPr="00026B3B">
        <w:rPr>
          <w:i/>
        </w:rPr>
        <w:t>National Environment Protection Council (New South Wales) Act 1995</w:t>
      </w:r>
      <w:r w:rsidRPr="00026B3B">
        <w:t xml:space="preserve"> of New South Wales, the </w:t>
      </w:r>
      <w:r w:rsidRPr="00026B3B">
        <w:rPr>
          <w:i/>
        </w:rPr>
        <w:t>National Environment Protection Council (Victoria) Act 1995</w:t>
      </w:r>
      <w:r w:rsidRPr="00026B3B">
        <w:t xml:space="preserve"> of Victoria, the </w:t>
      </w:r>
      <w:r w:rsidRPr="00026B3B">
        <w:rPr>
          <w:i/>
        </w:rPr>
        <w:t>National Envi</w:t>
      </w:r>
      <w:r w:rsidR="003F398F" w:rsidRPr="00026B3B">
        <w:rPr>
          <w:i/>
        </w:rPr>
        <w:t>ronment Protection Council (Quee</w:t>
      </w:r>
      <w:r w:rsidRPr="00026B3B">
        <w:rPr>
          <w:i/>
        </w:rPr>
        <w:t>nsland) Act 1994</w:t>
      </w:r>
      <w:r w:rsidRPr="00026B3B">
        <w:t xml:space="preserve"> of Queensland, the </w:t>
      </w:r>
      <w:r w:rsidRPr="00026B3B">
        <w:rPr>
          <w:i/>
        </w:rPr>
        <w:t>National Environment Protection Council (Western Australia) Act 1996</w:t>
      </w:r>
      <w:r w:rsidRPr="00026B3B">
        <w:t xml:space="preserve"> of Western Australia, the </w:t>
      </w:r>
      <w:r w:rsidRPr="00026B3B">
        <w:rPr>
          <w:i/>
        </w:rPr>
        <w:t>National Environment Protection Council (South Australia) Act 1995</w:t>
      </w:r>
      <w:r w:rsidRPr="00026B3B">
        <w:t xml:space="preserve"> of South Australia, the </w:t>
      </w:r>
      <w:r w:rsidRPr="00026B3B">
        <w:rPr>
          <w:i/>
        </w:rPr>
        <w:t>National Environment Protection Council (Tasmania) Act 1995</w:t>
      </w:r>
      <w:r w:rsidRPr="00026B3B">
        <w:t xml:space="preserve"> of Tasmania, the </w:t>
      </w:r>
      <w:r w:rsidRPr="00026B3B">
        <w:rPr>
          <w:i/>
        </w:rPr>
        <w:t>National Environment Protection Council (Northern Territory) Act 1994</w:t>
      </w:r>
      <w:r w:rsidRPr="00026B3B">
        <w:t xml:space="preserve"> of the Northern Territory, and the </w:t>
      </w:r>
      <w:r w:rsidRPr="00026B3B">
        <w:rPr>
          <w:i/>
        </w:rPr>
        <w:t>National Environment Protection Council Act 1994</w:t>
      </w:r>
      <w:r w:rsidRPr="00026B3B">
        <w:t xml:space="preserve"> of the Australian Capital Territory.</w:t>
      </w:r>
    </w:p>
    <w:p w:rsidR="000B5C8D" w:rsidRPr="00026B3B" w:rsidRDefault="000B5C8D" w:rsidP="009A773B"/>
    <w:p w:rsidR="000B5C8D" w:rsidRPr="00026B3B" w:rsidRDefault="000B5C8D" w:rsidP="009B62E9">
      <w:pPr>
        <w:keepNext/>
        <w:spacing w:before="300" w:line="240" w:lineRule="atLeast"/>
        <w:ind w:right="397"/>
        <w:jc w:val="both"/>
      </w:pPr>
      <w:r w:rsidRPr="00026B3B">
        <w:t>Dated:</w:t>
      </w:r>
      <w:r w:rsidRPr="00026B3B">
        <w:tab/>
      </w:r>
      <w:r w:rsidRPr="00026B3B">
        <w:tab/>
      </w:r>
      <w:fldSimple w:instr=" DOCPROPERTY  DateMade ">
        <w:r w:rsidR="000E0071">
          <w:t>11 April 2013</w:t>
        </w:r>
      </w:fldSimple>
    </w:p>
    <w:p w:rsidR="00A14070" w:rsidRPr="00026B3B" w:rsidRDefault="00A14070" w:rsidP="009B62E9">
      <w:pPr>
        <w:keepNext/>
        <w:spacing w:before="300" w:line="240" w:lineRule="atLeast"/>
        <w:ind w:right="397"/>
        <w:jc w:val="both"/>
      </w:pPr>
    </w:p>
    <w:p w:rsidR="00A14070" w:rsidRPr="00026B3B" w:rsidRDefault="00AC6005" w:rsidP="009B62E9">
      <w:pPr>
        <w:keepNext/>
        <w:spacing w:before="300" w:line="240" w:lineRule="atLeast"/>
        <w:ind w:right="397"/>
        <w:jc w:val="both"/>
      </w:pPr>
      <w:r>
        <w:t xml:space="preserve">Mr Theo </w:t>
      </w:r>
      <w:proofErr w:type="spellStart"/>
      <w:r>
        <w:t>Hooy</w:t>
      </w:r>
      <w:proofErr w:type="spellEnd"/>
    </w:p>
    <w:p w:rsidR="00A14070" w:rsidRPr="00026B3B" w:rsidRDefault="00AC6005" w:rsidP="009B62E9">
      <w:pPr>
        <w:keepNext/>
        <w:spacing w:before="300" w:line="240" w:lineRule="atLeast"/>
        <w:ind w:right="397"/>
        <w:jc w:val="both"/>
      </w:pPr>
      <w:r>
        <w:t>National Environment Protection Council Executive Officer on behalf of the</w:t>
      </w:r>
    </w:p>
    <w:p w:rsidR="009A773B" w:rsidRPr="00026B3B" w:rsidRDefault="009A773B" w:rsidP="009A773B">
      <w:bookmarkStart w:id="1" w:name="bkSelection"/>
      <w:bookmarkEnd w:id="1"/>
    </w:p>
    <w:p w:rsidR="000B5C8D" w:rsidRPr="00026B3B" w:rsidRDefault="009A773B" w:rsidP="009B62E9">
      <w:pPr>
        <w:pStyle w:val="SignCoverPageEnd"/>
      </w:pPr>
      <w:r w:rsidRPr="00026B3B">
        <w:t>National Environment Protection Council</w:t>
      </w:r>
      <w:bookmarkStart w:id="2" w:name="_GoBack"/>
      <w:bookmarkEnd w:id="2"/>
    </w:p>
    <w:p w:rsidR="000B5C8D" w:rsidRPr="00026B3B" w:rsidRDefault="000B5C8D" w:rsidP="000B5C8D"/>
    <w:p w:rsidR="0048364F" w:rsidRPr="00026B3B" w:rsidRDefault="0048364F" w:rsidP="0048364F">
      <w:pPr>
        <w:pStyle w:val="Header"/>
        <w:tabs>
          <w:tab w:val="clear" w:pos="4150"/>
          <w:tab w:val="clear" w:pos="8307"/>
        </w:tabs>
      </w:pPr>
      <w:r w:rsidRPr="00026B3B">
        <w:rPr>
          <w:rStyle w:val="CharAmSchNo"/>
        </w:rPr>
        <w:t xml:space="preserve"> </w:t>
      </w:r>
      <w:r w:rsidRPr="00026B3B">
        <w:rPr>
          <w:rStyle w:val="CharAmSchText"/>
        </w:rPr>
        <w:t xml:space="preserve"> </w:t>
      </w:r>
    </w:p>
    <w:p w:rsidR="0048364F" w:rsidRPr="00026B3B" w:rsidRDefault="0048364F" w:rsidP="0048364F">
      <w:pPr>
        <w:pStyle w:val="Header"/>
        <w:tabs>
          <w:tab w:val="clear" w:pos="4150"/>
          <w:tab w:val="clear" w:pos="8307"/>
        </w:tabs>
      </w:pPr>
      <w:r w:rsidRPr="00026B3B">
        <w:rPr>
          <w:rStyle w:val="CharAmPartNo"/>
        </w:rPr>
        <w:t xml:space="preserve"> </w:t>
      </w:r>
      <w:r w:rsidRPr="00026B3B">
        <w:rPr>
          <w:rStyle w:val="CharAmPartText"/>
        </w:rPr>
        <w:t xml:space="preserve"> </w:t>
      </w:r>
    </w:p>
    <w:p w:rsidR="0048364F" w:rsidRPr="00026B3B" w:rsidRDefault="0048364F" w:rsidP="0048364F">
      <w:pPr>
        <w:sectPr w:rsidR="0048364F" w:rsidRPr="00026B3B" w:rsidSect="00F2054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A136F5" w:rsidRPr="00026B3B" w:rsidRDefault="0048364F" w:rsidP="00C26117">
      <w:pPr>
        <w:rPr>
          <w:sz w:val="36"/>
        </w:rPr>
      </w:pPr>
      <w:r w:rsidRPr="00026B3B">
        <w:rPr>
          <w:sz w:val="36"/>
        </w:rPr>
        <w:lastRenderedPageBreak/>
        <w:t>Contents</w:t>
      </w:r>
    </w:p>
    <w:bookmarkStart w:id="3" w:name="BKCheck15B_1"/>
    <w:bookmarkEnd w:id="3"/>
    <w:p w:rsidR="00FD7A20" w:rsidRPr="00026B3B" w:rsidRDefault="00FD7A20">
      <w:pPr>
        <w:pStyle w:val="TOC5"/>
        <w:rPr>
          <w:rFonts w:asciiTheme="minorHAnsi" w:eastAsiaTheme="minorEastAsia" w:hAnsiTheme="minorHAnsi" w:cstheme="minorBidi"/>
          <w:noProof/>
          <w:kern w:val="0"/>
          <w:sz w:val="22"/>
          <w:szCs w:val="22"/>
        </w:rPr>
      </w:pPr>
      <w:r w:rsidRPr="00026B3B">
        <w:fldChar w:fldCharType="begin"/>
      </w:r>
      <w:r w:rsidRPr="00026B3B">
        <w:instrText xml:space="preserve"> TOC \o "1-9" </w:instrText>
      </w:r>
      <w:r w:rsidRPr="00026B3B">
        <w:fldChar w:fldCharType="separate"/>
      </w:r>
      <w:r w:rsidRPr="00026B3B">
        <w:rPr>
          <w:noProof/>
        </w:rPr>
        <w:t>1</w:t>
      </w:r>
      <w:r w:rsidRPr="00026B3B">
        <w:rPr>
          <w:noProof/>
        </w:rPr>
        <w:tab/>
        <w:t>Name of measure</w:t>
      </w:r>
      <w:r w:rsidRPr="00026B3B">
        <w:rPr>
          <w:noProof/>
        </w:rPr>
        <w:tab/>
      </w:r>
      <w:r w:rsidRPr="00026B3B">
        <w:rPr>
          <w:noProof/>
        </w:rPr>
        <w:fldChar w:fldCharType="begin"/>
      </w:r>
      <w:r w:rsidRPr="00026B3B">
        <w:rPr>
          <w:noProof/>
        </w:rPr>
        <w:instrText xml:space="preserve"> PAGEREF _Toc351716273 \h </w:instrText>
      </w:r>
      <w:r w:rsidRPr="00026B3B">
        <w:rPr>
          <w:noProof/>
        </w:rPr>
      </w:r>
      <w:r w:rsidRPr="00026B3B">
        <w:rPr>
          <w:noProof/>
        </w:rPr>
        <w:fldChar w:fldCharType="separate"/>
      </w:r>
      <w:r w:rsidR="000E0071">
        <w:rPr>
          <w:noProof/>
        </w:rPr>
        <w:t>1</w:t>
      </w:r>
      <w:r w:rsidRPr="00026B3B">
        <w:rPr>
          <w:noProof/>
        </w:rPr>
        <w:fldChar w:fldCharType="end"/>
      </w:r>
    </w:p>
    <w:p w:rsidR="00FD7A20" w:rsidRPr="00026B3B" w:rsidRDefault="00FD7A20">
      <w:pPr>
        <w:pStyle w:val="TOC5"/>
        <w:rPr>
          <w:rFonts w:asciiTheme="minorHAnsi" w:eastAsiaTheme="minorEastAsia" w:hAnsiTheme="minorHAnsi" w:cstheme="minorBidi"/>
          <w:noProof/>
          <w:kern w:val="0"/>
          <w:sz w:val="22"/>
          <w:szCs w:val="22"/>
        </w:rPr>
      </w:pPr>
      <w:r w:rsidRPr="00026B3B">
        <w:rPr>
          <w:noProof/>
        </w:rPr>
        <w:t>2</w:t>
      </w:r>
      <w:r w:rsidRPr="00026B3B">
        <w:rPr>
          <w:noProof/>
        </w:rPr>
        <w:tab/>
        <w:t>Commencement</w:t>
      </w:r>
      <w:r w:rsidRPr="00026B3B">
        <w:rPr>
          <w:noProof/>
        </w:rPr>
        <w:tab/>
      </w:r>
      <w:r w:rsidRPr="00026B3B">
        <w:rPr>
          <w:noProof/>
        </w:rPr>
        <w:fldChar w:fldCharType="begin"/>
      </w:r>
      <w:r w:rsidRPr="00026B3B">
        <w:rPr>
          <w:noProof/>
        </w:rPr>
        <w:instrText xml:space="preserve"> PAGEREF _Toc351716274 \h </w:instrText>
      </w:r>
      <w:r w:rsidRPr="00026B3B">
        <w:rPr>
          <w:noProof/>
        </w:rPr>
      </w:r>
      <w:r w:rsidRPr="00026B3B">
        <w:rPr>
          <w:noProof/>
        </w:rPr>
        <w:fldChar w:fldCharType="separate"/>
      </w:r>
      <w:r w:rsidR="000E0071">
        <w:rPr>
          <w:noProof/>
        </w:rPr>
        <w:t>1</w:t>
      </w:r>
      <w:r w:rsidRPr="00026B3B">
        <w:rPr>
          <w:noProof/>
        </w:rPr>
        <w:fldChar w:fldCharType="end"/>
      </w:r>
    </w:p>
    <w:p w:rsidR="00FD7A20" w:rsidRPr="00026B3B" w:rsidRDefault="00FD7A20">
      <w:pPr>
        <w:pStyle w:val="TOC5"/>
        <w:rPr>
          <w:rFonts w:asciiTheme="minorHAnsi" w:eastAsiaTheme="minorEastAsia" w:hAnsiTheme="minorHAnsi" w:cstheme="minorBidi"/>
          <w:noProof/>
          <w:kern w:val="0"/>
          <w:sz w:val="22"/>
          <w:szCs w:val="22"/>
        </w:rPr>
      </w:pPr>
      <w:r w:rsidRPr="00026B3B">
        <w:rPr>
          <w:noProof/>
        </w:rPr>
        <w:t>3</w:t>
      </w:r>
      <w:r w:rsidRPr="00026B3B">
        <w:rPr>
          <w:noProof/>
        </w:rPr>
        <w:tab/>
        <w:t>Authority</w:t>
      </w:r>
      <w:r w:rsidRPr="00026B3B">
        <w:rPr>
          <w:noProof/>
        </w:rPr>
        <w:tab/>
      </w:r>
      <w:r w:rsidRPr="00026B3B">
        <w:rPr>
          <w:noProof/>
        </w:rPr>
        <w:fldChar w:fldCharType="begin"/>
      </w:r>
      <w:r w:rsidRPr="00026B3B">
        <w:rPr>
          <w:noProof/>
        </w:rPr>
        <w:instrText xml:space="preserve"> PAGEREF _Toc351716275 \h </w:instrText>
      </w:r>
      <w:r w:rsidRPr="00026B3B">
        <w:rPr>
          <w:noProof/>
        </w:rPr>
      </w:r>
      <w:r w:rsidRPr="00026B3B">
        <w:rPr>
          <w:noProof/>
        </w:rPr>
        <w:fldChar w:fldCharType="separate"/>
      </w:r>
      <w:r w:rsidR="000E0071">
        <w:rPr>
          <w:noProof/>
        </w:rPr>
        <w:t>1</w:t>
      </w:r>
      <w:r w:rsidRPr="00026B3B">
        <w:rPr>
          <w:noProof/>
        </w:rPr>
        <w:fldChar w:fldCharType="end"/>
      </w:r>
    </w:p>
    <w:p w:rsidR="00FD7A20" w:rsidRPr="00026B3B" w:rsidRDefault="00FD7A20">
      <w:pPr>
        <w:pStyle w:val="TOC5"/>
        <w:rPr>
          <w:rFonts w:asciiTheme="minorHAnsi" w:eastAsiaTheme="minorEastAsia" w:hAnsiTheme="minorHAnsi" w:cstheme="minorBidi"/>
          <w:noProof/>
          <w:kern w:val="0"/>
          <w:sz w:val="22"/>
          <w:szCs w:val="22"/>
        </w:rPr>
      </w:pPr>
      <w:r w:rsidRPr="00026B3B">
        <w:rPr>
          <w:noProof/>
        </w:rPr>
        <w:t>4</w:t>
      </w:r>
      <w:r w:rsidRPr="00026B3B">
        <w:rPr>
          <w:noProof/>
        </w:rPr>
        <w:tab/>
        <w:t>Schedule(s)</w:t>
      </w:r>
      <w:r w:rsidRPr="00026B3B">
        <w:rPr>
          <w:noProof/>
        </w:rPr>
        <w:tab/>
      </w:r>
      <w:r w:rsidRPr="00026B3B">
        <w:rPr>
          <w:noProof/>
        </w:rPr>
        <w:fldChar w:fldCharType="begin"/>
      </w:r>
      <w:r w:rsidRPr="00026B3B">
        <w:rPr>
          <w:noProof/>
        </w:rPr>
        <w:instrText xml:space="preserve"> PAGEREF _Toc351716276 \h </w:instrText>
      </w:r>
      <w:r w:rsidRPr="00026B3B">
        <w:rPr>
          <w:noProof/>
        </w:rPr>
      </w:r>
      <w:r w:rsidRPr="00026B3B">
        <w:rPr>
          <w:noProof/>
        </w:rPr>
        <w:fldChar w:fldCharType="separate"/>
      </w:r>
      <w:r w:rsidR="000E0071">
        <w:rPr>
          <w:noProof/>
        </w:rPr>
        <w:t>1</w:t>
      </w:r>
      <w:r w:rsidRPr="00026B3B">
        <w:rPr>
          <w:noProof/>
        </w:rPr>
        <w:fldChar w:fldCharType="end"/>
      </w:r>
    </w:p>
    <w:p w:rsidR="00FD7A20" w:rsidRPr="00026B3B" w:rsidRDefault="00FD7A20">
      <w:pPr>
        <w:pStyle w:val="TOC6"/>
        <w:rPr>
          <w:rFonts w:asciiTheme="minorHAnsi" w:eastAsiaTheme="minorEastAsia" w:hAnsiTheme="minorHAnsi" w:cstheme="minorBidi"/>
          <w:b w:val="0"/>
          <w:noProof/>
          <w:kern w:val="0"/>
          <w:sz w:val="22"/>
          <w:szCs w:val="22"/>
        </w:rPr>
      </w:pPr>
      <w:r w:rsidRPr="00026B3B">
        <w:rPr>
          <w:noProof/>
        </w:rPr>
        <w:t>Schedule</w:t>
      </w:r>
      <w:r w:rsidR="00026B3B" w:rsidRPr="00026B3B">
        <w:rPr>
          <w:noProof/>
        </w:rPr>
        <w:t> </w:t>
      </w:r>
      <w:r w:rsidRPr="00026B3B">
        <w:rPr>
          <w:noProof/>
        </w:rPr>
        <w:t>1—Amendments</w:t>
      </w:r>
      <w:r w:rsidRPr="00026B3B">
        <w:rPr>
          <w:b w:val="0"/>
          <w:noProof/>
          <w:sz w:val="18"/>
        </w:rPr>
        <w:tab/>
      </w:r>
      <w:r w:rsidRPr="00026B3B">
        <w:rPr>
          <w:b w:val="0"/>
          <w:noProof/>
          <w:sz w:val="18"/>
        </w:rPr>
        <w:fldChar w:fldCharType="begin"/>
      </w:r>
      <w:r w:rsidRPr="00026B3B">
        <w:rPr>
          <w:b w:val="0"/>
          <w:noProof/>
          <w:sz w:val="18"/>
        </w:rPr>
        <w:instrText xml:space="preserve"> PAGEREF _Toc351716277 \h </w:instrText>
      </w:r>
      <w:r w:rsidRPr="00026B3B">
        <w:rPr>
          <w:b w:val="0"/>
          <w:noProof/>
          <w:sz w:val="18"/>
        </w:rPr>
      </w:r>
      <w:r w:rsidRPr="00026B3B">
        <w:rPr>
          <w:b w:val="0"/>
          <w:noProof/>
          <w:sz w:val="18"/>
        </w:rPr>
        <w:fldChar w:fldCharType="separate"/>
      </w:r>
      <w:r w:rsidR="000E0071">
        <w:rPr>
          <w:b w:val="0"/>
          <w:noProof/>
          <w:sz w:val="18"/>
        </w:rPr>
        <w:t>2</w:t>
      </w:r>
      <w:r w:rsidRPr="00026B3B">
        <w:rPr>
          <w:b w:val="0"/>
          <w:noProof/>
          <w:sz w:val="18"/>
        </w:rPr>
        <w:fldChar w:fldCharType="end"/>
      </w:r>
    </w:p>
    <w:p w:rsidR="00FD7A20" w:rsidRPr="00026B3B" w:rsidRDefault="00FD7A20">
      <w:pPr>
        <w:pStyle w:val="TOC9"/>
        <w:rPr>
          <w:rFonts w:asciiTheme="minorHAnsi" w:eastAsiaTheme="minorEastAsia" w:hAnsiTheme="minorHAnsi" w:cstheme="minorBidi"/>
          <w:i w:val="0"/>
          <w:noProof/>
          <w:kern w:val="0"/>
          <w:sz w:val="22"/>
          <w:szCs w:val="22"/>
        </w:rPr>
      </w:pPr>
      <w:r w:rsidRPr="00026B3B">
        <w:rPr>
          <w:noProof/>
        </w:rPr>
        <w:t>National Environment Protection (Assessment of Site Contamination) Measure 1999</w:t>
      </w:r>
      <w:r w:rsidRPr="00026B3B">
        <w:rPr>
          <w:i w:val="0"/>
          <w:noProof/>
          <w:sz w:val="18"/>
        </w:rPr>
        <w:tab/>
      </w:r>
      <w:r w:rsidRPr="00026B3B">
        <w:rPr>
          <w:i w:val="0"/>
          <w:noProof/>
          <w:sz w:val="18"/>
        </w:rPr>
        <w:fldChar w:fldCharType="begin"/>
      </w:r>
      <w:r w:rsidRPr="00026B3B">
        <w:rPr>
          <w:i w:val="0"/>
          <w:noProof/>
          <w:sz w:val="18"/>
        </w:rPr>
        <w:instrText xml:space="preserve"> PAGEREF _Toc351716278 \h </w:instrText>
      </w:r>
      <w:r w:rsidRPr="00026B3B">
        <w:rPr>
          <w:i w:val="0"/>
          <w:noProof/>
          <w:sz w:val="18"/>
        </w:rPr>
      </w:r>
      <w:r w:rsidRPr="00026B3B">
        <w:rPr>
          <w:i w:val="0"/>
          <w:noProof/>
          <w:sz w:val="18"/>
        </w:rPr>
        <w:fldChar w:fldCharType="separate"/>
      </w:r>
      <w:r w:rsidR="000E0071">
        <w:rPr>
          <w:i w:val="0"/>
          <w:noProof/>
          <w:sz w:val="18"/>
        </w:rPr>
        <w:t>2</w:t>
      </w:r>
      <w:r w:rsidRPr="00026B3B">
        <w:rPr>
          <w:i w:val="0"/>
          <w:noProof/>
          <w:sz w:val="18"/>
        </w:rPr>
        <w:fldChar w:fldCharType="end"/>
      </w:r>
    </w:p>
    <w:p w:rsidR="0048364F" w:rsidRPr="00026B3B" w:rsidRDefault="00FD7A20" w:rsidP="0048364F">
      <w:r w:rsidRPr="00026B3B">
        <w:fldChar w:fldCharType="end"/>
      </w:r>
    </w:p>
    <w:p w:rsidR="0048364F" w:rsidRPr="00026B3B" w:rsidRDefault="0048364F" w:rsidP="0048364F">
      <w:pPr>
        <w:sectPr w:rsidR="0048364F" w:rsidRPr="00026B3B" w:rsidSect="00F20546">
          <w:headerReference w:type="even" r:id="rId15"/>
          <w:headerReference w:type="default" r:id="rId16"/>
          <w:footerReference w:type="even" r:id="rId17"/>
          <w:footerReference w:type="default" r:id="rId18"/>
          <w:headerReference w:type="first" r:id="rId19"/>
          <w:pgSz w:w="11907" w:h="16839"/>
          <w:pgMar w:top="1440" w:right="1797" w:bottom="1440" w:left="1797" w:header="720" w:footer="709" w:gutter="0"/>
          <w:pgNumType w:fmt="lowerRoman" w:start="1"/>
          <w:cols w:space="708"/>
          <w:docGrid w:linePitch="360"/>
        </w:sectPr>
      </w:pPr>
    </w:p>
    <w:p w:rsidR="0048364F" w:rsidRPr="00026B3B" w:rsidRDefault="0048364F" w:rsidP="0048364F">
      <w:pPr>
        <w:pStyle w:val="ActHead5"/>
      </w:pPr>
      <w:bookmarkStart w:id="4" w:name="_Toc351716273"/>
      <w:r w:rsidRPr="00026B3B">
        <w:rPr>
          <w:rStyle w:val="CharSectno"/>
        </w:rPr>
        <w:lastRenderedPageBreak/>
        <w:t>1</w:t>
      </w:r>
      <w:r w:rsidRPr="00026B3B">
        <w:t xml:space="preserve">  </w:t>
      </w:r>
      <w:r w:rsidR="004F676E" w:rsidRPr="00026B3B">
        <w:t xml:space="preserve">Name of </w:t>
      </w:r>
      <w:r w:rsidR="00E82D32" w:rsidRPr="00026B3B">
        <w:t>measure</w:t>
      </w:r>
      <w:bookmarkEnd w:id="4"/>
    </w:p>
    <w:p w:rsidR="0048364F" w:rsidRPr="00026B3B" w:rsidRDefault="0048364F" w:rsidP="0048364F">
      <w:pPr>
        <w:pStyle w:val="subsection"/>
      </w:pPr>
      <w:r w:rsidRPr="00026B3B">
        <w:tab/>
      </w:r>
      <w:r w:rsidRPr="00026B3B">
        <w:tab/>
        <w:t xml:space="preserve">This </w:t>
      </w:r>
      <w:r w:rsidR="00E82D32" w:rsidRPr="00026B3B">
        <w:t>measure</w:t>
      </w:r>
      <w:r w:rsidRPr="00026B3B">
        <w:t xml:space="preserve"> may be cited as the </w:t>
      </w:r>
      <w:r w:rsidR="00F46518" w:rsidRPr="00026B3B">
        <w:rPr>
          <w:i/>
        </w:rPr>
        <w:t xml:space="preserve">National Environment Protection (Assessment of Site Contamination) </w:t>
      </w:r>
      <w:r w:rsidR="00043211" w:rsidRPr="00026B3B">
        <w:rPr>
          <w:i/>
        </w:rPr>
        <w:t xml:space="preserve">Amendment </w:t>
      </w:r>
      <w:r w:rsidR="00F46518" w:rsidRPr="00026B3B">
        <w:rPr>
          <w:i/>
        </w:rPr>
        <w:t>Measure 2013</w:t>
      </w:r>
      <w:r w:rsidR="00043211" w:rsidRPr="00026B3B">
        <w:rPr>
          <w:i/>
        </w:rPr>
        <w:t xml:space="preserve"> (No.</w:t>
      </w:r>
      <w:r w:rsidR="00026B3B" w:rsidRPr="00026B3B">
        <w:rPr>
          <w:i/>
        </w:rPr>
        <w:t> </w:t>
      </w:r>
      <w:r w:rsidR="00AF0EC3" w:rsidRPr="00026B3B">
        <w:rPr>
          <w:i/>
        </w:rPr>
        <w:t>1</w:t>
      </w:r>
      <w:r w:rsidR="00043211" w:rsidRPr="00026B3B">
        <w:rPr>
          <w:i/>
        </w:rPr>
        <w:t>)</w:t>
      </w:r>
      <w:r w:rsidRPr="00026B3B">
        <w:t>.</w:t>
      </w:r>
    </w:p>
    <w:p w:rsidR="0048364F" w:rsidRPr="00026B3B" w:rsidRDefault="0048364F" w:rsidP="0048364F">
      <w:pPr>
        <w:pStyle w:val="ActHead5"/>
      </w:pPr>
      <w:bookmarkStart w:id="5" w:name="_Toc351716274"/>
      <w:r w:rsidRPr="00026B3B">
        <w:rPr>
          <w:rStyle w:val="CharSectno"/>
        </w:rPr>
        <w:t>2</w:t>
      </w:r>
      <w:r w:rsidRPr="00026B3B">
        <w:t xml:space="preserve">  Commencement</w:t>
      </w:r>
      <w:bookmarkEnd w:id="5"/>
    </w:p>
    <w:p w:rsidR="004F676E" w:rsidRPr="00026B3B" w:rsidRDefault="004F676E" w:rsidP="004F676E">
      <w:pPr>
        <w:pStyle w:val="subsection"/>
      </w:pPr>
      <w:r w:rsidRPr="00026B3B">
        <w:tab/>
      </w:r>
      <w:r w:rsidRPr="00026B3B">
        <w:tab/>
        <w:t>Th</w:t>
      </w:r>
      <w:r w:rsidR="00562A58" w:rsidRPr="00026B3B">
        <w:t>is</w:t>
      </w:r>
      <w:r w:rsidRPr="00026B3B">
        <w:t xml:space="preserve"> </w:t>
      </w:r>
      <w:r w:rsidR="00E82D32" w:rsidRPr="00026B3B">
        <w:t>measure</w:t>
      </w:r>
      <w:r w:rsidRPr="00026B3B">
        <w:t xml:space="preserve"> commence</w:t>
      </w:r>
      <w:r w:rsidR="00562A58" w:rsidRPr="00026B3B">
        <w:t>s</w:t>
      </w:r>
      <w:r w:rsidRPr="00026B3B">
        <w:t xml:space="preserve"> on</w:t>
      </w:r>
      <w:r w:rsidR="001A3B9F" w:rsidRPr="00026B3B">
        <w:t xml:space="preserve"> </w:t>
      </w:r>
      <w:r w:rsidR="0007208E" w:rsidRPr="00026B3B">
        <w:t xml:space="preserve">the </w:t>
      </w:r>
      <w:r w:rsidR="00E82D32" w:rsidRPr="00026B3B">
        <w:t>day after it is registered</w:t>
      </w:r>
      <w:r w:rsidRPr="00026B3B">
        <w:t>.</w:t>
      </w:r>
    </w:p>
    <w:p w:rsidR="00BF6650" w:rsidRPr="00026B3B" w:rsidRDefault="00BF6650" w:rsidP="00BF6650">
      <w:pPr>
        <w:pStyle w:val="ActHead5"/>
      </w:pPr>
      <w:bookmarkStart w:id="6" w:name="_Toc351716275"/>
      <w:r w:rsidRPr="00026B3B">
        <w:rPr>
          <w:rStyle w:val="CharSectno"/>
        </w:rPr>
        <w:t>3</w:t>
      </w:r>
      <w:r w:rsidRPr="00026B3B">
        <w:t xml:space="preserve">  Authority</w:t>
      </w:r>
      <w:bookmarkEnd w:id="6"/>
    </w:p>
    <w:p w:rsidR="00BF6650" w:rsidRPr="00026B3B" w:rsidRDefault="00BF6650" w:rsidP="00BF6650">
      <w:pPr>
        <w:pStyle w:val="subsection"/>
      </w:pPr>
      <w:r w:rsidRPr="00026B3B">
        <w:tab/>
      </w:r>
      <w:r w:rsidRPr="00026B3B">
        <w:tab/>
        <w:t xml:space="preserve">This </w:t>
      </w:r>
      <w:r w:rsidR="00E82D32" w:rsidRPr="00026B3B">
        <w:t>measure</w:t>
      </w:r>
      <w:r w:rsidRPr="00026B3B">
        <w:t xml:space="preserve"> is made under the </w:t>
      </w:r>
      <w:r w:rsidR="00667483" w:rsidRPr="00026B3B">
        <w:rPr>
          <w:i/>
        </w:rPr>
        <w:t>National Environment Protection Council Act 1994</w:t>
      </w:r>
      <w:r w:rsidR="00947168" w:rsidRPr="00026B3B">
        <w:t xml:space="preserve"> and the equivalent provision of the corresponding Act of each participating State and Territory</w:t>
      </w:r>
      <w:r w:rsidR="00667483" w:rsidRPr="00026B3B">
        <w:t>.</w:t>
      </w:r>
    </w:p>
    <w:p w:rsidR="00557C7A" w:rsidRPr="00026B3B" w:rsidRDefault="00BF6650" w:rsidP="00557C7A">
      <w:pPr>
        <w:pStyle w:val="ActHead5"/>
      </w:pPr>
      <w:bookmarkStart w:id="7" w:name="_Toc351716276"/>
      <w:r w:rsidRPr="00026B3B">
        <w:rPr>
          <w:rStyle w:val="CharSectno"/>
        </w:rPr>
        <w:t>4</w:t>
      </w:r>
      <w:r w:rsidR="00557C7A" w:rsidRPr="00026B3B">
        <w:t xml:space="preserve">  </w:t>
      </w:r>
      <w:r w:rsidR="00083F48" w:rsidRPr="00026B3B">
        <w:t>Schedule(s)</w:t>
      </w:r>
      <w:bookmarkEnd w:id="7"/>
    </w:p>
    <w:p w:rsidR="00557C7A" w:rsidRPr="00026B3B" w:rsidRDefault="00557C7A" w:rsidP="00557C7A">
      <w:pPr>
        <w:pStyle w:val="subsection"/>
      </w:pPr>
      <w:r w:rsidRPr="00026B3B">
        <w:tab/>
      </w:r>
      <w:r w:rsidRPr="00026B3B">
        <w:tab/>
      </w:r>
      <w:r w:rsidR="00083F48" w:rsidRPr="00026B3B">
        <w:t xml:space="preserve">Each </w:t>
      </w:r>
      <w:r w:rsidR="00160BD7" w:rsidRPr="00026B3B">
        <w:t>instrument</w:t>
      </w:r>
      <w:r w:rsidR="00083F48" w:rsidRPr="00026B3B">
        <w:t xml:space="preserve"> that is specified in a Schedule to this</w:t>
      </w:r>
      <w:r w:rsidR="00160BD7" w:rsidRPr="00026B3B">
        <w:t xml:space="preserve"> instrument</w:t>
      </w:r>
      <w:r w:rsidR="00083F48" w:rsidRPr="00026B3B">
        <w:t xml:space="preserve"> is amended or repealed as set out in the applicable items in the Schedule concerned, and any other item in a Schedule to this </w:t>
      </w:r>
      <w:r w:rsidR="00160BD7" w:rsidRPr="00026B3B">
        <w:t>instrument</w:t>
      </w:r>
      <w:r w:rsidR="00083F48" w:rsidRPr="00026B3B">
        <w:t xml:space="preserve"> has effect according to its terms.</w:t>
      </w:r>
    </w:p>
    <w:p w:rsidR="0048364F" w:rsidRPr="00026B3B" w:rsidRDefault="0048364F" w:rsidP="00C26117">
      <w:pPr>
        <w:pStyle w:val="ActHead6"/>
        <w:pageBreakBefore/>
      </w:pPr>
      <w:bookmarkStart w:id="8" w:name="_Toc351716277"/>
      <w:bookmarkStart w:id="9" w:name="opcAmSched"/>
      <w:bookmarkStart w:id="10" w:name="opcCurrentFind"/>
      <w:r w:rsidRPr="00026B3B">
        <w:rPr>
          <w:rStyle w:val="CharAmSchNo"/>
        </w:rPr>
        <w:lastRenderedPageBreak/>
        <w:t>Schedule</w:t>
      </w:r>
      <w:r w:rsidR="00026B3B" w:rsidRPr="00026B3B">
        <w:rPr>
          <w:rStyle w:val="CharAmSchNo"/>
        </w:rPr>
        <w:t> </w:t>
      </w:r>
      <w:r w:rsidRPr="00026B3B">
        <w:rPr>
          <w:rStyle w:val="CharAmSchNo"/>
        </w:rPr>
        <w:t>1</w:t>
      </w:r>
      <w:r w:rsidRPr="00026B3B">
        <w:t>—</w:t>
      </w:r>
      <w:r w:rsidR="00460499" w:rsidRPr="00026B3B">
        <w:rPr>
          <w:rStyle w:val="CharAmSchText"/>
        </w:rPr>
        <w:t>Amendments</w:t>
      </w:r>
      <w:bookmarkEnd w:id="8"/>
    </w:p>
    <w:bookmarkEnd w:id="9"/>
    <w:bookmarkEnd w:id="10"/>
    <w:p w:rsidR="0004044E" w:rsidRPr="00026B3B" w:rsidRDefault="0004044E" w:rsidP="0004044E">
      <w:pPr>
        <w:pStyle w:val="Header"/>
      </w:pPr>
      <w:r w:rsidRPr="00026B3B">
        <w:rPr>
          <w:rStyle w:val="CharAmPartNo"/>
        </w:rPr>
        <w:t xml:space="preserve"> </w:t>
      </w:r>
      <w:r w:rsidRPr="00026B3B">
        <w:rPr>
          <w:rStyle w:val="CharAmPartText"/>
        </w:rPr>
        <w:t xml:space="preserve"> </w:t>
      </w:r>
    </w:p>
    <w:p w:rsidR="00667483" w:rsidRPr="00026B3B" w:rsidRDefault="00667483" w:rsidP="00667483">
      <w:pPr>
        <w:pStyle w:val="ActHead9"/>
      </w:pPr>
      <w:bookmarkStart w:id="11" w:name="_Toc351716278"/>
      <w:r w:rsidRPr="00026B3B">
        <w:t>National Environment Protection (Assessment of Site Contamination) Measure 1999</w:t>
      </w:r>
      <w:bookmarkEnd w:id="11"/>
    </w:p>
    <w:p w:rsidR="00E27902" w:rsidRPr="00026B3B" w:rsidRDefault="00544B67" w:rsidP="007A6863">
      <w:pPr>
        <w:pStyle w:val="ItemHead"/>
      </w:pPr>
      <w:r w:rsidRPr="00026B3B">
        <w:t>1</w:t>
      </w:r>
      <w:r w:rsidR="00E27902" w:rsidRPr="00026B3B">
        <w:t xml:space="preserve">  Introductory note</w:t>
      </w:r>
    </w:p>
    <w:p w:rsidR="00E27902" w:rsidRPr="00026B3B" w:rsidRDefault="00E27902" w:rsidP="00E27902">
      <w:pPr>
        <w:pStyle w:val="Item"/>
      </w:pPr>
      <w:r w:rsidRPr="00026B3B">
        <w:t>Omit “</w:t>
      </w:r>
      <w:proofErr w:type="spellStart"/>
      <w:r w:rsidRPr="00026B3B">
        <w:t>NEPC</w:t>
      </w:r>
      <w:proofErr w:type="spellEnd"/>
      <w:r w:rsidRPr="00026B3B">
        <w:t>”, substitute “National Environment Protection Council”.</w:t>
      </w:r>
    </w:p>
    <w:p w:rsidR="0084172C" w:rsidRPr="00026B3B" w:rsidRDefault="00544B67" w:rsidP="007A6863">
      <w:pPr>
        <w:pStyle w:val="ItemHead"/>
      </w:pPr>
      <w:r w:rsidRPr="00026B3B">
        <w:t>2</w:t>
      </w:r>
      <w:r w:rsidR="00E27902" w:rsidRPr="00026B3B">
        <w:t xml:space="preserve">  </w:t>
      </w:r>
      <w:r w:rsidR="00125FFD" w:rsidRPr="00026B3B">
        <w:t>Section</w:t>
      </w:r>
      <w:r w:rsidR="00026B3B" w:rsidRPr="00026B3B">
        <w:t> </w:t>
      </w:r>
      <w:r w:rsidR="00125FFD" w:rsidRPr="00026B3B">
        <w:t xml:space="preserve">3 (definition of </w:t>
      </w:r>
      <w:r w:rsidR="00125FFD" w:rsidRPr="00026B3B">
        <w:rPr>
          <w:i/>
        </w:rPr>
        <w:t>Contamination</w:t>
      </w:r>
      <w:r w:rsidR="00125FFD" w:rsidRPr="00026B3B">
        <w:t>)</w:t>
      </w:r>
    </w:p>
    <w:p w:rsidR="00125FFD" w:rsidRPr="00026B3B" w:rsidRDefault="00026FE1" w:rsidP="00125FFD">
      <w:pPr>
        <w:pStyle w:val="Item"/>
      </w:pPr>
      <w:r w:rsidRPr="00026B3B">
        <w:t>After “added</w:t>
      </w:r>
      <w:r w:rsidR="00125FFD" w:rsidRPr="00026B3B">
        <w:t>”, insert “</w:t>
      </w:r>
      <w:r w:rsidRPr="00026B3B">
        <w:t xml:space="preserve">as </w:t>
      </w:r>
      <w:r w:rsidR="00125FFD" w:rsidRPr="00026B3B">
        <w:t>a direct or indirect result of human activity”.</w:t>
      </w:r>
    </w:p>
    <w:p w:rsidR="00AB63A8" w:rsidRPr="00026B3B" w:rsidRDefault="00544B67" w:rsidP="00AB63A8">
      <w:pPr>
        <w:pStyle w:val="ItemHead"/>
      </w:pPr>
      <w:r w:rsidRPr="00026B3B">
        <w:t>3</w:t>
      </w:r>
      <w:r w:rsidR="00AB63A8" w:rsidRPr="00026B3B">
        <w:t xml:space="preserve">  Section</w:t>
      </w:r>
      <w:r w:rsidR="00026B3B" w:rsidRPr="00026B3B">
        <w:t> </w:t>
      </w:r>
      <w:r w:rsidR="00AB63A8" w:rsidRPr="00026B3B">
        <w:t xml:space="preserve">3 (definition of </w:t>
      </w:r>
      <w:r w:rsidR="003C4E7D" w:rsidRPr="00026B3B">
        <w:rPr>
          <w:i/>
        </w:rPr>
        <w:t>Health Risk M</w:t>
      </w:r>
      <w:r w:rsidR="00AB63A8" w:rsidRPr="00026B3B">
        <w:rPr>
          <w:i/>
        </w:rPr>
        <w:t>anagement</w:t>
      </w:r>
      <w:r w:rsidR="00AB63A8" w:rsidRPr="00026B3B">
        <w:t>)</w:t>
      </w:r>
    </w:p>
    <w:p w:rsidR="00AB63A8" w:rsidRPr="00026B3B" w:rsidRDefault="00AB63A8" w:rsidP="00AB63A8">
      <w:pPr>
        <w:pStyle w:val="Item"/>
      </w:pPr>
      <w:r w:rsidRPr="00026B3B">
        <w:t>Omit “alternative actions and selecting options in response to”, substitute “</w:t>
      </w:r>
      <w:r w:rsidR="00E9504B" w:rsidRPr="00026B3B">
        <w:t>and implementing appropriate options to address risks identified from”.</w:t>
      </w:r>
    </w:p>
    <w:p w:rsidR="00E9504B" w:rsidRPr="00026B3B" w:rsidRDefault="00544B67" w:rsidP="00E9504B">
      <w:pPr>
        <w:pStyle w:val="ItemHead"/>
      </w:pPr>
      <w:r w:rsidRPr="00026B3B">
        <w:t>4</w:t>
      </w:r>
      <w:r w:rsidR="00E9504B" w:rsidRPr="00026B3B">
        <w:t xml:space="preserve">  Section</w:t>
      </w:r>
      <w:r w:rsidR="00026B3B" w:rsidRPr="00026B3B">
        <w:t> </w:t>
      </w:r>
      <w:r w:rsidR="00E9504B" w:rsidRPr="00026B3B">
        <w:t>3</w:t>
      </w:r>
      <w:r w:rsidR="00ED1FD3" w:rsidRPr="00026B3B">
        <w:t xml:space="preserve"> (definition</w:t>
      </w:r>
      <w:r w:rsidR="00D554D4" w:rsidRPr="00026B3B">
        <w:t>s</w:t>
      </w:r>
      <w:r w:rsidR="00ED1FD3" w:rsidRPr="00026B3B">
        <w:t xml:space="preserve"> of </w:t>
      </w:r>
      <w:r w:rsidR="00ED1FD3" w:rsidRPr="00026B3B">
        <w:rPr>
          <w:i/>
        </w:rPr>
        <w:t>Investigation level</w:t>
      </w:r>
      <w:r w:rsidR="00D554D4" w:rsidRPr="00026B3B">
        <w:rPr>
          <w:i/>
        </w:rPr>
        <w:t xml:space="preserve"> </w:t>
      </w:r>
      <w:r w:rsidR="00D554D4" w:rsidRPr="00026B3B">
        <w:t>and</w:t>
      </w:r>
      <w:r w:rsidR="00D554D4" w:rsidRPr="00026B3B">
        <w:rPr>
          <w:i/>
        </w:rPr>
        <w:t xml:space="preserve"> Response Level</w:t>
      </w:r>
      <w:r w:rsidR="00ED1FD3" w:rsidRPr="00026B3B">
        <w:t>)</w:t>
      </w:r>
    </w:p>
    <w:p w:rsidR="003C4E7D" w:rsidRPr="00026B3B" w:rsidRDefault="00ED1FD3" w:rsidP="00E9504B">
      <w:pPr>
        <w:pStyle w:val="Item"/>
      </w:pPr>
      <w:r w:rsidRPr="00026B3B">
        <w:t>Repeal the definition</w:t>
      </w:r>
      <w:r w:rsidR="00D554D4" w:rsidRPr="00026B3B">
        <w:t>s</w:t>
      </w:r>
      <w:r w:rsidR="003C4E7D" w:rsidRPr="00026B3B">
        <w:t>.</w:t>
      </w:r>
    </w:p>
    <w:p w:rsidR="003C4E7D" w:rsidRPr="00026B3B" w:rsidRDefault="00544B67" w:rsidP="003C4E7D">
      <w:pPr>
        <w:pStyle w:val="ItemHead"/>
      </w:pPr>
      <w:r w:rsidRPr="00026B3B">
        <w:t>5</w:t>
      </w:r>
      <w:r w:rsidR="003C4E7D" w:rsidRPr="00026B3B">
        <w:t xml:space="preserve">  Section</w:t>
      </w:r>
      <w:r w:rsidR="00026B3B" w:rsidRPr="00026B3B">
        <w:t> </w:t>
      </w:r>
      <w:r w:rsidR="003C4E7D" w:rsidRPr="00026B3B">
        <w:t>3</w:t>
      </w:r>
    </w:p>
    <w:p w:rsidR="00E9504B" w:rsidRPr="00026B3B" w:rsidRDefault="003C4E7D" w:rsidP="00E9504B">
      <w:pPr>
        <w:pStyle w:val="Item"/>
      </w:pPr>
      <w:r w:rsidRPr="00026B3B">
        <w:t>Insert</w:t>
      </w:r>
      <w:r w:rsidR="00E9504B" w:rsidRPr="00026B3B">
        <w:t>:</w:t>
      </w:r>
    </w:p>
    <w:p w:rsidR="00E9504B" w:rsidRPr="00026B3B" w:rsidRDefault="00ED1FD3" w:rsidP="00E9504B">
      <w:pPr>
        <w:pStyle w:val="Definition"/>
      </w:pPr>
      <w:r w:rsidRPr="00026B3B">
        <w:rPr>
          <w:b/>
          <w:i/>
        </w:rPr>
        <w:t>Investigation or S</w:t>
      </w:r>
      <w:r w:rsidR="00012A19" w:rsidRPr="00026B3B">
        <w:rPr>
          <w:b/>
          <w:i/>
        </w:rPr>
        <w:t>creening L</w:t>
      </w:r>
      <w:r w:rsidR="00E9504B" w:rsidRPr="00026B3B">
        <w:rPr>
          <w:b/>
          <w:i/>
        </w:rPr>
        <w:t>evel</w:t>
      </w:r>
      <w:r w:rsidR="00E9504B" w:rsidRPr="00026B3B">
        <w:t xml:space="preserve"> means the concentration of a contaminant above which further appropriate investigation and evaluation will be required.</w:t>
      </w:r>
    </w:p>
    <w:p w:rsidR="00E9504B" w:rsidRPr="00026B3B" w:rsidRDefault="00544B67" w:rsidP="00E9504B">
      <w:pPr>
        <w:pStyle w:val="ItemHead"/>
      </w:pPr>
      <w:r w:rsidRPr="00026B3B">
        <w:t>6</w:t>
      </w:r>
      <w:r w:rsidR="00782BEB" w:rsidRPr="00026B3B">
        <w:t xml:space="preserve">  Section</w:t>
      </w:r>
      <w:r w:rsidR="00026B3B" w:rsidRPr="00026B3B">
        <w:t> </w:t>
      </w:r>
      <w:r w:rsidR="00782BEB" w:rsidRPr="00026B3B">
        <w:t xml:space="preserve">3 (definition of </w:t>
      </w:r>
      <w:r w:rsidR="00782BEB" w:rsidRPr="00026B3B">
        <w:rPr>
          <w:i/>
        </w:rPr>
        <w:t>Risk</w:t>
      </w:r>
      <w:r w:rsidR="00782BEB" w:rsidRPr="00026B3B">
        <w:t>)</w:t>
      </w:r>
    </w:p>
    <w:p w:rsidR="00782BEB" w:rsidRPr="00026B3B" w:rsidRDefault="00782BEB" w:rsidP="00782BEB">
      <w:pPr>
        <w:pStyle w:val="Item"/>
      </w:pPr>
      <w:r w:rsidRPr="00026B3B">
        <w:t>Omit “hazardous agent</w:t>
      </w:r>
      <w:r w:rsidR="00FA1EC1" w:rsidRPr="00026B3B">
        <w:t>”</w:t>
      </w:r>
      <w:r w:rsidR="00764EF5" w:rsidRPr="00026B3B">
        <w:t xml:space="preserve"> (wherever </w:t>
      </w:r>
      <w:r w:rsidR="00A82F57" w:rsidRPr="00026B3B">
        <w:t>occurring</w:t>
      </w:r>
      <w:r w:rsidR="00764EF5" w:rsidRPr="00026B3B">
        <w:t>)</w:t>
      </w:r>
      <w:r w:rsidRPr="00026B3B">
        <w:t xml:space="preserve">, substitute </w:t>
      </w:r>
      <w:r w:rsidR="00FA1EC1" w:rsidRPr="00026B3B">
        <w:t>“</w:t>
      </w:r>
      <w:r w:rsidRPr="00026B3B">
        <w:t>chemical substance</w:t>
      </w:r>
      <w:r w:rsidR="00FA1EC1" w:rsidRPr="00026B3B">
        <w:t>”</w:t>
      </w:r>
      <w:r w:rsidRPr="00026B3B">
        <w:t>.</w:t>
      </w:r>
    </w:p>
    <w:p w:rsidR="00012A19" w:rsidRPr="00026B3B" w:rsidRDefault="00544B67" w:rsidP="00012A19">
      <w:pPr>
        <w:pStyle w:val="ItemHead"/>
      </w:pPr>
      <w:r w:rsidRPr="00026B3B">
        <w:t>7</w:t>
      </w:r>
      <w:r w:rsidR="00012A19" w:rsidRPr="00026B3B">
        <w:t xml:space="preserve">  Section</w:t>
      </w:r>
      <w:r w:rsidR="00026B3B" w:rsidRPr="00026B3B">
        <w:t> </w:t>
      </w:r>
      <w:r w:rsidR="00012A19" w:rsidRPr="00026B3B">
        <w:t>6 (principle</w:t>
      </w:r>
      <w:r w:rsidR="00026B3B" w:rsidRPr="00026B3B">
        <w:t> </w:t>
      </w:r>
      <w:r w:rsidR="00012A19" w:rsidRPr="00026B3B">
        <w:t>3)</w:t>
      </w:r>
    </w:p>
    <w:p w:rsidR="00012A19" w:rsidRPr="00026B3B" w:rsidRDefault="00012A19" w:rsidP="00012A19">
      <w:pPr>
        <w:pStyle w:val="Item"/>
      </w:pPr>
      <w:r w:rsidRPr="00026B3B">
        <w:t xml:space="preserve">Omit </w:t>
      </w:r>
      <w:r w:rsidR="00ED1FD3" w:rsidRPr="00026B3B">
        <w:t>“</w:t>
      </w:r>
      <w:r w:rsidR="00026FE1" w:rsidRPr="00026B3B">
        <w:t>Levels or Response</w:t>
      </w:r>
      <w:r w:rsidR="00ED1FD3" w:rsidRPr="00026B3B">
        <w:t>”, substitute “or S</w:t>
      </w:r>
      <w:r w:rsidR="00026FE1" w:rsidRPr="00026B3B">
        <w:t>creening</w:t>
      </w:r>
      <w:r w:rsidRPr="00026B3B">
        <w:t>”.</w:t>
      </w:r>
    </w:p>
    <w:p w:rsidR="00AA4D8A" w:rsidRPr="00026B3B" w:rsidRDefault="00544B67" w:rsidP="00AA4D8A">
      <w:pPr>
        <w:pStyle w:val="ItemHead"/>
      </w:pPr>
      <w:r w:rsidRPr="00026B3B">
        <w:t>8</w:t>
      </w:r>
      <w:r w:rsidR="00AA4D8A" w:rsidRPr="00026B3B">
        <w:t xml:space="preserve">  Section</w:t>
      </w:r>
      <w:r w:rsidR="00026B3B" w:rsidRPr="00026B3B">
        <w:t> </w:t>
      </w:r>
      <w:r w:rsidR="00AA4D8A" w:rsidRPr="00026B3B">
        <w:t>6 (principle</w:t>
      </w:r>
      <w:r w:rsidR="00026B3B" w:rsidRPr="00026B3B">
        <w:t> </w:t>
      </w:r>
      <w:r w:rsidR="00AA4D8A" w:rsidRPr="00026B3B">
        <w:t>5)</w:t>
      </w:r>
    </w:p>
    <w:p w:rsidR="00CA4FD3" w:rsidRPr="00026B3B" w:rsidRDefault="00CA4FD3" w:rsidP="00CA4FD3">
      <w:pPr>
        <w:pStyle w:val="Item"/>
      </w:pPr>
      <w:r w:rsidRPr="00026B3B">
        <w:t>Repeal the principle, substitute:</w:t>
      </w:r>
    </w:p>
    <w:p w:rsidR="00AA4D8A" w:rsidRPr="00026B3B" w:rsidRDefault="00AA4D8A" w:rsidP="00AA4D8A">
      <w:pPr>
        <w:pStyle w:val="ActHead5"/>
      </w:pPr>
      <w:bookmarkStart w:id="12" w:name="_Toc351716279"/>
      <w:r w:rsidRPr="00026B3B">
        <w:rPr>
          <w:rStyle w:val="CharSectno"/>
        </w:rPr>
        <w:t>(5)</w:t>
      </w:r>
      <w:r w:rsidRPr="00026B3B">
        <w:t xml:space="preserve">  Planning and development</w:t>
      </w:r>
      <w:bookmarkEnd w:id="12"/>
    </w:p>
    <w:p w:rsidR="00AA4D8A" w:rsidRPr="00026B3B" w:rsidRDefault="00AA4D8A" w:rsidP="00AA4D8A">
      <w:pPr>
        <w:pStyle w:val="subsection"/>
      </w:pPr>
      <w:r w:rsidRPr="00026B3B">
        <w:tab/>
      </w:r>
      <w:r w:rsidR="00751B92" w:rsidRPr="00026B3B">
        <w:tab/>
      </w:r>
      <w:r w:rsidR="00CC48F0" w:rsidRPr="00026B3B">
        <w:t>A</w:t>
      </w:r>
      <w:r w:rsidR="00751B92" w:rsidRPr="00026B3B">
        <w:t>uthorities of participating jurisdictions</w:t>
      </w:r>
      <w:r w:rsidR="003041A4" w:rsidRPr="00026B3B">
        <w:t xml:space="preserve"> </w:t>
      </w:r>
      <w:r w:rsidR="006223BD" w:rsidRPr="00026B3B">
        <w:t>(</w:t>
      </w:r>
      <w:r w:rsidR="0007208E" w:rsidRPr="00026B3B">
        <w:t>at local and State government level</w:t>
      </w:r>
      <w:r w:rsidR="006223BD" w:rsidRPr="00026B3B">
        <w:t>)</w:t>
      </w:r>
      <w:r w:rsidR="00CC48F0" w:rsidRPr="00026B3B">
        <w:t xml:space="preserve"> that consent to developments, or changes in land use</w:t>
      </w:r>
      <w:r w:rsidR="003041A4" w:rsidRPr="00026B3B">
        <w:t>,</w:t>
      </w:r>
      <w:r w:rsidR="00751B92" w:rsidRPr="00026B3B">
        <w:t xml:space="preserve"> should ensure a site</w:t>
      </w:r>
      <w:r w:rsidR="003041A4" w:rsidRPr="00026B3B">
        <w:t xml:space="preserve"> that</w:t>
      </w:r>
      <w:r w:rsidR="00751B92" w:rsidRPr="00026B3B">
        <w:t xml:space="preserve"> is being considered for </w:t>
      </w:r>
      <w:r w:rsidR="00CC48F0" w:rsidRPr="00026B3B">
        <w:t xml:space="preserve">development or </w:t>
      </w:r>
      <w:r w:rsidR="00751B92" w:rsidRPr="00026B3B">
        <w:t>a change in land use</w:t>
      </w:r>
      <w:r w:rsidR="003041A4" w:rsidRPr="00026B3B">
        <w:t>,</w:t>
      </w:r>
      <w:r w:rsidR="00751B92" w:rsidRPr="00026B3B">
        <w:t xml:space="preserve"> and that the authorities ought reasonably know </w:t>
      </w:r>
      <w:r w:rsidR="00764EF5" w:rsidRPr="00026B3B">
        <w:t xml:space="preserve">if it </w:t>
      </w:r>
      <w:r w:rsidR="00751B92" w:rsidRPr="00026B3B">
        <w:t>has a history of use that is indicative of potential contamination, is suitable for its intended use.</w:t>
      </w:r>
    </w:p>
    <w:p w:rsidR="00751B92" w:rsidRPr="00026B3B" w:rsidRDefault="00CA4FD3" w:rsidP="00751B92">
      <w:pPr>
        <w:pStyle w:val="ActHead5"/>
      </w:pPr>
      <w:bookmarkStart w:id="13" w:name="_Toc351716280"/>
      <w:r w:rsidRPr="00026B3B">
        <w:rPr>
          <w:rStyle w:val="CharSectno"/>
        </w:rPr>
        <w:t>(5A</w:t>
      </w:r>
      <w:r w:rsidR="00751B92" w:rsidRPr="00026B3B">
        <w:rPr>
          <w:rStyle w:val="CharSectno"/>
        </w:rPr>
        <w:t>)</w:t>
      </w:r>
      <w:r w:rsidR="00751B92" w:rsidRPr="00026B3B">
        <w:t xml:space="preserve">  Decommissioning of industrial activities</w:t>
      </w:r>
      <w:bookmarkEnd w:id="13"/>
    </w:p>
    <w:p w:rsidR="00ED1FD3" w:rsidRPr="00026B3B" w:rsidRDefault="00ED1FD3" w:rsidP="00ED1FD3">
      <w:pPr>
        <w:pStyle w:val="subsection"/>
      </w:pPr>
      <w:r w:rsidRPr="00026B3B">
        <w:tab/>
      </w:r>
      <w:r w:rsidRPr="00026B3B">
        <w:tab/>
        <w:t xml:space="preserve">Industries, including mining and mineral processing industries, are </w:t>
      </w:r>
      <w:r w:rsidR="00D8145A" w:rsidRPr="00026B3B">
        <w:t>responsible for ensuring that,</w:t>
      </w:r>
      <w:r w:rsidRPr="00026B3B">
        <w:t xml:space="preserve"> when </w:t>
      </w:r>
      <w:r w:rsidR="006223BD" w:rsidRPr="00026B3B">
        <w:t>equipment on a site is dismantled or</w:t>
      </w:r>
      <w:r w:rsidRPr="00026B3B">
        <w:t xml:space="preserve"> a site </w:t>
      </w:r>
      <w:r w:rsidR="006223BD" w:rsidRPr="00026B3B">
        <w:t>is otherwise</w:t>
      </w:r>
      <w:r w:rsidRPr="00026B3B">
        <w:t xml:space="preserve"> decommission</w:t>
      </w:r>
      <w:r w:rsidR="00D8145A" w:rsidRPr="00026B3B">
        <w:t>ed, appropriate measures are taken</w:t>
      </w:r>
      <w:r w:rsidRPr="00026B3B">
        <w:t xml:space="preserve"> to leave the site in a safe and stable condition in order to </w:t>
      </w:r>
      <w:r w:rsidRPr="00026B3B">
        <w:rPr>
          <w:sz w:val="23"/>
          <w:szCs w:val="23"/>
        </w:rPr>
        <w:t>prevent or</w:t>
      </w:r>
      <w:r w:rsidR="00C47F46" w:rsidRPr="00026B3B">
        <w:rPr>
          <w:sz w:val="23"/>
          <w:szCs w:val="23"/>
        </w:rPr>
        <w:t>, as far as practical,</w:t>
      </w:r>
      <w:r w:rsidRPr="00026B3B">
        <w:rPr>
          <w:sz w:val="23"/>
          <w:szCs w:val="23"/>
        </w:rPr>
        <w:t xml:space="preserve"> minimise adverse long</w:t>
      </w:r>
      <w:r w:rsidR="00026B3B" w:rsidRPr="00026B3B">
        <w:rPr>
          <w:sz w:val="23"/>
          <w:szCs w:val="23"/>
        </w:rPr>
        <w:noBreakHyphen/>
      </w:r>
      <w:r w:rsidRPr="00026B3B">
        <w:rPr>
          <w:sz w:val="23"/>
          <w:szCs w:val="23"/>
        </w:rPr>
        <w:t>term environmental (physical, social and economic) impacts</w:t>
      </w:r>
      <w:r w:rsidRPr="00026B3B">
        <w:t>.</w:t>
      </w:r>
    </w:p>
    <w:p w:rsidR="00CA4FD3" w:rsidRPr="00026B3B" w:rsidRDefault="00544B67" w:rsidP="00CA4FD3">
      <w:pPr>
        <w:pStyle w:val="ItemHead"/>
      </w:pPr>
      <w:r w:rsidRPr="00026B3B">
        <w:lastRenderedPageBreak/>
        <w:t>9</w:t>
      </w:r>
      <w:r w:rsidR="00CA4FD3" w:rsidRPr="00026B3B">
        <w:t xml:space="preserve">  Section</w:t>
      </w:r>
      <w:r w:rsidR="00026B3B" w:rsidRPr="00026B3B">
        <w:t> </w:t>
      </w:r>
      <w:r w:rsidR="00CA4FD3" w:rsidRPr="00026B3B">
        <w:t>6 (principle</w:t>
      </w:r>
      <w:r w:rsidR="00026B3B" w:rsidRPr="00026B3B">
        <w:t> </w:t>
      </w:r>
      <w:r w:rsidR="00CA4FD3" w:rsidRPr="00026B3B">
        <w:t>7)</w:t>
      </w:r>
    </w:p>
    <w:p w:rsidR="00CA4FD3" w:rsidRPr="00026B3B" w:rsidRDefault="00CA4FD3" w:rsidP="00CA4FD3">
      <w:pPr>
        <w:pStyle w:val="Item"/>
      </w:pPr>
      <w:r w:rsidRPr="00026B3B">
        <w:t xml:space="preserve">Repeal the </w:t>
      </w:r>
      <w:r w:rsidR="00FE4074" w:rsidRPr="00026B3B">
        <w:t>principle</w:t>
      </w:r>
      <w:r w:rsidRPr="00026B3B">
        <w:t>, substitute:</w:t>
      </w:r>
    </w:p>
    <w:p w:rsidR="00A73CDF" w:rsidRPr="00026B3B" w:rsidRDefault="00A73CDF" w:rsidP="00FE4074">
      <w:pPr>
        <w:pStyle w:val="ActHead5"/>
      </w:pPr>
      <w:bookmarkStart w:id="14" w:name="_Toc351716281"/>
      <w:r w:rsidRPr="00026B3B">
        <w:rPr>
          <w:rStyle w:val="CharSectno"/>
        </w:rPr>
        <w:t>(7)</w:t>
      </w:r>
      <w:r w:rsidRPr="00026B3B">
        <w:t xml:space="preserve">  Community engagement</w:t>
      </w:r>
      <w:bookmarkEnd w:id="14"/>
    </w:p>
    <w:p w:rsidR="00FE4074" w:rsidRPr="00026B3B" w:rsidRDefault="00BE65CA" w:rsidP="00BE65CA">
      <w:pPr>
        <w:pStyle w:val="subsection"/>
      </w:pPr>
      <w:r w:rsidRPr="00026B3B">
        <w:tab/>
      </w:r>
      <w:r w:rsidRPr="00026B3B">
        <w:tab/>
        <w:t xml:space="preserve">If a community could reasonably have an interest in the potential </w:t>
      </w:r>
      <w:r w:rsidR="0047692E" w:rsidRPr="00026B3B">
        <w:t>site contamination</w:t>
      </w:r>
      <w:r w:rsidRPr="00026B3B">
        <w:t xml:space="preserve">, community engagement should start at an early stage of, and continue throughout, the </w:t>
      </w:r>
      <w:r w:rsidR="00312070" w:rsidRPr="00026B3B">
        <w:t xml:space="preserve">process of assessment of </w:t>
      </w:r>
      <w:r w:rsidR="0047692E" w:rsidRPr="00026B3B">
        <w:t>site contamination</w:t>
      </w:r>
      <w:r w:rsidRPr="00026B3B">
        <w:t>.</w:t>
      </w:r>
    </w:p>
    <w:p w:rsidR="00A73CDF" w:rsidRPr="00026B3B" w:rsidRDefault="00544B67" w:rsidP="00A73CDF">
      <w:pPr>
        <w:pStyle w:val="ItemHead"/>
      </w:pPr>
      <w:r w:rsidRPr="00026B3B">
        <w:t>10</w:t>
      </w:r>
      <w:r w:rsidR="00A73CDF" w:rsidRPr="00026B3B">
        <w:t xml:space="preserve">  </w:t>
      </w:r>
      <w:r w:rsidR="00861292" w:rsidRPr="00026B3B">
        <w:t>Section</w:t>
      </w:r>
      <w:r w:rsidR="00026B3B" w:rsidRPr="00026B3B">
        <w:t> </w:t>
      </w:r>
      <w:r w:rsidR="00861292" w:rsidRPr="00026B3B">
        <w:t>6 (principle</w:t>
      </w:r>
      <w:r w:rsidR="00026B3B" w:rsidRPr="00026B3B">
        <w:t> </w:t>
      </w:r>
      <w:r w:rsidR="00861292" w:rsidRPr="00026B3B">
        <w:t>10)</w:t>
      </w:r>
    </w:p>
    <w:p w:rsidR="00861292" w:rsidRPr="00026B3B" w:rsidRDefault="00861292" w:rsidP="00861292">
      <w:pPr>
        <w:pStyle w:val="Item"/>
      </w:pPr>
      <w:r w:rsidRPr="00026B3B">
        <w:t>Repeal the principle, substitute:</w:t>
      </w:r>
    </w:p>
    <w:p w:rsidR="00A73CDF" w:rsidRPr="00026B3B" w:rsidRDefault="00A73CDF" w:rsidP="00861292">
      <w:pPr>
        <w:pStyle w:val="ActHead5"/>
      </w:pPr>
      <w:bookmarkStart w:id="15" w:name="_Toc351716282"/>
      <w:r w:rsidRPr="00026B3B">
        <w:rPr>
          <w:rStyle w:val="CharSectno"/>
        </w:rPr>
        <w:t>(</w:t>
      </w:r>
      <w:r w:rsidR="00861292" w:rsidRPr="00026B3B">
        <w:rPr>
          <w:rStyle w:val="CharSectno"/>
        </w:rPr>
        <w:t>10</w:t>
      </w:r>
      <w:r w:rsidRPr="00026B3B">
        <w:rPr>
          <w:rStyle w:val="CharSectno"/>
        </w:rPr>
        <w:t>)</w:t>
      </w:r>
      <w:r w:rsidRPr="00026B3B">
        <w:t xml:space="preserve">  </w:t>
      </w:r>
      <w:r w:rsidR="00861292" w:rsidRPr="00026B3B">
        <w:t>Site assessment process</w:t>
      </w:r>
      <w:bookmarkEnd w:id="15"/>
    </w:p>
    <w:p w:rsidR="00861292" w:rsidRPr="00026B3B" w:rsidRDefault="00861292" w:rsidP="00861292">
      <w:pPr>
        <w:pStyle w:val="subsection"/>
      </w:pPr>
      <w:r w:rsidRPr="00026B3B">
        <w:tab/>
      </w:r>
      <w:r w:rsidRPr="00026B3B">
        <w:tab/>
        <w:t xml:space="preserve">The recommended general process for the assessment of </w:t>
      </w:r>
      <w:r w:rsidR="0047692E" w:rsidRPr="00026B3B">
        <w:t>site contamination</w:t>
      </w:r>
      <w:r w:rsidRPr="00026B3B">
        <w:t xml:space="preserve"> is shown in Schedule A. The assessment should be</w:t>
      </w:r>
      <w:r w:rsidR="006E7309" w:rsidRPr="00026B3B">
        <w:t xml:space="preserve"> conducted by professionals who</w:t>
      </w:r>
      <w:r w:rsidRPr="00026B3B">
        <w:t xml:space="preserve"> have the relevant qualifications, competencies and experience.</w:t>
      </w:r>
    </w:p>
    <w:p w:rsidR="00861292" w:rsidRPr="00026B3B" w:rsidRDefault="00544B67" w:rsidP="00861292">
      <w:pPr>
        <w:pStyle w:val="ItemHead"/>
      </w:pPr>
      <w:r w:rsidRPr="00026B3B">
        <w:t>11</w:t>
      </w:r>
      <w:r w:rsidR="00861292" w:rsidRPr="00026B3B">
        <w:t xml:space="preserve">  Section</w:t>
      </w:r>
      <w:r w:rsidR="00026B3B" w:rsidRPr="00026B3B">
        <w:t> </w:t>
      </w:r>
      <w:r w:rsidR="00861292" w:rsidRPr="00026B3B">
        <w:t>6 (principle</w:t>
      </w:r>
      <w:r w:rsidR="00026B3B" w:rsidRPr="00026B3B">
        <w:t> </w:t>
      </w:r>
      <w:r w:rsidR="00861292" w:rsidRPr="00026B3B">
        <w:t>11)</w:t>
      </w:r>
    </w:p>
    <w:p w:rsidR="00861292" w:rsidRPr="00026B3B" w:rsidRDefault="00861292" w:rsidP="00861292">
      <w:pPr>
        <w:pStyle w:val="Item"/>
      </w:pPr>
      <w:r w:rsidRPr="00026B3B">
        <w:t>Omit “a contaminant”, substitute “contamination”.</w:t>
      </w:r>
    </w:p>
    <w:p w:rsidR="002F6266" w:rsidRPr="00026B3B" w:rsidRDefault="00544B67" w:rsidP="002F6266">
      <w:pPr>
        <w:pStyle w:val="ItemHead"/>
      </w:pPr>
      <w:r w:rsidRPr="00026B3B">
        <w:t>12</w:t>
      </w:r>
      <w:r w:rsidR="002F6266" w:rsidRPr="00026B3B">
        <w:t xml:space="preserve">  </w:t>
      </w:r>
      <w:r w:rsidR="00C97D8F" w:rsidRPr="00026B3B">
        <w:t>Section</w:t>
      </w:r>
      <w:r w:rsidR="00026B3B" w:rsidRPr="00026B3B">
        <w:t> </w:t>
      </w:r>
      <w:r w:rsidR="00C97D8F" w:rsidRPr="00026B3B">
        <w:t>6 (principle</w:t>
      </w:r>
      <w:r w:rsidR="00026B3B" w:rsidRPr="00026B3B">
        <w:t> </w:t>
      </w:r>
      <w:r w:rsidR="00C97D8F" w:rsidRPr="00026B3B">
        <w:t>12)</w:t>
      </w:r>
    </w:p>
    <w:p w:rsidR="00C97D8F" w:rsidRPr="00026B3B" w:rsidRDefault="00C97D8F" w:rsidP="00C97D8F">
      <w:pPr>
        <w:pStyle w:val="Item"/>
      </w:pPr>
      <w:r w:rsidRPr="00026B3B">
        <w:t>Repeal the principle, substitute:</w:t>
      </w:r>
    </w:p>
    <w:p w:rsidR="00C97D8F" w:rsidRPr="00026B3B" w:rsidRDefault="00443876" w:rsidP="00C97D8F">
      <w:pPr>
        <w:pStyle w:val="ActHead5"/>
      </w:pPr>
      <w:bookmarkStart w:id="16" w:name="_Toc351716283"/>
      <w:r w:rsidRPr="00026B3B">
        <w:rPr>
          <w:rStyle w:val="CharSectno"/>
        </w:rPr>
        <w:t>(11</w:t>
      </w:r>
      <w:r w:rsidR="00C97D8F" w:rsidRPr="00026B3B">
        <w:rPr>
          <w:rStyle w:val="CharSectno"/>
        </w:rPr>
        <w:t>A)</w:t>
      </w:r>
      <w:r w:rsidR="00C97D8F" w:rsidRPr="00026B3B">
        <w:t xml:space="preserve">  Work health and safety</w:t>
      </w:r>
      <w:bookmarkEnd w:id="16"/>
    </w:p>
    <w:p w:rsidR="00C97D8F" w:rsidRPr="00026B3B" w:rsidRDefault="00C97D8F" w:rsidP="00C97D8F">
      <w:pPr>
        <w:pStyle w:val="subsection"/>
      </w:pPr>
      <w:r w:rsidRPr="00026B3B">
        <w:tab/>
      </w:r>
      <w:r w:rsidRPr="00026B3B">
        <w:tab/>
        <w:t xml:space="preserve">There should be appropriate work health and safety measures (including training) </w:t>
      </w:r>
      <w:r w:rsidR="006E7309" w:rsidRPr="00026B3B">
        <w:t xml:space="preserve">in place </w:t>
      </w:r>
      <w:r w:rsidRPr="00026B3B">
        <w:t xml:space="preserve">for </w:t>
      </w:r>
      <w:r w:rsidR="006E7309" w:rsidRPr="00026B3B">
        <w:t xml:space="preserve">any </w:t>
      </w:r>
      <w:r w:rsidRPr="00026B3B">
        <w:t xml:space="preserve">personnel involved in the assessment of </w:t>
      </w:r>
      <w:r w:rsidR="0047692E" w:rsidRPr="00026B3B">
        <w:t>site contamination</w:t>
      </w:r>
      <w:r w:rsidRPr="00026B3B">
        <w:t>, in accordance with the applicable work health and safety legislation.</w:t>
      </w:r>
    </w:p>
    <w:p w:rsidR="00C97D8F" w:rsidRPr="00026B3B" w:rsidRDefault="00443876" w:rsidP="00C97D8F">
      <w:pPr>
        <w:pStyle w:val="ActHead5"/>
      </w:pPr>
      <w:bookmarkStart w:id="17" w:name="_Toc351716284"/>
      <w:r w:rsidRPr="00026B3B">
        <w:rPr>
          <w:rStyle w:val="CharSectno"/>
        </w:rPr>
        <w:t>(12</w:t>
      </w:r>
      <w:r w:rsidR="00C97D8F" w:rsidRPr="00026B3B">
        <w:rPr>
          <w:rStyle w:val="CharSectno"/>
        </w:rPr>
        <w:t>)</w:t>
      </w:r>
      <w:r w:rsidR="00C97D8F" w:rsidRPr="00026B3B">
        <w:t xml:space="preserve">  Environmental impact</w:t>
      </w:r>
      <w:bookmarkEnd w:id="17"/>
    </w:p>
    <w:p w:rsidR="00C97D8F" w:rsidRPr="00026B3B" w:rsidRDefault="00C97D8F" w:rsidP="00C97D8F">
      <w:pPr>
        <w:pStyle w:val="subsection"/>
      </w:pPr>
      <w:r w:rsidRPr="00026B3B">
        <w:tab/>
      </w:r>
      <w:r w:rsidRPr="00026B3B">
        <w:tab/>
      </w:r>
      <w:r w:rsidR="000A488D" w:rsidRPr="00026B3B">
        <w:t xml:space="preserve">The assessment of </w:t>
      </w:r>
      <w:r w:rsidR="0047692E" w:rsidRPr="00026B3B">
        <w:t>site contamination</w:t>
      </w:r>
      <w:r w:rsidR="000A488D" w:rsidRPr="00026B3B">
        <w:t xml:space="preserve"> should include a consideration of risks to water resources and other ecological risks.</w:t>
      </w:r>
    </w:p>
    <w:p w:rsidR="000A488D" w:rsidRPr="00026B3B" w:rsidRDefault="000A488D" w:rsidP="00C97D8F">
      <w:pPr>
        <w:pStyle w:val="subsection"/>
      </w:pPr>
      <w:r w:rsidRPr="00026B3B">
        <w:tab/>
      </w:r>
      <w:r w:rsidRPr="00026B3B">
        <w:tab/>
        <w:t xml:space="preserve">During </w:t>
      </w:r>
      <w:r w:rsidR="006E7309" w:rsidRPr="00026B3B">
        <w:t>the assessment, the on</w:t>
      </w:r>
      <w:r w:rsidR="00026B3B" w:rsidRPr="00026B3B">
        <w:noBreakHyphen/>
      </w:r>
      <w:r w:rsidR="006E7309" w:rsidRPr="00026B3B">
        <w:t>site and off</w:t>
      </w:r>
      <w:r w:rsidR="00026B3B" w:rsidRPr="00026B3B">
        <w:noBreakHyphen/>
      </w:r>
      <w:r w:rsidR="006E7309" w:rsidRPr="00026B3B">
        <w:t xml:space="preserve">site impacts of contaminants should be appropriately managed to prevent adverse impacts, particularly </w:t>
      </w:r>
      <w:r w:rsidR="001E3460" w:rsidRPr="00026B3B">
        <w:t>impacts relating</w:t>
      </w:r>
      <w:r w:rsidR="006E7309" w:rsidRPr="00026B3B">
        <w:t xml:space="preserve"> to </w:t>
      </w:r>
      <w:r w:rsidR="001E3460" w:rsidRPr="00026B3B">
        <w:t xml:space="preserve">air </w:t>
      </w:r>
      <w:r w:rsidR="006E7309" w:rsidRPr="00026B3B">
        <w:t>emissions, surface water and groundwater.</w:t>
      </w:r>
    </w:p>
    <w:p w:rsidR="003814ED" w:rsidRPr="00026B3B" w:rsidRDefault="00544B67" w:rsidP="003814ED">
      <w:pPr>
        <w:pStyle w:val="ItemHead"/>
      </w:pPr>
      <w:r w:rsidRPr="00026B3B">
        <w:t>13</w:t>
      </w:r>
      <w:r w:rsidR="003814ED" w:rsidRPr="00026B3B">
        <w:t xml:space="preserve">  Section</w:t>
      </w:r>
      <w:r w:rsidR="00026B3B" w:rsidRPr="00026B3B">
        <w:t> </w:t>
      </w:r>
      <w:r w:rsidR="003814ED" w:rsidRPr="00026B3B">
        <w:t>6 (principle</w:t>
      </w:r>
      <w:r w:rsidR="00026B3B" w:rsidRPr="00026B3B">
        <w:t> </w:t>
      </w:r>
      <w:r w:rsidR="003814ED" w:rsidRPr="00026B3B">
        <w:t>13)</w:t>
      </w:r>
    </w:p>
    <w:p w:rsidR="003814ED" w:rsidRPr="00026B3B" w:rsidRDefault="003814ED" w:rsidP="003814ED">
      <w:pPr>
        <w:pStyle w:val="Item"/>
      </w:pPr>
      <w:r w:rsidRPr="00026B3B">
        <w:t>Omit “implement data quality objectives, and</w:t>
      </w:r>
      <w:r w:rsidR="00FA1EC1" w:rsidRPr="00026B3B">
        <w:t>”</w:t>
      </w:r>
      <w:r w:rsidRPr="00026B3B">
        <w:t xml:space="preserve">, substitute </w:t>
      </w:r>
      <w:r w:rsidR="00FA1EC1" w:rsidRPr="00026B3B">
        <w:t>“</w:t>
      </w:r>
      <w:r w:rsidR="00443876" w:rsidRPr="00026B3B">
        <w:t>develop data quality objectives</w:t>
      </w:r>
      <w:r w:rsidRPr="00026B3B">
        <w:t xml:space="preserve"> and implement</w:t>
      </w:r>
      <w:r w:rsidR="00FA1EC1" w:rsidRPr="00026B3B">
        <w:t>”</w:t>
      </w:r>
      <w:r w:rsidRPr="00026B3B">
        <w:t>.</w:t>
      </w:r>
    </w:p>
    <w:p w:rsidR="00893EEE" w:rsidRPr="00026B3B" w:rsidRDefault="00544B67" w:rsidP="00893EEE">
      <w:pPr>
        <w:pStyle w:val="ItemHead"/>
      </w:pPr>
      <w:r w:rsidRPr="00026B3B">
        <w:t>14</w:t>
      </w:r>
      <w:r w:rsidR="00893EEE" w:rsidRPr="00026B3B">
        <w:t xml:space="preserve">  Section</w:t>
      </w:r>
      <w:r w:rsidR="00026B3B" w:rsidRPr="00026B3B">
        <w:t> </w:t>
      </w:r>
      <w:r w:rsidR="00893EEE" w:rsidRPr="00026B3B">
        <w:t>6 (principle</w:t>
      </w:r>
      <w:r w:rsidR="00026B3B" w:rsidRPr="00026B3B">
        <w:t> </w:t>
      </w:r>
      <w:r w:rsidR="00893EEE" w:rsidRPr="00026B3B">
        <w:t>13)</w:t>
      </w:r>
    </w:p>
    <w:p w:rsidR="00893EEE" w:rsidRPr="00026B3B" w:rsidRDefault="00893EEE" w:rsidP="008428B4">
      <w:pPr>
        <w:pStyle w:val="Item"/>
      </w:pPr>
      <w:r w:rsidRPr="00026B3B">
        <w:t>Omit “equivalent organisation”, substitute “</w:t>
      </w:r>
      <w:r w:rsidR="003C48A7" w:rsidRPr="00026B3B">
        <w:t xml:space="preserve">organisation recognised under </w:t>
      </w:r>
      <w:proofErr w:type="spellStart"/>
      <w:r w:rsidR="003C48A7" w:rsidRPr="00026B3B">
        <w:t>NATA’s</w:t>
      </w:r>
      <w:proofErr w:type="spellEnd"/>
      <w:r w:rsidR="003C48A7" w:rsidRPr="00026B3B">
        <w:t xml:space="preserve"> Mutual Recognition Agreement (</w:t>
      </w:r>
      <w:proofErr w:type="spellStart"/>
      <w:r w:rsidR="003C48A7" w:rsidRPr="00026B3B">
        <w:t>MRA</w:t>
      </w:r>
      <w:proofErr w:type="spellEnd"/>
      <w:r w:rsidR="003C48A7" w:rsidRPr="00026B3B">
        <w:t>) Network”.</w:t>
      </w:r>
    </w:p>
    <w:p w:rsidR="00D64953" w:rsidRPr="00026B3B" w:rsidRDefault="00544B67" w:rsidP="00D64953">
      <w:pPr>
        <w:pStyle w:val="ItemHead"/>
      </w:pPr>
      <w:r w:rsidRPr="00026B3B">
        <w:t>15</w:t>
      </w:r>
      <w:r w:rsidR="00D64953" w:rsidRPr="00026B3B">
        <w:t xml:space="preserve">  </w:t>
      </w:r>
      <w:r w:rsidR="0074138D" w:rsidRPr="00026B3B">
        <w:t>Section</w:t>
      </w:r>
      <w:r w:rsidR="00026B3B" w:rsidRPr="00026B3B">
        <w:t> </w:t>
      </w:r>
      <w:r w:rsidR="0074138D" w:rsidRPr="00026B3B">
        <w:t>6 (principle</w:t>
      </w:r>
      <w:r w:rsidR="00026B3B" w:rsidRPr="00026B3B">
        <w:t> </w:t>
      </w:r>
      <w:r w:rsidR="0074138D" w:rsidRPr="00026B3B">
        <w:t>14)</w:t>
      </w:r>
    </w:p>
    <w:p w:rsidR="0074138D" w:rsidRPr="00026B3B" w:rsidRDefault="0074138D" w:rsidP="0074138D">
      <w:pPr>
        <w:pStyle w:val="Item"/>
      </w:pPr>
      <w:r w:rsidRPr="00026B3B">
        <w:t>Repeal the principle, substitute:</w:t>
      </w:r>
    </w:p>
    <w:p w:rsidR="0074138D" w:rsidRPr="00026B3B" w:rsidRDefault="0074138D" w:rsidP="0074138D">
      <w:pPr>
        <w:pStyle w:val="ActHead5"/>
      </w:pPr>
      <w:bookmarkStart w:id="18" w:name="_Toc351716285"/>
      <w:r w:rsidRPr="00026B3B">
        <w:rPr>
          <w:rStyle w:val="CharSectno"/>
        </w:rPr>
        <w:lastRenderedPageBreak/>
        <w:t>(14)</w:t>
      </w:r>
      <w:r w:rsidRPr="00026B3B">
        <w:t xml:space="preserve">  Risk assessment</w:t>
      </w:r>
      <w:bookmarkEnd w:id="18"/>
    </w:p>
    <w:p w:rsidR="0074138D" w:rsidRPr="00026B3B" w:rsidRDefault="0074138D" w:rsidP="0074138D">
      <w:pPr>
        <w:pStyle w:val="subsection"/>
      </w:pPr>
      <w:r w:rsidRPr="00026B3B">
        <w:tab/>
      </w:r>
      <w:r w:rsidRPr="00026B3B">
        <w:tab/>
        <w:t>The initial assessment of human health risks and ecological risks may be undertaken by comparing levels of contaminants on the site with appropriate investigation or screening levels or, if necessary, by undertaking a site</w:t>
      </w:r>
      <w:r w:rsidR="00026B3B" w:rsidRPr="00026B3B">
        <w:noBreakHyphen/>
      </w:r>
      <w:r w:rsidRPr="00026B3B">
        <w:t>specific risk assessment. The initial assessment may be followed by a more detailed assessment of human health risks and ecological risks.</w:t>
      </w:r>
    </w:p>
    <w:p w:rsidR="0074138D" w:rsidRPr="00026B3B" w:rsidRDefault="0074138D" w:rsidP="0074138D">
      <w:pPr>
        <w:pStyle w:val="subsection"/>
      </w:pPr>
      <w:r w:rsidRPr="00026B3B">
        <w:tab/>
      </w:r>
      <w:r w:rsidRPr="00026B3B">
        <w:tab/>
      </w:r>
      <w:r w:rsidR="00CF0158" w:rsidRPr="00026B3B">
        <w:t>An assessment of h</w:t>
      </w:r>
      <w:r w:rsidRPr="00026B3B">
        <w:t>uman health risks and ecological risks</w:t>
      </w:r>
      <w:r w:rsidR="00CF0158" w:rsidRPr="00026B3B">
        <w:t xml:space="preserve"> should, if practicable, take into account any additive, synergistic and antagonistic effects of mixing chemical substances.</w:t>
      </w:r>
    </w:p>
    <w:p w:rsidR="00CF0158" w:rsidRPr="00026B3B" w:rsidRDefault="00544B67" w:rsidP="00CF0158">
      <w:pPr>
        <w:pStyle w:val="ItemHead"/>
      </w:pPr>
      <w:r w:rsidRPr="00026B3B">
        <w:t>16</w:t>
      </w:r>
      <w:r w:rsidR="00CF0158" w:rsidRPr="00026B3B">
        <w:t xml:space="preserve">  Section</w:t>
      </w:r>
      <w:r w:rsidR="00026B3B" w:rsidRPr="00026B3B">
        <w:t> </w:t>
      </w:r>
      <w:r w:rsidR="00CF0158" w:rsidRPr="00026B3B">
        <w:t>6 (principle</w:t>
      </w:r>
      <w:r w:rsidR="00026B3B" w:rsidRPr="00026B3B">
        <w:t> </w:t>
      </w:r>
      <w:r w:rsidR="00CF0158" w:rsidRPr="00026B3B">
        <w:t>15)</w:t>
      </w:r>
    </w:p>
    <w:p w:rsidR="00CF0158" w:rsidRPr="00026B3B" w:rsidRDefault="00CF0158" w:rsidP="00CF0158">
      <w:pPr>
        <w:pStyle w:val="Item"/>
      </w:pPr>
      <w:r w:rsidRPr="00026B3B">
        <w:t>Omit “the need to adequately protect</w:t>
      </w:r>
      <w:r w:rsidR="00FA1EC1" w:rsidRPr="00026B3B">
        <w:t>”</w:t>
      </w:r>
      <w:r w:rsidRPr="00026B3B">
        <w:t xml:space="preserve">, substitute </w:t>
      </w:r>
      <w:r w:rsidR="00FA1EC1" w:rsidRPr="00026B3B">
        <w:t>“</w:t>
      </w:r>
      <w:r w:rsidRPr="00026B3B">
        <w:t>adequately protecting</w:t>
      </w:r>
      <w:r w:rsidR="00FA1EC1" w:rsidRPr="00026B3B">
        <w:t>”</w:t>
      </w:r>
      <w:r w:rsidRPr="00026B3B">
        <w:t>.</w:t>
      </w:r>
    </w:p>
    <w:p w:rsidR="00CF0158" w:rsidRPr="00026B3B" w:rsidRDefault="00544B67" w:rsidP="00CF0158">
      <w:pPr>
        <w:pStyle w:val="ItemHead"/>
      </w:pPr>
      <w:r w:rsidRPr="00026B3B">
        <w:t>17</w:t>
      </w:r>
      <w:r w:rsidR="00CF0158" w:rsidRPr="00026B3B">
        <w:t xml:space="preserve">  Section</w:t>
      </w:r>
      <w:r w:rsidR="00026B3B" w:rsidRPr="00026B3B">
        <w:t> </w:t>
      </w:r>
      <w:r w:rsidR="00CF0158" w:rsidRPr="00026B3B">
        <w:t>6 (principle</w:t>
      </w:r>
      <w:r w:rsidR="00026B3B" w:rsidRPr="00026B3B">
        <w:t> </w:t>
      </w:r>
      <w:r w:rsidR="00CF0158" w:rsidRPr="00026B3B">
        <w:t>15)</w:t>
      </w:r>
    </w:p>
    <w:p w:rsidR="00CF0158" w:rsidRPr="00026B3B" w:rsidRDefault="00924428" w:rsidP="00CF0158">
      <w:pPr>
        <w:pStyle w:val="Item"/>
      </w:pPr>
      <w:r w:rsidRPr="00026B3B">
        <w:t>After “wherever they live;”, i</w:t>
      </w:r>
      <w:r w:rsidR="00CF0158" w:rsidRPr="00026B3B">
        <w:t>nsert:</w:t>
      </w:r>
    </w:p>
    <w:p w:rsidR="00CF0158" w:rsidRPr="00026B3B" w:rsidRDefault="00CF0158" w:rsidP="00CF0158">
      <w:pPr>
        <w:pStyle w:val="paragraph"/>
      </w:pPr>
      <w:r w:rsidRPr="00026B3B">
        <w:tab/>
        <w:t>•</w:t>
      </w:r>
      <w:r w:rsidRPr="00026B3B">
        <w:tab/>
      </w:r>
      <w:r w:rsidR="00443876" w:rsidRPr="00026B3B">
        <w:t xml:space="preserve">that </w:t>
      </w:r>
      <w:r w:rsidRPr="00026B3B">
        <w:t>the environmental value</w:t>
      </w:r>
      <w:r w:rsidR="0047692E" w:rsidRPr="00026B3B">
        <w:t>s</w:t>
      </w:r>
      <w:r w:rsidRPr="00026B3B">
        <w:t xml:space="preserve"> of water </w:t>
      </w:r>
      <w:r w:rsidR="0047692E" w:rsidRPr="00026B3B">
        <w:t>are</w:t>
      </w:r>
      <w:r w:rsidRPr="00026B3B">
        <w:t xml:space="preserve"> maintained for future generations;</w:t>
      </w:r>
    </w:p>
    <w:p w:rsidR="00CF0158" w:rsidRPr="00026B3B" w:rsidRDefault="00544B67" w:rsidP="00CF0158">
      <w:pPr>
        <w:pStyle w:val="ItemHead"/>
      </w:pPr>
      <w:r w:rsidRPr="00026B3B">
        <w:t>18</w:t>
      </w:r>
      <w:r w:rsidR="00F97542" w:rsidRPr="00026B3B">
        <w:t xml:space="preserve">  Section</w:t>
      </w:r>
      <w:r w:rsidR="00026B3B" w:rsidRPr="00026B3B">
        <w:t> </w:t>
      </w:r>
      <w:r w:rsidR="00F97542" w:rsidRPr="00026B3B">
        <w:t>6 (principle</w:t>
      </w:r>
      <w:r w:rsidR="00026B3B" w:rsidRPr="00026B3B">
        <w:t> </w:t>
      </w:r>
      <w:r w:rsidR="00F97542" w:rsidRPr="00026B3B">
        <w:t>16)</w:t>
      </w:r>
    </w:p>
    <w:p w:rsidR="00F97542" w:rsidRPr="00026B3B" w:rsidRDefault="00F97542" w:rsidP="00F97542">
      <w:pPr>
        <w:pStyle w:val="Item"/>
      </w:pPr>
      <w:r w:rsidRPr="00026B3B">
        <w:t>Omit “if practicable,”.</w:t>
      </w:r>
    </w:p>
    <w:p w:rsidR="003849C3" w:rsidRPr="00026B3B" w:rsidRDefault="00544B67" w:rsidP="003849C3">
      <w:pPr>
        <w:pStyle w:val="ItemHead"/>
      </w:pPr>
      <w:r w:rsidRPr="00026B3B">
        <w:t>19</w:t>
      </w:r>
      <w:r w:rsidR="00CE2717" w:rsidRPr="00026B3B">
        <w:t xml:space="preserve">  Section</w:t>
      </w:r>
      <w:r w:rsidR="00026B3B" w:rsidRPr="00026B3B">
        <w:t> </w:t>
      </w:r>
      <w:r w:rsidR="00CE2717" w:rsidRPr="00026B3B">
        <w:t>6 (principle</w:t>
      </w:r>
      <w:r w:rsidR="00026B3B" w:rsidRPr="00026B3B">
        <w:t> </w:t>
      </w:r>
      <w:r w:rsidR="00CE2717" w:rsidRPr="00026B3B">
        <w:t>16)</w:t>
      </w:r>
    </w:p>
    <w:p w:rsidR="00CE2717" w:rsidRPr="00026B3B" w:rsidRDefault="00924428" w:rsidP="00CE2717">
      <w:pPr>
        <w:pStyle w:val="Item"/>
      </w:pPr>
      <w:r w:rsidRPr="00026B3B">
        <w:t>After “appropriate management strategy.”, i</w:t>
      </w:r>
      <w:r w:rsidR="00CE2717" w:rsidRPr="00026B3B">
        <w:t>nsert:</w:t>
      </w:r>
    </w:p>
    <w:p w:rsidR="00CE2717" w:rsidRPr="00026B3B" w:rsidRDefault="00CE2717" w:rsidP="00CE2717">
      <w:pPr>
        <w:pStyle w:val="subsection"/>
      </w:pPr>
      <w:r w:rsidRPr="00026B3B">
        <w:tab/>
      </w:r>
      <w:r w:rsidRPr="00026B3B">
        <w:tab/>
        <w:t>When deciding which option to choose, the sustainability (environmental, economic and social) of each option should be considered, in terms of achieving an appropriate balance between the benefits and effects of undertaking the option.</w:t>
      </w:r>
    </w:p>
    <w:p w:rsidR="00CE2717" w:rsidRPr="00026B3B" w:rsidRDefault="00544B67" w:rsidP="00CE2717">
      <w:pPr>
        <w:pStyle w:val="ItemHead"/>
      </w:pPr>
      <w:r w:rsidRPr="00026B3B">
        <w:t>20</w:t>
      </w:r>
      <w:r w:rsidR="00CE2717" w:rsidRPr="00026B3B">
        <w:t xml:space="preserve">  Section</w:t>
      </w:r>
      <w:r w:rsidR="00026B3B" w:rsidRPr="00026B3B">
        <w:t> </w:t>
      </w:r>
      <w:r w:rsidR="00CE2717" w:rsidRPr="00026B3B">
        <w:t>6 (principle</w:t>
      </w:r>
      <w:r w:rsidR="00026B3B" w:rsidRPr="00026B3B">
        <w:t> </w:t>
      </w:r>
      <w:r w:rsidR="00CE2717" w:rsidRPr="00026B3B">
        <w:t>17)</w:t>
      </w:r>
    </w:p>
    <w:p w:rsidR="00CE2717" w:rsidRPr="00026B3B" w:rsidRDefault="00395985" w:rsidP="00CE2717">
      <w:pPr>
        <w:pStyle w:val="Item"/>
      </w:pPr>
      <w:r w:rsidRPr="00026B3B">
        <w:t>Omit the first sentence</w:t>
      </w:r>
      <w:r w:rsidR="00CE2717" w:rsidRPr="00026B3B">
        <w:t>, substitute:</w:t>
      </w:r>
    </w:p>
    <w:p w:rsidR="004A093F" w:rsidRPr="00026B3B" w:rsidRDefault="004A093F" w:rsidP="004A093F">
      <w:pPr>
        <w:pStyle w:val="subsection"/>
      </w:pPr>
      <w:r w:rsidRPr="00026B3B">
        <w:tab/>
      </w:r>
      <w:r w:rsidRPr="00026B3B">
        <w:tab/>
        <w:t>In the assessment of site contamination the following sources are recognised as requiring specialised forms of assessment and initially, information should be sought from the relevant environmental protection agency for advice on assessing sites with:</w:t>
      </w:r>
    </w:p>
    <w:p w:rsidR="00CE2717" w:rsidRPr="00026B3B" w:rsidRDefault="008428B4" w:rsidP="00CE2717">
      <w:pPr>
        <w:pStyle w:val="paragraph"/>
      </w:pPr>
      <w:r w:rsidRPr="00026B3B">
        <w:tab/>
        <w:t>(a)</w:t>
      </w:r>
      <w:r w:rsidRPr="00026B3B">
        <w:tab/>
      </w:r>
      <w:r w:rsidR="007652D7" w:rsidRPr="00026B3B">
        <w:t>unexploded ordnance;</w:t>
      </w:r>
    </w:p>
    <w:p w:rsidR="00CE2717" w:rsidRPr="00026B3B" w:rsidRDefault="008428B4" w:rsidP="00CE2717">
      <w:pPr>
        <w:pStyle w:val="paragraph"/>
      </w:pPr>
      <w:r w:rsidRPr="00026B3B">
        <w:tab/>
        <w:t>(b)</w:t>
      </w:r>
      <w:r w:rsidR="007652D7" w:rsidRPr="00026B3B">
        <w:tab/>
        <w:t>radioactive substances;</w:t>
      </w:r>
    </w:p>
    <w:p w:rsidR="00CE2717" w:rsidRPr="00026B3B" w:rsidRDefault="008428B4" w:rsidP="00CE2717">
      <w:pPr>
        <w:pStyle w:val="paragraph"/>
      </w:pPr>
      <w:r w:rsidRPr="00026B3B">
        <w:tab/>
        <w:t>(c)</w:t>
      </w:r>
      <w:r w:rsidR="00CE2717" w:rsidRPr="00026B3B">
        <w:tab/>
      </w:r>
      <w:r w:rsidR="007652D7" w:rsidRPr="00026B3B">
        <w:t>pathogenic materials and waste;</w:t>
      </w:r>
    </w:p>
    <w:p w:rsidR="00CE2717" w:rsidRPr="00026B3B" w:rsidRDefault="008428B4" w:rsidP="00CE2717">
      <w:pPr>
        <w:pStyle w:val="paragraph"/>
      </w:pPr>
      <w:r w:rsidRPr="00026B3B">
        <w:tab/>
        <w:t>(d)</w:t>
      </w:r>
      <w:r w:rsidR="007652D7" w:rsidRPr="00026B3B">
        <w:tab/>
        <w:t>contaminated sediments;</w:t>
      </w:r>
    </w:p>
    <w:p w:rsidR="00CE2717" w:rsidRPr="00026B3B" w:rsidRDefault="008428B4" w:rsidP="00CE2717">
      <w:pPr>
        <w:pStyle w:val="paragraph"/>
      </w:pPr>
      <w:r w:rsidRPr="00026B3B">
        <w:tab/>
        <w:t>(e)</w:t>
      </w:r>
      <w:r w:rsidR="00CE2717" w:rsidRPr="00026B3B">
        <w:tab/>
        <w:t>explosive gas mixtures.</w:t>
      </w:r>
    </w:p>
    <w:p w:rsidR="00A51575" w:rsidRPr="00026B3B" w:rsidRDefault="00544B67" w:rsidP="00A51575">
      <w:pPr>
        <w:pStyle w:val="ItemHead"/>
      </w:pPr>
      <w:r w:rsidRPr="00026B3B">
        <w:t>21</w:t>
      </w:r>
      <w:r w:rsidR="00A51575" w:rsidRPr="00026B3B">
        <w:t xml:space="preserve">  Section</w:t>
      </w:r>
      <w:r w:rsidR="00026B3B" w:rsidRPr="00026B3B">
        <w:t> </w:t>
      </w:r>
      <w:r w:rsidR="00A51575" w:rsidRPr="00026B3B">
        <w:t>6 (principle</w:t>
      </w:r>
      <w:r w:rsidR="00026B3B" w:rsidRPr="00026B3B">
        <w:t> </w:t>
      </w:r>
      <w:r w:rsidR="00A51575" w:rsidRPr="00026B3B">
        <w:t>18)</w:t>
      </w:r>
    </w:p>
    <w:p w:rsidR="00A51575" w:rsidRPr="00026B3B" w:rsidRDefault="00A51575" w:rsidP="00A51575">
      <w:pPr>
        <w:pStyle w:val="Item"/>
      </w:pPr>
      <w:r w:rsidRPr="00026B3B">
        <w:t>Omit “Aboriginal and Torres Strait Islander Commission, the Australian Heritage Commission”, substitute “</w:t>
      </w:r>
      <w:r w:rsidR="00F70070" w:rsidRPr="00026B3B">
        <w:t xml:space="preserve">National Congress of Australia’s First Peoples, </w:t>
      </w:r>
      <w:r w:rsidR="0062308B" w:rsidRPr="00026B3B">
        <w:t xml:space="preserve">the </w:t>
      </w:r>
      <w:r w:rsidR="00F70070" w:rsidRPr="00026B3B">
        <w:t>Australian Heritage Council”.</w:t>
      </w:r>
    </w:p>
    <w:p w:rsidR="00FD33F9" w:rsidRPr="00026B3B" w:rsidRDefault="00544B67" w:rsidP="00FD33F9">
      <w:pPr>
        <w:pStyle w:val="ItemHead"/>
      </w:pPr>
      <w:r w:rsidRPr="00026B3B">
        <w:t>22</w:t>
      </w:r>
      <w:r w:rsidR="00F70070" w:rsidRPr="00026B3B">
        <w:t xml:space="preserve">  </w:t>
      </w:r>
      <w:r w:rsidR="00FD33F9" w:rsidRPr="00026B3B">
        <w:t>S</w:t>
      </w:r>
      <w:r w:rsidR="004A05E9" w:rsidRPr="00026B3B">
        <w:t>ubs</w:t>
      </w:r>
      <w:r w:rsidR="00FD33F9" w:rsidRPr="00026B3B">
        <w:t>ection</w:t>
      </w:r>
      <w:r w:rsidR="00026B3B" w:rsidRPr="00026B3B">
        <w:t> </w:t>
      </w:r>
      <w:r w:rsidR="00E52145" w:rsidRPr="00026B3B">
        <w:t>7</w:t>
      </w:r>
      <w:r w:rsidR="004A05E9" w:rsidRPr="00026B3B">
        <w:t>(1)</w:t>
      </w:r>
    </w:p>
    <w:p w:rsidR="00FD33F9" w:rsidRPr="00026B3B" w:rsidRDefault="00E3626F" w:rsidP="00E3626F">
      <w:pPr>
        <w:pStyle w:val="Item"/>
      </w:pPr>
      <w:r w:rsidRPr="00026B3B">
        <w:t>Omit “recommended”, substitute “general”</w:t>
      </w:r>
      <w:r w:rsidR="00BE7B3E" w:rsidRPr="00026B3B">
        <w:t>.</w:t>
      </w:r>
    </w:p>
    <w:p w:rsidR="00E3626F" w:rsidRPr="00026B3B" w:rsidRDefault="00544B67" w:rsidP="00E3626F">
      <w:pPr>
        <w:pStyle w:val="ItemHead"/>
      </w:pPr>
      <w:r w:rsidRPr="00026B3B">
        <w:lastRenderedPageBreak/>
        <w:t>23</w:t>
      </w:r>
      <w:r w:rsidR="00E52145" w:rsidRPr="00026B3B">
        <w:t xml:space="preserve">  S</w:t>
      </w:r>
      <w:r w:rsidR="004A05E9" w:rsidRPr="00026B3B">
        <w:t>ubs</w:t>
      </w:r>
      <w:r w:rsidR="00E52145" w:rsidRPr="00026B3B">
        <w:t>ection</w:t>
      </w:r>
      <w:r w:rsidR="00026B3B" w:rsidRPr="00026B3B">
        <w:t> </w:t>
      </w:r>
      <w:r w:rsidR="004A05E9" w:rsidRPr="00026B3B">
        <w:t>7(2</w:t>
      </w:r>
      <w:r w:rsidR="00E3626F" w:rsidRPr="00026B3B">
        <w:t>)</w:t>
      </w:r>
    </w:p>
    <w:p w:rsidR="00E3626F" w:rsidRPr="00026B3B" w:rsidRDefault="00E3626F" w:rsidP="00E3626F">
      <w:pPr>
        <w:pStyle w:val="Item"/>
      </w:pPr>
      <w:r w:rsidRPr="00026B3B">
        <w:t>Omit “that form part of this Measure”.</w:t>
      </w:r>
    </w:p>
    <w:p w:rsidR="00FD33F9" w:rsidRPr="00026B3B" w:rsidRDefault="00544B67" w:rsidP="00FD33F9">
      <w:pPr>
        <w:pStyle w:val="ItemHead"/>
      </w:pPr>
      <w:r w:rsidRPr="00026B3B">
        <w:t>24</w:t>
      </w:r>
      <w:r w:rsidR="00E52145" w:rsidRPr="00026B3B">
        <w:t xml:space="preserve">  Section</w:t>
      </w:r>
      <w:r w:rsidR="00026B3B" w:rsidRPr="00026B3B">
        <w:t> </w:t>
      </w:r>
      <w:r w:rsidR="00E52145" w:rsidRPr="00026B3B">
        <w:t>8</w:t>
      </w:r>
    </w:p>
    <w:p w:rsidR="00FD33F9" w:rsidRPr="00026B3B" w:rsidRDefault="00E52145" w:rsidP="00354745">
      <w:pPr>
        <w:pStyle w:val="Item"/>
      </w:pPr>
      <w:r w:rsidRPr="00026B3B">
        <w:t>Omit “which indicates”, substitute “indicating”.</w:t>
      </w:r>
    </w:p>
    <w:p w:rsidR="00354745" w:rsidRPr="00026B3B" w:rsidRDefault="00544B67" w:rsidP="00354745">
      <w:pPr>
        <w:pStyle w:val="ItemHead"/>
      </w:pPr>
      <w:r w:rsidRPr="00026B3B">
        <w:t>25</w:t>
      </w:r>
      <w:r w:rsidR="00354745" w:rsidRPr="00026B3B">
        <w:t xml:space="preserve">  Section</w:t>
      </w:r>
      <w:r w:rsidR="00026B3B" w:rsidRPr="00026B3B">
        <w:t> </w:t>
      </w:r>
      <w:r w:rsidR="0062308B" w:rsidRPr="00026B3B">
        <w:t>8</w:t>
      </w:r>
    </w:p>
    <w:p w:rsidR="00354745" w:rsidRPr="00026B3B" w:rsidRDefault="0062308B" w:rsidP="00354745">
      <w:pPr>
        <w:pStyle w:val="Item"/>
      </w:pPr>
      <w:r w:rsidRPr="00026B3B">
        <w:t xml:space="preserve">Omit </w:t>
      </w:r>
      <w:r w:rsidR="00924428" w:rsidRPr="00026B3B">
        <w:t>the second sentence</w:t>
      </w:r>
      <w:r w:rsidRPr="00026B3B">
        <w:t>, substitute</w:t>
      </w:r>
      <w:r w:rsidR="00354745" w:rsidRPr="00026B3B">
        <w:t>:</w:t>
      </w:r>
    </w:p>
    <w:p w:rsidR="00020CC6" w:rsidRPr="00026B3B" w:rsidRDefault="00354745" w:rsidP="00354745">
      <w:pPr>
        <w:pStyle w:val="subsection"/>
      </w:pPr>
      <w:r w:rsidRPr="00026B3B">
        <w:tab/>
      </w:r>
      <w:r w:rsidRPr="00026B3B">
        <w:tab/>
        <w:t>The preliminary investigation</w:t>
      </w:r>
      <w:r w:rsidR="00020CC6" w:rsidRPr="00026B3B">
        <w:t xml:space="preserve"> usually involves:</w:t>
      </w:r>
    </w:p>
    <w:p w:rsidR="00354745" w:rsidRPr="00026B3B" w:rsidRDefault="00020CC6" w:rsidP="00020CC6">
      <w:pPr>
        <w:pStyle w:val="paragraph"/>
      </w:pPr>
      <w:r w:rsidRPr="00026B3B">
        <w:tab/>
        <w:t>(a)</w:t>
      </w:r>
      <w:r w:rsidRPr="00026B3B">
        <w:tab/>
        <w:t xml:space="preserve">establishing a site history to identify the characteristics of the site (such as the location and layout of the site, the building construction on the site, the </w:t>
      </w:r>
      <w:r w:rsidR="0047692E" w:rsidRPr="00026B3B">
        <w:t>geological</w:t>
      </w:r>
      <w:r w:rsidRPr="00026B3B">
        <w:t xml:space="preserve"> setting, </w:t>
      </w:r>
      <w:r w:rsidR="0007208E" w:rsidRPr="00026B3B">
        <w:t xml:space="preserve">current and </w:t>
      </w:r>
      <w:r w:rsidR="00C15A26" w:rsidRPr="00026B3B">
        <w:t>past</w:t>
      </w:r>
      <w:r w:rsidRPr="00026B3B">
        <w:t xml:space="preserve"> </w:t>
      </w:r>
      <w:r w:rsidR="0047692E" w:rsidRPr="00026B3B">
        <w:t xml:space="preserve">activities at the site, </w:t>
      </w:r>
      <w:r w:rsidR="0007208E" w:rsidRPr="00026B3B">
        <w:t xml:space="preserve">current and </w:t>
      </w:r>
      <w:r w:rsidR="00C15A26" w:rsidRPr="00026B3B">
        <w:t>past</w:t>
      </w:r>
      <w:r w:rsidR="0047692E" w:rsidRPr="00026B3B">
        <w:t xml:space="preserve"> </w:t>
      </w:r>
      <w:r w:rsidRPr="00026B3B">
        <w:t>uses of the site, and heritage considerations); and</w:t>
      </w:r>
    </w:p>
    <w:p w:rsidR="00020CC6" w:rsidRPr="00026B3B" w:rsidRDefault="00020CC6" w:rsidP="00020CC6">
      <w:pPr>
        <w:pStyle w:val="paragraph"/>
      </w:pPr>
      <w:r w:rsidRPr="00026B3B">
        <w:tab/>
        <w:t>(b)</w:t>
      </w:r>
      <w:r w:rsidRPr="00026B3B">
        <w:tab/>
        <w:t>inspecting the site; and</w:t>
      </w:r>
    </w:p>
    <w:p w:rsidR="00020CC6" w:rsidRPr="00026B3B" w:rsidRDefault="00020CC6" w:rsidP="00020CC6">
      <w:pPr>
        <w:pStyle w:val="paragraph"/>
      </w:pPr>
      <w:r w:rsidRPr="00026B3B">
        <w:tab/>
        <w:t>(c)</w:t>
      </w:r>
      <w:r w:rsidRPr="00026B3B">
        <w:tab/>
        <w:t>interviewing representatives for the site.</w:t>
      </w:r>
    </w:p>
    <w:p w:rsidR="00354745" w:rsidRPr="00026B3B" w:rsidRDefault="00544B67" w:rsidP="00354745">
      <w:pPr>
        <w:pStyle w:val="ItemHead"/>
      </w:pPr>
      <w:r w:rsidRPr="00026B3B">
        <w:t>26</w:t>
      </w:r>
      <w:r w:rsidR="00363868" w:rsidRPr="00026B3B">
        <w:t xml:space="preserve">  Section</w:t>
      </w:r>
      <w:r w:rsidR="00026B3B" w:rsidRPr="00026B3B">
        <w:t> </w:t>
      </w:r>
      <w:r w:rsidR="00363868" w:rsidRPr="00026B3B">
        <w:t>8</w:t>
      </w:r>
    </w:p>
    <w:p w:rsidR="00363868" w:rsidRPr="00026B3B" w:rsidRDefault="00363868" w:rsidP="00363868">
      <w:pPr>
        <w:pStyle w:val="Item"/>
      </w:pPr>
      <w:r w:rsidRPr="00026B3B">
        <w:t>Omit “definition.”, substitute “evaluation.”.</w:t>
      </w:r>
    </w:p>
    <w:p w:rsidR="00BB49EB" w:rsidRPr="00026B3B" w:rsidRDefault="00544B67" w:rsidP="00BB49EB">
      <w:pPr>
        <w:pStyle w:val="ItemHead"/>
      </w:pPr>
      <w:r w:rsidRPr="00026B3B">
        <w:t>27</w:t>
      </w:r>
      <w:r w:rsidR="00BB49EB" w:rsidRPr="00026B3B">
        <w:t xml:space="preserve">  Section</w:t>
      </w:r>
      <w:r w:rsidR="00026B3B" w:rsidRPr="00026B3B">
        <w:t> </w:t>
      </w:r>
      <w:r w:rsidR="00BB49EB" w:rsidRPr="00026B3B">
        <w:t>8</w:t>
      </w:r>
    </w:p>
    <w:p w:rsidR="00BB49EB" w:rsidRPr="00026B3B" w:rsidRDefault="00BB49EB" w:rsidP="00BB49EB">
      <w:pPr>
        <w:pStyle w:val="Item"/>
      </w:pPr>
      <w:r w:rsidRPr="00026B3B">
        <w:t>Omit “and staining”, substitute “or staining”.</w:t>
      </w:r>
    </w:p>
    <w:p w:rsidR="00354745" w:rsidRPr="00026B3B" w:rsidRDefault="00544B67" w:rsidP="00354745">
      <w:pPr>
        <w:pStyle w:val="ItemHead"/>
      </w:pPr>
      <w:r w:rsidRPr="00026B3B">
        <w:t>28</w:t>
      </w:r>
      <w:r w:rsidR="00F55441" w:rsidRPr="00026B3B">
        <w:t xml:space="preserve">  Section</w:t>
      </w:r>
      <w:r w:rsidR="00026B3B" w:rsidRPr="00026B3B">
        <w:t> </w:t>
      </w:r>
      <w:r w:rsidR="00F55441" w:rsidRPr="00026B3B">
        <w:t>8</w:t>
      </w:r>
    </w:p>
    <w:p w:rsidR="00F55441" w:rsidRPr="00026B3B" w:rsidRDefault="00F55441" w:rsidP="00F55441">
      <w:pPr>
        <w:pStyle w:val="Item"/>
      </w:pPr>
      <w:r w:rsidRPr="00026B3B">
        <w:t>Omit “investigation levels in Schedule B(1)”, substitute “applicable investigation or screening levels”.</w:t>
      </w:r>
    </w:p>
    <w:p w:rsidR="00A766D7" w:rsidRPr="00026B3B" w:rsidRDefault="00544B67" w:rsidP="00A766D7">
      <w:pPr>
        <w:pStyle w:val="ItemHead"/>
      </w:pPr>
      <w:r w:rsidRPr="00026B3B">
        <w:t>29</w:t>
      </w:r>
      <w:r w:rsidR="00A766D7" w:rsidRPr="00026B3B">
        <w:t xml:space="preserve">  Section</w:t>
      </w:r>
      <w:r w:rsidR="00026B3B" w:rsidRPr="00026B3B">
        <w:t> </w:t>
      </w:r>
      <w:r w:rsidR="00A766D7" w:rsidRPr="00026B3B">
        <w:t>8</w:t>
      </w:r>
    </w:p>
    <w:p w:rsidR="00A766D7" w:rsidRPr="00026B3B" w:rsidRDefault="00A766D7" w:rsidP="00A766D7">
      <w:pPr>
        <w:pStyle w:val="Item"/>
      </w:pPr>
      <w:r w:rsidRPr="00026B3B">
        <w:t>Omit “incorporate the”, substitute “involve both”.</w:t>
      </w:r>
    </w:p>
    <w:p w:rsidR="00B51F0E" w:rsidRPr="00026B3B" w:rsidRDefault="00544B67" w:rsidP="00B51F0E">
      <w:pPr>
        <w:pStyle w:val="ItemHead"/>
      </w:pPr>
      <w:r w:rsidRPr="00026B3B">
        <w:t>30</w:t>
      </w:r>
      <w:r w:rsidR="00B51F0E" w:rsidRPr="00026B3B">
        <w:t xml:space="preserve">  Subsection</w:t>
      </w:r>
      <w:r w:rsidR="00026B3B" w:rsidRPr="00026B3B">
        <w:t> </w:t>
      </w:r>
      <w:r w:rsidR="00B51F0E" w:rsidRPr="00026B3B">
        <w:t>9(2)</w:t>
      </w:r>
    </w:p>
    <w:p w:rsidR="00B51F0E" w:rsidRPr="00026B3B" w:rsidRDefault="00B51F0E" w:rsidP="00B51F0E">
      <w:pPr>
        <w:pStyle w:val="Item"/>
      </w:pPr>
      <w:r w:rsidRPr="00026B3B">
        <w:t>Omit “next following”, substitute “immediately after”.</w:t>
      </w:r>
    </w:p>
    <w:p w:rsidR="0045530F" w:rsidRPr="00026B3B" w:rsidRDefault="00544B67" w:rsidP="0045530F">
      <w:pPr>
        <w:pStyle w:val="ItemHead"/>
      </w:pPr>
      <w:r w:rsidRPr="00026B3B">
        <w:t>31</w:t>
      </w:r>
      <w:r w:rsidR="0045530F" w:rsidRPr="00026B3B">
        <w:t xml:space="preserve">  Section</w:t>
      </w:r>
      <w:r w:rsidR="00026B3B" w:rsidRPr="00026B3B">
        <w:t> </w:t>
      </w:r>
      <w:r w:rsidR="0045530F" w:rsidRPr="00026B3B">
        <w:t>10</w:t>
      </w:r>
    </w:p>
    <w:p w:rsidR="0045530F" w:rsidRPr="00026B3B" w:rsidRDefault="0045530F" w:rsidP="0045530F">
      <w:pPr>
        <w:pStyle w:val="Item"/>
      </w:pPr>
      <w:r w:rsidRPr="00026B3B">
        <w:t>Omit “five years from</w:t>
      </w:r>
      <w:r w:rsidR="00300CDC" w:rsidRPr="00026B3B">
        <w:t xml:space="preserve"> the date of commencement</w:t>
      </w:r>
      <w:r w:rsidRPr="00026B3B">
        <w:t xml:space="preserve">”, substitute “every </w:t>
      </w:r>
      <w:r w:rsidR="0047692E" w:rsidRPr="00026B3B">
        <w:t>10</w:t>
      </w:r>
      <w:r w:rsidRPr="00026B3B">
        <w:t xml:space="preserve"> years after</w:t>
      </w:r>
      <w:r w:rsidR="00300CDC" w:rsidRPr="00026B3B">
        <w:t xml:space="preserve"> the measure was last </w:t>
      </w:r>
      <w:r w:rsidR="00CE2045" w:rsidRPr="00026B3B">
        <w:t>amended</w:t>
      </w:r>
      <w:r w:rsidRPr="00026B3B">
        <w:t>”.</w:t>
      </w:r>
    </w:p>
    <w:p w:rsidR="002A06B7" w:rsidRPr="00026B3B" w:rsidRDefault="00544B67" w:rsidP="002A06B7">
      <w:pPr>
        <w:pStyle w:val="ItemHead"/>
      </w:pPr>
      <w:r w:rsidRPr="00026B3B">
        <w:t>32</w:t>
      </w:r>
      <w:r w:rsidR="002A06B7" w:rsidRPr="00026B3B">
        <w:t xml:space="preserve">  Schedule A</w:t>
      </w:r>
    </w:p>
    <w:p w:rsidR="002A06B7" w:rsidRPr="00026B3B" w:rsidRDefault="002A06B7" w:rsidP="002A06B7">
      <w:pPr>
        <w:pStyle w:val="Item"/>
      </w:pPr>
      <w:r w:rsidRPr="00026B3B">
        <w:t xml:space="preserve">Repeal the </w:t>
      </w:r>
      <w:r w:rsidR="000A70A7" w:rsidRPr="00026B3B">
        <w:t>S</w:t>
      </w:r>
      <w:r w:rsidRPr="00026B3B">
        <w:t>chedule, substitute:</w:t>
      </w:r>
    </w:p>
    <w:p w:rsidR="002A06B7" w:rsidRPr="00026B3B" w:rsidRDefault="002A06B7" w:rsidP="002A06B7">
      <w:pPr>
        <w:pStyle w:val="ActHead1"/>
      </w:pPr>
      <w:bookmarkStart w:id="19" w:name="f_Check_Lines_above"/>
      <w:bookmarkStart w:id="20" w:name="_Toc351716286"/>
      <w:bookmarkEnd w:id="19"/>
      <w:r w:rsidRPr="00026B3B">
        <w:rPr>
          <w:rStyle w:val="CharChapNo"/>
        </w:rPr>
        <w:lastRenderedPageBreak/>
        <w:t>Schedule A</w:t>
      </w:r>
      <w:r w:rsidRPr="00026B3B">
        <w:t>—</w:t>
      </w:r>
      <w:r w:rsidRPr="00026B3B">
        <w:rPr>
          <w:rStyle w:val="CharChapText"/>
        </w:rPr>
        <w:t>Recommended general process for assessment of site contamination</w:t>
      </w:r>
      <w:bookmarkEnd w:id="20"/>
    </w:p>
    <w:p w:rsidR="00C67B01" w:rsidRPr="00026B3B" w:rsidRDefault="00C67B01" w:rsidP="00C67B01">
      <w:pPr>
        <w:pStyle w:val="Header"/>
      </w:pPr>
      <w:r w:rsidRPr="00026B3B">
        <w:rPr>
          <w:rStyle w:val="CharPartNo"/>
        </w:rPr>
        <w:t xml:space="preserve"> </w:t>
      </w:r>
      <w:r w:rsidRPr="00026B3B">
        <w:rPr>
          <w:rStyle w:val="CharPartText"/>
        </w:rPr>
        <w:t xml:space="preserve"> </w:t>
      </w:r>
    </w:p>
    <w:p w:rsidR="00E500D6" w:rsidRPr="00026B3B" w:rsidRDefault="00E055D4" w:rsidP="00E500D6">
      <w:pPr>
        <w:pStyle w:val="ItemHead"/>
      </w:pPr>
      <w:r w:rsidRPr="00026B3B">
        <w:rPr>
          <w:noProof/>
        </w:rPr>
        <w:drawing>
          <wp:inline distT="0" distB="0" distL="0" distR="0" wp14:anchorId="124D5412" wp14:editId="3B9EF1BC">
            <wp:extent cx="5249662" cy="75628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1692" cy="7594587"/>
                    </a:xfrm>
                    <a:prstGeom prst="rect">
                      <a:avLst/>
                    </a:prstGeom>
                    <a:noFill/>
                    <a:ln>
                      <a:noFill/>
                    </a:ln>
                  </pic:spPr>
                </pic:pic>
              </a:graphicData>
            </a:graphic>
          </wp:inline>
        </w:drawing>
      </w:r>
      <w:r w:rsidR="00544B67" w:rsidRPr="00026B3B">
        <w:t>33</w:t>
      </w:r>
      <w:r w:rsidR="00E500D6" w:rsidRPr="00026B3B">
        <w:t xml:space="preserve">  Schedule B</w:t>
      </w:r>
    </w:p>
    <w:p w:rsidR="00E500D6" w:rsidRPr="00026B3B" w:rsidRDefault="000A70A7" w:rsidP="00E500D6">
      <w:pPr>
        <w:pStyle w:val="Item"/>
      </w:pPr>
      <w:r w:rsidRPr="00026B3B">
        <w:lastRenderedPageBreak/>
        <w:t xml:space="preserve">Repeal the </w:t>
      </w:r>
      <w:r w:rsidR="00B940E2" w:rsidRPr="00026B3B">
        <w:t>Schedule</w:t>
      </w:r>
      <w:r w:rsidRPr="00026B3B">
        <w:t>, substitute:</w:t>
      </w:r>
    </w:p>
    <w:p w:rsidR="00B940E2" w:rsidRPr="00026B3B" w:rsidRDefault="00B940E2" w:rsidP="00B940E2">
      <w:pPr>
        <w:pStyle w:val="ActHead1"/>
      </w:pPr>
      <w:bookmarkStart w:id="21" w:name="_Toc351716287"/>
      <w:r w:rsidRPr="00026B3B">
        <w:rPr>
          <w:rStyle w:val="CharChapNo"/>
        </w:rPr>
        <w:t>Schedule B</w:t>
      </w:r>
      <w:r w:rsidRPr="00026B3B">
        <w:t>—</w:t>
      </w:r>
      <w:r w:rsidRPr="00026B3B">
        <w:rPr>
          <w:rStyle w:val="CharChapText"/>
        </w:rPr>
        <w:t>General guidelines for the assessment of site contamination</w:t>
      </w:r>
      <w:bookmarkEnd w:id="21"/>
    </w:p>
    <w:p w:rsidR="00C67B01" w:rsidRPr="00026B3B" w:rsidRDefault="00C67B01" w:rsidP="00C67B01">
      <w:pPr>
        <w:pStyle w:val="Header"/>
      </w:pPr>
      <w:bookmarkStart w:id="22" w:name="f_Check_Lines_below"/>
      <w:bookmarkEnd w:id="22"/>
      <w:r w:rsidRPr="00026B3B">
        <w:rPr>
          <w:rStyle w:val="CharPartNo"/>
        </w:rPr>
        <w:t xml:space="preserve"> </w:t>
      </w:r>
      <w:r w:rsidRPr="00026B3B">
        <w:rPr>
          <w:rStyle w:val="CharPartText"/>
        </w:rPr>
        <w:t xml:space="preserve"> </w:t>
      </w:r>
    </w:p>
    <w:p w:rsidR="00B940E2" w:rsidRPr="00026B3B" w:rsidRDefault="00B940E2" w:rsidP="006B6443">
      <w:r w:rsidRPr="00026B3B">
        <w:t xml:space="preserve">The following general </w:t>
      </w:r>
      <w:r w:rsidR="00764EF5" w:rsidRPr="00026B3B">
        <w:t>g</w:t>
      </w:r>
      <w:r w:rsidRPr="00026B3B">
        <w:t>uidelines provide guidance on the possible ways of achieving the desired environmental outcome (PART 3 of the Measure) for the assessment of site contamination and should only be considered in relation to the assessment of site contamination.</w:t>
      </w:r>
    </w:p>
    <w:p w:rsidR="00B940E2" w:rsidRPr="00026B3B" w:rsidRDefault="00B940E2" w:rsidP="006B6443">
      <w:pPr>
        <w:pStyle w:val="Tabletext"/>
      </w:pPr>
    </w:p>
    <w:tbl>
      <w:tblPr>
        <w:tblW w:w="0" w:type="auto"/>
        <w:tblInd w:w="108" w:type="dxa"/>
        <w:tblLook w:val="04A0" w:firstRow="1" w:lastRow="0" w:firstColumn="1" w:lastColumn="0" w:noHBand="0" w:noVBand="1"/>
      </w:tblPr>
      <w:tblGrid>
        <w:gridCol w:w="8421"/>
      </w:tblGrid>
      <w:tr w:rsidR="00CC48F0" w:rsidRPr="00026B3B" w:rsidTr="006B6443">
        <w:tc>
          <w:tcPr>
            <w:tcW w:w="8421" w:type="dxa"/>
            <w:tcBorders>
              <w:top w:val="single" w:sz="12" w:space="0" w:color="auto"/>
              <w:bottom w:val="single" w:sz="12" w:space="0" w:color="auto"/>
            </w:tcBorders>
            <w:shd w:val="clear" w:color="auto" w:fill="auto"/>
          </w:tcPr>
          <w:p w:rsidR="00CC48F0" w:rsidRPr="00026B3B" w:rsidRDefault="00CC48F0" w:rsidP="000E1238">
            <w:pPr>
              <w:pStyle w:val="Tabletext"/>
              <w:rPr>
                <w:b/>
              </w:rPr>
            </w:pPr>
            <w:r w:rsidRPr="00026B3B">
              <w:rPr>
                <w:b/>
              </w:rPr>
              <w:t>Index of guidelines</w:t>
            </w:r>
          </w:p>
        </w:tc>
      </w:tr>
      <w:tr w:rsidR="00CC48F0" w:rsidRPr="00026B3B" w:rsidTr="00AF232B">
        <w:tc>
          <w:tcPr>
            <w:tcW w:w="8421" w:type="dxa"/>
            <w:tcBorders>
              <w:top w:val="single" w:sz="12" w:space="0" w:color="auto"/>
              <w:bottom w:val="single" w:sz="6" w:space="0" w:color="auto"/>
            </w:tcBorders>
            <w:shd w:val="clear" w:color="auto" w:fill="auto"/>
          </w:tcPr>
          <w:p w:rsidR="00CC48F0" w:rsidRPr="00026B3B" w:rsidRDefault="00CC48F0" w:rsidP="000E1238">
            <w:pPr>
              <w:pStyle w:val="Tabletext"/>
            </w:pPr>
            <w:r w:rsidRPr="00026B3B">
              <w:rPr>
                <w:b/>
              </w:rPr>
              <w:t>Schedule B1—Guideline on Investigation Levels for Soil and Groundwater</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B2—Guideline on Site Characterisation</w:t>
            </w:r>
          </w:p>
          <w:p w:rsidR="00CC48F0" w:rsidRPr="00026B3B" w:rsidRDefault="00CC48F0" w:rsidP="000E1238">
            <w:pPr>
              <w:pStyle w:val="Tabletext"/>
            </w:pPr>
            <w:r w:rsidRPr="00026B3B">
              <w:t xml:space="preserve">Appendix A Possible </w:t>
            </w:r>
            <w:proofErr w:type="spellStart"/>
            <w:r w:rsidRPr="00026B3B">
              <w:t>analytes</w:t>
            </w:r>
            <w:proofErr w:type="spellEnd"/>
            <w:r w:rsidRPr="00026B3B">
              <w:t xml:space="preserve"> for soil contamination</w:t>
            </w:r>
          </w:p>
          <w:p w:rsidR="00CC48F0" w:rsidRPr="00026B3B" w:rsidRDefault="00CC48F0" w:rsidP="000E1238">
            <w:pPr>
              <w:pStyle w:val="Tabletext"/>
            </w:pPr>
            <w:r w:rsidRPr="00026B3B">
              <w:t>Appendix B Data quality objective (</w:t>
            </w:r>
            <w:proofErr w:type="spellStart"/>
            <w:r w:rsidRPr="00026B3B">
              <w:t>DQO</w:t>
            </w:r>
            <w:proofErr w:type="spellEnd"/>
            <w:r w:rsidRPr="00026B3B">
              <w:t>) process</w:t>
            </w:r>
          </w:p>
          <w:p w:rsidR="00CC48F0" w:rsidRPr="00026B3B" w:rsidRDefault="00CC48F0" w:rsidP="000E1238">
            <w:pPr>
              <w:pStyle w:val="Tabletext"/>
            </w:pPr>
            <w:r w:rsidRPr="00026B3B">
              <w:t>Appendix C Assessment of data quality</w:t>
            </w:r>
          </w:p>
          <w:p w:rsidR="00CC48F0" w:rsidRPr="00026B3B" w:rsidRDefault="00CC48F0" w:rsidP="000E1238">
            <w:pPr>
              <w:pStyle w:val="Tabletext"/>
            </w:pPr>
            <w:r w:rsidRPr="00026B3B">
              <w:t>Appendix D Example data presentation on scale drawings and borehole logs</w:t>
            </w:r>
          </w:p>
          <w:p w:rsidR="00CC48F0" w:rsidRPr="00026B3B" w:rsidRDefault="00CC48F0" w:rsidP="000E1238">
            <w:pPr>
              <w:pStyle w:val="Tabletext"/>
            </w:pPr>
            <w:r w:rsidRPr="00026B3B">
              <w:t>Appendix E Dioxins and dioxin</w:t>
            </w:r>
            <w:r w:rsidR="00026B3B" w:rsidRPr="00026B3B">
              <w:noBreakHyphen/>
            </w:r>
            <w:r w:rsidRPr="00026B3B">
              <w:t>like compounds</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B3—Guideline on Laboratory Analysis of Potentially Contaminated Soils</w:t>
            </w:r>
          </w:p>
          <w:p w:rsidR="00CC48F0" w:rsidRPr="00026B3B" w:rsidRDefault="00CC48F0" w:rsidP="000E1238">
            <w:pPr>
              <w:pStyle w:val="Tabletext"/>
            </w:pPr>
            <w:r w:rsidRPr="00026B3B">
              <w:t>Appendix A Determination of total recoverable hydrocarbons (TRH) in soil</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B4—Guideline on Site</w:t>
            </w:r>
            <w:r w:rsidR="00026B3B" w:rsidRPr="00026B3B">
              <w:rPr>
                <w:b/>
              </w:rPr>
              <w:noBreakHyphen/>
            </w:r>
            <w:r w:rsidRPr="00026B3B">
              <w:rPr>
                <w:b/>
              </w:rPr>
              <w:t>Specific Health Risk Assessment Methodology</w:t>
            </w:r>
          </w:p>
          <w:p w:rsidR="00CC48F0" w:rsidRPr="00026B3B" w:rsidRDefault="00CC48F0" w:rsidP="000E1238">
            <w:pPr>
              <w:pStyle w:val="Tabletext"/>
            </w:pPr>
            <w:r w:rsidRPr="00026B3B">
              <w:t>Appendix A Structure of a risk assessment report</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B5a—Guideline on Ecological Risk Assessment</w:t>
            </w:r>
          </w:p>
          <w:p w:rsidR="00CC48F0" w:rsidRPr="00026B3B" w:rsidRDefault="00CC48F0" w:rsidP="000E1238">
            <w:pPr>
              <w:pStyle w:val="Tabletext"/>
            </w:pPr>
            <w:r w:rsidRPr="00026B3B">
              <w:t xml:space="preserve">Appendix A Summary of the </w:t>
            </w:r>
            <w:proofErr w:type="spellStart"/>
            <w:r w:rsidRPr="00026B3B">
              <w:t>EILs</w:t>
            </w:r>
            <w:proofErr w:type="spellEnd"/>
            <w:r w:rsidRPr="00026B3B">
              <w:t xml:space="preserve"> for fresh and aged contaminants in soil with various land uses</w:t>
            </w:r>
          </w:p>
          <w:p w:rsidR="00CC48F0" w:rsidRPr="00026B3B" w:rsidRDefault="00CC48F0" w:rsidP="000E1238">
            <w:pPr>
              <w:pStyle w:val="Tabletext"/>
            </w:pPr>
            <w:r w:rsidRPr="00026B3B">
              <w:t>Appendix B Mixtures of chemicals</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B5b—Guideline on Methodology to Derive Ecological Investigation Levels in Contaminated Soils</w:t>
            </w:r>
          </w:p>
          <w:p w:rsidR="00CC48F0" w:rsidRPr="00026B3B" w:rsidRDefault="00CC48F0" w:rsidP="000E1238">
            <w:pPr>
              <w:pStyle w:val="Tabletext"/>
            </w:pPr>
            <w:r w:rsidRPr="00026B3B">
              <w:t>Appendix A Review and comparison of frameworks for deriving soil quality guidelines in other countries</w:t>
            </w:r>
          </w:p>
          <w:p w:rsidR="00CC48F0" w:rsidRPr="00026B3B" w:rsidRDefault="00CC48F0" w:rsidP="000E1238">
            <w:pPr>
              <w:pStyle w:val="Tabletext"/>
            </w:pPr>
            <w:r w:rsidRPr="00026B3B">
              <w:t xml:space="preserve">Appendix B Method for deriving </w:t>
            </w:r>
            <w:proofErr w:type="spellStart"/>
            <w:r w:rsidRPr="00026B3B">
              <w:t>EILs</w:t>
            </w:r>
            <w:proofErr w:type="spellEnd"/>
            <w:r w:rsidRPr="00026B3B">
              <w:t xml:space="preserve"> that protect aquatic ecosystems</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1D47E2" w:rsidP="000E1238">
            <w:pPr>
              <w:pStyle w:val="Tabletext"/>
              <w:rPr>
                <w:b/>
              </w:rPr>
            </w:pPr>
            <w:r w:rsidRPr="00026B3B">
              <w:rPr>
                <w:b/>
              </w:rPr>
              <w:t xml:space="preserve">Schedule B5c—Guideline on </w:t>
            </w:r>
            <w:r w:rsidR="00CC48F0" w:rsidRPr="00026B3B">
              <w:rPr>
                <w:b/>
              </w:rPr>
              <w:t>Ecological Investigation Levels for Arsenic, Chromium (III), Copper, DDT, Lead, Naphthalene, Nickel and Zinc</w:t>
            </w:r>
          </w:p>
          <w:p w:rsidR="00CC48F0" w:rsidRPr="00026B3B" w:rsidRDefault="00CC48F0" w:rsidP="000E1238">
            <w:pPr>
              <w:pStyle w:val="Tabletext"/>
            </w:pPr>
            <w:r w:rsidRPr="00026B3B">
              <w:t>Appendix A Raw toxicity for arsenic</w:t>
            </w:r>
          </w:p>
          <w:p w:rsidR="00CC48F0" w:rsidRPr="00026B3B" w:rsidRDefault="00CC48F0" w:rsidP="000E1238">
            <w:pPr>
              <w:pStyle w:val="Tabletext"/>
            </w:pPr>
            <w:r w:rsidRPr="00026B3B">
              <w:t>Appendix B Raw toxicity for chromium (III)</w:t>
            </w:r>
          </w:p>
          <w:p w:rsidR="00CC48F0" w:rsidRPr="00026B3B" w:rsidRDefault="00CC48F0" w:rsidP="000E1238">
            <w:pPr>
              <w:pStyle w:val="Tabletext"/>
            </w:pPr>
            <w:r w:rsidRPr="00026B3B">
              <w:t>Appendix C Raw toxicity for copper</w:t>
            </w:r>
          </w:p>
          <w:p w:rsidR="00CC48F0" w:rsidRPr="00026B3B" w:rsidRDefault="00CC48F0" w:rsidP="000E1238">
            <w:pPr>
              <w:pStyle w:val="Tabletext"/>
            </w:pPr>
            <w:r w:rsidRPr="00026B3B">
              <w:t>Appendix D Explanation of the selection of the soil properties that control the added contaminant limits for copper</w:t>
            </w:r>
          </w:p>
          <w:p w:rsidR="00CC48F0" w:rsidRPr="00026B3B" w:rsidRDefault="00CC48F0" w:rsidP="000E1238">
            <w:pPr>
              <w:pStyle w:val="Tabletext"/>
            </w:pPr>
            <w:r w:rsidRPr="00026B3B">
              <w:t>Appendix E Raw toxicity for DDT</w:t>
            </w:r>
          </w:p>
          <w:p w:rsidR="00CC48F0" w:rsidRPr="00026B3B" w:rsidRDefault="00CC48F0" w:rsidP="000E1238">
            <w:pPr>
              <w:pStyle w:val="Tabletext"/>
            </w:pPr>
            <w:r w:rsidRPr="00026B3B">
              <w:t>Appendix F Raw toxicity for lead</w:t>
            </w:r>
          </w:p>
          <w:p w:rsidR="00CC48F0" w:rsidRPr="00026B3B" w:rsidRDefault="00CC48F0" w:rsidP="000E1238">
            <w:pPr>
              <w:pStyle w:val="Tabletext"/>
            </w:pPr>
            <w:r w:rsidRPr="00026B3B">
              <w:t>Appendix G Raw toxicity for naphthalene</w:t>
            </w:r>
          </w:p>
          <w:p w:rsidR="00CC48F0" w:rsidRPr="00026B3B" w:rsidRDefault="00CC48F0" w:rsidP="000E1238">
            <w:pPr>
              <w:pStyle w:val="Tabletext"/>
            </w:pPr>
            <w:r w:rsidRPr="00026B3B">
              <w:t>Appendix H Raw toxicity for nickel</w:t>
            </w:r>
          </w:p>
          <w:p w:rsidR="00CC48F0" w:rsidRPr="00026B3B" w:rsidRDefault="00CC48F0" w:rsidP="000E1238">
            <w:pPr>
              <w:pStyle w:val="Tabletext"/>
            </w:pPr>
            <w:r w:rsidRPr="00026B3B">
              <w:t>Appendix I Raw toxicity for zinc</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B6—Guideline on the Framework for Risk</w:t>
            </w:r>
            <w:r w:rsidR="00026B3B" w:rsidRPr="00026B3B">
              <w:rPr>
                <w:b/>
              </w:rPr>
              <w:noBreakHyphen/>
            </w:r>
            <w:r w:rsidRPr="00026B3B">
              <w:rPr>
                <w:b/>
              </w:rPr>
              <w:t>Based Assessment of Groundwater Contamination</w:t>
            </w:r>
          </w:p>
        </w:tc>
      </w:tr>
      <w:tr w:rsidR="00CC48F0" w:rsidRPr="00026B3B" w:rsidTr="00AF232B">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t>Schedule B7—Guideline on derivation of health</w:t>
            </w:r>
            <w:r w:rsidR="00026B3B" w:rsidRPr="00026B3B">
              <w:rPr>
                <w:b/>
              </w:rPr>
              <w:noBreakHyphen/>
            </w:r>
            <w:r w:rsidRPr="00026B3B">
              <w:rPr>
                <w:b/>
              </w:rPr>
              <w:t>based investigation levels</w:t>
            </w:r>
          </w:p>
          <w:p w:rsidR="00CC48F0" w:rsidRPr="00026B3B" w:rsidRDefault="00CC48F0" w:rsidP="000E1238">
            <w:pPr>
              <w:pStyle w:val="Tabletext"/>
            </w:pPr>
            <w:r w:rsidRPr="00026B3B">
              <w:t xml:space="preserve">Appendix A1 Derivation of </w:t>
            </w:r>
            <w:proofErr w:type="spellStart"/>
            <w:r w:rsidRPr="00026B3B">
              <w:t>HILs</w:t>
            </w:r>
            <w:proofErr w:type="spellEnd"/>
            <w:r w:rsidRPr="00026B3B">
              <w:t xml:space="preserve"> for Metals and Inorganics</w:t>
            </w:r>
          </w:p>
          <w:p w:rsidR="00CC48F0" w:rsidRPr="00026B3B" w:rsidRDefault="00CC48F0" w:rsidP="000E1238">
            <w:pPr>
              <w:pStyle w:val="Tabletext"/>
            </w:pPr>
            <w:r w:rsidRPr="00026B3B">
              <w:lastRenderedPageBreak/>
              <w:t xml:space="preserve">Appendix A2 Derivation of </w:t>
            </w:r>
            <w:proofErr w:type="spellStart"/>
            <w:r w:rsidRPr="00026B3B">
              <w:t>HILs</w:t>
            </w:r>
            <w:proofErr w:type="spellEnd"/>
            <w:r w:rsidRPr="00026B3B">
              <w:t xml:space="preserve"> for </w:t>
            </w:r>
            <w:proofErr w:type="spellStart"/>
            <w:r w:rsidRPr="00026B3B">
              <w:t>PAHs</w:t>
            </w:r>
            <w:proofErr w:type="spellEnd"/>
            <w:r w:rsidRPr="00026B3B">
              <w:t xml:space="preserve"> and Phenols</w:t>
            </w:r>
          </w:p>
          <w:p w:rsidR="00CC48F0" w:rsidRPr="00026B3B" w:rsidRDefault="00CC48F0" w:rsidP="000E1238">
            <w:pPr>
              <w:pStyle w:val="Tabletext"/>
            </w:pPr>
            <w:r w:rsidRPr="00026B3B">
              <w:t xml:space="preserve">Appendix A3 Derivation of </w:t>
            </w:r>
            <w:proofErr w:type="spellStart"/>
            <w:r w:rsidRPr="00026B3B">
              <w:t>HILs</w:t>
            </w:r>
            <w:proofErr w:type="spellEnd"/>
            <w:r w:rsidRPr="00026B3B">
              <w:t xml:space="preserve"> for </w:t>
            </w:r>
            <w:proofErr w:type="spellStart"/>
            <w:r w:rsidRPr="00026B3B">
              <w:t>Organochlorine</w:t>
            </w:r>
            <w:proofErr w:type="spellEnd"/>
            <w:r w:rsidRPr="00026B3B">
              <w:t xml:space="preserve"> Pesticides</w:t>
            </w:r>
          </w:p>
          <w:p w:rsidR="00CC48F0" w:rsidRPr="00026B3B" w:rsidRDefault="00CC48F0" w:rsidP="000E1238">
            <w:pPr>
              <w:pStyle w:val="Tabletext"/>
            </w:pPr>
            <w:r w:rsidRPr="00026B3B">
              <w:t xml:space="preserve">Appendix A4 Derivation of </w:t>
            </w:r>
            <w:proofErr w:type="spellStart"/>
            <w:r w:rsidRPr="00026B3B">
              <w:t>HILs</w:t>
            </w:r>
            <w:proofErr w:type="spellEnd"/>
            <w:r w:rsidRPr="00026B3B">
              <w:t xml:space="preserve"> for Herbicides and Other Pesticides</w:t>
            </w:r>
          </w:p>
          <w:p w:rsidR="00CC48F0" w:rsidRPr="00026B3B" w:rsidRDefault="00CC48F0" w:rsidP="000E1238">
            <w:pPr>
              <w:pStyle w:val="Tabletext"/>
            </w:pPr>
            <w:r w:rsidRPr="00026B3B">
              <w:t xml:space="preserve">Appendix A5 Derivation of </w:t>
            </w:r>
            <w:proofErr w:type="spellStart"/>
            <w:r w:rsidRPr="00026B3B">
              <w:t>HILs</w:t>
            </w:r>
            <w:proofErr w:type="spellEnd"/>
            <w:r w:rsidRPr="00026B3B">
              <w:t xml:space="preserve"> for PCBs and </w:t>
            </w:r>
            <w:proofErr w:type="spellStart"/>
            <w:r w:rsidRPr="00026B3B">
              <w:t>PBDEs</w:t>
            </w:r>
            <w:proofErr w:type="spellEnd"/>
          </w:p>
          <w:p w:rsidR="00CC48F0" w:rsidRPr="00026B3B" w:rsidRDefault="00CC48F0" w:rsidP="000E1238">
            <w:pPr>
              <w:pStyle w:val="Tabletext"/>
            </w:pPr>
            <w:r w:rsidRPr="00026B3B">
              <w:t xml:space="preserve">Appendix A6 Derivation of </w:t>
            </w:r>
            <w:proofErr w:type="spellStart"/>
            <w:r w:rsidRPr="00026B3B">
              <w:t>HILs</w:t>
            </w:r>
            <w:proofErr w:type="spellEnd"/>
            <w:r w:rsidRPr="00026B3B">
              <w:t xml:space="preserve"> for Volatile Organic Carbon Compounds</w:t>
            </w:r>
          </w:p>
          <w:p w:rsidR="00CC48F0" w:rsidRPr="00026B3B" w:rsidRDefault="00CC48F0" w:rsidP="000E1238">
            <w:pPr>
              <w:pStyle w:val="Tabletext"/>
            </w:pPr>
            <w:r w:rsidRPr="00026B3B">
              <w:t xml:space="preserve">Appendix B Equations for derivation of </w:t>
            </w:r>
            <w:proofErr w:type="spellStart"/>
            <w:r w:rsidRPr="00026B3B">
              <w:t>HILs</w:t>
            </w:r>
            <w:proofErr w:type="spellEnd"/>
            <w:r w:rsidRPr="00026B3B">
              <w:t xml:space="preserve"> and Interim </w:t>
            </w:r>
            <w:proofErr w:type="spellStart"/>
            <w:r w:rsidRPr="00026B3B">
              <w:t>HILs</w:t>
            </w:r>
            <w:proofErr w:type="spellEnd"/>
          </w:p>
          <w:p w:rsidR="00CC48F0" w:rsidRPr="00026B3B" w:rsidRDefault="00CC48F0" w:rsidP="000E1238">
            <w:pPr>
              <w:pStyle w:val="Tabletext"/>
            </w:pPr>
            <w:r w:rsidRPr="00026B3B">
              <w:t xml:space="preserve">Appendix C Derivation of </w:t>
            </w:r>
            <w:proofErr w:type="spellStart"/>
            <w:r w:rsidRPr="00026B3B">
              <w:t>HILs</w:t>
            </w:r>
            <w:proofErr w:type="spellEnd"/>
            <w:r w:rsidRPr="00026B3B">
              <w:t xml:space="preserve"> for Generic Land Uses</w:t>
            </w:r>
          </w:p>
          <w:p w:rsidR="00DC35BC" w:rsidRPr="00026B3B" w:rsidRDefault="00DC35BC" w:rsidP="000E1238">
            <w:pPr>
              <w:pStyle w:val="Tabletext"/>
            </w:pPr>
            <w:r w:rsidRPr="00026B3B">
              <w:t>Appendix D Blood lead model assumptions</w:t>
            </w:r>
          </w:p>
        </w:tc>
      </w:tr>
      <w:tr w:rsidR="00CC48F0" w:rsidRPr="00026B3B" w:rsidTr="006B6443">
        <w:tc>
          <w:tcPr>
            <w:tcW w:w="8421" w:type="dxa"/>
            <w:tcBorders>
              <w:top w:val="single" w:sz="6" w:space="0" w:color="auto"/>
              <w:bottom w:val="single" w:sz="6" w:space="0" w:color="auto"/>
            </w:tcBorders>
            <w:shd w:val="clear" w:color="auto" w:fill="auto"/>
          </w:tcPr>
          <w:p w:rsidR="00CC48F0" w:rsidRPr="00026B3B" w:rsidRDefault="00CC48F0" w:rsidP="000E1238">
            <w:pPr>
              <w:pStyle w:val="Tabletext"/>
              <w:rPr>
                <w:b/>
              </w:rPr>
            </w:pPr>
            <w:r w:rsidRPr="00026B3B">
              <w:rPr>
                <w:b/>
              </w:rPr>
              <w:lastRenderedPageBreak/>
              <w:t>Schedule B8—Guideline on Community Engagement and Risk Communication</w:t>
            </w:r>
          </w:p>
        </w:tc>
      </w:tr>
      <w:tr w:rsidR="00CC48F0" w:rsidRPr="00026B3B" w:rsidTr="006B6443">
        <w:tc>
          <w:tcPr>
            <w:tcW w:w="8421" w:type="dxa"/>
            <w:tcBorders>
              <w:top w:val="single" w:sz="6" w:space="0" w:color="auto"/>
              <w:bottom w:val="single" w:sz="12" w:space="0" w:color="auto"/>
            </w:tcBorders>
            <w:shd w:val="clear" w:color="auto" w:fill="auto"/>
          </w:tcPr>
          <w:p w:rsidR="00CC48F0" w:rsidRPr="00026B3B" w:rsidRDefault="00CC48F0" w:rsidP="000E1238">
            <w:pPr>
              <w:pStyle w:val="Tabletext"/>
              <w:rPr>
                <w:b/>
              </w:rPr>
            </w:pPr>
            <w:r w:rsidRPr="00026B3B">
              <w:rPr>
                <w:b/>
              </w:rPr>
              <w:t>Schedule B9—Guideline on Competencies and Acceptance of Environmental Auditors and Related Professionals</w:t>
            </w:r>
          </w:p>
        </w:tc>
      </w:tr>
    </w:tbl>
    <w:p w:rsidR="000A70A7" w:rsidRPr="00026B3B" w:rsidRDefault="000A70A7" w:rsidP="00E055D4">
      <w:pPr>
        <w:pStyle w:val="Tabletext"/>
      </w:pPr>
    </w:p>
    <w:sectPr w:rsidR="000A70A7" w:rsidRPr="00026B3B" w:rsidSect="00F20546">
      <w:headerReference w:type="even" r:id="rId21"/>
      <w:headerReference w:type="default" r:id="rId22"/>
      <w:footerReference w:type="even" r:id="rId23"/>
      <w:footerReference w:type="default" r:id="rId24"/>
      <w:headerReference w:type="first" r:id="rId25"/>
      <w:footerReference w:type="first" r:id="rId26"/>
      <w:pgSz w:w="11907" w:h="16839"/>
      <w:pgMar w:top="1440"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A5" w:rsidRDefault="00505AA5" w:rsidP="0048364F">
      <w:pPr>
        <w:spacing w:line="240" w:lineRule="auto"/>
      </w:pPr>
      <w:r>
        <w:separator/>
      </w:r>
    </w:p>
  </w:endnote>
  <w:endnote w:type="continuationSeparator" w:id="0">
    <w:p w:rsidR="00505AA5" w:rsidRDefault="00505AA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46" w:rsidRPr="00F20546" w:rsidRDefault="00F20546" w:rsidP="00F20546">
    <w:pPr>
      <w:pStyle w:val="Footer"/>
      <w:rPr>
        <w:sz w:val="18"/>
      </w:rPr>
    </w:pPr>
    <w:r>
      <w:rPr>
        <w:sz w:val="18"/>
      </w:rPr>
      <w:t>OPC50357</w:t>
    </w:r>
    <w:r w:rsidRPr="00F20546">
      <w:rPr>
        <w:sz w:val="18"/>
      </w:rPr>
      <w:t xml:space="preserve">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505AA5" w:rsidTr="00D56A0D">
      <w:tc>
        <w:tcPr>
          <w:tcW w:w="8472" w:type="dxa"/>
        </w:tcPr>
        <w:p w:rsidR="00505AA5" w:rsidRDefault="00505AA5" w:rsidP="00E500D6">
          <w:pPr>
            <w:rPr>
              <w:sz w:val="18"/>
            </w:rPr>
          </w:pPr>
        </w:p>
      </w:tc>
    </w:tr>
  </w:tbl>
  <w:p w:rsidR="00505AA5" w:rsidRPr="00A136F5" w:rsidRDefault="00F20546" w:rsidP="00F20546">
    <w:pPr>
      <w:pStyle w:val="Footer"/>
    </w:pPr>
    <w:r>
      <w:t>OPC50357</w:t>
    </w:r>
    <w:r w:rsidRPr="00F20546">
      <w:rPr>
        <w:sz w:val="18"/>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D79B6" w:rsidRDefault="00505AA5"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F20546" w:rsidRDefault="00505AA5" w:rsidP="00A136F5">
    <w:pPr>
      <w:pBdr>
        <w:top w:val="single" w:sz="6" w:space="1" w:color="auto"/>
      </w:pBdr>
      <w:spacing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505AA5" w:rsidRPr="00F20546" w:rsidTr="00D56A0D">
      <w:tc>
        <w:tcPr>
          <w:tcW w:w="709" w:type="dxa"/>
          <w:tcBorders>
            <w:top w:val="nil"/>
            <w:left w:val="nil"/>
            <w:bottom w:val="nil"/>
            <w:right w:val="nil"/>
          </w:tcBorders>
        </w:tcPr>
        <w:p w:rsidR="00505AA5" w:rsidRPr="00F20546" w:rsidRDefault="00505AA5" w:rsidP="00E500D6">
          <w:pPr>
            <w:spacing w:line="0" w:lineRule="atLeast"/>
            <w:rPr>
              <w:rFonts w:cs="Times New Roman"/>
              <w:sz w:val="18"/>
            </w:rPr>
          </w:pPr>
          <w:r w:rsidRPr="00F20546">
            <w:rPr>
              <w:rFonts w:cs="Times New Roman"/>
              <w:i/>
              <w:sz w:val="18"/>
            </w:rPr>
            <w:fldChar w:fldCharType="begin"/>
          </w:r>
          <w:r w:rsidRPr="00F20546">
            <w:rPr>
              <w:rFonts w:cs="Times New Roman"/>
              <w:i/>
              <w:sz w:val="18"/>
            </w:rPr>
            <w:instrText xml:space="preserve"> PAGE </w:instrText>
          </w:r>
          <w:r w:rsidRPr="00F20546">
            <w:rPr>
              <w:rFonts w:cs="Times New Roman"/>
              <w:i/>
              <w:sz w:val="18"/>
            </w:rPr>
            <w:fldChar w:fldCharType="separate"/>
          </w:r>
          <w:r w:rsidR="000E0071">
            <w:rPr>
              <w:rFonts w:cs="Times New Roman"/>
              <w:i/>
              <w:noProof/>
              <w:sz w:val="18"/>
            </w:rPr>
            <w:t>ii</w:t>
          </w:r>
          <w:r w:rsidRPr="00F20546">
            <w:rPr>
              <w:rFonts w:cs="Times New Roman"/>
              <w:i/>
              <w:sz w:val="18"/>
            </w:rPr>
            <w:fldChar w:fldCharType="end"/>
          </w:r>
        </w:p>
      </w:tc>
      <w:tc>
        <w:tcPr>
          <w:tcW w:w="6379" w:type="dxa"/>
          <w:tcBorders>
            <w:top w:val="nil"/>
            <w:left w:val="nil"/>
            <w:bottom w:val="nil"/>
            <w:right w:val="nil"/>
          </w:tcBorders>
        </w:tcPr>
        <w:p w:rsidR="00505AA5" w:rsidRPr="00F20546" w:rsidRDefault="00505AA5" w:rsidP="00E500D6">
          <w:pPr>
            <w:spacing w:line="0" w:lineRule="atLeast"/>
            <w:jc w:val="center"/>
            <w:rPr>
              <w:rFonts w:cs="Times New Roman"/>
              <w:sz w:val="18"/>
            </w:rPr>
          </w:pPr>
          <w:r w:rsidRPr="00F20546">
            <w:rPr>
              <w:rFonts w:cs="Times New Roman"/>
              <w:i/>
              <w:sz w:val="18"/>
            </w:rPr>
            <w:fldChar w:fldCharType="begin"/>
          </w:r>
          <w:r w:rsidRPr="00F20546">
            <w:rPr>
              <w:rFonts w:cs="Times New Roman"/>
              <w:i/>
              <w:sz w:val="18"/>
            </w:rPr>
            <w:instrText xml:space="preserve"> DOCPROPERTY ShortT </w:instrText>
          </w:r>
          <w:r w:rsidRPr="00F20546">
            <w:rPr>
              <w:rFonts w:cs="Times New Roman"/>
              <w:i/>
              <w:sz w:val="18"/>
            </w:rPr>
            <w:fldChar w:fldCharType="separate"/>
          </w:r>
          <w:r w:rsidR="000E0071">
            <w:rPr>
              <w:rFonts w:cs="Times New Roman"/>
              <w:i/>
              <w:sz w:val="18"/>
            </w:rPr>
            <w:t>National Environment Protection (Assessment of Site Contamination) Amendment Measure 2013 (No. 1)</w:t>
          </w:r>
          <w:r w:rsidRPr="00F20546">
            <w:rPr>
              <w:rFonts w:cs="Times New Roman"/>
              <w:i/>
              <w:sz w:val="18"/>
            </w:rPr>
            <w:fldChar w:fldCharType="end"/>
          </w:r>
        </w:p>
      </w:tc>
      <w:tc>
        <w:tcPr>
          <w:tcW w:w="1383" w:type="dxa"/>
          <w:tcBorders>
            <w:top w:val="nil"/>
            <w:left w:val="nil"/>
            <w:bottom w:val="nil"/>
            <w:right w:val="nil"/>
          </w:tcBorders>
        </w:tcPr>
        <w:p w:rsidR="00505AA5" w:rsidRPr="00F20546" w:rsidRDefault="00505AA5" w:rsidP="00E500D6">
          <w:pPr>
            <w:spacing w:line="0" w:lineRule="atLeast"/>
            <w:jc w:val="right"/>
            <w:rPr>
              <w:rFonts w:cs="Times New Roman"/>
              <w:sz w:val="18"/>
            </w:rPr>
          </w:pPr>
        </w:p>
      </w:tc>
    </w:tr>
    <w:tr w:rsidR="00505AA5" w:rsidRPr="00F20546"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05AA5" w:rsidRPr="00F20546" w:rsidRDefault="00505AA5" w:rsidP="00E500D6">
          <w:pPr>
            <w:jc w:val="right"/>
            <w:rPr>
              <w:rFonts w:cs="Times New Roman"/>
              <w:sz w:val="18"/>
            </w:rPr>
          </w:pPr>
        </w:p>
      </w:tc>
    </w:tr>
  </w:tbl>
  <w:p w:rsidR="00505AA5" w:rsidRPr="00F20546" w:rsidRDefault="00F20546" w:rsidP="00F20546">
    <w:pPr>
      <w:rPr>
        <w:rFonts w:cs="Times New Roman"/>
        <w:i/>
        <w:sz w:val="18"/>
      </w:rPr>
    </w:pPr>
    <w:r>
      <w:rPr>
        <w:rFonts w:cs="Times New Roman"/>
        <w:i/>
        <w:sz w:val="18"/>
      </w:rPr>
      <w:t>OPC50357</w:t>
    </w:r>
    <w:r w:rsidRPr="00F20546">
      <w:rPr>
        <w:rFonts w:cs="Times New Roman"/>
        <w:i/>
        <w:sz w:val="18"/>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33C1C" w:rsidRDefault="00505AA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505AA5" w:rsidTr="00D56A0D">
      <w:tc>
        <w:tcPr>
          <w:tcW w:w="1383" w:type="dxa"/>
          <w:tcBorders>
            <w:top w:val="nil"/>
            <w:left w:val="nil"/>
            <w:bottom w:val="nil"/>
            <w:right w:val="nil"/>
          </w:tcBorders>
        </w:tcPr>
        <w:p w:rsidR="00505AA5" w:rsidRDefault="00505AA5" w:rsidP="00E500D6">
          <w:pPr>
            <w:spacing w:line="0" w:lineRule="atLeast"/>
            <w:rPr>
              <w:sz w:val="18"/>
            </w:rPr>
          </w:pPr>
        </w:p>
      </w:tc>
      <w:tc>
        <w:tcPr>
          <w:tcW w:w="6379" w:type="dxa"/>
          <w:tcBorders>
            <w:top w:val="nil"/>
            <w:left w:val="nil"/>
            <w:bottom w:val="nil"/>
            <w:right w:val="nil"/>
          </w:tcBorders>
        </w:tcPr>
        <w:p w:rsidR="00505AA5" w:rsidRDefault="00505AA5" w:rsidP="00E50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0071">
            <w:rPr>
              <w:i/>
              <w:sz w:val="18"/>
            </w:rPr>
            <w:t>National Environment Protection (Assessment of Site Contamination) Amendment Measure 2013 (No. 1)</w:t>
          </w:r>
          <w:r w:rsidRPr="007A1328">
            <w:rPr>
              <w:i/>
              <w:sz w:val="18"/>
            </w:rPr>
            <w:fldChar w:fldCharType="end"/>
          </w:r>
        </w:p>
      </w:tc>
      <w:tc>
        <w:tcPr>
          <w:tcW w:w="709" w:type="dxa"/>
          <w:tcBorders>
            <w:top w:val="nil"/>
            <w:left w:val="nil"/>
            <w:bottom w:val="nil"/>
            <w:right w:val="nil"/>
          </w:tcBorders>
        </w:tcPr>
        <w:p w:rsidR="00505AA5" w:rsidRDefault="00505AA5" w:rsidP="00E50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6005">
            <w:rPr>
              <w:i/>
              <w:noProof/>
              <w:sz w:val="18"/>
            </w:rPr>
            <w:t>i</w:t>
          </w:r>
          <w:r w:rsidRPr="00ED79B6">
            <w:rPr>
              <w:i/>
              <w:sz w:val="18"/>
            </w:rPr>
            <w:fldChar w:fldCharType="end"/>
          </w:r>
        </w:p>
      </w:tc>
    </w:tr>
    <w:tr w:rsidR="00505AA5"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05AA5" w:rsidRDefault="00505AA5" w:rsidP="00E500D6">
          <w:pPr>
            <w:rPr>
              <w:sz w:val="18"/>
            </w:rPr>
          </w:pPr>
        </w:p>
      </w:tc>
    </w:tr>
  </w:tbl>
  <w:p w:rsidR="00505AA5" w:rsidRPr="00ED79B6" w:rsidRDefault="00F20546" w:rsidP="00F20546">
    <w:pPr>
      <w:rPr>
        <w:i/>
        <w:sz w:val="18"/>
      </w:rPr>
    </w:pPr>
    <w:r>
      <w:rPr>
        <w:i/>
        <w:sz w:val="18"/>
      </w:rPr>
      <w:t>OPC50357</w:t>
    </w:r>
    <w:r w:rsidRPr="00F20546">
      <w:rPr>
        <w:rFonts w:cs="Times New Roman"/>
        <w:i/>
        <w:sz w:val="18"/>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F20546" w:rsidRDefault="00505AA5" w:rsidP="00A136F5">
    <w:pPr>
      <w:pBdr>
        <w:top w:val="single" w:sz="6" w:space="1" w:color="auto"/>
      </w:pBdr>
      <w:spacing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505AA5" w:rsidRPr="00F20546" w:rsidTr="007A6863">
      <w:tc>
        <w:tcPr>
          <w:tcW w:w="709" w:type="dxa"/>
          <w:tcBorders>
            <w:top w:val="nil"/>
            <w:left w:val="nil"/>
            <w:bottom w:val="nil"/>
            <w:right w:val="nil"/>
          </w:tcBorders>
        </w:tcPr>
        <w:p w:rsidR="00505AA5" w:rsidRPr="00F20546" w:rsidRDefault="00505AA5" w:rsidP="00E500D6">
          <w:pPr>
            <w:spacing w:line="0" w:lineRule="atLeast"/>
            <w:rPr>
              <w:rFonts w:cs="Times New Roman"/>
              <w:sz w:val="18"/>
            </w:rPr>
          </w:pPr>
          <w:r w:rsidRPr="00F20546">
            <w:rPr>
              <w:rFonts w:cs="Times New Roman"/>
              <w:i/>
              <w:sz w:val="18"/>
            </w:rPr>
            <w:fldChar w:fldCharType="begin"/>
          </w:r>
          <w:r w:rsidRPr="00F20546">
            <w:rPr>
              <w:rFonts w:cs="Times New Roman"/>
              <w:i/>
              <w:sz w:val="18"/>
            </w:rPr>
            <w:instrText xml:space="preserve"> PAGE </w:instrText>
          </w:r>
          <w:r w:rsidRPr="00F20546">
            <w:rPr>
              <w:rFonts w:cs="Times New Roman"/>
              <w:i/>
              <w:sz w:val="18"/>
            </w:rPr>
            <w:fldChar w:fldCharType="separate"/>
          </w:r>
          <w:r w:rsidR="00AC6005">
            <w:rPr>
              <w:rFonts w:cs="Times New Roman"/>
              <w:i/>
              <w:noProof/>
              <w:sz w:val="18"/>
            </w:rPr>
            <w:t>8</w:t>
          </w:r>
          <w:r w:rsidRPr="00F20546">
            <w:rPr>
              <w:rFonts w:cs="Times New Roman"/>
              <w:i/>
              <w:sz w:val="18"/>
            </w:rPr>
            <w:fldChar w:fldCharType="end"/>
          </w:r>
        </w:p>
      </w:tc>
      <w:tc>
        <w:tcPr>
          <w:tcW w:w="6379" w:type="dxa"/>
          <w:tcBorders>
            <w:top w:val="nil"/>
            <w:left w:val="nil"/>
            <w:bottom w:val="nil"/>
            <w:right w:val="nil"/>
          </w:tcBorders>
        </w:tcPr>
        <w:p w:rsidR="00505AA5" w:rsidRPr="00F20546" w:rsidRDefault="00505AA5" w:rsidP="00E500D6">
          <w:pPr>
            <w:spacing w:line="0" w:lineRule="atLeast"/>
            <w:jc w:val="center"/>
            <w:rPr>
              <w:rFonts w:cs="Times New Roman"/>
              <w:sz w:val="18"/>
            </w:rPr>
          </w:pPr>
          <w:r w:rsidRPr="00F20546">
            <w:rPr>
              <w:rFonts w:cs="Times New Roman"/>
              <w:i/>
              <w:sz w:val="18"/>
            </w:rPr>
            <w:fldChar w:fldCharType="begin"/>
          </w:r>
          <w:r w:rsidRPr="00F20546">
            <w:rPr>
              <w:rFonts w:cs="Times New Roman"/>
              <w:i/>
              <w:sz w:val="18"/>
            </w:rPr>
            <w:instrText xml:space="preserve"> DOCPROPERTY ShortT </w:instrText>
          </w:r>
          <w:r w:rsidRPr="00F20546">
            <w:rPr>
              <w:rFonts w:cs="Times New Roman"/>
              <w:i/>
              <w:sz w:val="18"/>
            </w:rPr>
            <w:fldChar w:fldCharType="separate"/>
          </w:r>
          <w:r w:rsidR="000E0071">
            <w:rPr>
              <w:rFonts w:cs="Times New Roman"/>
              <w:i/>
              <w:sz w:val="18"/>
            </w:rPr>
            <w:t>National Environment Protection (Assessment of Site Contamination) Amendment Measure 2013 (No. 1)</w:t>
          </w:r>
          <w:r w:rsidRPr="00F20546">
            <w:rPr>
              <w:rFonts w:cs="Times New Roman"/>
              <w:i/>
              <w:sz w:val="18"/>
            </w:rPr>
            <w:fldChar w:fldCharType="end"/>
          </w:r>
        </w:p>
      </w:tc>
      <w:tc>
        <w:tcPr>
          <w:tcW w:w="1383" w:type="dxa"/>
          <w:tcBorders>
            <w:top w:val="nil"/>
            <w:left w:val="nil"/>
            <w:bottom w:val="nil"/>
            <w:right w:val="nil"/>
          </w:tcBorders>
        </w:tcPr>
        <w:p w:rsidR="00505AA5" w:rsidRPr="00F20546" w:rsidRDefault="00505AA5" w:rsidP="00E500D6">
          <w:pPr>
            <w:spacing w:line="0" w:lineRule="atLeast"/>
            <w:jc w:val="right"/>
            <w:rPr>
              <w:rFonts w:cs="Times New Roman"/>
              <w:sz w:val="18"/>
            </w:rPr>
          </w:pPr>
        </w:p>
      </w:tc>
    </w:tr>
    <w:tr w:rsidR="00505AA5" w:rsidRPr="00F20546"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05AA5" w:rsidRPr="00F20546" w:rsidRDefault="00505AA5" w:rsidP="00E500D6">
          <w:pPr>
            <w:jc w:val="right"/>
            <w:rPr>
              <w:rFonts w:cs="Times New Roman"/>
              <w:sz w:val="18"/>
            </w:rPr>
          </w:pPr>
        </w:p>
      </w:tc>
    </w:tr>
  </w:tbl>
  <w:p w:rsidR="00505AA5" w:rsidRPr="00F20546" w:rsidRDefault="00F20546" w:rsidP="00F20546">
    <w:pPr>
      <w:rPr>
        <w:rFonts w:cs="Times New Roman"/>
        <w:i/>
        <w:sz w:val="18"/>
      </w:rPr>
    </w:pPr>
    <w:r>
      <w:rPr>
        <w:rFonts w:cs="Times New Roman"/>
        <w:i/>
        <w:sz w:val="18"/>
      </w:rPr>
      <w:t>OPC50357</w:t>
    </w:r>
    <w:r w:rsidRPr="00F20546">
      <w:rPr>
        <w:rFonts w:cs="Times New Roman"/>
        <w:i/>
        <w:sz w:val="18"/>
      </w:rPr>
      <w:t xml:space="preserve">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33C1C" w:rsidRDefault="00505AA5" w:rsidP="007A6863">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05AA5" w:rsidTr="00E500D6">
      <w:tc>
        <w:tcPr>
          <w:tcW w:w="1384" w:type="dxa"/>
          <w:tcBorders>
            <w:top w:val="nil"/>
            <w:left w:val="nil"/>
            <w:bottom w:val="nil"/>
            <w:right w:val="nil"/>
          </w:tcBorders>
        </w:tcPr>
        <w:p w:rsidR="00505AA5" w:rsidRDefault="00505AA5" w:rsidP="00E500D6">
          <w:pPr>
            <w:spacing w:line="0" w:lineRule="atLeast"/>
            <w:rPr>
              <w:sz w:val="18"/>
            </w:rPr>
          </w:pPr>
        </w:p>
      </w:tc>
      <w:tc>
        <w:tcPr>
          <w:tcW w:w="6379" w:type="dxa"/>
          <w:tcBorders>
            <w:top w:val="nil"/>
            <w:left w:val="nil"/>
            <w:bottom w:val="nil"/>
            <w:right w:val="nil"/>
          </w:tcBorders>
        </w:tcPr>
        <w:p w:rsidR="00505AA5" w:rsidRDefault="00505AA5" w:rsidP="00E50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0071">
            <w:rPr>
              <w:i/>
              <w:sz w:val="18"/>
            </w:rPr>
            <w:t>National Environment Protection (Assessment of Site Contamination) Amendment Measure 2013 (No. 1)</w:t>
          </w:r>
          <w:r w:rsidRPr="007A1328">
            <w:rPr>
              <w:i/>
              <w:sz w:val="18"/>
            </w:rPr>
            <w:fldChar w:fldCharType="end"/>
          </w:r>
        </w:p>
      </w:tc>
      <w:tc>
        <w:tcPr>
          <w:tcW w:w="709" w:type="dxa"/>
          <w:tcBorders>
            <w:top w:val="nil"/>
            <w:left w:val="nil"/>
            <w:bottom w:val="nil"/>
            <w:right w:val="nil"/>
          </w:tcBorders>
        </w:tcPr>
        <w:p w:rsidR="00505AA5" w:rsidRDefault="00505AA5" w:rsidP="00E50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C6005">
            <w:rPr>
              <w:i/>
              <w:noProof/>
              <w:sz w:val="18"/>
            </w:rPr>
            <w:t>7</w:t>
          </w:r>
          <w:r w:rsidRPr="00ED79B6">
            <w:rPr>
              <w:i/>
              <w:sz w:val="18"/>
            </w:rPr>
            <w:fldChar w:fldCharType="end"/>
          </w:r>
        </w:p>
      </w:tc>
    </w:tr>
    <w:tr w:rsidR="00505AA5" w:rsidTr="00E5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05AA5" w:rsidRDefault="00505AA5" w:rsidP="00E500D6">
          <w:pPr>
            <w:rPr>
              <w:sz w:val="18"/>
            </w:rPr>
          </w:pPr>
        </w:p>
      </w:tc>
    </w:tr>
  </w:tbl>
  <w:p w:rsidR="00505AA5" w:rsidRPr="00ED79B6" w:rsidRDefault="00F20546" w:rsidP="00F20546">
    <w:pPr>
      <w:rPr>
        <w:i/>
        <w:sz w:val="18"/>
      </w:rPr>
    </w:pPr>
    <w:r>
      <w:rPr>
        <w:i/>
        <w:sz w:val="18"/>
      </w:rPr>
      <w:t>OPC50357</w:t>
    </w:r>
    <w:r w:rsidRPr="00F20546">
      <w:rPr>
        <w:rFonts w:cs="Times New Roman"/>
        <w:i/>
        <w:sz w:val="18"/>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33C1C" w:rsidRDefault="00505AA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05AA5" w:rsidTr="007A6863">
      <w:tc>
        <w:tcPr>
          <w:tcW w:w="1384" w:type="dxa"/>
          <w:tcBorders>
            <w:top w:val="nil"/>
            <w:left w:val="nil"/>
            <w:bottom w:val="nil"/>
            <w:right w:val="nil"/>
          </w:tcBorders>
        </w:tcPr>
        <w:p w:rsidR="00505AA5" w:rsidRDefault="00505AA5" w:rsidP="00E500D6">
          <w:pPr>
            <w:spacing w:line="0" w:lineRule="atLeast"/>
            <w:rPr>
              <w:sz w:val="18"/>
            </w:rPr>
          </w:pPr>
        </w:p>
      </w:tc>
      <w:tc>
        <w:tcPr>
          <w:tcW w:w="6379" w:type="dxa"/>
          <w:tcBorders>
            <w:top w:val="nil"/>
            <w:left w:val="nil"/>
            <w:bottom w:val="nil"/>
            <w:right w:val="nil"/>
          </w:tcBorders>
        </w:tcPr>
        <w:p w:rsidR="00505AA5" w:rsidRDefault="00505AA5" w:rsidP="00E50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0071">
            <w:rPr>
              <w:i/>
              <w:sz w:val="18"/>
            </w:rPr>
            <w:t>National Environment Protection (Assessment of Site Contamination) Amendment Measure 2013 (No. 1)</w:t>
          </w:r>
          <w:r w:rsidRPr="007A1328">
            <w:rPr>
              <w:i/>
              <w:sz w:val="18"/>
            </w:rPr>
            <w:fldChar w:fldCharType="end"/>
          </w:r>
        </w:p>
      </w:tc>
      <w:tc>
        <w:tcPr>
          <w:tcW w:w="709" w:type="dxa"/>
          <w:tcBorders>
            <w:top w:val="nil"/>
            <w:left w:val="nil"/>
            <w:bottom w:val="nil"/>
            <w:right w:val="nil"/>
          </w:tcBorders>
        </w:tcPr>
        <w:p w:rsidR="00505AA5" w:rsidRDefault="00505AA5" w:rsidP="00E50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E0071">
            <w:rPr>
              <w:i/>
              <w:noProof/>
              <w:sz w:val="18"/>
            </w:rPr>
            <w:t>2</w:t>
          </w:r>
          <w:r w:rsidRPr="00ED79B6">
            <w:rPr>
              <w:i/>
              <w:sz w:val="18"/>
            </w:rPr>
            <w:fldChar w:fldCharType="end"/>
          </w:r>
        </w:p>
      </w:tc>
    </w:tr>
    <w:tr w:rsidR="00505AA5"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05AA5" w:rsidRDefault="00505AA5" w:rsidP="00E500D6">
          <w:pPr>
            <w:rPr>
              <w:sz w:val="18"/>
            </w:rPr>
          </w:pPr>
        </w:p>
      </w:tc>
    </w:tr>
  </w:tbl>
  <w:p w:rsidR="00505AA5" w:rsidRPr="00ED79B6" w:rsidRDefault="00505AA5"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A5" w:rsidRDefault="00505AA5" w:rsidP="0048364F">
      <w:pPr>
        <w:spacing w:line="240" w:lineRule="auto"/>
      </w:pPr>
      <w:r>
        <w:separator/>
      </w:r>
    </w:p>
  </w:footnote>
  <w:footnote w:type="continuationSeparator" w:id="0">
    <w:p w:rsidR="00505AA5" w:rsidRDefault="00505AA5"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5F1388" w:rsidRDefault="00505AA5"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5F1388" w:rsidRDefault="00505AA5"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5F1388" w:rsidRDefault="00505AA5"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D79B6" w:rsidRDefault="00505AA5"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D79B6" w:rsidRDefault="00505AA5" w:rsidP="00812F45">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ED79B6" w:rsidRDefault="00505AA5"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A961C4" w:rsidRDefault="00505AA5" w:rsidP="0048364F">
    <w:pPr>
      <w:rPr>
        <w:b/>
        <w:sz w:val="20"/>
      </w:rPr>
    </w:pPr>
    <w:r>
      <w:rPr>
        <w:b/>
        <w:sz w:val="20"/>
      </w:rPr>
      <w:fldChar w:fldCharType="begin"/>
    </w:r>
    <w:r>
      <w:rPr>
        <w:b/>
        <w:sz w:val="20"/>
      </w:rPr>
      <w:instrText xml:space="preserve"> STYLEREF CharAmSchNo </w:instrText>
    </w:r>
    <w:r>
      <w:rPr>
        <w:b/>
        <w:sz w:val="20"/>
      </w:rPr>
      <w:fldChar w:fldCharType="separate"/>
    </w:r>
    <w:r w:rsidR="00AC600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AC6005">
      <w:rPr>
        <w:noProof/>
        <w:sz w:val="20"/>
      </w:rPr>
      <w:t>Amendments</w:t>
    </w:r>
    <w:r>
      <w:rPr>
        <w:sz w:val="20"/>
      </w:rPr>
      <w:fldChar w:fldCharType="end"/>
    </w:r>
  </w:p>
  <w:p w:rsidR="00505AA5" w:rsidRPr="00A961C4" w:rsidRDefault="00505AA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05AA5" w:rsidRPr="00A961C4" w:rsidRDefault="00505AA5"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A961C4" w:rsidRDefault="00505AA5" w:rsidP="0048364F">
    <w:pPr>
      <w:jc w:val="right"/>
      <w:rPr>
        <w:sz w:val="20"/>
      </w:rPr>
    </w:pPr>
    <w:r w:rsidRPr="00A961C4">
      <w:rPr>
        <w:sz w:val="20"/>
      </w:rPr>
      <w:fldChar w:fldCharType="begin"/>
    </w:r>
    <w:r w:rsidRPr="00A961C4">
      <w:rPr>
        <w:sz w:val="20"/>
      </w:rPr>
      <w:instrText xml:space="preserve"> STYLEREF CharAmSchText </w:instrText>
    </w:r>
    <w:r w:rsidR="00AC6005">
      <w:rPr>
        <w:sz w:val="20"/>
      </w:rPr>
      <w:fldChar w:fldCharType="separate"/>
    </w:r>
    <w:r w:rsidR="00AC600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AC6005">
      <w:rPr>
        <w:b/>
        <w:sz w:val="20"/>
      </w:rPr>
      <w:fldChar w:fldCharType="separate"/>
    </w:r>
    <w:r w:rsidR="00AC6005">
      <w:rPr>
        <w:b/>
        <w:noProof/>
        <w:sz w:val="20"/>
      </w:rPr>
      <w:t>Schedule 1</w:t>
    </w:r>
    <w:r>
      <w:rPr>
        <w:b/>
        <w:sz w:val="20"/>
      </w:rPr>
      <w:fldChar w:fldCharType="end"/>
    </w:r>
  </w:p>
  <w:p w:rsidR="00505AA5" w:rsidRPr="00A961C4" w:rsidRDefault="00505AA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05AA5" w:rsidRPr="00A961C4" w:rsidRDefault="00505AA5"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A5" w:rsidRPr="00A961C4" w:rsidRDefault="00505AA5"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32"/>
    <w:rsid w:val="0000646F"/>
    <w:rsid w:val="000113BC"/>
    <w:rsid w:val="00012A19"/>
    <w:rsid w:val="000136AF"/>
    <w:rsid w:val="000140B5"/>
    <w:rsid w:val="00020CC6"/>
    <w:rsid w:val="00026B3B"/>
    <w:rsid w:val="00026FE1"/>
    <w:rsid w:val="0003286C"/>
    <w:rsid w:val="0004044E"/>
    <w:rsid w:val="00043211"/>
    <w:rsid w:val="00045980"/>
    <w:rsid w:val="00054577"/>
    <w:rsid w:val="000614BF"/>
    <w:rsid w:val="00062677"/>
    <w:rsid w:val="00063D99"/>
    <w:rsid w:val="0007208E"/>
    <w:rsid w:val="00075740"/>
    <w:rsid w:val="0007650E"/>
    <w:rsid w:val="00080111"/>
    <w:rsid w:val="00083F48"/>
    <w:rsid w:val="00086735"/>
    <w:rsid w:val="00090837"/>
    <w:rsid w:val="00092403"/>
    <w:rsid w:val="000A488D"/>
    <w:rsid w:val="000A70A7"/>
    <w:rsid w:val="000B2F12"/>
    <w:rsid w:val="000B5C8D"/>
    <w:rsid w:val="000D05EF"/>
    <w:rsid w:val="000D6AA8"/>
    <w:rsid w:val="000E0071"/>
    <w:rsid w:val="000F21C1"/>
    <w:rsid w:val="000F529A"/>
    <w:rsid w:val="0010745C"/>
    <w:rsid w:val="00123D39"/>
    <w:rsid w:val="00125FFD"/>
    <w:rsid w:val="00133EA9"/>
    <w:rsid w:val="001404FA"/>
    <w:rsid w:val="00157669"/>
    <w:rsid w:val="00160BD7"/>
    <w:rsid w:val="00163184"/>
    <w:rsid w:val="001643C9"/>
    <w:rsid w:val="00165568"/>
    <w:rsid w:val="00166C2F"/>
    <w:rsid w:val="001716C9"/>
    <w:rsid w:val="0019065E"/>
    <w:rsid w:val="00193461"/>
    <w:rsid w:val="001939E1"/>
    <w:rsid w:val="00194D89"/>
    <w:rsid w:val="00195382"/>
    <w:rsid w:val="001A3B9F"/>
    <w:rsid w:val="001B73CB"/>
    <w:rsid w:val="001B7A5D"/>
    <w:rsid w:val="001C2429"/>
    <w:rsid w:val="001C52AF"/>
    <w:rsid w:val="001C69C4"/>
    <w:rsid w:val="001D47E2"/>
    <w:rsid w:val="001E3460"/>
    <w:rsid w:val="001E3590"/>
    <w:rsid w:val="001E7407"/>
    <w:rsid w:val="001F3D96"/>
    <w:rsid w:val="00201D27"/>
    <w:rsid w:val="00203C89"/>
    <w:rsid w:val="00204976"/>
    <w:rsid w:val="002259B1"/>
    <w:rsid w:val="00231165"/>
    <w:rsid w:val="00240749"/>
    <w:rsid w:val="002460CA"/>
    <w:rsid w:val="002468D7"/>
    <w:rsid w:val="0024741D"/>
    <w:rsid w:val="00256A52"/>
    <w:rsid w:val="00292883"/>
    <w:rsid w:val="0029480B"/>
    <w:rsid w:val="00297ECB"/>
    <w:rsid w:val="002A06B7"/>
    <w:rsid w:val="002B7063"/>
    <w:rsid w:val="002D043A"/>
    <w:rsid w:val="002E75EE"/>
    <w:rsid w:val="002F0012"/>
    <w:rsid w:val="002F6266"/>
    <w:rsid w:val="00300CDC"/>
    <w:rsid w:val="003041A4"/>
    <w:rsid w:val="00312070"/>
    <w:rsid w:val="0031713F"/>
    <w:rsid w:val="00330DCE"/>
    <w:rsid w:val="00337889"/>
    <w:rsid w:val="003415D3"/>
    <w:rsid w:val="00351039"/>
    <w:rsid w:val="00352B0F"/>
    <w:rsid w:val="00354745"/>
    <w:rsid w:val="003561B0"/>
    <w:rsid w:val="00363868"/>
    <w:rsid w:val="003814ED"/>
    <w:rsid w:val="003849C3"/>
    <w:rsid w:val="00393C13"/>
    <w:rsid w:val="00395985"/>
    <w:rsid w:val="003A15AC"/>
    <w:rsid w:val="003B0627"/>
    <w:rsid w:val="003C48A7"/>
    <w:rsid w:val="003C4E7D"/>
    <w:rsid w:val="003C5F2B"/>
    <w:rsid w:val="003D0BFE"/>
    <w:rsid w:val="003D4F40"/>
    <w:rsid w:val="003D5700"/>
    <w:rsid w:val="003F398F"/>
    <w:rsid w:val="003F6A5F"/>
    <w:rsid w:val="004116CD"/>
    <w:rsid w:val="00411C34"/>
    <w:rsid w:val="00414ADE"/>
    <w:rsid w:val="00424CA9"/>
    <w:rsid w:val="004316D1"/>
    <w:rsid w:val="00433033"/>
    <w:rsid w:val="00435E3C"/>
    <w:rsid w:val="004403A9"/>
    <w:rsid w:val="0044291A"/>
    <w:rsid w:val="00443876"/>
    <w:rsid w:val="00445EAA"/>
    <w:rsid w:val="0045530F"/>
    <w:rsid w:val="00460499"/>
    <w:rsid w:val="0047692E"/>
    <w:rsid w:val="0048364F"/>
    <w:rsid w:val="00490F2E"/>
    <w:rsid w:val="00495239"/>
    <w:rsid w:val="00496F97"/>
    <w:rsid w:val="004A054D"/>
    <w:rsid w:val="004A05E9"/>
    <w:rsid w:val="004A093F"/>
    <w:rsid w:val="004A107C"/>
    <w:rsid w:val="004F1FAC"/>
    <w:rsid w:val="004F676E"/>
    <w:rsid w:val="00505AA5"/>
    <w:rsid w:val="00516B8D"/>
    <w:rsid w:val="00521D82"/>
    <w:rsid w:val="005249B8"/>
    <w:rsid w:val="0052756C"/>
    <w:rsid w:val="00530230"/>
    <w:rsid w:val="00533D7C"/>
    <w:rsid w:val="00534475"/>
    <w:rsid w:val="00534993"/>
    <w:rsid w:val="00537FBC"/>
    <w:rsid w:val="00543469"/>
    <w:rsid w:val="00544B67"/>
    <w:rsid w:val="00557C7A"/>
    <w:rsid w:val="00562A58"/>
    <w:rsid w:val="0057535D"/>
    <w:rsid w:val="00583E9A"/>
    <w:rsid w:val="00584811"/>
    <w:rsid w:val="0058761F"/>
    <w:rsid w:val="005925E8"/>
    <w:rsid w:val="00593A95"/>
    <w:rsid w:val="00593AA6"/>
    <w:rsid w:val="00594161"/>
    <w:rsid w:val="00594749"/>
    <w:rsid w:val="005B4067"/>
    <w:rsid w:val="005C1DD1"/>
    <w:rsid w:val="005C3F41"/>
    <w:rsid w:val="005D1217"/>
    <w:rsid w:val="005D4FCF"/>
    <w:rsid w:val="005D5EA1"/>
    <w:rsid w:val="005E2B4B"/>
    <w:rsid w:val="005E61D3"/>
    <w:rsid w:val="005F2131"/>
    <w:rsid w:val="005F419C"/>
    <w:rsid w:val="00600219"/>
    <w:rsid w:val="006100A7"/>
    <w:rsid w:val="00614059"/>
    <w:rsid w:val="00622356"/>
    <w:rsid w:val="006223BD"/>
    <w:rsid w:val="0062308B"/>
    <w:rsid w:val="00623B6F"/>
    <w:rsid w:val="00640F78"/>
    <w:rsid w:val="00646185"/>
    <w:rsid w:val="00646F9E"/>
    <w:rsid w:val="00653038"/>
    <w:rsid w:val="0065517A"/>
    <w:rsid w:val="00656DE9"/>
    <w:rsid w:val="00662855"/>
    <w:rsid w:val="00667483"/>
    <w:rsid w:val="00670205"/>
    <w:rsid w:val="00677CC2"/>
    <w:rsid w:val="00685F42"/>
    <w:rsid w:val="0069207B"/>
    <w:rsid w:val="006A326D"/>
    <w:rsid w:val="006A6BB5"/>
    <w:rsid w:val="006B6443"/>
    <w:rsid w:val="006B7006"/>
    <w:rsid w:val="006C7F8C"/>
    <w:rsid w:val="006D7AB9"/>
    <w:rsid w:val="006E7309"/>
    <w:rsid w:val="006F5D34"/>
    <w:rsid w:val="006F6AE4"/>
    <w:rsid w:val="00700B2C"/>
    <w:rsid w:val="00713084"/>
    <w:rsid w:val="007160C7"/>
    <w:rsid w:val="00720FC2"/>
    <w:rsid w:val="00725AA9"/>
    <w:rsid w:val="00731E00"/>
    <w:rsid w:val="0074138D"/>
    <w:rsid w:val="007440B7"/>
    <w:rsid w:val="00745898"/>
    <w:rsid w:val="00746AE1"/>
    <w:rsid w:val="00751B92"/>
    <w:rsid w:val="007533F0"/>
    <w:rsid w:val="007634AD"/>
    <w:rsid w:val="00764EF5"/>
    <w:rsid w:val="007652D7"/>
    <w:rsid w:val="007715C9"/>
    <w:rsid w:val="00774EDD"/>
    <w:rsid w:val="007757EC"/>
    <w:rsid w:val="00782BEB"/>
    <w:rsid w:val="0078411E"/>
    <w:rsid w:val="0079461A"/>
    <w:rsid w:val="007A6863"/>
    <w:rsid w:val="007C3D6F"/>
    <w:rsid w:val="007C5469"/>
    <w:rsid w:val="007D6692"/>
    <w:rsid w:val="007E2785"/>
    <w:rsid w:val="007E7D4A"/>
    <w:rsid w:val="00812F45"/>
    <w:rsid w:val="00840DFD"/>
    <w:rsid w:val="0084172C"/>
    <w:rsid w:val="008428B4"/>
    <w:rsid w:val="008503C3"/>
    <w:rsid w:val="00856A31"/>
    <w:rsid w:val="00861292"/>
    <w:rsid w:val="008754D0"/>
    <w:rsid w:val="00877D48"/>
    <w:rsid w:val="0088099F"/>
    <w:rsid w:val="008819A9"/>
    <w:rsid w:val="0088345B"/>
    <w:rsid w:val="00893EEE"/>
    <w:rsid w:val="008A13B6"/>
    <w:rsid w:val="008A7AA3"/>
    <w:rsid w:val="008D0EE0"/>
    <w:rsid w:val="008D0FAA"/>
    <w:rsid w:val="008D7A27"/>
    <w:rsid w:val="008E69AA"/>
    <w:rsid w:val="008F4F1C"/>
    <w:rsid w:val="008F7825"/>
    <w:rsid w:val="00901FB5"/>
    <w:rsid w:val="00914095"/>
    <w:rsid w:val="009150FC"/>
    <w:rsid w:val="00921298"/>
    <w:rsid w:val="00924428"/>
    <w:rsid w:val="00932377"/>
    <w:rsid w:val="00947168"/>
    <w:rsid w:val="00947E8B"/>
    <w:rsid w:val="0096482C"/>
    <w:rsid w:val="00973288"/>
    <w:rsid w:val="009749F2"/>
    <w:rsid w:val="00975323"/>
    <w:rsid w:val="00993FAA"/>
    <w:rsid w:val="009A773B"/>
    <w:rsid w:val="009D08DA"/>
    <w:rsid w:val="009D12F4"/>
    <w:rsid w:val="009E1CB8"/>
    <w:rsid w:val="009F0648"/>
    <w:rsid w:val="00A02A84"/>
    <w:rsid w:val="00A06860"/>
    <w:rsid w:val="00A136F5"/>
    <w:rsid w:val="00A14070"/>
    <w:rsid w:val="00A231E2"/>
    <w:rsid w:val="00A2550D"/>
    <w:rsid w:val="00A25562"/>
    <w:rsid w:val="00A2654D"/>
    <w:rsid w:val="00A3252F"/>
    <w:rsid w:val="00A4169B"/>
    <w:rsid w:val="00A4388B"/>
    <w:rsid w:val="00A51575"/>
    <w:rsid w:val="00A52FDA"/>
    <w:rsid w:val="00A64912"/>
    <w:rsid w:val="00A70A74"/>
    <w:rsid w:val="00A70C95"/>
    <w:rsid w:val="00A728CB"/>
    <w:rsid w:val="00A73CDF"/>
    <w:rsid w:val="00A766D7"/>
    <w:rsid w:val="00A801F8"/>
    <w:rsid w:val="00A8032E"/>
    <w:rsid w:val="00A81FF2"/>
    <w:rsid w:val="00A82F57"/>
    <w:rsid w:val="00A83F30"/>
    <w:rsid w:val="00A9349E"/>
    <w:rsid w:val="00AA0343"/>
    <w:rsid w:val="00AA48A5"/>
    <w:rsid w:val="00AA4D8A"/>
    <w:rsid w:val="00AA7BC2"/>
    <w:rsid w:val="00AB1162"/>
    <w:rsid w:val="00AB63A8"/>
    <w:rsid w:val="00AC6005"/>
    <w:rsid w:val="00AD3467"/>
    <w:rsid w:val="00AD5641"/>
    <w:rsid w:val="00AE5652"/>
    <w:rsid w:val="00AE5ADA"/>
    <w:rsid w:val="00AF0EC3"/>
    <w:rsid w:val="00AF232B"/>
    <w:rsid w:val="00AF306A"/>
    <w:rsid w:val="00B02E76"/>
    <w:rsid w:val="00B032D8"/>
    <w:rsid w:val="00B17ECC"/>
    <w:rsid w:val="00B209DE"/>
    <w:rsid w:val="00B250DA"/>
    <w:rsid w:val="00B3157F"/>
    <w:rsid w:val="00B33B3C"/>
    <w:rsid w:val="00B42C7C"/>
    <w:rsid w:val="00B51F0E"/>
    <w:rsid w:val="00B52663"/>
    <w:rsid w:val="00B56DCB"/>
    <w:rsid w:val="00B6257C"/>
    <w:rsid w:val="00B63967"/>
    <w:rsid w:val="00B770D2"/>
    <w:rsid w:val="00B837AA"/>
    <w:rsid w:val="00B940E2"/>
    <w:rsid w:val="00BA22AF"/>
    <w:rsid w:val="00BA5026"/>
    <w:rsid w:val="00BA7629"/>
    <w:rsid w:val="00BB448D"/>
    <w:rsid w:val="00BB49EB"/>
    <w:rsid w:val="00BB6E79"/>
    <w:rsid w:val="00BC3D42"/>
    <w:rsid w:val="00BD1F79"/>
    <w:rsid w:val="00BD609A"/>
    <w:rsid w:val="00BE65CA"/>
    <w:rsid w:val="00BE719A"/>
    <w:rsid w:val="00BE720A"/>
    <w:rsid w:val="00BE7993"/>
    <w:rsid w:val="00BE7B3E"/>
    <w:rsid w:val="00BF5D72"/>
    <w:rsid w:val="00BF6650"/>
    <w:rsid w:val="00C067E5"/>
    <w:rsid w:val="00C15A26"/>
    <w:rsid w:val="00C164CA"/>
    <w:rsid w:val="00C26117"/>
    <w:rsid w:val="00C27095"/>
    <w:rsid w:val="00C429D9"/>
    <w:rsid w:val="00C42BF8"/>
    <w:rsid w:val="00C460AE"/>
    <w:rsid w:val="00C47EF9"/>
    <w:rsid w:val="00C47F46"/>
    <w:rsid w:val="00C50043"/>
    <w:rsid w:val="00C67B01"/>
    <w:rsid w:val="00C7573B"/>
    <w:rsid w:val="00C76CF3"/>
    <w:rsid w:val="00C97D8F"/>
    <w:rsid w:val="00CA4FD3"/>
    <w:rsid w:val="00CA6DBF"/>
    <w:rsid w:val="00CC38AF"/>
    <w:rsid w:val="00CC48F0"/>
    <w:rsid w:val="00CC4AEE"/>
    <w:rsid w:val="00CD5F99"/>
    <w:rsid w:val="00CE2045"/>
    <w:rsid w:val="00CE2717"/>
    <w:rsid w:val="00CE299A"/>
    <w:rsid w:val="00CE4B96"/>
    <w:rsid w:val="00CF0158"/>
    <w:rsid w:val="00CF0BB2"/>
    <w:rsid w:val="00D01B2A"/>
    <w:rsid w:val="00D13441"/>
    <w:rsid w:val="00D243A3"/>
    <w:rsid w:val="00D33440"/>
    <w:rsid w:val="00D35766"/>
    <w:rsid w:val="00D36A3D"/>
    <w:rsid w:val="00D469C7"/>
    <w:rsid w:val="00D52EFE"/>
    <w:rsid w:val="00D54691"/>
    <w:rsid w:val="00D554D4"/>
    <w:rsid w:val="00D55F4B"/>
    <w:rsid w:val="00D56A0D"/>
    <w:rsid w:val="00D56AE1"/>
    <w:rsid w:val="00D63EF6"/>
    <w:rsid w:val="00D64953"/>
    <w:rsid w:val="00D70DFB"/>
    <w:rsid w:val="00D71EEA"/>
    <w:rsid w:val="00D735CD"/>
    <w:rsid w:val="00D7554E"/>
    <w:rsid w:val="00D766DF"/>
    <w:rsid w:val="00D8145A"/>
    <w:rsid w:val="00D91F5C"/>
    <w:rsid w:val="00D95925"/>
    <w:rsid w:val="00DB7DE7"/>
    <w:rsid w:val="00DC35BC"/>
    <w:rsid w:val="00DC4F17"/>
    <w:rsid w:val="00DC5E45"/>
    <w:rsid w:val="00DE4812"/>
    <w:rsid w:val="00DE48B1"/>
    <w:rsid w:val="00E055D4"/>
    <w:rsid w:val="00E05704"/>
    <w:rsid w:val="00E10835"/>
    <w:rsid w:val="00E12F1A"/>
    <w:rsid w:val="00E14316"/>
    <w:rsid w:val="00E171C6"/>
    <w:rsid w:val="00E22935"/>
    <w:rsid w:val="00E27902"/>
    <w:rsid w:val="00E3626F"/>
    <w:rsid w:val="00E457ED"/>
    <w:rsid w:val="00E500D6"/>
    <w:rsid w:val="00E52145"/>
    <w:rsid w:val="00E54292"/>
    <w:rsid w:val="00E55D74"/>
    <w:rsid w:val="00E56485"/>
    <w:rsid w:val="00E60191"/>
    <w:rsid w:val="00E61429"/>
    <w:rsid w:val="00E63279"/>
    <w:rsid w:val="00E74DC7"/>
    <w:rsid w:val="00E81E03"/>
    <w:rsid w:val="00E82D32"/>
    <w:rsid w:val="00E87699"/>
    <w:rsid w:val="00E92E27"/>
    <w:rsid w:val="00E9504B"/>
    <w:rsid w:val="00E9586B"/>
    <w:rsid w:val="00E974E6"/>
    <w:rsid w:val="00EA2332"/>
    <w:rsid w:val="00ED1FD3"/>
    <w:rsid w:val="00EE6190"/>
    <w:rsid w:val="00EF2E3A"/>
    <w:rsid w:val="00EF6402"/>
    <w:rsid w:val="00F047E2"/>
    <w:rsid w:val="00F048DD"/>
    <w:rsid w:val="00F04D57"/>
    <w:rsid w:val="00F078DC"/>
    <w:rsid w:val="00F13E86"/>
    <w:rsid w:val="00F20546"/>
    <w:rsid w:val="00F32FCB"/>
    <w:rsid w:val="00F43583"/>
    <w:rsid w:val="00F46518"/>
    <w:rsid w:val="00F531EA"/>
    <w:rsid w:val="00F55441"/>
    <w:rsid w:val="00F677A9"/>
    <w:rsid w:val="00F70070"/>
    <w:rsid w:val="00F71DB3"/>
    <w:rsid w:val="00F740C0"/>
    <w:rsid w:val="00F84CF5"/>
    <w:rsid w:val="00F97542"/>
    <w:rsid w:val="00FA1EC1"/>
    <w:rsid w:val="00FA420B"/>
    <w:rsid w:val="00FD33F9"/>
    <w:rsid w:val="00FD4708"/>
    <w:rsid w:val="00FD7A20"/>
    <w:rsid w:val="00FE4074"/>
    <w:rsid w:val="00FF080B"/>
    <w:rsid w:val="00FF39DE"/>
    <w:rsid w:val="00FF6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B3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26B3B"/>
  </w:style>
  <w:style w:type="paragraph" w:customStyle="1" w:styleId="OPCParaBase">
    <w:name w:val="OPCParaBase"/>
    <w:qFormat/>
    <w:rsid w:val="00026B3B"/>
    <w:pPr>
      <w:spacing w:line="260" w:lineRule="atLeast"/>
    </w:pPr>
    <w:rPr>
      <w:rFonts w:eastAsia="Times New Roman" w:cs="Times New Roman"/>
      <w:sz w:val="22"/>
      <w:lang w:eastAsia="en-AU"/>
    </w:rPr>
  </w:style>
  <w:style w:type="paragraph" w:customStyle="1" w:styleId="ShortT">
    <w:name w:val="ShortT"/>
    <w:basedOn w:val="OPCParaBase"/>
    <w:next w:val="Normal"/>
    <w:qFormat/>
    <w:rsid w:val="00026B3B"/>
    <w:pPr>
      <w:spacing w:line="240" w:lineRule="auto"/>
    </w:pPr>
    <w:rPr>
      <w:b/>
      <w:sz w:val="40"/>
    </w:rPr>
  </w:style>
  <w:style w:type="paragraph" w:customStyle="1" w:styleId="ActHead1">
    <w:name w:val="ActHead 1"/>
    <w:aliases w:val="c"/>
    <w:basedOn w:val="OPCParaBase"/>
    <w:next w:val="Normal"/>
    <w:qFormat/>
    <w:rsid w:val="00026B3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6B3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6B3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6B3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26B3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6B3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6B3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6B3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6B3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26B3B"/>
  </w:style>
  <w:style w:type="paragraph" w:customStyle="1" w:styleId="Blocks">
    <w:name w:val="Blocks"/>
    <w:aliases w:val="bb"/>
    <w:basedOn w:val="OPCParaBase"/>
    <w:qFormat/>
    <w:rsid w:val="00026B3B"/>
    <w:pPr>
      <w:spacing w:line="240" w:lineRule="auto"/>
    </w:pPr>
    <w:rPr>
      <w:sz w:val="24"/>
    </w:rPr>
  </w:style>
  <w:style w:type="paragraph" w:customStyle="1" w:styleId="BoxText">
    <w:name w:val="BoxText"/>
    <w:aliases w:val="bt"/>
    <w:basedOn w:val="OPCParaBase"/>
    <w:qFormat/>
    <w:rsid w:val="00026B3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6B3B"/>
    <w:rPr>
      <w:b/>
    </w:rPr>
  </w:style>
  <w:style w:type="paragraph" w:customStyle="1" w:styleId="BoxHeadItalic">
    <w:name w:val="BoxHeadItalic"/>
    <w:aliases w:val="bhi"/>
    <w:basedOn w:val="BoxText"/>
    <w:next w:val="BoxStep"/>
    <w:qFormat/>
    <w:rsid w:val="00026B3B"/>
    <w:rPr>
      <w:i/>
    </w:rPr>
  </w:style>
  <w:style w:type="paragraph" w:customStyle="1" w:styleId="BoxList">
    <w:name w:val="BoxList"/>
    <w:aliases w:val="bl"/>
    <w:basedOn w:val="BoxText"/>
    <w:qFormat/>
    <w:rsid w:val="00026B3B"/>
    <w:pPr>
      <w:ind w:left="1559" w:hanging="425"/>
    </w:pPr>
  </w:style>
  <w:style w:type="paragraph" w:customStyle="1" w:styleId="BoxNote">
    <w:name w:val="BoxNote"/>
    <w:aliases w:val="bn"/>
    <w:basedOn w:val="BoxText"/>
    <w:qFormat/>
    <w:rsid w:val="00026B3B"/>
    <w:pPr>
      <w:tabs>
        <w:tab w:val="left" w:pos="1985"/>
      </w:tabs>
      <w:spacing w:before="122" w:line="198" w:lineRule="exact"/>
      <w:ind w:left="2948" w:hanging="1814"/>
    </w:pPr>
    <w:rPr>
      <w:sz w:val="18"/>
    </w:rPr>
  </w:style>
  <w:style w:type="paragraph" w:customStyle="1" w:styleId="BoxPara">
    <w:name w:val="BoxPara"/>
    <w:aliases w:val="bp"/>
    <w:basedOn w:val="BoxText"/>
    <w:qFormat/>
    <w:rsid w:val="00026B3B"/>
    <w:pPr>
      <w:tabs>
        <w:tab w:val="right" w:pos="2268"/>
      </w:tabs>
      <w:ind w:left="2552" w:hanging="1418"/>
    </w:pPr>
  </w:style>
  <w:style w:type="paragraph" w:customStyle="1" w:styleId="BoxStep">
    <w:name w:val="BoxStep"/>
    <w:aliases w:val="bs"/>
    <w:basedOn w:val="BoxText"/>
    <w:qFormat/>
    <w:rsid w:val="00026B3B"/>
    <w:pPr>
      <w:ind w:left="1985" w:hanging="851"/>
    </w:pPr>
  </w:style>
  <w:style w:type="character" w:customStyle="1" w:styleId="CharAmPartNo">
    <w:name w:val="CharAmPartNo"/>
    <w:basedOn w:val="OPCCharBase"/>
    <w:qFormat/>
    <w:rsid w:val="00026B3B"/>
  </w:style>
  <w:style w:type="character" w:customStyle="1" w:styleId="CharAmPartText">
    <w:name w:val="CharAmPartText"/>
    <w:basedOn w:val="OPCCharBase"/>
    <w:qFormat/>
    <w:rsid w:val="00026B3B"/>
  </w:style>
  <w:style w:type="character" w:customStyle="1" w:styleId="CharAmSchNo">
    <w:name w:val="CharAmSchNo"/>
    <w:basedOn w:val="OPCCharBase"/>
    <w:qFormat/>
    <w:rsid w:val="00026B3B"/>
  </w:style>
  <w:style w:type="character" w:customStyle="1" w:styleId="CharAmSchText">
    <w:name w:val="CharAmSchText"/>
    <w:basedOn w:val="OPCCharBase"/>
    <w:qFormat/>
    <w:rsid w:val="00026B3B"/>
  </w:style>
  <w:style w:type="character" w:customStyle="1" w:styleId="CharBoldItalic">
    <w:name w:val="CharBoldItalic"/>
    <w:basedOn w:val="OPCCharBase"/>
    <w:uiPriority w:val="1"/>
    <w:qFormat/>
    <w:rsid w:val="00026B3B"/>
    <w:rPr>
      <w:b/>
      <w:i/>
    </w:rPr>
  </w:style>
  <w:style w:type="character" w:customStyle="1" w:styleId="CharChapNo">
    <w:name w:val="CharChapNo"/>
    <w:basedOn w:val="OPCCharBase"/>
    <w:uiPriority w:val="1"/>
    <w:qFormat/>
    <w:rsid w:val="00026B3B"/>
  </w:style>
  <w:style w:type="character" w:customStyle="1" w:styleId="CharChapText">
    <w:name w:val="CharChapText"/>
    <w:basedOn w:val="OPCCharBase"/>
    <w:uiPriority w:val="1"/>
    <w:qFormat/>
    <w:rsid w:val="00026B3B"/>
  </w:style>
  <w:style w:type="character" w:customStyle="1" w:styleId="CharDivNo">
    <w:name w:val="CharDivNo"/>
    <w:basedOn w:val="OPCCharBase"/>
    <w:uiPriority w:val="1"/>
    <w:qFormat/>
    <w:rsid w:val="00026B3B"/>
  </w:style>
  <w:style w:type="character" w:customStyle="1" w:styleId="CharDivText">
    <w:name w:val="CharDivText"/>
    <w:basedOn w:val="OPCCharBase"/>
    <w:uiPriority w:val="1"/>
    <w:qFormat/>
    <w:rsid w:val="00026B3B"/>
  </w:style>
  <w:style w:type="character" w:customStyle="1" w:styleId="CharItalic">
    <w:name w:val="CharItalic"/>
    <w:basedOn w:val="OPCCharBase"/>
    <w:uiPriority w:val="1"/>
    <w:qFormat/>
    <w:rsid w:val="00026B3B"/>
    <w:rPr>
      <w:i/>
    </w:rPr>
  </w:style>
  <w:style w:type="character" w:customStyle="1" w:styleId="CharPartNo">
    <w:name w:val="CharPartNo"/>
    <w:basedOn w:val="OPCCharBase"/>
    <w:uiPriority w:val="1"/>
    <w:qFormat/>
    <w:rsid w:val="00026B3B"/>
  </w:style>
  <w:style w:type="character" w:customStyle="1" w:styleId="CharPartText">
    <w:name w:val="CharPartText"/>
    <w:basedOn w:val="OPCCharBase"/>
    <w:uiPriority w:val="1"/>
    <w:qFormat/>
    <w:rsid w:val="00026B3B"/>
  </w:style>
  <w:style w:type="character" w:customStyle="1" w:styleId="CharSectno">
    <w:name w:val="CharSectno"/>
    <w:basedOn w:val="OPCCharBase"/>
    <w:qFormat/>
    <w:rsid w:val="00026B3B"/>
  </w:style>
  <w:style w:type="character" w:customStyle="1" w:styleId="CharSubdNo">
    <w:name w:val="CharSubdNo"/>
    <w:basedOn w:val="OPCCharBase"/>
    <w:uiPriority w:val="1"/>
    <w:qFormat/>
    <w:rsid w:val="00026B3B"/>
  </w:style>
  <w:style w:type="character" w:customStyle="1" w:styleId="CharSubdText">
    <w:name w:val="CharSubdText"/>
    <w:basedOn w:val="OPCCharBase"/>
    <w:uiPriority w:val="1"/>
    <w:qFormat/>
    <w:rsid w:val="00026B3B"/>
  </w:style>
  <w:style w:type="paragraph" w:customStyle="1" w:styleId="CTA--">
    <w:name w:val="CTA --"/>
    <w:basedOn w:val="OPCParaBase"/>
    <w:next w:val="Normal"/>
    <w:rsid w:val="00026B3B"/>
    <w:pPr>
      <w:spacing w:before="60" w:line="240" w:lineRule="atLeast"/>
      <w:ind w:left="142" w:hanging="142"/>
    </w:pPr>
    <w:rPr>
      <w:sz w:val="20"/>
    </w:rPr>
  </w:style>
  <w:style w:type="paragraph" w:customStyle="1" w:styleId="CTA-">
    <w:name w:val="CTA -"/>
    <w:basedOn w:val="OPCParaBase"/>
    <w:rsid w:val="00026B3B"/>
    <w:pPr>
      <w:spacing w:before="60" w:line="240" w:lineRule="atLeast"/>
      <w:ind w:left="85" w:hanging="85"/>
    </w:pPr>
    <w:rPr>
      <w:sz w:val="20"/>
    </w:rPr>
  </w:style>
  <w:style w:type="paragraph" w:customStyle="1" w:styleId="CTA---">
    <w:name w:val="CTA ---"/>
    <w:basedOn w:val="OPCParaBase"/>
    <w:next w:val="Normal"/>
    <w:rsid w:val="00026B3B"/>
    <w:pPr>
      <w:spacing w:before="60" w:line="240" w:lineRule="atLeast"/>
      <w:ind w:left="198" w:hanging="198"/>
    </w:pPr>
    <w:rPr>
      <w:sz w:val="20"/>
    </w:rPr>
  </w:style>
  <w:style w:type="paragraph" w:customStyle="1" w:styleId="CTA----">
    <w:name w:val="CTA ----"/>
    <w:basedOn w:val="OPCParaBase"/>
    <w:next w:val="Normal"/>
    <w:rsid w:val="00026B3B"/>
    <w:pPr>
      <w:spacing w:before="60" w:line="240" w:lineRule="atLeast"/>
      <w:ind w:left="255" w:hanging="255"/>
    </w:pPr>
    <w:rPr>
      <w:sz w:val="20"/>
    </w:rPr>
  </w:style>
  <w:style w:type="paragraph" w:customStyle="1" w:styleId="CTA1a">
    <w:name w:val="CTA 1(a)"/>
    <w:basedOn w:val="OPCParaBase"/>
    <w:rsid w:val="00026B3B"/>
    <w:pPr>
      <w:tabs>
        <w:tab w:val="right" w:pos="414"/>
      </w:tabs>
      <w:spacing w:before="40" w:line="240" w:lineRule="atLeast"/>
      <w:ind w:left="675" w:hanging="675"/>
    </w:pPr>
    <w:rPr>
      <w:sz w:val="20"/>
    </w:rPr>
  </w:style>
  <w:style w:type="paragraph" w:customStyle="1" w:styleId="CTA1ai">
    <w:name w:val="CTA 1(a)(i)"/>
    <w:basedOn w:val="OPCParaBase"/>
    <w:rsid w:val="00026B3B"/>
    <w:pPr>
      <w:tabs>
        <w:tab w:val="right" w:pos="1004"/>
      </w:tabs>
      <w:spacing w:before="40" w:line="240" w:lineRule="atLeast"/>
      <w:ind w:left="1253" w:hanging="1253"/>
    </w:pPr>
    <w:rPr>
      <w:sz w:val="20"/>
    </w:rPr>
  </w:style>
  <w:style w:type="paragraph" w:customStyle="1" w:styleId="CTA2a">
    <w:name w:val="CTA 2(a)"/>
    <w:basedOn w:val="OPCParaBase"/>
    <w:rsid w:val="00026B3B"/>
    <w:pPr>
      <w:tabs>
        <w:tab w:val="right" w:pos="482"/>
      </w:tabs>
      <w:spacing w:before="40" w:line="240" w:lineRule="atLeast"/>
      <w:ind w:left="748" w:hanging="748"/>
    </w:pPr>
    <w:rPr>
      <w:sz w:val="20"/>
    </w:rPr>
  </w:style>
  <w:style w:type="paragraph" w:customStyle="1" w:styleId="CTA2ai">
    <w:name w:val="CTA 2(a)(i)"/>
    <w:basedOn w:val="OPCParaBase"/>
    <w:rsid w:val="00026B3B"/>
    <w:pPr>
      <w:tabs>
        <w:tab w:val="right" w:pos="1089"/>
      </w:tabs>
      <w:spacing w:before="40" w:line="240" w:lineRule="atLeast"/>
      <w:ind w:left="1327" w:hanging="1327"/>
    </w:pPr>
    <w:rPr>
      <w:sz w:val="20"/>
    </w:rPr>
  </w:style>
  <w:style w:type="paragraph" w:customStyle="1" w:styleId="CTA3a">
    <w:name w:val="CTA 3(a)"/>
    <w:basedOn w:val="OPCParaBase"/>
    <w:rsid w:val="00026B3B"/>
    <w:pPr>
      <w:tabs>
        <w:tab w:val="right" w:pos="556"/>
      </w:tabs>
      <w:spacing w:before="40" w:line="240" w:lineRule="atLeast"/>
      <w:ind w:left="805" w:hanging="805"/>
    </w:pPr>
    <w:rPr>
      <w:sz w:val="20"/>
    </w:rPr>
  </w:style>
  <w:style w:type="paragraph" w:customStyle="1" w:styleId="CTA3ai">
    <w:name w:val="CTA 3(a)(i)"/>
    <w:basedOn w:val="OPCParaBase"/>
    <w:rsid w:val="00026B3B"/>
    <w:pPr>
      <w:tabs>
        <w:tab w:val="right" w:pos="1140"/>
      </w:tabs>
      <w:spacing w:before="40" w:line="240" w:lineRule="atLeast"/>
      <w:ind w:left="1361" w:hanging="1361"/>
    </w:pPr>
    <w:rPr>
      <w:sz w:val="20"/>
    </w:rPr>
  </w:style>
  <w:style w:type="paragraph" w:customStyle="1" w:styleId="CTA4a">
    <w:name w:val="CTA 4(a)"/>
    <w:basedOn w:val="OPCParaBase"/>
    <w:rsid w:val="00026B3B"/>
    <w:pPr>
      <w:tabs>
        <w:tab w:val="right" w:pos="624"/>
      </w:tabs>
      <w:spacing w:before="40" w:line="240" w:lineRule="atLeast"/>
      <w:ind w:left="873" w:hanging="873"/>
    </w:pPr>
    <w:rPr>
      <w:sz w:val="20"/>
    </w:rPr>
  </w:style>
  <w:style w:type="paragraph" w:customStyle="1" w:styleId="CTA4ai">
    <w:name w:val="CTA 4(a)(i)"/>
    <w:basedOn w:val="OPCParaBase"/>
    <w:rsid w:val="00026B3B"/>
    <w:pPr>
      <w:tabs>
        <w:tab w:val="right" w:pos="1213"/>
      </w:tabs>
      <w:spacing w:before="40" w:line="240" w:lineRule="atLeast"/>
      <w:ind w:left="1452" w:hanging="1452"/>
    </w:pPr>
    <w:rPr>
      <w:sz w:val="20"/>
    </w:rPr>
  </w:style>
  <w:style w:type="paragraph" w:customStyle="1" w:styleId="CTACAPS">
    <w:name w:val="CTA CAPS"/>
    <w:basedOn w:val="OPCParaBase"/>
    <w:rsid w:val="00026B3B"/>
    <w:pPr>
      <w:spacing w:before="60" w:line="240" w:lineRule="atLeast"/>
    </w:pPr>
    <w:rPr>
      <w:sz w:val="20"/>
    </w:rPr>
  </w:style>
  <w:style w:type="paragraph" w:customStyle="1" w:styleId="CTAright">
    <w:name w:val="CTA right"/>
    <w:basedOn w:val="OPCParaBase"/>
    <w:rsid w:val="00026B3B"/>
    <w:pPr>
      <w:spacing w:before="60" w:line="240" w:lineRule="auto"/>
      <w:jc w:val="right"/>
    </w:pPr>
    <w:rPr>
      <w:sz w:val="20"/>
    </w:rPr>
  </w:style>
  <w:style w:type="paragraph" w:customStyle="1" w:styleId="subsection">
    <w:name w:val="subsection"/>
    <w:aliases w:val="ss"/>
    <w:basedOn w:val="OPCParaBase"/>
    <w:rsid w:val="00026B3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26B3B"/>
    <w:pPr>
      <w:spacing w:before="180" w:line="240" w:lineRule="auto"/>
      <w:ind w:left="1134"/>
    </w:pPr>
  </w:style>
  <w:style w:type="paragraph" w:customStyle="1" w:styleId="ETAsubitem">
    <w:name w:val="ETA(subitem)"/>
    <w:basedOn w:val="OPCParaBase"/>
    <w:rsid w:val="00026B3B"/>
    <w:pPr>
      <w:tabs>
        <w:tab w:val="right" w:pos="340"/>
      </w:tabs>
      <w:spacing w:before="60" w:line="240" w:lineRule="auto"/>
      <w:ind w:left="454" w:hanging="454"/>
    </w:pPr>
    <w:rPr>
      <w:sz w:val="20"/>
    </w:rPr>
  </w:style>
  <w:style w:type="paragraph" w:customStyle="1" w:styleId="ETApara">
    <w:name w:val="ETA(para)"/>
    <w:basedOn w:val="OPCParaBase"/>
    <w:rsid w:val="00026B3B"/>
    <w:pPr>
      <w:tabs>
        <w:tab w:val="right" w:pos="754"/>
      </w:tabs>
      <w:spacing w:before="60" w:line="240" w:lineRule="auto"/>
      <w:ind w:left="828" w:hanging="828"/>
    </w:pPr>
    <w:rPr>
      <w:sz w:val="20"/>
    </w:rPr>
  </w:style>
  <w:style w:type="paragraph" w:customStyle="1" w:styleId="ETAsubpara">
    <w:name w:val="ETA(subpara)"/>
    <w:basedOn w:val="OPCParaBase"/>
    <w:rsid w:val="00026B3B"/>
    <w:pPr>
      <w:tabs>
        <w:tab w:val="right" w:pos="1083"/>
      </w:tabs>
      <w:spacing w:before="60" w:line="240" w:lineRule="auto"/>
      <w:ind w:left="1191" w:hanging="1191"/>
    </w:pPr>
    <w:rPr>
      <w:sz w:val="20"/>
    </w:rPr>
  </w:style>
  <w:style w:type="paragraph" w:customStyle="1" w:styleId="ETAsub-subpara">
    <w:name w:val="ETA(sub-subpara)"/>
    <w:basedOn w:val="OPCParaBase"/>
    <w:rsid w:val="00026B3B"/>
    <w:pPr>
      <w:tabs>
        <w:tab w:val="right" w:pos="1412"/>
      </w:tabs>
      <w:spacing w:before="60" w:line="240" w:lineRule="auto"/>
      <w:ind w:left="1525" w:hanging="1525"/>
    </w:pPr>
    <w:rPr>
      <w:sz w:val="20"/>
    </w:rPr>
  </w:style>
  <w:style w:type="paragraph" w:customStyle="1" w:styleId="Formula">
    <w:name w:val="Formula"/>
    <w:basedOn w:val="OPCParaBase"/>
    <w:rsid w:val="00026B3B"/>
    <w:pPr>
      <w:spacing w:line="240" w:lineRule="auto"/>
      <w:ind w:left="1134"/>
    </w:pPr>
    <w:rPr>
      <w:sz w:val="20"/>
    </w:rPr>
  </w:style>
  <w:style w:type="paragraph" w:styleId="Header">
    <w:name w:val="header"/>
    <w:basedOn w:val="OPCParaBase"/>
    <w:link w:val="HeaderChar"/>
    <w:unhideWhenUsed/>
    <w:rsid w:val="00026B3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6B3B"/>
    <w:rPr>
      <w:rFonts w:eastAsia="Times New Roman" w:cs="Times New Roman"/>
      <w:sz w:val="16"/>
      <w:lang w:eastAsia="en-AU"/>
    </w:rPr>
  </w:style>
  <w:style w:type="paragraph" w:customStyle="1" w:styleId="House">
    <w:name w:val="House"/>
    <w:basedOn w:val="OPCParaBase"/>
    <w:rsid w:val="00026B3B"/>
    <w:pPr>
      <w:spacing w:line="240" w:lineRule="auto"/>
    </w:pPr>
    <w:rPr>
      <w:sz w:val="28"/>
    </w:rPr>
  </w:style>
  <w:style w:type="paragraph" w:customStyle="1" w:styleId="Item">
    <w:name w:val="Item"/>
    <w:aliases w:val="i"/>
    <w:basedOn w:val="OPCParaBase"/>
    <w:next w:val="ItemHead"/>
    <w:rsid w:val="00026B3B"/>
    <w:pPr>
      <w:keepLines/>
      <w:spacing w:before="80" w:line="240" w:lineRule="auto"/>
      <w:ind w:left="709"/>
    </w:pPr>
  </w:style>
  <w:style w:type="paragraph" w:customStyle="1" w:styleId="ItemHead">
    <w:name w:val="ItemHead"/>
    <w:aliases w:val="ih"/>
    <w:basedOn w:val="OPCParaBase"/>
    <w:next w:val="Item"/>
    <w:rsid w:val="00026B3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26B3B"/>
    <w:pPr>
      <w:spacing w:line="240" w:lineRule="auto"/>
    </w:pPr>
    <w:rPr>
      <w:b/>
      <w:sz w:val="32"/>
    </w:rPr>
  </w:style>
  <w:style w:type="paragraph" w:customStyle="1" w:styleId="notedraft">
    <w:name w:val="note(draft)"/>
    <w:aliases w:val="nd"/>
    <w:basedOn w:val="OPCParaBase"/>
    <w:rsid w:val="00026B3B"/>
    <w:pPr>
      <w:spacing w:before="240" w:line="240" w:lineRule="auto"/>
      <w:ind w:left="284" w:hanging="284"/>
    </w:pPr>
    <w:rPr>
      <w:i/>
      <w:sz w:val="24"/>
    </w:rPr>
  </w:style>
  <w:style w:type="paragraph" w:customStyle="1" w:styleId="notemargin">
    <w:name w:val="note(margin)"/>
    <w:aliases w:val="nm"/>
    <w:basedOn w:val="OPCParaBase"/>
    <w:rsid w:val="00026B3B"/>
    <w:pPr>
      <w:tabs>
        <w:tab w:val="left" w:pos="709"/>
      </w:tabs>
      <w:spacing w:before="122" w:line="198" w:lineRule="exact"/>
      <w:ind w:left="709" w:hanging="709"/>
    </w:pPr>
    <w:rPr>
      <w:sz w:val="18"/>
    </w:rPr>
  </w:style>
  <w:style w:type="paragraph" w:customStyle="1" w:styleId="noteToPara">
    <w:name w:val="noteToPara"/>
    <w:aliases w:val="ntp"/>
    <w:basedOn w:val="OPCParaBase"/>
    <w:rsid w:val="00026B3B"/>
    <w:pPr>
      <w:spacing w:before="122" w:line="198" w:lineRule="exact"/>
      <w:ind w:left="2353" w:hanging="709"/>
    </w:pPr>
    <w:rPr>
      <w:sz w:val="18"/>
    </w:rPr>
  </w:style>
  <w:style w:type="paragraph" w:customStyle="1" w:styleId="noteParlAmend">
    <w:name w:val="note(ParlAmend)"/>
    <w:aliases w:val="npp"/>
    <w:basedOn w:val="OPCParaBase"/>
    <w:next w:val="ParlAmend"/>
    <w:rsid w:val="00026B3B"/>
    <w:pPr>
      <w:spacing w:line="240" w:lineRule="auto"/>
      <w:jc w:val="right"/>
    </w:pPr>
    <w:rPr>
      <w:rFonts w:ascii="Arial" w:hAnsi="Arial"/>
      <w:b/>
      <w:i/>
    </w:rPr>
  </w:style>
  <w:style w:type="paragraph" w:customStyle="1" w:styleId="notetext">
    <w:name w:val="note(text)"/>
    <w:aliases w:val="n"/>
    <w:basedOn w:val="OPCParaBase"/>
    <w:rsid w:val="00026B3B"/>
    <w:pPr>
      <w:spacing w:before="122" w:line="198" w:lineRule="exact"/>
      <w:ind w:left="1985" w:hanging="851"/>
    </w:pPr>
    <w:rPr>
      <w:sz w:val="18"/>
    </w:rPr>
  </w:style>
  <w:style w:type="paragraph" w:customStyle="1" w:styleId="Page1">
    <w:name w:val="Page1"/>
    <w:basedOn w:val="OPCParaBase"/>
    <w:rsid w:val="00026B3B"/>
    <w:pPr>
      <w:spacing w:before="5600" w:line="240" w:lineRule="auto"/>
    </w:pPr>
    <w:rPr>
      <w:b/>
      <w:sz w:val="32"/>
    </w:rPr>
  </w:style>
  <w:style w:type="paragraph" w:customStyle="1" w:styleId="PageBreak">
    <w:name w:val="PageBreak"/>
    <w:aliases w:val="pb"/>
    <w:basedOn w:val="OPCParaBase"/>
    <w:rsid w:val="00026B3B"/>
    <w:pPr>
      <w:spacing w:line="240" w:lineRule="auto"/>
    </w:pPr>
    <w:rPr>
      <w:sz w:val="20"/>
    </w:rPr>
  </w:style>
  <w:style w:type="paragraph" w:customStyle="1" w:styleId="paragraphsub">
    <w:name w:val="paragraph(sub)"/>
    <w:aliases w:val="aa"/>
    <w:basedOn w:val="OPCParaBase"/>
    <w:rsid w:val="00026B3B"/>
    <w:pPr>
      <w:tabs>
        <w:tab w:val="right" w:pos="1985"/>
      </w:tabs>
      <w:spacing w:before="40" w:line="240" w:lineRule="auto"/>
      <w:ind w:left="2098" w:hanging="2098"/>
    </w:pPr>
  </w:style>
  <w:style w:type="paragraph" w:customStyle="1" w:styleId="paragraphsub-sub">
    <w:name w:val="paragraph(sub-sub)"/>
    <w:aliases w:val="aaa"/>
    <w:basedOn w:val="OPCParaBase"/>
    <w:rsid w:val="00026B3B"/>
    <w:pPr>
      <w:tabs>
        <w:tab w:val="right" w:pos="2722"/>
      </w:tabs>
      <w:spacing w:before="40" w:line="240" w:lineRule="auto"/>
      <w:ind w:left="2835" w:hanging="2835"/>
    </w:pPr>
  </w:style>
  <w:style w:type="paragraph" w:customStyle="1" w:styleId="paragraph">
    <w:name w:val="paragraph"/>
    <w:aliases w:val="a"/>
    <w:basedOn w:val="OPCParaBase"/>
    <w:rsid w:val="00026B3B"/>
    <w:pPr>
      <w:tabs>
        <w:tab w:val="right" w:pos="1531"/>
      </w:tabs>
      <w:spacing w:before="40" w:line="240" w:lineRule="auto"/>
      <w:ind w:left="1644" w:hanging="1644"/>
    </w:pPr>
  </w:style>
  <w:style w:type="paragraph" w:customStyle="1" w:styleId="ParlAmend">
    <w:name w:val="ParlAmend"/>
    <w:aliases w:val="pp"/>
    <w:basedOn w:val="OPCParaBase"/>
    <w:rsid w:val="00026B3B"/>
    <w:pPr>
      <w:spacing w:before="240" w:line="240" w:lineRule="atLeast"/>
      <w:ind w:hanging="567"/>
    </w:pPr>
    <w:rPr>
      <w:sz w:val="24"/>
    </w:rPr>
  </w:style>
  <w:style w:type="paragraph" w:customStyle="1" w:styleId="Penalty">
    <w:name w:val="Penalty"/>
    <w:basedOn w:val="OPCParaBase"/>
    <w:rsid w:val="00026B3B"/>
    <w:pPr>
      <w:tabs>
        <w:tab w:val="left" w:pos="2977"/>
      </w:tabs>
      <w:spacing w:before="180" w:line="240" w:lineRule="auto"/>
      <w:ind w:left="1985" w:hanging="851"/>
    </w:pPr>
  </w:style>
  <w:style w:type="paragraph" w:customStyle="1" w:styleId="Portfolio">
    <w:name w:val="Portfolio"/>
    <w:basedOn w:val="OPCParaBase"/>
    <w:rsid w:val="00026B3B"/>
    <w:pPr>
      <w:spacing w:line="240" w:lineRule="auto"/>
    </w:pPr>
    <w:rPr>
      <w:i/>
      <w:sz w:val="20"/>
    </w:rPr>
  </w:style>
  <w:style w:type="paragraph" w:customStyle="1" w:styleId="Preamble">
    <w:name w:val="Preamble"/>
    <w:basedOn w:val="OPCParaBase"/>
    <w:next w:val="Normal"/>
    <w:rsid w:val="00026B3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6B3B"/>
    <w:pPr>
      <w:spacing w:line="240" w:lineRule="auto"/>
    </w:pPr>
    <w:rPr>
      <w:i/>
      <w:sz w:val="20"/>
    </w:rPr>
  </w:style>
  <w:style w:type="paragraph" w:customStyle="1" w:styleId="Session">
    <w:name w:val="Session"/>
    <w:basedOn w:val="OPCParaBase"/>
    <w:rsid w:val="00026B3B"/>
    <w:pPr>
      <w:spacing w:line="240" w:lineRule="auto"/>
    </w:pPr>
    <w:rPr>
      <w:sz w:val="28"/>
    </w:rPr>
  </w:style>
  <w:style w:type="paragraph" w:customStyle="1" w:styleId="Sponsor">
    <w:name w:val="Sponsor"/>
    <w:basedOn w:val="OPCParaBase"/>
    <w:rsid w:val="00026B3B"/>
    <w:pPr>
      <w:spacing w:line="240" w:lineRule="auto"/>
    </w:pPr>
    <w:rPr>
      <w:i/>
    </w:rPr>
  </w:style>
  <w:style w:type="paragraph" w:customStyle="1" w:styleId="Subitem">
    <w:name w:val="Subitem"/>
    <w:aliases w:val="iss"/>
    <w:basedOn w:val="OPCParaBase"/>
    <w:rsid w:val="00026B3B"/>
    <w:pPr>
      <w:spacing w:before="180" w:line="240" w:lineRule="auto"/>
      <w:ind w:left="709" w:hanging="709"/>
    </w:pPr>
  </w:style>
  <w:style w:type="paragraph" w:customStyle="1" w:styleId="SubitemHead">
    <w:name w:val="SubitemHead"/>
    <w:aliases w:val="issh"/>
    <w:basedOn w:val="OPCParaBase"/>
    <w:rsid w:val="00026B3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6B3B"/>
    <w:pPr>
      <w:spacing w:before="40" w:line="240" w:lineRule="auto"/>
      <w:ind w:left="1134"/>
    </w:pPr>
  </w:style>
  <w:style w:type="paragraph" w:customStyle="1" w:styleId="SubsectionHead">
    <w:name w:val="SubsectionHead"/>
    <w:aliases w:val="ssh"/>
    <w:basedOn w:val="OPCParaBase"/>
    <w:next w:val="subsection"/>
    <w:rsid w:val="00026B3B"/>
    <w:pPr>
      <w:keepNext/>
      <w:keepLines/>
      <w:spacing w:before="240" w:line="240" w:lineRule="auto"/>
      <w:ind w:left="1134"/>
    </w:pPr>
    <w:rPr>
      <w:i/>
    </w:rPr>
  </w:style>
  <w:style w:type="paragraph" w:customStyle="1" w:styleId="Tablea">
    <w:name w:val="Table(a)"/>
    <w:aliases w:val="ta"/>
    <w:basedOn w:val="OPCParaBase"/>
    <w:rsid w:val="00026B3B"/>
    <w:pPr>
      <w:spacing w:before="60" w:line="240" w:lineRule="auto"/>
      <w:ind w:left="284" w:hanging="284"/>
    </w:pPr>
    <w:rPr>
      <w:sz w:val="20"/>
    </w:rPr>
  </w:style>
  <w:style w:type="paragraph" w:customStyle="1" w:styleId="TableAA">
    <w:name w:val="Table(AA)"/>
    <w:aliases w:val="taaa"/>
    <w:basedOn w:val="OPCParaBase"/>
    <w:rsid w:val="00026B3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26B3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26B3B"/>
    <w:pPr>
      <w:spacing w:before="60" w:line="240" w:lineRule="atLeast"/>
    </w:pPr>
    <w:rPr>
      <w:sz w:val="20"/>
    </w:rPr>
  </w:style>
  <w:style w:type="paragraph" w:customStyle="1" w:styleId="TLPBoxTextnote">
    <w:name w:val="TLPBoxText(note"/>
    <w:aliases w:val="right)"/>
    <w:basedOn w:val="OPCParaBase"/>
    <w:rsid w:val="00026B3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6B3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6B3B"/>
    <w:pPr>
      <w:spacing w:before="122" w:line="198" w:lineRule="exact"/>
      <w:ind w:left="1985" w:hanging="851"/>
      <w:jc w:val="right"/>
    </w:pPr>
    <w:rPr>
      <w:sz w:val="18"/>
    </w:rPr>
  </w:style>
  <w:style w:type="paragraph" w:customStyle="1" w:styleId="TLPTableBullet">
    <w:name w:val="TLPTableBullet"/>
    <w:aliases w:val="ttb"/>
    <w:basedOn w:val="OPCParaBase"/>
    <w:rsid w:val="00026B3B"/>
    <w:pPr>
      <w:spacing w:line="240" w:lineRule="exact"/>
      <w:ind w:left="284" w:hanging="284"/>
    </w:pPr>
    <w:rPr>
      <w:sz w:val="20"/>
    </w:rPr>
  </w:style>
  <w:style w:type="paragraph" w:styleId="TOC1">
    <w:name w:val="toc 1"/>
    <w:basedOn w:val="OPCParaBase"/>
    <w:next w:val="Normal"/>
    <w:uiPriority w:val="39"/>
    <w:unhideWhenUsed/>
    <w:rsid w:val="00026B3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26B3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26B3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26B3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26B3B"/>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26B3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26B3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26B3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26B3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6B3B"/>
    <w:pPr>
      <w:keepLines/>
      <w:spacing w:before="240" w:after="120" w:line="240" w:lineRule="auto"/>
      <w:ind w:left="794"/>
    </w:pPr>
    <w:rPr>
      <w:b/>
      <w:kern w:val="28"/>
      <w:sz w:val="20"/>
    </w:rPr>
  </w:style>
  <w:style w:type="paragraph" w:customStyle="1" w:styleId="TofSectsHeading">
    <w:name w:val="TofSects(Heading)"/>
    <w:basedOn w:val="OPCParaBase"/>
    <w:rsid w:val="00026B3B"/>
    <w:pPr>
      <w:spacing w:before="240" w:after="120" w:line="240" w:lineRule="auto"/>
    </w:pPr>
    <w:rPr>
      <w:b/>
      <w:sz w:val="24"/>
    </w:rPr>
  </w:style>
  <w:style w:type="paragraph" w:customStyle="1" w:styleId="TofSectsSection">
    <w:name w:val="TofSects(Section)"/>
    <w:basedOn w:val="OPCParaBase"/>
    <w:rsid w:val="00026B3B"/>
    <w:pPr>
      <w:keepLines/>
      <w:spacing w:before="40" w:line="240" w:lineRule="auto"/>
      <w:ind w:left="1588" w:hanging="794"/>
    </w:pPr>
    <w:rPr>
      <w:kern w:val="28"/>
      <w:sz w:val="18"/>
    </w:rPr>
  </w:style>
  <w:style w:type="paragraph" w:customStyle="1" w:styleId="TofSectsSubdiv">
    <w:name w:val="TofSects(Subdiv)"/>
    <w:basedOn w:val="OPCParaBase"/>
    <w:rsid w:val="00026B3B"/>
    <w:pPr>
      <w:keepLines/>
      <w:spacing w:before="80" w:line="240" w:lineRule="auto"/>
      <w:ind w:left="1588" w:hanging="794"/>
    </w:pPr>
    <w:rPr>
      <w:kern w:val="28"/>
    </w:rPr>
  </w:style>
  <w:style w:type="paragraph" w:customStyle="1" w:styleId="WRStyle">
    <w:name w:val="WR Style"/>
    <w:aliases w:val="WR"/>
    <w:basedOn w:val="OPCParaBase"/>
    <w:rsid w:val="00026B3B"/>
    <w:pPr>
      <w:spacing w:before="240" w:line="240" w:lineRule="auto"/>
      <w:ind w:left="284" w:hanging="284"/>
    </w:pPr>
    <w:rPr>
      <w:b/>
      <w:i/>
      <w:kern w:val="28"/>
      <w:sz w:val="24"/>
    </w:rPr>
  </w:style>
  <w:style w:type="paragraph" w:customStyle="1" w:styleId="notepara">
    <w:name w:val="note(para)"/>
    <w:aliases w:val="na"/>
    <w:basedOn w:val="OPCParaBase"/>
    <w:rsid w:val="00026B3B"/>
    <w:pPr>
      <w:spacing w:before="40" w:line="198" w:lineRule="exact"/>
      <w:ind w:left="2354" w:hanging="369"/>
    </w:pPr>
    <w:rPr>
      <w:sz w:val="18"/>
    </w:rPr>
  </w:style>
  <w:style w:type="paragraph" w:styleId="Footer">
    <w:name w:val="footer"/>
    <w:link w:val="FooterChar"/>
    <w:rsid w:val="00026B3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26B3B"/>
    <w:rPr>
      <w:rFonts w:eastAsia="Times New Roman" w:cs="Times New Roman"/>
      <w:sz w:val="22"/>
      <w:szCs w:val="24"/>
      <w:lang w:eastAsia="en-AU"/>
    </w:rPr>
  </w:style>
  <w:style w:type="character" w:styleId="LineNumber">
    <w:name w:val="line number"/>
    <w:basedOn w:val="OPCCharBase"/>
    <w:uiPriority w:val="99"/>
    <w:semiHidden/>
    <w:unhideWhenUsed/>
    <w:rsid w:val="00026B3B"/>
    <w:rPr>
      <w:sz w:val="16"/>
    </w:rPr>
  </w:style>
  <w:style w:type="table" w:customStyle="1" w:styleId="CFlag">
    <w:name w:val="CFlag"/>
    <w:basedOn w:val="TableNormal"/>
    <w:uiPriority w:val="99"/>
    <w:rsid w:val="00026B3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3B"/>
    <w:rPr>
      <w:rFonts w:ascii="Tahoma" w:hAnsi="Tahoma" w:cs="Tahoma"/>
      <w:sz w:val="16"/>
      <w:szCs w:val="16"/>
    </w:rPr>
  </w:style>
  <w:style w:type="table" w:styleId="TableGrid">
    <w:name w:val="Table Grid"/>
    <w:basedOn w:val="TableNormal"/>
    <w:uiPriority w:val="59"/>
    <w:rsid w:val="00026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26B3B"/>
    <w:rPr>
      <w:b/>
      <w:sz w:val="28"/>
      <w:szCs w:val="32"/>
    </w:rPr>
  </w:style>
  <w:style w:type="paragraph" w:customStyle="1" w:styleId="LegislationMadeUnder">
    <w:name w:val="LegislationMadeUnder"/>
    <w:basedOn w:val="OPCParaBase"/>
    <w:next w:val="Normal"/>
    <w:rsid w:val="00026B3B"/>
    <w:rPr>
      <w:i/>
      <w:sz w:val="32"/>
      <w:szCs w:val="32"/>
    </w:rPr>
  </w:style>
  <w:style w:type="paragraph" w:customStyle="1" w:styleId="SignCoverPageEnd">
    <w:name w:val="SignCoverPageEnd"/>
    <w:basedOn w:val="OPCParaBase"/>
    <w:next w:val="Normal"/>
    <w:rsid w:val="00026B3B"/>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26B3B"/>
    <w:pPr>
      <w:pBdr>
        <w:top w:val="single" w:sz="4" w:space="1" w:color="auto"/>
      </w:pBdr>
      <w:spacing w:before="360"/>
      <w:ind w:right="397"/>
      <w:jc w:val="both"/>
    </w:pPr>
  </w:style>
  <w:style w:type="paragraph" w:customStyle="1" w:styleId="NotesHeading1">
    <w:name w:val="NotesHeading 1"/>
    <w:basedOn w:val="OPCParaBase"/>
    <w:next w:val="Normal"/>
    <w:rsid w:val="00026B3B"/>
    <w:rPr>
      <w:b/>
      <w:sz w:val="28"/>
      <w:szCs w:val="28"/>
    </w:rPr>
  </w:style>
  <w:style w:type="paragraph" w:customStyle="1" w:styleId="NotesHeading2">
    <w:name w:val="NotesHeading 2"/>
    <w:basedOn w:val="OPCParaBase"/>
    <w:next w:val="Normal"/>
    <w:rsid w:val="00026B3B"/>
    <w:rPr>
      <w:b/>
      <w:sz w:val="28"/>
      <w:szCs w:val="28"/>
    </w:rPr>
  </w:style>
  <w:style w:type="paragraph" w:customStyle="1" w:styleId="ENotesHeading1">
    <w:name w:val="ENotesHeading 1"/>
    <w:aliases w:val="Enh1"/>
    <w:basedOn w:val="OPCParaBase"/>
    <w:next w:val="ENotesHeading2"/>
    <w:rsid w:val="00026B3B"/>
    <w:pPr>
      <w:keepNext/>
      <w:spacing w:before="120"/>
      <w:outlineLvl w:val="0"/>
    </w:pPr>
    <w:rPr>
      <w:b/>
      <w:sz w:val="28"/>
      <w:szCs w:val="28"/>
    </w:rPr>
  </w:style>
  <w:style w:type="paragraph" w:customStyle="1" w:styleId="ENotesHeading2">
    <w:name w:val="ENotesHeading 2"/>
    <w:aliases w:val="Enh2"/>
    <w:basedOn w:val="OPCParaBase"/>
    <w:next w:val="ENotesHeading3"/>
    <w:rsid w:val="00026B3B"/>
    <w:pPr>
      <w:keepNext/>
      <w:spacing w:before="120" w:after="120"/>
      <w:outlineLvl w:val="6"/>
    </w:pPr>
    <w:rPr>
      <w:b/>
      <w:sz w:val="24"/>
      <w:szCs w:val="28"/>
    </w:rPr>
  </w:style>
  <w:style w:type="paragraph" w:customStyle="1" w:styleId="ENotesHeading3">
    <w:name w:val="ENotesHeading 3"/>
    <w:aliases w:val="Enh3"/>
    <w:basedOn w:val="OPCParaBase"/>
    <w:next w:val="Normal"/>
    <w:rsid w:val="00026B3B"/>
    <w:pPr>
      <w:keepNext/>
      <w:spacing w:before="120" w:line="240" w:lineRule="auto"/>
      <w:outlineLvl w:val="7"/>
    </w:pPr>
    <w:rPr>
      <w:b/>
      <w:szCs w:val="24"/>
    </w:rPr>
  </w:style>
  <w:style w:type="paragraph" w:customStyle="1" w:styleId="ENotesText">
    <w:name w:val="ENotesText"/>
    <w:aliases w:val="Ent"/>
    <w:basedOn w:val="OPCParaBase"/>
    <w:next w:val="Normal"/>
    <w:rsid w:val="00026B3B"/>
    <w:pPr>
      <w:spacing w:before="120"/>
    </w:pPr>
  </w:style>
  <w:style w:type="paragraph" w:customStyle="1" w:styleId="CompiledActNo">
    <w:name w:val="CompiledActNo"/>
    <w:basedOn w:val="OPCParaBase"/>
    <w:next w:val="Normal"/>
    <w:rsid w:val="00026B3B"/>
    <w:rPr>
      <w:b/>
      <w:sz w:val="24"/>
      <w:szCs w:val="24"/>
    </w:rPr>
  </w:style>
  <w:style w:type="paragraph" w:customStyle="1" w:styleId="CompiledMadeUnder">
    <w:name w:val="CompiledMadeUnder"/>
    <w:basedOn w:val="OPCParaBase"/>
    <w:next w:val="Normal"/>
    <w:rsid w:val="00026B3B"/>
    <w:rPr>
      <w:i/>
      <w:sz w:val="24"/>
      <w:szCs w:val="24"/>
    </w:rPr>
  </w:style>
  <w:style w:type="paragraph" w:customStyle="1" w:styleId="Paragraphsub-sub-sub">
    <w:name w:val="Paragraph(sub-sub-sub)"/>
    <w:aliases w:val="aaaa"/>
    <w:basedOn w:val="OPCParaBase"/>
    <w:rsid w:val="00026B3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6B3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6B3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6B3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6B3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6B3B"/>
    <w:pPr>
      <w:spacing w:before="60" w:line="240" w:lineRule="auto"/>
    </w:pPr>
    <w:rPr>
      <w:rFonts w:cs="Arial"/>
      <w:sz w:val="20"/>
      <w:szCs w:val="22"/>
    </w:rPr>
  </w:style>
  <w:style w:type="paragraph" w:customStyle="1" w:styleId="SubPartCASA">
    <w:name w:val="SubPart(CASA)"/>
    <w:aliases w:val="csp"/>
    <w:basedOn w:val="OPCParaBase"/>
    <w:next w:val="ActHead3"/>
    <w:rsid w:val="00026B3B"/>
    <w:pPr>
      <w:keepNext/>
      <w:keepLines/>
      <w:spacing w:before="280"/>
      <w:outlineLvl w:val="1"/>
    </w:pPr>
    <w:rPr>
      <w:b/>
      <w:kern w:val="28"/>
      <w:sz w:val="32"/>
    </w:rPr>
  </w:style>
  <w:style w:type="character" w:customStyle="1" w:styleId="DefinitionChar">
    <w:name w:val="Definition Char"/>
    <w:basedOn w:val="DefaultParagraphFont"/>
    <w:link w:val="Definition"/>
    <w:locked/>
    <w:rsid w:val="00C26117"/>
    <w:rPr>
      <w:rFonts w:eastAsia="Times New Roman" w:cs="Times New Roman"/>
      <w:sz w:val="22"/>
      <w:lang w:eastAsia="en-AU"/>
    </w:rPr>
  </w:style>
  <w:style w:type="character" w:styleId="CommentReference">
    <w:name w:val="annotation reference"/>
    <w:basedOn w:val="DefaultParagraphFont"/>
    <w:rsid w:val="00E9504B"/>
    <w:rPr>
      <w:rFonts w:cs="Times New Roman"/>
      <w:sz w:val="16"/>
      <w:szCs w:val="16"/>
    </w:rPr>
  </w:style>
  <w:style w:type="paragraph" w:styleId="CommentText">
    <w:name w:val="annotation text"/>
    <w:basedOn w:val="Normal"/>
    <w:link w:val="CommentTextChar"/>
    <w:rsid w:val="00E9504B"/>
    <w:pPr>
      <w:spacing w:line="240" w:lineRule="auto"/>
    </w:pPr>
    <w:rPr>
      <w:rFonts w:eastAsia="Times New Roman" w:cs="Times New Roman"/>
      <w:sz w:val="20"/>
    </w:rPr>
  </w:style>
  <w:style w:type="character" w:customStyle="1" w:styleId="CommentTextChar">
    <w:name w:val="Comment Text Char"/>
    <w:basedOn w:val="DefaultParagraphFont"/>
    <w:link w:val="CommentText"/>
    <w:rsid w:val="00E9504B"/>
    <w:rPr>
      <w:rFonts w:eastAsia="Times New Roman" w:cs="Times New Roman"/>
    </w:rPr>
  </w:style>
  <w:style w:type="paragraph" w:styleId="BodyTextIndent3">
    <w:name w:val="Body Text Indent 3"/>
    <w:basedOn w:val="Normal"/>
    <w:link w:val="BodyTextIndent3Char"/>
    <w:uiPriority w:val="99"/>
    <w:semiHidden/>
    <w:unhideWhenUsed/>
    <w:rsid w:val="00E950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504B"/>
    <w:rPr>
      <w:sz w:val="16"/>
      <w:szCs w:val="16"/>
    </w:rPr>
  </w:style>
  <w:style w:type="paragraph" w:customStyle="1" w:styleId="TableHeading">
    <w:name w:val="TableHeading"/>
    <w:aliases w:val="th"/>
    <w:basedOn w:val="OPCParaBase"/>
    <w:next w:val="Tabletext"/>
    <w:rsid w:val="00026B3B"/>
    <w:pPr>
      <w:keepNext/>
      <w:spacing w:before="60" w:line="240" w:lineRule="atLeast"/>
    </w:pPr>
    <w:rPr>
      <w:b/>
      <w:sz w:val="20"/>
    </w:rPr>
  </w:style>
  <w:style w:type="paragraph" w:customStyle="1" w:styleId="NoteToSubpara">
    <w:name w:val="NoteToSubpara"/>
    <w:aliases w:val="nts"/>
    <w:basedOn w:val="OPCParaBase"/>
    <w:rsid w:val="00026B3B"/>
    <w:pPr>
      <w:spacing w:before="40" w:line="198" w:lineRule="exact"/>
      <w:ind w:left="2835" w:hanging="709"/>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B3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26B3B"/>
  </w:style>
  <w:style w:type="paragraph" w:customStyle="1" w:styleId="OPCParaBase">
    <w:name w:val="OPCParaBase"/>
    <w:qFormat/>
    <w:rsid w:val="00026B3B"/>
    <w:pPr>
      <w:spacing w:line="260" w:lineRule="atLeast"/>
    </w:pPr>
    <w:rPr>
      <w:rFonts w:eastAsia="Times New Roman" w:cs="Times New Roman"/>
      <w:sz w:val="22"/>
      <w:lang w:eastAsia="en-AU"/>
    </w:rPr>
  </w:style>
  <w:style w:type="paragraph" w:customStyle="1" w:styleId="ShortT">
    <w:name w:val="ShortT"/>
    <w:basedOn w:val="OPCParaBase"/>
    <w:next w:val="Normal"/>
    <w:qFormat/>
    <w:rsid w:val="00026B3B"/>
    <w:pPr>
      <w:spacing w:line="240" w:lineRule="auto"/>
    </w:pPr>
    <w:rPr>
      <w:b/>
      <w:sz w:val="40"/>
    </w:rPr>
  </w:style>
  <w:style w:type="paragraph" w:customStyle="1" w:styleId="ActHead1">
    <w:name w:val="ActHead 1"/>
    <w:aliases w:val="c"/>
    <w:basedOn w:val="OPCParaBase"/>
    <w:next w:val="Normal"/>
    <w:qFormat/>
    <w:rsid w:val="00026B3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6B3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26B3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26B3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26B3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6B3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6B3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6B3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6B3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26B3B"/>
  </w:style>
  <w:style w:type="paragraph" w:customStyle="1" w:styleId="Blocks">
    <w:name w:val="Blocks"/>
    <w:aliases w:val="bb"/>
    <w:basedOn w:val="OPCParaBase"/>
    <w:qFormat/>
    <w:rsid w:val="00026B3B"/>
    <w:pPr>
      <w:spacing w:line="240" w:lineRule="auto"/>
    </w:pPr>
    <w:rPr>
      <w:sz w:val="24"/>
    </w:rPr>
  </w:style>
  <w:style w:type="paragraph" w:customStyle="1" w:styleId="BoxText">
    <w:name w:val="BoxText"/>
    <w:aliases w:val="bt"/>
    <w:basedOn w:val="OPCParaBase"/>
    <w:qFormat/>
    <w:rsid w:val="00026B3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6B3B"/>
    <w:rPr>
      <w:b/>
    </w:rPr>
  </w:style>
  <w:style w:type="paragraph" w:customStyle="1" w:styleId="BoxHeadItalic">
    <w:name w:val="BoxHeadItalic"/>
    <w:aliases w:val="bhi"/>
    <w:basedOn w:val="BoxText"/>
    <w:next w:val="BoxStep"/>
    <w:qFormat/>
    <w:rsid w:val="00026B3B"/>
    <w:rPr>
      <w:i/>
    </w:rPr>
  </w:style>
  <w:style w:type="paragraph" w:customStyle="1" w:styleId="BoxList">
    <w:name w:val="BoxList"/>
    <w:aliases w:val="bl"/>
    <w:basedOn w:val="BoxText"/>
    <w:qFormat/>
    <w:rsid w:val="00026B3B"/>
    <w:pPr>
      <w:ind w:left="1559" w:hanging="425"/>
    </w:pPr>
  </w:style>
  <w:style w:type="paragraph" w:customStyle="1" w:styleId="BoxNote">
    <w:name w:val="BoxNote"/>
    <w:aliases w:val="bn"/>
    <w:basedOn w:val="BoxText"/>
    <w:qFormat/>
    <w:rsid w:val="00026B3B"/>
    <w:pPr>
      <w:tabs>
        <w:tab w:val="left" w:pos="1985"/>
      </w:tabs>
      <w:spacing w:before="122" w:line="198" w:lineRule="exact"/>
      <w:ind w:left="2948" w:hanging="1814"/>
    </w:pPr>
    <w:rPr>
      <w:sz w:val="18"/>
    </w:rPr>
  </w:style>
  <w:style w:type="paragraph" w:customStyle="1" w:styleId="BoxPara">
    <w:name w:val="BoxPara"/>
    <w:aliases w:val="bp"/>
    <w:basedOn w:val="BoxText"/>
    <w:qFormat/>
    <w:rsid w:val="00026B3B"/>
    <w:pPr>
      <w:tabs>
        <w:tab w:val="right" w:pos="2268"/>
      </w:tabs>
      <w:ind w:left="2552" w:hanging="1418"/>
    </w:pPr>
  </w:style>
  <w:style w:type="paragraph" w:customStyle="1" w:styleId="BoxStep">
    <w:name w:val="BoxStep"/>
    <w:aliases w:val="bs"/>
    <w:basedOn w:val="BoxText"/>
    <w:qFormat/>
    <w:rsid w:val="00026B3B"/>
    <w:pPr>
      <w:ind w:left="1985" w:hanging="851"/>
    </w:pPr>
  </w:style>
  <w:style w:type="character" w:customStyle="1" w:styleId="CharAmPartNo">
    <w:name w:val="CharAmPartNo"/>
    <w:basedOn w:val="OPCCharBase"/>
    <w:qFormat/>
    <w:rsid w:val="00026B3B"/>
  </w:style>
  <w:style w:type="character" w:customStyle="1" w:styleId="CharAmPartText">
    <w:name w:val="CharAmPartText"/>
    <w:basedOn w:val="OPCCharBase"/>
    <w:qFormat/>
    <w:rsid w:val="00026B3B"/>
  </w:style>
  <w:style w:type="character" w:customStyle="1" w:styleId="CharAmSchNo">
    <w:name w:val="CharAmSchNo"/>
    <w:basedOn w:val="OPCCharBase"/>
    <w:qFormat/>
    <w:rsid w:val="00026B3B"/>
  </w:style>
  <w:style w:type="character" w:customStyle="1" w:styleId="CharAmSchText">
    <w:name w:val="CharAmSchText"/>
    <w:basedOn w:val="OPCCharBase"/>
    <w:qFormat/>
    <w:rsid w:val="00026B3B"/>
  </w:style>
  <w:style w:type="character" w:customStyle="1" w:styleId="CharBoldItalic">
    <w:name w:val="CharBoldItalic"/>
    <w:basedOn w:val="OPCCharBase"/>
    <w:uiPriority w:val="1"/>
    <w:qFormat/>
    <w:rsid w:val="00026B3B"/>
    <w:rPr>
      <w:b/>
      <w:i/>
    </w:rPr>
  </w:style>
  <w:style w:type="character" w:customStyle="1" w:styleId="CharChapNo">
    <w:name w:val="CharChapNo"/>
    <w:basedOn w:val="OPCCharBase"/>
    <w:uiPriority w:val="1"/>
    <w:qFormat/>
    <w:rsid w:val="00026B3B"/>
  </w:style>
  <w:style w:type="character" w:customStyle="1" w:styleId="CharChapText">
    <w:name w:val="CharChapText"/>
    <w:basedOn w:val="OPCCharBase"/>
    <w:uiPriority w:val="1"/>
    <w:qFormat/>
    <w:rsid w:val="00026B3B"/>
  </w:style>
  <w:style w:type="character" w:customStyle="1" w:styleId="CharDivNo">
    <w:name w:val="CharDivNo"/>
    <w:basedOn w:val="OPCCharBase"/>
    <w:uiPriority w:val="1"/>
    <w:qFormat/>
    <w:rsid w:val="00026B3B"/>
  </w:style>
  <w:style w:type="character" w:customStyle="1" w:styleId="CharDivText">
    <w:name w:val="CharDivText"/>
    <w:basedOn w:val="OPCCharBase"/>
    <w:uiPriority w:val="1"/>
    <w:qFormat/>
    <w:rsid w:val="00026B3B"/>
  </w:style>
  <w:style w:type="character" w:customStyle="1" w:styleId="CharItalic">
    <w:name w:val="CharItalic"/>
    <w:basedOn w:val="OPCCharBase"/>
    <w:uiPriority w:val="1"/>
    <w:qFormat/>
    <w:rsid w:val="00026B3B"/>
    <w:rPr>
      <w:i/>
    </w:rPr>
  </w:style>
  <w:style w:type="character" w:customStyle="1" w:styleId="CharPartNo">
    <w:name w:val="CharPartNo"/>
    <w:basedOn w:val="OPCCharBase"/>
    <w:uiPriority w:val="1"/>
    <w:qFormat/>
    <w:rsid w:val="00026B3B"/>
  </w:style>
  <w:style w:type="character" w:customStyle="1" w:styleId="CharPartText">
    <w:name w:val="CharPartText"/>
    <w:basedOn w:val="OPCCharBase"/>
    <w:uiPriority w:val="1"/>
    <w:qFormat/>
    <w:rsid w:val="00026B3B"/>
  </w:style>
  <w:style w:type="character" w:customStyle="1" w:styleId="CharSectno">
    <w:name w:val="CharSectno"/>
    <w:basedOn w:val="OPCCharBase"/>
    <w:qFormat/>
    <w:rsid w:val="00026B3B"/>
  </w:style>
  <w:style w:type="character" w:customStyle="1" w:styleId="CharSubdNo">
    <w:name w:val="CharSubdNo"/>
    <w:basedOn w:val="OPCCharBase"/>
    <w:uiPriority w:val="1"/>
    <w:qFormat/>
    <w:rsid w:val="00026B3B"/>
  </w:style>
  <w:style w:type="character" w:customStyle="1" w:styleId="CharSubdText">
    <w:name w:val="CharSubdText"/>
    <w:basedOn w:val="OPCCharBase"/>
    <w:uiPriority w:val="1"/>
    <w:qFormat/>
    <w:rsid w:val="00026B3B"/>
  </w:style>
  <w:style w:type="paragraph" w:customStyle="1" w:styleId="CTA--">
    <w:name w:val="CTA --"/>
    <w:basedOn w:val="OPCParaBase"/>
    <w:next w:val="Normal"/>
    <w:rsid w:val="00026B3B"/>
    <w:pPr>
      <w:spacing w:before="60" w:line="240" w:lineRule="atLeast"/>
      <w:ind w:left="142" w:hanging="142"/>
    </w:pPr>
    <w:rPr>
      <w:sz w:val="20"/>
    </w:rPr>
  </w:style>
  <w:style w:type="paragraph" w:customStyle="1" w:styleId="CTA-">
    <w:name w:val="CTA -"/>
    <w:basedOn w:val="OPCParaBase"/>
    <w:rsid w:val="00026B3B"/>
    <w:pPr>
      <w:spacing w:before="60" w:line="240" w:lineRule="atLeast"/>
      <w:ind w:left="85" w:hanging="85"/>
    </w:pPr>
    <w:rPr>
      <w:sz w:val="20"/>
    </w:rPr>
  </w:style>
  <w:style w:type="paragraph" w:customStyle="1" w:styleId="CTA---">
    <w:name w:val="CTA ---"/>
    <w:basedOn w:val="OPCParaBase"/>
    <w:next w:val="Normal"/>
    <w:rsid w:val="00026B3B"/>
    <w:pPr>
      <w:spacing w:before="60" w:line="240" w:lineRule="atLeast"/>
      <w:ind w:left="198" w:hanging="198"/>
    </w:pPr>
    <w:rPr>
      <w:sz w:val="20"/>
    </w:rPr>
  </w:style>
  <w:style w:type="paragraph" w:customStyle="1" w:styleId="CTA----">
    <w:name w:val="CTA ----"/>
    <w:basedOn w:val="OPCParaBase"/>
    <w:next w:val="Normal"/>
    <w:rsid w:val="00026B3B"/>
    <w:pPr>
      <w:spacing w:before="60" w:line="240" w:lineRule="atLeast"/>
      <w:ind w:left="255" w:hanging="255"/>
    </w:pPr>
    <w:rPr>
      <w:sz w:val="20"/>
    </w:rPr>
  </w:style>
  <w:style w:type="paragraph" w:customStyle="1" w:styleId="CTA1a">
    <w:name w:val="CTA 1(a)"/>
    <w:basedOn w:val="OPCParaBase"/>
    <w:rsid w:val="00026B3B"/>
    <w:pPr>
      <w:tabs>
        <w:tab w:val="right" w:pos="414"/>
      </w:tabs>
      <w:spacing w:before="40" w:line="240" w:lineRule="atLeast"/>
      <w:ind w:left="675" w:hanging="675"/>
    </w:pPr>
    <w:rPr>
      <w:sz w:val="20"/>
    </w:rPr>
  </w:style>
  <w:style w:type="paragraph" w:customStyle="1" w:styleId="CTA1ai">
    <w:name w:val="CTA 1(a)(i)"/>
    <w:basedOn w:val="OPCParaBase"/>
    <w:rsid w:val="00026B3B"/>
    <w:pPr>
      <w:tabs>
        <w:tab w:val="right" w:pos="1004"/>
      </w:tabs>
      <w:spacing w:before="40" w:line="240" w:lineRule="atLeast"/>
      <w:ind w:left="1253" w:hanging="1253"/>
    </w:pPr>
    <w:rPr>
      <w:sz w:val="20"/>
    </w:rPr>
  </w:style>
  <w:style w:type="paragraph" w:customStyle="1" w:styleId="CTA2a">
    <w:name w:val="CTA 2(a)"/>
    <w:basedOn w:val="OPCParaBase"/>
    <w:rsid w:val="00026B3B"/>
    <w:pPr>
      <w:tabs>
        <w:tab w:val="right" w:pos="482"/>
      </w:tabs>
      <w:spacing w:before="40" w:line="240" w:lineRule="atLeast"/>
      <w:ind w:left="748" w:hanging="748"/>
    </w:pPr>
    <w:rPr>
      <w:sz w:val="20"/>
    </w:rPr>
  </w:style>
  <w:style w:type="paragraph" w:customStyle="1" w:styleId="CTA2ai">
    <w:name w:val="CTA 2(a)(i)"/>
    <w:basedOn w:val="OPCParaBase"/>
    <w:rsid w:val="00026B3B"/>
    <w:pPr>
      <w:tabs>
        <w:tab w:val="right" w:pos="1089"/>
      </w:tabs>
      <w:spacing w:before="40" w:line="240" w:lineRule="atLeast"/>
      <w:ind w:left="1327" w:hanging="1327"/>
    </w:pPr>
    <w:rPr>
      <w:sz w:val="20"/>
    </w:rPr>
  </w:style>
  <w:style w:type="paragraph" w:customStyle="1" w:styleId="CTA3a">
    <w:name w:val="CTA 3(a)"/>
    <w:basedOn w:val="OPCParaBase"/>
    <w:rsid w:val="00026B3B"/>
    <w:pPr>
      <w:tabs>
        <w:tab w:val="right" w:pos="556"/>
      </w:tabs>
      <w:spacing w:before="40" w:line="240" w:lineRule="atLeast"/>
      <w:ind w:left="805" w:hanging="805"/>
    </w:pPr>
    <w:rPr>
      <w:sz w:val="20"/>
    </w:rPr>
  </w:style>
  <w:style w:type="paragraph" w:customStyle="1" w:styleId="CTA3ai">
    <w:name w:val="CTA 3(a)(i)"/>
    <w:basedOn w:val="OPCParaBase"/>
    <w:rsid w:val="00026B3B"/>
    <w:pPr>
      <w:tabs>
        <w:tab w:val="right" w:pos="1140"/>
      </w:tabs>
      <w:spacing w:before="40" w:line="240" w:lineRule="atLeast"/>
      <w:ind w:left="1361" w:hanging="1361"/>
    </w:pPr>
    <w:rPr>
      <w:sz w:val="20"/>
    </w:rPr>
  </w:style>
  <w:style w:type="paragraph" w:customStyle="1" w:styleId="CTA4a">
    <w:name w:val="CTA 4(a)"/>
    <w:basedOn w:val="OPCParaBase"/>
    <w:rsid w:val="00026B3B"/>
    <w:pPr>
      <w:tabs>
        <w:tab w:val="right" w:pos="624"/>
      </w:tabs>
      <w:spacing w:before="40" w:line="240" w:lineRule="atLeast"/>
      <w:ind w:left="873" w:hanging="873"/>
    </w:pPr>
    <w:rPr>
      <w:sz w:val="20"/>
    </w:rPr>
  </w:style>
  <w:style w:type="paragraph" w:customStyle="1" w:styleId="CTA4ai">
    <w:name w:val="CTA 4(a)(i)"/>
    <w:basedOn w:val="OPCParaBase"/>
    <w:rsid w:val="00026B3B"/>
    <w:pPr>
      <w:tabs>
        <w:tab w:val="right" w:pos="1213"/>
      </w:tabs>
      <w:spacing w:before="40" w:line="240" w:lineRule="atLeast"/>
      <w:ind w:left="1452" w:hanging="1452"/>
    </w:pPr>
    <w:rPr>
      <w:sz w:val="20"/>
    </w:rPr>
  </w:style>
  <w:style w:type="paragraph" w:customStyle="1" w:styleId="CTACAPS">
    <w:name w:val="CTA CAPS"/>
    <w:basedOn w:val="OPCParaBase"/>
    <w:rsid w:val="00026B3B"/>
    <w:pPr>
      <w:spacing w:before="60" w:line="240" w:lineRule="atLeast"/>
    </w:pPr>
    <w:rPr>
      <w:sz w:val="20"/>
    </w:rPr>
  </w:style>
  <w:style w:type="paragraph" w:customStyle="1" w:styleId="CTAright">
    <w:name w:val="CTA right"/>
    <w:basedOn w:val="OPCParaBase"/>
    <w:rsid w:val="00026B3B"/>
    <w:pPr>
      <w:spacing w:before="60" w:line="240" w:lineRule="auto"/>
      <w:jc w:val="right"/>
    </w:pPr>
    <w:rPr>
      <w:sz w:val="20"/>
    </w:rPr>
  </w:style>
  <w:style w:type="paragraph" w:customStyle="1" w:styleId="subsection">
    <w:name w:val="subsection"/>
    <w:aliases w:val="ss"/>
    <w:basedOn w:val="OPCParaBase"/>
    <w:rsid w:val="00026B3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26B3B"/>
    <w:pPr>
      <w:spacing w:before="180" w:line="240" w:lineRule="auto"/>
      <w:ind w:left="1134"/>
    </w:pPr>
  </w:style>
  <w:style w:type="paragraph" w:customStyle="1" w:styleId="ETAsubitem">
    <w:name w:val="ETA(subitem)"/>
    <w:basedOn w:val="OPCParaBase"/>
    <w:rsid w:val="00026B3B"/>
    <w:pPr>
      <w:tabs>
        <w:tab w:val="right" w:pos="340"/>
      </w:tabs>
      <w:spacing w:before="60" w:line="240" w:lineRule="auto"/>
      <w:ind w:left="454" w:hanging="454"/>
    </w:pPr>
    <w:rPr>
      <w:sz w:val="20"/>
    </w:rPr>
  </w:style>
  <w:style w:type="paragraph" w:customStyle="1" w:styleId="ETApara">
    <w:name w:val="ETA(para)"/>
    <w:basedOn w:val="OPCParaBase"/>
    <w:rsid w:val="00026B3B"/>
    <w:pPr>
      <w:tabs>
        <w:tab w:val="right" w:pos="754"/>
      </w:tabs>
      <w:spacing w:before="60" w:line="240" w:lineRule="auto"/>
      <w:ind w:left="828" w:hanging="828"/>
    </w:pPr>
    <w:rPr>
      <w:sz w:val="20"/>
    </w:rPr>
  </w:style>
  <w:style w:type="paragraph" w:customStyle="1" w:styleId="ETAsubpara">
    <w:name w:val="ETA(subpara)"/>
    <w:basedOn w:val="OPCParaBase"/>
    <w:rsid w:val="00026B3B"/>
    <w:pPr>
      <w:tabs>
        <w:tab w:val="right" w:pos="1083"/>
      </w:tabs>
      <w:spacing w:before="60" w:line="240" w:lineRule="auto"/>
      <w:ind w:left="1191" w:hanging="1191"/>
    </w:pPr>
    <w:rPr>
      <w:sz w:val="20"/>
    </w:rPr>
  </w:style>
  <w:style w:type="paragraph" w:customStyle="1" w:styleId="ETAsub-subpara">
    <w:name w:val="ETA(sub-subpara)"/>
    <w:basedOn w:val="OPCParaBase"/>
    <w:rsid w:val="00026B3B"/>
    <w:pPr>
      <w:tabs>
        <w:tab w:val="right" w:pos="1412"/>
      </w:tabs>
      <w:spacing w:before="60" w:line="240" w:lineRule="auto"/>
      <w:ind w:left="1525" w:hanging="1525"/>
    </w:pPr>
    <w:rPr>
      <w:sz w:val="20"/>
    </w:rPr>
  </w:style>
  <w:style w:type="paragraph" w:customStyle="1" w:styleId="Formula">
    <w:name w:val="Formula"/>
    <w:basedOn w:val="OPCParaBase"/>
    <w:rsid w:val="00026B3B"/>
    <w:pPr>
      <w:spacing w:line="240" w:lineRule="auto"/>
      <w:ind w:left="1134"/>
    </w:pPr>
    <w:rPr>
      <w:sz w:val="20"/>
    </w:rPr>
  </w:style>
  <w:style w:type="paragraph" w:styleId="Header">
    <w:name w:val="header"/>
    <w:basedOn w:val="OPCParaBase"/>
    <w:link w:val="HeaderChar"/>
    <w:unhideWhenUsed/>
    <w:rsid w:val="00026B3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6B3B"/>
    <w:rPr>
      <w:rFonts w:eastAsia="Times New Roman" w:cs="Times New Roman"/>
      <w:sz w:val="16"/>
      <w:lang w:eastAsia="en-AU"/>
    </w:rPr>
  </w:style>
  <w:style w:type="paragraph" w:customStyle="1" w:styleId="House">
    <w:name w:val="House"/>
    <w:basedOn w:val="OPCParaBase"/>
    <w:rsid w:val="00026B3B"/>
    <w:pPr>
      <w:spacing w:line="240" w:lineRule="auto"/>
    </w:pPr>
    <w:rPr>
      <w:sz w:val="28"/>
    </w:rPr>
  </w:style>
  <w:style w:type="paragraph" w:customStyle="1" w:styleId="Item">
    <w:name w:val="Item"/>
    <w:aliases w:val="i"/>
    <w:basedOn w:val="OPCParaBase"/>
    <w:next w:val="ItemHead"/>
    <w:rsid w:val="00026B3B"/>
    <w:pPr>
      <w:keepLines/>
      <w:spacing w:before="80" w:line="240" w:lineRule="auto"/>
      <w:ind w:left="709"/>
    </w:pPr>
  </w:style>
  <w:style w:type="paragraph" w:customStyle="1" w:styleId="ItemHead">
    <w:name w:val="ItemHead"/>
    <w:aliases w:val="ih"/>
    <w:basedOn w:val="OPCParaBase"/>
    <w:next w:val="Item"/>
    <w:rsid w:val="00026B3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26B3B"/>
    <w:pPr>
      <w:spacing w:line="240" w:lineRule="auto"/>
    </w:pPr>
    <w:rPr>
      <w:b/>
      <w:sz w:val="32"/>
    </w:rPr>
  </w:style>
  <w:style w:type="paragraph" w:customStyle="1" w:styleId="notedraft">
    <w:name w:val="note(draft)"/>
    <w:aliases w:val="nd"/>
    <w:basedOn w:val="OPCParaBase"/>
    <w:rsid w:val="00026B3B"/>
    <w:pPr>
      <w:spacing w:before="240" w:line="240" w:lineRule="auto"/>
      <w:ind w:left="284" w:hanging="284"/>
    </w:pPr>
    <w:rPr>
      <w:i/>
      <w:sz w:val="24"/>
    </w:rPr>
  </w:style>
  <w:style w:type="paragraph" w:customStyle="1" w:styleId="notemargin">
    <w:name w:val="note(margin)"/>
    <w:aliases w:val="nm"/>
    <w:basedOn w:val="OPCParaBase"/>
    <w:rsid w:val="00026B3B"/>
    <w:pPr>
      <w:tabs>
        <w:tab w:val="left" w:pos="709"/>
      </w:tabs>
      <w:spacing w:before="122" w:line="198" w:lineRule="exact"/>
      <w:ind w:left="709" w:hanging="709"/>
    </w:pPr>
    <w:rPr>
      <w:sz w:val="18"/>
    </w:rPr>
  </w:style>
  <w:style w:type="paragraph" w:customStyle="1" w:styleId="noteToPara">
    <w:name w:val="noteToPara"/>
    <w:aliases w:val="ntp"/>
    <w:basedOn w:val="OPCParaBase"/>
    <w:rsid w:val="00026B3B"/>
    <w:pPr>
      <w:spacing w:before="122" w:line="198" w:lineRule="exact"/>
      <w:ind w:left="2353" w:hanging="709"/>
    </w:pPr>
    <w:rPr>
      <w:sz w:val="18"/>
    </w:rPr>
  </w:style>
  <w:style w:type="paragraph" w:customStyle="1" w:styleId="noteParlAmend">
    <w:name w:val="note(ParlAmend)"/>
    <w:aliases w:val="npp"/>
    <w:basedOn w:val="OPCParaBase"/>
    <w:next w:val="ParlAmend"/>
    <w:rsid w:val="00026B3B"/>
    <w:pPr>
      <w:spacing w:line="240" w:lineRule="auto"/>
      <w:jc w:val="right"/>
    </w:pPr>
    <w:rPr>
      <w:rFonts w:ascii="Arial" w:hAnsi="Arial"/>
      <w:b/>
      <w:i/>
    </w:rPr>
  </w:style>
  <w:style w:type="paragraph" w:customStyle="1" w:styleId="notetext">
    <w:name w:val="note(text)"/>
    <w:aliases w:val="n"/>
    <w:basedOn w:val="OPCParaBase"/>
    <w:rsid w:val="00026B3B"/>
    <w:pPr>
      <w:spacing w:before="122" w:line="198" w:lineRule="exact"/>
      <w:ind w:left="1985" w:hanging="851"/>
    </w:pPr>
    <w:rPr>
      <w:sz w:val="18"/>
    </w:rPr>
  </w:style>
  <w:style w:type="paragraph" w:customStyle="1" w:styleId="Page1">
    <w:name w:val="Page1"/>
    <w:basedOn w:val="OPCParaBase"/>
    <w:rsid w:val="00026B3B"/>
    <w:pPr>
      <w:spacing w:before="5600" w:line="240" w:lineRule="auto"/>
    </w:pPr>
    <w:rPr>
      <w:b/>
      <w:sz w:val="32"/>
    </w:rPr>
  </w:style>
  <w:style w:type="paragraph" w:customStyle="1" w:styleId="PageBreak">
    <w:name w:val="PageBreak"/>
    <w:aliases w:val="pb"/>
    <w:basedOn w:val="OPCParaBase"/>
    <w:rsid w:val="00026B3B"/>
    <w:pPr>
      <w:spacing w:line="240" w:lineRule="auto"/>
    </w:pPr>
    <w:rPr>
      <w:sz w:val="20"/>
    </w:rPr>
  </w:style>
  <w:style w:type="paragraph" w:customStyle="1" w:styleId="paragraphsub">
    <w:name w:val="paragraph(sub)"/>
    <w:aliases w:val="aa"/>
    <w:basedOn w:val="OPCParaBase"/>
    <w:rsid w:val="00026B3B"/>
    <w:pPr>
      <w:tabs>
        <w:tab w:val="right" w:pos="1985"/>
      </w:tabs>
      <w:spacing w:before="40" w:line="240" w:lineRule="auto"/>
      <w:ind w:left="2098" w:hanging="2098"/>
    </w:pPr>
  </w:style>
  <w:style w:type="paragraph" w:customStyle="1" w:styleId="paragraphsub-sub">
    <w:name w:val="paragraph(sub-sub)"/>
    <w:aliases w:val="aaa"/>
    <w:basedOn w:val="OPCParaBase"/>
    <w:rsid w:val="00026B3B"/>
    <w:pPr>
      <w:tabs>
        <w:tab w:val="right" w:pos="2722"/>
      </w:tabs>
      <w:spacing w:before="40" w:line="240" w:lineRule="auto"/>
      <w:ind w:left="2835" w:hanging="2835"/>
    </w:pPr>
  </w:style>
  <w:style w:type="paragraph" w:customStyle="1" w:styleId="paragraph">
    <w:name w:val="paragraph"/>
    <w:aliases w:val="a"/>
    <w:basedOn w:val="OPCParaBase"/>
    <w:rsid w:val="00026B3B"/>
    <w:pPr>
      <w:tabs>
        <w:tab w:val="right" w:pos="1531"/>
      </w:tabs>
      <w:spacing w:before="40" w:line="240" w:lineRule="auto"/>
      <w:ind w:left="1644" w:hanging="1644"/>
    </w:pPr>
  </w:style>
  <w:style w:type="paragraph" w:customStyle="1" w:styleId="ParlAmend">
    <w:name w:val="ParlAmend"/>
    <w:aliases w:val="pp"/>
    <w:basedOn w:val="OPCParaBase"/>
    <w:rsid w:val="00026B3B"/>
    <w:pPr>
      <w:spacing w:before="240" w:line="240" w:lineRule="atLeast"/>
      <w:ind w:hanging="567"/>
    </w:pPr>
    <w:rPr>
      <w:sz w:val="24"/>
    </w:rPr>
  </w:style>
  <w:style w:type="paragraph" w:customStyle="1" w:styleId="Penalty">
    <w:name w:val="Penalty"/>
    <w:basedOn w:val="OPCParaBase"/>
    <w:rsid w:val="00026B3B"/>
    <w:pPr>
      <w:tabs>
        <w:tab w:val="left" w:pos="2977"/>
      </w:tabs>
      <w:spacing w:before="180" w:line="240" w:lineRule="auto"/>
      <w:ind w:left="1985" w:hanging="851"/>
    </w:pPr>
  </w:style>
  <w:style w:type="paragraph" w:customStyle="1" w:styleId="Portfolio">
    <w:name w:val="Portfolio"/>
    <w:basedOn w:val="OPCParaBase"/>
    <w:rsid w:val="00026B3B"/>
    <w:pPr>
      <w:spacing w:line="240" w:lineRule="auto"/>
    </w:pPr>
    <w:rPr>
      <w:i/>
      <w:sz w:val="20"/>
    </w:rPr>
  </w:style>
  <w:style w:type="paragraph" w:customStyle="1" w:styleId="Preamble">
    <w:name w:val="Preamble"/>
    <w:basedOn w:val="OPCParaBase"/>
    <w:next w:val="Normal"/>
    <w:rsid w:val="00026B3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6B3B"/>
    <w:pPr>
      <w:spacing w:line="240" w:lineRule="auto"/>
    </w:pPr>
    <w:rPr>
      <w:i/>
      <w:sz w:val="20"/>
    </w:rPr>
  </w:style>
  <w:style w:type="paragraph" w:customStyle="1" w:styleId="Session">
    <w:name w:val="Session"/>
    <w:basedOn w:val="OPCParaBase"/>
    <w:rsid w:val="00026B3B"/>
    <w:pPr>
      <w:spacing w:line="240" w:lineRule="auto"/>
    </w:pPr>
    <w:rPr>
      <w:sz w:val="28"/>
    </w:rPr>
  </w:style>
  <w:style w:type="paragraph" w:customStyle="1" w:styleId="Sponsor">
    <w:name w:val="Sponsor"/>
    <w:basedOn w:val="OPCParaBase"/>
    <w:rsid w:val="00026B3B"/>
    <w:pPr>
      <w:spacing w:line="240" w:lineRule="auto"/>
    </w:pPr>
    <w:rPr>
      <w:i/>
    </w:rPr>
  </w:style>
  <w:style w:type="paragraph" w:customStyle="1" w:styleId="Subitem">
    <w:name w:val="Subitem"/>
    <w:aliases w:val="iss"/>
    <w:basedOn w:val="OPCParaBase"/>
    <w:rsid w:val="00026B3B"/>
    <w:pPr>
      <w:spacing w:before="180" w:line="240" w:lineRule="auto"/>
      <w:ind w:left="709" w:hanging="709"/>
    </w:pPr>
  </w:style>
  <w:style w:type="paragraph" w:customStyle="1" w:styleId="SubitemHead">
    <w:name w:val="SubitemHead"/>
    <w:aliases w:val="issh"/>
    <w:basedOn w:val="OPCParaBase"/>
    <w:rsid w:val="00026B3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6B3B"/>
    <w:pPr>
      <w:spacing w:before="40" w:line="240" w:lineRule="auto"/>
      <w:ind w:left="1134"/>
    </w:pPr>
  </w:style>
  <w:style w:type="paragraph" w:customStyle="1" w:styleId="SubsectionHead">
    <w:name w:val="SubsectionHead"/>
    <w:aliases w:val="ssh"/>
    <w:basedOn w:val="OPCParaBase"/>
    <w:next w:val="subsection"/>
    <w:rsid w:val="00026B3B"/>
    <w:pPr>
      <w:keepNext/>
      <w:keepLines/>
      <w:spacing w:before="240" w:line="240" w:lineRule="auto"/>
      <w:ind w:left="1134"/>
    </w:pPr>
    <w:rPr>
      <w:i/>
    </w:rPr>
  </w:style>
  <w:style w:type="paragraph" w:customStyle="1" w:styleId="Tablea">
    <w:name w:val="Table(a)"/>
    <w:aliases w:val="ta"/>
    <w:basedOn w:val="OPCParaBase"/>
    <w:rsid w:val="00026B3B"/>
    <w:pPr>
      <w:spacing w:before="60" w:line="240" w:lineRule="auto"/>
      <w:ind w:left="284" w:hanging="284"/>
    </w:pPr>
    <w:rPr>
      <w:sz w:val="20"/>
    </w:rPr>
  </w:style>
  <w:style w:type="paragraph" w:customStyle="1" w:styleId="TableAA">
    <w:name w:val="Table(AA)"/>
    <w:aliases w:val="taaa"/>
    <w:basedOn w:val="OPCParaBase"/>
    <w:rsid w:val="00026B3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26B3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26B3B"/>
    <w:pPr>
      <w:spacing w:before="60" w:line="240" w:lineRule="atLeast"/>
    </w:pPr>
    <w:rPr>
      <w:sz w:val="20"/>
    </w:rPr>
  </w:style>
  <w:style w:type="paragraph" w:customStyle="1" w:styleId="TLPBoxTextnote">
    <w:name w:val="TLPBoxText(note"/>
    <w:aliases w:val="right)"/>
    <w:basedOn w:val="OPCParaBase"/>
    <w:rsid w:val="00026B3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6B3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6B3B"/>
    <w:pPr>
      <w:spacing w:before="122" w:line="198" w:lineRule="exact"/>
      <w:ind w:left="1985" w:hanging="851"/>
      <w:jc w:val="right"/>
    </w:pPr>
    <w:rPr>
      <w:sz w:val="18"/>
    </w:rPr>
  </w:style>
  <w:style w:type="paragraph" w:customStyle="1" w:styleId="TLPTableBullet">
    <w:name w:val="TLPTableBullet"/>
    <w:aliases w:val="ttb"/>
    <w:basedOn w:val="OPCParaBase"/>
    <w:rsid w:val="00026B3B"/>
    <w:pPr>
      <w:spacing w:line="240" w:lineRule="exact"/>
      <w:ind w:left="284" w:hanging="284"/>
    </w:pPr>
    <w:rPr>
      <w:sz w:val="20"/>
    </w:rPr>
  </w:style>
  <w:style w:type="paragraph" w:styleId="TOC1">
    <w:name w:val="toc 1"/>
    <w:basedOn w:val="OPCParaBase"/>
    <w:next w:val="Normal"/>
    <w:uiPriority w:val="39"/>
    <w:unhideWhenUsed/>
    <w:rsid w:val="00026B3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26B3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26B3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026B3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26B3B"/>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26B3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26B3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26B3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26B3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6B3B"/>
    <w:pPr>
      <w:keepLines/>
      <w:spacing w:before="240" w:after="120" w:line="240" w:lineRule="auto"/>
      <w:ind w:left="794"/>
    </w:pPr>
    <w:rPr>
      <w:b/>
      <w:kern w:val="28"/>
      <w:sz w:val="20"/>
    </w:rPr>
  </w:style>
  <w:style w:type="paragraph" w:customStyle="1" w:styleId="TofSectsHeading">
    <w:name w:val="TofSects(Heading)"/>
    <w:basedOn w:val="OPCParaBase"/>
    <w:rsid w:val="00026B3B"/>
    <w:pPr>
      <w:spacing w:before="240" w:after="120" w:line="240" w:lineRule="auto"/>
    </w:pPr>
    <w:rPr>
      <w:b/>
      <w:sz w:val="24"/>
    </w:rPr>
  </w:style>
  <w:style w:type="paragraph" w:customStyle="1" w:styleId="TofSectsSection">
    <w:name w:val="TofSects(Section)"/>
    <w:basedOn w:val="OPCParaBase"/>
    <w:rsid w:val="00026B3B"/>
    <w:pPr>
      <w:keepLines/>
      <w:spacing w:before="40" w:line="240" w:lineRule="auto"/>
      <w:ind w:left="1588" w:hanging="794"/>
    </w:pPr>
    <w:rPr>
      <w:kern w:val="28"/>
      <w:sz w:val="18"/>
    </w:rPr>
  </w:style>
  <w:style w:type="paragraph" w:customStyle="1" w:styleId="TofSectsSubdiv">
    <w:name w:val="TofSects(Subdiv)"/>
    <w:basedOn w:val="OPCParaBase"/>
    <w:rsid w:val="00026B3B"/>
    <w:pPr>
      <w:keepLines/>
      <w:spacing w:before="80" w:line="240" w:lineRule="auto"/>
      <w:ind w:left="1588" w:hanging="794"/>
    </w:pPr>
    <w:rPr>
      <w:kern w:val="28"/>
    </w:rPr>
  </w:style>
  <w:style w:type="paragraph" w:customStyle="1" w:styleId="WRStyle">
    <w:name w:val="WR Style"/>
    <w:aliases w:val="WR"/>
    <w:basedOn w:val="OPCParaBase"/>
    <w:rsid w:val="00026B3B"/>
    <w:pPr>
      <w:spacing w:before="240" w:line="240" w:lineRule="auto"/>
      <w:ind w:left="284" w:hanging="284"/>
    </w:pPr>
    <w:rPr>
      <w:b/>
      <w:i/>
      <w:kern w:val="28"/>
      <w:sz w:val="24"/>
    </w:rPr>
  </w:style>
  <w:style w:type="paragraph" w:customStyle="1" w:styleId="notepara">
    <w:name w:val="note(para)"/>
    <w:aliases w:val="na"/>
    <w:basedOn w:val="OPCParaBase"/>
    <w:rsid w:val="00026B3B"/>
    <w:pPr>
      <w:spacing w:before="40" w:line="198" w:lineRule="exact"/>
      <w:ind w:left="2354" w:hanging="369"/>
    </w:pPr>
    <w:rPr>
      <w:sz w:val="18"/>
    </w:rPr>
  </w:style>
  <w:style w:type="paragraph" w:styleId="Footer">
    <w:name w:val="footer"/>
    <w:link w:val="FooterChar"/>
    <w:rsid w:val="00026B3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26B3B"/>
    <w:rPr>
      <w:rFonts w:eastAsia="Times New Roman" w:cs="Times New Roman"/>
      <w:sz w:val="22"/>
      <w:szCs w:val="24"/>
      <w:lang w:eastAsia="en-AU"/>
    </w:rPr>
  </w:style>
  <w:style w:type="character" w:styleId="LineNumber">
    <w:name w:val="line number"/>
    <w:basedOn w:val="OPCCharBase"/>
    <w:uiPriority w:val="99"/>
    <w:semiHidden/>
    <w:unhideWhenUsed/>
    <w:rsid w:val="00026B3B"/>
    <w:rPr>
      <w:sz w:val="16"/>
    </w:rPr>
  </w:style>
  <w:style w:type="table" w:customStyle="1" w:styleId="CFlag">
    <w:name w:val="CFlag"/>
    <w:basedOn w:val="TableNormal"/>
    <w:uiPriority w:val="99"/>
    <w:rsid w:val="00026B3B"/>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3B"/>
    <w:rPr>
      <w:rFonts w:ascii="Tahoma" w:hAnsi="Tahoma" w:cs="Tahoma"/>
      <w:sz w:val="16"/>
      <w:szCs w:val="16"/>
    </w:rPr>
  </w:style>
  <w:style w:type="table" w:styleId="TableGrid">
    <w:name w:val="Table Grid"/>
    <w:basedOn w:val="TableNormal"/>
    <w:uiPriority w:val="59"/>
    <w:rsid w:val="00026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026B3B"/>
    <w:rPr>
      <w:b/>
      <w:sz w:val="28"/>
      <w:szCs w:val="32"/>
    </w:rPr>
  </w:style>
  <w:style w:type="paragraph" w:customStyle="1" w:styleId="LegislationMadeUnder">
    <w:name w:val="LegislationMadeUnder"/>
    <w:basedOn w:val="OPCParaBase"/>
    <w:next w:val="Normal"/>
    <w:rsid w:val="00026B3B"/>
    <w:rPr>
      <w:i/>
      <w:sz w:val="32"/>
      <w:szCs w:val="32"/>
    </w:rPr>
  </w:style>
  <w:style w:type="paragraph" w:customStyle="1" w:styleId="SignCoverPageEnd">
    <w:name w:val="SignCoverPageEnd"/>
    <w:basedOn w:val="OPCParaBase"/>
    <w:next w:val="Normal"/>
    <w:rsid w:val="00026B3B"/>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026B3B"/>
    <w:pPr>
      <w:pBdr>
        <w:top w:val="single" w:sz="4" w:space="1" w:color="auto"/>
      </w:pBdr>
      <w:spacing w:before="360"/>
      <w:ind w:right="397"/>
      <w:jc w:val="both"/>
    </w:pPr>
  </w:style>
  <w:style w:type="paragraph" w:customStyle="1" w:styleId="NotesHeading1">
    <w:name w:val="NotesHeading 1"/>
    <w:basedOn w:val="OPCParaBase"/>
    <w:next w:val="Normal"/>
    <w:rsid w:val="00026B3B"/>
    <w:rPr>
      <w:b/>
      <w:sz w:val="28"/>
      <w:szCs w:val="28"/>
    </w:rPr>
  </w:style>
  <w:style w:type="paragraph" w:customStyle="1" w:styleId="NotesHeading2">
    <w:name w:val="NotesHeading 2"/>
    <w:basedOn w:val="OPCParaBase"/>
    <w:next w:val="Normal"/>
    <w:rsid w:val="00026B3B"/>
    <w:rPr>
      <w:b/>
      <w:sz w:val="28"/>
      <w:szCs w:val="28"/>
    </w:rPr>
  </w:style>
  <w:style w:type="paragraph" w:customStyle="1" w:styleId="ENotesHeading1">
    <w:name w:val="ENotesHeading 1"/>
    <w:aliases w:val="Enh1"/>
    <w:basedOn w:val="OPCParaBase"/>
    <w:next w:val="ENotesHeading2"/>
    <w:rsid w:val="00026B3B"/>
    <w:pPr>
      <w:keepNext/>
      <w:spacing w:before="120"/>
      <w:outlineLvl w:val="0"/>
    </w:pPr>
    <w:rPr>
      <w:b/>
      <w:sz w:val="28"/>
      <w:szCs w:val="28"/>
    </w:rPr>
  </w:style>
  <w:style w:type="paragraph" w:customStyle="1" w:styleId="ENotesHeading2">
    <w:name w:val="ENotesHeading 2"/>
    <w:aliases w:val="Enh2"/>
    <w:basedOn w:val="OPCParaBase"/>
    <w:next w:val="ENotesHeading3"/>
    <w:rsid w:val="00026B3B"/>
    <w:pPr>
      <w:keepNext/>
      <w:spacing w:before="120" w:after="120"/>
      <w:outlineLvl w:val="6"/>
    </w:pPr>
    <w:rPr>
      <w:b/>
      <w:sz w:val="24"/>
      <w:szCs w:val="28"/>
    </w:rPr>
  </w:style>
  <w:style w:type="paragraph" w:customStyle="1" w:styleId="ENotesHeading3">
    <w:name w:val="ENotesHeading 3"/>
    <w:aliases w:val="Enh3"/>
    <w:basedOn w:val="OPCParaBase"/>
    <w:next w:val="Normal"/>
    <w:rsid w:val="00026B3B"/>
    <w:pPr>
      <w:keepNext/>
      <w:spacing w:before="120" w:line="240" w:lineRule="auto"/>
      <w:outlineLvl w:val="7"/>
    </w:pPr>
    <w:rPr>
      <w:b/>
      <w:szCs w:val="24"/>
    </w:rPr>
  </w:style>
  <w:style w:type="paragraph" w:customStyle="1" w:styleId="ENotesText">
    <w:name w:val="ENotesText"/>
    <w:aliases w:val="Ent"/>
    <w:basedOn w:val="OPCParaBase"/>
    <w:next w:val="Normal"/>
    <w:rsid w:val="00026B3B"/>
    <w:pPr>
      <w:spacing w:before="120"/>
    </w:pPr>
  </w:style>
  <w:style w:type="paragraph" w:customStyle="1" w:styleId="CompiledActNo">
    <w:name w:val="CompiledActNo"/>
    <w:basedOn w:val="OPCParaBase"/>
    <w:next w:val="Normal"/>
    <w:rsid w:val="00026B3B"/>
    <w:rPr>
      <w:b/>
      <w:sz w:val="24"/>
      <w:szCs w:val="24"/>
    </w:rPr>
  </w:style>
  <w:style w:type="paragraph" w:customStyle="1" w:styleId="CompiledMadeUnder">
    <w:name w:val="CompiledMadeUnder"/>
    <w:basedOn w:val="OPCParaBase"/>
    <w:next w:val="Normal"/>
    <w:rsid w:val="00026B3B"/>
    <w:rPr>
      <w:i/>
      <w:sz w:val="24"/>
      <w:szCs w:val="24"/>
    </w:rPr>
  </w:style>
  <w:style w:type="paragraph" w:customStyle="1" w:styleId="Paragraphsub-sub-sub">
    <w:name w:val="Paragraph(sub-sub-sub)"/>
    <w:aliases w:val="aaaa"/>
    <w:basedOn w:val="OPCParaBase"/>
    <w:rsid w:val="00026B3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26B3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6B3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6B3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6B3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6B3B"/>
    <w:pPr>
      <w:spacing w:before="60" w:line="240" w:lineRule="auto"/>
    </w:pPr>
    <w:rPr>
      <w:rFonts w:cs="Arial"/>
      <w:sz w:val="20"/>
      <w:szCs w:val="22"/>
    </w:rPr>
  </w:style>
  <w:style w:type="paragraph" w:customStyle="1" w:styleId="SubPartCASA">
    <w:name w:val="SubPart(CASA)"/>
    <w:aliases w:val="csp"/>
    <w:basedOn w:val="OPCParaBase"/>
    <w:next w:val="ActHead3"/>
    <w:rsid w:val="00026B3B"/>
    <w:pPr>
      <w:keepNext/>
      <w:keepLines/>
      <w:spacing w:before="280"/>
      <w:outlineLvl w:val="1"/>
    </w:pPr>
    <w:rPr>
      <w:b/>
      <w:kern w:val="28"/>
      <w:sz w:val="32"/>
    </w:rPr>
  </w:style>
  <w:style w:type="character" w:customStyle="1" w:styleId="DefinitionChar">
    <w:name w:val="Definition Char"/>
    <w:basedOn w:val="DefaultParagraphFont"/>
    <w:link w:val="Definition"/>
    <w:locked/>
    <w:rsid w:val="00C26117"/>
    <w:rPr>
      <w:rFonts w:eastAsia="Times New Roman" w:cs="Times New Roman"/>
      <w:sz w:val="22"/>
      <w:lang w:eastAsia="en-AU"/>
    </w:rPr>
  </w:style>
  <w:style w:type="character" w:styleId="CommentReference">
    <w:name w:val="annotation reference"/>
    <w:basedOn w:val="DefaultParagraphFont"/>
    <w:rsid w:val="00E9504B"/>
    <w:rPr>
      <w:rFonts w:cs="Times New Roman"/>
      <w:sz w:val="16"/>
      <w:szCs w:val="16"/>
    </w:rPr>
  </w:style>
  <w:style w:type="paragraph" w:styleId="CommentText">
    <w:name w:val="annotation text"/>
    <w:basedOn w:val="Normal"/>
    <w:link w:val="CommentTextChar"/>
    <w:rsid w:val="00E9504B"/>
    <w:pPr>
      <w:spacing w:line="240" w:lineRule="auto"/>
    </w:pPr>
    <w:rPr>
      <w:rFonts w:eastAsia="Times New Roman" w:cs="Times New Roman"/>
      <w:sz w:val="20"/>
    </w:rPr>
  </w:style>
  <w:style w:type="character" w:customStyle="1" w:styleId="CommentTextChar">
    <w:name w:val="Comment Text Char"/>
    <w:basedOn w:val="DefaultParagraphFont"/>
    <w:link w:val="CommentText"/>
    <w:rsid w:val="00E9504B"/>
    <w:rPr>
      <w:rFonts w:eastAsia="Times New Roman" w:cs="Times New Roman"/>
    </w:rPr>
  </w:style>
  <w:style w:type="paragraph" w:styleId="BodyTextIndent3">
    <w:name w:val="Body Text Indent 3"/>
    <w:basedOn w:val="Normal"/>
    <w:link w:val="BodyTextIndent3Char"/>
    <w:uiPriority w:val="99"/>
    <w:semiHidden/>
    <w:unhideWhenUsed/>
    <w:rsid w:val="00E950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504B"/>
    <w:rPr>
      <w:sz w:val="16"/>
      <w:szCs w:val="16"/>
    </w:rPr>
  </w:style>
  <w:style w:type="paragraph" w:customStyle="1" w:styleId="TableHeading">
    <w:name w:val="TableHeading"/>
    <w:aliases w:val="th"/>
    <w:basedOn w:val="OPCParaBase"/>
    <w:next w:val="Tabletext"/>
    <w:rsid w:val="00026B3B"/>
    <w:pPr>
      <w:keepNext/>
      <w:spacing w:before="60" w:line="240" w:lineRule="atLeast"/>
    </w:pPr>
    <w:rPr>
      <w:b/>
      <w:sz w:val="20"/>
    </w:rPr>
  </w:style>
  <w:style w:type="paragraph" w:customStyle="1" w:styleId="NoteToSubpara">
    <w:name w:val="NoteToSubpara"/>
    <w:aliases w:val="nts"/>
    <w:basedOn w:val="OPCParaBase"/>
    <w:rsid w:val="00026B3B"/>
    <w:pPr>
      <w:spacing w:before="40" w:line="198" w:lineRule="exact"/>
      <w:ind w:left="2835" w:hanging="70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12</Pages>
  <Words>1784</Words>
  <Characters>10170</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vt:lpstr>
    </vt:vector>
  </TitlesOfParts>
  <Manager/>
  <Company/>
  <LinksUpToDate>false</LinksUpToDate>
  <CharactersWithSpaces>11931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2013-03-22T00:36:00Z</cp:lastPrinted>
  <dcterms:created xsi:type="dcterms:W3CDTF">2013-05-09T02:49:00Z</dcterms:created>
  <dcterms:modified xsi:type="dcterms:W3CDTF">2013-05-09T03:21:00Z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Environment Protection (Assessment of Site Contamination) Amendment Measure 2013 (No. 1)</vt:lpwstr>
  </property>
  <property fmtid="{D5CDD505-2E9C-101B-9397-08002B2CF9AE}" pid="4" name="Class">
    <vt:lpwstr>Other</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
  </property>
  <property fmtid="{D5CDD505-2E9C-101B-9397-08002B2CF9AE}" pid="9" name="ID">
    <vt:lpwstr>OPC50357</vt:lpwstr>
  </property>
  <property fmtid="{D5CDD505-2E9C-101B-9397-08002B2CF9AE}" pid="10" name="ActMadeUnder">
    <vt:lpwstr/>
  </property>
  <property fmtid="{D5CDD505-2E9C-101B-9397-08002B2CF9AE}" pid="11" name="NonLegInst">
    <vt:lpwstr>0</vt:lpwstr>
  </property>
  <property fmtid="{D5CDD505-2E9C-101B-9397-08002B2CF9AE}" pid="12" name="ChangedTitle">
    <vt:lpwstr/>
  </property>
  <property fmtid="{D5CDD505-2E9C-101B-9397-08002B2CF9AE}" pid="13" name="Classification">
    <vt:lpwstr> </vt:lpwstr>
  </property>
  <property fmtid="{D5CDD505-2E9C-101B-9397-08002B2CF9AE}" pid="14" name="DoNotAsk">
    <vt:lpwstr>0</vt:lpwstr>
  </property>
  <property fmtid="{D5CDD505-2E9C-101B-9397-08002B2CF9AE}" pid="15" name="CounterSign">
    <vt:lpwstr/>
  </property>
  <property fmtid="{D5CDD505-2E9C-101B-9397-08002B2CF9AE}" pid="16" name="DateMade">
    <vt:lpwstr>11 April 2013</vt:lpwstr>
  </property>
</Properties>
</file>