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C8" w:rsidRPr="00940734" w:rsidRDefault="00163EBD" w:rsidP="00B96FC8">
      <w:r>
        <w:rPr>
          <w:noProof/>
          <w:lang w:eastAsia="en-AU"/>
        </w:rPr>
        <w:drawing>
          <wp:inline distT="0" distB="0" distL="0" distR="0">
            <wp:extent cx="1781175" cy="1400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81175" cy="1400175"/>
                    </a:xfrm>
                    <a:prstGeom prst="rect">
                      <a:avLst/>
                    </a:prstGeom>
                    <a:noFill/>
                    <a:ln w="9525">
                      <a:noFill/>
                      <a:miter lim="800000"/>
                      <a:headEnd/>
                      <a:tailEnd/>
                    </a:ln>
                  </pic:spPr>
                </pic:pic>
              </a:graphicData>
            </a:graphic>
          </wp:inline>
        </w:drawing>
      </w:r>
    </w:p>
    <w:p w:rsidR="00B96FC8" w:rsidRPr="00940734" w:rsidRDefault="00B96FC8" w:rsidP="00B96FC8">
      <w:pPr>
        <w:pStyle w:val="Title"/>
        <w:pBdr>
          <w:bottom w:val="single" w:sz="4" w:space="3" w:color="auto"/>
        </w:pBdr>
        <w:rPr>
          <w:rFonts w:ascii="Times New Roman" w:hAnsi="Times New Roman" w:cs="Times New Roman"/>
        </w:rPr>
      </w:pPr>
      <w:bookmarkStart w:id="0" w:name="Citation"/>
      <w:bookmarkStart w:id="1" w:name="InstrumentTitleFull"/>
      <w:r w:rsidRPr="00A60FFA">
        <w:rPr>
          <w:rFonts w:ascii="Times New Roman" w:hAnsi="Times New Roman" w:cs="Times New Roman"/>
        </w:rPr>
        <w:t xml:space="preserve">FMA Act Determination </w:t>
      </w:r>
      <w:r w:rsidRPr="00A60FFA">
        <w:rPr>
          <w:rFonts w:ascii="Times New Roman" w:hAnsi="Times New Roman" w:cs="Times New Roman"/>
          <w:noProof/>
        </w:rPr>
        <w:t>2013/02</w:t>
      </w:r>
      <w:r w:rsidRPr="00A60FFA">
        <w:rPr>
          <w:rFonts w:ascii="Times New Roman" w:hAnsi="Times New Roman" w:cs="Times New Roman"/>
        </w:rPr>
        <w:t xml:space="preserve"> — Section 32 (Transfer of Functions from AGD to </w:t>
      </w:r>
      <w:bookmarkEnd w:id="0"/>
      <w:bookmarkEnd w:id="1"/>
      <w:r w:rsidRPr="00A60FFA">
        <w:rPr>
          <w:rFonts w:ascii="Times New Roman" w:hAnsi="Times New Roman" w:cs="Times New Roman"/>
        </w:rPr>
        <w:t>OPC)</w:t>
      </w:r>
    </w:p>
    <w:p w:rsidR="00B96FC8" w:rsidRDefault="00B96FC8" w:rsidP="00B96FC8">
      <w:pPr>
        <w:pBdr>
          <w:bottom w:val="single" w:sz="4" w:space="3" w:color="auto"/>
        </w:pBdr>
        <w:spacing w:before="480"/>
        <w:outlineLvl w:val="0"/>
        <w:rPr>
          <w:i/>
          <w:sz w:val="28"/>
          <w:szCs w:val="28"/>
          <w:lang w:val="en-US"/>
        </w:rPr>
      </w:pPr>
      <w:r w:rsidRPr="00A60FFA">
        <w:rPr>
          <w:i/>
          <w:sz w:val="28"/>
          <w:szCs w:val="28"/>
          <w:lang w:val="en-US"/>
        </w:rPr>
        <w:t>Financial Management and Accountability Act 1997</w:t>
      </w:r>
    </w:p>
    <w:p w:rsidR="00B96FC8" w:rsidRPr="0060183A" w:rsidRDefault="00B96FC8" w:rsidP="00B96FC8">
      <w:pPr>
        <w:tabs>
          <w:tab w:val="left" w:pos="3119"/>
        </w:tabs>
        <w:spacing w:before="360"/>
        <w:rPr>
          <w:szCs w:val="22"/>
        </w:rPr>
      </w:pPr>
      <w:r w:rsidRPr="0060183A">
        <w:rPr>
          <w:szCs w:val="22"/>
        </w:rPr>
        <w:t xml:space="preserve">I, </w:t>
      </w:r>
      <w:r w:rsidR="00D8385F" w:rsidRPr="0060183A">
        <w:rPr>
          <w:szCs w:val="22"/>
        </w:rPr>
        <w:t>ALAN GREENSLADE, First Assistant Secretary, Financial Reporting and Cash Management Division, Department of Finance and Deregulation,</w:t>
      </w:r>
      <w:r w:rsidR="00FE65F7">
        <w:rPr>
          <w:b/>
          <w:szCs w:val="22"/>
        </w:rPr>
        <w:t xml:space="preserve"> </w:t>
      </w:r>
      <w:r w:rsidRPr="0060183A">
        <w:rPr>
          <w:szCs w:val="22"/>
        </w:rPr>
        <w:t xml:space="preserve">make this Determination under subsection 32(2) of the </w:t>
      </w:r>
      <w:r w:rsidRPr="0060183A">
        <w:rPr>
          <w:i/>
          <w:szCs w:val="22"/>
        </w:rPr>
        <w:t>Financial Management and Accountability Act 1997</w:t>
      </w:r>
      <w:r>
        <w:rPr>
          <w:i/>
          <w:szCs w:val="22"/>
        </w:rPr>
        <w:t xml:space="preserve"> </w:t>
      </w:r>
      <w:r w:rsidRPr="007817D9">
        <w:rPr>
          <w:szCs w:val="22"/>
        </w:rPr>
        <w:t>(</w:t>
      </w:r>
      <w:r w:rsidRPr="0060183A">
        <w:rPr>
          <w:szCs w:val="22"/>
        </w:rPr>
        <w:t>FMA</w:t>
      </w:r>
      <w:r>
        <w:rPr>
          <w:szCs w:val="22"/>
        </w:rPr>
        <w:t> </w:t>
      </w:r>
      <w:r w:rsidRPr="0060183A">
        <w:rPr>
          <w:szCs w:val="22"/>
        </w:rPr>
        <w:t>Act</w:t>
      </w:r>
      <w:r>
        <w:rPr>
          <w:szCs w:val="22"/>
        </w:rPr>
        <w:t>)</w:t>
      </w:r>
      <w:r w:rsidRPr="0060183A">
        <w:rPr>
          <w:szCs w:val="22"/>
        </w:rPr>
        <w:t>, as delegate of the Secretary of the Department of Finance and Deregulation, who</w:t>
      </w:r>
      <w:r w:rsidR="002454CF">
        <w:rPr>
          <w:szCs w:val="22"/>
        </w:rPr>
        <w:t>, in turn,</w:t>
      </w:r>
      <w:r w:rsidRPr="0060183A">
        <w:rPr>
          <w:szCs w:val="22"/>
        </w:rPr>
        <w:t xml:space="preserve"> is a delegate of the Finance Minister.</w:t>
      </w:r>
    </w:p>
    <w:p w:rsidR="00B96FC8" w:rsidRPr="0060183A" w:rsidRDefault="00B96FC8" w:rsidP="00B96FC8">
      <w:pPr>
        <w:tabs>
          <w:tab w:val="left" w:pos="3119"/>
        </w:tabs>
        <w:rPr>
          <w:szCs w:val="22"/>
        </w:rPr>
      </w:pPr>
    </w:p>
    <w:p w:rsidR="00B96FC8" w:rsidRPr="0060183A" w:rsidRDefault="00B96FC8" w:rsidP="00B96FC8">
      <w:pPr>
        <w:tabs>
          <w:tab w:val="left" w:pos="3119"/>
        </w:tabs>
        <w:spacing w:after="120"/>
        <w:rPr>
          <w:szCs w:val="22"/>
        </w:rPr>
      </w:pPr>
      <w:r w:rsidRPr="0060183A">
        <w:rPr>
          <w:szCs w:val="22"/>
        </w:rPr>
        <w:t>This De</w:t>
      </w:r>
      <w:r w:rsidR="006C19F3">
        <w:rPr>
          <w:szCs w:val="22"/>
        </w:rPr>
        <w:t>termination is made due to</w:t>
      </w:r>
      <w:r w:rsidRPr="0060183A">
        <w:rPr>
          <w:szCs w:val="22"/>
        </w:rPr>
        <w:t xml:space="preserve"> </w:t>
      </w:r>
      <w:r w:rsidR="006C19F3">
        <w:rPr>
          <w:szCs w:val="18"/>
        </w:rPr>
        <w:t xml:space="preserve">a change made to the </w:t>
      </w:r>
      <w:r w:rsidR="006C19F3" w:rsidRPr="00C758EB">
        <w:rPr>
          <w:i/>
          <w:szCs w:val="18"/>
        </w:rPr>
        <w:t>Parliamentary Counsel Act 1970</w:t>
      </w:r>
      <w:r w:rsidR="00F26A40">
        <w:rPr>
          <w:szCs w:val="18"/>
        </w:rPr>
        <w:t xml:space="preserve"> on 1 October 2012</w:t>
      </w:r>
      <w:r w:rsidR="00FF347E">
        <w:rPr>
          <w:szCs w:val="18"/>
        </w:rPr>
        <w:t>,</w:t>
      </w:r>
      <w:r w:rsidR="006C19F3">
        <w:rPr>
          <w:szCs w:val="18"/>
        </w:rPr>
        <w:t xml:space="preserve"> </w:t>
      </w:r>
      <w:r w:rsidRPr="0060183A">
        <w:rPr>
          <w:szCs w:val="22"/>
        </w:rPr>
        <w:t xml:space="preserve">to transfer the functions relating to the </w:t>
      </w:r>
      <w:r>
        <w:rPr>
          <w:szCs w:val="22"/>
        </w:rPr>
        <w:t xml:space="preserve">former </w:t>
      </w:r>
      <w:r w:rsidRPr="0060183A">
        <w:rPr>
          <w:szCs w:val="22"/>
        </w:rPr>
        <w:t>Office of Legislative Drafting and Publishing from the Attorney</w:t>
      </w:r>
      <w:r w:rsidRPr="0060183A">
        <w:rPr>
          <w:szCs w:val="22"/>
        </w:rPr>
        <w:noBreakHyphen/>
        <w:t xml:space="preserve">General’s Department </w:t>
      </w:r>
      <w:r>
        <w:rPr>
          <w:szCs w:val="22"/>
        </w:rPr>
        <w:t xml:space="preserve">(AGD) </w:t>
      </w:r>
      <w:r w:rsidRPr="0060183A">
        <w:rPr>
          <w:szCs w:val="22"/>
        </w:rPr>
        <w:t>to the Office of Parliamentary Counsel</w:t>
      </w:r>
      <w:r>
        <w:rPr>
          <w:szCs w:val="22"/>
        </w:rPr>
        <w:t xml:space="preserve"> (OPC)</w:t>
      </w:r>
      <w:r w:rsidRPr="0060183A">
        <w:rPr>
          <w:szCs w:val="22"/>
        </w:rPr>
        <w:t>.</w:t>
      </w:r>
    </w:p>
    <w:p w:rsidR="00B96FC8" w:rsidRPr="0060183A" w:rsidRDefault="00B96FC8" w:rsidP="00B96FC8">
      <w:pPr>
        <w:tabs>
          <w:tab w:val="left" w:pos="3119"/>
        </w:tabs>
        <w:rPr>
          <w:szCs w:val="22"/>
        </w:rPr>
      </w:pPr>
    </w:p>
    <w:p w:rsidR="00B96FC8" w:rsidRPr="0060183A" w:rsidRDefault="00B96FC8" w:rsidP="00B96FC8">
      <w:pPr>
        <w:tabs>
          <w:tab w:val="left" w:pos="1985"/>
        </w:tabs>
        <w:rPr>
          <w:szCs w:val="22"/>
        </w:rPr>
      </w:pPr>
      <w:r w:rsidRPr="0060183A">
        <w:rPr>
          <w:szCs w:val="22"/>
        </w:rPr>
        <w:t>Dated</w:t>
      </w:r>
      <w:r w:rsidRPr="0060183A">
        <w:rPr>
          <w:szCs w:val="22"/>
        </w:rPr>
        <w:tab/>
      </w:r>
      <w:bookmarkStart w:id="2" w:name="Text4"/>
      <w:r w:rsidRPr="0060183A">
        <w:rPr>
          <w:szCs w:val="22"/>
        </w:rPr>
        <w:tab/>
      </w:r>
      <w:bookmarkEnd w:id="2"/>
      <w:r w:rsidR="000B5D35">
        <w:rPr>
          <w:szCs w:val="22"/>
        </w:rPr>
        <w:t xml:space="preserve">8 </w:t>
      </w:r>
      <w:r w:rsidRPr="0060183A">
        <w:rPr>
          <w:szCs w:val="22"/>
        </w:rPr>
        <w:t>May 2013</w:t>
      </w:r>
    </w:p>
    <w:p w:rsidR="00B96FC8" w:rsidRPr="0060183A" w:rsidRDefault="00B96FC8" w:rsidP="00B96FC8">
      <w:pPr>
        <w:pBdr>
          <w:bottom w:val="single" w:sz="4" w:space="12" w:color="auto"/>
        </w:pBdr>
        <w:rPr>
          <w:szCs w:val="22"/>
        </w:rPr>
      </w:pPr>
    </w:p>
    <w:p w:rsidR="00B96FC8" w:rsidRPr="0060183A" w:rsidRDefault="00B96FC8" w:rsidP="00B96FC8">
      <w:pPr>
        <w:pBdr>
          <w:bottom w:val="single" w:sz="4" w:space="12" w:color="auto"/>
        </w:pBdr>
        <w:rPr>
          <w:szCs w:val="22"/>
        </w:rPr>
      </w:pPr>
    </w:p>
    <w:p w:rsidR="00B96FC8" w:rsidRPr="0060183A" w:rsidRDefault="00B96FC8" w:rsidP="00B96FC8">
      <w:pPr>
        <w:pBdr>
          <w:bottom w:val="single" w:sz="4" w:space="12" w:color="auto"/>
        </w:pBdr>
        <w:rPr>
          <w:szCs w:val="22"/>
        </w:rPr>
      </w:pPr>
    </w:p>
    <w:p w:rsidR="00B96FC8" w:rsidRPr="0060183A" w:rsidRDefault="00B96FC8" w:rsidP="00B96FC8">
      <w:pPr>
        <w:pBdr>
          <w:bottom w:val="single" w:sz="4" w:space="12" w:color="auto"/>
        </w:pBdr>
        <w:rPr>
          <w:szCs w:val="22"/>
        </w:rPr>
      </w:pPr>
    </w:p>
    <w:p w:rsidR="00B96FC8" w:rsidRPr="0060183A" w:rsidRDefault="00B96FC8" w:rsidP="00B96FC8">
      <w:pPr>
        <w:pBdr>
          <w:bottom w:val="single" w:sz="4" w:space="12" w:color="auto"/>
        </w:pBdr>
        <w:rPr>
          <w:szCs w:val="22"/>
        </w:rPr>
      </w:pPr>
    </w:p>
    <w:p w:rsidR="00B96FC8" w:rsidRPr="00D8385F" w:rsidRDefault="00D8385F" w:rsidP="00B96FC8">
      <w:pPr>
        <w:pBdr>
          <w:bottom w:val="single" w:sz="4" w:space="12" w:color="auto"/>
        </w:pBdr>
        <w:outlineLvl w:val="0"/>
        <w:rPr>
          <w:szCs w:val="22"/>
        </w:rPr>
      </w:pPr>
      <w:r>
        <w:rPr>
          <w:szCs w:val="22"/>
        </w:rPr>
        <w:t>ALAN GREENSLADE</w:t>
      </w:r>
    </w:p>
    <w:p w:rsidR="00B96FC8" w:rsidRDefault="00D8385F" w:rsidP="00B96FC8">
      <w:pPr>
        <w:pBdr>
          <w:bottom w:val="single" w:sz="4" w:space="12" w:color="auto"/>
        </w:pBdr>
        <w:rPr>
          <w:szCs w:val="22"/>
        </w:rPr>
      </w:pPr>
      <w:r>
        <w:rPr>
          <w:szCs w:val="22"/>
        </w:rPr>
        <w:t>First Assistant Secretary</w:t>
      </w:r>
    </w:p>
    <w:p w:rsidR="00D8385F" w:rsidRPr="00D8385F" w:rsidRDefault="00D8385F" w:rsidP="00B96FC8">
      <w:pPr>
        <w:pBdr>
          <w:bottom w:val="single" w:sz="4" w:space="12" w:color="auto"/>
        </w:pBdr>
        <w:rPr>
          <w:szCs w:val="22"/>
        </w:rPr>
      </w:pPr>
      <w:r>
        <w:rPr>
          <w:szCs w:val="22"/>
        </w:rPr>
        <w:t xml:space="preserve">Financial </w:t>
      </w:r>
      <w:r w:rsidRPr="0060183A">
        <w:rPr>
          <w:szCs w:val="22"/>
        </w:rPr>
        <w:t>Reporting and Cash Management Division</w:t>
      </w:r>
    </w:p>
    <w:p w:rsidR="00B96FC8" w:rsidRPr="0060183A" w:rsidRDefault="00B96FC8" w:rsidP="00B96FC8">
      <w:pPr>
        <w:pBdr>
          <w:bottom w:val="single" w:sz="4" w:space="12" w:color="auto"/>
        </w:pBdr>
        <w:spacing w:after="240"/>
        <w:rPr>
          <w:szCs w:val="22"/>
        </w:rPr>
      </w:pPr>
      <w:r w:rsidRPr="0060183A">
        <w:rPr>
          <w:szCs w:val="22"/>
        </w:rPr>
        <w:t>Department of Finance and Deregulation</w:t>
      </w:r>
    </w:p>
    <w:p w:rsidR="00B96FC8" w:rsidRDefault="00B96FC8" w:rsidP="00175104">
      <w:pPr>
        <w:pStyle w:val="ActHead5"/>
      </w:pPr>
    </w:p>
    <w:p w:rsidR="00B96FC8" w:rsidRDefault="00B96FC8" w:rsidP="00175104">
      <w:pPr>
        <w:pStyle w:val="ActHead5"/>
      </w:pPr>
    </w:p>
    <w:p w:rsidR="00175104" w:rsidRPr="00175104" w:rsidRDefault="00B96FC8" w:rsidP="00175104">
      <w:pPr>
        <w:pStyle w:val="ActHead5"/>
      </w:pPr>
      <w:r>
        <w:br w:type="page"/>
      </w:r>
      <w:r w:rsidR="00175104" w:rsidRPr="00175104">
        <w:lastRenderedPageBreak/>
        <w:t>1</w:t>
      </w:r>
      <w:r w:rsidR="00175104">
        <w:t xml:space="preserve">  </w:t>
      </w:r>
      <w:r w:rsidR="00175104" w:rsidRPr="00175104">
        <w:t>Name of Determination</w:t>
      </w:r>
    </w:p>
    <w:p w:rsidR="00175104" w:rsidRPr="0060183A" w:rsidRDefault="00175104" w:rsidP="00175104">
      <w:pPr>
        <w:pStyle w:val="subsection"/>
      </w:pPr>
      <w:r>
        <w:tab/>
      </w:r>
      <w:r>
        <w:tab/>
      </w:r>
      <w:r w:rsidRPr="0060183A">
        <w:t xml:space="preserve">This Determination is the </w:t>
      </w:r>
      <w:r w:rsidRPr="00175104">
        <w:rPr>
          <w:i/>
        </w:rPr>
        <w:t xml:space="preserve">FMA Act Determination </w:t>
      </w:r>
      <w:r w:rsidRPr="00175104">
        <w:rPr>
          <w:i/>
          <w:noProof/>
        </w:rPr>
        <w:t xml:space="preserve">2013/02 — </w:t>
      </w:r>
      <w:r w:rsidRPr="00175104">
        <w:rPr>
          <w:i/>
        </w:rPr>
        <w:t>Section 32 (Transfer of Functions from AGD to OPC)</w:t>
      </w:r>
      <w:r w:rsidRPr="0060183A">
        <w:t>.</w:t>
      </w:r>
    </w:p>
    <w:p w:rsidR="00175104" w:rsidRPr="00416CE6" w:rsidRDefault="00175104" w:rsidP="00175104">
      <w:pPr>
        <w:pStyle w:val="ActHead5"/>
      </w:pPr>
      <w:bookmarkStart w:id="3" w:name="_Toc189972105"/>
      <w:r w:rsidRPr="00175104">
        <w:t xml:space="preserve">2  </w:t>
      </w:r>
      <w:r w:rsidRPr="00416CE6">
        <w:t>Commencement</w:t>
      </w:r>
      <w:bookmarkEnd w:id="3"/>
    </w:p>
    <w:p w:rsidR="00175104" w:rsidRPr="00175104" w:rsidRDefault="00175104" w:rsidP="00175104">
      <w:pPr>
        <w:pStyle w:val="subsection"/>
      </w:pPr>
      <w:r>
        <w:tab/>
      </w:r>
      <w:r>
        <w:tab/>
      </w:r>
      <w:r w:rsidRPr="00175104">
        <w:t xml:space="preserve">This Determination commences on the day on which it is </w:t>
      </w:r>
      <w:r w:rsidR="002454CF" w:rsidRPr="002454CF">
        <w:t>registered</w:t>
      </w:r>
      <w:r w:rsidRPr="00175104">
        <w:t>.</w:t>
      </w:r>
    </w:p>
    <w:p w:rsidR="00175104" w:rsidRPr="00175104" w:rsidRDefault="00175104" w:rsidP="00175104">
      <w:pPr>
        <w:pStyle w:val="ActHead5"/>
      </w:pPr>
      <w:r w:rsidRPr="00175104">
        <w:t>3  Purpose</w:t>
      </w:r>
    </w:p>
    <w:p w:rsidR="00175104" w:rsidRPr="00175104" w:rsidRDefault="00175104" w:rsidP="00175104">
      <w:pPr>
        <w:pStyle w:val="subsection"/>
      </w:pPr>
      <w:r>
        <w:tab/>
      </w:r>
      <w:r>
        <w:tab/>
      </w:r>
      <w:r w:rsidRPr="00175104">
        <w:t>The purpose of this Determination is to adjust appropriations in the Schedule of 4 Appropriation Acts, to reflect a transfer of functions (in relation to the former Office of Legislative Drafting and Publishing) from AGD to OPC.</w:t>
      </w:r>
    </w:p>
    <w:p w:rsidR="00175104" w:rsidRDefault="00175104" w:rsidP="00175104">
      <w:pPr>
        <w:pStyle w:val="Note"/>
        <w:spacing w:line="240" w:lineRule="auto"/>
        <w:ind w:left="1440"/>
        <w:jc w:val="left"/>
        <w:rPr>
          <w:noProof/>
        </w:rPr>
      </w:pPr>
      <w:r w:rsidRPr="00DA7D53">
        <w:rPr>
          <w:rStyle w:val="ItalicText"/>
        </w:rPr>
        <w:t>Note </w:t>
      </w:r>
      <w:r w:rsidRPr="00B97560">
        <w:rPr>
          <w:rStyle w:val="ItalicText"/>
        </w:rPr>
        <w:t>1</w:t>
      </w:r>
      <w:r w:rsidRPr="003C07D0">
        <w:rPr>
          <w:rStyle w:val="ItalicText"/>
          <w:i w:val="0"/>
        </w:rPr>
        <w:t>: The transfer of functions</w:t>
      </w:r>
      <w:r>
        <w:rPr>
          <w:rStyle w:val="ItalicText"/>
        </w:rPr>
        <w:t xml:space="preserve"> </w:t>
      </w:r>
      <w:r>
        <w:rPr>
          <w:szCs w:val="18"/>
        </w:rPr>
        <w:t xml:space="preserve">was implemented through a change made to the </w:t>
      </w:r>
      <w:r w:rsidRPr="00C758EB">
        <w:rPr>
          <w:i/>
          <w:szCs w:val="18"/>
        </w:rPr>
        <w:t>Parliamentary Counsel Act 1970</w:t>
      </w:r>
      <w:r>
        <w:rPr>
          <w:szCs w:val="18"/>
        </w:rPr>
        <w:t xml:space="preserve"> on 1 October 2012</w:t>
      </w:r>
      <w:r w:rsidRPr="00A60FFA">
        <w:rPr>
          <w:noProof/>
        </w:rPr>
        <w:t>.</w:t>
      </w:r>
    </w:p>
    <w:p w:rsidR="00175104" w:rsidRDefault="00175104" w:rsidP="00175104">
      <w:pPr>
        <w:pStyle w:val="Note"/>
        <w:spacing w:line="240" w:lineRule="auto"/>
        <w:ind w:left="1440"/>
        <w:jc w:val="left"/>
        <w:rPr>
          <w:iCs/>
        </w:rPr>
      </w:pPr>
      <w:r w:rsidRPr="00DA7D53">
        <w:rPr>
          <w:rStyle w:val="ItalicText"/>
          <w:iCs/>
        </w:rPr>
        <w:t>Note 2</w:t>
      </w:r>
      <w:r w:rsidRPr="00A60FFA">
        <w:rPr>
          <w:rStyle w:val="ItalicText"/>
          <w:iCs/>
        </w:rPr>
        <w:t>:</w:t>
      </w:r>
      <w:r w:rsidRPr="00A60FFA">
        <w:rPr>
          <w:iCs/>
        </w:rPr>
        <w:t> This Determination has been made by a delegate of the Secretary of the Department of Finance and Deregulation. The Secretary is</w:t>
      </w:r>
      <w:r>
        <w:rPr>
          <w:iCs/>
        </w:rPr>
        <w:t>, in turn,</w:t>
      </w:r>
      <w:r w:rsidRPr="00A60FFA">
        <w:rPr>
          <w:iCs/>
        </w:rPr>
        <w:t xml:space="preserve"> a delegate of the Finance Minister </w:t>
      </w:r>
      <w:r>
        <w:rPr>
          <w:iCs/>
        </w:rPr>
        <w:t>(</w:t>
      </w:r>
      <w:r w:rsidRPr="00A60FFA">
        <w:rPr>
          <w:iCs/>
        </w:rPr>
        <w:t>in accordance with section 62 of the FMA Act</w:t>
      </w:r>
      <w:r>
        <w:rPr>
          <w:iCs/>
        </w:rPr>
        <w:t>) and t</w:t>
      </w:r>
      <w:r w:rsidRPr="00A60FFA">
        <w:rPr>
          <w:iCs/>
        </w:rPr>
        <w:t xml:space="preserve">he Secretary has sub-delegated that power </w:t>
      </w:r>
      <w:r>
        <w:rPr>
          <w:iCs/>
        </w:rPr>
        <w:t>to the signatory of this Determination (</w:t>
      </w:r>
      <w:r w:rsidRPr="00A60FFA">
        <w:rPr>
          <w:iCs/>
        </w:rPr>
        <w:t>in accordance with section 53 of the FMA Act</w:t>
      </w:r>
      <w:r>
        <w:rPr>
          <w:iCs/>
        </w:rPr>
        <w:t>)</w:t>
      </w:r>
      <w:r w:rsidRPr="00A60FFA">
        <w:rPr>
          <w:iCs/>
        </w:rPr>
        <w:t>.</w:t>
      </w:r>
    </w:p>
    <w:p w:rsidR="00175104" w:rsidRPr="00175104" w:rsidRDefault="00175104" w:rsidP="00175104">
      <w:pPr>
        <w:pStyle w:val="ActHead5"/>
      </w:pPr>
      <w:r w:rsidRPr="00175104">
        <w:t xml:space="preserve">4  Amendment of Appropriation Acts </w:t>
      </w:r>
    </w:p>
    <w:p w:rsidR="00175104" w:rsidRPr="00175104" w:rsidRDefault="00175104" w:rsidP="00175104">
      <w:pPr>
        <w:pStyle w:val="subsection"/>
      </w:pPr>
      <w:r>
        <w:tab/>
      </w:r>
      <w:r>
        <w:tab/>
      </w:r>
      <w:r w:rsidRPr="00175104">
        <w:t xml:space="preserve">Schedules of the following Appropriation Acts are amended, as set out in the relevant </w:t>
      </w:r>
      <w:r w:rsidR="0085253E">
        <w:t>Schedules</w:t>
      </w:r>
      <w:r w:rsidRPr="00175104">
        <w:t xml:space="preserve"> to this Determination: </w:t>
      </w:r>
    </w:p>
    <w:p w:rsidR="00175104" w:rsidRPr="00B96FC8" w:rsidRDefault="00F7445A" w:rsidP="0085253E">
      <w:pPr>
        <w:pStyle w:val="paragraph"/>
      </w:pPr>
      <w:r w:rsidRPr="00F7445A">
        <w:tab/>
        <w:t>(a)</w:t>
      </w:r>
      <w:r w:rsidRPr="00F7445A">
        <w:tab/>
      </w:r>
      <w:r w:rsidR="00175104" w:rsidRPr="00B96FC8">
        <w:rPr>
          <w:i/>
        </w:rPr>
        <w:t>Appropriation Act (No. 1) 2012-2013</w:t>
      </w:r>
      <w:r w:rsidR="00175104" w:rsidRPr="00B96FC8">
        <w:t>; and</w:t>
      </w:r>
    </w:p>
    <w:p w:rsidR="00175104" w:rsidRPr="00B96FC8" w:rsidRDefault="00F7445A" w:rsidP="0085253E">
      <w:pPr>
        <w:pStyle w:val="paragraph"/>
      </w:pPr>
      <w:r w:rsidRPr="00F7445A">
        <w:tab/>
        <w:t>(b)</w:t>
      </w:r>
      <w:r w:rsidRPr="00F7445A">
        <w:tab/>
      </w:r>
      <w:r w:rsidR="00175104" w:rsidRPr="00B96FC8">
        <w:rPr>
          <w:i/>
        </w:rPr>
        <w:t>Appropriation Act (No. 1) 2008-2009</w:t>
      </w:r>
      <w:r w:rsidR="00175104" w:rsidRPr="00B96FC8">
        <w:t>; and</w:t>
      </w:r>
    </w:p>
    <w:p w:rsidR="00175104" w:rsidRPr="00B96FC8" w:rsidRDefault="00F7445A" w:rsidP="0085253E">
      <w:pPr>
        <w:pStyle w:val="paragraph"/>
      </w:pPr>
      <w:r w:rsidRPr="00F7445A">
        <w:tab/>
        <w:t>(c)</w:t>
      </w:r>
      <w:r w:rsidRPr="00F7445A">
        <w:tab/>
      </w:r>
      <w:r w:rsidR="00175104" w:rsidRPr="00B96FC8">
        <w:rPr>
          <w:i/>
        </w:rPr>
        <w:t>Appropriation Act (No. 3) 2008-2009</w:t>
      </w:r>
      <w:r w:rsidR="00175104" w:rsidRPr="00B96FC8">
        <w:t>; and</w:t>
      </w:r>
    </w:p>
    <w:p w:rsidR="00175104" w:rsidRPr="00B96FC8" w:rsidRDefault="00F7445A" w:rsidP="0085253E">
      <w:pPr>
        <w:pStyle w:val="paragraph"/>
      </w:pPr>
      <w:r w:rsidRPr="00F7445A">
        <w:tab/>
        <w:t>(d)</w:t>
      </w:r>
      <w:r w:rsidRPr="00F7445A">
        <w:tab/>
      </w:r>
      <w:r w:rsidR="00175104" w:rsidRPr="00B96FC8">
        <w:rPr>
          <w:i/>
        </w:rPr>
        <w:t>Appropriation Act (No. 3) 2006-2007</w:t>
      </w:r>
      <w:r w:rsidR="00175104" w:rsidRPr="00B96FC8">
        <w:t>.</w:t>
      </w:r>
    </w:p>
    <w:p w:rsidR="00175104" w:rsidRPr="0085253E" w:rsidRDefault="00175104" w:rsidP="0085253E">
      <w:pPr>
        <w:pStyle w:val="notetext"/>
      </w:pPr>
      <w:r w:rsidRPr="0085253E">
        <w:t>Note 1:</w:t>
      </w:r>
      <w:r w:rsidR="0085253E">
        <w:tab/>
      </w:r>
      <w:r w:rsidRPr="0085253E">
        <w:t xml:space="preserve">The amendments have a combined effect, on these 4 Appropriation Acts, that results in no change to the total amount appropriated. A single amount is added to the </w:t>
      </w:r>
      <w:r w:rsidR="00F7445A" w:rsidRPr="00F7445A">
        <w:t>departmental</w:t>
      </w:r>
      <w:r w:rsidR="00B96FC8">
        <w:t xml:space="preserve"> appropriation</w:t>
      </w:r>
      <w:r w:rsidR="00F7445A" w:rsidRPr="00F7445A">
        <w:t xml:space="preserve"> item of OPC, in</w:t>
      </w:r>
      <w:r w:rsidRPr="00B96FC8">
        <w:rPr>
          <w:i/>
        </w:rPr>
        <w:t xml:space="preserve"> </w:t>
      </w:r>
      <w:r w:rsidRPr="0085253E">
        <w:rPr>
          <w:i/>
        </w:rPr>
        <w:t>Appropriation Act (No. 1) 2012-2013</w:t>
      </w:r>
      <w:r w:rsidRPr="0085253E">
        <w:t xml:space="preserve">, that </w:t>
      </w:r>
      <w:r w:rsidR="0041662D">
        <w:t xml:space="preserve">is equal to </w:t>
      </w:r>
      <w:r w:rsidRPr="0085253E">
        <w:t>the sum of amounts transferred from 5 separate appropriation items, relating to AGD, as follows:</w:t>
      </w:r>
    </w:p>
    <w:p w:rsidR="00175104" w:rsidRPr="0085253E" w:rsidRDefault="00F7445A" w:rsidP="0085253E">
      <w:pPr>
        <w:pStyle w:val="notepara"/>
      </w:pPr>
      <w:r w:rsidRPr="00F7445A">
        <w:t>(a)</w:t>
      </w:r>
      <w:r w:rsidRPr="00F7445A">
        <w:tab/>
      </w:r>
      <w:r w:rsidR="0085253E" w:rsidRPr="0085253E">
        <w:t>a</w:t>
      </w:r>
      <w:r w:rsidR="00175104" w:rsidRPr="0085253E">
        <w:t xml:space="preserve">n amount from AGD’s departmental appropriation item, and also an amount from AGD’s administered appropriation item, in </w:t>
      </w:r>
      <w:r w:rsidR="00175104" w:rsidRPr="0085253E">
        <w:rPr>
          <w:i/>
        </w:rPr>
        <w:t>Appropriation Act (No. 1) 2012</w:t>
      </w:r>
      <w:r w:rsidR="00175104" w:rsidRPr="0085253E">
        <w:t>-2013; and</w:t>
      </w:r>
    </w:p>
    <w:p w:rsidR="00175104" w:rsidRPr="0085253E" w:rsidRDefault="0085253E" w:rsidP="0085253E">
      <w:pPr>
        <w:pStyle w:val="notepara"/>
      </w:pPr>
      <w:r>
        <w:t>(b)</w:t>
      </w:r>
      <w:r>
        <w:tab/>
        <w:t>a</w:t>
      </w:r>
      <w:r w:rsidR="00175104" w:rsidRPr="0085253E">
        <w:t>mounts from the remaining departmental appropriation item for AGD in 3 prior</w:t>
      </w:r>
      <w:r w:rsidR="00175104" w:rsidRPr="0085253E">
        <w:noBreakHyphen/>
        <w:t xml:space="preserve">year Acts: </w:t>
      </w:r>
      <w:r w:rsidR="00175104" w:rsidRPr="0085253E">
        <w:rPr>
          <w:i/>
        </w:rPr>
        <w:t>Appropriation Act (No. 1) 2008-2009</w:t>
      </w:r>
      <w:r w:rsidR="00175104" w:rsidRPr="0085253E">
        <w:t>;</w:t>
      </w:r>
      <w:r w:rsidR="00175104" w:rsidRPr="0085253E">
        <w:rPr>
          <w:i/>
        </w:rPr>
        <w:t xml:space="preserve"> Appropriation Act (No. 3) 2008-2009</w:t>
      </w:r>
      <w:r w:rsidR="00175104" w:rsidRPr="0085253E">
        <w:t>; and</w:t>
      </w:r>
      <w:r w:rsidR="00175104" w:rsidRPr="0085253E">
        <w:rPr>
          <w:i/>
        </w:rPr>
        <w:t xml:space="preserve"> Appropriation Act (No. 3) 2006</w:t>
      </w:r>
      <w:r w:rsidR="00175104" w:rsidRPr="0085253E">
        <w:t>-</w:t>
      </w:r>
      <w:r w:rsidR="00175104" w:rsidRPr="002454CF">
        <w:rPr>
          <w:i/>
        </w:rPr>
        <w:t>2007</w:t>
      </w:r>
      <w:r w:rsidR="00175104" w:rsidRPr="0085253E">
        <w:t>.</w:t>
      </w:r>
    </w:p>
    <w:p w:rsidR="00175104" w:rsidRPr="00175104" w:rsidRDefault="00175104" w:rsidP="00175104">
      <w:pPr>
        <w:pStyle w:val="ActHead5"/>
      </w:pPr>
      <w:r w:rsidRPr="00175104">
        <w:t>5  Definitions</w:t>
      </w:r>
    </w:p>
    <w:p w:rsidR="00175104" w:rsidRPr="00175104" w:rsidRDefault="00175104" w:rsidP="00175104">
      <w:pPr>
        <w:pStyle w:val="subsection"/>
      </w:pPr>
      <w:r>
        <w:tab/>
      </w:r>
      <w:r>
        <w:tab/>
      </w:r>
      <w:r w:rsidRPr="00175104">
        <w:t>In this Determination:</w:t>
      </w:r>
    </w:p>
    <w:p w:rsidR="00175104" w:rsidRPr="0085253E" w:rsidRDefault="00175104" w:rsidP="0085253E">
      <w:pPr>
        <w:pStyle w:val="Definition"/>
      </w:pPr>
      <w:r w:rsidRPr="0085253E">
        <w:rPr>
          <w:b/>
          <w:i/>
        </w:rPr>
        <w:t>AGD</w:t>
      </w:r>
      <w:r w:rsidRPr="0085253E">
        <w:t xml:space="preserve"> means the Attorney-General’s Department.</w:t>
      </w:r>
    </w:p>
    <w:p w:rsidR="00175104" w:rsidRPr="0085253E" w:rsidRDefault="00175104" w:rsidP="0085253E">
      <w:pPr>
        <w:pStyle w:val="Definition"/>
      </w:pPr>
      <w:r w:rsidRPr="0085253E">
        <w:rPr>
          <w:b/>
          <w:i/>
        </w:rPr>
        <w:t>OPC</w:t>
      </w:r>
      <w:r w:rsidRPr="0085253E">
        <w:t xml:space="preserve"> means the Office of Parliamentary Counsel.</w:t>
      </w:r>
    </w:p>
    <w:p w:rsidR="00175104" w:rsidRPr="0085253E" w:rsidRDefault="00175104" w:rsidP="0085253E">
      <w:pPr>
        <w:pStyle w:val="Definition"/>
      </w:pPr>
      <w:r w:rsidRPr="0085253E">
        <w:rPr>
          <w:b/>
          <w:i/>
        </w:rPr>
        <w:t>FMA Act</w:t>
      </w:r>
      <w:r w:rsidRPr="0085253E">
        <w:t xml:space="preserve"> means the </w:t>
      </w:r>
      <w:r w:rsidRPr="0085253E">
        <w:rPr>
          <w:i/>
        </w:rPr>
        <w:t>Financial Management and Accountability Act 1997</w:t>
      </w:r>
      <w:r w:rsidRPr="0085253E">
        <w:t>.</w:t>
      </w:r>
    </w:p>
    <w:p w:rsidR="00177177" w:rsidRPr="0041662D" w:rsidRDefault="0085253E" w:rsidP="00177177">
      <w:pPr>
        <w:pStyle w:val="ActHead6"/>
        <w:pageBreakBefore/>
      </w:pPr>
      <w:r>
        <w:lastRenderedPageBreak/>
        <w:t>Schedule</w:t>
      </w:r>
      <w:r w:rsidR="00177177" w:rsidRPr="00177177">
        <w:t xml:space="preserve"> 1—Amendment of </w:t>
      </w:r>
      <w:r w:rsidR="00F7445A">
        <w:t>Appropriation Act (No. 1) 2012</w:t>
      </w:r>
      <w:r w:rsidR="00F7445A">
        <w:noBreakHyphen/>
        <w:t>2013</w:t>
      </w:r>
    </w:p>
    <w:p w:rsidR="00177177" w:rsidRPr="0060183A" w:rsidRDefault="00177177" w:rsidP="00177177">
      <w:pPr>
        <w:pStyle w:val="ItemHead"/>
      </w:pPr>
      <w:r w:rsidRPr="003B370F">
        <w:t>1</w:t>
      </w:r>
      <w:r>
        <w:t xml:space="preserve">  </w:t>
      </w:r>
      <w:r w:rsidRPr="003B370F">
        <w:t xml:space="preserve">At the end of Schedule 1, </w:t>
      </w:r>
      <w:r w:rsidRPr="003B370F">
        <w:rPr>
          <w:bCs/>
        </w:rPr>
        <w:t>on a new page</w:t>
      </w:r>
    </w:p>
    <w:p w:rsidR="00177177" w:rsidRPr="0060183A" w:rsidRDefault="00177177" w:rsidP="00177177">
      <w:pPr>
        <w:pStyle w:val="Item"/>
      </w:pPr>
      <w:r w:rsidRPr="0060183A">
        <w:t>Insert</w:t>
      </w:r>
      <w:r>
        <w:t>:</w:t>
      </w:r>
    </w:p>
    <w:p w:rsidR="00177177" w:rsidRPr="0041662D" w:rsidRDefault="00177177" w:rsidP="00177177">
      <w:pPr>
        <w:pStyle w:val="ActHead6"/>
      </w:pPr>
      <w:r w:rsidRPr="00177177">
        <w:t>Amendment of Schedule 1 arising from Determination</w:t>
      </w:r>
      <w:r w:rsidR="00AF371C">
        <w:t>(s)</w:t>
      </w:r>
      <w:r w:rsidRPr="00177177">
        <w:t xml:space="preserve"> under section 32 of the </w:t>
      </w:r>
      <w:r w:rsidR="00F7445A">
        <w:t>Financial Management and Accountability Act 1997</w:t>
      </w:r>
    </w:p>
    <w:p w:rsidR="00177177" w:rsidRPr="008C1370" w:rsidRDefault="00177177" w:rsidP="00177177">
      <w:pPr>
        <w:pStyle w:val="ItemHead"/>
      </w:pPr>
      <w:r>
        <w:t xml:space="preserve">1  FMA Act Determination </w:t>
      </w:r>
      <w:r>
        <w:rPr>
          <w:noProof/>
        </w:rPr>
        <w:t xml:space="preserve">2013/02 — </w:t>
      </w:r>
      <w:r>
        <w:t>Section 32 (Transfer of Functions from AGD to OPC</w:t>
      </w:r>
      <w:r w:rsidRPr="00B97560">
        <w:t>)</w:t>
      </w:r>
    </w:p>
    <w:p w:rsidR="00177177" w:rsidRDefault="00177177" w:rsidP="00177177">
      <w:pPr>
        <w:pStyle w:val="Item"/>
      </w:pPr>
      <w:r w:rsidRPr="00B97560">
        <w:t xml:space="preserve">Schedule 1 of this Act is amended </w:t>
      </w:r>
      <w:r>
        <w:t>in accordance with</w:t>
      </w:r>
      <w:r w:rsidRPr="00B97560">
        <w:t xml:space="preserve"> subsection 32(2) of the </w:t>
      </w:r>
      <w:r w:rsidRPr="00B97560">
        <w:rPr>
          <w:i/>
        </w:rPr>
        <w:t>Financial Management and Accountability Act 1997</w:t>
      </w:r>
      <w:r w:rsidRPr="00B97560">
        <w:t xml:space="preserve"> (FMA Act). </w:t>
      </w:r>
      <w:r>
        <w:t>A</w:t>
      </w:r>
      <w:r w:rsidRPr="00B97560">
        <w:t xml:space="preserve">mendments to appropriations are as specified in </w:t>
      </w:r>
      <w:r>
        <w:t xml:space="preserve">the following table. The appropriation </w:t>
      </w:r>
      <w:r w:rsidRPr="00B97560">
        <w:t xml:space="preserve">item </w:t>
      </w:r>
      <w:r>
        <w:t>(</w:t>
      </w:r>
      <w:r w:rsidRPr="00B97560">
        <w:t>listed in Column 1</w:t>
      </w:r>
      <w:r>
        <w:t>)</w:t>
      </w:r>
      <w:r w:rsidRPr="00B97560">
        <w:t xml:space="preserve"> for the </w:t>
      </w:r>
      <w:r>
        <w:t>Agency</w:t>
      </w:r>
      <w:r w:rsidRPr="00B97560">
        <w:t xml:space="preserve"> </w:t>
      </w:r>
      <w:r>
        <w:t>(</w:t>
      </w:r>
      <w:r w:rsidRPr="00B97560">
        <w:t>listed in Column 2</w:t>
      </w:r>
      <w:r>
        <w:t xml:space="preserve">) is </w:t>
      </w:r>
      <w:r w:rsidRPr="00B97560">
        <w:t xml:space="preserve">amended by the </w:t>
      </w:r>
      <w:r>
        <w:t xml:space="preserve">relevant </w:t>
      </w:r>
      <w:r w:rsidRPr="00B97560">
        <w:t xml:space="preserve">amount </w:t>
      </w:r>
      <w:r>
        <w:t>(</w:t>
      </w:r>
      <w:r w:rsidRPr="00B97560">
        <w:t>listed in Column 3</w:t>
      </w:r>
      <w:r>
        <w:t>)</w:t>
      </w:r>
      <w:r w:rsidRPr="00B97560">
        <w:t>.</w:t>
      </w:r>
      <w:r>
        <w:t xml:space="preserve"> A positive amount in Column 3 is an increase in the appropriation and a negative amount is a decrease in the appropriation.</w:t>
      </w:r>
    </w:p>
    <w:p w:rsidR="00AF371C" w:rsidRPr="00163EBD" w:rsidRDefault="00163EBD" w:rsidP="00AF371C">
      <w:pPr>
        <w:rPr>
          <w:b/>
        </w:rPr>
      </w:pPr>
      <w:r w:rsidRPr="00163EBD">
        <w:rPr>
          <w:b/>
        </w:rPr>
        <w:t>Table 1</w:t>
      </w:r>
    </w:p>
    <w:p w:rsidR="00163EBD" w:rsidRPr="00AF371C" w:rsidRDefault="00163EBD" w:rsidP="00AF371C"/>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3109"/>
        <w:gridCol w:w="2976"/>
        <w:gridCol w:w="2228"/>
      </w:tblGrid>
      <w:tr w:rsidR="00177177" w:rsidRPr="006F4315" w:rsidTr="00177177">
        <w:trPr>
          <w:tblHeader/>
        </w:trPr>
        <w:tc>
          <w:tcPr>
            <w:tcW w:w="9027" w:type="dxa"/>
            <w:gridSpan w:val="4"/>
            <w:tcBorders>
              <w:top w:val="single" w:sz="12" w:space="0" w:color="auto"/>
              <w:bottom w:val="single" w:sz="6" w:space="0" w:color="auto"/>
            </w:tcBorders>
            <w:shd w:val="clear" w:color="auto" w:fill="auto"/>
          </w:tcPr>
          <w:p w:rsidR="00177177" w:rsidRDefault="00177177" w:rsidP="00177177">
            <w:pPr>
              <w:pStyle w:val="TableHeading"/>
            </w:pPr>
            <w:r>
              <w:t>Amendment of appropriations</w:t>
            </w:r>
          </w:p>
        </w:tc>
      </w:tr>
      <w:tr w:rsidR="00177177" w:rsidRPr="006F4315" w:rsidTr="00AF371C">
        <w:trPr>
          <w:tblHeader/>
        </w:trPr>
        <w:tc>
          <w:tcPr>
            <w:tcW w:w="714" w:type="dxa"/>
            <w:tcBorders>
              <w:top w:val="single" w:sz="6" w:space="0" w:color="auto"/>
              <w:bottom w:val="single" w:sz="6" w:space="0" w:color="auto"/>
            </w:tcBorders>
            <w:shd w:val="clear" w:color="auto" w:fill="auto"/>
          </w:tcPr>
          <w:p w:rsidR="00177177" w:rsidRDefault="00177177" w:rsidP="00177177">
            <w:pPr>
              <w:pStyle w:val="TableHeading"/>
            </w:pPr>
          </w:p>
        </w:tc>
        <w:tc>
          <w:tcPr>
            <w:tcW w:w="3109" w:type="dxa"/>
            <w:tcBorders>
              <w:top w:val="single" w:sz="6" w:space="0" w:color="auto"/>
              <w:bottom w:val="single" w:sz="6" w:space="0" w:color="auto"/>
            </w:tcBorders>
            <w:shd w:val="clear" w:color="auto" w:fill="auto"/>
          </w:tcPr>
          <w:p w:rsidR="00177177" w:rsidRDefault="00177177" w:rsidP="00177177">
            <w:pPr>
              <w:pStyle w:val="TableHeading"/>
            </w:pPr>
            <w:r>
              <w:t>Column 1</w:t>
            </w:r>
          </w:p>
        </w:tc>
        <w:tc>
          <w:tcPr>
            <w:tcW w:w="2976" w:type="dxa"/>
            <w:tcBorders>
              <w:top w:val="single" w:sz="6" w:space="0" w:color="auto"/>
              <w:bottom w:val="single" w:sz="6" w:space="0" w:color="auto"/>
            </w:tcBorders>
            <w:shd w:val="clear" w:color="auto" w:fill="auto"/>
          </w:tcPr>
          <w:p w:rsidR="00177177" w:rsidRDefault="00177177" w:rsidP="00177177">
            <w:pPr>
              <w:pStyle w:val="TableHeading"/>
            </w:pPr>
            <w:r>
              <w:t>Column 2</w:t>
            </w:r>
          </w:p>
        </w:tc>
        <w:tc>
          <w:tcPr>
            <w:tcW w:w="2228" w:type="dxa"/>
            <w:tcBorders>
              <w:top w:val="single" w:sz="6" w:space="0" w:color="auto"/>
              <w:bottom w:val="single" w:sz="6" w:space="0" w:color="auto"/>
            </w:tcBorders>
            <w:shd w:val="clear" w:color="auto" w:fill="auto"/>
          </w:tcPr>
          <w:p w:rsidR="00177177" w:rsidRDefault="00177177" w:rsidP="00177177">
            <w:pPr>
              <w:pStyle w:val="TableHeading"/>
            </w:pPr>
            <w:r>
              <w:t>Column 3</w:t>
            </w:r>
          </w:p>
        </w:tc>
      </w:tr>
      <w:tr w:rsidR="00177177" w:rsidRPr="006F4315" w:rsidTr="00AF371C">
        <w:trPr>
          <w:tblHeader/>
        </w:trPr>
        <w:tc>
          <w:tcPr>
            <w:tcW w:w="714" w:type="dxa"/>
            <w:tcBorders>
              <w:top w:val="single" w:sz="6" w:space="0" w:color="auto"/>
              <w:bottom w:val="single" w:sz="12" w:space="0" w:color="auto"/>
            </w:tcBorders>
            <w:shd w:val="clear" w:color="auto" w:fill="auto"/>
          </w:tcPr>
          <w:p w:rsidR="00177177" w:rsidRDefault="00177177" w:rsidP="00177177">
            <w:pPr>
              <w:pStyle w:val="TableHeading"/>
            </w:pPr>
            <w:r>
              <w:t>Item</w:t>
            </w:r>
          </w:p>
        </w:tc>
        <w:tc>
          <w:tcPr>
            <w:tcW w:w="3109" w:type="dxa"/>
            <w:tcBorders>
              <w:top w:val="single" w:sz="6" w:space="0" w:color="auto"/>
              <w:bottom w:val="single" w:sz="12" w:space="0" w:color="auto"/>
            </w:tcBorders>
            <w:shd w:val="clear" w:color="auto" w:fill="auto"/>
          </w:tcPr>
          <w:p w:rsidR="00177177" w:rsidRDefault="00177177" w:rsidP="00177177">
            <w:pPr>
              <w:pStyle w:val="TableHeading"/>
            </w:pPr>
            <w:r>
              <w:t>Appropriation item</w:t>
            </w:r>
          </w:p>
        </w:tc>
        <w:tc>
          <w:tcPr>
            <w:tcW w:w="2976" w:type="dxa"/>
            <w:tcBorders>
              <w:top w:val="single" w:sz="6" w:space="0" w:color="auto"/>
              <w:bottom w:val="single" w:sz="12" w:space="0" w:color="auto"/>
            </w:tcBorders>
            <w:shd w:val="clear" w:color="auto" w:fill="auto"/>
          </w:tcPr>
          <w:p w:rsidR="00177177" w:rsidRDefault="00177177" w:rsidP="00177177">
            <w:pPr>
              <w:pStyle w:val="TableHeading"/>
            </w:pPr>
            <w:r>
              <w:t>Agency</w:t>
            </w:r>
          </w:p>
        </w:tc>
        <w:tc>
          <w:tcPr>
            <w:tcW w:w="2228" w:type="dxa"/>
            <w:tcBorders>
              <w:top w:val="single" w:sz="6" w:space="0" w:color="auto"/>
              <w:bottom w:val="single" w:sz="12" w:space="0" w:color="auto"/>
            </w:tcBorders>
            <w:shd w:val="clear" w:color="auto" w:fill="auto"/>
          </w:tcPr>
          <w:p w:rsidR="00177177" w:rsidRDefault="00177177" w:rsidP="00AF371C">
            <w:pPr>
              <w:pStyle w:val="TableHeading"/>
              <w:jc w:val="right"/>
            </w:pPr>
            <w:r>
              <w:t>Amount $’000</w:t>
            </w:r>
          </w:p>
        </w:tc>
      </w:tr>
      <w:tr w:rsidR="00177177" w:rsidRPr="006F4315" w:rsidTr="00AF371C">
        <w:tc>
          <w:tcPr>
            <w:tcW w:w="714" w:type="dxa"/>
            <w:tcBorders>
              <w:top w:val="single" w:sz="12" w:space="0" w:color="auto"/>
            </w:tcBorders>
            <w:shd w:val="clear" w:color="auto" w:fill="auto"/>
          </w:tcPr>
          <w:p w:rsidR="00177177" w:rsidRDefault="00177177" w:rsidP="00177177">
            <w:pPr>
              <w:pStyle w:val="Tabletext"/>
            </w:pPr>
            <w:r>
              <w:t>1</w:t>
            </w:r>
          </w:p>
        </w:tc>
        <w:tc>
          <w:tcPr>
            <w:tcW w:w="3109" w:type="dxa"/>
            <w:tcBorders>
              <w:top w:val="single" w:sz="12" w:space="0" w:color="auto"/>
            </w:tcBorders>
            <w:shd w:val="clear" w:color="auto" w:fill="auto"/>
          </w:tcPr>
          <w:p w:rsidR="00177177" w:rsidRDefault="00177177" w:rsidP="00177177">
            <w:pPr>
              <w:pStyle w:val="Tabletext"/>
            </w:pPr>
            <w:r>
              <w:t>Departmental item</w:t>
            </w:r>
          </w:p>
        </w:tc>
        <w:tc>
          <w:tcPr>
            <w:tcW w:w="2976" w:type="dxa"/>
            <w:tcBorders>
              <w:top w:val="single" w:sz="12" w:space="0" w:color="auto"/>
            </w:tcBorders>
            <w:shd w:val="clear" w:color="auto" w:fill="auto"/>
          </w:tcPr>
          <w:p w:rsidR="00177177" w:rsidRDefault="00177177" w:rsidP="00177177">
            <w:pPr>
              <w:pStyle w:val="Tabletext"/>
            </w:pPr>
            <w:r>
              <w:t>Office of Parliamentary Counsel</w:t>
            </w:r>
          </w:p>
        </w:tc>
        <w:tc>
          <w:tcPr>
            <w:tcW w:w="2228" w:type="dxa"/>
            <w:tcBorders>
              <w:top w:val="single" w:sz="12" w:space="0" w:color="auto"/>
            </w:tcBorders>
            <w:shd w:val="clear" w:color="auto" w:fill="auto"/>
          </w:tcPr>
          <w:p w:rsidR="008001E2" w:rsidRDefault="00AF371C">
            <w:pPr>
              <w:pStyle w:val="Tabletext"/>
              <w:jc w:val="right"/>
            </w:pPr>
            <w:r w:rsidRPr="00AF371C">
              <w:t>+7,311</w:t>
            </w:r>
          </w:p>
        </w:tc>
      </w:tr>
      <w:tr w:rsidR="00177177" w:rsidRPr="006F4315" w:rsidTr="00AF371C">
        <w:tc>
          <w:tcPr>
            <w:tcW w:w="714" w:type="dxa"/>
            <w:shd w:val="clear" w:color="auto" w:fill="auto"/>
          </w:tcPr>
          <w:p w:rsidR="00177177" w:rsidRPr="00AF371C" w:rsidRDefault="00177177" w:rsidP="00177177">
            <w:pPr>
              <w:pStyle w:val="Tabletext"/>
            </w:pPr>
            <w:r w:rsidRPr="00AF371C">
              <w:t>2</w:t>
            </w:r>
          </w:p>
        </w:tc>
        <w:tc>
          <w:tcPr>
            <w:tcW w:w="3109" w:type="dxa"/>
            <w:shd w:val="clear" w:color="auto" w:fill="auto"/>
          </w:tcPr>
          <w:p w:rsidR="00177177" w:rsidRPr="00AF371C" w:rsidRDefault="00177177" w:rsidP="00177177">
            <w:pPr>
              <w:pStyle w:val="Tabletext"/>
            </w:pPr>
            <w:r w:rsidRPr="00AF371C">
              <w:t>Departmental item</w:t>
            </w:r>
          </w:p>
        </w:tc>
        <w:tc>
          <w:tcPr>
            <w:tcW w:w="2976" w:type="dxa"/>
            <w:shd w:val="clear" w:color="auto" w:fill="auto"/>
          </w:tcPr>
          <w:p w:rsidR="00177177" w:rsidRPr="00AF371C" w:rsidRDefault="00177177" w:rsidP="00177177">
            <w:pPr>
              <w:pStyle w:val="Tabletext"/>
            </w:pPr>
            <w:r w:rsidRPr="00AF371C">
              <w:t>Attorney-General’s Department</w:t>
            </w:r>
          </w:p>
        </w:tc>
        <w:tc>
          <w:tcPr>
            <w:tcW w:w="2228" w:type="dxa"/>
            <w:shd w:val="clear" w:color="auto" w:fill="auto"/>
          </w:tcPr>
          <w:p w:rsidR="008001E2" w:rsidRDefault="00AF371C">
            <w:pPr>
              <w:pStyle w:val="Tabletext"/>
              <w:jc w:val="right"/>
            </w:pPr>
            <w:r w:rsidRPr="00AF371C">
              <w:t>-3,466</w:t>
            </w:r>
          </w:p>
        </w:tc>
      </w:tr>
      <w:tr w:rsidR="00177177" w:rsidRPr="006F4315" w:rsidTr="00AF371C">
        <w:tc>
          <w:tcPr>
            <w:tcW w:w="714" w:type="dxa"/>
            <w:tcBorders>
              <w:bottom w:val="single" w:sz="12" w:space="0" w:color="auto"/>
            </w:tcBorders>
            <w:shd w:val="clear" w:color="auto" w:fill="auto"/>
          </w:tcPr>
          <w:p w:rsidR="00177177" w:rsidRPr="00AF371C" w:rsidRDefault="00177177" w:rsidP="00177177">
            <w:pPr>
              <w:pStyle w:val="Tabletext"/>
            </w:pPr>
            <w:r w:rsidRPr="00AF371C">
              <w:t>3</w:t>
            </w:r>
          </w:p>
        </w:tc>
        <w:tc>
          <w:tcPr>
            <w:tcW w:w="3109" w:type="dxa"/>
            <w:tcBorders>
              <w:bottom w:val="single" w:sz="12" w:space="0" w:color="auto"/>
            </w:tcBorders>
            <w:shd w:val="clear" w:color="auto" w:fill="auto"/>
          </w:tcPr>
          <w:p w:rsidR="00177177" w:rsidRPr="00AF371C" w:rsidRDefault="00177177" w:rsidP="00177177">
            <w:pPr>
              <w:pStyle w:val="Tabletext"/>
            </w:pPr>
            <w:r w:rsidRPr="00AF371C">
              <w:t>Outcome 1, Administered item</w:t>
            </w:r>
          </w:p>
        </w:tc>
        <w:tc>
          <w:tcPr>
            <w:tcW w:w="2976" w:type="dxa"/>
            <w:tcBorders>
              <w:bottom w:val="single" w:sz="12" w:space="0" w:color="auto"/>
            </w:tcBorders>
            <w:shd w:val="clear" w:color="auto" w:fill="auto"/>
          </w:tcPr>
          <w:p w:rsidR="00177177" w:rsidRPr="00AF371C" w:rsidRDefault="00177177" w:rsidP="00A62168">
            <w:pPr>
              <w:pStyle w:val="Tabletext"/>
            </w:pPr>
            <w:r w:rsidRPr="00AF371C">
              <w:t>Attorney-General’s Department</w:t>
            </w:r>
          </w:p>
        </w:tc>
        <w:tc>
          <w:tcPr>
            <w:tcW w:w="2228" w:type="dxa"/>
            <w:tcBorders>
              <w:bottom w:val="single" w:sz="12" w:space="0" w:color="auto"/>
            </w:tcBorders>
            <w:shd w:val="clear" w:color="auto" w:fill="auto"/>
          </w:tcPr>
          <w:p w:rsidR="008001E2" w:rsidRDefault="00AF371C">
            <w:pPr>
              <w:pStyle w:val="Tabletext"/>
              <w:jc w:val="right"/>
            </w:pPr>
            <w:r w:rsidRPr="00AF371C">
              <w:t>-1,229</w:t>
            </w:r>
          </w:p>
        </w:tc>
      </w:tr>
    </w:tbl>
    <w:p w:rsidR="00177177" w:rsidRDefault="00177177" w:rsidP="00AF371C">
      <w:pPr>
        <w:pStyle w:val="notetext"/>
      </w:pPr>
      <w:r w:rsidRPr="00AF371C">
        <w:t>Note:</w:t>
      </w:r>
      <w:r w:rsidR="00AF371C">
        <w:tab/>
      </w:r>
      <w:r w:rsidRPr="00C05B8D">
        <w:t>Subsection 32(2) of the FMA Act enables the Finance Minister to determine that Schedules to Appropriation Acts are amended to reflect a transfer of functions between Agencies</w:t>
      </w:r>
      <w:r>
        <w:t xml:space="preserve">. </w:t>
      </w:r>
      <w:r w:rsidR="00EC5544">
        <w:t>A </w:t>
      </w:r>
      <w:r w:rsidRPr="00C05B8D">
        <w:t xml:space="preserve">determination </w:t>
      </w:r>
      <w:r>
        <w:t xml:space="preserve">under subsection 32(2) of the FMA Act </w:t>
      </w:r>
      <w:r w:rsidRPr="00C05B8D">
        <w:t xml:space="preserve">cannot result in a change </w:t>
      </w:r>
      <w:r>
        <w:t xml:space="preserve">to </w:t>
      </w:r>
      <w:r w:rsidRPr="00C05B8D">
        <w:t>the total amount appropriated.</w:t>
      </w:r>
      <w:r>
        <w:t xml:space="preserve"> </w:t>
      </w:r>
      <w:r w:rsidRPr="00C05B8D">
        <w:rPr>
          <w:i/>
        </w:rPr>
        <w:t>FMA</w:t>
      </w:r>
      <w:r>
        <w:rPr>
          <w:i/>
        </w:rPr>
        <w:t> </w:t>
      </w:r>
      <w:r w:rsidRPr="00C05B8D">
        <w:rPr>
          <w:i/>
        </w:rPr>
        <w:t xml:space="preserve">Act Determination 2013/02 — Section 32 (Transfer of Functions from AGD to OPC) </w:t>
      </w:r>
      <w:r w:rsidRPr="00C05B8D">
        <w:t xml:space="preserve">affects </w:t>
      </w:r>
      <w:r w:rsidR="0041662D">
        <w:t>this Act</w:t>
      </w:r>
      <w:r>
        <w:t xml:space="preserve">, in combination with 3 </w:t>
      </w:r>
      <w:r w:rsidRPr="00C05B8D">
        <w:t>other Appropriation Acts</w:t>
      </w:r>
      <w:r>
        <w:t xml:space="preserve">, </w:t>
      </w:r>
      <w:r w:rsidRPr="00C05B8D">
        <w:t xml:space="preserve">in </w:t>
      </w:r>
      <w:r>
        <w:t xml:space="preserve">a specified way to </w:t>
      </w:r>
      <w:r w:rsidRPr="00C05B8D">
        <w:t>result</w:t>
      </w:r>
      <w:r>
        <w:t xml:space="preserve"> in no</w:t>
      </w:r>
      <w:r w:rsidRPr="00C05B8D">
        <w:t xml:space="preserve"> change </w:t>
      </w:r>
      <w:r>
        <w:t>to the total amount appropriated.</w:t>
      </w:r>
    </w:p>
    <w:p w:rsidR="00177177" w:rsidRPr="00AF371C" w:rsidRDefault="00177177" w:rsidP="00AF371C">
      <w:pPr>
        <w:pStyle w:val="ItemHead"/>
      </w:pPr>
      <w:r w:rsidRPr="00AF371C">
        <w:t>2</w:t>
      </w:r>
      <w:r w:rsidR="00AF371C" w:rsidRPr="00AF371C">
        <w:t xml:space="preserve">  </w:t>
      </w:r>
      <w:r w:rsidRPr="00AF371C">
        <w:t>Schedule 1, Attorney-General’s portfolio, after the Attorney-General’s Department table</w:t>
      </w:r>
    </w:p>
    <w:p w:rsidR="00177177" w:rsidRPr="00AF371C" w:rsidRDefault="00177177" w:rsidP="00AF371C">
      <w:pPr>
        <w:pStyle w:val="Item"/>
      </w:pPr>
      <w:r w:rsidRPr="0060183A">
        <w:t>Insert</w:t>
      </w:r>
      <w:r w:rsidR="00AF371C">
        <w:t>:</w:t>
      </w:r>
    </w:p>
    <w:p w:rsidR="00177177" w:rsidRPr="00AF371C" w:rsidRDefault="00177177" w:rsidP="00AF371C">
      <w:pPr>
        <w:pStyle w:val="notetext"/>
      </w:pPr>
      <w:r w:rsidRPr="00AF371C">
        <w:t>Note </w:t>
      </w:r>
      <w:r w:rsidR="003C07D0">
        <w:t>1</w:t>
      </w:r>
      <w:r w:rsidRPr="00AF371C">
        <w:t>:</w:t>
      </w:r>
      <w:r w:rsidR="00AF371C">
        <w:tab/>
      </w:r>
      <w:r w:rsidR="003C07D0" w:rsidRPr="00A50789">
        <w:rPr>
          <w:i/>
          <w:szCs w:val="18"/>
        </w:rPr>
        <w:t>FMA Act Determination 2013/02 — Section 32 (Transfer of Functions from AGD to OPC)</w:t>
      </w:r>
      <w:r w:rsidR="003C07D0" w:rsidRPr="00A50789">
        <w:rPr>
          <w:szCs w:val="18"/>
        </w:rPr>
        <w:t xml:space="preserve"> reduced the departmental item</w:t>
      </w:r>
      <w:r w:rsidR="003C07D0" w:rsidRPr="00A50789" w:rsidDel="007F010D">
        <w:rPr>
          <w:szCs w:val="18"/>
        </w:rPr>
        <w:t xml:space="preserve"> </w:t>
      </w:r>
      <w:r w:rsidR="003C07D0" w:rsidRPr="00A50789">
        <w:rPr>
          <w:szCs w:val="18"/>
        </w:rPr>
        <w:t xml:space="preserve">and the Outcome 1 administered item for the Attorney-General’s Department (AGD) in accordance with Table 1 </w:t>
      </w:r>
      <w:r w:rsidR="00EC7BF1">
        <w:rPr>
          <w:szCs w:val="18"/>
        </w:rPr>
        <w:t>at the end of</w:t>
      </w:r>
      <w:r w:rsidR="003C07D0" w:rsidRPr="00A50789">
        <w:rPr>
          <w:szCs w:val="18"/>
        </w:rPr>
        <w:t xml:space="preserve"> Schedule </w:t>
      </w:r>
      <w:r w:rsidR="003C07D0">
        <w:rPr>
          <w:szCs w:val="18"/>
        </w:rPr>
        <w:t>1</w:t>
      </w:r>
      <w:r w:rsidR="003C07D0" w:rsidRPr="00A50789">
        <w:rPr>
          <w:szCs w:val="18"/>
        </w:rPr>
        <w:t xml:space="preserve"> to this Act.</w:t>
      </w:r>
      <w:r w:rsidRPr="00AF371C">
        <w:t xml:space="preserve"> This change was made to implement the transfer of functions (relating to the former Office of Legislative Drafting and Publishing) from AGD to the Office of Parliamentary Counsel (OPC), as implemented through a change made to the </w:t>
      </w:r>
      <w:r w:rsidRPr="00AF371C">
        <w:rPr>
          <w:i/>
        </w:rPr>
        <w:t>Parliamentary Counsel Act 1970</w:t>
      </w:r>
      <w:r w:rsidRPr="00AF371C">
        <w:t xml:space="preserve"> on 1 October 2012. The amount</w:t>
      </w:r>
      <w:r w:rsidR="00EC5544">
        <w:t>s</w:t>
      </w:r>
      <w:r w:rsidRPr="00AF371C">
        <w:t xml:space="preserve"> transferred from the departmental item </w:t>
      </w:r>
      <w:r w:rsidR="00EC5544">
        <w:t xml:space="preserve">and the Outcome 1 administered item </w:t>
      </w:r>
      <w:r w:rsidRPr="00AF371C">
        <w:t xml:space="preserve">for AGD </w:t>
      </w:r>
      <w:r w:rsidR="00EC5544" w:rsidRPr="00AF371C">
        <w:t>w</w:t>
      </w:r>
      <w:r w:rsidR="00EC5544">
        <w:t>ere</w:t>
      </w:r>
      <w:r w:rsidR="00EC5544" w:rsidRPr="00AF371C">
        <w:t xml:space="preserve"> </w:t>
      </w:r>
      <w:r w:rsidRPr="00AF371C">
        <w:t xml:space="preserve">a component of an increase to the departmental item for OPC in </w:t>
      </w:r>
      <w:r w:rsidR="0041662D">
        <w:t>this Act</w:t>
      </w:r>
      <w:r w:rsidRPr="00AF371C">
        <w:t>.</w:t>
      </w:r>
    </w:p>
    <w:p w:rsidR="00177177" w:rsidRPr="0060183A" w:rsidRDefault="00177177" w:rsidP="00AF371C">
      <w:pPr>
        <w:pStyle w:val="ItemHead"/>
      </w:pPr>
      <w:r w:rsidRPr="0060183A">
        <w:t>3</w:t>
      </w:r>
      <w:r w:rsidR="00AF371C">
        <w:t xml:space="preserve">  </w:t>
      </w:r>
      <w:r w:rsidRPr="0060183A">
        <w:t xml:space="preserve">Schedule 1, Attorney-General’s portfolio, after the </w:t>
      </w:r>
      <w:r w:rsidRPr="0060183A">
        <w:rPr>
          <w:bCs/>
        </w:rPr>
        <w:t xml:space="preserve">Office of Parliamentary Counsel </w:t>
      </w:r>
      <w:r w:rsidRPr="0060183A">
        <w:t>table</w:t>
      </w:r>
    </w:p>
    <w:p w:rsidR="00177177" w:rsidRPr="00AF371C" w:rsidRDefault="00177177" w:rsidP="00AF371C">
      <w:pPr>
        <w:pStyle w:val="Item"/>
      </w:pPr>
      <w:r w:rsidRPr="00AF371C">
        <w:t>Insert</w:t>
      </w:r>
      <w:r w:rsidR="00AF371C">
        <w:t>:</w:t>
      </w:r>
    </w:p>
    <w:p w:rsidR="00177177" w:rsidRPr="00AF371C" w:rsidRDefault="00177177" w:rsidP="00AF371C">
      <w:pPr>
        <w:pStyle w:val="notetext"/>
      </w:pPr>
      <w:r w:rsidRPr="00AF371C">
        <w:t>Note </w:t>
      </w:r>
      <w:r w:rsidR="00AF371C" w:rsidRPr="00AF371C">
        <w:t>1</w:t>
      </w:r>
      <w:r w:rsidRPr="00AF371C">
        <w:t>:</w:t>
      </w:r>
      <w:r w:rsidR="00AF371C">
        <w:tab/>
      </w:r>
      <w:r w:rsidRPr="00AF371C">
        <w:rPr>
          <w:i/>
        </w:rPr>
        <w:t xml:space="preserve">FMA Act Determination 2013/02 — Section 32 (Transfer of Functions from AGD to OPC) </w:t>
      </w:r>
      <w:r w:rsidRPr="00AF371C">
        <w:t xml:space="preserve">increased the departmental item for the Office of Parliamentary Counsel (OPC) in accordance with Table 1 at the end of Schedule 1 to this Act. These changes were made to implement a transfer of functions (relating to the former Office of Legislative Drafting and Publishing) from the Attorney-General’s Department (AGD) to OPC, as implemented through a change made to the </w:t>
      </w:r>
      <w:r w:rsidRPr="00AF371C">
        <w:rPr>
          <w:i/>
        </w:rPr>
        <w:t>Parliamentary Counsel Act 1970</w:t>
      </w:r>
      <w:r w:rsidRPr="00AF371C">
        <w:t xml:space="preserve"> on 1 October 2012. </w:t>
      </w:r>
    </w:p>
    <w:p w:rsidR="00EC5544" w:rsidRPr="0041662D" w:rsidRDefault="00EC5544" w:rsidP="00EC5544">
      <w:pPr>
        <w:pStyle w:val="ActHead6"/>
        <w:pageBreakBefore/>
      </w:pPr>
      <w:r>
        <w:lastRenderedPageBreak/>
        <w:t>Schedule</w:t>
      </w:r>
      <w:r w:rsidRPr="00177177">
        <w:t xml:space="preserve"> </w:t>
      </w:r>
      <w:r>
        <w:t>2</w:t>
      </w:r>
      <w:r w:rsidRPr="00177177">
        <w:t xml:space="preserve">—Amendment of </w:t>
      </w:r>
      <w:r w:rsidR="00F7445A" w:rsidRPr="00F7445A">
        <w:t>Appropriation Act (No. 1) 2008</w:t>
      </w:r>
      <w:r w:rsidR="00F7445A" w:rsidRPr="00F7445A">
        <w:noBreakHyphen/>
        <w:t>2009</w:t>
      </w:r>
    </w:p>
    <w:p w:rsidR="00EC5544" w:rsidRPr="0060183A" w:rsidRDefault="00EC5544" w:rsidP="00EC5544">
      <w:pPr>
        <w:pStyle w:val="ItemHead"/>
      </w:pPr>
      <w:r w:rsidRPr="003B370F">
        <w:t>1</w:t>
      </w:r>
      <w:r>
        <w:t xml:space="preserve">  </w:t>
      </w:r>
      <w:r w:rsidRPr="003B370F">
        <w:t xml:space="preserve">At the end of Schedule 1, </w:t>
      </w:r>
      <w:r w:rsidRPr="003B370F">
        <w:rPr>
          <w:bCs/>
        </w:rPr>
        <w:t>on a new page</w:t>
      </w:r>
    </w:p>
    <w:p w:rsidR="00EC5544" w:rsidRPr="0060183A" w:rsidRDefault="00EC5544" w:rsidP="00EC5544">
      <w:pPr>
        <w:pStyle w:val="Item"/>
      </w:pPr>
      <w:r w:rsidRPr="0060183A">
        <w:t>Insert</w:t>
      </w:r>
      <w:r>
        <w:t>:</w:t>
      </w:r>
    </w:p>
    <w:p w:rsidR="00EC5544" w:rsidRPr="0041662D" w:rsidRDefault="00EC5544" w:rsidP="00EC5544">
      <w:pPr>
        <w:pStyle w:val="ActHead6"/>
      </w:pPr>
      <w:r w:rsidRPr="00177177">
        <w:t>Amendment of Schedule 1 arising from Determination</w:t>
      </w:r>
      <w:r>
        <w:t>(s)</w:t>
      </w:r>
      <w:r w:rsidRPr="00177177">
        <w:t xml:space="preserve"> under section 32 of the </w:t>
      </w:r>
      <w:r w:rsidR="00F7445A" w:rsidRPr="00F7445A">
        <w:t>Financial Management and Accountability Act 1997</w:t>
      </w:r>
    </w:p>
    <w:p w:rsidR="00EC5544" w:rsidRPr="008C1370" w:rsidRDefault="00EC5544" w:rsidP="00EC5544">
      <w:pPr>
        <w:pStyle w:val="ItemHead"/>
      </w:pPr>
      <w:r>
        <w:t>1  FMA Act Determination 2013/02 — Section 32 (Transfer of Functions from AGD to OPC</w:t>
      </w:r>
      <w:r w:rsidRPr="00B97560">
        <w:t>)</w:t>
      </w:r>
    </w:p>
    <w:p w:rsidR="00EC5544" w:rsidRDefault="00EC5544" w:rsidP="00EC5544">
      <w:pPr>
        <w:pStyle w:val="Item"/>
      </w:pPr>
      <w:r w:rsidRPr="00B97560">
        <w:t xml:space="preserve">Schedule 1 of this Act is amended </w:t>
      </w:r>
      <w:r>
        <w:t>in accordance with</w:t>
      </w:r>
      <w:r w:rsidRPr="00B97560">
        <w:t xml:space="preserve"> subsection 32(2) of the </w:t>
      </w:r>
      <w:r w:rsidRPr="00B97560">
        <w:rPr>
          <w:i/>
        </w:rPr>
        <w:t>Financial Management and Accountability Act 1997</w:t>
      </w:r>
      <w:r w:rsidRPr="00B97560">
        <w:t xml:space="preserve"> (FMA Act). </w:t>
      </w:r>
      <w:r>
        <w:t>A</w:t>
      </w:r>
      <w:r w:rsidRPr="00B97560">
        <w:t xml:space="preserve">mendments to appropriations are as specified in </w:t>
      </w:r>
      <w:r>
        <w:t xml:space="preserve">the following table. The appropriation </w:t>
      </w:r>
      <w:r w:rsidRPr="00B97560">
        <w:t xml:space="preserve">item </w:t>
      </w:r>
      <w:r>
        <w:t>(</w:t>
      </w:r>
      <w:r w:rsidRPr="00B97560">
        <w:t>listed in Column 1</w:t>
      </w:r>
      <w:r>
        <w:t>)</w:t>
      </w:r>
      <w:r w:rsidRPr="00B97560">
        <w:t xml:space="preserve"> for the </w:t>
      </w:r>
      <w:r>
        <w:t>Agency</w:t>
      </w:r>
      <w:r w:rsidRPr="00B97560">
        <w:t xml:space="preserve"> </w:t>
      </w:r>
      <w:r>
        <w:t>(</w:t>
      </w:r>
      <w:r w:rsidRPr="00B97560">
        <w:t>listed in Column 2</w:t>
      </w:r>
      <w:r>
        <w:t xml:space="preserve">) is </w:t>
      </w:r>
      <w:r w:rsidRPr="00B97560">
        <w:t xml:space="preserve">amended by the </w:t>
      </w:r>
      <w:r>
        <w:t xml:space="preserve">relevant </w:t>
      </w:r>
      <w:r w:rsidRPr="00B97560">
        <w:t xml:space="preserve">amount </w:t>
      </w:r>
      <w:r>
        <w:t>(</w:t>
      </w:r>
      <w:r w:rsidRPr="00B97560">
        <w:t>listed in Column 3</w:t>
      </w:r>
      <w:r>
        <w:t>)</w:t>
      </w:r>
      <w:r w:rsidRPr="00B97560">
        <w:t>.</w:t>
      </w:r>
      <w:r>
        <w:t xml:space="preserve"> A positive amount in Column 3 is an increase in the appropriation and a negative amount is a decrease in the appropriation.</w:t>
      </w:r>
    </w:p>
    <w:p w:rsidR="00EC5544" w:rsidRPr="00163EBD" w:rsidRDefault="00163EBD" w:rsidP="00EC5544">
      <w:pPr>
        <w:rPr>
          <w:b/>
        </w:rPr>
      </w:pPr>
      <w:r w:rsidRPr="00163EBD">
        <w:rPr>
          <w:b/>
        </w:rPr>
        <w:t>Table 1</w:t>
      </w:r>
    </w:p>
    <w:p w:rsidR="00163EBD" w:rsidRPr="00AF371C" w:rsidRDefault="00163EBD" w:rsidP="00EC5544"/>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3109"/>
        <w:gridCol w:w="2976"/>
        <w:gridCol w:w="2228"/>
      </w:tblGrid>
      <w:tr w:rsidR="00EC5544" w:rsidRPr="006F4315" w:rsidTr="00EC5544">
        <w:trPr>
          <w:tblHeader/>
        </w:trPr>
        <w:tc>
          <w:tcPr>
            <w:tcW w:w="9027" w:type="dxa"/>
            <w:gridSpan w:val="4"/>
            <w:tcBorders>
              <w:top w:val="single" w:sz="12" w:space="0" w:color="auto"/>
              <w:bottom w:val="single" w:sz="6" w:space="0" w:color="auto"/>
            </w:tcBorders>
            <w:shd w:val="clear" w:color="auto" w:fill="auto"/>
          </w:tcPr>
          <w:p w:rsidR="00EC5544" w:rsidRDefault="00EC5544" w:rsidP="00EC5544">
            <w:pPr>
              <w:pStyle w:val="TableHeading"/>
            </w:pPr>
            <w:r>
              <w:t>Amendment of appropriations</w:t>
            </w:r>
          </w:p>
        </w:tc>
      </w:tr>
      <w:tr w:rsidR="00EC5544" w:rsidRPr="006F4315" w:rsidTr="00EC5544">
        <w:trPr>
          <w:tblHeader/>
        </w:trPr>
        <w:tc>
          <w:tcPr>
            <w:tcW w:w="714" w:type="dxa"/>
            <w:tcBorders>
              <w:top w:val="single" w:sz="6" w:space="0" w:color="auto"/>
              <w:bottom w:val="single" w:sz="6" w:space="0" w:color="auto"/>
            </w:tcBorders>
            <w:shd w:val="clear" w:color="auto" w:fill="auto"/>
          </w:tcPr>
          <w:p w:rsidR="00EC5544" w:rsidRDefault="00EC5544" w:rsidP="00EC5544">
            <w:pPr>
              <w:pStyle w:val="TableHeading"/>
            </w:pPr>
          </w:p>
        </w:tc>
        <w:tc>
          <w:tcPr>
            <w:tcW w:w="3109" w:type="dxa"/>
            <w:tcBorders>
              <w:top w:val="single" w:sz="6" w:space="0" w:color="auto"/>
              <w:bottom w:val="single" w:sz="6" w:space="0" w:color="auto"/>
            </w:tcBorders>
            <w:shd w:val="clear" w:color="auto" w:fill="auto"/>
          </w:tcPr>
          <w:p w:rsidR="00EC5544" w:rsidRDefault="00EC5544" w:rsidP="00EC5544">
            <w:pPr>
              <w:pStyle w:val="TableHeading"/>
            </w:pPr>
            <w:r>
              <w:t>Column 1</w:t>
            </w:r>
          </w:p>
        </w:tc>
        <w:tc>
          <w:tcPr>
            <w:tcW w:w="2976" w:type="dxa"/>
            <w:tcBorders>
              <w:top w:val="single" w:sz="6" w:space="0" w:color="auto"/>
              <w:bottom w:val="single" w:sz="6" w:space="0" w:color="auto"/>
            </w:tcBorders>
            <w:shd w:val="clear" w:color="auto" w:fill="auto"/>
          </w:tcPr>
          <w:p w:rsidR="00EC5544" w:rsidRDefault="00EC5544" w:rsidP="00EC5544">
            <w:pPr>
              <w:pStyle w:val="TableHeading"/>
            </w:pPr>
            <w:r>
              <w:t>Column 2</w:t>
            </w:r>
          </w:p>
        </w:tc>
        <w:tc>
          <w:tcPr>
            <w:tcW w:w="2228" w:type="dxa"/>
            <w:tcBorders>
              <w:top w:val="single" w:sz="6" w:space="0" w:color="auto"/>
              <w:bottom w:val="single" w:sz="6" w:space="0" w:color="auto"/>
            </w:tcBorders>
            <w:shd w:val="clear" w:color="auto" w:fill="auto"/>
          </w:tcPr>
          <w:p w:rsidR="00EC5544" w:rsidRDefault="00EC5544" w:rsidP="00EC5544">
            <w:pPr>
              <w:pStyle w:val="TableHeading"/>
            </w:pPr>
            <w:r>
              <w:t>Column 3</w:t>
            </w:r>
          </w:p>
        </w:tc>
      </w:tr>
      <w:tr w:rsidR="00EC5544" w:rsidRPr="006F4315" w:rsidTr="00EC5544">
        <w:trPr>
          <w:tblHeader/>
        </w:trPr>
        <w:tc>
          <w:tcPr>
            <w:tcW w:w="714" w:type="dxa"/>
            <w:tcBorders>
              <w:top w:val="single" w:sz="6" w:space="0" w:color="auto"/>
              <w:bottom w:val="single" w:sz="12" w:space="0" w:color="auto"/>
            </w:tcBorders>
            <w:shd w:val="clear" w:color="auto" w:fill="auto"/>
          </w:tcPr>
          <w:p w:rsidR="00EC5544" w:rsidRDefault="00EC5544" w:rsidP="00EC5544">
            <w:pPr>
              <w:pStyle w:val="TableHeading"/>
            </w:pPr>
            <w:r>
              <w:t>Item</w:t>
            </w:r>
          </w:p>
        </w:tc>
        <w:tc>
          <w:tcPr>
            <w:tcW w:w="3109" w:type="dxa"/>
            <w:tcBorders>
              <w:top w:val="single" w:sz="6" w:space="0" w:color="auto"/>
              <w:bottom w:val="single" w:sz="12" w:space="0" w:color="auto"/>
            </w:tcBorders>
            <w:shd w:val="clear" w:color="auto" w:fill="auto"/>
          </w:tcPr>
          <w:p w:rsidR="00EC5544" w:rsidRDefault="00EC5544" w:rsidP="00EC5544">
            <w:pPr>
              <w:pStyle w:val="TableHeading"/>
            </w:pPr>
            <w:r>
              <w:t>Appropriation item</w:t>
            </w:r>
          </w:p>
        </w:tc>
        <w:tc>
          <w:tcPr>
            <w:tcW w:w="2976" w:type="dxa"/>
            <w:tcBorders>
              <w:top w:val="single" w:sz="6" w:space="0" w:color="auto"/>
              <w:bottom w:val="single" w:sz="12" w:space="0" w:color="auto"/>
            </w:tcBorders>
            <w:shd w:val="clear" w:color="auto" w:fill="auto"/>
          </w:tcPr>
          <w:p w:rsidR="00EC5544" w:rsidRDefault="00EC5544" w:rsidP="00EC5544">
            <w:pPr>
              <w:pStyle w:val="TableHeading"/>
            </w:pPr>
            <w:r>
              <w:t>Agency</w:t>
            </w:r>
          </w:p>
        </w:tc>
        <w:tc>
          <w:tcPr>
            <w:tcW w:w="2228" w:type="dxa"/>
            <w:tcBorders>
              <w:top w:val="single" w:sz="6" w:space="0" w:color="auto"/>
              <w:bottom w:val="single" w:sz="12" w:space="0" w:color="auto"/>
            </w:tcBorders>
            <w:shd w:val="clear" w:color="auto" w:fill="auto"/>
          </w:tcPr>
          <w:p w:rsidR="00EC5544" w:rsidRDefault="00EC5544" w:rsidP="00EC5544">
            <w:pPr>
              <w:pStyle w:val="TableHeading"/>
              <w:jc w:val="right"/>
            </w:pPr>
            <w:r>
              <w:t>Amount $’000</w:t>
            </w:r>
          </w:p>
        </w:tc>
      </w:tr>
      <w:tr w:rsidR="00EC5544" w:rsidRPr="006F4315" w:rsidTr="00EC5544">
        <w:tc>
          <w:tcPr>
            <w:tcW w:w="714" w:type="dxa"/>
            <w:tcBorders>
              <w:bottom w:val="single" w:sz="12" w:space="0" w:color="auto"/>
            </w:tcBorders>
            <w:shd w:val="clear" w:color="auto" w:fill="auto"/>
          </w:tcPr>
          <w:p w:rsidR="00EC5544" w:rsidRPr="00AF371C" w:rsidRDefault="002A407F" w:rsidP="00EC5544">
            <w:pPr>
              <w:pStyle w:val="Tabletext"/>
            </w:pPr>
            <w:r>
              <w:t>1</w:t>
            </w:r>
          </w:p>
        </w:tc>
        <w:tc>
          <w:tcPr>
            <w:tcW w:w="3109" w:type="dxa"/>
            <w:tcBorders>
              <w:bottom w:val="single" w:sz="12" w:space="0" w:color="auto"/>
            </w:tcBorders>
            <w:shd w:val="clear" w:color="auto" w:fill="auto"/>
          </w:tcPr>
          <w:p w:rsidR="00EC5544" w:rsidRPr="00AF371C" w:rsidRDefault="002A407F" w:rsidP="00EC5544">
            <w:pPr>
              <w:pStyle w:val="Tabletext"/>
            </w:pPr>
            <w:r>
              <w:t>Departmental item</w:t>
            </w:r>
          </w:p>
        </w:tc>
        <w:tc>
          <w:tcPr>
            <w:tcW w:w="2976" w:type="dxa"/>
            <w:tcBorders>
              <w:bottom w:val="single" w:sz="12" w:space="0" w:color="auto"/>
            </w:tcBorders>
            <w:shd w:val="clear" w:color="auto" w:fill="auto"/>
          </w:tcPr>
          <w:p w:rsidR="00EC5544" w:rsidRPr="00AF371C" w:rsidRDefault="00EC5544" w:rsidP="00EC5544">
            <w:pPr>
              <w:pStyle w:val="Tabletext"/>
            </w:pPr>
            <w:r w:rsidRPr="00AF371C">
              <w:t>Attorney-General’s Department</w:t>
            </w:r>
          </w:p>
        </w:tc>
        <w:tc>
          <w:tcPr>
            <w:tcW w:w="2228" w:type="dxa"/>
            <w:tcBorders>
              <w:bottom w:val="single" w:sz="12" w:space="0" w:color="auto"/>
            </w:tcBorders>
            <w:shd w:val="clear" w:color="auto" w:fill="auto"/>
          </w:tcPr>
          <w:p w:rsidR="008001E2" w:rsidRDefault="00EC5544" w:rsidP="00A44ADA">
            <w:pPr>
              <w:pStyle w:val="Tabletext"/>
              <w:keepNext/>
              <w:keepLines/>
              <w:ind w:left="1134" w:hanging="1134"/>
              <w:jc w:val="right"/>
              <w:outlineLvl w:val="0"/>
              <w:rPr>
                <w:b/>
                <w:kern w:val="28"/>
              </w:rPr>
            </w:pPr>
            <w:r w:rsidRPr="00AF371C">
              <w:t>-</w:t>
            </w:r>
            <w:r w:rsidR="002A407F">
              <w:t>578</w:t>
            </w:r>
          </w:p>
        </w:tc>
      </w:tr>
    </w:tbl>
    <w:p w:rsidR="00EC5544" w:rsidRDefault="00EC5544" w:rsidP="00EC5544">
      <w:pPr>
        <w:pStyle w:val="notetext"/>
      </w:pPr>
      <w:r w:rsidRPr="00AF371C">
        <w:t>Note:</w:t>
      </w:r>
      <w:r>
        <w:tab/>
      </w:r>
      <w:r w:rsidRPr="00C05B8D">
        <w:t>Subsection 32(2) of the FMA Act enables the Finance Minister to determine that Schedules to Appropriation Acts are amended to reflect a transfer of functions between Agencies</w:t>
      </w:r>
      <w:r>
        <w:t>. A </w:t>
      </w:r>
      <w:r w:rsidRPr="00C05B8D">
        <w:t xml:space="preserve">determination </w:t>
      </w:r>
      <w:r>
        <w:t xml:space="preserve">under subsection 32(2) of the FMA Act </w:t>
      </w:r>
      <w:r w:rsidRPr="00C05B8D">
        <w:t xml:space="preserve">cannot result in a change </w:t>
      </w:r>
      <w:r>
        <w:t xml:space="preserve">to </w:t>
      </w:r>
      <w:r w:rsidRPr="00C05B8D">
        <w:t>the total amount appropriated.</w:t>
      </w:r>
      <w:r>
        <w:t xml:space="preserve"> </w:t>
      </w:r>
      <w:r w:rsidRPr="00C05B8D">
        <w:rPr>
          <w:i/>
        </w:rPr>
        <w:t>FMA</w:t>
      </w:r>
      <w:r>
        <w:rPr>
          <w:i/>
        </w:rPr>
        <w:t> </w:t>
      </w:r>
      <w:r w:rsidRPr="00C05B8D">
        <w:rPr>
          <w:i/>
        </w:rPr>
        <w:t xml:space="preserve">Act Determination 2013/02 — Section 32 (Transfer of Functions from AGD to OPC) </w:t>
      </w:r>
      <w:r w:rsidRPr="00C05B8D">
        <w:t xml:space="preserve">affects </w:t>
      </w:r>
      <w:r w:rsidR="0041662D">
        <w:t>this Act</w:t>
      </w:r>
      <w:r>
        <w:t xml:space="preserve">, in combination with 3 </w:t>
      </w:r>
      <w:r w:rsidRPr="00C05B8D">
        <w:t>other Appropriation Acts</w:t>
      </w:r>
      <w:r>
        <w:t xml:space="preserve">, </w:t>
      </w:r>
      <w:r w:rsidRPr="00C05B8D">
        <w:t xml:space="preserve">in </w:t>
      </w:r>
      <w:r>
        <w:t xml:space="preserve">a specified way to </w:t>
      </w:r>
      <w:r w:rsidRPr="00C05B8D">
        <w:t>result</w:t>
      </w:r>
      <w:r>
        <w:t xml:space="preserve"> in no</w:t>
      </w:r>
      <w:r w:rsidRPr="00C05B8D">
        <w:t xml:space="preserve"> change </w:t>
      </w:r>
      <w:r>
        <w:t>to the total amount appropriated.</w:t>
      </w:r>
    </w:p>
    <w:p w:rsidR="00EC5544" w:rsidRPr="00AF371C" w:rsidRDefault="00EC5544" w:rsidP="00EC5544">
      <w:pPr>
        <w:pStyle w:val="ItemHead"/>
      </w:pPr>
      <w:r w:rsidRPr="00AF371C">
        <w:t>2  Schedule 1, Attorney-General’s portfolio, after the Attorney-General’s Department table</w:t>
      </w:r>
      <w:r w:rsidR="00163EBD">
        <w:t>, after Note 2</w:t>
      </w:r>
    </w:p>
    <w:p w:rsidR="00EC5544" w:rsidRPr="00AF371C" w:rsidRDefault="00EC5544" w:rsidP="00EC5544">
      <w:pPr>
        <w:pStyle w:val="Item"/>
      </w:pPr>
      <w:r w:rsidRPr="0060183A">
        <w:t>Insert</w:t>
      </w:r>
      <w:r>
        <w:t>:</w:t>
      </w:r>
    </w:p>
    <w:p w:rsidR="00EC5544" w:rsidRPr="00AF371C" w:rsidRDefault="00EC5544" w:rsidP="00EC5544">
      <w:pPr>
        <w:pStyle w:val="notetext"/>
      </w:pPr>
      <w:r w:rsidRPr="00AF371C">
        <w:t>Note </w:t>
      </w:r>
      <w:r w:rsidR="00163EBD">
        <w:t>3</w:t>
      </w:r>
      <w:r w:rsidRPr="00AF371C">
        <w:t>:</w:t>
      </w:r>
      <w:r>
        <w:tab/>
      </w:r>
      <w:r w:rsidRPr="00A50789">
        <w:rPr>
          <w:i/>
          <w:szCs w:val="18"/>
        </w:rPr>
        <w:t>FMA Act Determination 2013/02 — Section 32 (Transfer of Functions from AGD to OPC)</w:t>
      </w:r>
      <w:r w:rsidRPr="00A50789">
        <w:rPr>
          <w:szCs w:val="18"/>
        </w:rPr>
        <w:t xml:space="preserve"> reduced the departmental item</w:t>
      </w:r>
      <w:r w:rsidRPr="00A50789" w:rsidDel="007F010D">
        <w:rPr>
          <w:szCs w:val="18"/>
        </w:rPr>
        <w:t xml:space="preserve"> </w:t>
      </w:r>
      <w:r w:rsidRPr="00A50789">
        <w:rPr>
          <w:szCs w:val="18"/>
        </w:rPr>
        <w:t xml:space="preserve">for the Attorney-General’s Department (AGD) in accordance with Table 1 </w:t>
      </w:r>
      <w:r w:rsidR="00EC7BF1">
        <w:rPr>
          <w:szCs w:val="18"/>
        </w:rPr>
        <w:t>at the end of</w:t>
      </w:r>
      <w:r w:rsidRPr="00A50789">
        <w:rPr>
          <w:szCs w:val="18"/>
        </w:rPr>
        <w:t xml:space="preserve"> Schedule </w:t>
      </w:r>
      <w:r>
        <w:rPr>
          <w:szCs w:val="18"/>
        </w:rPr>
        <w:t>1</w:t>
      </w:r>
      <w:r w:rsidRPr="00A50789">
        <w:rPr>
          <w:szCs w:val="18"/>
        </w:rPr>
        <w:t xml:space="preserve"> to this Act.</w:t>
      </w:r>
      <w:r w:rsidRPr="00AF371C">
        <w:t xml:space="preserve"> This change was made to implement the transfer of functions (relating to the former Office of Legislative Drafting and Publishing) from AGD to the Office of Parliamentary Counsel (OPC), as implemented through a change made to the </w:t>
      </w:r>
      <w:r w:rsidRPr="00AF371C">
        <w:rPr>
          <w:i/>
        </w:rPr>
        <w:t>Parliamentary Counsel Act 1970</w:t>
      </w:r>
      <w:r w:rsidRPr="00AF371C">
        <w:t xml:space="preserve"> on 1 October 2012. The amount transferred from the departmental item for AGD w</w:t>
      </w:r>
      <w:r w:rsidR="002A407F">
        <w:t>as</w:t>
      </w:r>
      <w:r w:rsidRPr="00AF371C">
        <w:t xml:space="preserve"> a component of an increase to the departmental item </w:t>
      </w:r>
      <w:r w:rsidR="008F4AEE">
        <w:t xml:space="preserve">for </w:t>
      </w:r>
      <w:r w:rsidR="008F4AEE" w:rsidRPr="00AF371C">
        <w:t>OPC</w:t>
      </w:r>
      <w:r w:rsidR="008F4AEE">
        <w:t xml:space="preserve"> in</w:t>
      </w:r>
      <w:r w:rsidR="008F4AEE" w:rsidRPr="00AF371C">
        <w:t xml:space="preserve"> </w:t>
      </w:r>
      <w:r w:rsidR="008F4AEE" w:rsidRPr="008F4AEE">
        <w:rPr>
          <w:i/>
        </w:rPr>
        <w:t>Appropriation Act (No. 1) 2012-2013</w:t>
      </w:r>
      <w:r w:rsidR="008F4AEE" w:rsidRPr="00AF371C">
        <w:t>.</w:t>
      </w:r>
    </w:p>
    <w:p w:rsidR="002A407F" w:rsidRPr="0041662D" w:rsidRDefault="002A407F" w:rsidP="002A407F">
      <w:pPr>
        <w:pStyle w:val="ActHead6"/>
        <w:pageBreakBefore/>
      </w:pPr>
      <w:r>
        <w:lastRenderedPageBreak/>
        <w:t>Schedule</w:t>
      </w:r>
      <w:r w:rsidRPr="00177177">
        <w:t xml:space="preserve"> </w:t>
      </w:r>
      <w:r>
        <w:t>3</w:t>
      </w:r>
      <w:r w:rsidRPr="00177177">
        <w:t xml:space="preserve">—Amendment of </w:t>
      </w:r>
      <w:r w:rsidR="00F7445A" w:rsidRPr="00F7445A">
        <w:t>Appropriation Act (No. 3) 2008</w:t>
      </w:r>
      <w:r w:rsidR="00F7445A" w:rsidRPr="00F7445A">
        <w:noBreakHyphen/>
        <w:t>2009</w:t>
      </w:r>
    </w:p>
    <w:p w:rsidR="002A407F" w:rsidRPr="0060183A" w:rsidRDefault="002A407F" w:rsidP="002A407F">
      <w:pPr>
        <w:pStyle w:val="ItemHead"/>
      </w:pPr>
      <w:r w:rsidRPr="003B370F">
        <w:t>1</w:t>
      </w:r>
      <w:r>
        <w:t xml:space="preserve">  </w:t>
      </w:r>
      <w:r w:rsidRPr="003B370F">
        <w:t xml:space="preserve">At the end of Schedule 1, </w:t>
      </w:r>
      <w:r w:rsidRPr="003B370F">
        <w:rPr>
          <w:bCs/>
        </w:rPr>
        <w:t>on a new page</w:t>
      </w:r>
    </w:p>
    <w:p w:rsidR="002A407F" w:rsidRPr="0060183A" w:rsidRDefault="002A407F" w:rsidP="002A407F">
      <w:pPr>
        <w:pStyle w:val="Item"/>
      </w:pPr>
      <w:r w:rsidRPr="0060183A">
        <w:t>Insert</w:t>
      </w:r>
      <w:r>
        <w:t>:</w:t>
      </w:r>
    </w:p>
    <w:p w:rsidR="002A407F" w:rsidRPr="0041662D" w:rsidRDefault="002A407F" w:rsidP="002A407F">
      <w:pPr>
        <w:pStyle w:val="ActHead6"/>
      </w:pPr>
      <w:r w:rsidRPr="00177177">
        <w:t>Amendment of Schedule 1 arising from Determination</w:t>
      </w:r>
      <w:r>
        <w:t>(s)</w:t>
      </w:r>
      <w:r w:rsidRPr="00177177">
        <w:t xml:space="preserve"> under section 32 of the </w:t>
      </w:r>
      <w:r w:rsidR="00F7445A" w:rsidRPr="00F7445A">
        <w:t>Financial Management and Accountability Act 1997</w:t>
      </w:r>
    </w:p>
    <w:p w:rsidR="002A407F" w:rsidRPr="008C1370" w:rsidRDefault="002A407F" w:rsidP="002A407F">
      <w:pPr>
        <w:pStyle w:val="ItemHead"/>
      </w:pPr>
      <w:r>
        <w:t xml:space="preserve">1  FMA Act Determination </w:t>
      </w:r>
      <w:r>
        <w:rPr>
          <w:noProof/>
        </w:rPr>
        <w:t xml:space="preserve">2013/02 — </w:t>
      </w:r>
      <w:r>
        <w:t>Section 32 (Transfer of Functions from AGD to OPC</w:t>
      </w:r>
      <w:r w:rsidRPr="00B97560">
        <w:t>)</w:t>
      </w:r>
    </w:p>
    <w:p w:rsidR="002A407F" w:rsidRDefault="002A407F" w:rsidP="002A407F">
      <w:pPr>
        <w:pStyle w:val="Item"/>
      </w:pPr>
      <w:r w:rsidRPr="00B97560">
        <w:t xml:space="preserve">Schedule 1 of this Act is amended </w:t>
      </w:r>
      <w:r>
        <w:t>in accordance with</w:t>
      </w:r>
      <w:r w:rsidRPr="00B97560">
        <w:t xml:space="preserve"> subsection 32(2) of the </w:t>
      </w:r>
      <w:r w:rsidRPr="00B97560">
        <w:rPr>
          <w:i/>
        </w:rPr>
        <w:t>Financial Management and Accountability Act 1997</w:t>
      </w:r>
      <w:r w:rsidRPr="00B97560">
        <w:t xml:space="preserve"> (FMA Act). </w:t>
      </w:r>
      <w:r>
        <w:t>A</w:t>
      </w:r>
      <w:r w:rsidRPr="00B97560">
        <w:t xml:space="preserve">mendments to appropriations are as specified in </w:t>
      </w:r>
      <w:r>
        <w:t xml:space="preserve">the following table. The appropriation </w:t>
      </w:r>
      <w:r w:rsidRPr="00B97560">
        <w:t xml:space="preserve">item </w:t>
      </w:r>
      <w:r>
        <w:t>(</w:t>
      </w:r>
      <w:r w:rsidRPr="00B97560">
        <w:t>listed in Column 1</w:t>
      </w:r>
      <w:r>
        <w:t>)</w:t>
      </w:r>
      <w:r w:rsidRPr="00B97560">
        <w:t xml:space="preserve"> for the </w:t>
      </w:r>
      <w:r>
        <w:t>Agency</w:t>
      </w:r>
      <w:r w:rsidRPr="00B97560">
        <w:t xml:space="preserve"> </w:t>
      </w:r>
      <w:r>
        <w:t>(</w:t>
      </w:r>
      <w:r w:rsidRPr="00B97560">
        <w:t>listed in Column 2</w:t>
      </w:r>
      <w:r>
        <w:t xml:space="preserve">) is </w:t>
      </w:r>
      <w:r w:rsidRPr="00B97560">
        <w:t xml:space="preserve">amended by the </w:t>
      </w:r>
      <w:r>
        <w:t xml:space="preserve">relevant </w:t>
      </w:r>
      <w:r w:rsidRPr="00B97560">
        <w:t xml:space="preserve">amount </w:t>
      </w:r>
      <w:r>
        <w:t>(</w:t>
      </w:r>
      <w:r w:rsidRPr="00B97560">
        <w:t>listed in Column 3</w:t>
      </w:r>
      <w:r>
        <w:t>)</w:t>
      </w:r>
      <w:r w:rsidRPr="00B97560">
        <w:t>.</w:t>
      </w:r>
      <w:r>
        <w:t xml:space="preserve"> A positive amount in Column 3 is an increase in the appropriation and a negative amount is a decrease in the appropriation.</w:t>
      </w:r>
    </w:p>
    <w:p w:rsidR="002A407F" w:rsidRPr="00163EBD" w:rsidRDefault="00163EBD" w:rsidP="002A407F">
      <w:pPr>
        <w:rPr>
          <w:b/>
        </w:rPr>
      </w:pPr>
      <w:r w:rsidRPr="00163EBD">
        <w:rPr>
          <w:b/>
        </w:rPr>
        <w:t>Table 1</w:t>
      </w:r>
    </w:p>
    <w:p w:rsidR="00163EBD" w:rsidRPr="00AF371C" w:rsidRDefault="00163EBD" w:rsidP="002A407F"/>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3109"/>
        <w:gridCol w:w="2976"/>
        <w:gridCol w:w="2228"/>
      </w:tblGrid>
      <w:tr w:rsidR="002A407F" w:rsidRPr="006F4315" w:rsidTr="002A407F">
        <w:trPr>
          <w:tblHeader/>
        </w:trPr>
        <w:tc>
          <w:tcPr>
            <w:tcW w:w="9027" w:type="dxa"/>
            <w:gridSpan w:val="4"/>
            <w:tcBorders>
              <w:top w:val="single" w:sz="12" w:space="0" w:color="auto"/>
              <w:bottom w:val="single" w:sz="6" w:space="0" w:color="auto"/>
            </w:tcBorders>
            <w:shd w:val="clear" w:color="auto" w:fill="auto"/>
          </w:tcPr>
          <w:p w:rsidR="002A407F" w:rsidRDefault="002A407F" w:rsidP="002A407F">
            <w:pPr>
              <w:pStyle w:val="TableHeading"/>
            </w:pPr>
            <w:r>
              <w:t>Amendment of appropriations</w:t>
            </w:r>
          </w:p>
        </w:tc>
      </w:tr>
      <w:tr w:rsidR="002A407F" w:rsidRPr="006F4315" w:rsidTr="002A407F">
        <w:trPr>
          <w:tblHeader/>
        </w:trPr>
        <w:tc>
          <w:tcPr>
            <w:tcW w:w="714" w:type="dxa"/>
            <w:tcBorders>
              <w:top w:val="single" w:sz="6" w:space="0" w:color="auto"/>
              <w:bottom w:val="single" w:sz="6" w:space="0" w:color="auto"/>
            </w:tcBorders>
            <w:shd w:val="clear" w:color="auto" w:fill="auto"/>
          </w:tcPr>
          <w:p w:rsidR="002A407F" w:rsidRDefault="002A407F" w:rsidP="002A407F">
            <w:pPr>
              <w:pStyle w:val="TableHeading"/>
            </w:pPr>
          </w:p>
        </w:tc>
        <w:tc>
          <w:tcPr>
            <w:tcW w:w="3109" w:type="dxa"/>
            <w:tcBorders>
              <w:top w:val="single" w:sz="6" w:space="0" w:color="auto"/>
              <w:bottom w:val="single" w:sz="6" w:space="0" w:color="auto"/>
            </w:tcBorders>
            <w:shd w:val="clear" w:color="auto" w:fill="auto"/>
          </w:tcPr>
          <w:p w:rsidR="002A407F" w:rsidRDefault="002A407F" w:rsidP="002A407F">
            <w:pPr>
              <w:pStyle w:val="TableHeading"/>
            </w:pPr>
            <w:r>
              <w:t>Column 1</w:t>
            </w:r>
          </w:p>
        </w:tc>
        <w:tc>
          <w:tcPr>
            <w:tcW w:w="2976" w:type="dxa"/>
            <w:tcBorders>
              <w:top w:val="single" w:sz="6" w:space="0" w:color="auto"/>
              <w:bottom w:val="single" w:sz="6" w:space="0" w:color="auto"/>
            </w:tcBorders>
            <w:shd w:val="clear" w:color="auto" w:fill="auto"/>
          </w:tcPr>
          <w:p w:rsidR="002A407F" w:rsidRDefault="002A407F" w:rsidP="002A407F">
            <w:pPr>
              <w:pStyle w:val="TableHeading"/>
            </w:pPr>
            <w:r>
              <w:t>Column 2</w:t>
            </w:r>
          </w:p>
        </w:tc>
        <w:tc>
          <w:tcPr>
            <w:tcW w:w="2228" w:type="dxa"/>
            <w:tcBorders>
              <w:top w:val="single" w:sz="6" w:space="0" w:color="auto"/>
              <w:bottom w:val="single" w:sz="6" w:space="0" w:color="auto"/>
            </w:tcBorders>
            <w:shd w:val="clear" w:color="auto" w:fill="auto"/>
          </w:tcPr>
          <w:p w:rsidR="002A407F" w:rsidRDefault="002A407F" w:rsidP="002A407F">
            <w:pPr>
              <w:pStyle w:val="TableHeading"/>
            </w:pPr>
            <w:r>
              <w:t>Column 3</w:t>
            </w:r>
          </w:p>
        </w:tc>
      </w:tr>
      <w:tr w:rsidR="002A407F" w:rsidRPr="006F4315" w:rsidTr="002A407F">
        <w:trPr>
          <w:tblHeader/>
        </w:trPr>
        <w:tc>
          <w:tcPr>
            <w:tcW w:w="714" w:type="dxa"/>
            <w:tcBorders>
              <w:top w:val="single" w:sz="6" w:space="0" w:color="auto"/>
              <w:bottom w:val="single" w:sz="12" w:space="0" w:color="auto"/>
            </w:tcBorders>
            <w:shd w:val="clear" w:color="auto" w:fill="auto"/>
          </w:tcPr>
          <w:p w:rsidR="002A407F" w:rsidRDefault="002A407F" w:rsidP="002A407F">
            <w:pPr>
              <w:pStyle w:val="TableHeading"/>
            </w:pPr>
            <w:r>
              <w:t>Item</w:t>
            </w:r>
          </w:p>
        </w:tc>
        <w:tc>
          <w:tcPr>
            <w:tcW w:w="3109" w:type="dxa"/>
            <w:tcBorders>
              <w:top w:val="single" w:sz="6" w:space="0" w:color="auto"/>
              <w:bottom w:val="single" w:sz="12" w:space="0" w:color="auto"/>
            </w:tcBorders>
            <w:shd w:val="clear" w:color="auto" w:fill="auto"/>
          </w:tcPr>
          <w:p w:rsidR="002A407F" w:rsidRDefault="002A407F" w:rsidP="002A407F">
            <w:pPr>
              <w:pStyle w:val="TableHeading"/>
            </w:pPr>
            <w:r>
              <w:t>Appropriation item</w:t>
            </w:r>
          </w:p>
        </w:tc>
        <w:tc>
          <w:tcPr>
            <w:tcW w:w="2976" w:type="dxa"/>
            <w:tcBorders>
              <w:top w:val="single" w:sz="6" w:space="0" w:color="auto"/>
              <w:bottom w:val="single" w:sz="12" w:space="0" w:color="auto"/>
            </w:tcBorders>
            <w:shd w:val="clear" w:color="auto" w:fill="auto"/>
          </w:tcPr>
          <w:p w:rsidR="002A407F" w:rsidRDefault="002A407F" w:rsidP="002A407F">
            <w:pPr>
              <w:pStyle w:val="TableHeading"/>
            </w:pPr>
            <w:r>
              <w:t>Agency</w:t>
            </w:r>
          </w:p>
        </w:tc>
        <w:tc>
          <w:tcPr>
            <w:tcW w:w="2228" w:type="dxa"/>
            <w:tcBorders>
              <w:top w:val="single" w:sz="6" w:space="0" w:color="auto"/>
              <w:bottom w:val="single" w:sz="12" w:space="0" w:color="auto"/>
            </w:tcBorders>
            <w:shd w:val="clear" w:color="auto" w:fill="auto"/>
          </w:tcPr>
          <w:p w:rsidR="002A407F" w:rsidRDefault="002A407F" w:rsidP="002A407F">
            <w:pPr>
              <w:pStyle w:val="TableHeading"/>
              <w:jc w:val="right"/>
            </w:pPr>
            <w:r>
              <w:t>Amount $’000</w:t>
            </w:r>
          </w:p>
        </w:tc>
      </w:tr>
      <w:tr w:rsidR="002A407F" w:rsidRPr="006F4315" w:rsidTr="002A407F">
        <w:tc>
          <w:tcPr>
            <w:tcW w:w="714" w:type="dxa"/>
            <w:tcBorders>
              <w:bottom w:val="single" w:sz="12" w:space="0" w:color="auto"/>
            </w:tcBorders>
            <w:shd w:val="clear" w:color="auto" w:fill="auto"/>
          </w:tcPr>
          <w:p w:rsidR="002A407F" w:rsidRPr="00AF371C" w:rsidRDefault="002A407F" w:rsidP="002A407F">
            <w:pPr>
              <w:pStyle w:val="Tabletext"/>
            </w:pPr>
            <w:r>
              <w:t>1</w:t>
            </w:r>
          </w:p>
        </w:tc>
        <w:tc>
          <w:tcPr>
            <w:tcW w:w="3109" w:type="dxa"/>
            <w:tcBorders>
              <w:bottom w:val="single" w:sz="12" w:space="0" w:color="auto"/>
            </w:tcBorders>
            <w:shd w:val="clear" w:color="auto" w:fill="auto"/>
          </w:tcPr>
          <w:p w:rsidR="002A407F" w:rsidRPr="00AF371C" w:rsidRDefault="002A407F" w:rsidP="002A407F">
            <w:pPr>
              <w:pStyle w:val="Tabletext"/>
            </w:pPr>
            <w:r>
              <w:t>Departmental item</w:t>
            </w:r>
          </w:p>
        </w:tc>
        <w:tc>
          <w:tcPr>
            <w:tcW w:w="2976" w:type="dxa"/>
            <w:tcBorders>
              <w:bottom w:val="single" w:sz="12" w:space="0" w:color="auto"/>
            </w:tcBorders>
            <w:shd w:val="clear" w:color="auto" w:fill="auto"/>
          </w:tcPr>
          <w:p w:rsidR="002A407F" w:rsidRPr="00AF371C" w:rsidRDefault="002A407F" w:rsidP="002A407F">
            <w:pPr>
              <w:pStyle w:val="Tabletext"/>
            </w:pPr>
            <w:r w:rsidRPr="00AF371C">
              <w:t>Attorney-General’s Department</w:t>
            </w:r>
          </w:p>
        </w:tc>
        <w:tc>
          <w:tcPr>
            <w:tcW w:w="2228" w:type="dxa"/>
            <w:tcBorders>
              <w:bottom w:val="single" w:sz="12" w:space="0" w:color="auto"/>
            </w:tcBorders>
            <w:shd w:val="clear" w:color="auto" w:fill="auto"/>
          </w:tcPr>
          <w:p w:rsidR="008001E2" w:rsidRDefault="002A407F">
            <w:pPr>
              <w:pStyle w:val="Tabletext"/>
              <w:jc w:val="right"/>
            </w:pPr>
            <w:r w:rsidRPr="00AF371C">
              <w:t>-</w:t>
            </w:r>
            <w:r>
              <w:t>498</w:t>
            </w:r>
          </w:p>
        </w:tc>
      </w:tr>
    </w:tbl>
    <w:p w:rsidR="002A407F" w:rsidRDefault="002A407F" w:rsidP="002A407F">
      <w:pPr>
        <w:pStyle w:val="notetext"/>
      </w:pPr>
      <w:r w:rsidRPr="00AF371C">
        <w:t>Note:</w:t>
      </w:r>
      <w:r>
        <w:tab/>
      </w:r>
      <w:r w:rsidRPr="00C05B8D">
        <w:t>Subsection 32(2) of the FMA Act enables the Finance Minister to determine that Schedules to Appropriation Acts are amended to reflect a transfer of functions between Agencies</w:t>
      </w:r>
      <w:r>
        <w:t>. A </w:t>
      </w:r>
      <w:r w:rsidRPr="00C05B8D">
        <w:t xml:space="preserve">determination </w:t>
      </w:r>
      <w:r>
        <w:t xml:space="preserve">under subsection 32(2) of the FMA Act </w:t>
      </w:r>
      <w:r w:rsidRPr="00C05B8D">
        <w:t xml:space="preserve">cannot result in a change </w:t>
      </w:r>
      <w:r>
        <w:t xml:space="preserve">to </w:t>
      </w:r>
      <w:r w:rsidRPr="00C05B8D">
        <w:t>the total amount appropriated.</w:t>
      </w:r>
      <w:r>
        <w:t xml:space="preserve"> </w:t>
      </w:r>
      <w:r w:rsidRPr="00C05B8D">
        <w:rPr>
          <w:i/>
        </w:rPr>
        <w:t>FMA</w:t>
      </w:r>
      <w:r>
        <w:rPr>
          <w:i/>
        </w:rPr>
        <w:t> </w:t>
      </w:r>
      <w:r w:rsidRPr="00C05B8D">
        <w:rPr>
          <w:i/>
        </w:rPr>
        <w:t xml:space="preserve">Act Determination 2013/02 — Section 32 (Transfer of Functions from AGD to OPC) </w:t>
      </w:r>
      <w:r w:rsidRPr="00C05B8D">
        <w:t xml:space="preserve">affects </w:t>
      </w:r>
      <w:r w:rsidR="0041662D">
        <w:t>this Act</w:t>
      </w:r>
      <w:r>
        <w:t xml:space="preserve">, in combination with 3 </w:t>
      </w:r>
      <w:r w:rsidRPr="00C05B8D">
        <w:t>other Appropriation Acts</w:t>
      </w:r>
      <w:r>
        <w:t xml:space="preserve">, </w:t>
      </w:r>
      <w:r w:rsidRPr="00C05B8D">
        <w:t xml:space="preserve">in </w:t>
      </w:r>
      <w:r>
        <w:t xml:space="preserve">a specified way to </w:t>
      </w:r>
      <w:r w:rsidRPr="00C05B8D">
        <w:t>result</w:t>
      </w:r>
      <w:r>
        <w:t xml:space="preserve"> in no</w:t>
      </w:r>
      <w:r w:rsidRPr="00C05B8D">
        <w:t xml:space="preserve"> change </w:t>
      </w:r>
      <w:r>
        <w:t>to the total amount appropriated.</w:t>
      </w:r>
    </w:p>
    <w:p w:rsidR="002A407F" w:rsidRPr="00AF371C" w:rsidRDefault="002A407F" w:rsidP="002A407F">
      <w:pPr>
        <w:pStyle w:val="ItemHead"/>
      </w:pPr>
      <w:r w:rsidRPr="00AF371C">
        <w:t>2  Schedule 1, Attorney-General’s portfolio, after the Attorney-General’s Department table</w:t>
      </w:r>
      <w:r w:rsidR="008F4AEE">
        <w:t>, after Note 2</w:t>
      </w:r>
    </w:p>
    <w:p w:rsidR="002A407F" w:rsidRPr="00AF371C" w:rsidRDefault="002A407F" w:rsidP="002A407F">
      <w:pPr>
        <w:pStyle w:val="Item"/>
      </w:pPr>
      <w:r w:rsidRPr="0060183A">
        <w:t>Insert</w:t>
      </w:r>
      <w:r>
        <w:t>:</w:t>
      </w:r>
    </w:p>
    <w:p w:rsidR="008F4AEE" w:rsidRPr="00AF371C" w:rsidRDefault="008F4AEE" w:rsidP="008F4AEE">
      <w:pPr>
        <w:pStyle w:val="notetext"/>
      </w:pPr>
      <w:r w:rsidRPr="00AF371C">
        <w:t>Note </w:t>
      </w:r>
      <w:r w:rsidR="00A32914">
        <w:t>3</w:t>
      </w:r>
      <w:r w:rsidRPr="00AF371C">
        <w:t>:</w:t>
      </w:r>
      <w:r>
        <w:tab/>
      </w:r>
      <w:r w:rsidRPr="00A50789">
        <w:rPr>
          <w:i/>
          <w:szCs w:val="18"/>
        </w:rPr>
        <w:t>FMA Act Determination 2013/02 — Section 32 (Transfer of Functions from AGD to OPC)</w:t>
      </w:r>
      <w:r w:rsidRPr="00A50789">
        <w:rPr>
          <w:szCs w:val="18"/>
        </w:rPr>
        <w:t xml:space="preserve"> reduced the departmental item</w:t>
      </w:r>
      <w:r w:rsidRPr="00A50789" w:rsidDel="007F010D">
        <w:rPr>
          <w:szCs w:val="18"/>
        </w:rPr>
        <w:t xml:space="preserve"> </w:t>
      </w:r>
      <w:r w:rsidRPr="00A50789">
        <w:rPr>
          <w:szCs w:val="18"/>
        </w:rPr>
        <w:t xml:space="preserve">for the Attorney-General’s Department (AGD) in accordance with Table 1 </w:t>
      </w:r>
      <w:r w:rsidR="00EC7BF1">
        <w:rPr>
          <w:szCs w:val="18"/>
        </w:rPr>
        <w:t>at the end of</w:t>
      </w:r>
      <w:r w:rsidRPr="00A50789">
        <w:rPr>
          <w:szCs w:val="18"/>
        </w:rPr>
        <w:t xml:space="preserve"> Schedule </w:t>
      </w:r>
      <w:r>
        <w:rPr>
          <w:szCs w:val="18"/>
        </w:rPr>
        <w:t>1</w:t>
      </w:r>
      <w:r w:rsidRPr="00A50789">
        <w:rPr>
          <w:szCs w:val="18"/>
        </w:rPr>
        <w:t xml:space="preserve"> to this Act.</w:t>
      </w:r>
      <w:r w:rsidRPr="00AF371C">
        <w:t xml:space="preserve"> This change was made to implement the transfer of functions (relating to the former Office of Legislative Drafting and Publishing) from AGD to the Office of Parliamentary Counsel (OPC), as implemented through a change made to the </w:t>
      </w:r>
      <w:r w:rsidRPr="00AF371C">
        <w:rPr>
          <w:i/>
        </w:rPr>
        <w:t>Parliamentary Counsel Act 1970</w:t>
      </w:r>
      <w:r w:rsidRPr="00AF371C">
        <w:t xml:space="preserve"> on 1 October 2012. The amount transferred from the departmental item for AGD w</w:t>
      </w:r>
      <w:r>
        <w:t>as</w:t>
      </w:r>
      <w:r w:rsidRPr="00AF371C">
        <w:t xml:space="preserve"> a component of an increase to the departmental item </w:t>
      </w:r>
      <w:r>
        <w:t xml:space="preserve">for </w:t>
      </w:r>
      <w:r w:rsidRPr="00AF371C">
        <w:t>OPC</w:t>
      </w:r>
      <w:r>
        <w:t xml:space="preserve"> in</w:t>
      </w:r>
      <w:r w:rsidRPr="00AF371C">
        <w:t xml:space="preserve"> </w:t>
      </w:r>
      <w:r w:rsidRPr="008F4AEE">
        <w:rPr>
          <w:i/>
        </w:rPr>
        <w:t>Appropriation Act (No. 1) 2012-2013</w:t>
      </w:r>
      <w:r w:rsidRPr="00AF371C">
        <w:t>.</w:t>
      </w:r>
    </w:p>
    <w:p w:rsidR="008F4AEE" w:rsidRPr="0041662D" w:rsidRDefault="008F4AEE" w:rsidP="008F4AEE">
      <w:pPr>
        <w:pStyle w:val="ActHead6"/>
        <w:pageBreakBefore/>
      </w:pPr>
      <w:r>
        <w:lastRenderedPageBreak/>
        <w:t>Schedule</w:t>
      </w:r>
      <w:r w:rsidRPr="00177177">
        <w:t xml:space="preserve"> </w:t>
      </w:r>
      <w:r>
        <w:t>4</w:t>
      </w:r>
      <w:r w:rsidRPr="00177177">
        <w:t xml:space="preserve">—Amendment of </w:t>
      </w:r>
      <w:r w:rsidR="00F7445A" w:rsidRPr="00F7445A">
        <w:t>Appropriation Act (No. 3) 2006</w:t>
      </w:r>
      <w:r w:rsidR="00F7445A" w:rsidRPr="00F7445A">
        <w:noBreakHyphen/>
        <w:t>2007</w:t>
      </w:r>
    </w:p>
    <w:p w:rsidR="008F4AEE" w:rsidRPr="0060183A" w:rsidRDefault="008F4AEE" w:rsidP="008F4AEE">
      <w:pPr>
        <w:pStyle w:val="ItemHead"/>
      </w:pPr>
      <w:r w:rsidRPr="003B370F">
        <w:t>1</w:t>
      </w:r>
      <w:r>
        <w:t xml:space="preserve">  </w:t>
      </w:r>
      <w:r w:rsidRPr="003B370F">
        <w:t xml:space="preserve">At the end of Schedule 1, </w:t>
      </w:r>
      <w:r w:rsidRPr="003B370F">
        <w:rPr>
          <w:bCs/>
        </w:rPr>
        <w:t>on a new page</w:t>
      </w:r>
    </w:p>
    <w:p w:rsidR="008F4AEE" w:rsidRPr="0060183A" w:rsidRDefault="008F4AEE" w:rsidP="008F4AEE">
      <w:pPr>
        <w:pStyle w:val="Item"/>
      </w:pPr>
      <w:r w:rsidRPr="0060183A">
        <w:t>Insert</w:t>
      </w:r>
      <w:r>
        <w:t>:</w:t>
      </w:r>
    </w:p>
    <w:p w:rsidR="008F4AEE" w:rsidRPr="0041662D" w:rsidRDefault="008F4AEE" w:rsidP="008F4AEE">
      <w:pPr>
        <w:pStyle w:val="ActHead6"/>
      </w:pPr>
      <w:r w:rsidRPr="00177177">
        <w:t>Amendment of Schedule 1 arising from Determination</w:t>
      </w:r>
      <w:r>
        <w:t>(s)</w:t>
      </w:r>
      <w:r w:rsidRPr="00177177">
        <w:t xml:space="preserve"> under section 32 of the </w:t>
      </w:r>
      <w:r w:rsidR="00F7445A" w:rsidRPr="00F7445A">
        <w:t>Financial Management and Accountability Act 1997</w:t>
      </w:r>
    </w:p>
    <w:p w:rsidR="008F4AEE" w:rsidRPr="008C1370" w:rsidRDefault="008F4AEE" w:rsidP="008F4AEE">
      <w:pPr>
        <w:pStyle w:val="ItemHead"/>
      </w:pPr>
      <w:r>
        <w:t xml:space="preserve">1  FMA Act Determination </w:t>
      </w:r>
      <w:r>
        <w:rPr>
          <w:noProof/>
        </w:rPr>
        <w:t xml:space="preserve">2013/02 — </w:t>
      </w:r>
      <w:r>
        <w:t>Section 32 (Transfer of Functions from AGD to OPC</w:t>
      </w:r>
      <w:r w:rsidRPr="00B97560">
        <w:t>)</w:t>
      </w:r>
    </w:p>
    <w:p w:rsidR="008F4AEE" w:rsidRDefault="008F4AEE" w:rsidP="008F4AEE">
      <w:pPr>
        <w:pStyle w:val="Item"/>
      </w:pPr>
      <w:r w:rsidRPr="00B97560">
        <w:t xml:space="preserve">Schedule 1 of this Act is amended </w:t>
      </w:r>
      <w:r>
        <w:t>in accordance with</w:t>
      </w:r>
      <w:r w:rsidRPr="00B97560">
        <w:t xml:space="preserve"> subsection 32(2) of the </w:t>
      </w:r>
      <w:r w:rsidRPr="00B97560">
        <w:rPr>
          <w:i/>
        </w:rPr>
        <w:t>Financial Management and Accountability Act 1997</w:t>
      </w:r>
      <w:r w:rsidRPr="00B97560">
        <w:t xml:space="preserve"> (FMA Act). </w:t>
      </w:r>
      <w:r>
        <w:t>A</w:t>
      </w:r>
      <w:r w:rsidRPr="00B97560">
        <w:t xml:space="preserve">mendments to appropriations are as specified in </w:t>
      </w:r>
      <w:r>
        <w:t xml:space="preserve">the following table. The appropriation </w:t>
      </w:r>
      <w:r w:rsidRPr="00B97560">
        <w:t xml:space="preserve">item </w:t>
      </w:r>
      <w:r>
        <w:t>(</w:t>
      </w:r>
      <w:r w:rsidRPr="00B97560">
        <w:t>listed in Column 1</w:t>
      </w:r>
      <w:r>
        <w:t>)</w:t>
      </w:r>
      <w:r w:rsidRPr="00B97560">
        <w:t xml:space="preserve"> for the </w:t>
      </w:r>
      <w:r>
        <w:t>Agency</w:t>
      </w:r>
      <w:r w:rsidRPr="00B97560">
        <w:t xml:space="preserve"> </w:t>
      </w:r>
      <w:r>
        <w:t>(</w:t>
      </w:r>
      <w:r w:rsidRPr="00B97560">
        <w:t>listed in Column 2</w:t>
      </w:r>
      <w:r>
        <w:t xml:space="preserve">) is </w:t>
      </w:r>
      <w:r w:rsidRPr="00B97560">
        <w:t xml:space="preserve">amended by the </w:t>
      </w:r>
      <w:r>
        <w:t xml:space="preserve">relevant </w:t>
      </w:r>
      <w:r w:rsidRPr="00B97560">
        <w:t xml:space="preserve">amount </w:t>
      </w:r>
      <w:r>
        <w:t>(</w:t>
      </w:r>
      <w:r w:rsidRPr="00B97560">
        <w:t>listed in Column 3</w:t>
      </w:r>
      <w:r>
        <w:t>)</w:t>
      </w:r>
      <w:r w:rsidRPr="00B97560">
        <w:t>.</w:t>
      </w:r>
      <w:r>
        <w:t xml:space="preserve"> A positive amount in Column 3 is an increase in the appropriation and a negative amount is a decrease in the appropriation.</w:t>
      </w:r>
    </w:p>
    <w:p w:rsidR="008F4AEE" w:rsidRPr="003168C0" w:rsidRDefault="003168C0" w:rsidP="008F4AEE">
      <w:pPr>
        <w:rPr>
          <w:b/>
        </w:rPr>
      </w:pPr>
      <w:r w:rsidRPr="003168C0">
        <w:rPr>
          <w:b/>
        </w:rPr>
        <w:t>Table 1</w:t>
      </w:r>
    </w:p>
    <w:p w:rsidR="003168C0" w:rsidRPr="00AF371C" w:rsidRDefault="003168C0" w:rsidP="008F4AEE"/>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3109"/>
        <w:gridCol w:w="2976"/>
        <w:gridCol w:w="2228"/>
      </w:tblGrid>
      <w:tr w:rsidR="008F4AEE" w:rsidRPr="006F4315" w:rsidTr="006C19F3">
        <w:trPr>
          <w:tblHeader/>
        </w:trPr>
        <w:tc>
          <w:tcPr>
            <w:tcW w:w="9027" w:type="dxa"/>
            <w:gridSpan w:val="4"/>
            <w:tcBorders>
              <w:top w:val="single" w:sz="12" w:space="0" w:color="auto"/>
              <w:bottom w:val="single" w:sz="6" w:space="0" w:color="auto"/>
            </w:tcBorders>
            <w:shd w:val="clear" w:color="auto" w:fill="auto"/>
          </w:tcPr>
          <w:p w:rsidR="008F4AEE" w:rsidRDefault="008F4AEE" w:rsidP="006C19F3">
            <w:pPr>
              <w:pStyle w:val="TableHeading"/>
            </w:pPr>
            <w:r>
              <w:t>Amendment of appropriations</w:t>
            </w:r>
          </w:p>
        </w:tc>
      </w:tr>
      <w:tr w:rsidR="008F4AEE" w:rsidRPr="006F4315" w:rsidTr="006C19F3">
        <w:trPr>
          <w:tblHeader/>
        </w:trPr>
        <w:tc>
          <w:tcPr>
            <w:tcW w:w="714" w:type="dxa"/>
            <w:tcBorders>
              <w:top w:val="single" w:sz="6" w:space="0" w:color="auto"/>
              <w:bottom w:val="single" w:sz="6" w:space="0" w:color="auto"/>
            </w:tcBorders>
            <w:shd w:val="clear" w:color="auto" w:fill="auto"/>
          </w:tcPr>
          <w:p w:rsidR="008F4AEE" w:rsidRDefault="008F4AEE" w:rsidP="006C19F3">
            <w:pPr>
              <w:pStyle w:val="TableHeading"/>
            </w:pPr>
          </w:p>
        </w:tc>
        <w:tc>
          <w:tcPr>
            <w:tcW w:w="3109" w:type="dxa"/>
            <w:tcBorders>
              <w:top w:val="single" w:sz="6" w:space="0" w:color="auto"/>
              <w:bottom w:val="single" w:sz="6" w:space="0" w:color="auto"/>
            </w:tcBorders>
            <w:shd w:val="clear" w:color="auto" w:fill="auto"/>
          </w:tcPr>
          <w:p w:rsidR="008F4AEE" w:rsidRDefault="008F4AEE" w:rsidP="006C19F3">
            <w:pPr>
              <w:pStyle w:val="TableHeading"/>
            </w:pPr>
            <w:r>
              <w:t>Column 1</w:t>
            </w:r>
          </w:p>
        </w:tc>
        <w:tc>
          <w:tcPr>
            <w:tcW w:w="2976" w:type="dxa"/>
            <w:tcBorders>
              <w:top w:val="single" w:sz="6" w:space="0" w:color="auto"/>
              <w:bottom w:val="single" w:sz="6" w:space="0" w:color="auto"/>
            </w:tcBorders>
            <w:shd w:val="clear" w:color="auto" w:fill="auto"/>
          </w:tcPr>
          <w:p w:rsidR="008F4AEE" w:rsidRDefault="008F4AEE" w:rsidP="006C19F3">
            <w:pPr>
              <w:pStyle w:val="TableHeading"/>
            </w:pPr>
            <w:r>
              <w:t>Column 2</w:t>
            </w:r>
          </w:p>
        </w:tc>
        <w:tc>
          <w:tcPr>
            <w:tcW w:w="2228" w:type="dxa"/>
            <w:tcBorders>
              <w:top w:val="single" w:sz="6" w:space="0" w:color="auto"/>
              <w:bottom w:val="single" w:sz="6" w:space="0" w:color="auto"/>
            </w:tcBorders>
            <w:shd w:val="clear" w:color="auto" w:fill="auto"/>
          </w:tcPr>
          <w:p w:rsidR="008F4AEE" w:rsidRDefault="008F4AEE" w:rsidP="006C19F3">
            <w:pPr>
              <w:pStyle w:val="TableHeading"/>
            </w:pPr>
            <w:r>
              <w:t>Column 3</w:t>
            </w:r>
          </w:p>
        </w:tc>
      </w:tr>
      <w:tr w:rsidR="008F4AEE" w:rsidRPr="006F4315" w:rsidTr="006C19F3">
        <w:trPr>
          <w:tblHeader/>
        </w:trPr>
        <w:tc>
          <w:tcPr>
            <w:tcW w:w="714" w:type="dxa"/>
            <w:tcBorders>
              <w:top w:val="single" w:sz="6" w:space="0" w:color="auto"/>
              <w:bottom w:val="single" w:sz="12" w:space="0" w:color="auto"/>
            </w:tcBorders>
            <w:shd w:val="clear" w:color="auto" w:fill="auto"/>
          </w:tcPr>
          <w:p w:rsidR="008F4AEE" w:rsidRDefault="008F4AEE" w:rsidP="006C19F3">
            <w:pPr>
              <w:pStyle w:val="TableHeading"/>
            </w:pPr>
            <w:r>
              <w:t>Item</w:t>
            </w:r>
          </w:p>
        </w:tc>
        <w:tc>
          <w:tcPr>
            <w:tcW w:w="3109" w:type="dxa"/>
            <w:tcBorders>
              <w:top w:val="single" w:sz="6" w:space="0" w:color="auto"/>
              <w:bottom w:val="single" w:sz="12" w:space="0" w:color="auto"/>
            </w:tcBorders>
            <w:shd w:val="clear" w:color="auto" w:fill="auto"/>
          </w:tcPr>
          <w:p w:rsidR="008F4AEE" w:rsidRDefault="008F4AEE" w:rsidP="006C19F3">
            <w:pPr>
              <w:pStyle w:val="TableHeading"/>
            </w:pPr>
            <w:r>
              <w:t>Appropriation item</w:t>
            </w:r>
          </w:p>
        </w:tc>
        <w:tc>
          <w:tcPr>
            <w:tcW w:w="2976" w:type="dxa"/>
            <w:tcBorders>
              <w:top w:val="single" w:sz="6" w:space="0" w:color="auto"/>
              <w:bottom w:val="single" w:sz="12" w:space="0" w:color="auto"/>
            </w:tcBorders>
            <w:shd w:val="clear" w:color="auto" w:fill="auto"/>
          </w:tcPr>
          <w:p w:rsidR="008F4AEE" w:rsidRDefault="008F4AEE" w:rsidP="006C19F3">
            <w:pPr>
              <w:pStyle w:val="TableHeading"/>
            </w:pPr>
            <w:r>
              <w:t>Agency</w:t>
            </w:r>
          </w:p>
        </w:tc>
        <w:tc>
          <w:tcPr>
            <w:tcW w:w="2228" w:type="dxa"/>
            <w:tcBorders>
              <w:top w:val="single" w:sz="6" w:space="0" w:color="auto"/>
              <w:bottom w:val="single" w:sz="12" w:space="0" w:color="auto"/>
            </w:tcBorders>
            <w:shd w:val="clear" w:color="auto" w:fill="auto"/>
          </w:tcPr>
          <w:p w:rsidR="008F4AEE" w:rsidRDefault="008F4AEE" w:rsidP="006C19F3">
            <w:pPr>
              <w:pStyle w:val="TableHeading"/>
              <w:jc w:val="right"/>
            </w:pPr>
            <w:r>
              <w:t>Amount $’000</w:t>
            </w:r>
          </w:p>
        </w:tc>
      </w:tr>
      <w:tr w:rsidR="008F4AEE" w:rsidRPr="006F4315" w:rsidTr="006C19F3">
        <w:tc>
          <w:tcPr>
            <w:tcW w:w="714" w:type="dxa"/>
            <w:tcBorders>
              <w:bottom w:val="single" w:sz="12" w:space="0" w:color="auto"/>
            </w:tcBorders>
            <w:shd w:val="clear" w:color="auto" w:fill="auto"/>
          </w:tcPr>
          <w:p w:rsidR="008F4AEE" w:rsidRPr="00AF371C" w:rsidRDefault="008F4AEE" w:rsidP="006C19F3">
            <w:pPr>
              <w:pStyle w:val="Tabletext"/>
            </w:pPr>
            <w:r>
              <w:t>1</w:t>
            </w:r>
          </w:p>
        </w:tc>
        <w:tc>
          <w:tcPr>
            <w:tcW w:w="3109" w:type="dxa"/>
            <w:tcBorders>
              <w:bottom w:val="single" w:sz="12" w:space="0" w:color="auto"/>
            </w:tcBorders>
            <w:shd w:val="clear" w:color="auto" w:fill="auto"/>
          </w:tcPr>
          <w:p w:rsidR="008F4AEE" w:rsidRPr="00AF371C" w:rsidRDefault="008F4AEE" w:rsidP="006C19F3">
            <w:pPr>
              <w:pStyle w:val="Tabletext"/>
            </w:pPr>
            <w:r>
              <w:t>Departmental item</w:t>
            </w:r>
          </w:p>
        </w:tc>
        <w:tc>
          <w:tcPr>
            <w:tcW w:w="2976" w:type="dxa"/>
            <w:tcBorders>
              <w:bottom w:val="single" w:sz="12" w:space="0" w:color="auto"/>
            </w:tcBorders>
            <w:shd w:val="clear" w:color="auto" w:fill="auto"/>
          </w:tcPr>
          <w:p w:rsidR="008F4AEE" w:rsidRPr="00AF371C" w:rsidRDefault="008F4AEE" w:rsidP="006C19F3">
            <w:pPr>
              <w:pStyle w:val="Tabletext"/>
            </w:pPr>
            <w:r w:rsidRPr="00AF371C">
              <w:t>Attorney-General’s Department</w:t>
            </w:r>
          </w:p>
        </w:tc>
        <w:tc>
          <w:tcPr>
            <w:tcW w:w="2228" w:type="dxa"/>
            <w:tcBorders>
              <w:bottom w:val="single" w:sz="12" w:space="0" w:color="auto"/>
            </w:tcBorders>
            <w:shd w:val="clear" w:color="auto" w:fill="auto"/>
          </w:tcPr>
          <w:p w:rsidR="008001E2" w:rsidRDefault="008F4AEE">
            <w:pPr>
              <w:pStyle w:val="Tabletext"/>
              <w:jc w:val="right"/>
              <w:rPr>
                <w:lang w:eastAsia="en-US"/>
              </w:rPr>
            </w:pPr>
            <w:r w:rsidRPr="00AF371C">
              <w:t>-</w:t>
            </w:r>
            <w:r>
              <w:t>1,540</w:t>
            </w:r>
          </w:p>
        </w:tc>
      </w:tr>
    </w:tbl>
    <w:p w:rsidR="008F4AEE" w:rsidRDefault="008F4AEE" w:rsidP="008F4AEE">
      <w:pPr>
        <w:pStyle w:val="notetext"/>
      </w:pPr>
      <w:r w:rsidRPr="00AF371C">
        <w:t>Note:</w:t>
      </w:r>
      <w:r>
        <w:tab/>
      </w:r>
      <w:r w:rsidRPr="00C05B8D">
        <w:t>Subsection 32(2) of the FMA Act enables the Finance Minister to determine that Schedules to Appropriation Acts are amended to reflect a transfer of functions between Agencies</w:t>
      </w:r>
      <w:r>
        <w:t>. A </w:t>
      </w:r>
      <w:r w:rsidRPr="00C05B8D">
        <w:t xml:space="preserve">determination </w:t>
      </w:r>
      <w:r>
        <w:t xml:space="preserve">under subsection 32(2) of the FMA Act </w:t>
      </w:r>
      <w:r w:rsidRPr="00C05B8D">
        <w:t xml:space="preserve">cannot result in a change </w:t>
      </w:r>
      <w:r>
        <w:t xml:space="preserve">to </w:t>
      </w:r>
      <w:r w:rsidRPr="00C05B8D">
        <w:t>the total amount appropriated.</w:t>
      </w:r>
      <w:r>
        <w:t xml:space="preserve"> </w:t>
      </w:r>
      <w:r w:rsidRPr="00C05B8D">
        <w:rPr>
          <w:i/>
        </w:rPr>
        <w:t>FMA</w:t>
      </w:r>
      <w:r>
        <w:rPr>
          <w:i/>
        </w:rPr>
        <w:t> </w:t>
      </w:r>
      <w:r w:rsidRPr="00C05B8D">
        <w:rPr>
          <w:i/>
        </w:rPr>
        <w:t xml:space="preserve">Act Determination 2013/02 — Section 32 (Transfer of Functions from AGD to OPC) </w:t>
      </w:r>
      <w:r w:rsidRPr="00C05B8D">
        <w:t xml:space="preserve">affects </w:t>
      </w:r>
      <w:r w:rsidR="0041662D">
        <w:t>this Act</w:t>
      </w:r>
      <w:r>
        <w:t xml:space="preserve">, in combination with 3 </w:t>
      </w:r>
      <w:r w:rsidRPr="00C05B8D">
        <w:t>other Appropriation Acts</w:t>
      </w:r>
      <w:r>
        <w:t xml:space="preserve">, </w:t>
      </w:r>
      <w:r w:rsidRPr="00C05B8D">
        <w:t xml:space="preserve">in </w:t>
      </w:r>
      <w:r>
        <w:t xml:space="preserve">a specified way to </w:t>
      </w:r>
      <w:r w:rsidRPr="00C05B8D">
        <w:t>result</w:t>
      </w:r>
      <w:r>
        <w:t xml:space="preserve"> in no</w:t>
      </w:r>
      <w:r w:rsidRPr="00C05B8D">
        <w:t xml:space="preserve"> change </w:t>
      </w:r>
      <w:r>
        <w:t>to the total amount appropriated.</w:t>
      </w:r>
    </w:p>
    <w:p w:rsidR="008F4AEE" w:rsidRPr="00AF371C" w:rsidRDefault="008F4AEE" w:rsidP="008F4AEE">
      <w:pPr>
        <w:pStyle w:val="ItemHead"/>
      </w:pPr>
      <w:r w:rsidRPr="00AF371C">
        <w:t>2  Schedule 1, Attorney-General’s portfolio, after the Attorney-General’s Department table</w:t>
      </w:r>
      <w:r w:rsidR="00A32914">
        <w:t>, after Note 3</w:t>
      </w:r>
    </w:p>
    <w:p w:rsidR="008F4AEE" w:rsidRPr="00AF371C" w:rsidRDefault="008F4AEE" w:rsidP="008F4AEE">
      <w:pPr>
        <w:pStyle w:val="Item"/>
      </w:pPr>
      <w:r w:rsidRPr="0060183A">
        <w:t>Insert</w:t>
      </w:r>
      <w:r>
        <w:t>:</w:t>
      </w:r>
    </w:p>
    <w:p w:rsidR="008F4AEE" w:rsidRPr="00AF371C" w:rsidRDefault="008F4AEE" w:rsidP="008F4AEE">
      <w:pPr>
        <w:pStyle w:val="notetext"/>
      </w:pPr>
      <w:r w:rsidRPr="00AF371C">
        <w:t>Note </w:t>
      </w:r>
      <w:r w:rsidR="00A32914">
        <w:t>4</w:t>
      </w:r>
      <w:r w:rsidRPr="00AF371C">
        <w:t>:</w:t>
      </w:r>
      <w:r>
        <w:tab/>
      </w:r>
      <w:r w:rsidRPr="00A50789">
        <w:rPr>
          <w:i/>
          <w:szCs w:val="18"/>
        </w:rPr>
        <w:t>FMA Act Determination 2013/02 — Section 32 (Transfer of Functions from AGD to OPC)</w:t>
      </w:r>
      <w:r w:rsidRPr="00A50789">
        <w:rPr>
          <w:szCs w:val="18"/>
        </w:rPr>
        <w:t xml:space="preserve"> reduced the departmental item</w:t>
      </w:r>
      <w:r w:rsidRPr="00A50789" w:rsidDel="007F010D">
        <w:rPr>
          <w:szCs w:val="18"/>
        </w:rPr>
        <w:t xml:space="preserve"> </w:t>
      </w:r>
      <w:r w:rsidRPr="00A50789">
        <w:rPr>
          <w:szCs w:val="18"/>
        </w:rPr>
        <w:t>for the Attorney-General’s Department (AG</w:t>
      </w:r>
      <w:r w:rsidR="00EC7BF1">
        <w:rPr>
          <w:szCs w:val="18"/>
        </w:rPr>
        <w:t>D) in accordance with Table 1 at the end of</w:t>
      </w:r>
      <w:r w:rsidRPr="00A50789">
        <w:rPr>
          <w:szCs w:val="18"/>
        </w:rPr>
        <w:t xml:space="preserve"> Schedule </w:t>
      </w:r>
      <w:r>
        <w:rPr>
          <w:szCs w:val="18"/>
        </w:rPr>
        <w:t>1</w:t>
      </w:r>
      <w:r w:rsidRPr="00A50789">
        <w:rPr>
          <w:szCs w:val="18"/>
        </w:rPr>
        <w:t xml:space="preserve"> to this Act.</w:t>
      </w:r>
      <w:r w:rsidRPr="00AF371C">
        <w:t xml:space="preserve"> This change was made to implement the transfer of functions (relating to the former Office of Legislative Drafting and Publishing) from AGD to the Office of Parliamentary Counsel (OPC), as implemented through a change made to the </w:t>
      </w:r>
      <w:r w:rsidRPr="00AF371C">
        <w:rPr>
          <w:i/>
        </w:rPr>
        <w:t>Parliamentary Counsel Act 1970</w:t>
      </w:r>
      <w:r w:rsidRPr="00AF371C">
        <w:t xml:space="preserve"> on 1 October 2012. The amount transferred from the departmental item for AGD w</w:t>
      </w:r>
      <w:r>
        <w:t>as</w:t>
      </w:r>
      <w:r w:rsidRPr="00AF371C">
        <w:t xml:space="preserve"> a component of an increase to the departmental item </w:t>
      </w:r>
      <w:r>
        <w:t xml:space="preserve">for </w:t>
      </w:r>
      <w:r w:rsidRPr="00AF371C">
        <w:t>OPC</w:t>
      </w:r>
      <w:r>
        <w:t xml:space="preserve"> in</w:t>
      </w:r>
      <w:r w:rsidRPr="00AF371C">
        <w:t xml:space="preserve"> </w:t>
      </w:r>
      <w:r w:rsidRPr="008F4AEE">
        <w:rPr>
          <w:i/>
        </w:rPr>
        <w:t>Appropriation Act (No. 1) 2012-2013</w:t>
      </w:r>
      <w:r w:rsidRPr="00AF371C">
        <w:t>.</w:t>
      </w:r>
    </w:p>
    <w:p w:rsidR="008E17F3" w:rsidRDefault="008E17F3" w:rsidP="008E17F3">
      <w:pPr>
        <w:pStyle w:val="Head1"/>
      </w:pPr>
    </w:p>
    <w:sectPr w:rsidR="008E17F3" w:rsidSect="002A407F">
      <w:footerReference w:type="even" r:id="rId8"/>
      <w:footerReference w:type="default" r:id="rId9"/>
      <w:pgSz w:w="11907" w:h="16839"/>
      <w:pgMar w:top="1361" w:right="1440" w:bottom="1361"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2DF" w:rsidRDefault="001D72DF" w:rsidP="008E17F3">
      <w:pPr>
        <w:spacing w:line="240" w:lineRule="auto"/>
      </w:pPr>
      <w:r>
        <w:separator/>
      </w:r>
    </w:p>
  </w:endnote>
  <w:endnote w:type="continuationSeparator" w:id="0">
    <w:p w:rsidR="001D72DF" w:rsidRDefault="001D72DF" w:rsidP="008E17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41C" w:rsidRDefault="008353B1" w:rsidP="008E17F3">
    <w:pPr>
      <w:pStyle w:val="Footer"/>
      <w:framePr w:wrap="around" w:vAnchor="text" w:hAnchor="margin" w:xAlign="right" w:y="1"/>
      <w:rPr>
        <w:rStyle w:val="PageNumber"/>
      </w:rPr>
    </w:pPr>
    <w:r>
      <w:rPr>
        <w:rStyle w:val="PageNumber"/>
      </w:rPr>
      <w:fldChar w:fldCharType="begin"/>
    </w:r>
    <w:r w:rsidR="0003241C">
      <w:rPr>
        <w:rStyle w:val="PageNumber"/>
      </w:rPr>
      <w:instrText xml:space="preserve">PAGE  </w:instrText>
    </w:r>
    <w:r>
      <w:rPr>
        <w:rStyle w:val="PageNumber"/>
      </w:rPr>
      <w:fldChar w:fldCharType="end"/>
    </w:r>
  </w:p>
  <w:p w:rsidR="0003241C" w:rsidRDefault="0003241C" w:rsidP="008E17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08712"/>
      <w:docPartObj>
        <w:docPartGallery w:val="Page Numbers (Bottom of Page)"/>
        <w:docPartUnique/>
      </w:docPartObj>
    </w:sdtPr>
    <w:sdtContent>
      <w:sdt>
        <w:sdtPr>
          <w:id w:val="565050523"/>
          <w:docPartObj>
            <w:docPartGallery w:val="Page Numbers (Top of Page)"/>
            <w:docPartUnique/>
          </w:docPartObj>
        </w:sdtPr>
        <w:sdtContent>
          <w:p w:rsidR="00621A0D" w:rsidRDefault="00621A0D">
            <w:pPr>
              <w:pStyle w:val="Footer"/>
              <w:jc w:val="right"/>
            </w:pPr>
            <w:r w:rsidRPr="00621A0D">
              <w:t xml:space="preserve">Page </w:t>
            </w:r>
            <w:fldSimple w:instr=" PAGE ">
              <w:r w:rsidR="000B5D35">
                <w:rPr>
                  <w:noProof/>
                </w:rPr>
                <w:t>6</w:t>
              </w:r>
            </w:fldSimple>
            <w:r w:rsidRPr="00621A0D">
              <w:t xml:space="preserve"> of </w:t>
            </w:r>
            <w:fldSimple w:instr=" NUMPAGES  ">
              <w:r w:rsidR="000B5D35">
                <w:rPr>
                  <w:noProof/>
                </w:rPr>
                <w:t>6</w:t>
              </w:r>
            </w:fldSimple>
          </w:p>
        </w:sdtContent>
      </w:sdt>
    </w:sdtContent>
  </w:sdt>
  <w:p w:rsidR="0003241C" w:rsidRPr="008F4AEE" w:rsidRDefault="0003241C" w:rsidP="008E17F3">
    <w:pPr>
      <w:pStyle w:val="Footer"/>
      <w:tabs>
        <w:tab w:val="clear" w:pos="4153"/>
        <w:tab w:val="clear" w:pos="8306"/>
        <w:tab w:val="left" w:pos="7680"/>
      </w:tabs>
      <w:ind w:right="27"/>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2DF" w:rsidRDefault="001D72DF" w:rsidP="008E17F3">
      <w:pPr>
        <w:spacing w:line="240" w:lineRule="auto"/>
      </w:pPr>
      <w:r>
        <w:separator/>
      </w:r>
    </w:p>
  </w:footnote>
  <w:footnote w:type="continuationSeparator" w:id="0">
    <w:p w:rsidR="001D72DF" w:rsidRDefault="001D72DF" w:rsidP="008E17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0EC2DE"/>
    <w:lvl w:ilvl="0">
      <w:start w:val="1"/>
      <w:numFmt w:val="decimal"/>
      <w:lvlText w:val="%1."/>
      <w:lvlJc w:val="left"/>
      <w:pPr>
        <w:tabs>
          <w:tab w:val="num" w:pos="1492"/>
        </w:tabs>
        <w:ind w:left="1492" w:hanging="360"/>
      </w:pPr>
    </w:lvl>
  </w:abstractNum>
  <w:abstractNum w:abstractNumId="1">
    <w:nsid w:val="FFFFFF7D"/>
    <w:multiLevelType w:val="singleLevel"/>
    <w:tmpl w:val="6D8057A2"/>
    <w:lvl w:ilvl="0">
      <w:start w:val="1"/>
      <w:numFmt w:val="decimal"/>
      <w:lvlText w:val="%1."/>
      <w:lvlJc w:val="left"/>
      <w:pPr>
        <w:tabs>
          <w:tab w:val="num" w:pos="1209"/>
        </w:tabs>
        <w:ind w:left="1209" w:hanging="360"/>
      </w:pPr>
    </w:lvl>
  </w:abstractNum>
  <w:abstractNum w:abstractNumId="2">
    <w:nsid w:val="FFFFFF7E"/>
    <w:multiLevelType w:val="singleLevel"/>
    <w:tmpl w:val="39D4CAE0"/>
    <w:lvl w:ilvl="0">
      <w:start w:val="1"/>
      <w:numFmt w:val="decimal"/>
      <w:lvlText w:val="%1."/>
      <w:lvlJc w:val="left"/>
      <w:pPr>
        <w:tabs>
          <w:tab w:val="num" w:pos="926"/>
        </w:tabs>
        <w:ind w:left="926" w:hanging="360"/>
      </w:pPr>
    </w:lvl>
  </w:abstractNum>
  <w:abstractNum w:abstractNumId="3">
    <w:nsid w:val="FFFFFF7F"/>
    <w:multiLevelType w:val="singleLevel"/>
    <w:tmpl w:val="E7C02DA4"/>
    <w:lvl w:ilvl="0">
      <w:start w:val="1"/>
      <w:numFmt w:val="decimal"/>
      <w:lvlText w:val="%1."/>
      <w:lvlJc w:val="left"/>
      <w:pPr>
        <w:tabs>
          <w:tab w:val="num" w:pos="643"/>
        </w:tabs>
        <w:ind w:left="643" w:hanging="360"/>
      </w:pPr>
    </w:lvl>
  </w:abstractNum>
  <w:abstractNum w:abstractNumId="4">
    <w:nsid w:val="FFFFFF80"/>
    <w:multiLevelType w:val="singleLevel"/>
    <w:tmpl w:val="173840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88B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260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4C15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DA479E"/>
    <w:lvl w:ilvl="0">
      <w:start w:val="1"/>
      <w:numFmt w:val="decimal"/>
      <w:lvlText w:val="%1."/>
      <w:lvlJc w:val="left"/>
      <w:pPr>
        <w:tabs>
          <w:tab w:val="num" w:pos="360"/>
        </w:tabs>
        <w:ind w:left="360" w:hanging="360"/>
      </w:pPr>
    </w:lvl>
  </w:abstractNum>
  <w:abstractNum w:abstractNumId="9">
    <w:nsid w:val="FFFFFF89"/>
    <w:multiLevelType w:val="singleLevel"/>
    <w:tmpl w:val="9E9C4520"/>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082235C"/>
    <w:multiLevelType w:val="hybridMultilevel"/>
    <w:tmpl w:val="78BE6B60"/>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attachedTemplate r:id="rId1"/>
  <w:stylePaneFormatFilter w:val="1024"/>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7177"/>
    <w:rsid w:val="000058A4"/>
    <w:rsid w:val="000136AF"/>
    <w:rsid w:val="000224F1"/>
    <w:rsid w:val="00022B7E"/>
    <w:rsid w:val="0003241C"/>
    <w:rsid w:val="00036B0B"/>
    <w:rsid w:val="00056743"/>
    <w:rsid w:val="000614BF"/>
    <w:rsid w:val="000B5D35"/>
    <w:rsid w:val="000D05EF"/>
    <w:rsid w:val="0010745C"/>
    <w:rsid w:val="00163EBD"/>
    <w:rsid w:val="00166C2F"/>
    <w:rsid w:val="00175104"/>
    <w:rsid w:val="00177177"/>
    <w:rsid w:val="00192F6C"/>
    <w:rsid w:val="001939E1"/>
    <w:rsid w:val="00195382"/>
    <w:rsid w:val="001C69C4"/>
    <w:rsid w:val="001D72DF"/>
    <w:rsid w:val="001E3590"/>
    <w:rsid w:val="001E7407"/>
    <w:rsid w:val="0022382C"/>
    <w:rsid w:val="002454CF"/>
    <w:rsid w:val="00253D1B"/>
    <w:rsid w:val="00295FBA"/>
    <w:rsid w:val="002970D7"/>
    <w:rsid w:val="00297ECB"/>
    <w:rsid w:val="002A407F"/>
    <w:rsid w:val="002D043A"/>
    <w:rsid w:val="002D6A8E"/>
    <w:rsid w:val="00311448"/>
    <w:rsid w:val="003168C0"/>
    <w:rsid w:val="00352B0F"/>
    <w:rsid w:val="00360FB0"/>
    <w:rsid w:val="003829CA"/>
    <w:rsid w:val="0039154F"/>
    <w:rsid w:val="003B5735"/>
    <w:rsid w:val="003C07D0"/>
    <w:rsid w:val="003D0BFE"/>
    <w:rsid w:val="003D5700"/>
    <w:rsid w:val="004116CD"/>
    <w:rsid w:val="0041662D"/>
    <w:rsid w:val="00424CA9"/>
    <w:rsid w:val="0044291A"/>
    <w:rsid w:val="004560FB"/>
    <w:rsid w:val="004653F8"/>
    <w:rsid w:val="00496F97"/>
    <w:rsid w:val="0051370A"/>
    <w:rsid w:val="00516B8D"/>
    <w:rsid w:val="005327A0"/>
    <w:rsid w:val="00537FBC"/>
    <w:rsid w:val="00584811"/>
    <w:rsid w:val="00594161"/>
    <w:rsid w:val="00594749"/>
    <w:rsid w:val="00600219"/>
    <w:rsid w:val="006207A3"/>
    <w:rsid w:val="00621A0D"/>
    <w:rsid w:val="006649F4"/>
    <w:rsid w:val="00677CC2"/>
    <w:rsid w:val="00680F77"/>
    <w:rsid w:val="0069207B"/>
    <w:rsid w:val="006B3A28"/>
    <w:rsid w:val="006C19F3"/>
    <w:rsid w:val="006C7F8C"/>
    <w:rsid w:val="006E2E9F"/>
    <w:rsid w:val="006F4315"/>
    <w:rsid w:val="006F7FA5"/>
    <w:rsid w:val="007276BC"/>
    <w:rsid w:val="00731E00"/>
    <w:rsid w:val="00733990"/>
    <w:rsid w:val="00766393"/>
    <w:rsid w:val="007715C9"/>
    <w:rsid w:val="00774EDD"/>
    <w:rsid w:val="007757EC"/>
    <w:rsid w:val="008001E2"/>
    <w:rsid w:val="008006B2"/>
    <w:rsid w:val="008353B1"/>
    <w:rsid w:val="0085253E"/>
    <w:rsid w:val="00856A31"/>
    <w:rsid w:val="008754D0"/>
    <w:rsid w:val="008E17F3"/>
    <w:rsid w:val="008E3B8C"/>
    <w:rsid w:val="008F4AEE"/>
    <w:rsid w:val="0094622F"/>
    <w:rsid w:val="0098638B"/>
    <w:rsid w:val="009A10B1"/>
    <w:rsid w:val="009C2175"/>
    <w:rsid w:val="00A231E2"/>
    <w:rsid w:val="00A32914"/>
    <w:rsid w:val="00A44ADA"/>
    <w:rsid w:val="00A62168"/>
    <w:rsid w:val="00A64912"/>
    <w:rsid w:val="00A70A74"/>
    <w:rsid w:val="00AD5641"/>
    <w:rsid w:val="00AF371C"/>
    <w:rsid w:val="00B33B3C"/>
    <w:rsid w:val="00B96FC8"/>
    <w:rsid w:val="00BA03BE"/>
    <w:rsid w:val="00BB037C"/>
    <w:rsid w:val="00BE719A"/>
    <w:rsid w:val="00BE720A"/>
    <w:rsid w:val="00C42BF8"/>
    <w:rsid w:val="00C4627E"/>
    <w:rsid w:val="00C50043"/>
    <w:rsid w:val="00C54DC4"/>
    <w:rsid w:val="00C61CDD"/>
    <w:rsid w:val="00C7573B"/>
    <w:rsid w:val="00C83868"/>
    <w:rsid w:val="00CA7858"/>
    <w:rsid w:val="00CF0BB2"/>
    <w:rsid w:val="00D13441"/>
    <w:rsid w:val="00D178E9"/>
    <w:rsid w:val="00D70DFB"/>
    <w:rsid w:val="00D766DF"/>
    <w:rsid w:val="00D8385F"/>
    <w:rsid w:val="00DB3CFE"/>
    <w:rsid w:val="00DC706D"/>
    <w:rsid w:val="00E74DC7"/>
    <w:rsid w:val="00EC5544"/>
    <w:rsid w:val="00EC7BF1"/>
    <w:rsid w:val="00ED0C49"/>
    <w:rsid w:val="00ED7425"/>
    <w:rsid w:val="00EF2E3A"/>
    <w:rsid w:val="00F04811"/>
    <w:rsid w:val="00F078DC"/>
    <w:rsid w:val="00F23E5F"/>
    <w:rsid w:val="00F26A40"/>
    <w:rsid w:val="00F35B94"/>
    <w:rsid w:val="00F51269"/>
    <w:rsid w:val="00F7445A"/>
    <w:rsid w:val="00FE495E"/>
    <w:rsid w:val="00FE65F7"/>
    <w:rsid w:val="00FF347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sz w:val="22"/>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99"/>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99"/>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733990"/>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733990"/>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733990"/>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733990"/>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733990"/>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733990"/>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3B5735"/>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3B5735"/>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3B5735"/>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sz w:val="22"/>
      <w:szCs w:val="24"/>
    </w:rPr>
  </w:style>
  <w:style w:type="character" w:customStyle="1" w:styleId="FooterChar">
    <w:name w:val="Footer Char"/>
    <w:link w:val="Footer"/>
    <w:uiPriority w:val="99"/>
    <w:rsid w:val="008E17F3"/>
    <w:rPr>
      <w:rFonts w:eastAsia="Times New Roman"/>
      <w:sz w:val="22"/>
      <w:szCs w:val="24"/>
      <w:lang w:eastAsia="en-AU" w:bidi="ar-SA"/>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sz w:val="16"/>
      <w:szCs w:val="16"/>
    </w:rPr>
  </w:style>
  <w:style w:type="character" w:customStyle="1" w:styleId="BalloonTextChar">
    <w:name w:val="Balloon Text Char"/>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TableHeading">
    <w:name w:val="TableHeading"/>
    <w:aliases w:val="th"/>
    <w:basedOn w:val="OPCParaBase"/>
    <w:next w:val="Tabletext"/>
    <w:rsid w:val="00036B0B"/>
    <w:pPr>
      <w:spacing w:before="60" w:line="240" w:lineRule="atLeast"/>
    </w:pPr>
    <w:rPr>
      <w:b/>
      <w:sz w:val="20"/>
    </w:rPr>
  </w:style>
  <w:style w:type="paragraph" w:customStyle="1" w:styleId="A1S">
    <w:name w:val="A1S"/>
    <w:aliases w:val="1.Schedule Amendment"/>
    <w:basedOn w:val="Normal"/>
    <w:next w:val="Normal"/>
    <w:uiPriority w:val="99"/>
    <w:rsid w:val="00177177"/>
    <w:pPr>
      <w:keepNext/>
      <w:keepLines/>
      <w:spacing w:before="480" w:line="260" w:lineRule="exact"/>
      <w:ind w:left="964" w:hanging="964"/>
    </w:pPr>
    <w:rPr>
      <w:rFonts w:ascii="Arial" w:eastAsia="Times New Roman" w:hAnsi="Arial"/>
      <w:b/>
      <w:sz w:val="24"/>
      <w:szCs w:val="24"/>
      <w:lang w:eastAsia="en-AU"/>
    </w:rPr>
  </w:style>
  <w:style w:type="paragraph" w:customStyle="1" w:styleId="Note">
    <w:name w:val="Note"/>
    <w:basedOn w:val="Normal"/>
    <w:link w:val="NoteChar"/>
    <w:uiPriority w:val="99"/>
    <w:rsid w:val="00177177"/>
    <w:pPr>
      <w:keepLines/>
      <w:spacing w:before="120" w:line="220" w:lineRule="exact"/>
      <w:ind w:left="964"/>
      <w:jc w:val="both"/>
    </w:pPr>
    <w:rPr>
      <w:rFonts w:eastAsia="Times New Roman"/>
      <w:sz w:val="20"/>
      <w:szCs w:val="24"/>
      <w:lang w:eastAsia="en-AU"/>
    </w:rPr>
  </w:style>
  <w:style w:type="character" w:customStyle="1" w:styleId="NoteChar">
    <w:name w:val="Note Char"/>
    <w:link w:val="Note"/>
    <w:uiPriority w:val="99"/>
    <w:locked/>
    <w:rsid w:val="00177177"/>
    <w:rPr>
      <w:rFonts w:eastAsia="Times New Roman" w:cs="Times New Roman"/>
      <w:szCs w:val="24"/>
      <w:lang w:eastAsia="en-AU"/>
    </w:rPr>
  </w:style>
  <w:style w:type="paragraph" w:customStyle="1" w:styleId="Scheduletitle">
    <w:name w:val="Schedule title"/>
    <w:basedOn w:val="Normal"/>
    <w:next w:val="Normal"/>
    <w:uiPriority w:val="99"/>
    <w:rsid w:val="00177177"/>
    <w:pPr>
      <w:keepNext/>
      <w:keepLines/>
      <w:spacing w:before="480" w:line="240" w:lineRule="auto"/>
      <w:ind w:left="2410" w:hanging="2410"/>
    </w:pPr>
    <w:rPr>
      <w:rFonts w:ascii="Arial" w:eastAsia="Times New Roman" w:hAnsi="Arial"/>
      <w:b/>
      <w:sz w:val="32"/>
      <w:szCs w:val="24"/>
      <w:lang w:eastAsia="en-AU"/>
    </w:rPr>
  </w:style>
  <w:style w:type="paragraph" w:customStyle="1" w:styleId="ScheduleVerb">
    <w:name w:val="Schedule Verb"/>
    <w:basedOn w:val="Normal"/>
    <w:uiPriority w:val="99"/>
    <w:rsid w:val="00177177"/>
    <w:pPr>
      <w:keepNext/>
      <w:spacing w:before="120" w:after="120" w:line="260" w:lineRule="exact"/>
      <w:ind w:left="964"/>
    </w:pPr>
    <w:rPr>
      <w:rFonts w:eastAsia="Times New Roman"/>
      <w:i/>
      <w:sz w:val="24"/>
      <w:szCs w:val="24"/>
      <w:lang w:eastAsia="en-AU"/>
    </w:rPr>
  </w:style>
  <w:style w:type="paragraph" w:customStyle="1" w:styleId="Sched1-Normal">
    <w:name w:val="Sched1-Normal"/>
    <w:basedOn w:val="Normal"/>
    <w:rsid w:val="00177177"/>
    <w:pPr>
      <w:spacing w:line="240" w:lineRule="auto"/>
    </w:pPr>
    <w:rPr>
      <w:rFonts w:ascii="Arial" w:eastAsia="Times New Roman" w:hAnsi="Arial"/>
      <w:sz w:val="16"/>
      <w:szCs w:val="16"/>
    </w:rPr>
  </w:style>
  <w:style w:type="paragraph" w:customStyle="1" w:styleId="HR">
    <w:name w:val="HR"/>
    <w:aliases w:val="Regulation Heading"/>
    <w:basedOn w:val="Normal"/>
    <w:next w:val="R1"/>
    <w:uiPriority w:val="99"/>
    <w:rsid w:val="00175104"/>
    <w:pPr>
      <w:keepNext/>
      <w:keepLines/>
      <w:spacing w:before="360" w:line="240" w:lineRule="auto"/>
      <w:ind w:left="964" w:hanging="964"/>
    </w:pPr>
    <w:rPr>
      <w:rFonts w:ascii="Arial" w:eastAsia="Times New Roman" w:hAnsi="Arial"/>
      <w:b/>
      <w:sz w:val="24"/>
      <w:szCs w:val="24"/>
      <w:lang w:eastAsia="en-AU"/>
    </w:rPr>
  </w:style>
  <w:style w:type="paragraph" w:customStyle="1" w:styleId="R1">
    <w:name w:val="R1"/>
    <w:aliases w:val="1. or 1.(1)"/>
    <w:basedOn w:val="Normal"/>
    <w:next w:val="Normal"/>
    <w:uiPriority w:val="99"/>
    <w:rsid w:val="00175104"/>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uiPriority w:val="99"/>
    <w:rsid w:val="00175104"/>
    <w:pPr>
      <w:keepLines/>
      <w:spacing w:before="180" w:line="240" w:lineRule="auto"/>
      <w:ind w:left="964"/>
      <w:jc w:val="both"/>
    </w:pPr>
    <w:rPr>
      <w:rFonts w:eastAsia="Times New Roman"/>
      <w:sz w:val="24"/>
      <w:szCs w:val="24"/>
      <w:lang w:eastAsia="en-AU"/>
    </w:rPr>
  </w:style>
  <w:style w:type="character" w:customStyle="1" w:styleId="ItalicText">
    <w:name w:val="ItalicText"/>
    <w:uiPriority w:val="99"/>
    <w:qFormat/>
    <w:rsid w:val="00175104"/>
    <w:rPr>
      <w:rFonts w:cs="Times New Roman"/>
      <w:i/>
    </w:rPr>
  </w:style>
  <w:style w:type="paragraph" w:styleId="Title">
    <w:name w:val="Title"/>
    <w:basedOn w:val="Normal"/>
    <w:next w:val="Normal"/>
    <w:link w:val="TitleChar"/>
    <w:uiPriority w:val="99"/>
    <w:qFormat/>
    <w:rsid w:val="00B96FC8"/>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99"/>
    <w:rsid w:val="00B96FC8"/>
    <w:rPr>
      <w:rFonts w:ascii="Arial" w:eastAsia="Times New Roman" w:hAnsi="Arial" w:cs="Arial"/>
      <w:b/>
      <w:bCs/>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51</TotalTime>
  <Pages>6</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Insert for transfer of functions instrument</vt:lpstr>
    </vt:vector>
  </TitlesOfParts>
  <Company>Office of Parliamentary Counsel</Company>
  <LinksUpToDate>false</LinksUpToDate>
  <CharactersWithSpaces>13009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 transfer of functions instrument</dc:title>
  <dc:creator>Peter Quiggin</dc:creator>
  <cp:lastModifiedBy>John Kapsalis</cp:lastModifiedBy>
  <cp:revision>14</cp:revision>
  <cp:lastPrinted>2013-05-07T14:10:00Z</cp:lastPrinted>
  <dcterms:created xsi:type="dcterms:W3CDTF">2013-05-06T04:10:00Z</dcterms:created>
  <dcterms:modified xsi:type="dcterms:W3CDTF">2013-05-09T05:13:00Z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ies>
</file>