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0B" w:rsidRDefault="00372B0B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43019F" w:rsidRDefault="0043019F" w:rsidP="0043019F">
      <w:pPr>
        <w:spacing w:before="120" w:after="120"/>
        <w:jc w:val="center"/>
        <w:rPr>
          <w:sz w:val="24"/>
        </w:rPr>
      </w:pPr>
      <w:r w:rsidRPr="00C74A16">
        <w:rPr>
          <w:sz w:val="24"/>
        </w:rPr>
        <w:t>Issued by the authority of the Minister for Finance and Deregulation</w:t>
      </w:r>
    </w:p>
    <w:p w:rsidR="00372B0B" w:rsidRDefault="0043019F" w:rsidP="0043019F">
      <w:pPr>
        <w:spacing w:before="120" w:after="120"/>
        <w:jc w:val="center"/>
        <w:rPr>
          <w:i/>
          <w:sz w:val="24"/>
        </w:rPr>
      </w:pPr>
      <w:r w:rsidRPr="00DE5602">
        <w:rPr>
          <w:i/>
          <w:sz w:val="24"/>
        </w:rPr>
        <w:t xml:space="preserve">Financial Management and Accountability </w:t>
      </w:r>
      <w:r>
        <w:rPr>
          <w:i/>
          <w:sz w:val="24"/>
        </w:rPr>
        <w:t>Act 1997</w:t>
      </w:r>
    </w:p>
    <w:p w:rsidR="00372B0B" w:rsidRPr="00DF14D5" w:rsidRDefault="00E03420" w:rsidP="00C74A16">
      <w:pPr>
        <w:spacing w:before="120" w:after="120"/>
        <w:jc w:val="center"/>
        <w:rPr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FMA</w:t>
      </w:r>
      <w:r w:rsidR="00372B0B" w:rsidRPr="00DE5602">
        <w:rPr>
          <w:i/>
          <w:sz w:val="24"/>
        </w:rPr>
        <w:t xml:space="preserve"> </w:t>
      </w:r>
      <w:r>
        <w:rPr>
          <w:i/>
          <w:sz w:val="24"/>
        </w:rPr>
        <w:t xml:space="preserve">Act </w:t>
      </w:r>
      <w:r w:rsidR="009E29D8">
        <w:rPr>
          <w:i/>
          <w:sz w:val="24"/>
        </w:rPr>
        <w:t xml:space="preserve">Determination </w:t>
      </w:r>
      <w:r w:rsidR="0048492A">
        <w:rPr>
          <w:i/>
          <w:sz w:val="24"/>
        </w:rPr>
        <w:t>2013/</w:t>
      </w:r>
      <w:r w:rsidR="008C2115">
        <w:rPr>
          <w:i/>
          <w:sz w:val="24"/>
        </w:rPr>
        <w:t>0</w:t>
      </w:r>
      <w:r w:rsidR="006E0B61">
        <w:rPr>
          <w:i/>
          <w:sz w:val="24"/>
        </w:rPr>
        <w:t>2</w:t>
      </w:r>
      <w:r w:rsidR="009E29D8">
        <w:rPr>
          <w:i/>
          <w:sz w:val="24"/>
        </w:rPr>
        <w:t xml:space="preserve"> – Section 32 (Transfer of Functions from </w:t>
      </w:r>
      <w:r w:rsidR="001D2DDE">
        <w:rPr>
          <w:i/>
          <w:sz w:val="24"/>
        </w:rPr>
        <w:t>AGD to OPC</w:t>
      </w:r>
      <w:r w:rsidR="009E29D8">
        <w:rPr>
          <w:i/>
          <w:sz w:val="24"/>
        </w:rPr>
        <w:t>)</w:t>
      </w:r>
      <w:bookmarkEnd w:id="0"/>
      <w:bookmarkEnd w:id="1"/>
      <w:r w:rsidR="00DF14D5">
        <w:rPr>
          <w:i/>
          <w:sz w:val="24"/>
        </w:rPr>
        <w:t xml:space="preserve"> </w:t>
      </w:r>
      <w:r w:rsidR="001D2DDE">
        <w:rPr>
          <w:i/>
          <w:sz w:val="24"/>
        </w:rPr>
        <w:br/>
      </w:r>
      <w:r w:rsidR="00DF14D5">
        <w:rPr>
          <w:sz w:val="24"/>
        </w:rPr>
        <w:t>(th</w:t>
      </w:r>
      <w:r w:rsidR="009C4AD3">
        <w:rPr>
          <w:sz w:val="24"/>
        </w:rPr>
        <w:t>is</w:t>
      </w:r>
      <w:r w:rsidR="00DF14D5">
        <w:rPr>
          <w:sz w:val="24"/>
        </w:rPr>
        <w:t xml:space="preserve"> </w:t>
      </w:r>
      <w:r w:rsidR="009C4AD3">
        <w:rPr>
          <w:sz w:val="24"/>
        </w:rPr>
        <w:t>D</w:t>
      </w:r>
      <w:r w:rsidR="00DF14D5">
        <w:rPr>
          <w:sz w:val="24"/>
        </w:rPr>
        <w:t>etermination)</w:t>
      </w:r>
    </w:p>
    <w:p w:rsidR="00372B0B" w:rsidRPr="00D33E29" w:rsidRDefault="00372B0B" w:rsidP="00DF14D5">
      <w:pPr>
        <w:pStyle w:val="Heading3"/>
        <w:jc w:val="both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 w:rsidR="0023003E">
        <w:rPr>
          <w:sz w:val="22"/>
          <w:szCs w:val="22"/>
        </w:rPr>
        <w:t>this Determination</w:t>
      </w:r>
    </w:p>
    <w:p w:rsidR="009E29D8" w:rsidRPr="00D33E29" w:rsidRDefault="00372B0B" w:rsidP="009E29D8">
      <w:pPr>
        <w:pStyle w:val="BodyText"/>
        <w:spacing w:before="120" w:after="120"/>
        <w:jc w:val="both"/>
        <w:rPr>
          <w:sz w:val="22"/>
          <w:szCs w:val="22"/>
        </w:rPr>
      </w:pPr>
      <w:r w:rsidRPr="00D33E29">
        <w:rPr>
          <w:sz w:val="22"/>
          <w:szCs w:val="22"/>
        </w:rPr>
        <w:t>Th</w:t>
      </w:r>
      <w:r w:rsidR="009C4AD3">
        <w:rPr>
          <w:sz w:val="22"/>
          <w:szCs w:val="22"/>
        </w:rPr>
        <w:t>is</w:t>
      </w:r>
      <w:r w:rsidRPr="00D33E29">
        <w:rPr>
          <w:sz w:val="22"/>
          <w:szCs w:val="22"/>
        </w:rPr>
        <w:t xml:space="preserve"> </w:t>
      </w:r>
      <w:r w:rsidR="009C4AD3">
        <w:rPr>
          <w:sz w:val="22"/>
          <w:szCs w:val="22"/>
        </w:rPr>
        <w:t>D</w:t>
      </w:r>
      <w:r w:rsidRPr="00D33E29">
        <w:rPr>
          <w:sz w:val="22"/>
          <w:szCs w:val="22"/>
        </w:rPr>
        <w:t xml:space="preserve">etermination is made under </w:t>
      </w:r>
      <w:r w:rsidR="009E29D8" w:rsidRPr="00D33E29">
        <w:rPr>
          <w:sz w:val="22"/>
          <w:szCs w:val="22"/>
        </w:rPr>
        <w:t>section 32</w:t>
      </w:r>
      <w:r w:rsidRPr="00D33E29">
        <w:rPr>
          <w:sz w:val="22"/>
          <w:szCs w:val="22"/>
        </w:rPr>
        <w:t xml:space="preserve"> of the </w:t>
      </w:r>
      <w:r w:rsidRPr="00D33E29">
        <w:rPr>
          <w:i/>
          <w:sz w:val="22"/>
          <w:szCs w:val="22"/>
        </w:rPr>
        <w:t>Financial Management and Accountability Act 1997</w:t>
      </w:r>
      <w:r w:rsidRPr="00D33E29">
        <w:rPr>
          <w:sz w:val="22"/>
          <w:szCs w:val="22"/>
        </w:rPr>
        <w:t xml:space="preserve"> (FMA Act)</w:t>
      </w:r>
      <w:r w:rsidR="009E29D8" w:rsidRPr="00D33E29">
        <w:rPr>
          <w:sz w:val="22"/>
          <w:szCs w:val="22"/>
        </w:rPr>
        <w:t>,</w:t>
      </w:r>
      <w:r w:rsidRPr="00D33E29">
        <w:rPr>
          <w:sz w:val="22"/>
          <w:szCs w:val="22"/>
        </w:rPr>
        <w:t xml:space="preserve"> </w:t>
      </w:r>
      <w:r w:rsidR="00F67E82" w:rsidRPr="00D33E29">
        <w:rPr>
          <w:sz w:val="22"/>
          <w:szCs w:val="22"/>
        </w:rPr>
        <w:t xml:space="preserve">due </w:t>
      </w:r>
      <w:r w:rsidR="002271A6" w:rsidRPr="00D33E29">
        <w:rPr>
          <w:sz w:val="22"/>
          <w:szCs w:val="22"/>
        </w:rPr>
        <w:t xml:space="preserve">to </w:t>
      </w:r>
      <w:r w:rsidR="00E72E78">
        <w:rPr>
          <w:sz w:val="22"/>
          <w:szCs w:val="22"/>
        </w:rPr>
        <w:t xml:space="preserve">a change made to the </w:t>
      </w:r>
      <w:r w:rsidR="00E72E78" w:rsidRPr="00E72E78">
        <w:rPr>
          <w:i/>
          <w:sz w:val="22"/>
          <w:szCs w:val="22"/>
        </w:rPr>
        <w:t>Parliamentary Counsel Act 1970</w:t>
      </w:r>
      <w:r w:rsidR="00E72E78">
        <w:rPr>
          <w:sz w:val="22"/>
          <w:szCs w:val="22"/>
        </w:rPr>
        <w:t xml:space="preserve"> on 1 October 2012</w:t>
      </w:r>
      <w:r w:rsidR="00F67E82" w:rsidRPr="00D33E29">
        <w:rPr>
          <w:sz w:val="22"/>
          <w:szCs w:val="22"/>
        </w:rPr>
        <w:t xml:space="preserve"> to </w:t>
      </w:r>
      <w:r w:rsidR="005A2845">
        <w:rPr>
          <w:sz w:val="22"/>
          <w:szCs w:val="22"/>
        </w:rPr>
        <w:t xml:space="preserve">transfer the </w:t>
      </w:r>
      <w:r w:rsidR="00E72E78">
        <w:rPr>
          <w:sz w:val="22"/>
          <w:szCs w:val="22"/>
        </w:rPr>
        <w:t>functions relating to the former</w:t>
      </w:r>
      <w:r w:rsidR="002271A6" w:rsidRPr="00D33E29">
        <w:rPr>
          <w:sz w:val="22"/>
          <w:szCs w:val="22"/>
        </w:rPr>
        <w:t xml:space="preserve"> </w:t>
      </w:r>
      <w:r w:rsidR="00F67E82" w:rsidRPr="00D33E29">
        <w:rPr>
          <w:sz w:val="22"/>
          <w:szCs w:val="22"/>
        </w:rPr>
        <w:t>Office of</w:t>
      </w:r>
      <w:r w:rsidR="002271A6" w:rsidRPr="00D33E29">
        <w:rPr>
          <w:sz w:val="22"/>
          <w:szCs w:val="22"/>
        </w:rPr>
        <w:t xml:space="preserve"> Legislative Drafting and Publishing (OLDP) from the Attorney-General’s Department (AGD) to the Office of Parliamentary Counsel (OPC). </w:t>
      </w:r>
    </w:p>
    <w:p w:rsidR="009E29D8" w:rsidRPr="00D33E29" w:rsidRDefault="009E29D8" w:rsidP="009E29D8">
      <w:pPr>
        <w:pStyle w:val="BodyText"/>
        <w:spacing w:before="120" w:after="120"/>
        <w:jc w:val="both"/>
        <w:rPr>
          <w:sz w:val="22"/>
          <w:szCs w:val="22"/>
        </w:rPr>
      </w:pPr>
      <w:r w:rsidRPr="00D33E29">
        <w:rPr>
          <w:sz w:val="22"/>
          <w:szCs w:val="22"/>
        </w:rPr>
        <w:t>Th</w:t>
      </w:r>
      <w:r w:rsidR="009C4AD3">
        <w:rPr>
          <w:sz w:val="22"/>
          <w:szCs w:val="22"/>
        </w:rPr>
        <w:t>is</w:t>
      </w:r>
      <w:r w:rsidRPr="00D33E29">
        <w:rPr>
          <w:sz w:val="22"/>
          <w:szCs w:val="22"/>
        </w:rPr>
        <w:t xml:space="preserve"> </w:t>
      </w:r>
      <w:r w:rsidR="009C4AD3">
        <w:rPr>
          <w:sz w:val="22"/>
          <w:szCs w:val="22"/>
        </w:rPr>
        <w:t>D</w:t>
      </w:r>
      <w:r w:rsidRPr="00D33E29">
        <w:rPr>
          <w:sz w:val="22"/>
          <w:szCs w:val="22"/>
        </w:rPr>
        <w:t xml:space="preserve">etermination transfers </w:t>
      </w:r>
      <w:r w:rsidR="00F67E82" w:rsidRPr="00D33E29">
        <w:rPr>
          <w:sz w:val="22"/>
          <w:szCs w:val="22"/>
        </w:rPr>
        <w:t>appropriations</w:t>
      </w:r>
      <w:r w:rsidR="00B40943" w:rsidRPr="00D33E29">
        <w:rPr>
          <w:sz w:val="22"/>
          <w:szCs w:val="22"/>
        </w:rPr>
        <w:t xml:space="preserve"> </w:t>
      </w:r>
      <w:r w:rsidR="00F67E82" w:rsidRPr="00D33E29">
        <w:rPr>
          <w:sz w:val="22"/>
          <w:szCs w:val="22"/>
        </w:rPr>
        <w:t xml:space="preserve">related to the OLDP function </w:t>
      </w:r>
      <w:r w:rsidR="00D2351A" w:rsidRPr="00D33E29">
        <w:rPr>
          <w:sz w:val="22"/>
          <w:szCs w:val="22"/>
        </w:rPr>
        <w:t>from AGD to OPC.</w:t>
      </w:r>
    </w:p>
    <w:p w:rsidR="00372B0B" w:rsidRPr="00D33E29" w:rsidRDefault="009E29D8" w:rsidP="00DF14D5">
      <w:pPr>
        <w:pStyle w:val="Heading3"/>
        <w:jc w:val="both"/>
        <w:rPr>
          <w:iCs/>
          <w:sz w:val="22"/>
          <w:szCs w:val="22"/>
        </w:rPr>
      </w:pPr>
      <w:r w:rsidRPr="00D33E29">
        <w:rPr>
          <w:iCs/>
          <w:sz w:val="22"/>
          <w:szCs w:val="22"/>
        </w:rPr>
        <w:t>Transfer of Functions generally</w:t>
      </w:r>
    </w:p>
    <w:p w:rsidR="006A7162" w:rsidRPr="00D33E29" w:rsidRDefault="006A7162" w:rsidP="006A7162">
      <w:pPr>
        <w:pStyle w:val="Heading3"/>
        <w:keepNext w:val="0"/>
        <w:jc w:val="both"/>
        <w:rPr>
          <w:b w:val="0"/>
          <w:sz w:val="22"/>
          <w:szCs w:val="22"/>
        </w:rPr>
      </w:pPr>
      <w:r w:rsidRPr="00D33E29">
        <w:rPr>
          <w:b w:val="0"/>
          <w:sz w:val="22"/>
          <w:szCs w:val="22"/>
        </w:rPr>
        <w:t xml:space="preserve">Subsection 32(2) of the FMA Act enables the </w:t>
      </w:r>
      <w:r w:rsidR="00651ED0">
        <w:rPr>
          <w:b w:val="0"/>
          <w:sz w:val="22"/>
          <w:szCs w:val="22"/>
        </w:rPr>
        <w:t>Finance Minister</w:t>
      </w:r>
      <w:r w:rsidRPr="00D33E29">
        <w:rPr>
          <w:b w:val="0"/>
          <w:sz w:val="22"/>
          <w:szCs w:val="22"/>
        </w:rPr>
        <w:t xml:space="preserve"> to determine that one or more Schedules to one or more Appropriation Acts </w:t>
      </w:r>
      <w:r w:rsidR="00651ED0">
        <w:rPr>
          <w:b w:val="0"/>
          <w:sz w:val="22"/>
          <w:szCs w:val="22"/>
        </w:rPr>
        <w:t xml:space="preserve">under subsection 32(2) </w:t>
      </w:r>
      <w:r w:rsidRPr="00D33E29">
        <w:rPr>
          <w:b w:val="0"/>
          <w:sz w:val="22"/>
          <w:szCs w:val="22"/>
        </w:rPr>
        <w:t xml:space="preserve">are amended in relation to the transfer of a function from one </w:t>
      </w:r>
      <w:r w:rsidR="003C7C13" w:rsidRPr="00D33E29">
        <w:rPr>
          <w:b w:val="0"/>
          <w:sz w:val="22"/>
          <w:szCs w:val="22"/>
        </w:rPr>
        <w:t>Agency</w:t>
      </w:r>
      <w:r w:rsidRPr="00D33E29">
        <w:rPr>
          <w:b w:val="0"/>
          <w:sz w:val="22"/>
          <w:szCs w:val="22"/>
        </w:rPr>
        <w:t xml:space="preserve"> to another.</w:t>
      </w:r>
    </w:p>
    <w:p w:rsidR="006A7162" w:rsidRPr="00D33E29" w:rsidRDefault="006A7162" w:rsidP="006A7162">
      <w:pPr>
        <w:pStyle w:val="Heading3"/>
        <w:keepNext w:val="0"/>
        <w:jc w:val="both"/>
        <w:rPr>
          <w:b w:val="0"/>
          <w:sz w:val="22"/>
          <w:szCs w:val="22"/>
        </w:rPr>
      </w:pPr>
      <w:r w:rsidRPr="00D33E29">
        <w:rPr>
          <w:b w:val="0"/>
          <w:sz w:val="22"/>
          <w:szCs w:val="22"/>
        </w:rPr>
        <w:t>Under section 62 of the FMA Act</w:t>
      </w:r>
      <w:r w:rsidR="00651ED0">
        <w:rPr>
          <w:b w:val="0"/>
          <w:sz w:val="22"/>
          <w:szCs w:val="22"/>
        </w:rPr>
        <w:t>,</w:t>
      </w:r>
      <w:r w:rsidRPr="00D33E29">
        <w:rPr>
          <w:b w:val="0"/>
          <w:sz w:val="22"/>
          <w:szCs w:val="22"/>
        </w:rPr>
        <w:t xml:space="preserve"> the Fin</w:t>
      </w:r>
      <w:r w:rsidR="00651ED0">
        <w:rPr>
          <w:b w:val="0"/>
          <w:sz w:val="22"/>
          <w:szCs w:val="22"/>
        </w:rPr>
        <w:t>ance Minister has delegated the</w:t>
      </w:r>
      <w:r w:rsidRPr="00D33E29">
        <w:rPr>
          <w:b w:val="0"/>
          <w:sz w:val="22"/>
          <w:szCs w:val="22"/>
        </w:rPr>
        <w:t xml:space="preserve"> power to the Secretary of the Department of Finance and Deregulation (Finance). Under section 53 of the FMA Act, the Secretary of Finance has delegated this power to certain</w:t>
      </w:r>
      <w:r w:rsidR="00651ED0">
        <w:rPr>
          <w:b w:val="0"/>
          <w:sz w:val="22"/>
          <w:szCs w:val="22"/>
        </w:rPr>
        <w:t xml:space="preserve"> Senior Executive Service</w:t>
      </w:r>
      <w:r w:rsidRPr="00D33E29">
        <w:rPr>
          <w:b w:val="0"/>
          <w:sz w:val="22"/>
          <w:szCs w:val="22"/>
        </w:rPr>
        <w:t xml:space="preserve"> officials within Finance.</w:t>
      </w:r>
    </w:p>
    <w:p w:rsidR="0002058A" w:rsidRPr="00D33E29" w:rsidRDefault="0002058A" w:rsidP="00B40943">
      <w:pPr>
        <w:spacing w:after="120"/>
        <w:rPr>
          <w:sz w:val="22"/>
          <w:szCs w:val="22"/>
        </w:rPr>
      </w:pPr>
      <w:r w:rsidRPr="00D33E29">
        <w:rPr>
          <w:sz w:val="22"/>
          <w:szCs w:val="22"/>
        </w:rPr>
        <w:t>Th</w:t>
      </w:r>
      <w:r w:rsidR="009C4AD3">
        <w:rPr>
          <w:sz w:val="22"/>
          <w:szCs w:val="22"/>
        </w:rPr>
        <w:t>is</w:t>
      </w:r>
      <w:r w:rsidRPr="00D33E29">
        <w:rPr>
          <w:sz w:val="22"/>
          <w:szCs w:val="22"/>
        </w:rPr>
        <w:t xml:space="preserve"> </w:t>
      </w:r>
      <w:r w:rsidR="009C4AD3">
        <w:rPr>
          <w:sz w:val="22"/>
          <w:szCs w:val="22"/>
        </w:rPr>
        <w:t>D</w:t>
      </w:r>
      <w:r w:rsidRPr="00D33E29">
        <w:rPr>
          <w:sz w:val="22"/>
          <w:szCs w:val="22"/>
        </w:rPr>
        <w:t xml:space="preserve">etermination is a legislative instrument for the purposes of section 5 of the </w:t>
      </w:r>
      <w:r w:rsidRPr="00D33E29">
        <w:rPr>
          <w:i/>
          <w:sz w:val="22"/>
          <w:szCs w:val="22"/>
        </w:rPr>
        <w:t>Legislative Instruments Act 2003</w:t>
      </w:r>
      <w:r w:rsidRPr="00D33E29">
        <w:rPr>
          <w:sz w:val="22"/>
          <w:szCs w:val="22"/>
        </w:rPr>
        <w:t>.</w:t>
      </w:r>
    </w:p>
    <w:p w:rsidR="00B40943" w:rsidRPr="00D33E29" w:rsidRDefault="00B40943" w:rsidP="00B40943">
      <w:pPr>
        <w:pStyle w:val="Heading3"/>
        <w:jc w:val="both"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372B0B" w:rsidRPr="00D33E29" w:rsidRDefault="00372B0B" w:rsidP="00DF14D5">
      <w:pPr>
        <w:spacing w:before="120" w:after="120"/>
        <w:jc w:val="both"/>
        <w:rPr>
          <w:sz w:val="22"/>
          <w:szCs w:val="22"/>
        </w:rPr>
      </w:pPr>
      <w:r w:rsidRPr="00D33E29">
        <w:rPr>
          <w:sz w:val="22"/>
          <w:szCs w:val="22"/>
        </w:rPr>
        <w:t>A Statement of Compatibility with Human Rights is not required for th</w:t>
      </w:r>
      <w:r w:rsidR="009C4AD3">
        <w:rPr>
          <w:sz w:val="22"/>
          <w:szCs w:val="22"/>
        </w:rPr>
        <w:t>is</w:t>
      </w:r>
      <w:r w:rsidRPr="00D33E29">
        <w:rPr>
          <w:sz w:val="22"/>
          <w:szCs w:val="22"/>
        </w:rPr>
        <w:t xml:space="preserve"> </w:t>
      </w:r>
      <w:r w:rsidR="009C4AD3">
        <w:rPr>
          <w:sz w:val="22"/>
          <w:szCs w:val="22"/>
        </w:rPr>
        <w:t>D</w:t>
      </w:r>
      <w:r w:rsidRPr="00D33E29">
        <w:rPr>
          <w:sz w:val="22"/>
          <w:szCs w:val="22"/>
        </w:rPr>
        <w:t>etermination.  Subsection 9(1) of the</w:t>
      </w:r>
      <w:r w:rsidRPr="00D33E29">
        <w:rPr>
          <w:i/>
          <w:iCs/>
          <w:sz w:val="22"/>
          <w:szCs w:val="22"/>
        </w:rPr>
        <w:t xml:space="preserve"> Human Rights (Parliamentary Scrutiny) Act 2011 </w:t>
      </w:r>
      <w:r w:rsidRPr="00D33E29">
        <w:rPr>
          <w:sz w:val="22"/>
          <w:szCs w:val="22"/>
        </w:rPr>
        <w:t>requires a Statement of Compatibility with Human Rights for all legislative instruments subject to disallowance under section 42 of the</w:t>
      </w:r>
      <w:r w:rsidRPr="00D33E29">
        <w:rPr>
          <w:i/>
          <w:iCs/>
          <w:sz w:val="22"/>
          <w:szCs w:val="22"/>
        </w:rPr>
        <w:t xml:space="preserve"> Legislative Instruments Act 2003.  </w:t>
      </w:r>
      <w:r w:rsidR="006A7162" w:rsidRPr="00D33E29">
        <w:rPr>
          <w:iCs/>
          <w:sz w:val="22"/>
          <w:szCs w:val="22"/>
        </w:rPr>
        <w:t>A</w:t>
      </w:r>
      <w:r w:rsidR="006A7162" w:rsidRPr="00D33E29">
        <w:rPr>
          <w:sz w:val="22"/>
          <w:szCs w:val="22"/>
        </w:rPr>
        <w:t xml:space="preserve"> </w:t>
      </w:r>
      <w:r w:rsidR="009C4AD3">
        <w:rPr>
          <w:sz w:val="22"/>
          <w:szCs w:val="22"/>
        </w:rPr>
        <w:t>D</w:t>
      </w:r>
      <w:r w:rsidR="006A7162" w:rsidRPr="00D33E29">
        <w:rPr>
          <w:sz w:val="22"/>
          <w:szCs w:val="22"/>
        </w:rPr>
        <w:t>etermination under subsection 32(2)</w:t>
      </w:r>
      <w:r w:rsidR="002138B6" w:rsidRPr="00D33E29">
        <w:rPr>
          <w:sz w:val="22"/>
          <w:szCs w:val="22"/>
        </w:rPr>
        <w:t xml:space="preserve"> of the FMA Act</w:t>
      </w:r>
      <w:r w:rsidR="006A7162" w:rsidRPr="00D33E29">
        <w:rPr>
          <w:sz w:val="22"/>
          <w:szCs w:val="22"/>
        </w:rPr>
        <w:t xml:space="preserve"> is</w:t>
      </w:r>
      <w:r w:rsidRPr="00D33E29">
        <w:rPr>
          <w:sz w:val="22"/>
          <w:szCs w:val="22"/>
        </w:rPr>
        <w:t xml:space="preserve"> </w:t>
      </w:r>
      <w:r w:rsidR="006A7162" w:rsidRPr="00D33E29">
        <w:rPr>
          <w:sz w:val="22"/>
          <w:szCs w:val="22"/>
        </w:rPr>
        <w:t>exempt from</w:t>
      </w:r>
      <w:r w:rsidRPr="00D33E29">
        <w:rPr>
          <w:sz w:val="22"/>
          <w:szCs w:val="22"/>
        </w:rPr>
        <w:t xml:space="preserve"> disallowance under </w:t>
      </w:r>
      <w:r w:rsidR="002138B6" w:rsidRPr="00D33E29">
        <w:rPr>
          <w:sz w:val="22"/>
          <w:szCs w:val="22"/>
        </w:rPr>
        <w:t xml:space="preserve">subsection 32(7) </w:t>
      </w:r>
      <w:r w:rsidRPr="00D33E29">
        <w:rPr>
          <w:sz w:val="22"/>
          <w:szCs w:val="22"/>
        </w:rPr>
        <w:t>of the</w:t>
      </w:r>
      <w:r w:rsidRPr="00D33E29">
        <w:rPr>
          <w:i/>
          <w:iCs/>
          <w:sz w:val="22"/>
          <w:szCs w:val="22"/>
        </w:rPr>
        <w:t xml:space="preserve"> </w:t>
      </w:r>
      <w:r w:rsidR="002138B6" w:rsidRPr="00D33E29">
        <w:rPr>
          <w:iCs/>
          <w:sz w:val="22"/>
          <w:szCs w:val="22"/>
        </w:rPr>
        <w:t>FMA Act</w:t>
      </w:r>
      <w:r w:rsidR="00651ED0">
        <w:rPr>
          <w:iCs/>
          <w:sz w:val="22"/>
          <w:szCs w:val="22"/>
        </w:rPr>
        <w:t>.</w:t>
      </w:r>
      <w:r w:rsidR="006A7162" w:rsidRPr="00D33E29">
        <w:rPr>
          <w:sz w:val="22"/>
          <w:szCs w:val="22"/>
        </w:rPr>
        <w:t xml:space="preserve"> </w:t>
      </w:r>
      <w:r w:rsidR="00651ED0">
        <w:rPr>
          <w:sz w:val="22"/>
          <w:szCs w:val="22"/>
        </w:rPr>
        <w:t>A</w:t>
      </w:r>
      <w:r w:rsidRPr="00D33E29">
        <w:rPr>
          <w:sz w:val="22"/>
          <w:szCs w:val="22"/>
        </w:rPr>
        <w:t xml:space="preserve">s </w:t>
      </w:r>
      <w:r w:rsidR="0002058A" w:rsidRPr="00D33E29">
        <w:rPr>
          <w:sz w:val="22"/>
          <w:szCs w:val="22"/>
        </w:rPr>
        <w:t>such</w:t>
      </w:r>
      <w:r w:rsidR="00210E42" w:rsidRPr="00D33E29">
        <w:rPr>
          <w:sz w:val="22"/>
          <w:szCs w:val="22"/>
        </w:rPr>
        <w:t>,</w:t>
      </w:r>
      <w:r w:rsidR="0002058A" w:rsidRPr="00D33E29">
        <w:rPr>
          <w:sz w:val="22"/>
          <w:szCs w:val="22"/>
        </w:rPr>
        <w:t xml:space="preserve"> </w:t>
      </w:r>
      <w:r w:rsidRPr="00D33E29">
        <w:rPr>
          <w:sz w:val="22"/>
          <w:szCs w:val="22"/>
        </w:rPr>
        <w:t>a Statement of Compatibility with Human Rights is not required.</w:t>
      </w:r>
    </w:p>
    <w:p w:rsidR="00C517F3" w:rsidRPr="00D33E29" w:rsidRDefault="00C517F3" w:rsidP="00C517F3">
      <w:pPr>
        <w:pStyle w:val="Heading3"/>
        <w:jc w:val="both"/>
        <w:rPr>
          <w:sz w:val="22"/>
          <w:szCs w:val="22"/>
        </w:rPr>
      </w:pPr>
      <w:r w:rsidRPr="00D33E29">
        <w:rPr>
          <w:sz w:val="22"/>
          <w:szCs w:val="22"/>
        </w:rPr>
        <w:t>Consultation and Impact</w:t>
      </w:r>
    </w:p>
    <w:p w:rsidR="00C517F3" w:rsidRPr="00D33E29" w:rsidRDefault="00B40943" w:rsidP="00C517F3">
      <w:pPr>
        <w:pStyle w:val="BodyText"/>
        <w:spacing w:before="120" w:after="120"/>
        <w:jc w:val="both"/>
        <w:rPr>
          <w:sz w:val="22"/>
          <w:szCs w:val="22"/>
        </w:rPr>
      </w:pPr>
      <w:r w:rsidRPr="00D33E29">
        <w:rPr>
          <w:sz w:val="22"/>
          <w:szCs w:val="22"/>
        </w:rPr>
        <w:t>Consistent</w:t>
      </w:r>
      <w:r w:rsidR="00C517F3" w:rsidRPr="00D33E29">
        <w:rPr>
          <w:sz w:val="22"/>
          <w:szCs w:val="22"/>
        </w:rPr>
        <w:t xml:space="preserve"> with Part 3 of the</w:t>
      </w:r>
      <w:r w:rsidR="00C517F3" w:rsidRPr="00D33E29">
        <w:rPr>
          <w:i/>
          <w:sz w:val="22"/>
          <w:szCs w:val="22"/>
        </w:rPr>
        <w:t xml:space="preserve"> Legislative Instruments Act 2003</w:t>
      </w:r>
      <w:r w:rsidR="00C517F3" w:rsidRPr="00D33E29">
        <w:rPr>
          <w:sz w:val="22"/>
          <w:szCs w:val="22"/>
        </w:rPr>
        <w:t xml:space="preserve">, </w:t>
      </w:r>
      <w:r w:rsidR="00D2351A" w:rsidRPr="00D33E29">
        <w:rPr>
          <w:noProof/>
          <w:sz w:val="22"/>
          <w:szCs w:val="22"/>
        </w:rPr>
        <w:t>AGD and OPC</w:t>
      </w:r>
      <w:r w:rsidR="00C517F3" w:rsidRPr="00D33E29">
        <w:rPr>
          <w:sz w:val="22"/>
          <w:szCs w:val="22"/>
        </w:rPr>
        <w:t xml:space="preserve"> were consulted in the preparation of this </w:t>
      </w:r>
      <w:r w:rsidR="009C4AD3">
        <w:rPr>
          <w:sz w:val="22"/>
          <w:szCs w:val="22"/>
        </w:rPr>
        <w:t>D</w:t>
      </w:r>
      <w:r w:rsidRPr="00D33E29">
        <w:rPr>
          <w:sz w:val="22"/>
          <w:szCs w:val="22"/>
        </w:rPr>
        <w:t>etermination</w:t>
      </w:r>
      <w:r w:rsidR="00C517F3" w:rsidRPr="00D33E29">
        <w:rPr>
          <w:sz w:val="22"/>
          <w:szCs w:val="22"/>
        </w:rPr>
        <w:t>.</w:t>
      </w:r>
    </w:p>
    <w:p w:rsidR="00D33E29" w:rsidRDefault="00D33E29" w:rsidP="00D33E29">
      <w:pPr>
        <w:pStyle w:val="Heading3"/>
        <w:jc w:val="both"/>
        <w:rPr>
          <w:sz w:val="22"/>
          <w:szCs w:val="22"/>
        </w:rPr>
      </w:pPr>
      <w:r w:rsidRPr="00D33E29">
        <w:rPr>
          <w:sz w:val="22"/>
          <w:szCs w:val="22"/>
        </w:rPr>
        <w:t>Summary of Changes</w:t>
      </w:r>
    </w:p>
    <w:p w:rsidR="00D33E29" w:rsidRPr="009C4AD3" w:rsidRDefault="009C4AD3" w:rsidP="00D33E29">
      <w:pPr>
        <w:rPr>
          <w:sz w:val="22"/>
          <w:szCs w:val="22"/>
        </w:rPr>
      </w:pPr>
      <w:r w:rsidRPr="009C4AD3">
        <w:rPr>
          <w:sz w:val="22"/>
          <w:szCs w:val="22"/>
        </w:rPr>
        <w:t>Th</w:t>
      </w:r>
      <w:r>
        <w:rPr>
          <w:sz w:val="22"/>
          <w:szCs w:val="22"/>
        </w:rPr>
        <w:t>is</w:t>
      </w:r>
      <w:r w:rsidRPr="009C4AD3">
        <w:rPr>
          <w:sz w:val="22"/>
          <w:szCs w:val="22"/>
        </w:rPr>
        <w:t xml:space="preserve"> Determination</w:t>
      </w:r>
      <w:r w:rsidR="00D33E29" w:rsidRPr="009C4AD3">
        <w:rPr>
          <w:i/>
          <w:sz w:val="22"/>
          <w:szCs w:val="22"/>
        </w:rPr>
        <w:t xml:space="preserve"> </w:t>
      </w:r>
      <w:r w:rsidR="00D33E29" w:rsidRPr="009C4AD3">
        <w:rPr>
          <w:sz w:val="22"/>
          <w:szCs w:val="22"/>
        </w:rPr>
        <w:t>affects Appropriation Acts</w:t>
      </w:r>
      <w:r>
        <w:rPr>
          <w:sz w:val="22"/>
          <w:szCs w:val="22"/>
        </w:rPr>
        <w:t xml:space="preserve"> </w:t>
      </w:r>
      <w:r w:rsidR="00D33E29" w:rsidRPr="009C4AD3">
        <w:rPr>
          <w:sz w:val="22"/>
          <w:szCs w:val="22"/>
        </w:rPr>
        <w:t xml:space="preserve">in the following way, which </w:t>
      </w:r>
      <w:r w:rsidR="00D33E29" w:rsidRPr="009C4AD3">
        <w:rPr>
          <w:iCs/>
          <w:sz w:val="22"/>
          <w:szCs w:val="22"/>
        </w:rPr>
        <w:t>results in no change to the total amount appropriated</w:t>
      </w:r>
      <w:r w:rsidR="007E3994">
        <w:rPr>
          <w:iCs/>
          <w:sz w:val="22"/>
          <w:szCs w:val="22"/>
        </w:rPr>
        <w:t xml:space="preserve"> by Parliament</w:t>
      </w:r>
      <w:r w:rsidR="00D33E29" w:rsidRPr="009C4AD3">
        <w:rPr>
          <w:iCs/>
          <w:sz w:val="22"/>
          <w:szCs w:val="22"/>
        </w:rPr>
        <w:t>:</w:t>
      </w:r>
    </w:p>
    <w:tbl>
      <w:tblPr>
        <w:tblW w:w="9639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119"/>
        <w:gridCol w:w="1843"/>
        <w:gridCol w:w="1984"/>
        <w:gridCol w:w="1418"/>
        <w:gridCol w:w="1275"/>
      </w:tblGrid>
      <w:tr w:rsidR="00D33E29" w:rsidRPr="00D33E29" w:rsidTr="00FE53EA">
        <w:trPr>
          <w:trHeight w:val="202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D33E29" w:rsidRPr="00D33E29" w:rsidRDefault="00FE53EA" w:rsidP="00D33E29">
            <w:pPr>
              <w:pStyle w:val="Sched1-Normal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Agency</w:t>
            </w:r>
            <w:r w:rsidR="00D33E29"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 xml:space="preserve"> affected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D33E29" w:rsidRPr="00D33E29" w:rsidRDefault="00D33E29" w:rsidP="00FE53EA">
            <w:pPr>
              <w:pStyle w:val="Sched1-Normal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Item affected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D33E29" w:rsidRPr="00D33E29" w:rsidRDefault="00D33E29" w:rsidP="00FE53EA">
            <w:pPr>
              <w:pStyle w:val="Sched1-Normal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Appropriation 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Default="00D33E29" w:rsidP="00FE53EA">
            <w:pPr>
              <w:pStyle w:val="Sched1-Normal"/>
              <w:jc w:val="center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Transfer</w:t>
            </w:r>
            <w:r w:rsidR="00FE53EA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 xml:space="preserve"> t</w:t>
            </w:r>
            <w:r w:rsidR="00FE53EA"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o</w:t>
            </w:r>
          </w:p>
          <w:p w:rsidR="00D33E29" w:rsidRPr="00D33E29" w:rsidRDefault="00D33E29" w:rsidP="00FE53EA">
            <w:pPr>
              <w:pStyle w:val="Sched1-Normal"/>
              <w:jc w:val="center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$’000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FE53EA" w:rsidRDefault="00D33E29" w:rsidP="00FE53EA">
            <w:pPr>
              <w:pStyle w:val="Sched1-Normal"/>
              <w:jc w:val="center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FE53EA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Transfer</w:t>
            </w:r>
          </w:p>
          <w:p w:rsidR="00D33E29" w:rsidRPr="00FE53EA" w:rsidRDefault="00FE53EA" w:rsidP="00FE53EA">
            <w:pPr>
              <w:pStyle w:val="Sched1-Normal"/>
              <w:jc w:val="center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FE53EA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 xml:space="preserve">from: </w:t>
            </w:r>
            <w:r w:rsidR="00D33E29" w:rsidRPr="00FE53EA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$’000</w:t>
            </w:r>
          </w:p>
        </w:tc>
      </w:tr>
      <w:tr w:rsidR="00D33E29" w:rsidRPr="00D33E29" w:rsidTr="00FE53EA">
        <w:trPr>
          <w:trHeight w:val="2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Office of Parliamentary Counsel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 xml:space="preserve">Departmental item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i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i/>
                <w:sz w:val="22"/>
                <w:szCs w:val="22"/>
                <w:lang w:eastAsia="en-AU"/>
              </w:rPr>
              <w:t>Appropriation Act (No. 1) 2012-2013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+7,311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</w:p>
        </w:tc>
      </w:tr>
      <w:tr w:rsidR="00D33E29" w:rsidRPr="00D33E29" w:rsidTr="00FE53EA">
        <w:trPr>
          <w:trHeight w:val="2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Attorney-General’s Department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Departmental 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i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i/>
                <w:sz w:val="22"/>
                <w:szCs w:val="22"/>
                <w:lang w:eastAsia="en-AU"/>
              </w:rPr>
              <w:t>Appropriation Act (No. 1) 2012-2013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-3,466</w:t>
            </w:r>
          </w:p>
        </w:tc>
      </w:tr>
      <w:tr w:rsidR="00D33E29" w:rsidRPr="00D33E29" w:rsidTr="00FE53EA">
        <w:trPr>
          <w:trHeight w:val="2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Attorney-General’s Department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Outcome 1</w:t>
            </w:r>
            <w:r w:rsidR="00703EE8">
              <w:rPr>
                <w:rFonts w:ascii="Times New Roman" w:hAnsi="Times New Roman"/>
                <w:sz w:val="22"/>
                <w:szCs w:val="22"/>
                <w:lang w:eastAsia="en-AU"/>
              </w:rPr>
              <w:t>,</w:t>
            </w: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 xml:space="preserve"> Administered 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i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i/>
                <w:sz w:val="22"/>
                <w:szCs w:val="22"/>
                <w:lang w:eastAsia="en-AU"/>
              </w:rPr>
              <w:t>Appropriation Act (No. 1) 2012-2013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-1,229</w:t>
            </w:r>
          </w:p>
        </w:tc>
      </w:tr>
      <w:tr w:rsidR="00D33E29" w:rsidRPr="00D33E29" w:rsidTr="00FE53EA">
        <w:trPr>
          <w:trHeight w:val="2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Attorney-General’s Department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Departmental 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i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i/>
                <w:sz w:val="22"/>
                <w:szCs w:val="22"/>
                <w:lang w:eastAsia="en-AU"/>
              </w:rPr>
              <w:t>Appropriation Act (No. 1) 2008-2009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-578</w:t>
            </w:r>
          </w:p>
        </w:tc>
      </w:tr>
      <w:tr w:rsidR="00D33E29" w:rsidRPr="00D33E29" w:rsidTr="00FE53EA">
        <w:trPr>
          <w:trHeight w:val="2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Attorney-General’s Department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Departmental 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i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i/>
                <w:sz w:val="22"/>
                <w:szCs w:val="22"/>
                <w:lang w:eastAsia="en-AU"/>
              </w:rPr>
              <w:t>Appropriation Act (No. 3) 2008-2009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-498</w:t>
            </w:r>
          </w:p>
        </w:tc>
      </w:tr>
      <w:tr w:rsidR="00D33E29" w:rsidRPr="00D33E29" w:rsidTr="00FE53EA">
        <w:trPr>
          <w:trHeight w:val="2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Attorney-General’s Department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Departmental 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i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i/>
                <w:sz w:val="22"/>
                <w:szCs w:val="22"/>
                <w:lang w:eastAsia="en-AU"/>
              </w:rPr>
              <w:t>Appropriation Act (No. 3) 2006-2007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ind w:left="41" w:hanging="41"/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jc w:val="right"/>
              <w:rPr>
                <w:rFonts w:ascii="Times New Roman" w:hAnsi="Times New Roman"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sz w:val="22"/>
                <w:szCs w:val="22"/>
                <w:lang w:eastAsia="en-AU"/>
              </w:rPr>
              <w:t>-1,540</w:t>
            </w:r>
          </w:p>
        </w:tc>
      </w:tr>
      <w:tr w:rsidR="00D33E29" w:rsidRPr="00D33E29" w:rsidTr="00FE53EA">
        <w:trPr>
          <w:trHeight w:val="202"/>
        </w:trPr>
        <w:tc>
          <w:tcPr>
            <w:tcW w:w="3119" w:type="dxa"/>
            <w:tcBorders>
              <w:top w:val="single" w:sz="4" w:space="0" w:color="auto"/>
            </w:tcBorders>
            <w:shd w:val="solid" w:color="FFFFFF" w:fill="auto"/>
          </w:tcPr>
          <w:p w:rsidR="00D33E29" w:rsidRPr="009C4AD3" w:rsidRDefault="00D33E29" w:rsidP="009C4AD3">
            <w:pPr>
              <w:rPr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rPr>
                <w:rFonts w:ascii="Times New Roman" w:hAnsi="Times New Roman"/>
                <w:sz w:val="22"/>
                <w:szCs w:val="22"/>
                <w:lang w:eastAsia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ind w:left="41" w:hanging="41"/>
              <w:jc w:val="right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ind w:left="41" w:hanging="41"/>
              <w:jc w:val="right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+7,311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33E29" w:rsidRPr="00D33E29" w:rsidRDefault="00D33E29" w:rsidP="00D33E29">
            <w:pPr>
              <w:pStyle w:val="Sched1-Normal"/>
              <w:tabs>
                <w:tab w:val="right" w:pos="1119"/>
              </w:tabs>
              <w:ind w:left="41" w:hanging="41"/>
              <w:jc w:val="right"/>
              <w:rPr>
                <w:rFonts w:ascii="Times New Roman" w:hAnsi="Times New Roman"/>
                <w:b/>
                <w:sz w:val="22"/>
                <w:szCs w:val="22"/>
                <w:lang w:eastAsia="en-AU"/>
              </w:rPr>
            </w:pPr>
            <w:r w:rsidRPr="00D33E29"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AU"/>
              </w:rPr>
              <w:t>7,311</w:t>
            </w:r>
          </w:p>
        </w:tc>
      </w:tr>
    </w:tbl>
    <w:p w:rsidR="00B40943" w:rsidRPr="009C4AD3" w:rsidRDefault="00B40943" w:rsidP="009C4AD3">
      <w:pPr>
        <w:spacing w:before="240" w:after="120"/>
        <w:jc w:val="both"/>
        <w:rPr>
          <w:sz w:val="2"/>
          <w:szCs w:val="2"/>
        </w:rPr>
      </w:pPr>
    </w:p>
    <w:sectPr w:rsidR="00B40943" w:rsidRPr="009C4AD3" w:rsidSect="009C4AD3">
      <w:footerReference w:type="default" r:id="rId8"/>
      <w:footerReference w:type="first" r:id="rId9"/>
      <w:type w:val="continuous"/>
      <w:pgSz w:w="11906" w:h="16838"/>
      <w:pgMar w:top="964" w:right="1440" w:bottom="964" w:left="1440" w:header="720" w:footer="403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C3" w:rsidRDefault="005D3EC3">
      <w:r>
        <w:separator/>
      </w:r>
    </w:p>
  </w:endnote>
  <w:endnote w:type="continuationSeparator" w:id="0">
    <w:p w:rsidR="005D3EC3" w:rsidRDefault="005D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9" w:rsidRPr="00485FB4" w:rsidRDefault="00D33E29" w:rsidP="00485FB4">
    <w:pPr>
      <w:pStyle w:val="Footer"/>
      <w:tabs>
        <w:tab w:val="clear" w:pos="4153"/>
        <w:tab w:val="clear" w:pos="8306"/>
        <w:tab w:val="right" w:pos="9214"/>
      </w:tabs>
      <w:rPr>
        <w:sz w:val="22"/>
        <w:szCs w:val="22"/>
      </w:rPr>
    </w:pPr>
    <w:r w:rsidRPr="00421747">
      <w:rPr>
        <w:i/>
      </w:rPr>
      <w:t>_____________________________________________________________________</w:t>
    </w:r>
    <w:r>
      <w:rPr>
        <w:i/>
      </w:rPr>
      <w:t>________________________</w:t>
    </w:r>
    <w:r w:rsidRPr="0002058A">
      <w:rPr>
        <w:i/>
        <w:sz w:val="24"/>
      </w:rPr>
      <w:t xml:space="preserve"> </w:t>
    </w:r>
    <w:r w:rsidRPr="0002058A">
      <w:rPr>
        <w:i/>
        <w:sz w:val="22"/>
        <w:szCs w:val="22"/>
      </w:rPr>
      <w:t>Explanatory Statement - Financial Management and Accountability Act 1997 Determination </w:t>
    </w:r>
    <w:r>
      <w:rPr>
        <w:i/>
        <w:sz w:val="22"/>
        <w:szCs w:val="22"/>
      </w:rPr>
      <w:t>2013/02</w:t>
    </w:r>
    <w:r w:rsidRPr="0002058A">
      <w:rPr>
        <w:i/>
        <w:sz w:val="22"/>
        <w:szCs w:val="22"/>
      </w:rPr>
      <w:t xml:space="preserve"> – Section 32 (Transfer of Functions</w:t>
    </w:r>
    <w:r>
      <w:rPr>
        <w:i/>
        <w:sz w:val="22"/>
        <w:szCs w:val="22"/>
      </w:rPr>
      <w:t xml:space="preserve"> from Treasury to ATO</w:t>
    </w:r>
    <w:r w:rsidRPr="0002058A">
      <w:rPr>
        <w:i/>
        <w:sz w:val="22"/>
        <w:szCs w:val="22"/>
      </w:rPr>
      <w:t>)</w:t>
    </w:r>
    <w:r>
      <w:rPr>
        <w:i/>
        <w:sz w:val="22"/>
        <w:szCs w:val="22"/>
      </w:rPr>
      <w:tab/>
    </w:r>
    <w:r w:rsidRPr="00485FB4">
      <w:rPr>
        <w:b/>
        <w:sz w:val="22"/>
        <w:szCs w:val="22"/>
      </w:rPr>
      <w:t>Page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195701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33E29" w:rsidRDefault="00D33E29">
        <w:pPr>
          <w:pStyle w:val="Footer"/>
          <w:jc w:val="right"/>
        </w:pPr>
        <w:r w:rsidRPr="00485FB4">
          <w:rPr>
            <w:b/>
            <w:sz w:val="22"/>
            <w:szCs w:val="22"/>
          </w:rPr>
          <w:t>Page 1</w:t>
        </w:r>
      </w:p>
    </w:sdtContent>
  </w:sdt>
  <w:p w:rsidR="00D33E29" w:rsidRDefault="00D33E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C3" w:rsidRDefault="005D3EC3">
      <w:r>
        <w:separator/>
      </w:r>
    </w:p>
  </w:footnote>
  <w:footnote w:type="continuationSeparator" w:id="0">
    <w:p w:rsidR="005D3EC3" w:rsidRDefault="005D3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272E5"/>
    <w:multiLevelType w:val="hybridMultilevel"/>
    <w:tmpl w:val="8696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FA398B"/>
    <w:multiLevelType w:val="hybridMultilevel"/>
    <w:tmpl w:val="6CE04E8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abstractNum w:abstractNumId="15">
    <w:nsid w:val="5B9352DA"/>
    <w:multiLevelType w:val="multilevel"/>
    <w:tmpl w:val="77127C44"/>
    <w:numStyleLink w:val="Style1"/>
  </w:abstractNum>
  <w:abstractNum w:abstractNumId="16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676DAB"/>
    <w:multiLevelType w:val="multilevel"/>
    <w:tmpl w:val="77127C44"/>
    <w:styleLink w:val="Style1"/>
    <w:lvl w:ilvl="0">
      <w:start w:val="1"/>
      <w:numFmt w:val="lowerLetter"/>
      <w:lvlText w:val="(%1)"/>
      <w:lvlJc w:val="left"/>
      <w:pPr>
        <w:ind w:left="147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23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  <w:rPr>
        <w:rFonts w:cs="Times New Roman"/>
      </w:rPr>
    </w:lvl>
  </w:abstractNum>
  <w:abstractNum w:abstractNumId="29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9"/>
  </w:num>
  <w:num w:numId="4">
    <w:abstractNumId w:val="11"/>
  </w:num>
  <w:num w:numId="5">
    <w:abstractNumId w:val="17"/>
  </w:num>
  <w:num w:numId="6">
    <w:abstractNumId w:val="1"/>
  </w:num>
  <w:num w:numId="7">
    <w:abstractNumId w:val="19"/>
  </w:num>
  <w:num w:numId="8">
    <w:abstractNumId w:val="31"/>
  </w:num>
  <w:num w:numId="9">
    <w:abstractNumId w:val="18"/>
  </w:num>
  <w:num w:numId="10">
    <w:abstractNumId w:val="32"/>
  </w:num>
  <w:num w:numId="11">
    <w:abstractNumId w:val="9"/>
  </w:num>
  <w:num w:numId="12">
    <w:abstractNumId w:val="8"/>
  </w:num>
  <w:num w:numId="13">
    <w:abstractNumId w:val="12"/>
  </w:num>
  <w:num w:numId="14">
    <w:abstractNumId w:val="3"/>
  </w:num>
  <w:num w:numId="15">
    <w:abstractNumId w:val="23"/>
  </w:num>
  <w:num w:numId="16">
    <w:abstractNumId w:val="10"/>
  </w:num>
  <w:num w:numId="17">
    <w:abstractNumId w:val="20"/>
  </w:num>
  <w:num w:numId="18">
    <w:abstractNumId w:val="7"/>
  </w:num>
  <w:num w:numId="19">
    <w:abstractNumId w:val="24"/>
  </w:num>
  <w:num w:numId="20">
    <w:abstractNumId w:val="28"/>
  </w:num>
  <w:num w:numId="21">
    <w:abstractNumId w:val="27"/>
  </w:num>
  <w:num w:numId="22">
    <w:abstractNumId w:val="14"/>
  </w:num>
  <w:num w:numId="23">
    <w:abstractNumId w:val="25"/>
  </w:num>
  <w:num w:numId="24">
    <w:abstractNumId w:val="26"/>
  </w:num>
  <w:num w:numId="25">
    <w:abstractNumId w:val="21"/>
  </w:num>
  <w:num w:numId="26">
    <w:abstractNumId w:val="4"/>
  </w:num>
  <w:num w:numId="27">
    <w:abstractNumId w:val="30"/>
  </w:num>
  <w:num w:numId="28">
    <w:abstractNumId w:val="5"/>
  </w:num>
  <w:num w:numId="29">
    <w:abstractNumId w:val="16"/>
  </w:num>
  <w:num w:numId="30">
    <w:abstractNumId w:val="6"/>
  </w:num>
  <w:num w:numId="31">
    <w:abstractNumId w:val="2"/>
  </w:num>
  <w:num w:numId="32">
    <w:abstractNumId w:val="1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11280F"/>
    <w:rsid w:val="00000063"/>
    <w:rsid w:val="00002A89"/>
    <w:rsid w:val="00003968"/>
    <w:rsid w:val="00007BA2"/>
    <w:rsid w:val="00016BCF"/>
    <w:rsid w:val="0002058A"/>
    <w:rsid w:val="00020BAA"/>
    <w:rsid w:val="000277BB"/>
    <w:rsid w:val="000333B0"/>
    <w:rsid w:val="000341FD"/>
    <w:rsid w:val="0003594A"/>
    <w:rsid w:val="00035C26"/>
    <w:rsid w:val="000413A5"/>
    <w:rsid w:val="000518E0"/>
    <w:rsid w:val="000564D8"/>
    <w:rsid w:val="00057257"/>
    <w:rsid w:val="000577A8"/>
    <w:rsid w:val="00060EBF"/>
    <w:rsid w:val="0006260C"/>
    <w:rsid w:val="00063E56"/>
    <w:rsid w:val="000902DE"/>
    <w:rsid w:val="0009155A"/>
    <w:rsid w:val="00092275"/>
    <w:rsid w:val="00095051"/>
    <w:rsid w:val="000A2E6A"/>
    <w:rsid w:val="000A6FF5"/>
    <w:rsid w:val="000B2BB3"/>
    <w:rsid w:val="000C38D9"/>
    <w:rsid w:val="000C4135"/>
    <w:rsid w:val="000C5287"/>
    <w:rsid w:val="000C61A9"/>
    <w:rsid w:val="000C7006"/>
    <w:rsid w:val="000E0589"/>
    <w:rsid w:val="000F101F"/>
    <w:rsid w:val="000F29FA"/>
    <w:rsid w:val="00100667"/>
    <w:rsid w:val="001020E8"/>
    <w:rsid w:val="00104D2F"/>
    <w:rsid w:val="00104D9B"/>
    <w:rsid w:val="0010633F"/>
    <w:rsid w:val="00112265"/>
    <w:rsid w:val="0011280F"/>
    <w:rsid w:val="00123EFB"/>
    <w:rsid w:val="001248A4"/>
    <w:rsid w:val="00124DFD"/>
    <w:rsid w:val="00125C71"/>
    <w:rsid w:val="0014174F"/>
    <w:rsid w:val="00145585"/>
    <w:rsid w:val="00147D4B"/>
    <w:rsid w:val="00153E56"/>
    <w:rsid w:val="0015775E"/>
    <w:rsid w:val="00170661"/>
    <w:rsid w:val="0017703D"/>
    <w:rsid w:val="00181305"/>
    <w:rsid w:val="0018276C"/>
    <w:rsid w:val="001919E4"/>
    <w:rsid w:val="00196016"/>
    <w:rsid w:val="00197F7A"/>
    <w:rsid w:val="001A0A45"/>
    <w:rsid w:val="001A3E6B"/>
    <w:rsid w:val="001A5C39"/>
    <w:rsid w:val="001B1FD5"/>
    <w:rsid w:val="001B2F6B"/>
    <w:rsid w:val="001B3D6B"/>
    <w:rsid w:val="001B721B"/>
    <w:rsid w:val="001B7CB7"/>
    <w:rsid w:val="001C2471"/>
    <w:rsid w:val="001D0CF6"/>
    <w:rsid w:val="001D0E3B"/>
    <w:rsid w:val="001D2DDE"/>
    <w:rsid w:val="001D5936"/>
    <w:rsid w:val="001D7EBB"/>
    <w:rsid w:val="001E1FEC"/>
    <w:rsid w:val="001E3D16"/>
    <w:rsid w:val="001E6DF8"/>
    <w:rsid w:val="001F2C32"/>
    <w:rsid w:val="0020297E"/>
    <w:rsid w:val="00210897"/>
    <w:rsid w:val="00210E42"/>
    <w:rsid w:val="002138B6"/>
    <w:rsid w:val="0022049D"/>
    <w:rsid w:val="00221E7A"/>
    <w:rsid w:val="002271A6"/>
    <w:rsid w:val="0023003E"/>
    <w:rsid w:val="00232CBC"/>
    <w:rsid w:val="002356F3"/>
    <w:rsid w:val="00247C6B"/>
    <w:rsid w:val="00250380"/>
    <w:rsid w:val="00255E47"/>
    <w:rsid w:val="00270610"/>
    <w:rsid w:val="00271770"/>
    <w:rsid w:val="00273E35"/>
    <w:rsid w:val="00282B13"/>
    <w:rsid w:val="00282B66"/>
    <w:rsid w:val="00283985"/>
    <w:rsid w:val="00297A0E"/>
    <w:rsid w:val="002A2659"/>
    <w:rsid w:val="002B2473"/>
    <w:rsid w:val="002B30FE"/>
    <w:rsid w:val="002B63AA"/>
    <w:rsid w:val="002C13D4"/>
    <w:rsid w:val="002C23F4"/>
    <w:rsid w:val="002C2C9C"/>
    <w:rsid w:val="002C6468"/>
    <w:rsid w:val="002D0329"/>
    <w:rsid w:val="002D518F"/>
    <w:rsid w:val="002D62EF"/>
    <w:rsid w:val="002E0459"/>
    <w:rsid w:val="002E17B0"/>
    <w:rsid w:val="002E7CD9"/>
    <w:rsid w:val="002F0E16"/>
    <w:rsid w:val="002F3A18"/>
    <w:rsid w:val="002F6A68"/>
    <w:rsid w:val="002F71DB"/>
    <w:rsid w:val="003015F5"/>
    <w:rsid w:val="0030497B"/>
    <w:rsid w:val="00305EDF"/>
    <w:rsid w:val="00314427"/>
    <w:rsid w:val="0031738C"/>
    <w:rsid w:val="00320AEA"/>
    <w:rsid w:val="00320D91"/>
    <w:rsid w:val="003317F1"/>
    <w:rsid w:val="003469AD"/>
    <w:rsid w:val="00364593"/>
    <w:rsid w:val="00372B0B"/>
    <w:rsid w:val="003811B3"/>
    <w:rsid w:val="0038595E"/>
    <w:rsid w:val="00387EF7"/>
    <w:rsid w:val="0039461B"/>
    <w:rsid w:val="0039731B"/>
    <w:rsid w:val="003A1D30"/>
    <w:rsid w:val="003A5972"/>
    <w:rsid w:val="003A5EAC"/>
    <w:rsid w:val="003B2426"/>
    <w:rsid w:val="003B43D3"/>
    <w:rsid w:val="003B59BB"/>
    <w:rsid w:val="003C2C49"/>
    <w:rsid w:val="003C4DCE"/>
    <w:rsid w:val="003C7C13"/>
    <w:rsid w:val="003D3AE3"/>
    <w:rsid w:val="003D702D"/>
    <w:rsid w:val="003F6F38"/>
    <w:rsid w:val="0040171D"/>
    <w:rsid w:val="00402FD8"/>
    <w:rsid w:val="00411C32"/>
    <w:rsid w:val="00421747"/>
    <w:rsid w:val="00421DE2"/>
    <w:rsid w:val="00423BAD"/>
    <w:rsid w:val="004260F8"/>
    <w:rsid w:val="00426532"/>
    <w:rsid w:val="00430105"/>
    <w:rsid w:val="0043019F"/>
    <w:rsid w:val="00434B14"/>
    <w:rsid w:val="004459DA"/>
    <w:rsid w:val="0045109E"/>
    <w:rsid w:val="00453D35"/>
    <w:rsid w:val="0046173D"/>
    <w:rsid w:val="00461FF5"/>
    <w:rsid w:val="00463304"/>
    <w:rsid w:val="004641E6"/>
    <w:rsid w:val="0046426E"/>
    <w:rsid w:val="0048239C"/>
    <w:rsid w:val="0048492A"/>
    <w:rsid w:val="00485FB4"/>
    <w:rsid w:val="00486C03"/>
    <w:rsid w:val="00487551"/>
    <w:rsid w:val="004876C4"/>
    <w:rsid w:val="004903B3"/>
    <w:rsid w:val="00493CF0"/>
    <w:rsid w:val="004A04AF"/>
    <w:rsid w:val="004B1F89"/>
    <w:rsid w:val="004B379B"/>
    <w:rsid w:val="004C4218"/>
    <w:rsid w:val="004C599B"/>
    <w:rsid w:val="004C5C3C"/>
    <w:rsid w:val="004C6029"/>
    <w:rsid w:val="004D0719"/>
    <w:rsid w:val="004D5DE2"/>
    <w:rsid w:val="004D7744"/>
    <w:rsid w:val="004D795E"/>
    <w:rsid w:val="004F2250"/>
    <w:rsid w:val="004F443E"/>
    <w:rsid w:val="005008DE"/>
    <w:rsid w:val="00504B6C"/>
    <w:rsid w:val="00505CD9"/>
    <w:rsid w:val="00506201"/>
    <w:rsid w:val="005107F2"/>
    <w:rsid w:val="0051082A"/>
    <w:rsid w:val="0051596E"/>
    <w:rsid w:val="00516E6A"/>
    <w:rsid w:val="00524053"/>
    <w:rsid w:val="005311B5"/>
    <w:rsid w:val="00534E8D"/>
    <w:rsid w:val="00536C1D"/>
    <w:rsid w:val="005508AE"/>
    <w:rsid w:val="00555475"/>
    <w:rsid w:val="00563690"/>
    <w:rsid w:val="00565773"/>
    <w:rsid w:val="00565E43"/>
    <w:rsid w:val="00565FB7"/>
    <w:rsid w:val="005660A7"/>
    <w:rsid w:val="005724A5"/>
    <w:rsid w:val="005751EC"/>
    <w:rsid w:val="00576C63"/>
    <w:rsid w:val="00576C70"/>
    <w:rsid w:val="00581F7F"/>
    <w:rsid w:val="005820FF"/>
    <w:rsid w:val="00582E59"/>
    <w:rsid w:val="00585FDE"/>
    <w:rsid w:val="005863CD"/>
    <w:rsid w:val="005903AF"/>
    <w:rsid w:val="00593A9F"/>
    <w:rsid w:val="00597360"/>
    <w:rsid w:val="005A201A"/>
    <w:rsid w:val="005A2845"/>
    <w:rsid w:val="005A660F"/>
    <w:rsid w:val="005C00BF"/>
    <w:rsid w:val="005C053E"/>
    <w:rsid w:val="005C1F47"/>
    <w:rsid w:val="005C40EB"/>
    <w:rsid w:val="005D3EC3"/>
    <w:rsid w:val="005D6039"/>
    <w:rsid w:val="005F0757"/>
    <w:rsid w:val="00601B7F"/>
    <w:rsid w:val="00604E38"/>
    <w:rsid w:val="0060592C"/>
    <w:rsid w:val="00621160"/>
    <w:rsid w:val="0062221B"/>
    <w:rsid w:val="0062389F"/>
    <w:rsid w:val="006247ED"/>
    <w:rsid w:val="006300CF"/>
    <w:rsid w:val="00633F46"/>
    <w:rsid w:val="006340D1"/>
    <w:rsid w:val="0063669E"/>
    <w:rsid w:val="00645F5E"/>
    <w:rsid w:val="00647AE9"/>
    <w:rsid w:val="00651AB3"/>
    <w:rsid w:val="00651ED0"/>
    <w:rsid w:val="00653588"/>
    <w:rsid w:val="00654FB2"/>
    <w:rsid w:val="006561BE"/>
    <w:rsid w:val="00657510"/>
    <w:rsid w:val="0066293D"/>
    <w:rsid w:val="00665555"/>
    <w:rsid w:val="00666583"/>
    <w:rsid w:val="00666D9E"/>
    <w:rsid w:val="00670A86"/>
    <w:rsid w:val="006759B9"/>
    <w:rsid w:val="00683812"/>
    <w:rsid w:val="00683D7A"/>
    <w:rsid w:val="0068716F"/>
    <w:rsid w:val="00692C4D"/>
    <w:rsid w:val="00693C5D"/>
    <w:rsid w:val="006A6BBD"/>
    <w:rsid w:val="006A7162"/>
    <w:rsid w:val="006B2496"/>
    <w:rsid w:val="006B5D40"/>
    <w:rsid w:val="006C2384"/>
    <w:rsid w:val="006C6DA9"/>
    <w:rsid w:val="006C7716"/>
    <w:rsid w:val="006C7818"/>
    <w:rsid w:val="006D2586"/>
    <w:rsid w:val="006D3A54"/>
    <w:rsid w:val="006D4876"/>
    <w:rsid w:val="006D790A"/>
    <w:rsid w:val="006E03CC"/>
    <w:rsid w:val="006E0B61"/>
    <w:rsid w:val="006E1D77"/>
    <w:rsid w:val="006E4C4E"/>
    <w:rsid w:val="006E53C2"/>
    <w:rsid w:val="006E66E3"/>
    <w:rsid w:val="006E6A5B"/>
    <w:rsid w:val="006E7EAA"/>
    <w:rsid w:val="006F1A8D"/>
    <w:rsid w:val="006F2902"/>
    <w:rsid w:val="00703EE8"/>
    <w:rsid w:val="00704AB6"/>
    <w:rsid w:val="00710F9F"/>
    <w:rsid w:val="00712340"/>
    <w:rsid w:val="007139A4"/>
    <w:rsid w:val="00714333"/>
    <w:rsid w:val="0071716E"/>
    <w:rsid w:val="00717259"/>
    <w:rsid w:val="007241F1"/>
    <w:rsid w:val="00724C29"/>
    <w:rsid w:val="007272F2"/>
    <w:rsid w:val="007361ED"/>
    <w:rsid w:val="00745B88"/>
    <w:rsid w:val="00745D72"/>
    <w:rsid w:val="0075255C"/>
    <w:rsid w:val="007538B3"/>
    <w:rsid w:val="00761059"/>
    <w:rsid w:val="007645C5"/>
    <w:rsid w:val="0076491E"/>
    <w:rsid w:val="00767335"/>
    <w:rsid w:val="00772A5B"/>
    <w:rsid w:val="00780275"/>
    <w:rsid w:val="007827D5"/>
    <w:rsid w:val="0078288C"/>
    <w:rsid w:val="0078297B"/>
    <w:rsid w:val="00791256"/>
    <w:rsid w:val="00791D37"/>
    <w:rsid w:val="007924AD"/>
    <w:rsid w:val="00794701"/>
    <w:rsid w:val="007A6E74"/>
    <w:rsid w:val="007A78A9"/>
    <w:rsid w:val="007B54F4"/>
    <w:rsid w:val="007B5E05"/>
    <w:rsid w:val="007B6631"/>
    <w:rsid w:val="007D18F8"/>
    <w:rsid w:val="007D4D34"/>
    <w:rsid w:val="007E2E88"/>
    <w:rsid w:val="007E3994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23883"/>
    <w:rsid w:val="0083578F"/>
    <w:rsid w:val="00842726"/>
    <w:rsid w:val="00842E36"/>
    <w:rsid w:val="00846C7A"/>
    <w:rsid w:val="0085186D"/>
    <w:rsid w:val="008539B2"/>
    <w:rsid w:val="00856EB2"/>
    <w:rsid w:val="008621F9"/>
    <w:rsid w:val="00864D07"/>
    <w:rsid w:val="0087100D"/>
    <w:rsid w:val="00874186"/>
    <w:rsid w:val="008755D2"/>
    <w:rsid w:val="00875604"/>
    <w:rsid w:val="00880322"/>
    <w:rsid w:val="00885ACA"/>
    <w:rsid w:val="00885BAC"/>
    <w:rsid w:val="0088745B"/>
    <w:rsid w:val="00887A0A"/>
    <w:rsid w:val="00892D0D"/>
    <w:rsid w:val="00896D11"/>
    <w:rsid w:val="008A7692"/>
    <w:rsid w:val="008B42FB"/>
    <w:rsid w:val="008C0696"/>
    <w:rsid w:val="008C2115"/>
    <w:rsid w:val="008C29C7"/>
    <w:rsid w:val="008C5565"/>
    <w:rsid w:val="008D22DC"/>
    <w:rsid w:val="008D63F3"/>
    <w:rsid w:val="008D76FA"/>
    <w:rsid w:val="008F0A3F"/>
    <w:rsid w:val="008F3048"/>
    <w:rsid w:val="00915142"/>
    <w:rsid w:val="0091777C"/>
    <w:rsid w:val="00920EEF"/>
    <w:rsid w:val="00927051"/>
    <w:rsid w:val="00927F60"/>
    <w:rsid w:val="009342B2"/>
    <w:rsid w:val="00940B65"/>
    <w:rsid w:val="0094150B"/>
    <w:rsid w:val="00944671"/>
    <w:rsid w:val="0094580B"/>
    <w:rsid w:val="00946EF7"/>
    <w:rsid w:val="009522E2"/>
    <w:rsid w:val="00957A4C"/>
    <w:rsid w:val="00960BD6"/>
    <w:rsid w:val="00960F5E"/>
    <w:rsid w:val="0096276C"/>
    <w:rsid w:val="009728FE"/>
    <w:rsid w:val="0097435D"/>
    <w:rsid w:val="00976513"/>
    <w:rsid w:val="0098053B"/>
    <w:rsid w:val="00987F3B"/>
    <w:rsid w:val="00990148"/>
    <w:rsid w:val="0099250D"/>
    <w:rsid w:val="009940C6"/>
    <w:rsid w:val="00994359"/>
    <w:rsid w:val="009943E8"/>
    <w:rsid w:val="009B4371"/>
    <w:rsid w:val="009C4AD3"/>
    <w:rsid w:val="009C626A"/>
    <w:rsid w:val="009D061B"/>
    <w:rsid w:val="009D26A3"/>
    <w:rsid w:val="009D3C54"/>
    <w:rsid w:val="009D5289"/>
    <w:rsid w:val="009D5612"/>
    <w:rsid w:val="009E29D8"/>
    <w:rsid w:val="009E4274"/>
    <w:rsid w:val="009F67B0"/>
    <w:rsid w:val="00A02740"/>
    <w:rsid w:val="00A03078"/>
    <w:rsid w:val="00A035A5"/>
    <w:rsid w:val="00A06A0C"/>
    <w:rsid w:val="00A12077"/>
    <w:rsid w:val="00A121F2"/>
    <w:rsid w:val="00A13142"/>
    <w:rsid w:val="00A13EFE"/>
    <w:rsid w:val="00A215BE"/>
    <w:rsid w:val="00A24ADC"/>
    <w:rsid w:val="00A31E7C"/>
    <w:rsid w:val="00A35C0B"/>
    <w:rsid w:val="00A369D5"/>
    <w:rsid w:val="00A47645"/>
    <w:rsid w:val="00A5114A"/>
    <w:rsid w:val="00A51503"/>
    <w:rsid w:val="00A524C9"/>
    <w:rsid w:val="00A61B48"/>
    <w:rsid w:val="00A67C95"/>
    <w:rsid w:val="00A7195F"/>
    <w:rsid w:val="00A73E2E"/>
    <w:rsid w:val="00A74AE2"/>
    <w:rsid w:val="00A75951"/>
    <w:rsid w:val="00A819A9"/>
    <w:rsid w:val="00A81F6A"/>
    <w:rsid w:val="00A8563A"/>
    <w:rsid w:val="00A92F6F"/>
    <w:rsid w:val="00AA0A87"/>
    <w:rsid w:val="00AA28CD"/>
    <w:rsid w:val="00AA2B1D"/>
    <w:rsid w:val="00AA3A07"/>
    <w:rsid w:val="00AB55DD"/>
    <w:rsid w:val="00AC4AE4"/>
    <w:rsid w:val="00AC59D0"/>
    <w:rsid w:val="00AD1F46"/>
    <w:rsid w:val="00AD336A"/>
    <w:rsid w:val="00AD68A7"/>
    <w:rsid w:val="00AE1351"/>
    <w:rsid w:val="00AF0B56"/>
    <w:rsid w:val="00AF1C03"/>
    <w:rsid w:val="00AF654A"/>
    <w:rsid w:val="00AF78BA"/>
    <w:rsid w:val="00B0195F"/>
    <w:rsid w:val="00B13E0F"/>
    <w:rsid w:val="00B1584D"/>
    <w:rsid w:val="00B17C4C"/>
    <w:rsid w:val="00B17F4C"/>
    <w:rsid w:val="00B23E57"/>
    <w:rsid w:val="00B2596B"/>
    <w:rsid w:val="00B36EF0"/>
    <w:rsid w:val="00B40943"/>
    <w:rsid w:val="00B4613A"/>
    <w:rsid w:val="00B47A0D"/>
    <w:rsid w:val="00B53522"/>
    <w:rsid w:val="00B8562B"/>
    <w:rsid w:val="00B948DF"/>
    <w:rsid w:val="00B95456"/>
    <w:rsid w:val="00BA0B8D"/>
    <w:rsid w:val="00BA4116"/>
    <w:rsid w:val="00BA5AA8"/>
    <w:rsid w:val="00BB3704"/>
    <w:rsid w:val="00BB62C6"/>
    <w:rsid w:val="00BB73CB"/>
    <w:rsid w:val="00BC26C5"/>
    <w:rsid w:val="00BC75D7"/>
    <w:rsid w:val="00BD376E"/>
    <w:rsid w:val="00BD66C3"/>
    <w:rsid w:val="00BE0A72"/>
    <w:rsid w:val="00BF2411"/>
    <w:rsid w:val="00C0116D"/>
    <w:rsid w:val="00C03EB1"/>
    <w:rsid w:val="00C1073F"/>
    <w:rsid w:val="00C133EA"/>
    <w:rsid w:val="00C14D98"/>
    <w:rsid w:val="00C1586E"/>
    <w:rsid w:val="00C20806"/>
    <w:rsid w:val="00C22DF4"/>
    <w:rsid w:val="00C2613A"/>
    <w:rsid w:val="00C310FB"/>
    <w:rsid w:val="00C34235"/>
    <w:rsid w:val="00C3697B"/>
    <w:rsid w:val="00C42EF8"/>
    <w:rsid w:val="00C430AD"/>
    <w:rsid w:val="00C441D0"/>
    <w:rsid w:val="00C517F3"/>
    <w:rsid w:val="00C562EB"/>
    <w:rsid w:val="00C655A3"/>
    <w:rsid w:val="00C73650"/>
    <w:rsid w:val="00C74A16"/>
    <w:rsid w:val="00C770BC"/>
    <w:rsid w:val="00C775C5"/>
    <w:rsid w:val="00C77CEE"/>
    <w:rsid w:val="00C84220"/>
    <w:rsid w:val="00C86AFE"/>
    <w:rsid w:val="00C92341"/>
    <w:rsid w:val="00C93D4D"/>
    <w:rsid w:val="00CA138D"/>
    <w:rsid w:val="00CA79FD"/>
    <w:rsid w:val="00CB0645"/>
    <w:rsid w:val="00CB3E92"/>
    <w:rsid w:val="00CB4087"/>
    <w:rsid w:val="00CC3BD5"/>
    <w:rsid w:val="00CD0D2F"/>
    <w:rsid w:val="00CD1BE0"/>
    <w:rsid w:val="00CD3B0E"/>
    <w:rsid w:val="00CD3E36"/>
    <w:rsid w:val="00CD5B67"/>
    <w:rsid w:val="00CD60E6"/>
    <w:rsid w:val="00CE00FE"/>
    <w:rsid w:val="00CE25AA"/>
    <w:rsid w:val="00CE4471"/>
    <w:rsid w:val="00CE695B"/>
    <w:rsid w:val="00CF5D99"/>
    <w:rsid w:val="00CF6C67"/>
    <w:rsid w:val="00D03932"/>
    <w:rsid w:val="00D132AC"/>
    <w:rsid w:val="00D149EF"/>
    <w:rsid w:val="00D1572B"/>
    <w:rsid w:val="00D1588F"/>
    <w:rsid w:val="00D16FBB"/>
    <w:rsid w:val="00D22820"/>
    <w:rsid w:val="00D2351A"/>
    <w:rsid w:val="00D24AB2"/>
    <w:rsid w:val="00D24DEB"/>
    <w:rsid w:val="00D271A8"/>
    <w:rsid w:val="00D27837"/>
    <w:rsid w:val="00D313A3"/>
    <w:rsid w:val="00D3235E"/>
    <w:rsid w:val="00D33E29"/>
    <w:rsid w:val="00D468C8"/>
    <w:rsid w:val="00D47B34"/>
    <w:rsid w:val="00D47FE4"/>
    <w:rsid w:val="00D50F0B"/>
    <w:rsid w:val="00D52CAE"/>
    <w:rsid w:val="00D55A14"/>
    <w:rsid w:val="00D60F48"/>
    <w:rsid w:val="00D63E96"/>
    <w:rsid w:val="00D676E6"/>
    <w:rsid w:val="00D81DD0"/>
    <w:rsid w:val="00D84098"/>
    <w:rsid w:val="00D90778"/>
    <w:rsid w:val="00D919A6"/>
    <w:rsid w:val="00D92000"/>
    <w:rsid w:val="00D93386"/>
    <w:rsid w:val="00DA3F69"/>
    <w:rsid w:val="00DA4D78"/>
    <w:rsid w:val="00DA7583"/>
    <w:rsid w:val="00DB54F7"/>
    <w:rsid w:val="00DB713C"/>
    <w:rsid w:val="00DC157D"/>
    <w:rsid w:val="00DC3D53"/>
    <w:rsid w:val="00DD06F0"/>
    <w:rsid w:val="00DD41BA"/>
    <w:rsid w:val="00DD560C"/>
    <w:rsid w:val="00DE10FE"/>
    <w:rsid w:val="00DE499E"/>
    <w:rsid w:val="00DE5602"/>
    <w:rsid w:val="00DF141D"/>
    <w:rsid w:val="00DF14D5"/>
    <w:rsid w:val="00DF2450"/>
    <w:rsid w:val="00E000D8"/>
    <w:rsid w:val="00E03420"/>
    <w:rsid w:val="00E1613C"/>
    <w:rsid w:val="00E17FE1"/>
    <w:rsid w:val="00E211AA"/>
    <w:rsid w:val="00E45003"/>
    <w:rsid w:val="00E72E78"/>
    <w:rsid w:val="00E764D3"/>
    <w:rsid w:val="00E84816"/>
    <w:rsid w:val="00E943E4"/>
    <w:rsid w:val="00E97340"/>
    <w:rsid w:val="00EA1E4C"/>
    <w:rsid w:val="00EA2E8F"/>
    <w:rsid w:val="00EB0ADD"/>
    <w:rsid w:val="00EC1C0A"/>
    <w:rsid w:val="00EC7262"/>
    <w:rsid w:val="00EE1A1F"/>
    <w:rsid w:val="00EE53E0"/>
    <w:rsid w:val="00EE5E0D"/>
    <w:rsid w:val="00EF6C7D"/>
    <w:rsid w:val="00EF73D0"/>
    <w:rsid w:val="00F00DDB"/>
    <w:rsid w:val="00F02323"/>
    <w:rsid w:val="00F0250C"/>
    <w:rsid w:val="00F03831"/>
    <w:rsid w:val="00F0530A"/>
    <w:rsid w:val="00F05955"/>
    <w:rsid w:val="00F06A76"/>
    <w:rsid w:val="00F076B6"/>
    <w:rsid w:val="00F1222A"/>
    <w:rsid w:val="00F1483A"/>
    <w:rsid w:val="00F15F3B"/>
    <w:rsid w:val="00F1729C"/>
    <w:rsid w:val="00F3518E"/>
    <w:rsid w:val="00F362B9"/>
    <w:rsid w:val="00F41325"/>
    <w:rsid w:val="00F433FB"/>
    <w:rsid w:val="00F51CA7"/>
    <w:rsid w:val="00F52F30"/>
    <w:rsid w:val="00F53549"/>
    <w:rsid w:val="00F53752"/>
    <w:rsid w:val="00F56197"/>
    <w:rsid w:val="00F567DF"/>
    <w:rsid w:val="00F56B95"/>
    <w:rsid w:val="00F56F0D"/>
    <w:rsid w:val="00F57643"/>
    <w:rsid w:val="00F57F5B"/>
    <w:rsid w:val="00F64C93"/>
    <w:rsid w:val="00F66253"/>
    <w:rsid w:val="00F67E82"/>
    <w:rsid w:val="00F706A1"/>
    <w:rsid w:val="00F71026"/>
    <w:rsid w:val="00F74650"/>
    <w:rsid w:val="00F74887"/>
    <w:rsid w:val="00F74C19"/>
    <w:rsid w:val="00F76553"/>
    <w:rsid w:val="00F76A0A"/>
    <w:rsid w:val="00F82549"/>
    <w:rsid w:val="00F8778B"/>
    <w:rsid w:val="00F90DB6"/>
    <w:rsid w:val="00F93C81"/>
    <w:rsid w:val="00F9475F"/>
    <w:rsid w:val="00F94F71"/>
    <w:rsid w:val="00FA62D0"/>
    <w:rsid w:val="00FB00B0"/>
    <w:rsid w:val="00FB3B80"/>
    <w:rsid w:val="00FB6A7C"/>
    <w:rsid w:val="00FB6D64"/>
    <w:rsid w:val="00FC195B"/>
    <w:rsid w:val="00FC3137"/>
    <w:rsid w:val="00FC5865"/>
    <w:rsid w:val="00FD5E7A"/>
    <w:rsid w:val="00FD6453"/>
    <w:rsid w:val="00FE16C2"/>
    <w:rsid w:val="00FE5159"/>
    <w:rsid w:val="00FE53EA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1B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F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7F5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0806"/>
    <w:rPr>
      <w:rFonts w:cs="Times New Roman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7F5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7F5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9D061B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57F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D061B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7F5B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4A16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0806"/>
    <w:rPr>
      <w:rFonts w:cs="Times New Roman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9D061B"/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customStyle="1" w:styleId="StyleAfter6pt">
    <w:name w:val="Style After:  6 pt"/>
    <w:basedOn w:val="Normal"/>
    <w:uiPriority w:val="99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5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7F5B"/>
    <w:rPr>
      <w:rFonts w:cs="Times New Roman"/>
      <w:sz w:val="2"/>
      <w:lang w:eastAsia="en-US"/>
    </w:rPr>
  </w:style>
  <w:style w:type="paragraph" w:customStyle="1" w:styleId="StyleLeft1cm">
    <w:name w:val="Style Left:  1 cm"/>
    <w:basedOn w:val="Normal"/>
    <w:uiPriority w:val="99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9458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580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7F5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NumberList">
    <w:name w:val="Number List"/>
    <w:basedOn w:val="Normal"/>
    <w:uiPriority w:val="99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uiPriority w:val="99"/>
    <w:rsid w:val="003A1D30"/>
    <w:pPr>
      <w:numPr>
        <w:ilvl w:val="1"/>
      </w:numPr>
      <w:tabs>
        <w:tab w:val="left" w:pos="2552"/>
      </w:tabs>
    </w:pPr>
  </w:style>
  <w:style w:type="paragraph" w:styleId="ListParagraph">
    <w:name w:val="List Paragraph"/>
    <w:basedOn w:val="Normal"/>
    <w:uiPriority w:val="99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uiPriority w:val="99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uiPriority w:val="99"/>
    <w:rsid w:val="00791256"/>
    <w:rPr>
      <w:rFonts w:cs="Times New Roman"/>
    </w:rPr>
  </w:style>
  <w:style w:type="character" w:customStyle="1" w:styleId="CharSchText">
    <w:name w:val="CharSchText"/>
    <w:basedOn w:val="DefaultParagraphFont"/>
    <w:uiPriority w:val="99"/>
    <w:rsid w:val="00791256"/>
    <w:rPr>
      <w:rFonts w:cs="Times New Roman"/>
    </w:rPr>
  </w:style>
  <w:style w:type="paragraph" w:customStyle="1" w:styleId="Schedulereference">
    <w:name w:val="Schedule reference"/>
    <w:basedOn w:val="Normal"/>
    <w:next w:val="Normal"/>
    <w:uiPriority w:val="99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uiPriority w:val="99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uiPriority w:val="99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customStyle="1" w:styleId="notemargin">
    <w:name w:val="note(margin)"/>
    <w:aliases w:val="nm"/>
    <w:basedOn w:val="Normal"/>
    <w:rsid w:val="00B40943"/>
    <w:pPr>
      <w:tabs>
        <w:tab w:val="left" w:pos="709"/>
      </w:tabs>
      <w:spacing w:before="122" w:line="198" w:lineRule="exact"/>
      <w:ind w:left="709" w:hanging="709"/>
    </w:pPr>
    <w:rPr>
      <w:sz w:val="18"/>
      <w:lang w:eastAsia="en-AU"/>
    </w:rPr>
  </w:style>
  <w:style w:type="numbering" w:customStyle="1" w:styleId="Style1">
    <w:name w:val="Style1"/>
    <w:uiPriority w:val="99"/>
    <w:rsid w:val="00F67E82"/>
    <w:pPr>
      <w:numPr>
        <w:numId w:val="33"/>
      </w:numPr>
    </w:pPr>
  </w:style>
  <w:style w:type="paragraph" w:customStyle="1" w:styleId="Sched1-Normal">
    <w:name w:val="Sched1-Normal"/>
    <w:basedOn w:val="Normal"/>
    <w:rsid w:val="00D33E29"/>
    <w:rPr>
      <w:rFonts w:ascii="Arial" w:hAnsi="Arial"/>
      <w:sz w:val="16"/>
      <w:szCs w:val="16"/>
    </w:rPr>
  </w:style>
  <w:style w:type="paragraph" w:customStyle="1" w:styleId="Item">
    <w:name w:val="Item"/>
    <w:aliases w:val="i"/>
    <w:basedOn w:val="Normal"/>
    <w:next w:val="Normal"/>
    <w:rsid w:val="00D33E29"/>
    <w:pPr>
      <w:keepLines/>
      <w:spacing w:before="80"/>
      <w:ind w:left="709"/>
    </w:pPr>
    <w:rPr>
      <w:sz w:val="22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5159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9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85B08-8324-482C-8856-7857796D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433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Carl Fitzpatrick</dc:creator>
  <cp:lastModifiedBy>John Kapsalis</cp:lastModifiedBy>
  <cp:revision>6</cp:revision>
  <cp:lastPrinted>2013-05-07T14:03:00Z</cp:lastPrinted>
  <dcterms:created xsi:type="dcterms:W3CDTF">2013-05-07T04:07:00Z</dcterms:created>
  <dcterms:modified xsi:type="dcterms:W3CDTF">2013-05-07T14:06:00Z</dcterms:modified>
</cp:coreProperties>
</file>