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32B2" w14:textId="77777777" w:rsidR="001371AB" w:rsidRPr="00234D0C" w:rsidRDefault="001371AB" w:rsidP="001371AB">
      <w:pPr>
        <w:jc w:val="center"/>
        <w:rPr>
          <w:b/>
        </w:rPr>
      </w:pPr>
      <w:r w:rsidRPr="00234D0C">
        <w:rPr>
          <w:b/>
        </w:rPr>
        <w:t>Explanatory Statement</w:t>
      </w:r>
    </w:p>
    <w:p w14:paraId="4C8DC03D" w14:textId="77777777" w:rsidR="001371AB" w:rsidRPr="00234D0C" w:rsidRDefault="001371AB" w:rsidP="001371AB">
      <w:pPr>
        <w:jc w:val="center"/>
        <w:rPr>
          <w:b/>
        </w:rPr>
      </w:pPr>
    </w:p>
    <w:p w14:paraId="7514BB60" w14:textId="77777777" w:rsidR="001371AB" w:rsidRPr="00234D0C" w:rsidRDefault="001371AB" w:rsidP="001371AB">
      <w:pPr>
        <w:jc w:val="center"/>
        <w:rPr>
          <w:b/>
        </w:rPr>
      </w:pPr>
      <w:r w:rsidRPr="00234D0C">
        <w:rPr>
          <w:b/>
        </w:rPr>
        <w:t>Currency Act 1965</w:t>
      </w:r>
    </w:p>
    <w:p w14:paraId="37653C33" w14:textId="77777777" w:rsidR="001371AB" w:rsidRPr="00234D0C" w:rsidRDefault="001371AB" w:rsidP="001371AB">
      <w:pPr>
        <w:tabs>
          <w:tab w:val="left" w:pos="2517"/>
        </w:tabs>
        <w:rPr>
          <w:rFonts w:eastAsiaTheme="minorHAnsi"/>
          <w:b/>
          <w:lang w:eastAsia="en-US"/>
        </w:rPr>
      </w:pPr>
      <w:r w:rsidRPr="00234D0C">
        <w:rPr>
          <w:rFonts w:eastAsiaTheme="minorHAnsi"/>
          <w:b/>
          <w:lang w:eastAsia="en-US"/>
        </w:rPr>
        <w:tab/>
      </w:r>
    </w:p>
    <w:p w14:paraId="41C340C7" w14:textId="77777777" w:rsidR="001371AB" w:rsidRPr="00234D0C" w:rsidRDefault="001371AB" w:rsidP="001371AB">
      <w:pPr>
        <w:jc w:val="center"/>
        <w:rPr>
          <w:rFonts w:eastAsiaTheme="minorHAnsi"/>
          <w:b/>
          <w:lang w:eastAsia="en-US"/>
        </w:rPr>
      </w:pPr>
      <w:r w:rsidRPr="00234D0C">
        <w:rPr>
          <w:rFonts w:eastAsiaTheme="minorHAnsi"/>
          <w:b/>
          <w:lang w:eastAsia="en-US"/>
        </w:rPr>
        <w:t>Currency Legislation (Perth Mint) Amendment Determination 2013 (No. 1)</w:t>
      </w:r>
    </w:p>
    <w:p w14:paraId="7A98DA5F" w14:textId="77777777" w:rsidR="001371AB" w:rsidRPr="00234D0C" w:rsidRDefault="001371AB" w:rsidP="001371AB"/>
    <w:p w14:paraId="54FE64AC" w14:textId="77777777" w:rsidR="001371AB" w:rsidRPr="00234D0C" w:rsidRDefault="001371AB" w:rsidP="001371AB">
      <w:r w:rsidRPr="00234D0C">
        <w:t xml:space="preserve">Under subsection 13A(1) of the </w:t>
      </w:r>
      <w:r w:rsidRPr="00234D0C">
        <w:rPr>
          <w:i/>
          <w:iCs/>
        </w:rPr>
        <w:t>Currency Act 1965</w:t>
      </w:r>
      <w:r w:rsidRPr="00234D0C">
        <w:t xml:space="preserve">, the then Assistant Treasurer, Bill Shorten made the </w:t>
      </w:r>
      <w:r w:rsidRPr="00234D0C">
        <w:rPr>
          <w:i/>
        </w:rPr>
        <w:t>Currency (Perth Mint) Determination 2011 (No. 2)</w:t>
      </w:r>
      <w:r w:rsidRPr="00234D0C">
        <w:t xml:space="preserve"> and the </w:t>
      </w:r>
      <w:r w:rsidRPr="00234D0C">
        <w:rPr>
          <w:i/>
        </w:rPr>
        <w:t>Currency (Perth Mint) Determination 2011 (No.3)</w:t>
      </w:r>
      <w:r w:rsidRPr="00234D0C">
        <w:t xml:space="preserve">, and Parliamentary Secretary to the Treasurer, Bernie Ripoll, </w:t>
      </w:r>
      <w:r w:rsidRPr="00234D0C">
        <w:rPr>
          <w:i/>
        </w:rPr>
        <w:t>Currency (Perth Mint) Determination 2013 (No. 1)</w:t>
      </w:r>
      <w:r w:rsidRPr="00234D0C">
        <w:t xml:space="preserve"> regarding the design and specifications of coins proposed to be issued by the Perth Mint. </w:t>
      </w:r>
    </w:p>
    <w:p w14:paraId="3E69058F" w14:textId="77777777" w:rsidR="001371AB" w:rsidRPr="00234D0C" w:rsidRDefault="001371AB" w:rsidP="001371AB"/>
    <w:p w14:paraId="5E070814" w14:textId="77777777" w:rsidR="001371AB" w:rsidRPr="00234D0C" w:rsidRDefault="001371AB" w:rsidP="001371AB">
      <w:pPr>
        <w:rPr>
          <w:rFonts w:eastAsiaTheme="minorHAnsi"/>
          <w:lang w:eastAsia="en-US"/>
        </w:rPr>
      </w:pPr>
      <w:r w:rsidRPr="00234D0C">
        <w:rPr>
          <w:rFonts w:eastAsiaTheme="minorHAnsi"/>
          <w:lang w:eastAsia="en-US"/>
        </w:rPr>
        <w:t xml:space="preserve">Subsection 13A (1) of the </w:t>
      </w:r>
      <w:r w:rsidRPr="00234D0C">
        <w:rPr>
          <w:rFonts w:eastAsiaTheme="minorHAnsi"/>
          <w:i/>
          <w:lang w:eastAsia="en-US"/>
        </w:rPr>
        <w:t>Currency Act 1965</w:t>
      </w:r>
      <w:r w:rsidRPr="00234D0C">
        <w:rPr>
          <w:rFonts w:eastAsiaTheme="minorHAnsi"/>
          <w:lang w:eastAsia="en-US"/>
        </w:rPr>
        <w:t xml:space="preserve"> requires that the determination provides details of the coins’ characteristics, including standard composition, standard weight, allowable variation from standard weight, design and dimensions.</w:t>
      </w:r>
    </w:p>
    <w:p w14:paraId="4ECDCBE5" w14:textId="77777777" w:rsidR="001371AB" w:rsidRPr="00234D0C" w:rsidRDefault="001371AB" w:rsidP="001371AB"/>
    <w:p w14:paraId="4813E7DB" w14:textId="77777777" w:rsidR="001371AB" w:rsidRPr="00234D0C" w:rsidRDefault="001371AB" w:rsidP="001371AB">
      <w:r w:rsidRPr="00234D0C">
        <w:t xml:space="preserve">This amendment determination is a disallowable instrument for the purposes of section 42 of the </w:t>
      </w:r>
      <w:r w:rsidRPr="00234D0C">
        <w:rPr>
          <w:i/>
        </w:rPr>
        <w:t>Legislative Instruments Act 2003</w:t>
      </w:r>
      <w:r w:rsidRPr="00234D0C">
        <w:t xml:space="preserve">.  </w:t>
      </w:r>
    </w:p>
    <w:p w14:paraId="3EB2AA54" w14:textId="77777777" w:rsidR="001371AB" w:rsidRPr="00234D0C" w:rsidRDefault="001371AB" w:rsidP="001371AB"/>
    <w:p w14:paraId="673D3653" w14:textId="77777777" w:rsidR="001371AB" w:rsidRPr="00234D0C" w:rsidRDefault="001371AB" w:rsidP="001371AB">
      <w:pPr>
        <w:rPr>
          <w:b/>
        </w:rPr>
      </w:pPr>
      <w:r w:rsidRPr="00234D0C">
        <w:rPr>
          <w:b/>
        </w:rPr>
        <w:t>Amendment of</w:t>
      </w:r>
      <w:r w:rsidRPr="00234D0C">
        <w:rPr>
          <w:b/>
          <w:i/>
        </w:rPr>
        <w:t xml:space="preserve"> Currency (Perth Mint) Determination 2011 (No. 2)</w:t>
      </w:r>
    </w:p>
    <w:p w14:paraId="3259F7E1" w14:textId="77777777" w:rsidR="001371AB" w:rsidRPr="00234D0C" w:rsidRDefault="001371AB" w:rsidP="001371AB">
      <w:pPr>
        <w:pStyle w:val="Heading4"/>
        <w:tabs>
          <w:tab w:val="left" w:pos="284"/>
          <w:tab w:val="left" w:pos="3828"/>
          <w:tab w:val="left" w:pos="4253"/>
          <w:tab w:val="left" w:pos="5670"/>
          <w:tab w:val="left" w:pos="8789"/>
        </w:tabs>
        <w:jc w:val="center"/>
        <w:rPr>
          <w:b w:val="0"/>
          <w:szCs w:val="24"/>
        </w:rPr>
      </w:pPr>
    </w:p>
    <w:p w14:paraId="40873187" w14:textId="77777777" w:rsidR="001371AB" w:rsidRPr="00234D0C" w:rsidRDefault="001F6D4E" w:rsidP="001371AB">
      <w:pPr>
        <w:tabs>
          <w:tab w:val="left" w:pos="3828"/>
          <w:tab w:val="left" w:pos="5670"/>
        </w:tabs>
      </w:pPr>
      <w:r w:rsidRPr="00234D0C">
        <w:t xml:space="preserve">Item 85 of Schedule 1, Part 1 </w:t>
      </w:r>
      <w:r w:rsidRPr="00234D0C">
        <w:rPr>
          <w:i/>
        </w:rPr>
        <w:t>Currency (Perth Mint) Determination 2011 (No. 2)</w:t>
      </w:r>
      <w:r w:rsidR="00B54181" w:rsidRPr="00234D0C">
        <w:t xml:space="preserve"> </w:t>
      </w:r>
      <w:r w:rsidRPr="00234D0C">
        <w:t>Omit “LORD HOWE ISLAND” and insert</w:t>
      </w:r>
      <w:r w:rsidR="00B54181" w:rsidRPr="00234D0C">
        <w:t xml:space="preserve"> “LORD HOWE ISLAND GROUP” instead of “LORD HOWE ISLAND”.</w:t>
      </w:r>
    </w:p>
    <w:p w14:paraId="1D83EA20" w14:textId="77777777" w:rsidR="001371AB" w:rsidRPr="00234D0C" w:rsidRDefault="001371AB" w:rsidP="001371AB">
      <w:pPr>
        <w:tabs>
          <w:tab w:val="left" w:pos="1800"/>
        </w:tabs>
        <w:rPr>
          <w:color w:val="FF0000"/>
          <w:lang w:eastAsia="en-US"/>
        </w:rPr>
      </w:pPr>
    </w:p>
    <w:p w14:paraId="68B99E8C" w14:textId="77777777" w:rsidR="00B54181" w:rsidRPr="00234D0C" w:rsidRDefault="00B54181" w:rsidP="00B54181">
      <w:pPr>
        <w:rPr>
          <w:b/>
        </w:rPr>
      </w:pPr>
      <w:r w:rsidRPr="00234D0C">
        <w:rPr>
          <w:b/>
        </w:rPr>
        <w:t>Amendment of</w:t>
      </w:r>
      <w:r w:rsidRPr="00234D0C">
        <w:rPr>
          <w:b/>
          <w:i/>
        </w:rPr>
        <w:t xml:space="preserve"> Currency (Perth Mint) Determination 2011 (No. 3)</w:t>
      </w:r>
    </w:p>
    <w:p w14:paraId="3404414B" w14:textId="77777777" w:rsidR="00B54181" w:rsidRPr="00234D0C" w:rsidRDefault="00B54181" w:rsidP="001371AB">
      <w:pPr>
        <w:pStyle w:val="Heading4"/>
        <w:tabs>
          <w:tab w:val="left" w:pos="284"/>
          <w:tab w:val="left" w:pos="3828"/>
          <w:tab w:val="left" w:pos="4253"/>
          <w:tab w:val="left" w:pos="5670"/>
          <w:tab w:val="left" w:pos="8789"/>
        </w:tabs>
        <w:rPr>
          <w:i/>
          <w:color w:val="FF0000"/>
          <w:szCs w:val="24"/>
        </w:rPr>
      </w:pPr>
    </w:p>
    <w:p w14:paraId="2249AB52" w14:textId="26993276" w:rsidR="001371AB" w:rsidRPr="00234D0C" w:rsidRDefault="001F6D4E" w:rsidP="001F6D4E">
      <w:pPr>
        <w:rPr>
          <w:color w:val="FF0000"/>
        </w:rPr>
      </w:pPr>
      <w:r w:rsidRPr="00234D0C">
        <w:t xml:space="preserve">Item 78 of Schedule 1, Part 1 </w:t>
      </w:r>
      <w:r w:rsidRPr="00234D0C">
        <w:rPr>
          <w:i/>
        </w:rPr>
        <w:t>Currency (Perth Mint) Determination 2011 (No. 3)</w:t>
      </w:r>
      <w:r w:rsidR="00F445AF" w:rsidRPr="00234D0C">
        <w:rPr>
          <w:i/>
        </w:rPr>
        <w:t xml:space="preserve"> </w:t>
      </w:r>
      <w:r w:rsidRPr="00234D0C">
        <w:t>was not manufactured within the determined specifications. Section 4,</w:t>
      </w:r>
      <w:r w:rsidR="00F445AF" w:rsidRPr="00234D0C">
        <w:t xml:space="preserve"> </w:t>
      </w:r>
      <w:r w:rsidRPr="00234D0C">
        <w:t xml:space="preserve">Schedule </w:t>
      </w:r>
      <w:r w:rsidR="00F445AF" w:rsidRPr="00234D0C">
        <w:t xml:space="preserve">1 – Amendments </w:t>
      </w:r>
      <w:r w:rsidRPr="00234D0C">
        <w:t>of</w:t>
      </w:r>
      <w:r w:rsidR="00F445AF" w:rsidRPr="00234D0C">
        <w:t xml:space="preserve">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corrects the allowable variation for the said coin to reflect the actual coin specifications achieved by the manufacturing process.</w:t>
      </w:r>
    </w:p>
    <w:p w14:paraId="7F3E30CB" w14:textId="77777777" w:rsidR="001371AB" w:rsidRPr="00234D0C" w:rsidRDefault="001371AB" w:rsidP="001371AB">
      <w:pPr>
        <w:tabs>
          <w:tab w:val="left" w:pos="1800"/>
        </w:tabs>
        <w:rPr>
          <w:color w:val="FF0000"/>
          <w:lang w:eastAsia="en-US"/>
        </w:rPr>
      </w:pPr>
    </w:p>
    <w:p w14:paraId="0FE2CAF1" w14:textId="1A39D7EF" w:rsidR="001371AB" w:rsidRPr="00234D0C" w:rsidRDefault="001F6D4E" w:rsidP="001371AB">
      <w:pPr>
        <w:tabs>
          <w:tab w:val="left" w:pos="3828"/>
          <w:tab w:val="left" w:pos="5670"/>
        </w:tabs>
        <w:rPr>
          <w:color w:val="FF0000"/>
        </w:rPr>
      </w:pPr>
      <w:r w:rsidRPr="00234D0C">
        <w:t xml:space="preserve">Item </w:t>
      </w:r>
      <w:r w:rsidR="00F445AF" w:rsidRPr="00234D0C">
        <w:t>80</w:t>
      </w:r>
      <w:r w:rsidRPr="00234D0C">
        <w:t xml:space="preserve"> of Schedule 1, Part 1 </w:t>
      </w:r>
      <w:r w:rsidRPr="00234D0C">
        <w:rPr>
          <w:i/>
        </w:rPr>
        <w:t>Currency (Perth Mint) Determination 2011 (No. 3)</w:t>
      </w:r>
      <w:r w:rsidR="00F445AF" w:rsidRPr="00234D0C">
        <w:rPr>
          <w:i/>
        </w:rPr>
        <w:t xml:space="preserve"> </w:t>
      </w:r>
      <w:r w:rsidRPr="00234D0C">
        <w:t>was not manufactured within the determined specifications. Section 4,</w:t>
      </w:r>
      <w:r w:rsidR="00F445AF" w:rsidRPr="00234D0C">
        <w:t xml:space="preserve"> </w:t>
      </w:r>
      <w:r w:rsidRPr="00234D0C">
        <w:t xml:space="preserve">Schedule </w:t>
      </w:r>
      <w:r w:rsidR="00F445AF" w:rsidRPr="00234D0C">
        <w:t xml:space="preserve">1 – Amendments </w:t>
      </w:r>
      <w:r w:rsidRPr="00234D0C">
        <w:t>of</w:t>
      </w:r>
      <w:r w:rsidR="00F445AF" w:rsidRPr="00234D0C">
        <w:t xml:space="preserve"> </w:t>
      </w:r>
      <w:r w:rsidRPr="00234D0C">
        <w:rPr>
          <w:i/>
        </w:rPr>
        <w:t xml:space="preserve">Currency (Perth Mint) </w:t>
      </w:r>
      <w:r w:rsidR="003414ED" w:rsidRPr="00234D0C">
        <w:rPr>
          <w:i/>
        </w:rPr>
        <w:t xml:space="preserve">Amendment </w:t>
      </w:r>
      <w:r w:rsidRPr="00234D0C">
        <w:rPr>
          <w:i/>
        </w:rPr>
        <w:t>Determination 2013 (No.1)</w:t>
      </w:r>
      <w:r w:rsidRPr="00234D0C">
        <w:t xml:space="preserve"> corrects the allowable variation for the said coin to reflect the actual coin specifications achieved by the manufacturing process.</w:t>
      </w:r>
    </w:p>
    <w:p w14:paraId="0A90484F" w14:textId="77777777" w:rsidR="001371AB" w:rsidRPr="00234D0C" w:rsidRDefault="001371AB" w:rsidP="001371AB">
      <w:pPr>
        <w:tabs>
          <w:tab w:val="left" w:pos="1800"/>
        </w:tabs>
        <w:rPr>
          <w:color w:val="FF0000"/>
          <w:lang w:eastAsia="en-US"/>
        </w:rPr>
      </w:pPr>
    </w:p>
    <w:p w14:paraId="5C32C07C" w14:textId="033CF291" w:rsidR="00F445AF" w:rsidRPr="00234D0C" w:rsidRDefault="00F445AF" w:rsidP="00F445AF">
      <w:pPr>
        <w:tabs>
          <w:tab w:val="left" w:pos="3828"/>
          <w:tab w:val="left" w:pos="5670"/>
        </w:tabs>
        <w:rPr>
          <w:color w:val="FF0000"/>
        </w:rPr>
      </w:pPr>
      <w:r w:rsidRPr="00234D0C">
        <w:t xml:space="preserve">Item 82 of Schedule 1, Part 1 </w:t>
      </w:r>
      <w:r w:rsidRPr="00234D0C">
        <w:rPr>
          <w:i/>
        </w:rPr>
        <w:t xml:space="preserve">Currency (Perth Mint) Determination 2011 (No. 3) </w:t>
      </w:r>
      <w:r w:rsidRPr="00234D0C">
        <w:t xml:space="preserve">was not manufactured within the determined specifications. Section 4, Schedule 1 – Amendments of </w:t>
      </w:r>
      <w:r w:rsidRPr="00234D0C">
        <w:rPr>
          <w:i/>
        </w:rPr>
        <w:t xml:space="preserve">Currency (Perth Mint) </w:t>
      </w:r>
      <w:r w:rsidR="003414ED" w:rsidRPr="00234D0C">
        <w:rPr>
          <w:i/>
        </w:rPr>
        <w:t>Amendment</w:t>
      </w:r>
      <w:r w:rsidR="003414ED">
        <w:rPr>
          <w:i/>
        </w:rPr>
        <w:t xml:space="preserve"> </w:t>
      </w:r>
      <w:r w:rsidRPr="00234D0C">
        <w:rPr>
          <w:i/>
        </w:rPr>
        <w:t>Determination 2013 (No.1)</w:t>
      </w:r>
      <w:r w:rsidRPr="00234D0C">
        <w:t xml:space="preserve"> corrects the allowable variation for the said coin to reflect the actual coin specifications achieved by the manufacturing process.</w:t>
      </w:r>
    </w:p>
    <w:p w14:paraId="220F4152" w14:textId="77777777" w:rsidR="001371AB" w:rsidRPr="00234D0C" w:rsidRDefault="001371AB" w:rsidP="001371AB">
      <w:pPr>
        <w:tabs>
          <w:tab w:val="left" w:pos="3828"/>
          <w:tab w:val="left" w:pos="5670"/>
        </w:tabs>
        <w:rPr>
          <w:color w:val="FF0000"/>
        </w:rPr>
      </w:pPr>
    </w:p>
    <w:p w14:paraId="3E49AC53" w14:textId="783384DC" w:rsidR="00F445AF" w:rsidRPr="00234D0C" w:rsidRDefault="00F445AF" w:rsidP="00F445AF">
      <w:pPr>
        <w:tabs>
          <w:tab w:val="left" w:pos="3828"/>
          <w:tab w:val="left" w:pos="5670"/>
        </w:tabs>
        <w:rPr>
          <w:color w:val="FF0000"/>
        </w:rPr>
      </w:pPr>
      <w:r w:rsidRPr="00234D0C">
        <w:t xml:space="preserve">Item 18 of Schedule 1, Part 2 </w:t>
      </w:r>
      <w:r w:rsidRPr="00234D0C">
        <w:rPr>
          <w:i/>
        </w:rPr>
        <w:t xml:space="preserve">Currency (Perth Mint) Determination 2011 (No. 3) </w:t>
      </w:r>
      <w:r w:rsidRPr="00234D0C">
        <w:t>was not released in 2012</w:t>
      </w:r>
      <w:r w:rsidR="00BE785D" w:rsidRPr="00234D0C">
        <w:t xml:space="preserve"> as stated</w:t>
      </w:r>
      <w:r w:rsidRPr="00234D0C">
        <w:t xml:space="preserve">. Section 4, Schedule 1 – Amendments of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w:t>
      </w:r>
      <w:r w:rsidR="00BE785D" w:rsidRPr="00234D0C">
        <w:t xml:space="preserve">omits “2012” and substitutes “2015”. </w:t>
      </w:r>
      <w:r w:rsidRPr="00234D0C">
        <w:t xml:space="preserve"> </w:t>
      </w:r>
    </w:p>
    <w:p w14:paraId="2B64B536" w14:textId="77777777" w:rsidR="00F445AF" w:rsidRPr="00234D0C" w:rsidRDefault="00F445AF" w:rsidP="001371AB">
      <w:pPr>
        <w:tabs>
          <w:tab w:val="left" w:pos="3828"/>
          <w:tab w:val="left" w:pos="5670"/>
        </w:tabs>
        <w:rPr>
          <w:color w:val="FF0000"/>
        </w:rPr>
      </w:pPr>
    </w:p>
    <w:p w14:paraId="51888FEA" w14:textId="3185AB35" w:rsidR="00BE785D" w:rsidRPr="00234D0C" w:rsidRDefault="00BE785D" w:rsidP="00BE785D">
      <w:pPr>
        <w:tabs>
          <w:tab w:val="left" w:pos="3828"/>
          <w:tab w:val="left" w:pos="5670"/>
        </w:tabs>
        <w:rPr>
          <w:color w:val="FF0000"/>
        </w:rPr>
      </w:pPr>
      <w:r w:rsidRPr="00234D0C">
        <w:lastRenderedPageBreak/>
        <w:t xml:space="preserve">Item 19 of Schedule 1, Part 2 </w:t>
      </w:r>
      <w:r w:rsidRPr="00234D0C">
        <w:rPr>
          <w:i/>
        </w:rPr>
        <w:t xml:space="preserve">Currency (Perth Mint) Determination 2011 (No. 3) </w:t>
      </w:r>
      <w:r w:rsidRPr="00234D0C">
        <w:t xml:space="preserve">was not released in 2012 as stated. Section 4, Schedule 1 – Amendments of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omits “2012” and substitutes “2015”.  </w:t>
      </w:r>
    </w:p>
    <w:p w14:paraId="7F05DFCB" w14:textId="77777777" w:rsidR="001371AB" w:rsidRPr="00234D0C" w:rsidRDefault="001371AB" w:rsidP="001371AB">
      <w:pPr>
        <w:tabs>
          <w:tab w:val="left" w:pos="1800"/>
        </w:tabs>
        <w:rPr>
          <w:color w:val="FF0000"/>
          <w:lang w:eastAsia="en-US"/>
        </w:rPr>
      </w:pPr>
    </w:p>
    <w:p w14:paraId="1F675C25" w14:textId="77777777" w:rsidR="00BE785D" w:rsidRPr="00234D0C" w:rsidRDefault="00BE785D" w:rsidP="00BE785D">
      <w:pPr>
        <w:rPr>
          <w:b/>
        </w:rPr>
      </w:pPr>
      <w:r w:rsidRPr="00234D0C">
        <w:rPr>
          <w:b/>
        </w:rPr>
        <w:t>Amendment of</w:t>
      </w:r>
      <w:r w:rsidRPr="00234D0C">
        <w:rPr>
          <w:b/>
          <w:i/>
        </w:rPr>
        <w:t xml:space="preserve"> Currency (Perth Mint) Determination 2013 (No. 1)</w:t>
      </w:r>
    </w:p>
    <w:p w14:paraId="5B46B269" w14:textId="77777777" w:rsidR="00BE785D" w:rsidRPr="00234D0C" w:rsidRDefault="00BE785D" w:rsidP="001371AB">
      <w:pPr>
        <w:pStyle w:val="Heading4"/>
        <w:tabs>
          <w:tab w:val="left" w:pos="284"/>
          <w:tab w:val="left" w:pos="3828"/>
          <w:tab w:val="left" w:pos="4253"/>
          <w:tab w:val="left" w:pos="5670"/>
          <w:tab w:val="left" w:pos="8789"/>
        </w:tabs>
        <w:rPr>
          <w:i/>
          <w:color w:val="FF0000"/>
          <w:szCs w:val="24"/>
        </w:rPr>
      </w:pPr>
    </w:p>
    <w:p w14:paraId="42373E1C" w14:textId="7F7BD718" w:rsidR="00BE785D" w:rsidRPr="00234D0C" w:rsidRDefault="00BE785D" w:rsidP="00BE785D">
      <w:pPr>
        <w:tabs>
          <w:tab w:val="left" w:pos="3828"/>
          <w:tab w:val="left" w:pos="5670"/>
        </w:tabs>
        <w:rPr>
          <w:color w:val="FF0000"/>
        </w:rPr>
      </w:pPr>
      <w:r w:rsidRPr="00234D0C">
        <w:t xml:space="preserve">Item 67 of Schedule 1, Part 2 </w:t>
      </w:r>
      <w:r w:rsidRPr="00234D0C">
        <w:rPr>
          <w:i/>
        </w:rPr>
        <w:t xml:space="preserve">Currency (Perth Mint) Determination 2013 (No. 1) </w:t>
      </w:r>
      <w:r w:rsidRPr="00234D0C">
        <w:t xml:space="preserve">will not be released in 2014 as stated. Section 4, Schedule 1 – Amendments of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omits “O8” and substitutes “O8” which amends the release date to 2015.  </w:t>
      </w:r>
    </w:p>
    <w:p w14:paraId="5C569B73" w14:textId="77777777" w:rsidR="00BE785D" w:rsidRPr="00234D0C" w:rsidRDefault="00BE785D" w:rsidP="001371AB">
      <w:pPr>
        <w:pStyle w:val="Heading4"/>
        <w:tabs>
          <w:tab w:val="left" w:pos="284"/>
          <w:tab w:val="left" w:pos="3828"/>
          <w:tab w:val="left" w:pos="4253"/>
          <w:tab w:val="left" w:pos="5670"/>
          <w:tab w:val="left" w:pos="8789"/>
        </w:tabs>
        <w:rPr>
          <w:i/>
          <w:color w:val="FF0000"/>
          <w:szCs w:val="24"/>
        </w:rPr>
      </w:pPr>
    </w:p>
    <w:p w14:paraId="01967E79" w14:textId="1D93FCD1" w:rsidR="00BE785D" w:rsidRPr="00234D0C" w:rsidRDefault="00BE785D" w:rsidP="00BE785D">
      <w:pPr>
        <w:tabs>
          <w:tab w:val="left" w:pos="3828"/>
          <w:tab w:val="left" w:pos="5670"/>
        </w:tabs>
        <w:rPr>
          <w:color w:val="FF0000"/>
        </w:rPr>
      </w:pPr>
      <w:r w:rsidRPr="00234D0C">
        <w:t xml:space="preserve">Item 68 of Schedule 1, Part 2 </w:t>
      </w:r>
      <w:r w:rsidRPr="00234D0C">
        <w:rPr>
          <w:i/>
        </w:rPr>
        <w:t xml:space="preserve">Currency (Perth Mint) Determination 2013 (No. 1) </w:t>
      </w:r>
      <w:r w:rsidRPr="00234D0C">
        <w:t xml:space="preserve">will not be released in 2014 as stated. Section 4, Schedule 1 – Amendments of </w:t>
      </w:r>
      <w:r w:rsidRPr="00234D0C">
        <w:rPr>
          <w:i/>
        </w:rPr>
        <w:t xml:space="preserve">Currency (Perth Mint) </w:t>
      </w:r>
      <w:r w:rsidR="003414ED" w:rsidRPr="00234D0C">
        <w:rPr>
          <w:i/>
        </w:rPr>
        <w:t xml:space="preserve">Amendment </w:t>
      </w:r>
      <w:r w:rsidRPr="00234D0C">
        <w:rPr>
          <w:i/>
        </w:rPr>
        <w:t>Determination 2013 (No.1)</w:t>
      </w:r>
      <w:r w:rsidRPr="00234D0C">
        <w:t xml:space="preserve"> omits “O8” and substitutes “O8” which amends the release date to 2015.  </w:t>
      </w:r>
    </w:p>
    <w:p w14:paraId="057E8675" w14:textId="77777777" w:rsidR="00BE785D" w:rsidRPr="00234D0C" w:rsidRDefault="00BE785D" w:rsidP="00BE785D">
      <w:pPr>
        <w:rPr>
          <w:lang w:eastAsia="en-US"/>
        </w:rPr>
      </w:pPr>
    </w:p>
    <w:p w14:paraId="61F8E735" w14:textId="388A7CB5" w:rsidR="00BE785D" w:rsidRPr="00234D0C" w:rsidRDefault="00BE785D" w:rsidP="00BE785D">
      <w:pPr>
        <w:tabs>
          <w:tab w:val="left" w:pos="3828"/>
          <w:tab w:val="left" w:pos="5670"/>
        </w:tabs>
        <w:rPr>
          <w:color w:val="FF0000"/>
        </w:rPr>
      </w:pPr>
      <w:r w:rsidRPr="00234D0C">
        <w:t xml:space="preserve">Item 69 of Schedule 1, Part 2 </w:t>
      </w:r>
      <w:r w:rsidRPr="00234D0C">
        <w:rPr>
          <w:i/>
        </w:rPr>
        <w:t xml:space="preserve">Currency (Perth Mint) Determination 2013 (No. 1) </w:t>
      </w:r>
      <w:r w:rsidRPr="00234D0C">
        <w:t xml:space="preserve">will not be released in 2014 as stated. Section 4, Schedule 1 – Amendments of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omits “O8” and substitutes “O8” which amends the release date to 2015.  </w:t>
      </w:r>
    </w:p>
    <w:p w14:paraId="24CAC425" w14:textId="77777777" w:rsidR="00BE785D" w:rsidRPr="00234D0C" w:rsidRDefault="00BE785D" w:rsidP="00BE785D">
      <w:pPr>
        <w:rPr>
          <w:lang w:eastAsia="en-US"/>
        </w:rPr>
      </w:pPr>
    </w:p>
    <w:p w14:paraId="11D3802F" w14:textId="21BD37F8" w:rsidR="00BE785D" w:rsidRPr="00234D0C" w:rsidRDefault="00BE785D" w:rsidP="00BE785D">
      <w:pPr>
        <w:tabs>
          <w:tab w:val="left" w:pos="3828"/>
          <w:tab w:val="left" w:pos="5670"/>
        </w:tabs>
        <w:rPr>
          <w:color w:val="FF0000"/>
        </w:rPr>
      </w:pPr>
      <w:r w:rsidRPr="00234D0C">
        <w:t xml:space="preserve">Item 70 of Schedule 1, Part 2 </w:t>
      </w:r>
      <w:r w:rsidRPr="00234D0C">
        <w:rPr>
          <w:i/>
        </w:rPr>
        <w:t xml:space="preserve">Currency (Perth Mint) Determination 2013 (No. 1) </w:t>
      </w:r>
      <w:r w:rsidRPr="00234D0C">
        <w:t xml:space="preserve">will not be released in 2014 as stated. Section 4, Schedule 1 – Amendments of </w:t>
      </w:r>
      <w:r w:rsidRPr="00234D0C">
        <w:rPr>
          <w:i/>
        </w:rPr>
        <w:t xml:space="preserve">Currency (Perth Mint) </w:t>
      </w:r>
      <w:r w:rsidR="003414ED" w:rsidRPr="00234D0C">
        <w:rPr>
          <w:i/>
        </w:rPr>
        <w:t>Amendment</w:t>
      </w:r>
      <w:r w:rsidR="003414ED" w:rsidRPr="00234D0C">
        <w:rPr>
          <w:i/>
        </w:rPr>
        <w:t xml:space="preserve"> </w:t>
      </w:r>
      <w:r w:rsidRPr="00234D0C">
        <w:rPr>
          <w:i/>
        </w:rPr>
        <w:t>Determination 2013 (No.1)</w:t>
      </w:r>
      <w:r w:rsidRPr="00234D0C">
        <w:t xml:space="preserve"> omits “O8” and substitutes “O8” which is for a release date of 2015.  </w:t>
      </w:r>
    </w:p>
    <w:p w14:paraId="79E93C26" w14:textId="77777777" w:rsidR="00BE785D" w:rsidRPr="00234D0C" w:rsidRDefault="00BE785D" w:rsidP="00BE785D">
      <w:pPr>
        <w:rPr>
          <w:lang w:eastAsia="en-US"/>
        </w:rPr>
      </w:pPr>
    </w:p>
    <w:p w14:paraId="03B57D09" w14:textId="2B1C5F69" w:rsidR="00BE785D" w:rsidRPr="00234D0C" w:rsidRDefault="00BE785D" w:rsidP="00BE785D">
      <w:pPr>
        <w:tabs>
          <w:tab w:val="left" w:pos="3828"/>
          <w:tab w:val="left" w:pos="5670"/>
        </w:tabs>
        <w:rPr>
          <w:color w:val="FF0000"/>
        </w:rPr>
      </w:pPr>
      <w:r w:rsidRPr="00234D0C">
        <w:t xml:space="preserve">Item 71 of Schedule 1, Part 2 </w:t>
      </w:r>
      <w:r w:rsidRPr="00234D0C">
        <w:rPr>
          <w:i/>
        </w:rPr>
        <w:t xml:space="preserve">Currency (Perth Mint) Determination 2013 (No. 1) </w:t>
      </w:r>
      <w:r w:rsidRPr="00234D0C">
        <w:t xml:space="preserve">will not be released in 2014 as stated. Section 4, Schedule 1 – Amendments of </w:t>
      </w:r>
      <w:r w:rsidRPr="00234D0C">
        <w:rPr>
          <w:i/>
        </w:rPr>
        <w:t xml:space="preserve">Currency (Perth Mint) </w:t>
      </w:r>
      <w:r w:rsidR="003414ED" w:rsidRPr="00234D0C">
        <w:rPr>
          <w:i/>
        </w:rPr>
        <w:t xml:space="preserve">Amendment </w:t>
      </w:r>
      <w:r w:rsidRPr="00234D0C">
        <w:rPr>
          <w:i/>
        </w:rPr>
        <w:t>Determination 2013 (No.1)</w:t>
      </w:r>
      <w:r w:rsidRPr="00234D0C">
        <w:t xml:space="preserve"> omits “O8” and substitutes “O8” which amends the release date to 2015.  </w:t>
      </w:r>
    </w:p>
    <w:p w14:paraId="648A8614" w14:textId="77777777" w:rsidR="00BE785D" w:rsidRPr="00234D0C" w:rsidRDefault="00BE785D" w:rsidP="00BE785D">
      <w:pPr>
        <w:rPr>
          <w:lang w:eastAsia="en-US"/>
        </w:rPr>
      </w:pPr>
    </w:p>
    <w:p w14:paraId="314695DE" w14:textId="77777777" w:rsidR="00BE785D" w:rsidRPr="00234D0C" w:rsidRDefault="00BE785D" w:rsidP="00BE785D">
      <w:pPr>
        <w:rPr>
          <w:lang w:eastAsia="en-US"/>
        </w:rPr>
      </w:pPr>
    </w:p>
    <w:p w14:paraId="7BF02F00" w14:textId="77777777" w:rsidR="00280592" w:rsidRPr="00234D0C" w:rsidRDefault="00280592" w:rsidP="00BE785D">
      <w:pPr>
        <w:rPr>
          <w:lang w:eastAsia="en-US"/>
        </w:rPr>
      </w:pPr>
    </w:p>
    <w:p w14:paraId="48480C89" w14:textId="77777777" w:rsidR="00280592" w:rsidRPr="00234D0C" w:rsidRDefault="00280592" w:rsidP="00BE785D">
      <w:pPr>
        <w:rPr>
          <w:lang w:eastAsia="en-US"/>
        </w:rPr>
      </w:pPr>
    </w:p>
    <w:p w14:paraId="0F15AF13" w14:textId="77777777" w:rsidR="00791A9D" w:rsidRDefault="00791A9D" w:rsidP="00BE785D">
      <w:pPr>
        <w:rPr>
          <w:lang w:eastAsia="en-US"/>
        </w:rPr>
      </w:pPr>
      <w:r w:rsidRPr="00234D0C">
        <w:rPr>
          <w:lang w:eastAsia="en-US"/>
        </w:rPr>
        <w:t xml:space="preserve">The proposed amendments do not contravene subsection 12 (2) of the </w:t>
      </w:r>
      <w:r w:rsidRPr="000D452B">
        <w:rPr>
          <w:i/>
          <w:lang w:eastAsia="en-US"/>
        </w:rPr>
        <w:t>Legislative Instruments Act 2003</w:t>
      </w:r>
      <w:r w:rsidRPr="00234D0C">
        <w:rPr>
          <w:lang w:eastAsia="en-US"/>
        </w:rPr>
        <w:t xml:space="preserve"> by having either of the following effects:</w:t>
      </w:r>
    </w:p>
    <w:p w14:paraId="4DEA346F" w14:textId="77777777" w:rsidR="000D452B" w:rsidRPr="00234D0C" w:rsidRDefault="000D452B" w:rsidP="00BE785D">
      <w:pPr>
        <w:rPr>
          <w:lang w:eastAsia="en-US"/>
        </w:rPr>
      </w:pPr>
    </w:p>
    <w:p w14:paraId="2CEA5992" w14:textId="77777777" w:rsidR="00791A9D" w:rsidRPr="00234D0C" w:rsidRDefault="00791A9D" w:rsidP="00791A9D">
      <w:pPr>
        <w:ind w:left="1134" w:hanging="425"/>
        <w:rPr>
          <w:lang w:eastAsia="en-US"/>
        </w:rPr>
      </w:pPr>
      <w:r w:rsidRPr="00234D0C">
        <w:rPr>
          <w:lang w:eastAsia="en-US"/>
        </w:rPr>
        <w:t>(a)  affecting the rights of a person (other than the Commonwealth or an authority of the Commonwealth) as at the date of registration as to disadvantage that person; or</w:t>
      </w:r>
    </w:p>
    <w:p w14:paraId="357B0850" w14:textId="77777777" w:rsidR="00791A9D" w:rsidRPr="00234D0C" w:rsidRDefault="00791A9D" w:rsidP="00791A9D">
      <w:pPr>
        <w:ind w:left="1134" w:hanging="425"/>
        <w:rPr>
          <w:lang w:eastAsia="en-US"/>
        </w:rPr>
      </w:pPr>
      <w:r w:rsidRPr="00234D0C">
        <w:rPr>
          <w:lang w:eastAsia="en-US"/>
        </w:rPr>
        <w:t>(b)  imposing liabilities on a person (other than the Commonwealth or an authority of the Commonwealth) in respect of anything done or omitted to be done before the date of registration.</w:t>
      </w:r>
    </w:p>
    <w:p w14:paraId="4BFAA979" w14:textId="77777777" w:rsidR="00791A9D" w:rsidRPr="00234D0C" w:rsidRDefault="00791A9D" w:rsidP="00BE785D">
      <w:pPr>
        <w:rPr>
          <w:lang w:eastAsia="en-US"/>
        </w:rPr>
      </w:pPr>
    </w:p>
    <w:p w14:paraId="6A445A93" w14:textId="77777777" w:rsidR="00280592" w:rsidRPr="00234D0C" w:rsidRDefault="00280592" w:rsidP="00791A9D">
      <w:pPr>
        <w:tabs>
          <w:tab w:val="left" w:pos="3828"/>
          <w:tab w:val="left" w:pos="5670"/>
        </w:tabs>
        <w:rPr>
          <w:b/>
        </w:rPr>
      </w:pPr>
    </w:p>
    <w:p w14:paraId="5B53AE84" w14:textId="77777777" w:rsidR="00280592" w:rsidRPr="00234D0C" w:rsidRDefault="00280592" w:rsidP="00791A9D">
      <w:pPr>
        <w:tabs>
          <w:tab w:val="left" w:pos="3828"/>
          <w:tab w:val="left" w:pos="5670"/>
        </w:tabs>
        <w:rPr>
          <w:b/>
        </w:rPr>
      </w:pPr>
    </w:p>
    <w:p w14:paraId="345AD41F" w14:textId="77777777" w:rsidR="00280592" w:rsidRPr="00234D0C" w:rsidRDefault="00280592" w:rsidP="00791A9D">
      <w:pPr>
        <w:tabs>
          <w:tab w:val="left" w:pos="3828"/>
          <w:tab w:val="left" w:pos="5670"/>
        </w:tabs>
        <w:rPr>
          <w:b/>
        </w:rPr>
      </w:pPr>
    </w:p>
    <w:p w14:paraId="1B887EC2" w14:textId="77777777" w:rsidR="00280592" w:rsidRPr="00234D0C" w:rsidRDefault="00280592" w:rsidP="00791A9D">
      <w:pPr>
        <w:tabs>
          <w:tab w:val="left" w:pos="3828"/>
          <w:tab w:val="left" w:pos="5670"/>
        </w:tabs>
        <w:rPr>
          <w:b/>
        </w:rPr>
      </w:pPr>
    </w:p>
    <w:p w14:paraId="5E73959E" w14:textId="77777777" w:rsidR="00280592" w:rsidRPr="00234D0C" w:rsidRDefault="00280592" w:rsidP="00791A9D">
      <w:pPr>
        <w:tabs>
          <w:tab w:val="left" w:pos="3828"/>
          <w:tab w:val="left" w:pos="5670"/>
        </w:tabs>
        <w:rPr>
          <w:b/>
        </w:rPr>
      </w:pPr>
    </w:p>
    <w:p w14:paraId="133FB0A2" w14:textId="77777777" w:rsidR="00280592" w:rsidRPr="00234D0C" w:rsidRDefault="00280592" w:rsidP="00791A9D">
      <w:pPr>
        <w:tabs>
          <w:tab w:val="left" w:pos="3828"/>
          <w:tab w:val="left" w:pos="5670"/>
        </w:tabs>
        <w:rPr>
          <w:b/>
        </w:rPr>
      </w:pPr>
    </w:p>
    <w:p w14:paraId="0D67EF5A" w14:textId="77777777" w:rsidR="00280592" w:rsidRPr="00234D0C" w:rsidRDefault="00280592" w:rsidP="00791A9D">
      <w:pPr>
        <w:tabs>
          <w:tab w:val="left" w:pos="3828"/>
          <w:tab w:val="left" w:pos="5670"/>
        </w:tabs>
        <w:rPr>
          <w:b/>
        </w:rPr>
      </w:pPr>
    </w:p>
    <w:p w14:paraId="67560185" w14:textId="77777777" w:rsidR="00791A9D" w:rsidRPr="00234D0C" w:rsidRDefault="00791A9D" w:rsidP="00791A9D">
      <w:pPr>
        <w:tabs>
          <w:tab w:val="left" w:pos="3828"/>
          <w:tab w:val="left" w:pos="5670"/>
        </w:tabs>
        <w:rPr>
          <w:b/>
        </w:rPr>
      </w:pPr>
      <w:r w:rsidRPr="00234D0C">
        <w:rPr>
          <w:b/>
        </w:rPr>
        <w:t>Consultation</w:t>
      </w:r>
    </w:p>
    <w:p w14:paraId="69854380" w14:textId="77777777" w:rsidR="00791A9D" w:rsidRPr="00234D0C" w:rsidRDefault="00791A9D" w:rsidP="00791A9D">
      <w:pPr>
        <w:tabs>
          <w:tab w:val="left" w:pos="3828"/>
          <w:tab w:val="left" w:pos="5670"/>
        </w:tabs>
        <w:rPr>
          <w:b/>
        </w:rPr>
      </w:pPr>
    </w:p>
    <w:p w14:paraId="387B6CD4" w14:textId="77777777" w:rsidR="00791A9D" w:rsidRPr="00791A9D" w:rsidRDefault="00791A9D" w:rsidP="00791A9D">
      <w:pPr>
        <w:tabs>
          <w:tab w:val="left" w:pos="3828"/>
          <w:tab w:val="left" w:pos="5670"/>
        </w:tabs>
      </w:pPr>
      <w:r w:rsidRPr="00791A9D">
        <w:t xml:space="preserve">GoldCorp Australia has undertaken consultation among its network of Australian and international wholesale distributors. Authorised Australian distributors of Perth Mint products are consulted regularly during business meetings and participation at the Australian Numismatic Dealers’ Association Coin, Banknote and Stamp shows and Licensed Post Office Conferences held throughout Australia.  Likewise, international distributors are consulted during a schedule of individual meetings hosted during the World Money Fair held in Berlin and the American Numismatic Association’s World’s Fair of Money.  </w:t>
      </w:r>
    </w:p>
    <w:p w14:paraId="720AC6FF" w14:textId="77777777" w:rsidR="00791A9D" w:rsidRPr="00791A9D" w:rsidRDefault="00791A9D" w:rsidP="00791A9D">
      <w:pPr>
        <w:tabs>
          <w:tab w:val="left" w:pos="3828"/>
          <w:tab w:val="left" w:pos="5670"/>
        </w:tabs>
      </w:pPr>
    </w:p>
    <w:p w14:paraId="22811781" w14:textId="77777777" w:rsidR="00791A9D" w:rsidRPr="00791A9D" w:rsidRDefault="00791A9D" w:rsidP="00791A9D">
      <w:pPr>
        <w:tabs>
          <w:tab w:val="left" w:pos="3828"/>
          <w:tab w:val="left" w:pos="5670"/>
        </w:tabs>
      </w:pPr>
      <w:r w:rsidRPr="00791A9D">
        <w:t xml:space="preserve">In some instances when a major program is in concept stage </w:t>
      </w:r>
      <w:r w:rsidR="000D452B">
        <w:t>Perth Mint</w:t>
      </w:r>
      <w:r w:rsidRPr="00791A9D">
        <w:t xml:space="preserve"> would conduct market research through focus groups to assist in preparing designs.</w:t>
      </w:r>
    </w:p>
    <w:p w14:paraId="4D6F74DF" w14:textId="77777777" w:rsidR="00791A9D" w:rsidRPr="00791A9D" w:rsidRDefault="00791A9D" w:rsidP="00791A9D">
      <w:pPr>
        <w:tabs>
          <w:tab w:val="left" w:pos="3828"/>
          <w:tab w:val="left" w:pos="5670"/>
        </w:tabs>
      </w:pPr>
    </w:p>
    <w:p w14:paraId="47E37404" w14:textId="77777777" w:rsidR="00791A9D" w:rsidRPr="00791A9D" w:rsidRDefault="00791A9D" w:rsidP="00791A9D">
      <w:pPr>
        <w:tabs>
          <w:tab w:val="left" w:pos="3828"/>
          <w:tab w:val="left" w:pos="5670"/>
        </w:tabs>
      </w:pPr>
      <w:r w:rsidRPr="00791A9D">
        <w:t xml:space="preserve">Limited consultation is conducted with external parties due to the confidentiality of coin themes and artwork, due to the risk of competitors viewing </w:t>
      </w:r>
      <w:r w:rsidR="000D452B">
        <w:t>Perth Mint’s</w:t>
      </w:r>
      <w:r w:rsidRPr="00791A9D">
        <w:t xml:space="preserve"> innovations and potentially releasing similar coins into the market prior to release. </w:t>
      </w:r>
      <w:r w:rsidRPr="00791A9D">
        <w:br/>
      </w:r>
    </w:p>
    <w:p w14:paraId="7BE69198" w14:textId="77777777" w:rsidR="00791A9D" w:rsidRPr="00791A9D" w:rsidRDefault="00791A9D" w:rsidP="00791A9D">
      <w:pPr>
        <w:tabs>
          <w:tab w:val="left" w:pos="3828"/>
          <w:tab w:val="left" w:pos="5670"/>
        </w:tabs>
      </w:pPr>
      <w:r w:rsidRPr="00791A9D">
        <w:t xml:space="preserve">Members of the public have the opportunity to contact </w:t>
      </w:r>
      <w:r w:rsidR="000D452B">
        <w:t>Perth Mint</w:t>
      </w:r>
      <w:r w:rsidRPr="00791A9D">
        <w:t xml:space="preserve"> to present any themes they would like to see commemorated on Australian legal tender.  These concepts are then researched and presented to GoldCorp Australia’s sales and marketing department for consideration and feedback.</w:t>
      </w:r>
    </w:p>
    <w:p w14:paraId="576C73BF" w14:textId="77777777" w:rsidR="00791A9D" w:rsidRPr="00234D0C" w:rsidRDefault="00791A9D" w:rsidP="00791A9D">
      <w:pPr>
        <w:rPr>
          <w:i/>
        </w:rPr>
      </w:pPr>
    </w:p>
    <w:p w14:paraId="76A14611" w14:textId="77777777" w:rsidR="00791A9D" w:rsidRPr="00791A9D" w:rsidRDefault="00791A9D" w:rsidP="00791A9D">
      <w:pPr>
        <w:rPr>
          <w:i/>
        </w:rPr>
      </w:pPr>
    </w:p>
    <w:p w14:paraId="2409F8A8" w14:textId="77777777" w:rsidR="00280592" w:rsidRPr="00234D0C" w:rsidRDefault="00280592" w:rsidP="00280592">
      <w:pPr>
        <w:tabs>
          <w:tab w:val="left" w:pos="9356"/>
        </w:tabs>
        <w:jc w:val="center"/>
        <w:rPr>
          <w:b/>
          <w:lang w:eastAsia="en-US"/>
        </w:rPr>
      </w:pPr>
    </w:p>
    <w:p w14:paraId="2D950FE3" w14:textId="77777777" w:rsidR="00280592" w:rsidRPr="00234D0C" w:rsidRDefault="00280592" w:rsidP="00280592">
      <w:pPr>
        <w:tabs>
          <w:tab w:val="left" w:pos="9356"/>
        </w:tabs>
        <w:jc w:val="center"/>
        <w:rPr>
          <w:b/>
          <w:lang w:eastAsia="en-US"/>
        </w:rPr>
      </w:pPr>
    </w:p>
    <w:p w14:paraId="4A8F3C8C" w14:textId="77777777" w:rsidR="00280592" w:rsidRPr="00234D0C" w:rsidRDefault="00280592" w:rsidP="00280592">
      <w:pPr>
        <w:tabs>
          <w:tab w:val="left" w:pos="9356"/>
        </w:tabs>
        <w:jc w:val="center"/>
        <w:rPr>
          <w:b/>
          <w:lang w:eastAsia="en-US"/>
        </w:rPr>
      </w:pPr>
    </w:p>
    <w:p w14:paraId="7412B2D4" w14:textId="77777777" w:rsidR="000D452B" w:rsidRDefault="000D452B">
      <w:pPr>
        <w:spacing w:after="200" w:line="276" w:lineRule="auto"/>
        <w:rPr>
          <w:b/>
          <w:lang w:eastAsia="en-US"/>
        </w:rPr>
      </w:pPr>
      <w:r>
        <w:rPr>
          <w:b/>
          <w:lang w:eastAsia="en-US"/>
        </w:rPr>
        <w:br w:type="page"/>
      </w:r>
    </w:p>
    <w:p w14:paraId="0C636568" w14:textId="77777777" w:rsidR="00791A9D" w:rsidRPr="00791A9D" w:rsidRDefault="00791A9D" w:rsidP="00280592">
      <w:pPr>
        <w:tabs>
          <w:tab w:val="left" w:pos="9356"/>
        </w:tabs>
        <w:jc w:val="center"/>
        <w:rPr>
          <w:b/>
          <w:lang w:eastAsia="en-US"/>
        </w:rPr>
      </w:pPr>
      <w:r w:rsidRPr="00791A9D">
        <w:rPr>
          <w:b/>
          <w:lang w:eastAsia="en-US"/>
        </w:rPr>
        <w:lastRenderedPageBreak/>
        <w:t>S</w:t>
      </w:r>
      <w:r w:rsidRPr="00234D0C">
        <w:rPr>
          <w:b/>
          <w:lang w:eastAsia="en-US"/>
        </w:rPr>
        <w:t>tatement of Compatibility with Human Rights</w:t>
      </w:r>
    </w:p>
    <w:p w14:paraId="5C35F9F5" w14:textId="77777777" w:rsidR="00791A9D" w:rsidRPr="00791A9D" w:rsidRDefault="00791A9D" w:rsidP="00791A9D">
      <w:pPr>
        <w:tabs>
          <w:tab w:val="left" w:pos="4500"/>
        </w:tabs>
        <w:rPr>
          <w:i/>
        </w:rPr>
      </w:pPr>
    </w:p>
    <w:p w14:paraId="1DC3082B" w14:textId="77777777" w:rsidR="00791A9D" w:rsidRPr="00791A9D" w:rsidRDefault="00791A9D" w:rsidP="00791A9D">
      <w:pPr>
        <w:jc w:val="center"/>
      </w:pPr>
      <w:r w:rsidRPr="00791A9D">
        <w:rPr>
          <w:i/>
        </w:rPr>
        <w:t>Prepared in accordance with Part 3 of the Human Rights (Parliamentary Scrutiny) Act 2011</w:t>
      </w:r>
    </w:p>
    <w:p w14:paraId="5E1D1D21" w14:textId="77777777" w:rsidR="00791A9D" w:rsidRPr="00791A9D" w:rsidRDefault="00791A9D" w:rsidP="00791A9D">
      <w:pPr>
        <w:jc w:val="center"/>
      </w:pPr>
    </w:p>
    <w:p w14:paraId="1DF36E15" w14:textId="4B127795" w:rsidR="00791A9D" w:rsidRPr="00791A9D" w:rsidRDefault="00791A9D" w:rsidP="00791A9D">
      <w:pPr>
        <w:jc w:val="center"/>
        <w:rPr>
          <w:b/>
        </w:rPr>
      </w:pPr>
      <w:r w:rsidRPr="00791A9D">
        <w:rPr>
          <w:b/>
        </w:rPr>
        <w:t>Curr</w:t>
      </w:r>
      <w:r w:rsidR="009B4313">
        <w:rPr>
          <w:b/>
        </w:rPr>
        <w:t xml:space="preserve">ency (Perth Mint) </w:t>
      </w:r>
      <w:r w:rsidR="003414ED" w:rsidRPr="00234D0C">
        <w:rPr>
          <w:b/>
        </w:rPr>
        <w:t>Amendment</w:t>
      </w:r>
      <w:r w:rsidR="003414ED">
        <w:rPr>
          <w:b/>
        </w:rPr>
        <w:t xml:space="preserve"> </w:t>
      </w:r>
      <w:r w:rsidR="009B4313">
        <w:rPr>
          <w:b/>
        </w:rPr>
        <w:t xml:space="preserve">Determination </w:t>
      </w:r>
      <w:r w:rsidRPr="00791A9D">
        <w:rPr>
          <w:b/>
        </w:rPr>
        <w:t xml:space="preserve">2013 (No. </w:t>
      </w:r>
      <w:r w:rsidR="00280592" w:rsidRPr="00234D0C">
        <w:rPr>
          <w:b/>
        </w:rPr>
        <w:t>1</w:t>
      </w:r>
      <w:r w:rsidRPr="00791A9D">
        <w:rPr>
          <w:b/>
        </w:rPr>
        <w:t>)</w:t>
      </w:r>
    </w:p>
    <w:p w14:paraId="1ED2CF1B" w14:textId="77777777" w:rsidR="00791A9D" w:rsidRPr="00791A9D" w:rsidRDefault="00791A9D" w:rsidP="00791A9D">
      <w:pPr>
        <w:jc w:val="center"/>
      </w:pPr>
    </w:p>
    <w:p w14:paraId="1860107C" w14:textId="77777777" w:rsidR="00791A9D" w:rsidRPr="00791A9D" w:rsidRDefault="00791A9D" w:rsidP="00791A9D">
      <w:r w:rsidRPr="00791A9D">
        <w:t>This Legislative Instrument is compatible with the human rights and freedoms recognised or declared in the international instruments listed i</w:t>
      </w:r>
      <w:bookmarkStart w:id="0" w:name="_GoBack"/>
      <w:bookmarkEnd w:id="0"/>
      <w:r w:rsidRPr="00791A9D">
        <w:t xml:space="preserve">n section 3 of the </w:t>
      </w:r>
      <w:r w:rsidRPr="00791A9D">
        <w:rPr>
          <w:i/>
        </w:rPr>
        <w:t>Human Rights (Parliamentary Scrutiny) Act 2011</w:t>
      </w:r>
      <w:r w:rsidRPr="00791A9D">
        <w:t>.</w:t>
      </w:r>
    </w:p>
    <w:p w14:paraId="38651813" w14:textId="77777777" w:rsidR="00791A9D" w:rsidRPr="00791A9D" w:rsidRDefault="00791A9D" w:rsidP="00791A9D"/>
    <w:p w14:paraId="19595F21" w14:textId="77777777" w:rsidR="00791A9D" w:rsidRPr="00791A9D" w:rsidRDefault="00791A9D" w:rsidP="00791A9D">
      <w:pPr>
        <w:jc w:val="both"/>
        <w:rPr>
          <w:b/>
        </w:rPr>
      </w:pPr>
      <w:r w:rsidRPr="00791A9D">
        <w:rPr>
          <w:b/>
        </w:rPr>
        <w:t>Overview of the Legislative Instrument</w:t>
      </w:r>
    </w:p>
    <w:p w14:paraId="14A340BE" w14:textId="77777777" w:rsidR="00791A9D" w:rsidRPr="00791A9D" w:rsidRDefault="00791A9D" w:rsidP="00791A9D">
      <w:pPr>
        <w:jc w:val="both"/>
        <w:rPr>
          <w:b/>
        </w:rPr>
      </w:pPr>
    </w:p>
    <w:p w14:paraId="55F78500" w14:textId="77777777" w:rsidR="00791A9D" w:rsidRPr="00791A9D" w:rsidRDefault="00791A9D" w:rsidP="00791A9D">
      <w:r w:rsidRPr="00791A9D">
        <w:t>The purpose of this Legislative Instrument is to determine the weight, dimension</w:t>
      </w:r>
      <w:r w:rsidR="00280592" w:rsidRPr="00234D0C">
        <w:t xml:space="preserve">, design </w:t>
      </w:r>
      <w:r w:rsidRPr="00791A9D">
        <w:t xml:space="preserve">and composition of </w:t>
      </w:r>
      <w:r w:rsidR="00280592" w:rsidRPr="00234D0C">
        <w:t>1</w:t>
      </w:r>
      <w:r w:rsidRPr="00791A9D">
        <w:t>1 amended numismatic coin</w:t>
      </w:r>
      <w:r w:rsidR="00036B04">
        <w:t>s</w:t>
      </w:r>
      <w:r w:rsidRPr="00791A9D">
        <w:t xml:space="preserve"> to be released by the Perth Mint.  </w:t>
      </w:r>
    </w:p>
    <w:p w14:paraId="13B631E3" w14:textId="77777777" w:rsidR="00791A9D" w:rsidRPr="00791A9D" w:rsidRDefault="00791A9D" w:rsidP="00791A9D"/>
    <w:p w14:paraId="4FA47F9F" w14:textId="77777777" w:rsidR="00791A9D" w:rsidRPr="00791A9D" w:rsidRDefault="00791A9D" w:rsidP="00791A9D">
      <w:pPr>
        <w:rPr>
          <w:b/>
        </w:rPr>
      </w:pPr>
      <w:r w:rsidRPr="00791A9D">
        <w:rPr>
          <w:b/>
        </w:rPr>
        <w:t>Human rights implications</w:t>
      </w:r>
    </w:p>
    <w:p w14:paraId="74C0CC67" w14:textId="77777777" w:rsidR="00791A9D" w:rsidRPr="00791A9D" w:rsidRDefault="00791A9D" w:rsidP="00791A9D">
      <w:pPr>
        <w:rPr>
          <w:b/>
        </w:rPr>
      </w:pPr>
    </w:p>
    <w:p w14:paraId="236E7CDD" w14:textId="77777777" w:rsidR="00791A9D" w:rsidRPr="00791A9D" w:rsidRDefault="00791A9D" w:rsidP="00791A9D">
      <w:r w:rsidRPr="00791A9D">
        <w:t>This Legislative Instrument does not engage any of the applicable rights or freedoms.</w:t>
      </w:r>
    </w:p>
    <w:p w14:paraId="60B8DDE9" w14:textId="77777777" w:rsidR="00791A9D" w:rsidRPr="00791A9D" w:rsidRDefault="00791A9D" w:rsidP="00791A9D"/>
    <w:p w14:paraId="2F261341" w14:textId="77777777" w:rsidR="00791A9D" w:rsidRPr="00791A9D" w:rsidRDefault="00791A9D" w:rsidP="00791A9D">
      <w:pPr>
        <w:rPr>
          <w:b/>
        </w:rPr>
      </w:pPr>
      <w:r w:rsidRPr="00791A9D">
        <w:rPr>
          <w:b/>
        </w:rPr>
        <w:t>Conclusion</w:t>
      </w:r>
    </w:p>
    <w:p w14:paraId="62BD75C2" w14:textId="77777777" w:rsidR="00791A9D" w:rsidRPr="00791A9D" w:rsidRDefault="00791A9D" w:rsidP="00791A9D">
      <w:pPr>
        <w:rPr>
          <w:b/>
        </w:rPr>
      </w:pPr>
    </w:p>
    <w:p w14:paraId="195B88D1" w14:textId="77777777" w:rsidR="00791A9D" w:rsidRPr="00791A9D" w:rsidRDefault="00791A9D" w:rsidP="00791A9D">
      <w:r w:rsidRPr="00791A9D">
        <w:t>This Legislative Instrument is compatible with human rights as it does not raise any human rights issues.</w:t>
      </w:r>
    </w:p>
    <w:p w14:paraId="679C7EA2" w14:textId="77777777" w:rsidR="00791A9D" w:rsidRPr="00234D0C" w:rsidRDefault="00791A9D" w:rsidP="00BE785D">
      <w:pPr>
        <w:rPr>
          <w:lang w:eastAsia="en-US"/>
        </w:rPr>
      </w:pPr>
    </w:p>
    <w:sectPr w:rsidR="00791A9D" w:rsidRPr="00234D0C" w:rsidSect="00B541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67BC" w14:textId="77777777" w:rsidR="001371AB" w:rsidRDefault="001371AB" w:rsidP="001371AB">
      <w:r>
        <w:separator/>
      </w:r>
    </w:p>
  </w:endnote>
  <w:endnote w:type="continuationSeparator" w:id="0">
    <w:p w14:paraId="48BE238A" w14:textId="77777777" w:rsidR="001371AB" w:rsidRDefault="001371AB" w:rsidP="0013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FC57" w14:textId="77777777" w:rsidR="001371AB" w:rsidRDefault="001371AB" w:rsidP="001371AB">
      <w:r>
        <w:separator/>
      </w:r>
    </w:p>
  </w:footnote>
  <w:footnote w:type="continuationSeparator" w:id="0">
    <w:p w14:paraId="0828E554" w14:textId="77777777" w:rsidR="001371AB" w:rsidRDefault="001371AB" w:rsidP="00137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AB"/>
    <w:rsid w:val="000174DB"/>
    <w:rsid w:val="00036B04"/>
    <w:rsid w:val="000D452B"/>
    <w:rsid w:val="001371AB"/>
    <w:rsid w:val="001F6D4E"/>
    <w:rsid w:val="00234D0C"/>
    <w:rsid w:val="00280592"/>
    <w:rsid w:val="003414ED"/>
    <w:rsid w:val="00791A9D"/>
    <w:rsid w:val="009B4313"/>
    <w:rsid w:val="00B54181"/>
    <w:rsid w:val="00BE785D"/>
    <w:rsid w:val="00F445AF"/>
    <w:rsid w:val="00FD3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A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B"/>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qFormat/>
    <w:rsid w:val="001371AB"/>
    <w:pPr>
      <w:keepNext/>
      <w:outlineLvl w:val="3"/>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1AB"/>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1371AB"/>
    <w:pPr>
      <w:tabs>
        <w:tab w:val="center" w:pos="4513"/>
        <w:tab w:val="right" w:pos="9026"/>
      </w:tabs>
    </w:pPr>
  </w:style>
  <w:style w:type="character" w:customStyle="1" w:styleId="HeaderChar">
    <w:name w:val="Header Char"/>
    <w:basedOn w:val="DefaultParagraphFont"/>
    <w:link w:val="Header"/>
    <w:uiPriority w:val="99"/>
    <w:rsid w:val="001371A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371AB"/>
    <w:pPr>
      <w:tabs>
        <w:tab w:val="center" w:pos="4513"/>
        <w:tab w:val="right" w:pos="9026"/>
      </w:tabs>
    </w:pPr>
  </w:style>
  <w:style w:type="character" w:customStyle="1" w:styleId="FooterChar">
    <w:name w:val="Footer Char"/>
    <w:basedOn w:val="DefaultParagraphFont"/>
    <w:link w:val="Footer"/>
    <w:uiPriority w:val="99"/>
    <w:rsid w:val="001371A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4D0C"/>
    <w:rPr>
      <w:rFonts w:ascii="Tahoma" w:hAnsi="Tahoma" w:cs="Tahoma"/>
      <w:sz w:val="16"/>
      <w:szCs w:val="16"/>
    </w:rPr>
  </w:style>
  <w:style w:type="character" w:customStyle="1" w:styleId="BalloonTextChar">
    <w:name w:val="Balloon Text Char"/>
    <w:basedOn w:val="DefaultParagraphFont"/>
    <w:link w:val="BalloonText"/>
    <w:uiPriority w:val="99"/>
    <w:semiHidden/>
    <w:rsid w:val="00234D0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AB"/>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qFormat/>
    <w:rsid w:val="001371AB"/>
    <w:pPr>
      <w:keepNext/>
      <w:outlineLvl w:val="3"/>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1AB"/>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1371AB"/>
    <w:pPr>
      <w:tabs>
        <w:tab w:val="center" w:pos="4513"/>
        <w:tab w:val="right" w:pos="9026"/>
      </w:tabs>
    </w:pPr>
  </w:style>
  <w:style w:type="character" w:customStyle="1" w:styleId="HeaderChar">
    <w:name w:val="Header Char"/>
    <w:basedOn w:val="DefaultParagraphFont"/>
    <w:link w:val="Header"/>
    <w:uiPriority w:val="99"/>
    <w:rsid w:val="001371A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371AB"/>
    <w:pPr>
      <w:tabs>
        <w:tab w:val="center" w:pos="4513"/>
        <w:tab w:val="right" w:pos="9026"/>
      </w:tabs>
    </w:pPr>
  </w:style>
  <w:style w:type="character" w:customStyle="1" w:styleId="FooterChar">
    <w:name w:val="Footer Char"/>
    <w:basedOn w:val="DefaultParagraphFont"/>
    <w:link w:val="Footer"/>
    <w:uiPriority w:val="99"/>
    <w:rsid w:val="001371A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4D0C"/>
    <w:rPr>
      <w:rFonts w:ascii="Tahoma" w:hAnsi="Tahoma" w:cs="Tahoma"/>
      <w:sz w:val="16"/>
      <w:szCs w:val="16"/>
    </w:rPr>
  </w:style>
  <w:style w:type="character" w:customStyle="1" w:styleId="BalloonTextChar">
    <w:name w:val="Balloon Text Char"/>
    <w:basedOn w:val="DefaultParagraphFont"/>
    <w:link w:val="BalloonText"/>
    <w:uiPriority w:val="99"/>
    <w:semiHidden/>
    <w:rsid w:val="00234D0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BBE58-CEAD-4FED-A384-78BBC4FE367C}">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7D2AD08-6CD3-4A17-8725-F5E3457B8438}">
  <ds:schemaRefs>
    <ds:schemaRef ds:uri="http://schemas.microsoft.com/sharepoint/v3/contenttype/forms"/>
  </ds:schemaRefs>
</ds:datastoreItem>
</file>

<file path=customXml/itemProps3.xml><?xml version="1.0" encoding="utf-8"?>
<ds:datastoreItem xmlns:ds="http://schemas.openxmlformats.org/officeDocument/2006/customXml" ds:itemID="{AEE417F5-0AC1-46E0-BE21-4FE5164A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McKillop, Marcus</dc:creator>
  <cp:lastModifiedBy>Hogan, Kevin</cp:lastModifiedBy>
  <cp:revision>3</cp:revision>
  <cp:lastPrinted>2013-04-15T22:25:00Z</cp:lastPrinted>
  <dcterms:created xsi:type="dcterms:W3CDTF">2013-04-30T04:47:00Z</dcterms:created>
  <dcterms:modified xsi:type="dcterms:W3CDTF">2013-04-30T05:03:00Z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256256844</vt:i4>
  </property>
  <property fmtid="{D5CDD505-2E9C-101B-9397-08002B2CF9AE}" pid="3" name="_NewReviewCycle">
    <vt:lpwstr/>
  </property>
  <property fmtid="{D5CDD505-2E9C-101B-9397-08002B2CF9AE}" pid="4" name="_EmailSubject">
    <vt:lpwstr>Minutes Scan [SEC=UNCLASSIFIED]</vt:lpwstr>
  </property>
  <property fmtid="{D5CDD505-2E9C-101B-9397-08002B2CF9AE}" pid="5" name="_AuthorEmail">
    <vt:lpwstr>Marcus.McKillop@TREASURY.GOV.AU</vt:lpwstr>
  </property>
  <property fmtid="{D5CDD505-2E9C-101B-9397-08002B2CF9AE}" pid="6" name="_AuthorEmailDisplayName">
    <vt:lpwstr>McKillop, Marcus</vt:lpwstr>
  </property>
  <property fmtid="{D5CDD505-2E9C-101B-9397-08002B2CF9AE}" pid="7" name="_ReviewingToolsShownOnce">
    <vt:lpwstr/>
  </property>
  <property fmtid="{D5CDD505-2E9C-101B-9397-08002B2CF9AE}" pid="8" name="ContentTypeId">
    <vt:lpwstr>0x010100E726210826AA43828690450C811EB923009CA11FFD1E014DF4B1FA162D0F61129800080350834F0B46469CE5D2ECAC346F75</vt:lpwstr>
  </property>
</Properties>
</file>