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24" w:rsidRPr="00FD5CD3" w:rsidRDefault="00D16E24" w:rsidP="00DB1ED0">
      <w:pPr>
        <w:pStyle w:val="BodyText"/>
        <w:spacing w:line="260" w:lineRule="atLeast"/>
        <w:jc w:val="center"/>
        <w:rPr>
          <w:rFonts w:ascii="Arial" w:hAnsi="Arial" w:cs="Arial"/>
          <w:b/>
          <w:sz w:val="20"/>
          <w:u w:val="single"/>
        </w:rPr>
      </w:pPr>
      <w:r w:rsidRPr="00FD5CD3">
        <w:rPr>
          <w:rFonts w:ascii="Arial" w:hAnsi="Arial" w:cs="Arial"/>
          <w:b/>
          <w:sz w:val="20"/>
          <w:u w:val="single"/>
        </w:rPr>
        <w:t>EXPLANATORY STATEMENT</w:t>
      </w:r>
    </w:p>
    <w:p w:rsidR="00D16E24" w:rsidRPr="00F52A89" w:rsidRDefault="00D16E24" w:rsidP="00DB1ED0">
      <w:pPr>
        <w:pStyle w:val="BodyText"/>
        <w:spacing w:line="260" w:lineRule="atLeast"/>
        <w:jc w:val="center"/>
        <w:rPr>
          <w:rFonts w:ascii="Arial" w:hAnsi="Arial" w:cs="Arial"/>
          <w:b/>
          <w:sz w:val="20"/>
        </w:rPr>
      </w:pPr>
      <w:r w:rsidRPr="00F52A89">
        <w:rPr>
          <w:rFonts w:ascii="Arial" w:hAnsi="Arial" w:cs="Arial"/>
          <w:b/>
          <w:sz w:val="20"/>
        </w:rPr>
        <w:t>Issued by the Australian Communications and Media Authority</w:t>
      </w:r>
    </w:p>
    <w:p w:rsidR="00D16E24" w:rsidRPr="00F52A89" w:rsidRDefault="00D16E24" w:rsidP="00DB1ED0">
      <w:pPr>
        <w:pStyle w:val="BodyText"/>
        <w:spacing w:line="260" w:lineRule="atLeast"/>
        <w:jc w:val="center"/>
        <w:rPr>
          <w:rFonts w:ascii="Arial" w:hAnsi="Arial" w:cs="Arial"/>
          <w:b/>
          <w:i/>
          <w:sz w:val="20"/>
        </w:rPr>
      </w:pPr>
      <w:r w:rsidRPr="00F52A89">
        <w:rPr>
          <w:rFonts w:ascii="Arial" w:hAnsi="Arial" w:cs="Arial"/>
          <w:b/>
          <w:i/>
          <w:sz w:val="20"/>
        </w:rPr>
        <w:t>Radiocommunications (Low Interference Potential Devices) Class Licence Variation Notice 20</w:t>
      </w:r>
      <w:r w:rsidR="00FD5CD3">
        <w:rPr>
          <w:rFonts w:ascii="Arial" w:hAnsi="Arial" w:cs="Arial"/>
          <w:b/>
          <w:i/>
          <w:sz w:val="20"/>
        </w:rPr>
        <w:t>1</w:t>
      </w:r>
      <w:r w:rsidR="00EC6417">
        <w:rPr>
          <w:rFonts w:ascii="Arial" w:hAnsi="Arial" w:cs="Arial"/>
          <w:b/>
          <w:i/>
          <w:sz w:val="20"/>
        </w:rPr>
        <w:t>3</w:t>
      </w:r>
      <w:r w:rsidRPr="00F52A89">
        <w:rPr>
          <w:rFonts w:ascii="Arial" w:hAnsi="Arial" w:cs="Arial"/>
          <w:b/>
          <w:i/>
          <w:sz w:val="20"/>
        </w:rPr>
        <w:t xml:space="preserve"> (No.</w:t>
      </w:r>
      <w:r w:rsidR="00660D86">
        <w:rPr>
          <w:rFonts w:ascii="Arial" w:hAnsi="Arial" w:cs="Arial"/>
          <w:b/>
          <w:i/>
          <w:sz w:val="20"/>
        </w:rPr>
        <w:t xml:space="preserve"> </w:t>
      </w:r>
      <w:r w:rsidR="00767814">
        <w:rPr>
          <w:rFonts w:ascii="Arial" w:hAnsi="Arial" w:cs="Arial"/>
          <w:b/>
          <w:i/>
          <w:sz w:val="20"/>
        </w:rPr>
        <w:t>1</w:t>
      </w:r>
      <w:r w:rsidRPr="00F52A89">
        <w:rPr>
          <w:rFonts w:ascii="Arial" w:hAnsi="Arial" w:cs="Arial"/>
          <w:b/>
          <w:i/>
          <w:sz w:val="20"/>
        </w:rPr>
        <w:t>)</w:t>
      </w:r>
    </w:p>
    <w:p w:rsidR="00D16E24" w:rsidRPr="00F52A89" w:rsidRDefault="00D16E24" w:rsidP="00DB1ED0">
      <w:pPr>
        <w:pStyle w:val="BodyText"/>
        <w:spacing w:line="260" w:lineRule="atLeast"/>
        <w:jc w:val="center"/>
        <w:rPr>
          <w:rFonts w:ascii="Arial" w:hAnsi="Arial" w:cs="Arial"/>
          <w:b/>
          <w:i/>
          <w:sz w:val="20"/>
        </w:rPr>
      </w:pPr>
      <w:r w:rsidRPr="00F52A89">
        <w:rPr>
          <w:rFonts w:ascii="Arial" w:hAnsi="Arial" w:cs="Arial"/>
          <w:b/>
          <w:i/>
          <w:sz w:val="20"/>
        </w:rPr>
        <w:t>Radiocommunications Act 1992</w:t>
      </w:r>
    </w:p>
    <w:p w:rsidR="00D16E24" w:rsidRPr="00F52A89" w:rsidRDefault="00D16E24" w:rsidP="00DB1ED0">
      <w:pPr>
        <w:pStyle w:val="indenta"/>
        <w:tabs>
          <w:tab w:val="left" w:pos="720"/>
        </w:tabs>
        <w:spacing w:before="120" w:after="120"/>
        <w:ind w:left="0" w:firstLine="0"/>
        <w:jc w:val="both"/>
        <w:rPr>
          <w:rFonts w:ascii="Arial" w:hAnsi="Arial" w:cs="Arial"/>
          <w:b/>
          <w:sz w:val="20"/>
        </w:rPr>
      </w:pPr>
      <w:r w:rsidRPr="00F52A89">
        <w:rPr>
          <w:rFonts w:ascii="Arial" w:hAnsi="Arial" w:cs="Arial"/>
          <w:b/>
          <w:sz w:val="20"/>
        </w:rPr>
        <w:t>Purpose</w:t>
      </w:r>
    </w:p>
    <w:p w:rsidR="00D16E24" w:rsidRPr="00F52A89" w:rsidRDefault="00D16E24" w:rsidP="00DB1ED0">
      <w:pPr>
        <w:pStyle w:val="BodyText"/>
        <w:spacing w:before="120" w:line="260" w:lineRule="atLeast"/>
        <w:jc w:val="both"/>
        <w:rPr>
          <w:rFonts w:ascii="Arial" w:hAnsi="Arial" w:cs="Arial"/>
          <w:sz w:val="20"/>
        </w:rPr>
      </w:pPr>
      <w:r w:rsidRPr="00F52A89">
        <w:rPr>
          <w:rFonts w:ascii="Arial" w:hAnsi="Arial" w:cs="Arial"/>
          <w:sz w:val="20"/>
        </w:rPr>
        <w:t xml:space="preserve">The purpose of the </w:t>
      </w:r>
      <w:r w:rsidRPr="00F52A89">
        <w:rPr>
          <w:rFonts w:ascii="Arial" w:hAnsi="Arial" w:cs="Arial"/>
          <w:i/>
          <w:sz w:val="20"/>
        </w:rPr>
        <w:t>Radiocommunications (Low Interference Potential Devices) Class Licence Variation Notice 20</w:t>
      </w:r>
      <w:r w:rsidR="00EC6417">
        <w:rPr>
          <w:rFonts w:ascii="Arial" w:hAnsi="Arial" w:cs="Arial"/>
          <w:i/>
          <w:sz w:val="20"/>
        </w:rPr>
        <w:t>13</w:t>
      </w:r>
      <w:r w:rsidRPr="00F52A89">
        <w:rPr>
          <w:rFonts w:ascii="Arial" w:hAnsi="Arial" w:cs="Arial"/>
          <w:i/>
          <w:sz w:val="20"/>
        </w:rPr>
        <w:t xml:space="preserve"> (No</w:t>
      </w:r>
      <w:r w:rsidR="00713D29">
        <w:rPr>
          <w:rFonts w:ascii="Arial" w:hAnsi="Arial" w:cs="Arial"/>
          <w:i/>
          <w:sz w:val="20"/>
        </w:rPr>
        <w:t xml:space="preserve">. </w:t>
      </w:r>
      <w:r w:rsidR="007529CE">
        <w:rPr>
          <w:rFonts w:ascii="Arial" w:hAnsi="Arial" w:cs="Arial"/>
          <w:i/>
          <w:sz w:val="20"/>
        </w:rPr>
        <w:t>1</w:t>
      </w:r>
      <w:r w:rsidRPr="00F52A89">
        <w:rPr>
          <w:rFonts w:ascii="Arial" w:hAnsi="Arial" w:cs="Arial"/>
          <w:i/>
          <w:sz w:val="20"/>
        </w:rPr>
        <w:t>)</w:t>
      </w:r>
      <w:r w:rsidRPr="00F52A89">
        <w:rPr>
          <w:rFonts w:ascii="Arial" w:hAnsi="Arial" w:cs="Arial"/>
          <w:sz w:val="20"/>
        </w:rPr>
        <w:t xml:space="preserve"> (the Variation) is to </w:t>
      </w:r>
      <w:r w:rsidR="00EC6417">
        <w:rPr>
          <w:rFonts w:ascii="Arial" w:hAnsi="Arial" w:cs="Arial"/>
          <w:sz w:val="20"/>
        </w:rPr>
        <w:t xml:space="preserve">introduce a </w:t>
      </w:r>
      <w:r w:rsidR="007B06E7">
        <w:rPr>
          <w:rFonts w:ascii="Arial" w:hAnsi="Arial" w:cs="Arial"/>
          <w:sz w:val="20"/>
        </w:rPr>
        <w:t>“</w:t>
      </w:r>
      <w:r w:rsidR="00EC6417">
        <w:rPr>
          <w:rFonts w:ascii="Arial" w:hAnsi="Arial" w:cs="Arial"/>
          <w:sz w:val="20"/>
        </w:rPr>
        <w:t>sunset clause</w:t>
      </w:r>
      <w:r w:rsidR="007B06E7">
        <w:rPr>
          <w:rFonts w:ascii="Arial" w:hAnsi="Arial" w:cs="Arial"/>
          <w:sz w:val="20"/>
        </w:rPr>
        <w:t>”</w:t>
      </w:r>
      <w:r w:rsidR="00EC6417">
        <w:rPr>
          <w:rFonts w:ascii="Arial" w:hAnsi="Arial" w:cs="Arial"/>
          <w:sz w:val="20"/>
        </w:rPr>
        <w:t xml:space="preserve"> for the use of wireless microphone equipment in the </w:t>
      </w:r>
      <w:r w:rsidR="005554F1">
        <w:rPr>
          <w:rFonts w:ascii="Arial" w:hAnsi="Arial" w:cs="Arial"/>
          <w:sz w:val="20"/>
        </w:rPr>
        <w:t>segment of the radiofrequency spectrum commonly referred to as the “</w:t>
      </w:r>
      <w:r w:rsidR="00EC6417">
        <w:rPr>
          <w:rFonts w:ascii="Arial" w:hAnsi="Arial" w:cs="Arial"/>
          <w:sz w:val="20"/>
        </w:rPr>
        <w:t>digital dividend</w:t>
      </w:r>
      <w:r w:rsidR="005554F1">
        <w:rPr>
          <w:rFonts w:ascii="Arial" w:hAnsi="Arial" w:cs="Arial"/>
          <w:sz w:val="20"/>
        </w:rPr>
        <w:t>”</w:t>
      </w:r>
      <w:r w:rsidR="00EC6417">
        <w:rPr>
          <w:rFonts w:ascii="Arial" w:hAnsi="Arial" w:cs="Arial"/>
          <w:sz w:val="20"/>
        </w:rPr>
        <w:t xml:space="preserve"> and to provide additional opportunity for wireless microphone use through the introduction of arrangements for digital wireless microphone equipment and the use of the band </w:t>
      </w:r>
      <w:r w:rsidR="00CA5279">
        <w:rPr>
          <w:rFonts w:ascii="Arial" w:hAnsi="Arial" w:cs="Arial"/>
          <w:sz w:val="20"/>
        </w:rPr>
        <w:t>1790</w:t>
      </w:r>
      <w:r w:rsidR="00EC6417">
        <w:rPr>
          <w:rFonts w:ascii="Arial" w:hAnsi="Arial" w:cs="Arial"/>
          <w:sz w:val="20"/>
        </w:rPr>
        <w:t>-180</w:t>
      </w:r>
      <w:r w:rsidR="00CA5279">
        <w:rPr>
          <w:rFonts w:ascii="Arial" w:hAnsi="Arial" w:cs="Arial"/>
          <w:sz w:val="20"/>
        </w:rPr>
        <w:t>0</w:t>
      </w:r>
      <w:r w:rsidR="00EC6417">
        <w:rPr>
          <w:rFonts w:ascii="Arial" w:hAnsi="Arial" w:cs="Arial"/>
          <w:sz w:val="20"/>
        </w:rPr>
        <w:t xml:space="preserve"> MHz for wireless microphone equipment based on international standards</w:t>
      </w:r>
      <w:r w:rsidRPr="00F52A89">
        <w:rPr>
          <w:rFonts w:ascii="Arial" w:hAnsi="Arial" w:cs="Arial"/>
          <w:sz w:val="20"/>
        </w:rPr>
        <w:t xml:space="preserve">. </w:t>
      </w:r>
    </w:p>
    <w:p w:rsidR="00D16E24" w:rsidRPr="00F52A89" w:rsidRDefault="00D16E24" w:rsidP="00DB1ED0">
      <w:pPr>
        <w:spacing w:before="120" w:after="120" w:line="260" w:lineRule="atLeast"/>
        <w:jc w:val="both"/>
        <w:rPr>
          <w:rFonts w:ascii="Arial" w:hAnsi="Arial" w:cs="Arial"/>
          <w:b/>
        </w:rPr>
      </w:pPr>
      <w:r w:rsidRPr="00F52A89">
        <w:rPr>
          <w:rFonts w:ascii="Arial" w:hAnsi="Arial" w:cs="Arial"/>
          <w:b/>
        </w:rPr>
        <w:t>Legislative Provisions</w:t>
      </w:r>
    </w:p>
    <w:p w:rsidR="00D16E24" w:rsidRPr="00F52A89" w:rsidRDefault="00D16E24" w:rsidP="00DB1ED0">
      <w:pPr>
        <w:spacing w:before="120" w:after="120" w:line="260" w:lineRule="atLeast"/>
        <w:jc w:val="both"/>
        <w:rPr>
          <w:rFonts w:ascii="Arial" w:hAnsi="Arial" w:cs="Arial"/>
        </w:rPr>
      </w:pPr>
      <w:bookmarkStart w:id="0" w:name="_Toc488571218"/>
      <w:r w:rsidRPr="00F52A89">
        <w:rPr>
          <w:rFonts w:ascii="Arial" w:hAnsi="Arial" w:cs="Arial"/>
        </w:rPr>
        <w:t xml:space="preserve">Section </w:t>
      </w:r>
      <w:bookmarkEnd w:id="0"/>
      <w:r w:rsidRPr="00F52A89">
        <w:rPr>
          <w:rFonts w:ascii="Arial" w:hAnsi="Arial" w:cs="Arial"/>
        </w:rPr>
        <w:t xml:space="preserve">134 of the </w:t>
      </w:r>
      <w:r w:rsidRPr="00F52A89">
        <w:rPr>
          <w:rFonts w:ascii="Arial" w:hAnsi="Arial" w:cs="Arial"/>
          <w:i/>
        </w:rPr>
        <w:t>Radiocommunications Act 1992</w:t>
      </w:r>
      <w:r w:rsidRPr="00F52A89">
        <w:rPr>
          <w:rFonts w:ascii="Arial" w:hAnsi="Arial" w:cs="Arial"/>
        </w:rPr>
        <w:t xml:space="preserve"> (the Act), allows the Australian Communications and Media Authority (</w:t>
      </w:r>
      <w:r w:rsidR="005554F1">
        <w:rPr>
          <w:rFonts w:ascii="Arial" w:hAnsi="Arial" w:cs="Arial"/>
        </w:rPr>
        <w:t xml:space="preserve">the </w:t>
      </w:r>
      <w:r w:rsidRPr="00F52A89">
        <w:rPr>
          <w:rFonts w:ascii="Arial" w:hAnsi="Arial" w:cs="Arial"/>
        </w:rPr>
        <w:t xml:space="preserve">ACMA) by notice published in the </w:t>
      </w:r>
      <w:r w:rsidRPr="00F52A89">
        <w:rPr>
          <w:rFonts w:ascii="Arial" w:hAnsi="Arial" w:cs="Arial"/>
          <w:i/>
        </w:rPr>
        <w:t>Gazette</w:t>
      </w:r>
      <w:r w:rsidRPr="00F52A89">
        <w:rPr>
          <w:rFonts w:ascii="Arial" w:hAnsi="Arial" w:cs="Arial"/>
        </w:rPr>
        <w:t>,</w:t>
      </w:r>
      <w:r w:rsidRPr="00F52A89">
        <w:rPr>
          <w:rFonts w:ascii="Arial" w:hAnsi="Arial" w:cs="Arial"/>
          <w:i/>
        </w:rPr>
        <w:t xml:space="preserve"> </w:t>
      </w:r>
      <w:r w:rsidRPr="00F52A89">
        <w:rPr>
          <w:rFonts w:ascii="Arial" w:hAnsi="Arial" w:cs="Arial"/>
        </w:rPr>
        <w:t>to vary a class licence.</w:t>
      </w:r>
    </w:p>
    <w:p w:rsidR="00D16E24" w:rsidRDefault="00D16E24" w:rsidP="00DB1ED0">
      <w:pPr>
        <w:spacing w:before="120" w:after="120" w:line="260" w:lineRule="atLeast"/>
        <w:jc w:val="both"/>
        <w:rPr>
          <w:rFonts w:ascii="Arial" w:hAnsi="Arial" w:cs="Arial"/>
        </w:rPr>
      </w:pPr>
    </w:p>
    <w:p w:rsidR="00D16E24" w:rsidRPr="00F52A89" w:rsidRDefault="00D16E24" w:rsidP="00DB1ED0">
      <w:pPr>
        <w:spacing w:before="120" w:after="120" w:line="260" w:lineRule="atLeast"/>
        <w:jc w:val="both"/>
        <w:rPr>
          <w:rFonts w:ascii="Arial" w:hAnsi="Arial" w:cs="Arial"/>
          <w:b/>
        </w:rPr>
      </w:pPr>
      <w:r w:rsidRPr="00F52A89">
        <w:rPr>
          <w:rFonts w:ascii="Arial" w:hAnsi="Arial" w:cs="Arial"/>
          <w:b/>
        </w:rPr>
        <w:t>Background</w:t>
      </w:r>
    </w:p>
    <w:p w:rsidR="00D16E24" w:rsidRPr="00F52A89" w:rsidRDefault="00D16E24" w:rsidP="00DB1ED0">
      <w:pPr>
        <w:pStyle w:val="BodyText"/>
        <w:spacing w:before="120" w:line="260" w:lineRule="atLeast"/>
        <w:jc w:val="both"/>
        <w:rPr>
          <w:rFonts w:ascii="Arial" w:hAnsi="Arial" w:cs="Arial"/>
          <w:sz w:val="20"/>
        </w:rPr>
      </w:pPr>
      <w:r w:rsidRPr="00F52A89">
        <w:rPr>
          <w:rFonts w:ascii="Arial" w:hAnsi="Arial" w:cs="Arial"/>
          <w:sz w:val="20"/>
        </w:rPr>
        <w:t>It is generally a requirement of the Act</w:t>
      </w:r>
      <w:r w:rsidRPr="00F52A89">
        <w:rPr>
          <w:rFonts w:ascii="Arial" w:hAnsi="Arial" w:cs="Arial"/>
          <w:i/>
          <w:sz w:val="20"/>
        </w:rPr>
        <w:t xml:space="preserve"> </w:t>
      </w:r>
      <w:r w:rsidRPr="00F52A89">
        <w:rPr>
          <w:rFonts w:ascii="Arial" w:hAnsi="Arial" w:cs="Arial"/>
          <w:sz w:val="20"/>
        </w:rPr>
        <w:t xml:space="preserve">that the operation of all radiocommunications devices within </w:t>
      </w:r>
      <w:smartTag w:uri="urn:schemas-microsoft-com:office:smarttags" w:element="place">
        <w:smartTag w:uri="urn:schemas-microsoft-com:office:smarttags" w:element="country-region">
          <w:r w:rsidRPr="00F52A89">
            <w:rPr>
              <w:rFonts w:ascii="Arial" w:hAnsi="Arial" w:cs="Arial"/>
              <w:sz w:val="20"/>
            </w:rPr>
            <w:t>Australia</w:t>
          </w:r>
        </w:smartTag>
      </w:smartTag>
      <w:r w:rsidRPr="00F52A89">
        <w:rPr>
          <w:rFonts w:ascii="Arial" w:hAnsi="Arial" w:cs="Arial"/>
          <w:sz w:val="20"/>
        </w:rPr>
        <w:t xml:space="preserve"> be authorised by a radiocommunications licence. </w:t>
      </w:r>
    </w:p>
    <w:p w:rsidR="00D16E24" w:rsidRPr="00F52A89" w:rsidRDefault="00D16E24" w:rsidP="00DB1ED0">
      <w:pPr>
        <w:pStyle w:val="BodyText"/>
        <w:spacing w:before="120" w:line="260" w:lineRule="atLeast"/>
        <w:jc w:val="both"/>
        <w:rPr>
          <w:rFonts w:ascii="Arial" w:hAnsi="Arial" w:cs="Arial"/>
          <w:sz w:val="20"/>
        </w:rPr>
      </w:pPr>
      <w:r w:rsidRPr="00F52A89">
        <w:rPr>
          <w:rFonts w:ascii="Arial" w:hAnsi="Arial" w:cs="Arial"/>
          <w:sz w:val="20"/>
        </w:rPr>
        <w:t xml:space="preserve">A class licence is one type of licence available to authorise the operation of radiocommunications devices. It is an effective and efficient means of spectrum management for services where a limited set of common frequencies is employed, and equipment is operated under a common set of conditions. A class licence sets out the conditions under which any person is permitted to operate any device to which the class licence is applicable; it is not issued to an individual user, and does not involve the payment of licence fees. The licences are issued by </w:t>
      </w:r>
      <w:r w:rsidR="005554F1">
        <w:rPr>
          <w:rFonts w:ascii="Arial" w:hAnsi="Arial" w:cs="Arial"/>
          <w:sz w:val="20"/>
        </w:rPr>
        <w:t xml:space="preserve">the </w:t>
      </w:r>
      <w:r w:rsidRPr="00F52A89">
        <w:rPr>
          <w:rFonts w:ascii="Arial" w:hAnsi="Arial" w:cs="Arial"/>
          <w:sz w:val="20"/>
        </w:rPr>
        <w:t>ACMA as legislative instruments and are registered on the FRLI</w:t>
      </w:r>
      <w:r w:rsidRPr="00F52A89">
        <w:rPr>
          <w:rFonts w:ascii="Arial" w:hAnsi="Arial" w:cs="Arial"/>
          <w:i/>
          <w:sz w:val="20"/>
        </w:rPr>
        <w:t xml:space="preserve">. </w:t>
      </w:r>
    </w:p>
    <w:p w:rsidR="00D16E24" w:rsidRPr="00F52A89" w:rsidRDefault="00D16E24" w:rsidP="00DB1ED0">
      <w:pPr>
        <w:spacing w:before="120" w:after="120" w:line="260" w:lineRule="atLeast"/>
        <w:jc w:val="both"/>
        <w:rPr>
          <w:rFonts w:ascii="Arial" w:hAnsi="Arial" w:cs="Arial"/>
        </w:rPr>
      </w:pPr>
      <w:r w:rsidRPr="00F52A89">
        <w:rPr>
          <w:rFonts w:ascii="Arial" w:hAnsi="Arial" w:cs="Arial"/>
        </w:rPr>
        <w:t xml:space="preserve">The </w:t>
      </w:r>
      <w:r w:rsidR="003B640F" w:rsidRPr="00F52A89">
        <w:rPr>
          <w:rFonts w:ascii="Arial" w:hAnsi="Arial" w:cs="Arial"/>
          <w:i/>
        </w:rPr>
        <w:t>Radiocommunications (Low Interference Potential Devices) Class Licence</w:t>
      </w:r>
      <w:r w:rsidR="003B640F">
        <w:rPr>
          <w:rFonts w:ascii="Arial" w:hAnsi="Arial" w:cs="Arial"/>
          <w:i/>
        </w:rPr>
        <w:t xml:space="preserve"> 2000</w:t>
      </w:r>
      <w:r w:rsidR="00612A55">
        <w:rPr>
          <w:rFonts w:ascii="Arial" w:hAnsi="Arial" w:cs="Arial"/>
          <w:i/>
        </w:rPr>
        <w:t xml:space="preserve"> </w:t>
      </w:r>
      <w:r w:rsidR="00612A55">
        <w:rPr>
          <w:rFonts w:ascii="Arial" w:hAnsi="Arial" w:cs="Arial"/>
        </w:rPr>
        <w:t>(</w:t>
      </w:r>
      <w:r w:rsidRPr="003B640F">
        <w:rPr>
          <w:rFonts w:ascii="Arial" w:hAnsi="Arial" w:cs="Arial"/>
        </w:rPr>
        <w:t>L</w:t>
      </w:r>
      <w:r w:rsidRPr="00F52A89">
        <w:rPr>
          <w:rFonts w:ascii="Arial" w:hAnsi="Arial" w:cs="Arial"/>
        </w:rPr>
        <w:t>IPD Class Licence</w:t>
      </w:r>
      <w:r w:rsidR="00612A55">
        <w:rPr>
          <w:rFonts w:ascii="Arial" w:hAnsi="Arial" w:cs="Arial"/>
        </w:rPr>
        <w:t>)</w:t>
      </w:r>
      <w:r w:rsidRPr="00F52A89">
        <w:rPr>
          <w:rStyle w:val="Emphasis"/>
          <w:rFonts w:ascii="Arial" w:hAnsi="Arial" w:cs="Arial"/>
        </w:rPr>
        <w:t xml:space="preserve"> </w:t>
      </w:r>
      <w:r w:rsidRPr="00F52A89">
        <w:rPr>
          <w:rFonts w:ascii="Arial" w:hAnsi="Arial" w:cs="Arial"/>
        </w:rPr>
        <w:t xml:space="preserve">authorises the operation of a wide range of low </w:t>
      </w:r>
      <w:r w:rsidR="00861776">
        <w:rPr>
          <w:rFonts w:ascii="Arial" w:hAnsi="Arial" w:cs="Arial"/>
        </w:rPr>
        <w:t>interference</w:t>
      </w:r>
      <w:r w:rsidRPr="00F52A89">
        <w:rPr>
          <w:rFonts w:ascii="Arial" w:hAnsi="Arial" w:cs="Arial"/>
        </w:rPr>
        <w:t xml:space="preserve"> radiocommunications devices in various segments of the radiofrequency spectrum. The LIPD Class Licence sets out the conditions under which many types of short range devices may operate. These transmitters do not require individual frequency coordination because of their low interference characteristics. Examples of equipment covered by the LIPD Class Licence include garage door openers, radiofrequency identification transmitters and personal alarms.</w:t>
      </w:r>
      <w:r w:rsidR="00162242">
        <w:rPr>
          <w:rFonts w:ascii="Arial" w:hAnsi="Arial" w:cs="Arial"/>
        </w:rPr>
        <w:t xml:space="preserve"> Wireless microphones may be operated under the LIPD Class Licence class of transmitter called wireless audio transmitters</w:t>
      </w:r>
      <w:r w:rsidR="00612A55">
        <w:rPr>
          <w:rFonts w:ascii="Arial" w:hAnsi="Arial" w:cs="Arial"/>
        </w:rPr>
        <w:t>, provided they comply with the limitations specified for that class of transmitter</w:t>
      </w:r>
      <w:r w:rsidR="00162242">
        <w:rPr>
          <w:rFonts w:ascii="Arial" w:hAnsi="Arial" w:cs="Arial"/>
        </w:rPr>
        <w:t>.</w:t>
      </w:r>
    </w:p>
    <w:p w:rsidR="00D16E24" w:rsidRPr="00F52A89" w:rsidRDefault="00D16E24" w:rsidP="00DB1ED0">
      <w:pPr>
        <w:pStyle w:val="BodyText"/>
        <w:spacing w:before="120" w:line="260" w:lineRule="atLeast"/>
        <w:jc w:val="both"/>
        <w:rPr>
          <w:rFonts w:ascii="Arial" w:hAnsi="Arial" w:cs="Arial"/>
          <w:b/>
          <w:sz w:val="20"/>
        </w:rPr>
      </w:pPr>
      <w:r w:rsidRPr="00F52A89">
        <w:rPr>
          <w:rFonts w:ascii="Arial" w:hAnsi="Arial" w:cs="Arial"/>
          <w:b/>
          <w:sz w:val="20"/>
        </w:rPr>
        <w:t>Operation</w:t>
      </w:r>
    </w:p>
    <w:p w:rsidR="00D16E24" w:rsidRPr="00F52A89" w:rsidRDefault="00D16E24" w:rsidP="00DB1ED0">
      <w:pPr>
        <w:pStyle w:val="BodyText"/>
        <w:spacing w:before="120" w:line="260" w:lineRule="atLeast"/>
        <w:jc w:val="both"/>
        <w:rPr>
          <w:rFonts w:ascii="Arial" w:hAnsi="Arial" w:cs="Arial"/>
          <w:sz w:val="20"/>
        </w:rPr>
      </w:pPr>
      <w:r w:rsidRPr="00F52A89">
        <w:rPr>
          <w:rFonts w:ascii="Arial" w:hAnsi="Arial" w:cs="Arial"/>
          <w:sz w:val="20"/>
        </w:rPr>
        <w:t>This Variation makes a number of changes to the LIPD Class Licence</w:t>
      </w:r>
      <w:r w:rsidR="00C971E5">
        <w:rPr>
          <w:rFonts w:ascii="Arial" w:hAnsi="Arial" w:cs="Arial"/>
          <w:sz w:val="20"/>
        </w:rPr>
        <w:t>.</w:t>
      </w:r>
      <w:r>
        <w:rPr>
          <w:rFonts w:ascii="Arial" w:hAnsi="Arial" w:cs="Arial"/>
          <w:sz w:val="20"/>
        </w:rPr>
        <w:t xml:space="preserve"> </w:t>
      </w:r>
      <w:r w:rsidRPr="00F52A89">
        <w:rPr>
          <w:rFonts w:ascii="Arial" w:hAnsi="Arial" w:cs="Arial"/>
          <w:sz w:val="20"/>
        </w:rPr>
        <w:t>The individual changes introduced by the Variation are:</w:t>
      </w:r>
    </w:p>
    <w:p w:rsidR="00D16E24" w:rsidRPr="00F52A89" w:rsidRDefault="00FD5CD3" w:rsidP="005554F1">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 xml:space="preserve">Item 22A </w:t>
      </w:r>
      <w:r w:rsidR="00FB1F75">
        <w:rPr>
          <w:rFonts w:ascii="Arial" w:hAnsi="Arial" w:cs="Arial"/>
          <w:b/>
          <w:sz w:val="20"/>
        </w:rPr>
        <w:t>–</w:t>
      </w:r>
      <w:r>
        <w:rPr>
          <w:rFonts w:ascii="Arial" w:hAnsi="Arial" w:cs="Arial"/>
          <w:b/>
          <w:sz w:val="20"/>
        </w:rPr>
        <w:t xml:space="preserve"> </w:t>
      </w:r>
      <w:r w:rsidR="00FB1F75">
        <w:rPr>
          <w:rFonts w:ascii="Arial" w:hAnsi="Arial" w:cs="Arial"/>
          <w:b/>
          <w:sz w:val="20"/>
        </w:rPr>
        <w:t xml:space="preserve">Changes to the </w:t>
      </w:r>
      <w:r w:rsidR="005554F1">
        <w:rPr>
          <w:rFonts w:ascii="Arial" w:hAnsi="Arial" w:cs="Arial"/>
          <w:b/>
          <w:sz w:val="20"/>
        </w:rPr>
        <w:t>p</w:t>
      </w:r>
      <w:r>
        <w:rPr>
          <w:rFonts w:ascii="Arial" w:hAnsi="Arial" w:cs="Arial"/>
          <w:b/>
          <w:sz w:val="20"/>
        </w:rPr>
        <w:t>ermitted frequency range</w:t>
      </w:r>
      <w:r w:rsidR="00B622A0">
        <w:rPr>
          <w:rFonts w:ascii="Arial" w:hAnsi="Arial" w:cs="Arial"/>
          <w:b/>
          <w:sz w:val="20"/>
        </w:rPr>
        <w:t xml:space="preserve">  </w:t>
      </w:r>
      <w:r w:rsidR="00FB1F75">
        <w:rPr>
          <w:rFonts w:ascii="Arial" w:hAnsi="Arial" w:cs="Arial"/>
          <w:b/>
          <w:sz w:val="20"/>
        </w:rPr>
        <w:t xml:space="preserve"> </w:t>
      </w:r>
      <w:r>
        <w:rPr>
          <w:rFonts w:ascii="Arial" w:hAnsi="Arial" w:cs="Arial"/>
          <w:b/>
          <w:sz w:val="20"/>
        </w:rPr>
        <w:t xml:space="preserve"> </w:t>
      </w:r>
    </w:p>
    <w:p w:rsidR="00713D29" w:rsidRDefault="00E906F5" w:rsidP="00DB1ED0">
      <w:pPr>
        <w:pStyle w:val="BodyText"/>
        <w:spacing w:before="120" w:line="260" w:lineRule="atLeast"/>
        <w:jc w:val="both"/>
        <w:rPr>
          <w:rFonts w:ascii="Arial" w:hAnsi="Arial" w:cs="Arial"/>
          <w:sz w:val="20"/>
        </w:rPr>
      </w:pPr>
      <w:r>
        <w:rPr>
          <w:rFonts w:ascii="Arial" w:hAnsi="Arial" w:cs="Arial"/>
          <w:sz w:val="20"/>
        </w:rPr>
        <w:t xml:space="preserve">The LIPD Class Licence makes particular frequency ranges available for use by “low interference potential devices”.  </w:t>
      </w:r>
      <w:r w:rsidR="00FB1F75">
        <w:rPr>
          <w:rFonts w:ascii="Arial" w:hAnsi="Arial" w:cs="Arial"/>
          <w:sz w:val="20"/>
        </w:rPr>
        <w:t>A</w:t>
      </w:r>
      <w:r w:rsidR="007E6568">
        <w:rPr>
          <w:rFonts w:ascii="Arial" w:hAnsi="Arial" w:cs="Arial"/>
          <w:sz w:val="20"/>
        </w:rPr>
        <w:t xml:space="preserve">n end </w:t>
      </w:r>
      <w:r w:rsidR="00FB1F75">
        <w:rPr>
          <w:rFonts w:ascii="Arial" w:hAnsi="Arial" w:cs="Arial"/>
          <w:sz w:val="20"/>
        </w:rPr>
        <w:t xml:space="preserve">date </w:t>
      </w:r>
      <w:r w:rsidR="007E6568">
        <w:rPr>
          <w:rFonts w:ascii="Arial" w:hAnsi="Arial" w:cs="Arial"/>
          <w:sz w:val="20"/>
        </w:rPr>
        <w:t xml:space="preserve">of 31 December 2014 </w:t>
      </w:r>
      <w:r w:rsidR="00FB1F75">
        <w:rPr>
          <w:rFonts w:ascii="Arial" w:hAnsi="Arial" w:cs="Arial"/>
          <w:sz w:val="20"/>
        </w:rPr>
        <w:t xml:space="preserve">has been added to the permitted frequency range </w:t>
      </w:r>
      <w:r w:rsidR="007E6568">
        <w:rPr>
          <w:rFonts w:ascii="Arial" w:hAnsi="Arial" w:cs="Arial"/>
          <w:sz w:val="20"/>
        </w:rPr>
        <w:t>520 to 820 MHz</w:t>
      </w:r>
      <w:r>
        <w:rPr>
          <w:rFonts w:ascii="Arial" w:hAnsi="Arial" w:cs="Arial"/>
          <w:sz w:val="20"/>
        </w:rPr>
        <w:t>, which is available for use by “wireless audio transmitters”</w:t>
      </w:r>
      <w:r w:rsidR="005554F1">
        <w:rPr>
          <w:rFonts w:ascii="Arial" w:hAnsi="Arial" w:cs="Arial"/>
          <w:sz w:val="20"/>
        </w:rPr>
        <w:t>.</w:t>
      </w:r>
      <w:r w:rsidR="007E6568">
        <w:rPr>
          <w:rFonts w:ascii="Arial" w:hAnsi="Arial" w:cs="Arial"/>
          <w:sz w:val="20"/>
        </w:rPr>
        <w:t xml:space="preserve"> </w:t>
      </w:r>
      <w:r>
        <w:rPr>
          <w:rFonts w:ascii="Arial" w:hAnsi="Arial" w:cs="Arial"/>
          <w:sz w:val="20"/>
        </w:rPr>
        <w:t>A</w:t>
      </w:r>
      <w:r w:rsidR="00FB1F75">
        <w:rPr>
          <w:rFonts w:ascii="Arial" w:hAnsi="Arial" w:cs="Arial"/>
          <w:sz w:val="20"/>
        </w:rPr>
        <w:t xml:space="preserve"> new permitted frequency range </w:t>
      </w:r>
      <w:r w:rsidR="007E6568">
        <w:rPr>
          <w:rFonts w:ascii="Arial" w:hAnsi="Arial" w:cs="Arial"/>
          <w:sz w:val="20"/>
        </w:rPr>
        <w:t xml:space="preserve">of 520 to 694 MHz </w:t>
      </w:r>
      <w:r>
        <w:rPr>
          <w:rFonts w:ascii="Arial" w:hAnsi="Arial" w:cs="Arial"/>
          <w:sz w:val="20"/>
        </w:rPr>
        <w:t xml:space="preserve">has been </w:t>
      </w:r>
      <w:r w:rsidR="00FB1F75">
        <w:rPr>
          <w:rFonts w:ascii="Arial" w:hAnsi="Arial" w:cs="Arial"/>
          <w:sz w:val="20"/>
        </w:rPr>
        <w:t xml:space="preserve">added </w:t>
      </w:r>
      <w:r>
        <w:rPr>
          <w:rFonts w:ascii="Arial" w:hAnsi="Arial" w:cs="Arial"/>
          <w:sz w:val="20"/>
        </w:rPr>
        <w:t>for wireless audio transmitters, and it will</w:t>
      </w:r>
      <w:r w:rsidR="00CA5279">
        <w:rPr>
          <w:rFonts w:ascii="Arial" w:hAnsi="Arial" w:cs="Arial"/>
          <w:sz w:val="20"/>
        </w:rPr>
        <w:t xml:space="preserve"> </w:t>
      </w:r>
      <w:r w:rsidR="00FB1F75">
        <w:rPr>
          <w:rFonts w:ascii="Arial" w:hAnsi="Arial" w:cs="Arial"/>
          <w:sz w:val="20"/>
        </w:rPr>
        <w:t xml:space="preserve">come into effect </w:t>
      </w:r>
      <w:r w:rsidR="007E6568">
        <w:rPr>
          <w:rFonts w:ascii="Arial" w:hAnsi="Arial" w:cs="Arial"/>
          <w:sz w:val="20"/>
        </w:rPr>
        <w:t>from 1 January 2015</w:t>
      </w:r>
      <w:r w:rsidR="00861776" w:rsidRPr="00861776">
        <w:rPr>
          <w:rFonts w:ascii="Arial" w:hAnsi="Arial" w:cs="Arial"/>
          <w:sz w:val="20"/>
        </w:rPr>
        <w:t>.</w:t>
      </w:r>
      <w:r w:rsidR="00FB1F75">
        <w:rPr>
          <w:rFonts w:ascii="Arial" w:hAnsi="Arial" w:cs="Arial"/>
          <w:sz w:val="20"/>
        </w:rPr>
        <w:t xml:space="preserve"> </w:t>
      </w:r>
      <w:r>
        <w:rPr>
          <w:rFonts w:ascii="Arial" w:hAnsi="Arial" w:cs="Arial"/>
          <w:sz w:val="20"/>
        </w:rPr>
        <w:t>The</w:t>
      </w:r>
      <w:r w:rsidR="00B622A0">
        <w:rPr>
          <w:rFonts w:ascii="Arial" w:hAnsi="Arial" w:cs="Arial"/>
          <w:sz w:val="20"/>
        </w:rPr>
        <w:t xml:space="preserve"> conditions and limitations </w:t>
      </w:r>
      <w:r>
        <w:rPr>
          <w:rFonts w:ascii="Arial" w:hAnsi="Arial" w:cs="Arial"/>
          <w:sz w:val="20"/>
        </w:rPr>
        <w:t>for use of the new permitted frequency range are</w:t>
      </w:r>
      <w:r w:rsidR="00B622A0">
        <w:rPr>
          <w:rFonts w:ascii="Arial" w:hAnsi="Arial" w:cs="Arial"/>
          <w:sz w:val="20"/>
        </w:rPr>
        <w:t xml:space="preserve"> the same</w:t>
      </w:r>
      <w:r>
        <w:rPr>
          <w:rFonts w:ascii="Arial" w:hAnsi="Arial" w:cs="Arial"/>
          <w:sz w:val="20"/>
        </w:rPr>
        <w:t xml:space="preserve"> as for the current permitted frequency range</w:t>
      </w:r>
      <w:r w:rsidR="00B622A0">
        <w:rPr>
          <w:rFonts w:ascii="Arial" w:hAnsi="Arial" w:cs="Arial"/>
          <w:sz w:val="20"/>
        </w:rPr>
        <w:t>.</w:t>
      </w:r>
      <w:r w:rsidR="007E6568">
        <w:rPr>
          <w:rFonts w:ascii="Arial" w:hAnsi="Arial" w:cs="Arial"/>
          <w:sz w:val="20"/>
        </w:rPr>
        <w:t xml:space="preserve"> The effect of this change is to require wireless audio transmitters operating in the frequency range 69</w:t>
      </w:r>
      <w:r w:rsidR="003A11EB">
        <w:rPr>
          <w:rFonts w:ascii="Arial" w:hAnsi="Arial" w:cs="Arial"/>
          <w:sz w:val="20"/>
        </w:rPr>
        <w:t>4</w:t>
      </w:r>
      <w:r w:rsidR="007E6568">
        <w:rPr>
          <w:rFonts w:ascii="Arial" w:hAnsi="Arial" w:cs="Arial"/>
          <w:sz w:val="20"/>
        </w:rPr>
        <w:t xml:space="preserve"> </w:t>
      </w:r>
      <w:r w:rsidR="00546614">
        <w:rPr>
          <w:rFonts w:ascii="Arial" w:hAnsi="Arial" w:cs="Arial"/>
          <w:sz w:val="20"/>
        </w:rPr>
        <w:t>to</w:t>
      </w:r>
      <w:r w:rsidR="007E6568">
        <w:rPr>
          <w:rFonts w:ascii="Arial" w:hAnsi="Arial" w:cs="Arial"/>
          <w:sz w:val="20"/>
        </w:rPr>
        <w:t xml:space="preserve"> 820 MHz to cease operating in that range before 1 January 2015</w:t>
      </w:r>
      <w:r>
        <w:rPr>
          <w:rFonts w:ascii="Arial" w:hAnsi="Arial" w:cs="Arial"/>
          <w:sz w:val="20"/>
        </w:rPr>
        <w:t xml:space="preserve"> (though they may cont</w:t>
      </w:r>
      <w:r w:rsidR="00546614">
        <w:rPr>
          <w:rFonts w:ascii="Arial" w:hAnsi="Arial" w:cs="Arial"/>
          <w:sz w:val="20"/>
        </w:rPr>
        <w:t>inue to operate in the new range after that date)</w:t>
      </w:r>
      <w:r w:rsidR="007E6568">
        <w:rPr>
          <w:rFonts w:ascii="Arial" w:hAnsi="Arial" w:cs="Arial"/>
          <w:sz w:val="20"/>
        </w:rPr>
        <w:t>.</w:t>
      </w:r>
      <w:r>
        <w:rPr>
          <w:rFonts w:ascii="Arial" w:hAnsi="Arial" w:cs="Arial"/>
          <w:sz w:val="20"/>
        </w:rPr>
        <w:t xml:space="preserve">  </w:t>
      </w:r>
    </w:p>
    <w:p w:rsidR="007161E7" w:rsidRDefault="00C971E5" w:rsidP="005554F1">
      <w:pPr>
        <w:pStyle w:val="BodyText"/>
        <w:keepNext/>
        <w:keepLines/>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lastRenderedPageBreak/>
        <w:t>Item 22</w:t>
      </w:r>
      <w:r w:rsidR="00FD5CD3">
        <w:rPr>
          <w:rFonts w:ascii="Arial" w:hAnsi="Arial" w:cs="Arial"/>
          <w:b/>
          <w:sz w:val="20"/>
        </w:rPr>
        <w:t>B</w:t>
      </w:r>
      <w:r>
        <w:rPr>
          <w:rFonts w:ascii="Arial" w:hAnsi="Arial" w:cs="Arial"/>
          <w:b/>
          <w:sz w:val="20"/>
        </w:rPr>
        <w:t xml:space="preserve"> </w:t>
      </w:r>
      <w:r w:rsidR="00FD5CD3">
        <w:rPr>
          <w:rFonts w:ascii="Arial" w:hAnsi="Arial" w:cs="Arial"/>
          <w:b/>
          <w:sz w:val="20"/>
        </w:rPr>
        <w:t xml:space="preserve">- Addition of a new class of transmitter – </w:t>
      </w:r>
      <w:r w:rsidR="00162242">
        <w:rPr>
          <w:rFonts w:ascii="Arial" w:hAnsi="Arial" w:cs="Arial"/>
          <w:b/>
          <w:sz w:val="20"/>
        </w:rPr>
        <w:t>D</w:t>
      </w:r>
      <w:r w:rsidR="00FD5CD3">
        <w:rPr>
          <w:rFonts w:ascii="Arial" w:hAnsi="Arial" w:cs="Arial"/>
          <w:b/>
          <w:sz w:val="20"/>
        </w:rPr>
        <w:t>igital</w:t>
      </w:r>
      <w:r w:rsidR="00162242">
        <w:rPr>
          <w:rFonts w:ascii="Arial" w:hAnsi="Arial" w:cs="Arial"/>
          <w:b/>
          <w:sz w:val="20"/>
        </w:rPr>
        <w:t>ly</w:t>
      </w:r>
      <w:r w:rsidR="00FD5CD3">
        <w:rPr>
          <w:rFonts w:ascii="Arial" w:hAnsi="Arial" w:cs="Arial"/>
          <w:b/>
          <w:sz w:val="20"/>
        </w:rPr>
        <w:t xml:space="preserve"> modulat</w:t>
      </w:r>
      <w:r w:rsidR="00162242">
        <w:rPr>
          <w:rFonts w:ascii="Arial" w:hAnsi="Arial" w:cs="Arial"/>
          <w:b/>
          <w:sz w:val="20"/>
        </w:rPr>
        <w:t>ed wireless audio transmitters</w:t>
      </w:r>
    </w:p>
    <w:p w:rsidR="007161E7" w:rsidRPr="007161E7" w:rsidRDefault="00B622A0" w:rsidP="005554F1">
      <w:pPr>
        <w:pStyle w:val="BodyText"/>
        <w:keepNext/>
        <w:keepLines/>
        <w:spacing w:before="120" w:line="260" w:lineRule="atLeast"/>
        <w:jc w:val="both"/>
        <w:rPr>
          <w:rFonts w:ascii="Arial" w:hAnsi="Arial" w:cs="Arial"/>
          <w:b/>
          <w:sz w:val="20"/>
        </w:rPr>
      </w:pPr>
      <w:r>
        <w:rPr>
          <w:rFonts w:ascii="Arial" w:hAnsi="Arial" w:cs="Arial"/>
          <w:sz w:val="20"/>
        </w:rPr>
        <w:t xml:space="preserve">This new </w:t>
      </w:r>
      <w:r w:rsidR="00552613">
        <w:rPr>
          <w:rFonts w:ascii="Arial" w:hAnsi="Arial" w:cs="Arial"/>
          <w:sz w:val="20"/>
        </w:rPr>
        <w:t>item 22</w:t>
      </w:r>
      <w:r>
        <w:rPr>
          <w:rFonts w:ascii="Arial" w:hAnsi="Arial" w:cs="Arial"/>
          <w:sz w:val="20"/>
        </w:rPr>
        <w:t>B</w:t>
      </w:r>
      <w:r w:rsidR="00552613">
        <w:rPr>
          <w:rFonts w:ascii="Arial" w:hAnsi="Arial" w:cs="Arial"/>
          <w:sz w:val="20"/>
        </w:rPr>
        <w:t xml:space="preserve"> ad</w:t>
      </w:r>
      <w:r w:rsidR="00162242">
        <w:rPr>
          <w:rFonts w:ascii="Arial" w:hAnsi="Arial" w:cs="Arial"/>
          <w:sz w:val="20"/>
        </w:rPr>
        <w:t>ds</w:t>
      </w:r>
      <w:r w:rsidR="00552613">
        <w:rPr>
          <w:rFonts w:ascii="Arial" w:hAnsi="Arial" w:cs="Arial"/>
          <w:sz w:val="20"/>
        </w:rPr>
        <w:t xml:space="preserve"> </w:t>
      </w:r>
      <w:r w:rsidR="00162242">
        <w:rPr>
          <w:rFonts w:ascii="Arial" w:hAnsi="Arial" w:cs="Arial"/>
          <w:sz w:val="20"/>
        </w:rPr>
        <w:t>arrangements supporting the use of digitally modulated wireless microphones in the permitted operating frequency band 520</w:t>
      </w:r>
      <w:r w:rsidR="00546614">
        <w:rPr>
          <w:rFonts w:ascii="Arial" w:hAnsi="Arial" w:cs="Arial"/>
          <w:sz w:val="20"/>
        </w:rPr>
        <w:t xml:space="preserve"> to </w:t>
      </w:r>
      <w:r w:rsidR="00162242">
        <w:rPr>
          <w:rFonts w:ascii="Arial" w:hAnsi="Arial" w:cs="Arial"/>
          <w:sz w:val="20"/>
        </w:rPr>
        <w:t xml:space="preserve">694 MHz with a </w:t>
      </w:r>
      <w:r w:rsidR="00C07FA2">
        <w:rPr>
          <w:rFonts w:ascii="Arial" w:hAnsi="Arial" w:cs="Arial"/>
          <w:sz w:val="20"/>
        </w:rPr>
        <w:t xml:space="preserve">maximum equivalent isotropically radiated power (EIRP) </w:t>
      </w:r>
      <w:r w:rsidR="00162242">
        <w:rPr>
          <w:rFonts w:ascii="Arial" w:hAnsi="Arial" w:cs="Arial"/>
          <w:sz w:val="20"/>
        </w:rPr>
        <w:t>of 100 mW (equivalent to 60.95 mW ERP) under similar limitations as existing wireless audio transmitters</w:t>
      </w:r>
      <w:r w:rsidR="007161E7" w:rsidRPr="007161E7">
        <w:rPr>
          <w:rFonts w:ascii="Arial" w:hAnsi="Arial" w:cs="Arial"/>
          <w:sz w:val="20"/>
        </w:rPr>
        <w:t>.</w:t>
      </w:r>
      <w:r w:rsidR="00162242">
        <w:rPr>
          <w:rFonts w:ascii="Arial" w:hAnsi="Arial" w:cs="Arial"/>
          <w:sz w:val="20"/>
        </w:rPr>
        <w:t xml:space="preserve">  </w:t>
      </w:r>
      <w:r w:rsidR="00CA5279">
        <w:rPr>
          <w:rFonts w:ascii="Arial" w:hAnsi="Arial" w:cs="Arial"/>
          <w:sz w:val="20"/>
        </w:rPr>
        <w:t xml:space="preserve">This new item allows the introduction of new </w:t>
      </w:r>
      <w:r w:rsidR="003973A1">
        <w:rPr>
          <w:rFonts w:ascii="Arial" w:hAnsi="Arial" w:cs="Arial"/>
          <w:sz w:val="20"/>
        </w:rPr>
        <w:t xml:space="preserve">digital </w:t>
      </w:r>
      <w:r w:rsidR="00CA5279">
        <w:rPr>
          <w:rFonts w:ascii="Arial" w:hAnsi="Arial" w:cs="Arial"/>
          <w:sz w:val="20"/>
        </w:rPr>
        <w:t>wireless microphone technology into the band.</w:t>
      </w:r>
    </w:p>
    <w:p w:rsidR="00C971E5" w:rsidRDefault="00C971E5" w:rsidP="005554F1">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 xml:space="preserve">Item </w:t>
      </w:r>
      <w:r w:rsidR="00FD5CD3">
        <w:rPr>
          <w:rFonts w:ascii="Arial" w:hAnsi="Arial" w:cs="Arial"/>
          <w:b/>
          <w:sz w:val="20"/>
        </w:rPr>
        <w:t>22C</w:t>
      </w:r>
      <w:r>
        <w:rPr>
          <w:rFonts w:ascii="Arial" w:hAnsi="Arial" w:cs="Arial"/>
          <w:b/>
          <w:sz w:val="20"/>
        </w:rPr>
        <w:t xml:space="preserve"> – Addition of a new class of transmitter – </w:t>
      </w:r>
      <w:r w:rsidR="005554F1">
        <w:rPr>
          <w:rFonts w:ascii="Arial" w:hAnsi="Arial" w:cs="Arial"/>
          <w:b/>
          <w:sz w:val="20"/>
        </w:rPr>
        <w:t>W</w:t>
      </w:r>
      <w:r w:rsidR="00FD5CD3">
        <w:rPr>
          <w:rFonts w:ascii="Arial" w:hAnsi="Arial" w:cs="Arial"/>
          <w:b/>
          <w:sz w:val="20"/>
        </w:rPr>
        <w:t>ireless audio transmitters in the 17</w:t>
      </w:r>
      <w:r w:rsidR="00CA5279">
        <w:rPr>
          <w:rFonts w:ascii="Arial" w:hAnsi="Arial" w:cs="Arial"/>
          <w:b/>
          <w:sz w:val="20"/>
        </w:rPr>
        <w:t>90</w:t>
      </w:r>
      <w:r w:rsidR="00FD5CD3">
        <w:rPr>
          <w:rFonts w:ascii="Arial" w:hAnsi="Arial" w:cs="Arial"/>
          <w:b/>
          <w:sz w:val="20"/>
        </w:rPr>
        <w:t xml:space="preserve"> to 180</w:t>
      </w:r>
      <w:r w:rsidR="00CA5279">
        <w:rPr>
          <w:rFonts w:ascii="Arial" w:hAnsi="Arial" w:cs="Arial"/>
          <w:b/>
          <w:sz w:val="20"/>
        </w:rPr>
        <w:t>0</w:t>
      </w:r>
      <w:r w:rsidR="00FD5CD3">
        <w:rPr>
          <w:rFonts w:ascii="Arial" w:hAnsi="Arial" w:cs="Arial"/>
          <w:b/>
          <w:sz w:val="20"/>
        </w:rPr>
        <w:t xml:space="preserve"> MHz band</w:t>
      </w:r>
    </w:p>
    <w:p w:rsidR="00DA1434" w:rsidRPr="005A37B4" w:rsidRDefault="00E94931" w:rsidP="005A37B4">
      <w:pPr>
        <w:pStyle w:val="BodyText"/>
        <w:spacing w:line="260" w:lineRule="atLeast"/>
        <w:jc w:val="both"/>
        <w:rPr>
          <w:rFonts w:ascii="Arial" w:hAnsi="Arial" w:cs="Arial"/>
          <w:sz w:val="20"/>
        </w:rPr>
      </w:pPr>
      <w:r>
        <w:rPr>
          <w:rFonts w:ascii="Arial" w:hAnsi="Arial" w:cs="Arial"/>
          <w:sz w:val="20"/>
        </w:rPr>
        <w:t>The i</w:t>
      </w:r>
      <w:r w:rsidR="00E97FE5">
        <w:rPr>
          <w:rFonts w:ascii="Arial" w:hAnsi="Arial" w:cs="Arial"/>
          <w:sz w:val="20"/>
        </w:rPr>
        <w:t>nsertion of new it</w:t>
      </w:r>
      <w:r w:rsidR="007B41D3">
        <w:rPr>
          <w:rFonts w:ascii="Arial" w:hAnsi="Arial" w:cs="Arial"/>
          <w:sz w:val="20"/>
        </w:rPr>
        <w:t xml:space="preserve">em </w:t>
      </w:r>
      <w:r w:rsidR="00162242">
        <w:rPr>
          <w:rFonts w:ascii="Arial" w:hAnsi="Arial" w:cs="Arial"/>
          <w:sz w:val="20"/>
        </w:rPr>
        <w:t>22C</w:t>
      </w:r>
      <w:r w:rsidR="007B41D3">
        <w:rPr>
          <w:rFonts w:ascii="Arial" w:hAnsi="Arial" w:cs="Arial"/>
          <w:sz w:val="20"/>
        </w:rPr>
        <w:t xml:space="preserve"> </w:t>
      </w:r>
      <w:r w:rsidR="00BD6D3D">
        <w:rPr>
          <w:rFonts w:ascii="Arial" w:hAnsi="Arial" w:cs="Arial"/>
          <w:sz w:val="20"/>
        </w:rPr>
        <w:t xml:space="preserve">into the LIPD Class Licence </w:t>
      </w:r>
      <w:r w:rsidR="007B41D3">
        <w:rPr>
          <w:rFonts w:ascii="Arial" w:hAnsi="Arial" w:cs="Arial"/>
          <w:sz w:val="20"/>
        </w:rPr>
        <w:t>enables the operation of</w:t>
      </w:r>
      <w:r w:rsidR="00B86EFB">
        <w:rPr>
          <w:rFonts w:ascii="Arial" w:hAnsi="Arial" w:cs="Arial"/>
          <w:sz w:val="20"/>
        </w:rPr>
        <w:t xml:space="preserve"> </w:t>
      </w:r>
      <w:r w:rsidR="00162242">
        <w:rPr>
          <w:rFonts w:ascii="Arial" w:hAnsi="Arial" w:cs="Arial"/>
          <w:sz w:val="20"/>
        </w:rPr>
        <w:t xml:space="preserve">wireless microphones as wireless audio transmitters </w:t>
      </w:r>
      <w:r w:rsidR="00B86EFB">
        <w:rPr>
          <w:rFonts w:ascii="Arial" w:hAnsi="Arial" w:cs="Arial"/>
          <w:sz w:val="20"/>
        </w:rPr>
        <w:t>in the 17</w:t>
      </w:r>
      <w:r w:rsidR="005A37B4">
        <w:rPr>
          <w:rFonts w:ascii="Arial" w:hAnsi="Arial" w:cs="Arial"/>
          <w:sz w:val="20"/>
        </w:rPr>
        <w:t>90</w:t>
      </w:r>
      <w:r w:rsidR="00B86EFB">
        <w:rPr>
          <w:rFonts w:ascii="Arial" w:hAnsi="Arial" w:cs="Arial"/>
          <w:sz w:val="20"/>
        </w:rPr>
        <w:t>-</w:t>
      </w:r>
      <w:r w:rsidR="00C07FA2">
        <w:rPr>
          <w:rFonts w:ascii="Arial" w:hAnsi="Arial" w:cs="Arial"/>
          <w:sz w:val="20"/>
        </w:rPr>
        <w:t>180</w:t>
      </w:r>
      <w:r w:rsidR="005A37B4">
        <w:rPr>
          <w:rFonts w:ascii="Arial" w:hAnsi="Arial" w:cs="Arial"/>
          <w:sz w:val="20"/>
        </w:rPr>
        <w:t>0</w:t>
      </w:r>
      <w:r w:rsidR="00B86EFB">
        <w:rPr>
          <w:rFonts w:ascii="Arial" w:hAnsi="Arial" w:cs="Arial"/>
          <w:sz w:val="20"/>
        </w:rPr>
        <w:t xml:space="preserve"> MHz band</w:t>
      </w:r>
      <w:r w:rsidR="0056091E">
        <w:rPr>
          <w:rFonts w:ascii="Arial" w:hAnsi="Arial" w:cs="Arial"/>
          <w:sz w:val="20"/>
        </w:rPr>
        <w:t xml:space="preserve"> with a maximum </w:t>
      </w:r>
      <w:r w:rsidR="002F62E7">
        <w:rPr>
          <w:rFonts w:ascii="Arial" w:hAnsi="Arial" w:cs="Arial"/>
          <w:sz w:val="20"/>
        </w:rPr>
        <w:t>equivalent isotropically radiated power (</w:t>
      </w:r>
      <w:r w:rsidR="0056091E">
        <w:rPr>
          <w:rFonts w:ascii="Arial" w:hAnsi="Arial" w:cs="Arial"/>
          <w:sz w:val="20"/>
        </w:rPr>
        <w:t>EIRP</w:t>
      </w:r>
      <w:r w:rsidR="002F62E7">
        <w:rPr>
          <w:rFonts w:ascii="Arial" w:hAnsi="Arial" w:cs="Arial"/>
          <w:sz w:val="20"/>
        </w:rPr>
        <w:t>)</w:t>
      </w:r>
      <w:r w:rsidR="0056091E">
        <w:rPr>
          <w:rFonts w:ascii="Arial" w:hAnsi="Arial" w:cs="Arial"/>
          <w:sz w:val="20"/>
        </w:rPr>
        <w:t xml:space="preserve"> of </w:t>
      </w:r>
      <w:r w:rsidR="00223AEF">
        <w:rPr>
          <w:rFonts w:ascii="Arial" w:hAnsi="Arial" w:cs="Arial"/>
          <w:sz w:val="20"/>
        </w:rPr>
        <w:t>100 mW.</w:t>
      </w:r>
      <w:r w:rsidR="0056091E">
        <w:rPr>
          <w:rFonts w:ascii="Arial" w:hAnsi="Arial" w:cs="Arial"/>
          <w:sz w:val="20"/>
        </w:rPr>
        <w:t xml:space="preserve"> </w:t>
      </w:r>
      <w:r w:rsidR="00223AEF">
        <w:rPr>
          <w:rFonts w:ascii="Arial" w:hAnsi="Arial" w:cs="Arial"/>
          <w:sz w:val="20"/>
        </w:rPr>
        <w:t xml:space="preserve"> </w:t>
      </w:r>
      <w:r w:rsidR="00C07FA2">
        <w:rPr>
          <w:rFonts w:ascii="Arial" w:hAnsi="Arial" w:cs="Arial"/>
          <w:sz w:val="20"/>
        </w:rPr>
        <w:t xml:space="preserve">There </w:t>
      </w:r>
      <w:r w:rsidR="005A37B4">
        <w:rPr>
          <w:rFonts w:ascii="Arial" w:hAnsi="Arial" w:cs="Arial"/>
          <w:sz w:val="20"/>
        </w:rPr>
        <w:t>is one</w:t>
      </w:r>
      <w:r w:rsidR="00C07FA2">
        <w:rPr>
          <w:rFonts w:ascii="Arial" w:hAnsi="Arial" w:cs="Arial"/>
          <w:sz w:val="20"/>
        </w:rPr>
        <w:t xml:space="preserve"> limiting condition on the use of this class of transmitter in this band</w:t>
      </w:r>
      <w:r w:rsidR="005A37B4">
        <w:rPr>
          <w:rFonts w:ascii="Arial" w:hAnsi="Arial" w:cs="Arial"/>
          <w:sz w:val="20"/>
        </w:rPr>
        <w:t>,</w:t>
      </w:r>
      <w:r w:rsidR="00C07FA2">
        <w:rPr>
          <w:rFonts w:ascii="Arial" w:hAnsi="Arial" w:cs="Arial"/>
          <w:sz w:val="20"/>
        </w:rPr>
        <w:t xml:space="preserve"> </w:t>
      </w:r>
      <w:r w:rsidR="007E6568">
        <w:rPr>
          <w:rFonts w:ascii="Arial" w:hAnsi="Arial" w:cs="Arial"/>
          <w:sz w:val="20"/>
        </w:rPr>
        <w:t xml:space="preserve">which is </w:t>
      </w:r>
      <w:r w:rsidR="00C07FA2">
        <w:rPr>
          <w:rFonts w:ascii="Arial" w:hAnsi="Arial" w:cs="Arial"/>
          <w:sz w:val="20"/>
        </w:rPr>
        <w:t xml:space="preserve">that the equipment used </w:t>
      </w:r>
      <w:r w:rsidR="007E6568">
        <w:rPr>
          <w:rFonts w:ascii="Arial" w:hAnsi="Arial" w:cs="Arial"/>
          <w:sz w:val="20"/>
        </w:rPr>
        <w:t xml:space="preserve">must </w:t>
      </w:r>
      <w:r w:rsidR="00C07FA2">
        <w:rPr>
          <w:rFonts w:ascii="Arial" w:hAnsi="Arial" w:cs="Arial"/>
          <w:sz w:val="20"/>
        </w:rPr>
        <w:t>conform to one of two international standards</w:t>
      </w:r>
      <w:r w:rsidR="007E6568">
        <w:rPr>
          <w:rFonts w:ascii="Arial" w:hAnsi="Arial" w:cs="Arial"/>
          <w:sz w:val="20"/>
        </w:rPr>
        <w:t>,</w:t>
      </w:r>
      <w:r w:rsidR="00C07FA2">
        <w:rPr>
          <w:rFonts w:ascii="Arial" w:hAnsi="Arial" w:cs="Arial"/>
          <w:sz w:val="20"/>
        </w:rPr>
        <w:t xml:space="preserve"> </w:t>
      </w:r>
      <w:r w:rsidR="005554F1">
        <w:rPr>
          <w:rFonts w:ascii="Arial" w:hAnsi="Arial" w:cs="Arial"/>
          <w:sz w:val="20"/>
        </w:rPr>
        <w:t xml:space="preserve">being either with </w:t>
      </w:r>
      <w:r w:rsidR="007E6568">
        <w:rPr>
          <w:rFonts w:ascii="Arial" w:hAnsi="Arial" w:cs="Arial"/>
          <w:sz w:val="20"/>
        </w:rPr>
        <w:t>European Telecommunications Standards Institute Standard (</w:t>
      </w:r>
      <w:r w:rsidR="005A37B4" w:rsidRPr="005A37B4">
        <w:rPr>
          <w:rFonts w:ascii="Arial" w:hAnsi="Arial" w:cs="Arial"/>
          <w:sz w:val="20"/>
        </w:rPr>
        <w:t>ETSI</w:t>
      </w:r>
      <w:r w:rsidR="007E6568">
        <w:rPr>
          <w:rFonts w:ascii="Arial" w:hAnsi="Arial" w:cs="Arial"/>
          <w:sz w:val="20"/>
        </w:rPr>
        <w:t>)</w:t>
      </w:r>
      <w:r w:rsidR="005A37B4" w:rsidRPr="005A37B4">
        <w:rPr>
          <w:rFonts w:ascii="Arial" w:hAnsi="Arial" w:cs="Arial"/>
          <w:sz w:val="20"/>
        </w:rPr>
        <w:t xml:space="preserve"> EN 301 840 : Ele</w:t>
      </w:r>
      <w:r w:rsidR="005A37B4">
        <w:rPr>
          <w:rFonts w:ascii="Arial" w:hAnsi="Arial" w:cs="Arial"/>
          <w:sz w:val="20"/>
        </w:rPr>
        <w:t>c</w:t>
      </w:r>
      <w:r w:rsidR="005A37B4" w:rsidRPr="005A37B4">
        <w:rPr>
          <w:rFonts w:ascii="Arial" w:hAnsi="Arial" w:cs="Arial"/>
          <w:sz w:val="20"/>
        </w:rPr>
        <w:t>tromagnetic Compatibility and Radio Spectrum Matters</w:t>
      </w:r>
      <w:r w:rsidR="005554F1">
        <w:rPr>
          <w:rFonts w:ascii="Arial" w:hAnsi="Arial" w:cs="Arial"/>
          <w:sz w:val="20"/>
        </w:rPr>
        <w:t xml:space="preserve"> </w:t>
      </w:r>
      <w:r w:rsidR="005A37B4" w:rsidRPr="005A37B4">
        <w:rPr>
          <w:rFonts w:ascii="Arial" w:hAnsi="Arial" w:cs="Arial"/>
          <w:sz w:val="20"/>
        </w:rPr>
        <w:t>(ERM), Digital Radio Microphones operating in the CEPT Harmonised band 1785</w:t>
      </w:r>
      <w:r w:rsidR="00066546">
        <w:rPr>
          <w:rFonts w:ascii="Arial" w:hAnsi="Arial" w:cs="Arial"/>
          <w:sz w:val="20"/>
        </w:rPr>
        <w:t xml:space="preserve"> </w:t>
      </w:r>
      <w:r w:rsidR="005A37B4" w:rsidRPr="005A37B4">
        <w:rPr>
          <w:rFonts w:ascii="Arial" w:hAnsi="Arial" w:cs="Arial"/>
          <w:sz w:val="20"/>
        </w:rPr>
        <w:t>MHz to 1800 MHz, Part 1: Technical characteristics</w:t>
      </w:r>
      <w:r w:rsidR="005554F1">
        <w:rPr>
          <w:rFonts w:ascii="Arial" w:hAnsi="Arial" w:cs="Arial"/>
          <w:sz w:val="20"/>
        </w:rPr>
        <w:t>,</w:t>
      </w:r>
      <w:r w:rsidR="005A37B4">
        <w:rPr>
          <w:rFonts w:ascii="Arial" w:hAnsi="Arial" w:cs="Arial"/>
          <w:sz w:val="20"/>
        </w:rPr>
        <w:t xml:space="preserve"> </w:t>
      </w:r>
      <w:r w:rsidR="00C07FA2">
        <w:rPr>
          <w:rFonts w:ascii="Arial" w:hAnsi="Arial" w:cs="Arial"/>
          <w:sz w:val="20"/>
        </w:rPr>
        <w:t xml:space="preserve">or </w:t>
      </w:r>
      <w:r w:rsidR="005554F1">
        <w:rPr>
          <w:rFonts w:ascii="Arial" w:hAnsi="Arial" w:cs="Arial"/>
          <w:sz w:val="20"/>
        </w:rPr>
        <w:t xml:space="preserve">with </w:t>
      </w:r>
      <w:r w:rsidR="00C07FA2">
        <w:rPr>
          <w:rFonts w:ascii="Arial" w:hAnsi="Arial" w:cs="Arial"/>
          <w:sz w:val="20"/>
        </w:rPr>
        <w:t>ETSI EN 300 422</w:t>
      </w:r>
      <w:r w:rsidR="00DA1434" w:rsidRPr="005A37B4">
        <w:rPr>
          <w:rFonts w:ascii="Arial" w:hAnsi="Arial" w:cs="Arial"/>
          <w:sz w:val="20"/>
        </w:rPr>
        <w:t xml:space="preserve"> – Electromagnetic Compatibility and Radio Spectrum Matters (ERM), Wireless Microphones in the 25MHZ to 3GHz frequency range, Part 1: Technical characteristics.</w:t>
      </w:r>
      <w:r w:rsidR="00CA5279">
        <w:rPr>
          <w:rFonts w:ascii="Arial" w:hAnsi="Arial" w:cs="Arial"/>
          <w:sz w:val="20"/>
        </w:rPr>
        <w:t xml:space="preserve"> </w:t>
      </w:r>
      <w:r w:rsidR="00B90597">
        <w:rPr>
          <w:rFonts w:ascii="Arial" w:hAnsi="Arial" w:cs="Arial"/>
          <w:sz w:val="20"/>
        </w:rPr>
        <w:t xml:space="preserve"> </w:t>
      </w:r>
      <w:r w:rsidR="00CA5279">
        <w:rPr>
          <w:rFonts w:ascii="Arial" w:hAnsi="Arial" w:cs="Arial"/>
          <w:sz w:val="20"/>
        </w:rPr>
        <w:t>Copies of these standards are available</w:t>
      </w:r>
      <w:r w:rsidR="00B90597">
        <w:rPr>
          <w:rFonts w:ascii="Arial" w:hAnsi="Arial" w:cs="Arial"/>
          <w:sz w:val="20"/>
        </w:rPr>
        <w:t xml:space="preserve"> from the ETSI website: www.etsi.org.</w:t>
      </w:r>
    </w:p>
    <w:p w:rsidR="00DA1434" w:rsidRPr="00BC2161" w:rsidRDefault="00DA1434" w:rsidP="008F73ED">
      <w:pPr>
        <w:pStyle w:val="BodyText"/>
        <w:spacing w:line="260" w:lineRule="atLeast"/>
        <w:jc w:val="both"/>
        <w:rPr>
          <w:rFonts w:ascii="Arial" w:hAnsi="Arial" w:cs="Arial"/>
          <w:sz w:val="20"/>
        </w:rPr>
      </w:pPr>
    </w:p>
    <w:p w:rsidR="00D16E24" w:rsidRPr="00F52A89" w:rsidRDefault="00D16E24" w:rsidP="00DB1ED0">
      <w:pPr>
        <w:pStyle w:val="BodyText"/>
        <w:spacing w:before="120" w:line="260" w:lineRule="atLeast"/>
        <w:jc w:val="both"/>
        <w:rPr>
          <w:rFonts w:ascii="Arial" w:hAnsi="Arial" w:cs="Arial"/>
          <w:b/>
          <w:sz w:val="20"/>
        </w:rPr>
      </w:pPr>
      <w:r w:rsidRPr="00F52A89">
        <w:rPr>
          <w:rFonts w:ascii="Arial" w:hAnsi="Arial" w:cs="Arial"/>
          <w:b/>
          <w:sz w:val="20"/>
        </w:rPr>
        <w:t>Consultation</w:t>
      </w:r>
    </w:p>
    <w:p w:rsidR="003016BC" w:rsidRDefault="007E6568" w:rsidP="00DB1ED0">
      <w:pPr>
        <w:spacing w:before="120" w:after="120" w:line="260" w:lineRule="atLeast"/>
        <w:jc w:val="both"/>
        <w:rPr>
          <w:rFonts w:ascii="Arial" w:hAnsi="Arial" w:cs="Arial"/>
          <w:color w:val="000000"/>
        </w:rPr>
      </w:pPr>
      <w:r>
        <w:rPr>
          <w:rFonts w:ascii="Arial" w:hAnsi="Arial" w:cs="Arial"/>
          <w:color w:val="000000"/>
        </w:rPr>
        <w:t xml:space="preserve">Section 17 of the </w:t>
      </w:r>
      <w:r>
        <w:rPr>
          <w:rFonts w:ascii="Arial" w:hAnsi="Arial" w:cs="Arial"/>
          <w:i/>
          <w:color w:val="000000"/>
        </w:rPr>
        <w:t xml:space="preserve">Legislative Instruments Act 2003 </w:t>
      </w:r>
      <w:r w:rsidR="00A35148" w:rsidRPr="00A35148">
        <w:rPr>
          <w:rFonts w:ascii="Arial" w:hAnsi="Arial" w:cs="Arial"/>
          <w:color w:val="000000"/>
        </w:rPr>
        <w:t>(</w:t>
      </w:r>
      <w:r>
        <w:rPr>
          <w:rFonts w:ascii="Arial" w:hAnsi="Arial" w:cs="Arial"/>
          <w:color w:val="000000"/>
        </w:rPr>
        <w:t xml:space="preserve">LIA) requires the ACMA to be satisfied that any consultation it considers to be appropriate and reasonably practicable to undertake has been undertaken before </w:t>
      </w:r>
      <w:r w:rsidR="003016BC">
        <w:rPr>
          <w:rFonts w:ascii="Arial" w:hAnsi="Arial" w:cs="Arial"/>
          <w:color w:val="000000"/>
        </w:rPr>
        <w:t xml:space="preserve">making a legislative instrument. Section 136 of the </w:t>
      </w:r>
      <w:r w:rsidR="00D16E24">
        <w:rPr>
          <w:rFonts w:ascii="Arial" w:hAnsi="Arial" w:cs="Arial"/>
          <w:color w:val="000000"/>
        </w:rPr>
        <w:t>Act</w:t>
      </w:r>
      <w:r w:rsidR="003016BC">
        <w:rPr>
          <w:rFonts w:ascii="Arial" w:hAnsi="Arial" w:cs="Arial"/>
          <w:color w:val="000000"/>
        </w:rPr>
        <w:t xml:space="preserve"> also requires that a Gazette notice explaining the variation be published</w:t>
      </w:r>
      <w:r w:rsidR="003016BC">
        <w:rPr>
          <w:rFonts w:ascii="Arial" w:hAnsi="Arial" w:cs="Arial"/>
          <w:i/>
          <w:color w:val="000000"/>
        </w:rPr>
        <w:t xml:space="preserve"> </w:t>
      </w:r>
      <w:r w:rsidR="00A35148" w:rsidRPr="00A35148">
        <w:rPr>
          <w:rFonts w:ascii="Arial" w:hAnsi="Arial" w:cs="Arial"/>
          <w:color w:val="000000"/>
        </w:rPr>
        <w:t>and a</w:t>
      </w:r>
      <w:r w:rsidR="003016BC">
        <w:rPr>
          <w:rFonts w:ascii="Arial" w:hAnsi="Arial" w:cs="Arial"/>
          <w:i/>
          <w:color w:val="000000"/>
        </w:rPr>
        <w:t xml:space="preserve"> </w:t>
      </w:r>
      <w:r w:rsidR="003016BC">
        <w:rPr>
          <w:rFonts w:ascii="Arial" w:hAnsi="Arial" w:cs="Arial"/>
          <w:color w:val="000000"/>
        </w:rPr>
        <w:t xml:space="preserve">period of at least one month be provided for public comment. </w:t>
      </w:r>
    </w:p>
    <w:p w:rsidR="000C0097" w:rsidRDefault="003016BC" w:rsidP="00DB1ED0">
      <w:pPr>
        <w:spacing w:before="120" w:after="120" w:line="260" w:lineRule="atLeast"/>
        <w:jc w:val="both"/>
        <w:rPr>
          <w:rFonts w:ascii="Arial" w:hAnsi="Arial" w:cs="Arial"/>
          <w:color w:val="000000"/>
        </w:rPr>
      </w:pPr>
      <w:r>
        <w:rPr>
          <w:rFonts w:ascii="Arial" w:hAnsi="Arial" w:cs="Arial"/>
          <w:color w:val="000000"/>
        </w:rPr>
        <w:t>O</w:t>
      </w:r>
      <w:r w:rsidR="00D16E24" w:rsidRPr="00660D86">
        <w:rPr>
          <w:rFonts w:ascii="Arial" w:hAnsi="Arial" w:cs="Arial"/>
          <w:color w:val="000000"/>
        </w:rPr>
        <w:t xml:space="preserve">n </w:t>
      </w:r>
      <w:r w:rsidR="003B640F" w:rsidRPr="00C07E8B">
        <w:rPr>
          <w:rFonts w:ascii="Arial" w:hAnsi="Arial" w:cs="Arial"/>
          <w:color w:val="000000"/>
        </w:rPr>
        <w:t>1</w:t>
      </w:r>
      <w:r w:rsidR="00C07E8B" w:rsidRPr="00C07E8B">
        <w:rPr>
          <w:rFonts w:ascii="Arial" w:hAnsi="Arial" w:cs="Arial"/>
          <w:color w:val="000000"/>
        </w:rPr>
        <w:t>3</w:t>
      </w:r>
      <w:r w:rsidR="00D16E24" w:rsidRPr="00C07E8B">
        <w:rPr>
          <w:rFonts w:ascii="Arial" w:hAnsi="Arial" w:cs="Arial"/>
          <w:color w:val="000000"/>
        </w:rPr>
        <w:t xml:space="preserve"> </w:t>
      </w:r>
      <w:r w:rsidR="00C07E8B" w:rsidRPr="00C07E8B">
        <w:rPr>
          <w:rFonts w:ascii="Arial" w:hAnsi="Arial" w:cs="Arial"/>
          <w:color w:val="000000"/>
        </w:rPr>
        <w:t>February</w:t>
      </w:r>
      <w:r w:rsidR="00D16E24" w:rsidRPr="00C07E8B">
        <w:rPr>
          <w:rFonts w:ascii="Arial" w:hAnsi="Arial" w:cs="Arial"/>
          <w:color w:val="000000"/>
        </w:rPr>
        <w:t xml:space="preserve"> 20</w:t>
      </w:r>
      <w:r w:rsidR="00EC6417" w:rsidRPr="00C07E8B">
        <w:rPr>
          <w:rFonts w:ascii="Arial" w:hAnsi="Arial" w:cs="Arial"/>
          <w:color w:val="000000"/>
        </w:rPr>
        <w:t>1</w:t>
      </w:r>
      <w:r w:rsidR="00C07E8B">
        <w:rPr>
          <w:rFonts w:ascii="Arial" w:hAnsi="Arial" w:cs="Arial"/>
          <w:color w:val="000000"/>
        </w:rPr>
        <w:t>3</w:t>
      </w:r>
      <w:r w:rsidR="00D16E24" w:rsidRPr="00660D86">
        <w:rPr>
          <w:rFonts w:ascii="Arial" w:hAnsi="Arial" w:cs="Arial"/>
          <w:color w:val="000000"/>
        </w:rPr>
        <w:t xml:space="preserve">, </w:t>
      </w:r>
      <w:r w:rsidR="003B58FA">
        <w:rPr>
          <w:rFonts w:ascii="Arial" w:hAnsi="Arial" w:cs="Arial"/>
          <w:color w:val="000000"/>
        </w:rPr>
        <w:t xml:space="preserve">the ACMA published a notice in the </w:t>
      </w:r>
      <w:r w:rsidR="003B58FA">
        <w:rPr>
          <w:rFonts w:ascii="Arial" w:hAnsi="Arial" w:cs="Arial"/>
          <w:i/>
          <w:color w:val="000000"/>
        </w:rPr>
        <w:t xml:space="preserve">Gazette </w:t>
      </w:r>
      <w:r w:rsidR="00D16E24" w:rsidRPr="00660D86">
        <w:rPr>
          <w:rFonts w:ascii="Arial" w:hAnsi="Arial" w:cs="Arial"/>
          <w:color w:val="000000"/>
        </w:rPr>
        <w:t xml:space="preserve">inviting public </w:t>
      </w:r>
      <w:r w:rsidR="003B58FA">
        <w:rPr>
          <w:rFonts w:ascii="Arial" w:hAnsi="Arial" w:cs="Arial"/>
          <w:color w:val="000000"/>
        </w:rPr>
        <w:t xml:space="preserve">comment </w:t>
      </w:r>
      <w:r w:rsidR="00D16E24" w:rsidRPr="00660D86">
        <w:rPr>
          <w:rFonts w:ascii="Arial" w:hAnsi="Arial" w:cs="Arial"/>
          <w:color w:val="000000"/>
        </w:rPr>
        <w:t xml:space="preserve">until </w:t>
      </w:r>
      <w:r w:rsidR="00C07E8B">
        <w:rPr>
          <w:rFonts w:ascii="Arial" w:hAnsi="Arial" w:cs="Arial"/>
          <w:color w:val="000000"/>
        </w:rPr>
        <w:t>13</w:t>
      </w:r>
      <w:r w:rsidR="0064101F" w:rsidRPr="003B640F">
        <w:rPr>
          <w:rFonts w:ascii="Arial" w:hAnsi="Arial" w:cs="Arial"/>
          <w:color w:val="000000"/>
        </w:rPr>
        <w:t> </w:t>
      </w:r>
      <w:r w:rsidR="00C07E8B">
        <w:rPr>
          <w:rFonts w:ascii="Arial" w:hAnsi="Arial" w:cs="Arial"/>
          <w:color w:val="000000"/>
        </w:rPr>
        <w:t>March</w:t>
      </w:r>
      <w:r w:rsidR="001253F0" w:rsidRPr="003B640F">
        <w:rPr>
          <w:rFonts w:ascii="Arial" w:hAnsi="Arial" w:cs="Arial"/>
          <w:color w:val="000000"/>
        </w:rPr>
        <w:t xml:space="preserve"> 20</w:t>
      </w:r>
      <w:r w:rsidR="00EC6417" w:rsidRPr="003B640F">
        <w:rPr>
          <w:rFonts w:ascii="Arial" w:hAnsi="Arial" w:cs="Arial"/>
          <w:color w:val="000000"/>
        </w:rPr>
        <w:t>13</w:t>
      </w:r>
      <w:r w:rsidR="00D16E24" w:rsidRPr="00660D86">
        <w:rPr>
          <w:rFonts w:ascii="Arial" w:hAnsi="Arial" w:cs="Arial"/>
          <w:color w:val="000000"/>
        </w:rPr>
        <w:t xml:space="preserve">. </w:t>
      </w:r>
      <w:r w:rsidR="00C07E8B">
        <w:rPr>
          <w:rFonts w:ascii="Arial" w:hAnsi="Arial" w:cs="Arial"/>
          <w:color w:val="000000"/>
        </w:rPr>
        <w:t xml:space="preserve"> </w:t>
      </w:r>
      <w:r w:rsidR="00D16E24" w:rsidRPr="00660D86">
        <w:rPr>
          <w:rFonts w:ascii="Arial" w:hAnsi="Arial" w:cs="Arial"/>
          <w:color w:val="000000"/>
        </w:rPr>
        <w:t>Notice of the proposed variation and an invitation for public submissions was also provided on ACMA’s internet site</w:t>
      </w:r>
      <w:r w:rsidR="00C07E8B" w:rsidRPr="00C07E8B">
        <w:rPr>
          <w:rFonts w:ascii="Arial" w:hAnsi="Arial" w:cs="Arial"/>
          <w:color w:val="000000"/>
        </w:rPr>
        <w:t xml:space="preserve"> </w:t>
      </w:r>
      <w:r w:rsidR="00C07E8B">
        <w:rPr>
          <w:rFonts w:ascii="Arial" w:hAnsi="Arial" w:cs="Arial"/>
          <w:color w:val="000000"/>
        </w:rPr>
        <w:t xml:space="preserve">on the ACMA website </w:t>
      </w:r>
      <w:r w:rsidR="005A7C97">
        <w:rPr>
          <w:rFonts w:ascii="Arial" w:hAnsi="Arial" w:cs="Arial"/>
          <w:color w:val="000000"/>
        </w:rPr>
        <w:t xml:space="preserve">from </w:t>
      </w:r>
      <w:r w:rsidR="00C07E8B">
        <w:rPr>
          <w:rFonts w:ascii="Arial" w:hAnsi="Arial" w:cs="Arial"/>
          <w:color w:val="000000"/>
        </w:rPr>
        <w:t>12 December 2012</w:t>
      </w:r>
      <w:r w:rsidR="00D16E24" w:rsidRPr="00F52A89">
        <w:rPr>
          <w:rFonts w:ascii="Arial" w:hAnsi="Arial" w:cs="Arial"/>
          <w:color w:val="000000"/>
        </w:rPr>
        <w:t xml:space="preserve">. </w:t>
      </w:r>
    </w:p>
    <w:p w:rsidR="001E05D1" w:rsidRDefault="00743CBF" w:rsidP="00DB1ED0">
      <w:pPr>
        <w:spacing w:before="120" w:after="120" w:line="260" w:lineRule="atLeast"/>
        <w:jc w:val="both"/>
        <w:rPr>
          <w:rFonts w:ascii="Arial" w:hAnsi="Arial" w:cs="Arial"/>
          <w:color w:val="000000"/>
        </w:rPr>
      </w:pPr>
      <w:r>
        <w:rPr>
          <w:rFonts w:ascii="Arial" w:hAnsi="Arial" w:cs="Arial"/>
          <w:color w:val="000000"/>
        </w:rPr>
        <w:t xml:space="preserve">Fifty </w:t>
      </w:r>
      <w:r w:rsidR="00223AEF">
        <w:rPr>
          <w:rFonts w:ascii="Arial" w:hAnsi="Arial" w:cs="Arial"/>
          <w:color w:val="000000"/>
        </w:rPr>
        <w:t>two</w:t>
      </w:r>
      <w:r w:rsidR="00916B50">
        <w:rPr>
          <w:rFonts w:ascii="Arial" w:hAnsi="Arial" w:cs="Arial"/>
          <w:color w:val="000000"/>
        </w:rPr>
        <w:t xml:space="preserve"> </w:t>
      </w:r>
      <w:r w:rsidR="00F40EFA">
        <w:rPr>
          <w:rFonts w:ascii="Arial" w:hAnsi="Arial" w:cs="Arial"/>
          <w:color w:val="000000"/>
        </w:rPr>
        <w:t>submissions were received in re</w:t>
      </w:r>
      <w:r w:rsidR="00B0468B">
        <w:rPr>
          <w:rFonts w:ascii="Arial" w:hAnsi="Arial" w:cs="Arial"/>
          <w:color w:val="000000"/>
        </w:rPr>
        <w:t>s</w:t>
      </w:r>
      <w:r w:rsidR="00F40EFA">
        <w:rPr>
          <w:rFonts w:ascii="Arial" w:hAnsi="Arial" w:cs="Arial"/>
          <w:color w:val="000000"/>
        </w:rPr>
        <w:t>ponse to the invitation for public comment</w:t>
      </w:r>
      <w:r w:rsidR="00B90597">
        <w:rPr>
          <w:rFonts w:ascii="Arial" w:hAnsi="Arial" w:cs="Arial"/>
          <w:color w:val="000000"/>
        </w:rPr>
        <w:t xml:space="preserve"> and the ACMA has taken these submissions into account</w:t>
      </w:r>
      <w:r w:rsidR="009A285E">
        <w:rPr>
          <w:rFonts w:ascii="Arial" w:hAnsi="Arial" w:cs="Arial"/>
          <w:color w:val="000000"/>
        </w:rPr>
        <w:t>.</w:t>
      </w:r>
    </w:p>
    <w:p w:rsidR="00FD5CD3" w:rsidRPr="00BF219C" w:rsidRDefault="00FD5CD3" w:rsidP="00FD5CD3">
      <w:pPr>
        <w:pStyle w:val="ACMAHeading3"/>
        <w:spacing w:line="360" w:lineRule="auto"/>
        <w:rPr>
          <w:sz w:val="20"/>
        </w:rPr>
      </w:pPr>
      <w:r w:rsidRPr="00BF219C">
        <w:rPr>
          <w:sz w:val="20"/>
        </w:rPr>
        <w:t>Statement of compatibility with human rights</w:t>
      </w:r>
    </w:p>
    <w:p w:rsidR="00FD5CD3" w:rsidRPr="00FB1F75" w:rsidRDefault="00FD5CD3" w:rsidP="00FB1F75">
      <w:pPr>
        <w:pStyle w:val="ListParagraph"/>
        <w:spacing w:before="80" w:after="120" w:line="280" w:lineRule="atLeast"/>
        <w:ind w:left="1"/>
        <w:contextualSpacing w:val="0"/>
        <w:jc w:val="both"/>
        <w:rPr>
          <w:rFonts w:cs="Arial"/>
          <w:color w:val="000000"/>
          <w:lang w:eastAsia="en-AU" w:bidi="ar-SA"/>
        </w:rPr>
      </w:pPr>
      <w:r w:rsidRPr="00FB1F75">
        <w:rPr>
          <w:rFonts w:cs="Arial"/>
          <w:color w:val="000000"/>
          <w:lang w:eastAsia="en-AU" w:bidi="ar-SA"/>
        </w:rPr>
        <w:t xml:space="preserve">Subsection 9(1) of the </w:t>
      </w:r>
      <w:r w:rsidRPr="00FB1F75">
        <w:rPr>
          <w:rFonts w:cs="Arial"/>
          <w:i/>
          <w:color w:val="000000"/>
          <w:lang w:eastAsia="en-AU" w:bidi="ar-SA"/>
        </w:rPr>
        <w:t>Human Rights (Parliamentary Scrutiny) Act 2011</w:t>
      </w:r>
      <w:r w:rsidRPr="00FB1F75">
        <w:rPr>
          <w:rFonts w:cs="Arial"/>
          <w:color w:val="000000"/>
          <w:lang w:eastAsia="en-AU" w:bidi="ar-SA"/>
        </w:rPr>
        <w:t xml:space="preserve"> requires the rule maker in relation to a legislative instrument to which section 42 (disallowance) of the </w:t>
      </w:r>
      <w:r w:rsidR="005F04B8">
        <w:rPr>
          <w:rFonts w:cs="Arial"/>
          <w:color w:val="000000"/>
          <w:lang w:eastAsia="en-AU" w:bidi="ar-SA"/>
        </w:rPr>
        <w:t>LIA</w:t>
      </w:r>
      <w:r w:rsidRPr="00FB1F75">
        <w:rPr>
          <w:rFonts w:cs="Arial"/>
          <w:color w:val="000000"/>
          <w:lang w:eastAsia="en-AU" w:bidi="ar-SA"/>
        </w:rPr>
        <w:t xml:space="preserve"> applies to cause a statement of compatibility to be prepared in respect of that legislative instrument. This statement is </w:t>
      </w:r>
      <w:r w:rsidR="005F04B8">
        <w:rPr>
          <w:rFonts w:cs="Arial"/>
          <w:color w:val="000000"/>
          <w:lang w:eastAsia="en-AU" w:bidi="ar-SA"/>
        </w:rPr>
        <w:t>at</w:t>
      </w:r>
      <w:r w:rsidRPr="00FB1F75">
        <w:rPr>
          <w:rFonts w:cs="Arial"/>
          <w:color w:val="000000"/>
          <w:lang w:eastAsia="en-AU" w:bidi="ar-SA"/>
        </w:rPr>
        <w:t xml:space="preserve"> </w:t>
      </w:r>
      <w:r w:rsidR="00B118A4">
        <w:rPr>
          <w:rFonts w:cs="Arial"/>
          <w:color w:val="000000"/>
          <w:lang w:eastAsia="en-AU" w:bidi="ar-SA"/>
        </w:rPr>
        <w:t>A</w:t>
      </w:r>
      <w:r w:rsidRPr="00FB1F75">
        <w:rPr>
          <w:rFonts w:cs="Arial"/>
          <w:color w:val="000000"/>
          <w:lang w:eastAsia="en-AU" w:bidi="ar-SA"/>
        </w:rPr>
        <w:t>ttachment B.</w:t>
      </w:r>
    </w:p>
    <w:p w:rsidR="00D16E24" w:rsidRPr="00F52A89" w:rsidRDefault="00D16E24" w:rsidP="00DB1ED0">
      <w:pPr>
        <w:pStyle w:val="ACMAHeading3"/>
        <w:spacing w:after="120" w:line="260" w:lineRule="atLeast"/>
        <w:jc w:val="both"/>
        <w:rPr>
          <w:rFonts w:cs="Arial"/>
          <w:sz w:val="20"/>
        </w:rPr>
      </w:pPr>
      <w:r w:rsidRPr="00F52A89">
        <w:rPr>
          <w:rFonts w:cs="Arial"/>
          <w:sz w:val="20"/>
        </w:rPr>
        <w:t>Regulation Impact</w:t>
      </w:r>
    </w:p>
    <w:p w:rsidR="00FB1F75" w:rsidRPr="00FB1F75" w:rsidRDefault="00FB1F75" w:rsidP="00FB1F75">
      <w:pPr>
        <w:pStyle w:val="ListParagraph"/>
        <w:spacing w:before="80" w:after="120" w:line="280" w:lineRule="atLeast"/>
        <w:ind w:left="1"/>
        <w:contextualSpacing w:val="0"/>
        <w:jc w:val="both"/>
        <w:rPr>
          <w:rFonts w:cs="Arial"/>
          <w:color w:val="000000"/>
          <w:lang w:eastAsia="en-AU" w:bidi="ar-SA"/>
        </w:rPr>
      </w:pPr>
      <w:r w:rsidRPr="00FB1F75">
        <w:rPr>
          <w:rFonts w:cs="Arial"/>
          <w:color w:val="000000"/>
          <w:lang w:eastAsia="en-AU" w:bidi="ar-SA"/>
        </w:rPr>
        <w:t xml:space="preserve">A regulatory impact analysis assessment has been carried out and based on this assessment the Office of Best Practice Regulation (OBPR) has determined that the regulatory change </w:t>
      </w:r>
      <w:r w:rsidR="005554F1">
        <w:rPr>
          <w:rFonts w:cs="Arial"/>
          <w:color w:val="000000"/>
          <w:lang w:eastAsia="en-AU" w:bidi="ar-SA"/>
        </w:rPr>
        <w:t xml:space="preserve">made by the Variation </w:t>
      </w:r>
      <w:r>
        <w:rPr>
          <w:rFonts w:cs="Arial"/>
          <w:color w:val="000000"/>
          <w:lang w:eastAsia="en-AU" w:bidi="ar-SA"/>
        </w:rPr>
        <w:t>requires</w:t>
      </w:r>
      <w:r w:rsidRPr="00FB1F75">
        <w:rPr>
          <w:rFonts w:cs="Arial"/>
          <w:color w:val="000000"/>
          <w:lang w:eastAsia="en-AU" w:bidi="ar-SA"/>
        </w:rPr>
        <w:t xml:space="preserve"> no further regulatory impact analysis – OBPR reference number 14322.</w:t>
      </w:r>
    </w:p>
    <w:p w:rsidR="00D16E24" w:rsidRPr="00FB1F75" w:rsidRDefault="005F04B8" w:rsidP="00FB1F75">
      <w:pPr>
        <w:pStyle w:val="ACMAHeading3"/>
        <w:spacing w:after="120" w:line="260" w:lineRule="atLeast"/>
        <w:jc w:val="both"/>
        <w:rPr>
          <w:rFonts w:cs="Arial"/>
          <w:sz w:val="20"/>
        </w:rPr>
      </w:pPr>
      <w:r>
        <w:rPr>
          <w:rFonts w:cs="Arial"/>
          <w:sz w:val="20"/>
        </w:rPr>
        <w:t>Variation Details</w:t>
      </w:r>
    </w:p>
    <w:p w:rsidR="00D16E24" w:rsidRPr="00F52A89" w:rsidRDefault="005F04B8" w:rsidP="00DB1ED0">
      <w:pPr>
        <w:pStyle w:val="RGPara"/>
        <w:spacing w:after="120" w:line="260" w:lineRule="atLeast"/>
        <w:rPr>
          <w:rFonts w:ascii="Arial" w:hAnsi="Arial" w:cs="Arial"/>
          <w:sz w:val="20"/>
        </w:rPr>
      </w:pPr>
      <w:r>
        <w:rPr>
          <w:rFonts w:ascii="Arial" w:hAnsi="Arial" w:cs="Arial"/>
          <w:sz w:val="20"/>
        </w:rPr>
        <w:t xml:space="preserve">Further details </w:t>
      </w:r>
      <w:r w:rsidR="00011F90">
        <w:rPr>
          <w:rFonts w:ascii="Arial" w:hAnsi="Arial" w:cs="Arial"/>
          <w:sz w:val="20"/>
        </w:rPr>
        <w:t>of</w:t>
      </w:r>
      <w:r>
        <w:rPr>
          <w:rFonts w:ascii="Arial" w:hAnsi="Arial" w:cs="Arial"/>
          <w:sz w:val="20"/>
        </w:rPr>
        <w:t xml:space="preserve"> the Variation are provided in </w:t>
      </w:r>
      <w:r w:rsidR="00D16E24" w:rsidRPr="00F52A89">
        <w:rPr>
          <w:rFonts w:ascii="Arial" w:hAnsi="Arial" w:cs="Arial"/>
          <w:sz w:val="20"/>
        </w:rPr>
        <w:t>Attachment</w:t>
      </w:r>
      <w:r w:rsidR="00EC6417">
        <w:rPr>
          <w:rFonts w:ascii="Arial" w:hAnsi="Arial" w:cs="Arial"/>
          <w:sz w:val="20"/>
        </w:rPr>
        <w:t xml:space="preserve"> A</w:t>
      </w:r>
      <w:r w:rsidR="00D16E24" w:rsidRPr="00F52A89">
        <w:rPr>
          <w:rFonts w:ascii="Arial" w:hAnsi="Arial" w:cs="Arial"/>
          <w:sz w:val="20"/>
        </w:rPr>
        <w:t>.</w:t>
      </w:r>
    </w:p>
    <w:p w:rsidR="00DB1ED0" w:rsidRDefault="00141AA4" w:rsidP="00DB1ED0">
      <w:pPr>
        <w:spacing w:before="120" w:after="120" w:line="260" w:lineRule="atLeast"/>
        <w:rPr>
          <w:rFonts w:ascii="Arial" w:hAnsi="Arial" w:cs="Arial"/>
          <w:b/>
        </w:rPr>
      </w:pPr>
      <w:r>
        <w:rPr>
          <w:rFonts w:ascii="Arial" w:hAnsi="Arial" w:cs="Arial"/>
          <w:b/>
        </w:rPr>
        <w:br w:type="page"/>
      </w:r>
    </w:p>
    <w:p w:rsidR="00D16E24" w:rsidRPr="00F52A89" w:rsidRDefault="00D16E24" w:rsidP="008C6826">
      <w:pPr>
        <w:spacing w:before="120" w:after="120" w:line="260" w:lineRule="atLeast"/>
        <w:jc w:val="right"/>
        <w:rPr>
          <w:rFonts w:ascii="Arial" w:hAnsi="Arial" w:cs="Arial"/>
          <w:b/>
        </w:rPr>
      </w:pPr>
      <w:r w:rsidRPr="00F52A89">
        <w:rPr>
          <w:rFonts w:ascii="Arial" w:hAnsi="Arial" w:cs="Arial"/>
          <w:b/>
        </w:rPr>
        <w:t>ATTACHMENT</w:t>
      </w:r>
      <w:r w:rsidR="00B118A4">
        <w:rPr>
          <w:rFonts w:ascii="Arial" w:hAnsi="Arial" w:cs="Arial"/>
          <w:b/>
        </w:rPr>
        <w:t xml:space="preserve"> A</w:t>
      </w:r>
    </w:p>
    <w:p w:rsidR="00D16E24" w:rsidRPr="00552613" w:rsidRDefault="00D16E24" w:rsidP="00DB1ED0">
      <w:pPr>
        <w:pStyle w:val="Heading5"/>
        <w:spacing w:before="120" w:after="120" w:line="260" w:lineRule="atLeast"/>
        <w:jc w:val="both"/>
        <w:rPr>
          <w:rFonts w:ascii="Arial" w:hAnsi="Arial" w:cs="Arial"/>
          <w:b w:val="0"/>
          <w:sz w:val="20"/>
          <w:szCs w:val="20"/>
        </w:rPr>
      </w:pPr>
    </w:p>
    <w:p w:rsidR="00D16E24" w:rsidRPr="00552613" w:rsidRDefault="00D16E24" w:rsidP="00DB1ED0">
      <w:pPr>
        <w:pStyle w:val="Heading5"/>
        <w:spacing w:before="120" w:after="120" w:line="260" w:lineRule="atLeast"/>
        <w:jc w:val="both"/>
        <w:rPr>
          <w:rFonts w:ascii="Arial" w:hAnsi="Arial" w:cs="Arial"/>
          <w:bCs w:val="0"/>
          <w:i w:val="0"/>
          <w:iCs w:val="0"/>
          <w:sz w:val="20"/>
          <w:szCs w:val="20"/>
        </w:rPr>
      </w:pPr>
      <w:r w:rsidRPr="00552613">
        <w:rPr>
          <w:rFonts w:ascii="Arial" w:hAnsi="Arial" w:cs="Arial"/>
          <w:i w:val="0"/>
          <w:sz w:val="20"/>
          <w:szCs w:val="20"/>
        </w:rPr>
        <w:t>NOTES ON SECTIONS</w:t>
      </w:r>
    </w:p>
    <w:p w:rsidR="00D16E24" w:rsidRPr="00552613" w:rsidRDefault="00D16E24" w:rsidP="00DB1ED0">
      <w:pPr>
        <w:spacing w:before="120" w:after="120" w:line="260" w:lineRule="atLeast"/>
        <w:jc w:val="both"/>
        <w:rPr>
          <w:rFonts w:ascii="Arial" w:hAnsi="Arial" w:cs="Arial"/>
          <w:b/>
        </w:rPr>
      </w:pPr>
      <w:r w:rsidRPr="00552613">
        <w:rPr>
          <w:rFonts w:ascii="Arial" w:hAnsi="Arial" w:cs="Arial"/>
          <w:b/>
        </w:rPr>
        <w:t>Section 1</w:t>
      </w:r>
      <w:r w:rsidRPr="00552613">
        <w:rPr>
          <w:rFonts w:ascii="Arial" w:hAnsi="Arial" w:cs="Arial"/>
        </w:rPr>
        <w:tab/>
      </w:r>
      <w:r w:rsidRPr="00552613">
        <w:rPr>
          <w:rFonts w:ascii="Arial" w:hAnsi="Arial" w:cs="Arial"/>
          <w:b/>
        </w:rPr>
        <w:t>Name of Notice</w:t>
      </w:r>
    </w:p>
    <w:p w:rsidR="00D16E24" w:rsidRPr="00552613" w:rsidRDefault="00D16E24" w:rsidP="00DB1ED0">
      <w:pPr>
        <w:spacing w:before="120" w:after="120" w:line="260" w:lineRule="atLeast"/>
        <w:jc w:val="both"/>
        <w:rPr>
          <w:rFonts w:ascii="Arial" w:hAnsi="Arial" w:cs="Arial"/>
        </w:rPr>
      </w:pPr>
      <w:r w:rsidRPr="00552613">
        <w:rPr>
          <w:rFonts w:ascii="Arial" w:hAnsi="Arial" w:cs="Arial"/>
        </w:rPr>
        <w:t xml:space="preserve">Section 1 provides for the citation of the </w:t>
      </w:r>
      <w:r w:rsidR="00546614">
        <w:rPr>
          <w:rFonts w:ascii="Arial" w:hAnsi="Arial" w:cs="Arial"/>
        </w:rPr>
        <w:t>V</w:t>
      </w:r>
      <w:r w:rsidR="005F04B8">
        <w:rPr>
          <w:rFonts w:ascii="Arial" w:hAnsi="Arial" w:cs="Arial"/>
        </w:rPr>
        <w:t>ariation</w:t>
      </w:r>
      <w:r w:rsidRPr="00552613">
        <w:rPr>
          <w:rFonts w:ascii="Arial" w:hAnsi="Arial" w:cs="Arial"/>
        </w:rPr>
        <w:t>.</w:t>
      </w:r>
    </w:p>
    <w:p w:rsidR="00D16E24" w:rsidRPr="00552613" w:rsidRDefault="00D16E24" w:rsidP="00DB1ED0">
      <w:pPr>
        <w:spacing w:before="120" w:after="120" w:line="260" w:lineRule="atLeast"/>
        <w:jc w:val="both"/>
        <w:rPr>
          <w:rFonts w:ascii="Arial" w:hAnsi="Arial" w:cs="Arial"/>
        </w:rPr>
      </w:pPr>
      <w:r w:rsidRPr="00552613">
        <w:rPr>
          <w:rFonts w:ascii="Arial" w:hAnsi="Arial" w:cs="Arial"/>
          <w:b/>
        </w:rPr>
        <w:t>Section 2</w:t>
      </w:r>
      <w:r w:rsidRPr="00552613">
        <w:rPr>
          <w:rFonts w:ascii="Arial" w:hAnsi="Arial" w:cs="Arial"/>
        </w:rPr>
        <w:tab/>
      </w:r>
      <w:r w:rsidRPr="00552613">
        <w:rPr>
          <w:rFonts w:ascii="Arial" w:hAnsi="Arial" w:cs="Arial"/>
          <w:b/>
        </w:rPr>
        <w:t>Commencement</w:t>
      </w:r>
    </w:p>
    <w:p w:rsidR="00D16E24" w:rsidRPr="00552613" w:rsidRDefault="00D16E24" w:rsidP="00DB1ED0">
      <w:pPr>
        <w:spacing w:before="120" w:after="120" w:line="260" w:lineRule="atLeast"/>
        <w:jc w:val="both"/>
        <w:rPr>
          <w:rFonts w:ascii="Arial" w:hAnsi="Arial" w:cs="Arial"/>
        </w:rPr>
      </w:pPr>
      <w:r w:rsidRPr="00552613">
        <w:rPr>
          <w:rFonts w:ascii="Arial" w:hAnsi="Arial" w:cs="Arial"/>
        </w:rPr>
        <w:t xml:space="preserve">This section provides </w:t>
      </w:r>
      <w:r w:rsidR="005F04B8">
        <w:rPr>
          <w:rFonts w:ascii="Arial" w:hAnsi="Arial" w:cs="Arial"/>
        </w:rPr>
        <w:t xml:space="preserve">that </w:t>
      </w:r>
      <w:r w:rsidRPr="00552613">
        <w:rPr>
          <w:rFonts w:ascii="Arial" w:hAnsi="Arial" w:cs="Arial"/>
        </w:rPr>
        <w:t>the Variation commence</w:t>
      </w:r>
      <w:r w:rsidR="005F04B8">
        <w:rPr>
          <w:rFonts w:ascii="Arial" w:hAnsi="Arial" w:cs="Arial"/>
        </w:rPr>
        <w:t>s</w:t>
      </w:r>
      <w:r w:rsidRPr="00552613">
        <w:rPr>
          <w:rFonts w:ascii="Arial" w:hAnsi="Arial" w:cs="Arial"/>
        </w:rPr>
        <w:t xml:space="preserve"> on the day after it is registered</w:t>
      </w:r>
      <w:r w:rsidR="005F04B8">
        <w:rPr>
          <w:rFonts w:ascii="Arial" w:hAnsi="Arial" w:cs="Arial"/>
        </w:rPr>
        <w:t xml:space="preserve"> or the day on which it is published in the Gazette, whichever is the later</w:t>
      </w:r>
      <w:r w:rsidRPr="00552613">
        <w:rPr>
          <w:rFonts w:ascii="Arial" w:hAnsi="Arial" w:cs="Arial"/>
        </w:rPr>
        <w:t>.</w:t>
      </w:r>
      <w:r w:rsidR="005554F1">
        <w:rPr>
          <w:rFonts w:ascii="Arial" w:hAnsi="Arial" w:cs="Arial"/>
        </w:rPr>
        <w:t xml:space="preserve"> Both events must occur for commencement to occur.</w:t>
      </w:r>
    </w:p>
    <w:p w:rsidR="00D16E24" w:rsidRPr="00552613" w:rsidRDefault="00D16E24" w:rsidP="00DB1ED0">
      <w:pPr>
        <w:spacing w:before="120" w:after="120" w:line="260" w:lineRule="atLeast"/>
        <w:ind w:left="1440" w:hanging="1440"/>
        <w:jc w:val="both"/>
        <w:rPr>
          <w:rFonts w:ascii="Arial" w:hAnsi="Arial" w:cs="Arial"/>
        </w:rPr>
      </w:pPr>
      <w:r w:rsidRPr="00552613">
        <w:rPr>
          <w:rFonts w:ascii="Arial" w:hAnsi="Arial" w:cs="Arial"/>
          <w:b/>
        </w:rPr>
        <w:t>Section 3</w:t>
      </w:r>
      <w:r w:rsidRPr="00552613">
        <w:rPr>
          <w:rFonts w:ascii="Arial" w:hAnsi="Arial" w:cs="Arial"/>
        </w:rPr>
        <w:tab/>
      </w:r>
      <w:r w:rsidRPr="00552613">
        <w:rPr>
          <w:rFonts w:ascii="Arial" w:hAnsi="Arial" w:cs="Arial"/>
          <w:b/>
        </w:rPr>
        <w:t xml:space="preserve">Variation of </w:t>
      </w:r>
      <w:r w:rsidRPr="00552613">
        <w:rPr>
          <w:rFonts w:ascii="Arial" w:hAnsi="Arial" w:cs="Arial"/>
          <w:b/>
          <w:i/>
        </w:rPr>
        <w:t>Radiocommunications (Low Interference Potential Devices) Class Licence 2000</w:t>
      </w:r>
    </w:p>
    <w:p w:rsidR="00D16E24" w:rsidRPr="00552613" w:rsidRDefault="00D16E24" w:rsidP="00DB1ED0">
      <w:pPr>
        <w:spacing w:before="120" w:after="120" w:line="260" w:lineRule="atLeast"/>
        <w:jc w:val="both"/>
        <w:rPr>
          <w:rFonts w:ascii="Arial" w:hAnsi="Arial" w:cs="Arial"/>
          <w:i/>
        </w:rPr>
      </w:pPr>
      <w:r w:rsidRPr="00552613">
        <w:rPr>
          <w:rFonts w:ascii="Arial" w:hAnsi="Arial" w:cs="Arial"/>
        </w:rPr>
        <w:t xml:space="preserve">This section provides that Schedule 1 varies the </w:t>
      </w:r>
      <w:r w:rsidRPr="00552613">
        <w:rPr>
          <w:rFonts w:ascii="Arial" w:hAnsi="Arial" w:cs="Arial"/>
          <w:i/>
        </w:rPr>
        <w:t>Radiocommunications (Low Interference Potential Devices) Class Licence 2000.</w:t>
      </w:r>
    </w:p>
    <w:p w:rsidR="00D16E24" w:rsidRPr="00552613" w:rsidRDefault="00D16E24" w:rsidP="00DB1ED0">
      <w:pPr>
        <w:spacing w:before="120" w:after="120" w:line="260" w:lineRule="atLeast"/>
        <w:jc w:val="both"/>
        <w:rPr>
          <w:rFonts w:ascii="Arial" w:hAnsi="Arial" w:cs="Arial"/>
          <w:b/>
        </w:rPr>
      </w:pPr>
      <w:r w:rsidRPr="00552613">
        <w:rPr>
          <w:rFonts w:ascii="Arial" w:hAnsi="Arial" w:cs="Arial"/>
          <w:b/>
        </w:rPr>
        <w:t>Schedule 1</w:t>
      </w:r>
      <w:r w:rsidRPr="00552613">
        <w:rPr>
          <w:rFonts w:ascii="Arial" w:hAnsi="Arial" w:cs="Arial"/>
          <w:b/>
        </w:rPr>
        <w:tab/>
      </w:r>
      <w:r w:rsidR="00BE41A4">
        <w:rPr>
          <w:rFonts w:ascii="Arial" w:hAnsi="Arial" w:cs="Arial"/>
          <w:b/>
        </w:rPr>
        <w:t>Variations</w:t>
      </w:r>
    </w:p>
    <w:p w:rsidR="00D16E24" w:rsidRPr="00552613" w:rsidRDefault="00D16E24" w:rsidP="00DB1ED0">
      <w:pPr>
        <w:spacing w:before="120" w:after="120" w:line="260" w:lineRule="atLeast"/>
        <w:jc w:val="both"/>
        <w:rPr>
          <w:rFonts w:ascii="Arial" w:hAnsi="Arial" w:cs="Arial"/>
          <w:b/>
        </w:rPr>
      </w:pPr>
      <w:r w:rsidRPr="00552613">
        <w:rPr>
          <w:rFonts w:ascii="Arial" w:hAnsi="Arial" w:cs="Arial"/>
          <w:b/>
        </w:rPr>
        <w:t>[</w:t>
      </w:r>
      <w:fldSimple w:instr=" SEQ Sch1Item \* MERGEFORMAT ">
        <w:r w:rsidR="00800DD6" w:rsidRPr="00B90597">
          <w:rPr>
            <w:rFonts w:ascii="Arial" w:hAnsi="Arial" w:cs="Arial"/>
            <w:b/>
            <w:noProof/>
          </w:rPr>
          <w:t>1</w:t>
        </w:r>
      </w:fldSimple>
      <w:r w:rsidRPr="00552613">
        <w:rPr>
          <w:rFonts w:ascii="Arial" w:hAnsi="Arial" w:cs="Arial"/>
          <w:b/>
        </w:rPr>
        <w:t>]</w:t>
      </w:r>
      <w:r w:rsidRPr="00552613">
        <w:rPr>
          <w:rFonts w:ascii="Arial" w:hAnsi="Arial" w:cs="Arial"/>
          <w:b/>
        </w:rPr>
        <w:tab/>
      </w:r>
      <w:bookmarkStart w:id="1" w:name="OLE_LINK1"/>
      <w:bookmarkStart w:id="2" w:name="OLE_LINK2"/>
      <w:r w:rsidRPr="00552613">
        <w:rPr>
          <w:rFonts w:ascii="Arial" w:hAnsi="Arial" w:cs="Arial"/>
          <w:b/>
        </w:rPr>
        <w:t xml:space="preserve">Schedule 1, </w:t>
      </w:r>
      <w:r w:rsidR="006D467F">
        <w:rPr>
          <w:rFonts w:ascii="Arial" w:hAnsi="Arial" w:cs="Arial"/>
          <w:b/>
        </w:rPr>
        <w:t>items 22A</w:t>
      </w:r>
    </w:p>
    <w:p w:rsidR="00D16E24" w:rsidRPr="00552613" w:rsidRDefault="00D16E24" w:rsidP="00DB1ED0">
      <w:pPr>
        <w:spacing w:before="120" w:after="120" w:line="260" w:lineRule="atLeast"/>
        <w:jc w:val="both"/>
        <w:rPr>
          <w:rFonts w:ascii="Arial" w:hAnsi="Arial" w:cs="Arial"/>
        </w:rPr>
      </w:pPr>
      <w:r w:rsidRPr="00552613">
        <w:rPr>
          <w:rFonts w:ascii="Arial" w:hAnsi="Arial" w:cs="Arial"/>
        </w:rPr>
        <w:t>Item [</w:t>
      </w:r>
      <w:r w:rsidR="00C07FA2">
        <w:rPr>
          <w:rFonts w:ascii="Arial" w:hAnsi="Arial" w:cs="Arial"/>
        </w:rPr>
        <w:t>1</w:t>
      </w:r>
      <w:r w:rsidRPr="00552613">
        <w:rPr>
          <w:rFonts w:ascii="Arial" w:hAnsi="Arial" w:cs="Arial"/>
        </w:rPr>
        <w:t xml:space="preserve">] </w:t>
      </w:r>
      <w:r w:rsidR="005554F1">
        <w:rPr>
          <w:rFonts w:ascii="Arial" w:hAnsi="Arial" w:cs="Arial"/>
        </w:rPr>
        <w:t xml:space="preserve">substitutes </w:t>
      </w:r>
      <w:r w:rsidR="009423CA">
        <w:rPr>
          <w:rFonts w:ascii="Arial" w:hAnsi="Arial" w:cs="Arial"/>
        </w:rPr>
        <w:t>item 22A t</w:t>
      </w:r>
      <w:r w:rsidR="009423CA" w:rsidRPr="009423CA">
        <w:rPr>
          <w:rFonts w:ascii="Arial" w:hAnsi="Arial" w:cs="Arial"/>
        </w:rPr>
        <w:t xml:space="preserve">o </w:t>
      </w:r>
      <w:r w:rsidR="005554F1">
        <w:rPr>
          <w:rFonts w:ascii="Arial" w:hAnsi="Arial" w:cs="Arial"/>
        </w:rPr>
        <w:t xml:space="preserve">include </w:t>
      </w:r>
      <w:r w:rsidR="00BB50B4">
        <w:rPr>
          <w:rFonts w:ascii="Arial" w:hAnsi="Arial" w:cs="Arial"/>
        </w:rPr>
        <w:t>a</w:t>
      </w:r>
      <w:r w:rsidR="00B118A4">
        <w:rPr>
          <w:rFonts w:ascii="Arial" w:hAnsi="Arial" w:cs="Arial"/>
        </w:rPr>
        <w:t xml:space="preserve"> closure date of 31 December 2014 to the existing </w:t>
      </w:r>
      <w:r w:rsidR="003B640F">
        <w:rPr>
          <w:rFonts w:ascii="Arial" w:hAnsi="Arial" w:cs="Arial"/>
        </w:rPr>
        <w:t xml:space="preserve">permitted operating </w:t>
      </w:r>
      <w:r w:rsidR="00B118A4">
        <w:rPr>
          <w:rFonts w:ascii="Arial" w:hAnsi="Arial" w:cs="Arial"/>
        </w:rPr>
        <w:t xml:space="preserve">frequency range </w:t>
      </w:r>
      <w:r w:rsidR="003B640F">
        <w:rPr>
          <w:rFonts w:ascii="Arial" w:hAnsi="Arial" w:cs="Arial"/>
        </w:rPr>
        <w:t xml:space="preserve">of 520-820 MHz </w:t>
      </w:r>
      <w:r w:rsidR="00B118A4">
        <w:rPr>
          <w:rFonts w:ascii="Arial" w:hAnsi="Arial" w:cs="Arial"/>
        </w:rPr>
        <w:t xml:space="preserve">and a </w:t>
      </w:r>
      <w:r w:rsidR="00BB50B4">
        <w:rPr>
          <w:rFonts w:ascii="Arial" w:hAnsi="Arial" w:cs="Arial"/>
        </w:rPr>
        <w:t>n</w:t>
      </w:r>
      <w:r w:rsidR="00B118A4">
        <w:rPr>
          <w:rFonts w:ascii="Arial" w:hAnsi="Arial" w:cs="Arial"/>
        </w:rPr>
        <w:t xml:space="preserve">ew </w:t>
      </w:r>
      <w:r w:rsidR="003B640F">
        <w:rPr>
          <w:rFonts w:ascii="Arial" w:hAnsi="Arial" w:cs="Arial"/>
        </w:rPr>
        <w:t xml:space="preserve">permitted operating </w:t>
      </w:r>
      <w:r w:rsidR="00B118A4">
        <w:rPr>
          <w:rFonts w:ascii="Arial" w:hAnsi="Arial" w:cs="Arial"/>
        </w:rPr>
        <w:t xml:space="preserve">frequency range 520-694 </w:t>
      </w:r>
      <w:r w:rsidR="003B640F">
        <w:rPr>
          <w:rFonts w:ascii="Arial" w:hAnsi="Arial" w:cs="Arial"/>
        </w:rPr>
        <w:t xml:space="preserve">MHz </w:t>
      </w:r>
      <w:r w:rsidR="005F04B8">
        <w:rPr>
          <w:rFonts w:ascii="Arial" w:hAnsi="Arial" w:cs="Arial"/>
        </w:rPr>
        <w:t xml:space="preserve">which may be used from </w:t>
      </w:r>
      <w:r w:rsidR="00B118A4">
        <w:rPr>
          <w:rFonts w:ascii="Arial" w:hAnsi="Arial" w:cs="Arial"/>
        </w:rPr>
        <w:t>1 January 2015</w:t>
      </w:r>
      <w:r w:rsidR="00B56133">
        <w:rPr>
          <w:rFonts w:ascii="Arial" w:hAnsi="Arial" w:cs="Arial"/>
        </w:rPr>
        <w:t>.</w:t>
      </w:r>
    </w:p>
    <w:bookmarkEnd w:id="1"/>
    <w:bookmarkEnd w:id="2"/>
    <w:p w:rsidR="00D16E24" w:rsidRPr="009423CA" w:rsidRDefault="00D16E24" w:rsidP="00DB1ED0">
      <w:pPr>
        <w:spacing w:before="120" w:after="120" w:line="260" w:lineRule="atLeast"/>
        <w:jc w:val="both"/>
        <w:rPr>
          <w:rFonts w:ascii="Arial" w:hAnsi="Arial" w:cs="Arial"/>
        </w:rPr>
      </w:pPr>
      <w:r w:rsidRPr="00552613">
        <w:rPr>
          <w:rFonts w:ascii="Arial" w:hAnsi="Arial" w:cs="Arial"/>
          <w:b/>
        </w:rPr>
        <w:t>[</w:t>
      </w:r>
      <w:r w:rsidR="00C07FA2">
        <w:rPr>
          <w:rFonts w:ascii="Arial" w:hAnsi="Arial" w:cs="Arial"/>
          <w:b/>
        </w:rPr>
        <w:t>2</w:t>
      </w:r>
      <w:r w:rsidRPr="00552613">
        <w:rPr>
          <w:rFonts w:ascii="Arial" w:hAnsi="Arial" w:cs="Arial"/>
          <w:b/>
        </w:rPr>
        <w:t>]</w:t>
      </w:r>
      <w:r w:rsidRPr="00552613">
        <w:rPr>
          <w:rFonts w:ascii="Arial" w:hAnsi="Arial" w:cs="Arial"/>
          <w:b/>
        </w:rPr>
        <w:tab/>
        <w:t>Schedule 1</w:t>
      </w:r>
      <w:r w:rsidR="009423CA">
        <w:rPr>
          <w:rFonts w:ascii="Arial" w:hAnsi="Arial" w:cs="Arial"/>
          <w:b/>
        </w:rPr>
        <w:t xml:space="preserve">, item </w:t>
      </w:r>
      <w:r w:rsidR="00C07FA2">
        <w:rPr>
          <w:rFonts w:ascii="Arial" w:hAnsi="Arial" w:cs="Arial"/>
          <w:b/>
        </w:rPr>
        <w:t>22B</w:t>
      </w:r>
    </w:p>
    <w:p w:rsidR="00790A80" w:rsidRDefault="00D16E24" w:rsidP="00DB1ED0">
      <w:pPr>
        <w:spacing w:before="120" w:after="120" w:line="260" w:lineRule="atLeast"/>
        <w:jc w:val="both"/>
        <w:rPr>
          <w:rFonts w:ascii="Arial" w:hAnsi="Arial" w:cs="Arial"/>
        </w:rPr>
      </w:pPr>
      <w:r w:rsidRPr="00552613">
        <w:rPr>
          <w:rFonts w:ascii="Arial" w:hAnsi="Arial" w:cs="Arial"/>
        </w:rPr>
        <w:t>Item [</w:t>
      </w:r>
      <w:r w:rsidR="00C07FA2">
        <w:rPr>
          <w:rFonts w:ascii="Arial" w:hAnsi="Arial" w:cs="Arial"/>
        </w:rPr>
        <w:t>2</w:t>
      </w:r>
      <w:r w:rsidRPr="00552613">
        <w:rPr>
          <w:rFonts w:ascii="Arial" w:hAnsi="Arial" w:cs="Arial"/>
        </w:rPr>
        <w:t xml:space="preserve">] </w:t>
      </w:r>
      <w:r w:rsidR="00B56133">
        <w:rPr>
          <w:rFonts w:ascii="Arial" w:hAnsi="Arial" w:cs="Arial"/>
        </w:rPr>
        <w:t xml:space="preserve">inserts new item </w:t>
      </w:r>
      <w:r w:rsidR="00C07FA2">
        <w:rPr>
          <w:rFonts w:ascii="Arial" w:hAnsi="Arial" w:cs="Arial"/>
        </w:rPr>
        <w:t>22B</w:t>
      </w:r>
      <w:r w:rsidR="00B56133">
        <w:rPr>
          <w:rFonts w:ascii="Arial" w:hAnsi="Arial" w:cs="Arial"/>
        </w:rPr>
        <w:t xml:space="preserve"> for </w:t>
      </w:r>
      <w:r w:rsidR="00C07FA2">
        <w:rPr>
          <w:rFonts w:ascii="Arial" w:hAnsi="Arial" w:cs="Arial"/>
        </w:rPr>
        <w:t>digital wireless audio transmitters</w:t>
      </w:r>
      <w:r w:rsidR="003B640F">
        <w:rPr>
          <w:rFonts w:ascii="Arial" w:hAnsi="Arial" w:cs="Arial"/>
        </w:rPr>
        <w:t xml:space="preserve"> with a permitted operating frequency range 520-694 MHz</w:t>
      </w:r>
      <w:r w:rsidR="00B56133">
        <w:rPr>
          <w:rFonts w:ascii="Arial" w:hAnsi="Arial" w:cs="Arial"/>
        </w:rPr>
        <w:t>.</w:t>
      </w:r>
      <w:r w:rsidR="00B90597">
        <w:rPr>
          <w:rFonts w:ascii="Arial" w:hAnsi="Arial" w:cs="Arial"/>
        </w:rPr>
        <w:t xml:space="preserve"> </w:t>
      </w:r>
      <w:r w:rsidR="005554F1">
        <w:rPr>
          <w:rFonts w:ascii="Arial" w:hAnsi="Arial" w:cs="Arial"/>
        </w:rPr>
        <w:t>The licence provided is s</w:t>
      </w:r>
      <w:r w:rsidR="00B90597">
        <w:rPr>
          <w:rFonts w:ascii="Arial" w:hAnsi="Arial" w:cs="Arial"/>
        </w:rPr>
        <w:t xml:space="preserve">ubject to limitations </w:t>
      </w:r>
      <w:r w:rsidR="00790A80">
        <w:rPr>
          <w:rFonts w:ascii="Arial" w:hAnsi="Arial" w:cs="Arial"/>
        </w:rPr>
        <w:t>that:</w:t>
      </w:r>
    </w:p>
    <w:p w:rsidR="00790A80" w:rsidRDefault="00AC7CA6" w:rsidP="00A3580D">
      <w:pPr>
        <w:numPr>
          <w:ilvl w:val="0"/>
          <w:numId w:val="15"/>
        </w:numPr>
        <w:spacing w:before="120" w:after="120" w:line="260" w:lineRule="atLeast"/>
        <w:jc w:val="both"/>
        <w:rPr>
          <w:rFonts w:ascii="Arial" w:hAnsi="Arial" w:cs="Arial"/>
        </w:rPr>
      </w:pPr>
      <w:r>
        <w:rPr>
          <w:rFonts w:ascii="Arial" w:hAnsi="Arial" w:cs="Arial"/>
        </w:rPr>
        <w:t>e</w:t>
      </w:r>
      <w:r w:rsidR="00790A80">
        <w:rPr>
          <w:rFonts w:ascii="Arial" w:hAnsi="Arial" w:cs="Arial"/>
        </w:rPr>
        <w:t xml:space="preserve">missions </w:t>
      </w:r>
      <w:r>
        <w:rPr>
          <w:rFonts w:ascii="Arial" w:hAnsi="Arial" w:cs="Arial"/>
        </w:rPr>
        <w:t xml:space="preserve">must </w:t>
      </w:r>
      <w:r w:rsidR="00790A80">
        <w:rPr>
          <w:rFonts w:ascii="Arial" w:hAnsi="Arial" w:cs="Arial"/>
        </w:rPr>
        <w:t>have a maximum bandwidth no greater than 330 kHz;</w:t>
      </w:r>
    </w:p>
    <w:p w:rsidR="00790A80" w:rsidRDefault="00AC7CA6" w:rsidP="00A3580D">
      <w:pPr>
        <w:numPr>
          <w:ilvl w:val="0"/>
          <w:numId w:val="15"/>
        </w:numPr>
        <w:spacing w:before="120" w:after="120" w:line="260" w:lineRule="atLeast"/>
        <w:jc w:val="both"/>
        <w:rPr>
          <w:rFonts w:ascii="Arial" w:hAnsi="Arial" w:cs="Arial"/>
        </w:rPr>
      </w:pPr>
      <w:r>
        <w:rPr>
          <w:rFonts w:ascii="Arial" w:hAnsi="Arial" w:cs="Arial"/>
        </w:rPr>
        <w:t>t</w:t>
      </w:r>
      <w:r w:rsidR="00790A80">
        <w:rPr>
          <w:rFonts w:ascii="Arial" w:hAnsi="Arial" w:cs="Arial"/>
        </w:rPr>
        <w:t xml:space="preserve">ransmissions in a broadcasting services band channel must not originate in the coverage area of </w:t>
      </w:r>
      <w:r w:rsidR="005554F1">
        <w:rPr>
          <w:rFonts w:ascii="Arial" w:hAnsi="Arial" w:cs="Arial"/>
        </w:rPr>
        <w:t xml:space="preserve">a </w:t>
      </w:r>
      <w:r w:rsidR="00790A80">
        <w:rPr>
          <w:rFonts w:ascii="Arial" w:hAnsi="Arial" w:cs="Arial"/>
        </w:rPr>
        <w:t>broadcasting station or datacasting service station operating on that channel;</w:t>
      </w:r>
    </w:p>
    <w:p w:rsidR="00A3580D" w:rsidRDefault="00AC7CA6" w:rsidP="00A3580D">
      <w:pPr>
        <w:numPr>
          <w:ilvl w:val="0"/>
          <w:numId w:val="15"/>
        </w:numPr>
        <w:spacing w:before="120" w:after="120" w:line="260" w:lineRule="atLeast"/>
        <w:jc w:val="both"/>
        <w:rPr>
          <w:rFonts w:ascii="Arial" w:hAnsi="Arial" w:cs="Arial"/>
        </w:rPr>
      </w:pPr>
      <w:r>
        <w:rPr>
          <w:rFonts w:ascii="Arial" w:hAnsi="Arial" w:cs="Arial"/>
        </w:rPr>
        <w:t>t</w:t>
      </w:r>
      <w:r w:rsidR="00790A80">
        <w:rPr>
          <w:rFonts w:ascii="Arial" w:hAnsi="Arial" w:cs="Arial"/>
        </w:rPr>
        <w:t xml:space="preserve">he </w:t>
      </w:r>
      <w:r>
        <w:rPr>
          <w:rFonts w:ascii="Arial" w:hAnsi="Arial" w:cs="Arial"/>
        </w:rPr>
        <w:t xml:space="preserve">field strength produced at the nearest boundary of the coverage area of a broadcasting station or a datacasting service station using the channel must not exceed 30 dBuV/m; and </w:t>
      </w:r>
    </w:p>
    <w:p w:rsidR="00D16E24" w:rsidRPr="00552613" w:rsidRDefault="00AC7CA6" w:rsidP="00A3580D">
      <w:pPr>
        <w:numPr>
          <w:ilvl w:val="0"/>
          <w:numId w:val="15"/>
        </w:numPr>
        <w:spacing w:before="120" w:after="120" w:line="260" w:lineRule="atLeast"/>
        <w:jc w:val="both"/>
        <w:rPr>
          <w:rFonts w:ascii="Arial" w:hAnsi="Arial" w:cs="Arial"/>
        </w:rPr>
      </w:pPr>
      <w:r>
        <w:rPr>
          <w:rFonts w:ascii="Arial" w:hAnsi="Arial" w:cs="Arial"/>
        </w:rPr>
        <w:t>t</w:t>
      </w:r>
      <w:r w:rsidR="00A3580D">
        <w:rPr>
          <w:rFonts w:ascii="Arial" w:hAnsi="Arial" w:cs="Arial"/>
        </w:rPr>
        <w:t>he centre frequency of a wireless audio transmitter must be at least 400 kHz from the edge of a broadcasting station or datacasting service station operating in that area</w:t>
      </w:r>
      <w:r w:rsidR="00B90597">
        <w:rPr>
          <w:rFonts w:ascii="Arial" w:hAnsi="Arial" w:cs="Arial"/>
        </w:rPr>
        <w:t xml:space="preserve">. </w:t>
      </w:r>
    </w:p>
    <w:p w:rsidR="00D16E24" w:rsidRPr="00552613" w:rsidRDefault="00B56133" w:rsidP="00DB1ED0">
      <w:pPr>
        <w:spacing w:before="120" w:after="120" w:line="260" w:lineRule="atLeast"/>
        <w:jc w:val="both"/>
        <w:rPr>
          <w:rFonts w:ascii="Arial" w:hAnsi="Arial" w:cs="Arial"/>
          <w:b/>
        </w:rPr>
      </w:pPr>
      <w:r>
        <w:rPr>
          <w:rFonts w:ascii="Arial" w:hAnsi="Arial" w:cs="Arial"/>
          <w:b/>
        </w:rPr>
        <w:t>[</w:t>
      </w:r>
      <w:r w:rsidR="00C07FA2">
        <w:rPr>
          <w:rFonts w:ascii="Arial" w:hAnsi="Arial" w:cs="Arial"/>
          <w:b/>
        </w:rPr>
        <w:t>3</w:t>
      </w:r>
      <w:r>
        <w:rPr>
          <w:rFonts w:ascii="Arial" w:hAnsi="Arial" w:cs="Arial"/>
          <w:b/>
        </w:rPr>
        <w:t>]</w:t>
      </w:r>
      <w:r>
        <w:rPr>
          <w:rFonts w:ascii="Arial" w:hAnsi="Arial" w:cs="Arial"/>
          <w:b/>
        </w:rPr>
        <w:tab/>
        <w:t xml:space="preserve">Schedule 1, item </w:t>
      </w:r>
      <w:r w:rsidR="00C07FA2">
        <w:rPr>
          <w:rFonts w:ascii="Arial" w:hAnsi="Arial" w:cs="Arial"/>
          <w:b/>
        </w:rPr>
        <w:t>22C</w:t>
      </w:r>
    </w:p>
    <w:p w:rsidR="00D16E24" w:rsidRDefault="00D16E24" w:rsidP="00DB1ED0">
      <w:pPr>
        <w:spacing w:before="120" w:after="120" w:line="260" w:lineRule="atLeast"/>
        <w:jc w:val="both"/>
        <w:rPr>
          <w:rFonts w:ascii="Arial" w:hAnsi="Arial" w:cs="Arial"/>
        </w:rPr>
      </w:pPr>
      <w:r w:rsidRPr="00552613">
        <w:rPr>
          <w:rFonts w:ascii="Arial" w:hAnsi="Arial" w:cs="Arial"/>
        </w:rPr>
        <w:t>Item [</w:t>
      </w:r>
      <w:r w:rsidR="00C07FA2">
        <w:rPr>
          <w:rFonts w:ascii="Arial" w:hAnsi="Arial" w:cs="Arial"/>
        </w:rPr>
        <w:t>3</w:t>
      </w:r>
      <w:r w:rsidRPr="00552613">
        <w:rPr>
          <w:rFonts w:ascii="Arial" w:hAnsi="Arial" w:cs="Arial"/>
        </w:rPr>
        <w:t xml:space="preserve">] </w:t>
      </w:r>
      <w:r w:rsidR="00C07FA2">
        <w:rPr>
          <w:rFonts w:ascii="Arial" w:hAnsi="Arial" w:cs="Arial"/>
        </w:rPr>
        <w:t>inserts new</w:t>
      </w:r>
      <w:r w:rsidR="00B56133">
        <w:rPr>
          <w:rFonts w:ascii="Arial" w:hAnsi="Arial" w:cs="Arial"/>
        </w:rPr>
        <w:t xml:space="preserve"> item </w:t>
      </w:r>
      <w:r w:rsidR="00B118A4">
        <w:rPr>
          <w:rFonts w:ascii="Arial" w:hAnsi="Arial" w:cs="Arial"/>
        </w:rPr>
        <w:t>22C</w:t>
      </w:r>
      <w:r w:rsidR="00B56133">
        <w:rPr>
          <w:rFonts w:ascii="Arial" w:hAnsi="Arial" w:cs="Arial"/>
        </w:rPr>
        <w:t xml:space="preserve"> </w:t>
      </w:r>
      <w:r w:rsidR="00B118A4">
        <w:rPr>
          <w:rFonts w:ascii="Arial" w:hAnsi="Arial" w:cs="Arial"/>
        </w:rPr>
        <w:t>for wireless audio transmitters in the permitted operating frequency range 17</w:t>
      </w:r>
      <w:r w:rsidR="005A37B4">
        <w:rPr>
          <w:rFonts w:ascii="Arial" w:hAnsi="Arial" w:cs="Arial"/>
        </w:rPr>
        <w:t>90</w:t>
      </w:r>
      <w:r w:rsidR="00B118A4">
        <w:rPr>
          <w:rFonts w:ascii="Arial" w:hAnsi="Arial" w:cs="Arial"/>
        </w:rPr>
        <w:t>-180</w:t>
      </w:r>
      <w:r w:rsidR="005A37B4">
        <w:rPr>
          <w:rFonts w:ascii="Arial" w:hAnsi="Arial" w:cs="Arial"/>
        </w:rPr>
        <w:t>0</w:t>
      </w:r>
      <w:r w:rsidR="00B118A4">
        <w:rPr>
          <w:rFonts w:ascii="Arial" w:hAnsi="Arial" w:cs="Arial"/>
        </w:rPr>
        <w:t xml:space="preserve"> MHz</w:t>
      </w:r>
      <w:r w:rsidR="00B56133">
        <w:rPr>
          <w:rFonts w:ascii="Arial" w:hAnsi="Arial" w:cs="Arial"/>
        </w:rPr>
        <w:t>.</w:t>
      </w:r>
      <w:r w:rsidR="00B90597">
        <w:rPr>
          <w:rFonts w:ascii="Arial" w:hAnsi="Arial" w:cs="Arial"/>
        </w:rPr>
        <w:t xml:space="preserve"> </w:t>
      </w:r>
      <w:r w:rsidR="005554F1">
        <w:rPr>
          <w:rFonts w:ascii="Arial" w:hAnsi="Arial" w:cs="Arial"/>
        </w:rPr>
        <w:t>The licence provided is s</w:t>
      </w:r>
      <w:r w:rsidR="00B90597">
        <w:rPr>
          <w:rFonts w:ascii="Arial" w:hAnsi="Arial" w:cs="Arial"/>
        </w:rPr>
        <w:t xml:space="preserve">ubject to the limitation that equipment used </w:t>
      </w:r>
      <w:r w:rsidR="00F147CB">
        <w:rPr>
          <w:rFonts w:ascii="Arial" w:hAnsi="Arial" w:cs="Arial"/>
        </w:rPr>
        <w:t>must conform to one of two international standards, European Telecommunications Standards Institute Standard (</w:t>
      </w:r>
      <w:r w:rsidR="00F147CB" w:rsidRPr="005A37B4">
        <w:rPr>
          <w:rFonts w:ascii="Arial" w:hAnsi="Arial" w:cs="Arial"/>
        </w:rPr>
        <w:t>ETSI</w:t>
      </w:r>
      <w:r w:rsidR="00F147CB">
        <w:rPr>
          <w:rFonts w:ascii="Arial" w:hAnsi="Arial" w:cs="Arial"/>
        </w:rPr>
        <w:t>)</w:t>
      </w:r>
      <w:r w:rsidR="00F147CB" w:rsidRPr="005A37B4">
        <w:rPr>
          <w:rFonts w:ascii="Arial" w:hAnsi="Arial" w:cs="Arial"/>
        </w:rPr>
        <w:t xml:space="preserve"> EN 301 840</w:t>
      </w:r>
      <w:r w:rsidR="00F147CB">
        <w:rPr>
          <w:rFonts w:ascii="Arial" w:hAnsi="Arial" w:cs="Arial"/>
        </w:rPr>
        <w:t xml:space="preserve"> or ETSI EN 300 422.</w:t>
      </w:r>
    </w:p>
    <w:p w:rsidR="00B56133" w:rsidRPr="00552613" w:rsidRDefault="00B56133" w:rsidP="00DB1ED0">
      <w:pPr>
        <w:spacing w:before="120" w:after="120" w:line="260" w:lineRule="atLeast"/>
        <w:jc w:val="both"/>
        <w:rPr>
          <w:rFonts w:ascii="Arial" w:hAnsi="Arial" w:cs="Arial"/>
        </w:rPr>
      </w:pPr>
    </w:p>
    <w:p w:rsidR="00E808DB" w:rsidRDefault="00EC223A">
      <w:pPr>
        <w:spacing w:before="120" w:after="120" w:line="260" w:lineRule="atLeast"/>
        <w:jc w:val="right"/>
        <w:rPr>
          <w:rFonts w:ascii="Arial" w:hAnsi="Arial" w:cs="Arial"/>
          <w:b/>
        </w:rPr>
      </w:pPr>
      <w:r>
        <w:br w:type="page"/>
      </w:r>
      <w:bookmarkStart w:id="3" w:name="_Toc290210739"/>
      <w:r w:rsidRPr="00EC223A">
        <w:rPr>
          <w:rFonts w:ascii="Arial" w:hAnsi="Arial" w:cs="Arial"/>
          <w:b/>
        </w:rPr>
        <w:lastRenderedPageBreak/>
        <w:t>A</w:t>
      </w:r>
      <w:r w:rsidR="00532121">
        <w:rPr>
          <w:rFonts w:ascii="Arial" w:hAnsi="Arial" w:cs="Arial"/>
          <w:b/>
        </w:rPr>
        <w:t>TTACHMENT</w:t>
      </w:r>
      <w:r w:rsidRPr="00EC223A">
        <w:rPr>
          <w:rFonts w:ascii="Arial" w:hAnsi="Arial" w:cs="Arial"/>
          <w:b/>
        </w:rPr>
        <w:t xml:space="preserve"> B</w:t>
      </w:r>
    </w:p>
    <w:p w:rsidR="00EC223A" w:rsidRDefault="001529CB" w:rsidP="00EC223A">
      <w:r>
        <w:rPr>
          <w:noProof/>
        </w:rPr>
        <w:pict>
          <v:rect id="_x0000_s1026" style="position:absolute;margin-left:13.2pt;margin-top:4.55pt;width:481.8pt;height:666pt;z-index:251657728" fillcolor="#ddd8c2" strokeweight="6pt">
            <v:stroke linestyle="thickBetweenThin"/>
            <v:textbox style="mso-next-textbox:#_x0000_s1026" inset="5mm,,5mm">
              <w:txbxContent>
                <w:p w:rsidR="00A3580D" w:rsidRPr="00F45FC8" w:rsidRDefault="00A3580D" w:rsidP="00EC223A">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rsidR="00A3580D" w:rsidRPr="00F45FC8" w:rsidRDefault="00A3580D" w:rsidP="00EC223A">
                  <w:pPr>
                    <w:spacing w:before="120" w:after="120"/>
                    <w:jc w:val="center"/>
                    <w:rPr>
                      <w:rFonts w:ascii="Cambria" w:hAnsi="Cambria"/>
                    </w:rPr>
                  </w:pPr>
                  <w:r w:rsidRPr="00F45FC8">
                    <w:rPr>
                      <w:rFonts w:ascii="Cambria" w:hAnsi="Cambria"/>
                      <w:i/>
                    </w:rPr>
                    <w:t>Prepared in accordance with Part 3 of the Human Rights (Parliamentary Scrutiny) Act 2011</w:t>
                  </w:r>
                </w:p>
                <w:p w:rsidR="00A3580D" w:rsidRPr="00F45FC8" w:rsidRDefault="00A3580D" w:rsidP="00EC223A">
                  <w:pPr>
                    <w:spacing w:before="120" w:after="120"/>
                    <w:jc w:val="center"/>
                    <w:rPr>
                      <w:rFonts w:ascii="Cambria" w:hAnsi="Cambria"/>
                      <w:sz w:val="24"/>
                      <w:szCs w:val="24"/>
                    </w:rPr>
                  </w:pPr>
                </w:p>
                <w:p w:rsidR="00A3580D" w:rsidRDefault="00A3580D" w:rsidP="00EC223A">
                  <w:pPr>
                    <w:spacing w:before="120" w:after="120"/>
                    <w:jc w:val="center"/>
                    <w:rPr>
                      <w:rFonts w:ascii="Cambria" w:hAnsi="Cambria"/>
                      <w:b/>
                      <w:sz w:val="24"/>
                      <w:szCs w:val="24"/>
                    </w:rPr>
                  </w:pPr>
                  <w:r>
                    <w:rPr>
                      <w:rFonts w:ascii="Cambria" w:hAnsi="Cambria"/>
                      <w:b/>
                      <w:sz w:val="24"/>
                      <w:szCs w:val="24"/>
                    </w:rPr>
                    <w:t>Radiocommunication (Low Interference Potential Devices) Class Licence Variation Notice</w:t>
                  </w:r>
                  <w:r w:rsidRPr="00A3197D">
                    <w:rPr>
                      <w:rFonts w:ascii="Cambria" w:hAnsi="Cambria"/>
                      <w:b/>
                      <w:sz w:val="24"/>
                      <w:szCs w:val="24"/>
                    </w:rPr>
                    <w:t xml:space="preserve"> 20</w:t>
                  </w:r>
                  <w:r>
                    <w:rPr>
                      <w:rFonts w:ascii="Cambria" w:hAnsi="Cambria"/>
                      <w:b/>
                      <w:sz w:val="24"/>
                      <w:szCs w:val="24"/>
                    </w:rPr>
                    <w:t xml:space="preserve">13 </w:t>
                  </w:r>
                  <w:r w:rsidR="005554F1">
                    <w:rPr>
                      <w:rFonts w:ascii="Cambria" w:hAnsi="Cambria"/>
                      <w:b/>
                      <w:sz w:val="24"/>
                      <w:szCs w:val="24"/>
                    </w:rPr>
                    <w:t>(</w:t>
                  </w:r>
                  <w:r>
                    <w:rPr>
                      <w:rFonts w:ascii="Cambria" w:hAnsi="Cambria"/>
                      <w:b/>
                      <w:sz w:val="24"/>
                      <w:szCs w:val="24"/>
                    </w:rPr>
                    <w:t>No.1</w:t>
                  </w:r>
                  <w:r w:rsidR="005554F1">
                    <w:rPr>
                      <w:rFonts w:ascii="Cambria" w:hAnsi="Cambria"/>
                      <w:b/>
                      <w:sz w:val="24"/>
                      <w:szCs w:val="24"/>
                    </w:rPr>
                    <w:t>)</w:t>
                  </w:r>
                  <w:r w:rsidRPr="00A3197D">
                    <w:rPr>
                      <w:rFonts w:ascii="Cambria" w:hAnsi="Cambria"/>
                      <w:b/>
                      <w:sz w:val="24"/>
                      <w:szCs w:val="24"/>
                    </w:rPr>
                    <w:t xml:space="preserve"> </w:t>
                  </w:r>
                </w:p>
                <w:p w:rsidR="00A3580D" w:rsidRPr="00A3197D" w:rsidRDefault="00A3580D" w:rsidP="00EC223A">
                  <w:pPr>
                    <w:spacing w:before="120" w:after="120"/>
                    <w:jc w:val="center"/>
                    <w:rPr>
                      <w:rFonts w:ascii="Cambria" w:hAnsi="Cambria"/>
                      <w:b/>
                      <w:sz w:val="24"/>
                      <w:szCs w:val="24"/>
                    </w:rPr>
                  </w:pPr>
                </w:p>
                <w:p w:rsidR="00A3580D" w:rsidRDefault="00A3580D" w:rsidP="00EC223A">
                  <w:pPr>
                    <w:spacing w:before="120" w:after="120"/>
                    <w:rPr>
                      <w:rFonts w:ascii="Cambria" w:hAnsi="Cambria"/>
                      <w:sz w:val="24"/>
                      <w:szCs w:val="24"/>
                    </w:rPr>
                  </w:pPr>
                  <w:r w:rsidRPr="00F45FC8">
                    <w:rPr>
                      <w:rFonts w:ascii="Cambria" w:hAnsi="Cambria"/>
                      <w:sz w:val="24"/>
                      <w:szCs w:val="24"/>
                    </w:rPr>
                    <w:t xml:space="preserve">This </w:t>
                  </w:r>
                  <w:r>
                    <w:rPr>
                      <w:rFonts w:ascii="Cambria" w:hAnsi="Cambria"/>
                      <w:sz w:val="24"/>
                      <w:szCs w:val="24"/>
                    </w:rPr>
                    <w:t>L</w:t>
                  </w:r>
                  <w:r w:rsidRPr="00F45FC8">
                    <w:rPr>
                      <w:rFonts w:ascii="Cambria" w:hAnsi="Cambria"/>
                      <w:sz w:val="24"/>
                      <w:szCs w:val="24"/>
                    </w:rPr>
                    <w:t xml:space="preserve">egislative </w:t>
                  </w:r>
                  <w:r>
                    <w:rPr>
                      <w:rFonts w:ascii="Cambria" w:hAnsi="Cambria"/>
                      <w:sz w:val="24"/>
                      <w:szCs w:val="24"/>
                    </w:rPr>
                    <w:t>I</w:t>
                  </w:r>
                  <w:r w:rsidRPr="00F45FC8">
                    <w:rPr>
                      <w:rFonts w:ascii="Cambria" w:hAnsi="Cambria"/>
                      <w:sz w:val="24"/>
                      <w:szCs w:val="24"/>
                    </w:rPr>
                    <w:t xml:space="preserve">nstrument is compatible with the human rights </w:t>
                  </w:r>
                  <w:r>
                    <w:rPr>
                      <w:rFonts w:ascii="Cambria" w:hAnsi="Cambria"/>
                      <w:sz w:val="24"/>
                      <w:szCs w:val="24"/>
                    </w:rPr>
                    <w:t xml:space="preserve">and freedoms </w:t>
                  </w:r>
                  <w:r w:rsidRPr="00F45FC8">
                    <w:rPr>
                      <w:rFonts w:ascii="Cambria" w:hAnsi="Cambria"/>
                      <w:sz w:val="24"/>
                      <w:szCs w:val="24"/>
                    </w:rPr>
                    <w:t xml:space="preserve">recognised or declared in the international instruments </w:t>
                  </w:r>
                  <w:r>
                    <w:rPr>
                      <w:rFonts w:ascii="Cambria" w:hAnsi="Cambria"/>
                      <w:sz w:val="24"/>
                      <w:szCs w:val="24"/>
                    </w:rPr>
                    <w:t>listed</w:t>
                  </w:r>
                  <w:r w:rsidRPr="00F45FC8">
                    <w:rPr>
                      <w:rFonts w:ascii="Cambria" w:hAnsi="Cambria"/>
                      <w:sz w:val="24"/>
                      <w:szCs w:val="24"/>
                    </w:rPr>
                    <w:t xml:space="preserve"> in </w:t>
                  </w:r>
                  <w:r>
                    <w:rPr>
                      <w:rFonts w:ascii="Cambria" w:hAnsi="Cambria"/>
                      <w:sz w:val="24"/>
                      <w:szCs w:val="24"/>
                    </w:rPr>
                    <w:t xml:space="preserve">section 3 of </w:t>
                  </w:r>
                  <w:r w:rsidRPr="00F45FC8">
                    <w:rPr>
                      <w:rFonts w:ascii="Cambria" w:hAnsi="Cambria"/>
                      <w:sz w:val="24"/>
                      <w:szCs w:val="24"/>
                    </w:rPr>
                    <w:t xml:space="preserve">the </w:t>
                  </w:r>
                  <w:r w:rsidRPr="00ED6D18">
                    <w:rPr>
                      <w:rFonts w:ascii="Cambria" w:hAnsi="Cambria"/>
                      <w:i/>
                      <w:sz w:val="24"/>
                      <w:szCs w:val="24"/>
                    </w:rPr>
                    <w:t>Human Rights (Parliamentary Scrutiny) Act 2011</w:t>
                  </w:r>
                  <w:r w:rsidRPr="00F45FC8">
                    <w:rPr>
                      <w:rFonts w:ascii="Cambria" w:hAnsi="Cambria"/>
                      <w:sz w:val="24"/>
                      <w:szCs w:val="24"/>
                    </w:rPr>
                    <w:t>.</w:t>
                  </w:r>
                </w:p>
                <w:p w:rsidR="00A3580D" w:rsidRDefault="00A3580D" w:rsidP="00EC223A">
                  <w:pPr>
                    <w:spacing w:before="120" w:after="120"/>
                    <w:rPr>
                      <w:rFonts w:ascii="Cambria" w:hAnsi="Cambria"/>
                      <w:sz w:val="24"/>
                      <w:szCs w:val="24"/>
                    </w:rPr>
                  </w:pPr>
                </w:p>
                <w:p w:rsidR="00A3580D" w:rsidRPr="00F45FC8" w:rsidRDefault="00A3580D" w:rsidP="00EC223A">
                  <w:pPr>
                    <w:spacing w:before="120" w:after="120"/>
                    <w:jc w:val="both"/>
                    <w:rPr>
                      <w:rFonts w:ascii="Cambria" w:hAnsi="Cambria"/>
                      <w:b/>
                      <w:sz w:val="24"/>
                      <w:szCs w:val="24"/>
                    </w:rPr>
                  </w:pPr>
                  <w:r w:rsidRPr="00F45FC8">
                    <w:rPr>
                      <w:rFonts w:ascii="Cambria" w:hAnsi="Cambria"/>
                      <w:b/>
                      <w:sz w:val="24"/>
                      <w:szCs w:val="24"/>
                    </w:rPr>
                    <w:t>Overview of the Legislative Instrument</w:t>
                  </w:r>
                </w:p>
                <w:p w:rsidR="00A3580D" w:rsidRDefault="00A3580D" w:rsidP="00EC223A">
                  <w:pPr>
                    <w:spacing w:before="120" w:after="120"/>
                    <w:rPr>
                      <w:rFonts w:ascii="Cambria" w:hAnsi="Cambria"/>
                      <w:sz w:val="24"/>
                      <w:szCs w:val="24"/>
                    </w:rPr>
                  </w:pPr>
                  <w:r>
                    <w:rPr>
                      <w:rFonts w:ascii="Cambria" w:hAnsi="Cambria"/>
                      <w:sz w:val="24"/>
                      <w:szCs w:val="24"/>
                    </w:rPr>
                    <w:t xml:space="preserve">The </w:t>
                  </w:r>
                  <w:r w:rsidRPr="00AB3DC0">
                    <w:rPr>
                      <w:rFonts w:ascii="Cambria" w:hAnsi="Cambria"/>
                      <w:i/>
                      <w:sz w:val="24"/>
                      <w:szCs w:val="24"/>
                    </w:rPr>
                    <w:t>Radiocommunications (Low Interference Potential Devices) Class Licence Variation Notice 2013 (No.1)</w:t>
                  </w:r>
                  <w:r w:rsidR="005554F1">
                    <w:rPr>
                      <w:rFonts w:ascii="Cambria" w:hAnsi="Cambria"/>
                      <w:sz w:val="24"/>
                      <w:szCs w:val="24"/>
                    </w:rPr>
                    <w:t xml:space="preserve"> (</w:t>
                  </w:r>
                  <w:r>
                    <w:rPr>
                      <w:rFonts w:ascii="Cambria" w:hAnsi="Cambria"/>
                      <w:sz w:val="24"/>
                      <w:szCs w:val="24"/>
                    </w:rPr>
                    <w:t>the LIPD Class Licence Variation</w:t>
                  </w:r>
                  <w:r w:rsidR="005554F1">
                    <w:rPr>
                      <w:rFonts w:ascii="Cambria" w:hAnsi="Cambria"/>
                      <w:sz w:val="24"/>
                      <w:szCs w:val="24"/>
                    </w:rPr>
                    <w:t>)</w:t>
                  </w:r>
                  <w:r>
                    <w:rPr>
                      <w:rFonts w:ascii="Cambria" w:hAnsi="Cambria"/>
                      <w:sz w:val="24"/>
                      <w:szCs w:val="24"/>
                    </w:rPr>
                    <w:t xml:space="preserve"> is a legislative instrument for the purposes of the </w:t>
                  </w:r>
                  <w:r w:rsidRPr="00AB3DC0">
                    <w:rPr>
                      <w:rFonts w:ascii="Cambria" w:hAnsi="Cambria"/>
                      <w:i/>
                      <w:sz w:val="24"/>
                      <w:szCs w:val="24"/>
                    </w:rPr>
                    <w:t>Legislative Instruments Act 2003</w:t>
                  </w:r>
                  <w:r>
                    <w:rPr>
                      <w:rFonts w:ascii="Cambria" w:hAnsi="Cambria"/>
                      <w:sz w:val="24"/>
                      <w:szCs w:val="24"/>
                    </w:rPr>
                    <w:t xml:space="preserve">. </w:t>
                  </w:r>
                </w:p>
                <w:p w:rsidR="00A3580D" w:rsidRDefault="00A3580D" w:rsidP="00EC223A">
                  <w:pPr>
                    <w:spacing w:before="120" w:after="120"/>
                    <w:rPr>
                      <w:rFonts w:ascii="Cambria" w:hAnsi="Cambria"/>
                      <w:sz w:val="24"/>
                      <w:szCs w:val="24"/>
                    </w:rPr>
                  </w:pPr>
                  <w:r>
                    <w:rPr>
                      <w:rFonts w:ascii="Cambria" w:hAnsi="Cambria"/>
                      <w:sz w:val="24"/>
                      <w:szCs w:val="24"/>
                    </w:rPr>
                    <w:t xml:space="preserve">The LIPD Class Licence Variation is made under section 134 of the </w:t>
                  </w:r>
                  <w:r w:rsidRPr="00AB3DC0">
                    <w:rPr>
                      <w:rFonts w:ascii="Cambria" w:hAnsi="Cambria"/>
                      <w:i/>
                      <w:sz w:val="24"/>
                      <w:szCs w:val="24"/>
                    </w:rPr>
                    <w:t>Radiocommunication Act 1992</w:t>
                  </w:r>
                  <w:r>
                    <w:rPr>
                      <w:rFonts w:ascii="Cambria" w:hAnsi="Cambria"/>
                      <w:sz w:val="24"/>
                      <w:szCs w:val="24"/>
                    </w:rPr>
                    <w:t xml:space="preserve">.  The LIPD Class Licence Variation amends the existing </w:t>
                  </w:r>
                  <w:r w:rsidRPr="00AB3DC0">
                    <w:rPr>
                      <w:rFonts w:ascii="Cambria" w:hAnsi="Cambria"/>
                      <w:i/>
                      <w:sz w:val="24"/>
                      <w:szCs w:val="24"/>
                    </w:rPr>
                    <w:t>Radiocommunications (Low Interference Potential Devices) Class Licence 2000</w:t>
                  </w:r>
                  <w:r>
                    <w:rPr>
                      <w:rFonts w:ascii="Cambria" w:hAnsi="Cambria"/>
                      <w:sz w:val="24"/>
                      <w:szCs w:val="24"/>
                    </w:rPr>
                    <w:t xml:space="preserve"> made under section 132 of the Radiocommunications Act.</w:t>
                  </w:r>
                </w:p>
                <w:p w:rsidR="00A3580D" w:rsidRDefault="00A3580D" w:rsidP="00EC223A">
                  <w:pPr>
                    <w:spacing w:before="120" w:after="120"/>
                    <w:rPr>
                      <w:rFonts w:ascii="Cambria" w:hAnsi="Cambria"/>
                      <w:i/>
                      <w:sz w:val="24"/>
                      <w:szCs w:val="24"/>
                    </w:rPr>
                  </w:pPr>
                  <w:r w:rsidRPr="000908FD">
                    <w:rPr>
                      <w:rFonts w:ascii="Cambria" w:hAnsi="Cambria"/>
                      <w:sz w:val="24"/>
                      <w:szCs w:val="24"/>
                    </w:rPr>
                    <w:t xml:space="preserve">The </w:t>
                  </w:r>
                  <w:r w:rsidR="005554F1">
                    <w:rPr>
                      <w:rFonts w:ascii="Cambria" w:hAnsi="Cambria"/>
                      <w:sz w:val="24"/>
                      <w:szCs w:val="24"/>
                    </w:rPr>
                    <w:t>LIPD Class Licence V</w:t>
                  </w:r>
                  <w:r>
                    <w:rPr>
                      <w:rFonts w:ascii="Cambria" w:hAnsi="Cambria"/>
                      <w:sz w:val="24"/>
                      <w:szCs w:val="24"/>
                    </w:rPr>
                    <w:t>ariation changes the permitted operating frequency range over which wireless audio transmitters may be operated in the UHF band from 520-820 MHz to 520-694 MHz after 31</w:t>
                  </w:r>
                  <w:r w:rsidRPr="003748B8">
                    <w:rPr>
                      <w:rFonts w:ascii="Cambria" w:hAnsi="Cambria"/>
                      <w:sz w:val="24"/>
                      <w:szCs w:val="24"/>
                      <w:vertAlign w:val="superscript"/>
                    </w:rPr>
                    <w:t>st</w:t>
                  </w:r>
                  <w:r>
                    <w:rPr>
                      <w:rFonts w:ascii="Cambria" w:hAnsi="Cambria"/>
                      <w:sz w:val="24"/>
                      <w:szCs w:val="24"/>
                    </w:rPr>
                    <w:t xml:space="preserve"> of December 2014.  The variation also introduces arrangements to allow the use of digital modulation by wireless audio transmitters and introduces a new permitted frequency range of </w:t>
                  </w:r>
                  <w:r w:rsidR="005554F1">
                    <w:rPr>
                      <w:rFonts w:ascii="Cambria" w:hAnsi="Cambria"/>
                      <w:sz w:val="24"/>
                      <w:szCs w:val="24"/>
                    </w:rPr>
                    <w:t xml:space="preserve">1790 – 1800 MHz for </w:t>
                  </w:r>
                  <w:r>
                    <w:rPr>
                      <w:rFonts w:ascii="Cambria" w:hAnsi="Cambria"/>
                      <w:sz w:val="24"/>
                      <w:szCs w:val="24"/>
                    </w:rPr>
                    <w:t xml:space="preserve">operation </w:t>
                  </w:r>
                  <w:r w:rsidR="005554F1">
                    <w:rPr>
                      <w:rFonts w:ascii="Cambria" w:hAnsi="Cambria"/>
                      <w:sz w:val="24"/>
                      <w:szCs w:val="24"/>
                    </w:rPr>
                    <w:t xml:space="preserve">of </w:t>
                  </w:r>
                  <w:r>
                    <w:rPr>
                      <w:rFonts w:ascii="Cambria" w:hAnsi="Cambria"/>
                      <w:sz w:val="24"/>
                      <w:szCs w:val="24"/>
                    </w:rPr>
                    <w:t>wireless audio transmitters</w:t>
                  </w:r>
                  <w:r w:rsidRPr="000908FD">
                    <w:rPr>
                      <w:rFonts w:ascii="Cambria" w:hAnsi="Cambria"/>
                      <w:i/>
                      <w:sz w:val="24"/>
                      <w:szCs w:val="24"/>
                    </w:rPr>
                    <w:t xml:space="preserve">. </w:t>
                  </w:r>
                </w:p>
                <w:p w:rsidR="00A3580D" w:rsidRPr="000908FD" w:rsidRDefault="00A3580D" w:rsidP="00EC223A">
                  <w:pPr>
                    <w:spacing w:before="120" w:after="120"/>
                    <w:rPr>
                      <w:rFonts w:ascii="Cambria" w:hAnsi="Cambria"/>
                      <w:sz w:val="24"/>
                      <w:szCs w:val="24"/>
                    </w:rPr>
                  </w:pPr>
                </w:p>
                <w:p w:rsidR="00A3580D" w:rsidRPr="00ED6D18" w:rsidRDefault="00A3580D" w:rsidP="00EC223A">
                  <w:pPr>
                    <w:spacing w:before="120" w:after="120"/>
                    <w:rPr>
                      <w:rFonts w:ascii="Cambria" w:hAnsi="Cambria"/>
                      <w:b/>
                      <w:sz w:val="24"/>
                      <w:szCs w:val="24"/>
                    </w:rPr>
                  </w:pPr>
                  <w:r w:rsidRPr="00ED6D18">
                    <w:rPr>
                      <w:rFonts w:ascii="Cambria" w:hAnsi="Cambria"/>
                      <w:b/>
                      <w:sz w:val="24"/>
                      <w:szCs w:val="24"/>
                    </w:rPr>
                    <w:t xml:space="preserve">Human </w:t>
                  </w:r>
                  <w:r>
                    <w:rPr>
                      <w:rFonts w:ascii="Cambria" w:hAnsi="Cambria"/>
                      <w:b/>
                      <w:sz w:val="24"/>
                      <w:szCs w:val="24"/>
                    </w:rPr>
                    <w:t>r</w:t>
                  </w:r>
                  <w:r w:rsidRPr="00ED6D18">
                    <w:rPr>
                      <w:rFonts w:ascii="Cambria" w:hAnsi="Cambria"/>
                      <w:b/>
                      <w:sz w:val="24"/>
                      <w:szCs w:val="24"/>
                    </w:rPr>
                    <w:t xml:space="preserve">ights </w:t>
                  </w:r>
                  <w:r>
                    <w:rPr>
                      <w:rFonts w:ascii="Cambria" w:hAnsi="Cambria"/>
                      <w:b/>
                      <w:sz w:val="24"/>
                      <w:szCs w:val="24"/>
                    </w:rPr>
                    <w:t>implications</w:t>
                  </w:r>
                </w:p>
                <w:p w:rsidR="00A3580D" w:rsidRDefault="00A3580D" w:rsidP="00EC223A">
                  <w:pPr>
                    <w:spacing w:before="120" w:after="120"/>
                    <w:rPr>
                      <w:rFonts w:ascii="Cambria" w:hAnsi="Cambria"/>
                      <w:sz w:val="24"/>
                      <w:szCs w:val="24"/>
                    </w:rPr>
                  </w:pPr>
                  <w:r>
                    <w:rPr>
                      <w:rFonts w:ascii="Cambria" w:hAnsi="Cambria"/>
                      <w:sz w:val="24"/>
                      <w:szCs w:val="24"/>
                    </w:rPr>
                    <w:t>This Legislative Instrument does not engage any of the applicable rights or freedoms.</w:t>
                  </w:r>
                </w:p>
                <w:p w:rsidR="00A3580D" w:rsidRPr="00F45FC8" w:rsidRDefault="00A3580D" w:rsidP="00EC223A">
                  <w:pPr>
                    <w:spacing w:before="120" w:after="120"/>
                    <w:rPr>
                      <w:rFonts w:ascii="Cambria" w:hAnsi="Cambria"/>
                      <w:sz w:val="24"/>
                      <w:szCs w:val="24"/>
                    </w:rPr>
                  </w:pPr>
                </w:p>
                <w:p w:rsidR="00A3580D" w:rsidRPr="00EE636E" w:rsidRDefault="00A3580D" w:rsidP="00EC223A">
                  <w:pPr>
                    <w:spacing w:before="120" w:after="120"/>
                    <w:rPr>
                      <w:rFonts w:ascii="Cambria" w:hAnsi="Cambria"/>
                      <w:b/>
                      <w:sz w:val="24"/>
                      <w:szCs w:val="24"/>
                    </w:rPr>
                  </w:pPr>
                  <w:r w:rsidRPr="00EE636E">
                    <w:rPr>
                      <w:rFonts w:ascii="Cambria" w:hAnsi="Cambria"/>
                      <w:b/>
                      <w:sz w:val="24"/>
                      <w:szCs w:val="24"/>
                    </w:rPr>
                    <w:t>Conclusion</w:t>
                  </w:r>
                </w:p>
                <w:p w:rsidR="00A3580D" w:rsidRDefault="00A3580D" w:rsidP="00EC223A">
                  <w:pPr>
                    <w:spacing w:before="120" w:after="120"/>
                    <w:rPr>
                      <w:rFonts w:ascii="Cambria" w:hAnsi="Cambria"/>
                      <w:sz w:val="24"/>
                      <w:szCs w:val="24"/>
                    </w:rPr>
                  </w:pPr>
                  <w:r>
                    <w:rPr>
                      <w:rFonts w:ascii="Cambria" w:hAnsi="Cambria"/>
                      <w:sz w:val="24"/>
                      <w:szCs w:val="24"/>
                    </w:rPr>
                    <w:t>This Legislative Instrument is compatible with human rights as it does not raise any human rights issues.</w:t>
                  </w:r>
                </w:p>
                <w:p w:rsidR="00A3580D" w:rsidRPr="00F45FC8" w:rsidRDefault="00A3580D" w:rsidP="00EC223A">
                  <w:pPr>
                    <w:spacing w:before="120" w:after="120"/>
                    <w:rPr>
                      <w:rFonts w:ascii="Cambria" w:hAnsi="Cambria"/>
                      <w:sz w:val="24"/>
                      <w:szCs w:val="24"/>
                    </w:rPr>
                  </w:pPr>
                </w:p>
                <w:p w:rsidR="00A3580D" w:rsidRPr="002B394B" w:rsidRDefault="00A3580D" w:rsidP="00EC223A">
                  <w:pPr>
                    <w:spacing w:before="120" w:after="120"/>
                    <w:rPr>
                      <w:rFonts w:ascii="Cambria" w:hAnsi="Cambria"/>
                    </w:rPr>
                  </w:pPr>
                  <w:r>
                    <w:rPr>
                      <w:rFonts w:ascii="Cambria" w:hAnsi="Cambria"/>
                      <w:b/>
                    </w:rPr>
                    <w:t>The Australian Communication and Media Authority</w:t>
                  </w:r>
                </w:p>
              </w:txbxContent>
            </v:textbox>
          </v:rect>
        </w:pict>
      </w: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p w:rsidR="00EC223A" w:rsidRDefault="00EC223A" w:rsidP="00EC223A">
      <w:pPr>
        <w:ind w:left="720" w:hanging="720"/>
      </w:pPr>
    </w:p>
    <w:bookmarkEnd w:id="3"/>
    <w:p w:rsidR="00EC223A" w:rsidRDefault="00EC223A" w:rsidP="00EC223A">
      <w:pPr>
        <w:ind w:left="720" w:hanging="720"/>
      </w:pPr>
    </w:p>
    <w:p w:rsidR="0084122D" w:rsidRDefault="0084122D" w:rsidP="00DB1ED0">
      <w:pPr>
        <w:spacing w:after="120" w:line="260" w:lineRule="atLeast"/>
      </w:pPr>
    </w:p>
    <w:sectPr w:rsidR="0084122D" w:rsidSect="00DB1ED0">
      <w:footerReference w:type="default" r:id="rId8"/>
      <w:pgSz w:w="11907" w:h="16840" w:code="9"/>
      <w:pgMar w:top="1134" w:right="1107" w:bottom="1134"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CD" w:rsidRDefault="007D11CD">
      <w:r>
        <w:separator/>
      </w:r>
    </w:p>
  </w:endnote>
  <w:endnote w:type="continuationSeparator" w:id="0">
    <w:p w:rsidR="007D11CD" w:rsidRDefault="007D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D" w:rsidRDefault="001529CB">
    <w:pPr>
      <w:pStyle w:val="Footer"/>
      <w:framePr w:wrap="auto" w:vAnchor="text" w:hAnchor="margin" w:xAlign="center" w:y="1"/>
      <w:rPr>
        <w:rStyle w:val="PageNumber"/>
      </w:rPr>
    </w:pPr>
    <w:r>
      <w:rPr>
        <w:rStyle w:val="PageNumber"/>
      </w:rPr>
      <w:fldChar w:fldCharType="begin"/>
    </w:r>
    <w:r w:rsidR="00A3580D">
      <w:rPr>
        <w:rStyle w:val="PageNumber"/>
      </w:rPr>
      <w:instrText xml:space="preserve">PAGE  </w:instrText>
    </w:r>
    <w:r>
      <w:rPr>
        <w:rStyle w:val="PageNumber"/>
      </w:rPr>
      <w:fldChar w:fldCharType="separate"/>
    </w:r>
    <w:r w:rsidR="00F616C7">
      <w:rPr>
        <w:rStyle w:val="PageNumber"/>
        <w:noProof/>
      </w:rPr>
      <w:t>1</w:t>
    </w:r>
    <w:r>
      <w:rPr>
        <w:rStyle w:val="PageNumber"/>
      </w:rPr>
      <w:fldChar w:fldCharType="end"/>
    </w:r>
  </w:p>
  <w:p w:rsidR="00A3580D" w:rsidRDefault="00A3580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CD" w:rsidRDefault="007D11CD">
      <w:r>
        <w:separator/>
      </w:r>
    </w:p>
  </w:footnote>
  <w:footnote w:type="continuationSeparator" w:id="0">
    <w:p w:rsidR="007D11CD" w:rsidRDefault="007D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FC3B1B"/>
    <w:multiLevelType w:val="hybridMultilevel"/>
    <w:tmpl w:val="64F692A2"/>
    <w:lvl w:ilvl="0" w:tplc="0C09000F">
      <w:start w:val="1"/>
      <w:numFmt w:val="decimal"/>
      <w:lvlText w:val="%1."/>
      <w:lvlJc w:val="left"/>
      <w:pPr>
        <w:ind w:left="-1060" w:hanging="360"/>
      </w:pPr>
      <w:rPr>
        <w:rFonts w:hint="default"/>
      </w:rPr>
    </w:lvl>
    <w:lvl w:ilvl="1" w:tplc="0C090019">
      <w:start w:val="1"/>
      <w:numFmt w:val="lowerLetter"/>
      <w:lvlText w:val="%2."/>
      <w:lvlJc w:val="left"/>
      <w:pPr>
        <w:ind w:left="-340" w:hanging="360"/>
      </w:pPr>
    </w:lvl>
    <w:lvl w:ilvl="2" w:tplc="0C09001B" w:tentative="1">
      <w:start w:val="1"/>
      <w:numFmt w:val="lowerRoman"/>
      <w:lvlText w:val="%3."/>
      <w:lvlJc w:val="right"/>
      <w:pPr>
        <w:ind w:left="380" w:hanging="180"/>
      </w:pPr>
    </w:lvl>
    <w:lvl w:ilvl="3" w:tplc="0C09000F" w:tentative="1">
      <w:start w:val="1"/>
      <w:numFmt w:val="decimal"/>
      <w:lvlText w:val="%4."/>
      <w:lvlJc w:val="left"/>
      <w:pPr>
        <w:ind w:left="1100" w:hanging="360"/>
      </w:pPr>
    </w:lvl>
    <w:lvl w:ilvl="4" w:tplc="0C090019" w:tentative="1">
      <w:start w:val="1"/>
      <w:numFmt w:val="lowerLetter"/>
      <w:lvlText w:val="%5."/>
      <w:lvlJc w:val="left"/>
      <w:pPr>
        <w:ind w:left="1820" w:hanging="360"/>
      </w:pPr>
    </w:lvl>
    <w:lvl w:ilvl="5" w:tplc="0C09001B" w:tentative="1">
      <w:start w:val="1"/>
      <w:numFmt w:val="lowerRoman"/>
      <w:lvlText w:val="%6."/>
      <w:lvlJc w:val="right"/>
      <w:pPr>
        <w:ind w:left="2540" w:hanging="180"/>
      </w:pPr>
    </w:lvl>
    <w:lvl w:ilvl="6" w:tplc="0C09000F" w:tentative="1">
      <w:start w:val="1"/>
      <w:numFmt w:val="decimal"/>
      <w:lvlText w:val="%7."/>
      <w:lvlJc w:val="left"/>
      <w:pPr>
        <w:ind w:left="3260" w:hanging="360"/>
      </w:pPr>
    </w:lvl>
    <w:lvl w:ilvl="7" w:tplc="0C090019" w:tentative="1">
      <w:start w:val="1"/>
      <w:numFmt w:val="lowerLetter"/>
      <w:lvlText w:val="%8."/>
      <w:lvlJc w:val="left"/>
      <w:pPr>
        <w:ind w:left="3980" w:hanging="360"/>
      </w:pPr>
    </w:lvl>
    <w:lvl w:ilvl="8" w:tplc="0C09001B" w:tentative="1">
      <w:start w:val="1"/>
      <w:numFmt w:val="lowerRoman"/>
      <w:lvlText w:val="%9."/>
      <w:lvlJc w:val="right"/>
      <w:pPr>
        <w:ind w:left="4700" w:hanging="180"/>
      </w:pPr>
    </w:lvl>
  </w:abstractNum>
  <w:abstractNum w:abstractNumId="6">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85D1927"/>
    <w:multiLevelType w:val="hybridMultilevel"/>
    <w:tmpl w:val="2A186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8FC3BBF"/>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nsid w:val="547F445F"/>
    <w:multiLevelType w:val="hybridMultilevel"/>
    <w:tmpl w:val="554498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B592FCA"/>
    <w:multiLevelType w:val="hybridMultilevel"/>
    <w:tmpl w:val="3148FD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4AA2BDC"/>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6A452F39"/>
    <w:multiLevelType w:val="hybridMultilevel"/>
    <w:tmpl w:val="BF500F30"/>
    <w:lvl w:ilvl="0" w:tplc="17D4842A">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lvlOverride w:ilvl="0">
      <w:startOverride w:val="1"/>
    </w:lvlOverride>
  </w:num>
  <w:num w:numId="7">
    <w:abstractNumId w:val="0"/>
  </w:num>
  <w:num w:numId="8">
    <w:abstractNumId w:val="0"/>
  </w:num>
  <w:num w:numId="9">
    <w:abstractNumId w:val="0"/>
  </w:num>
  <w:num w:numId="10">
    <w:abstractNumId w:val="10"/>
  </w:num>
  <w:num w:numId="11">
    <w:abstractNumId w:val="9"/>
  </w:num>
  <w:num w:numId="12">
    <w:abstractNumId w:val="11"/>
  </w:num>
  <w:num w:numId="13">
    <w:abstractNumId w:val="12"/>
  </w:num>
  <w:num w:numId="14">
    <w:abstractNumId w:val="5"/>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E24"/>
    <w:rsid w:val="00000B7A"/>
    <w:rsid w:val="00011F90"/>
    <w:rsid w:val="00012344"/>
    <w:rsid w:val="00013498"/>
    <w:rsid w:val="00021BD3"/>
    <w:rsid w:val="00026C4F"/>
    <w:rsid w:val="0003746E"/>
    <w:rsid w:val="0004185E"/>
    <w:rsid w:val="00061BC6"/>
    <w:rsid w:val="00066546"/>
    <w:rsid w:val="00071913"/>
    <w:rsid w:val="00082A94"/>
    <w:rsid w:val="00085421"/>
    <w:rsid w:val="0008777E"/>
    <w:rsid w:val="0009168E"/>
    <w:rsid w:val="00094807"/>
    <w:rsid w:val="00095926"/>
    <w:rsid w:val="000B3091"/>
    <w:rsid w:val="000B596F"/>
    <w:rsid w:val="000C0097"/>
    <w:rsid w:val="000F0A0B"/>
    <w:rsid w:val="00101AE8"/>
    <w:rsid w:val="001100C7"/>
    <w:rsid w:val="001106C7"/>
    <w:rsid w:val="00112DD3"/>
    <w:rsid w:val="00121D14"/>
    <w:rsid w:val="001253F0"/>
    <w:rsid w:val="001274AF"/>
    <w:rsid w:val="00127A2D"/>
    <w:rsid w:val="00130987"/>
    <w:rsid w:val="00133765"/>
    <w:rsid w:val="001360A6"/>
    <w:rsid w:val="0013723D"/>
    <w:rsid w:val="00141AA4"/>
    <w:rsid w:val="001529CB"/>
    <w:rsid w:val="001559D8"/>
    <w:rsid w:val="00162242"/>
    <w:rsid w:val="00162844"/>
    <w:rsid w:val="0017638E"/>
    <w:rsid w:val="00180DDF"/>
    <w:rsid w:val="0018114B"/>
    <w:rsid w:val="00184F15"/>
    <w:rsid w:val="00194BE7"/>
    <w:rsid w:val="001A0123"/>
    <w:rsid w:val="001B2CBF"/>
    <w:rsid w:val="001B33B3"/>
    <w:rsid w:val="001B34F3"/>
    <w:rsid w:val="001B3B04"/>
    <w:rsid w:val="001B7FF2"/>
    <w:rsid w:val="001C51E5"/>
    <w:rsid w:val="001D1FCB"/>
    <w:rsid w:val="001D2AE4"/>
    <w:rsid w:val="001D4A68"/>
    <w:rsid w:val="001D51E4"/>
    <w:rsid w:val="001E05D1"/>
    <w:rsid w:val="001E5952"/>
    <w:rsid w:val="00203F19"/>
    <w:rsid w:val="00222214"/>
    <w:rsid w:val="00222818"/>
    <w:rsid w:val="00223AEF"/>
    <w:rsid w:val="00227C92"/>
    <w:rsid w:val="002303F5"/>
    <w:rsid w:val="00241053"/>
    <w:rsid w:val="00243CA4"/>
    <w:rsid w:val="0025054D"/>
    <w:rsid w:val="00263421"/>
    <w:rsid w:val="00271F61"/>
    <w:rsid w:val="0027507F"/>
    <w:rsid w:val="002805C6"/>
    <w:rsid w:val="00281855"/>
    <w:rsid w:val="002860D4"/>
    <w:rsid w:val="0029210B"/>
    <w:rsid w:val="002A1726"/>
    <w:rsid w:val="002A6BF1"/>
    <w:rsid w:val="002A7C0A"/>
    <w:rsid w:val="002B397C"/>
    <w:rsid w:val="002B516A"/>
    <w:rsid w:val="002B6660"/>
    <w:rsid w:val="002C5294"/>
    <w:rsid w:val="002E4E04"/>
    <w:rsid w:val="002F62E7"/>
    <w:rsid w:val="003016BC"/>
    <w:rsid w:val="00303594"/>
    <w:rsid w:val="0031074E"/>
    <w:rsid w:val="0033012D"/>
    <w:rsid w:val="0033072E"/>
    <w:rsid w:val="0035198E"/>
    <w:rsid w:val="00351D6F"/>
    <w:rsid w:val="0035542A"/>
    <w:rsid w:val="00356C37"/>
    <w:rsid w:val="0036139D"/>
    <w:rsid w:val="003745FB"/>
    <w:rsid w:val="00374818"/>
    <w:rsid w:val="00387BF1"/>
    <w:rsid w:val="003973A1"/>
    <w:rsid w:val="003A11EB"/>
    <w:rsid w:val="003A31D4"/>
    <w:rsid w:val="003A7274"/>
    <w:rsid w:val="003B131A"/>
    <w:rsid w:val="003B47B8"/>
    <w:rsid w:val="003B58FA"/>
    <w:rsid w:val="003B640F"/>
    <w:rsid w:val="003C50D8"/>
    <w:rsid w:val="003C5C06"/>
    <w:rsid w:val="003D0A93"/>
    <w:rsid w:val="003E11BD"/>
    <w:rsid w:val="003F6F65"/>
    <w:rsid w:val="00402507"/>
    <w:rsid w:val="004038E4"/>
    <w:rsid w:val="00410BFA"/>
    <w:rsid w:val="00411A47"/>
    <w:rsid w:val="0042068C"/>
    <w:rsid w:val="00427371"/>
    <w:rsid w:val="00431CF1"/>
    <w:rsid w:val="00436A45"/>
    <w:rsid w:val="004412A7"/>
    <w:rsid w:val="0045062B"/>
    <w:rsid w:val="00453352"/>
    <w:rsid w:val="00454180"/>
    <w:rsid w:val="00462FA5"/>
    <w:rsid w:val="00465C1C"/>
    <w:rsid w:val="00466294"/>
    <w:rsid w:val="00483A91"/>
    <w:rsid w:val="00485987"/>
    <w:rsid w:val="00495881"/>
    <w:rsid w:val="004A214E"/>
    <w:rsid w:val="004A4820"/>
    <w:rsid w:val="004D173F"/>
    <w:rsid w:val="004F2483"/>
    <w:rsid w:val="005038F3"/>
    <w:rsid w:val="00506D1D"/>
    <w:rsid w:val="005138C2"/>
    <w:rsid w:val="005248BA"/>
    <w:rsid w:val="00532121"/>
    <w:rsid w:val="00533DD7"/>
    <w:rsid w:val="00546614"/>
    <w:rsid w:val="00552613"/>
    <w:rsid w:val="00553F68"/>
    <w:rsid w:val="005542FB"/>
    <w:rsid w:val="005554F1"/>
    <w:rsid w:val="0056091E"/>
    <w:rsid w:val="0056428D"/>
    <w:rsid w:val="00574F02"/>
    <w:rsid w:val="005941CC"/>
    <w:rsid w:val="00595DC5"/>
    <w:rsid w:val="00596C41"/>
    <w:rsid w:val="00597D50"/>
    <w:rsid w:val="005A37B4"/>
    <w:rsid w:val="005A7C97"/>
    <w:rsid w:val="005C240F"/>
    <w:rsid w:val="005E0358"/>
    <w:rsid w:val="005E2282"/>
    <w:rsid w:val="005F04B8"/>
    <w:rsid w:val="00602A2D"/>
    <w:rsid w:val="00605306"/>
    <w:rsid w:val="0060704F"/>
    <w:rsid w:val="00611933"/>
    <w:rsid w:val="006128C6"/>
    <w:rsid w:val="00612A55"/>
    <w:rsid w:val="006250DF"/>
    <w:rsid w:val="00627F2E"/>
    <w:rsid w:val="0064101F"/>
    <w:rsid w:val="00642CF7"/>
    <w:rsid w:val="00660C1C"/>
    <w:rsid w:val="00660D86"/>
    <w:rsid w:val="00665726"/>
    <w:rsid w:val="006668ED"/>
    <w:rsid w:val="006735D8"/>
    <w:rsid w:val="0068073B"/>
    <w:rsid w:val="00680C0B"/>
    <w:rsid w:val="00693771"/>
    <w:rsid w:val="00694E9E"/>
    <w:rsid w:val="006A2019"/>
    <w:rsid w:val="006B0096"/>
    <w:rsid w:val="006B04FF"/>
    <w:rsid w:val="006B09F0"/>
    <w:rsid w:val="006B4C2F"/>
    <w:rsid w:val="006C2078"/>
    <w:rsid w:val="006D1CD0"/>
    <w:rsid w:val="006D262A"/>
    <w:rsid w:val="006D467F"/>
    <w:rsid w:val="006E2A82"/>
    <w:rsid w:val="006E515A"/>
    <w:rsid w:val="006F028E"/>
    <w:rsid w:val="006F316E"/>
    <w:rsid w:val="006F3D55"/>
    <w:rsid w:val="00711790"/>
    <w:rsid w:val="00712D9B"/>
    <w:rsid w:val="00713D29"/>
    <w:rsid w:val="007161E7"/>
    <w:rsid w:val="007164E4"/>
    <w:rsid w:val="00743CBF"/>
    <w:rsid w:val="00744EBF"/>
    <w:rsid w:val="007529CE"/>
    <w:rsid w:val="0075714C"/>
    <w:rsid w:val="00762344"/>
    <w:rsid w:val="00764FA4"/>
    <w:rsid w:val="00767814"/>
    <w:rsid w:val="007706DD"/>
    <w:rsid w:val="00785879"/>
    <w:rsid w:val="00790A80"/>
    <w:rsid w:val="007A3B4F"/>
    <w:rsid w:val="007B06E7"/>
    <w:rsid w:val="007B41D3"/>
    <w:rsid w:val="007B689E"/>
    <w:rsid w:val="007D11CD"/>
    <w:rsid w:val="007E6568"/>
    <w:rsid w:val="00800DD6"/>
    <w:rsid w:val="00810241"/>
    <w:rsid w:val="00820032"/>
    <w:rsid w:val="00820D3C"/>
    <w:rsid w:val="008231B8"/>
    <w:rsid w:val="00830827"/>
    <w:rsid w:val="00832969"/>
    <w:rsid w:val="00833359"/>
    <w:rsid w:val="0084122D"/>
    <w:rsid w:val="00853BCA"/>
    <w:rsid w:val="00861776"/>
    <w:rsid w:val="00877381"/>
    <w:rsid w:val="008873A5"/>
    <w:rsid w:val="00895648"/>
    <w:rsid w:val="008977A7"/>
    <w:rsid w:val="008A155B"/>
    <w:rsid w:val="008A5DBD"/>
    <w:rsid w:val="008B5C75"/>
    <w:rsid w:val="008C30F0"/>
    <w:rsid w:val="008C3A18"/>
    <w:rsid w:val="008C6826"/>
    <w:rsid w:val="008D7BDA"/>
    <w:rsid w:val="008E567E"/>
    <w:rsid w:val="008E57D6"/>
    <w:rsid w:val="008F73ED"/>
    <w:rsid w:val="00916B50"/>
    <w:rsid w:val="009263A5"/>
    <w:rsid w:val="0092747D"/>
    <w:rsid w:val="009343B1"/>
    <w:rsid w:val="00935E9E"/>
    <w:rsid w:val="009423CA"/>
    <w:rsid w:val="00946DD8"/>
    <w:rsid w:val="00951B50"/>
    <w:rsid w:val="00957118"/>
    <w:rsid w:val="009619EF"/>
    <w:rsid w:val="00965E8F"/>
    <w:rsid w:val="00970DC2"/>
    <w:rsid w:val="00974F3E"/>
    <w:rsid w:val="00980F3C"/>
    <w:rsid w:val="0098243B"/>
    <w:rsid w:val="009877CD"/>
    <w:rsid w:val="0099744F"/>
    <w:rsid w:val="009A0BFF"/>
    <w:rsid w:val="009A285E"/>
    <w:rsid w:val="009A3F24"/>
    <w:rsid w:val="009A6EBF"/>
    <w:rsid w:val="009C0B5E"/>
    <w:rsid w:val="009C4620"/>
    <w:rsid w:val="009C46FD"/>
    <w:rsid w:val="009C7DC9"/>
    <w:rsid w:val="009D0DE2"/>
    <w:rsid w:val="009D157F"/>
    <w:rsid w:val="009D2164"/>
    <w:rsid w:val="009E747C"/>
    <w:rsid w:val="009F4F06"/>
    <w:rsid w:val="00A013DA"/>
    <w:rsid w:val="00A07DB4"/>
    <w:rsid w:val="00A335B4"/>
    <w:rsid w:val="00A35148"/>
    <w:rsid w:val="00A3580D"/>
    <w:rsid w:val="00A40DA5"/>
    <w:rsid w:val="00A40F90"/>
    <w:rsid w:val="00A41075"/>
    <w:rsid w:val="00A46B97"/>
    <w:rsid w:val="00A87DB2"/>
    <w:rsid w:val="00AA5151"/>
    <w:rsid w:val="00AA64A3"/>
    <w:rsid w:val="00AC359D"/>
    <w:rsid w:val="00AC7CA6"/>
    <w:rsid w:val="00AD2205"/>
    <w:rsid w:val="00AF4B06"/>
    <w:rsid w:val="00AF5D62"/>
    <w:rsid w:val="00B00392"/>
    <w:rsid w:val="00B0468B"/>
    <w:rsid w:val="00B04C88"/>
    <w:rsid w:val="00B107C5"/>
    <w:rsid w:val="00B118A4"/>
    <w:rsid w:val="00B21B3D"/>
    <w:rsid w:val="00B277D0"/>
    <w:rsid w:val="00B33E94"/>
    <w:rsid w:val="00B42368"/>
    <w:rsid w:val="00B44322"/>
    <w:rsid w:val="00B51DB9"/>
    <w:rsid w:val="00B55645"/>
    <w:rsid w:val="00B56133"/>
    <w:rsid w:val="00B5615A"/>
    <w:rsid w:val="00B622A0"/>
    <w:rsid w:val="00B63132"/>
    <w:rsid w:val="00B714C1"/>
    <w:rsid w:val="00B73289"/>
    <w:rsid w:val="00B86EFB"/>
    <w:rsid w:val="00B90597"/>
    <w:rsid w:val="00BA0768"/>
    <w:rsid w:val="00BA49CE"/>
    <w:rsid w:val="00BB50B4"/>
    <w:rsid w:val="00BB5A3D"/>
    <w:rsid w:val="00BB62A3"/>
    <w:rsid w:val="00BB72BF"/>
    <w:rsid w:val="00BC2161"/>
    <w:rsid w:val="00BC47B6"/>
    <w:rsid w:val="00BC5AF3"/>
    <w:rsid w:val="00BD6D3D"/>
    <w:rsid w:val="00BE2E1F"/>
    <w:rsid w:val="00BE41A4"/>
    <w:rsid w:val="00BE6C2E"/>
    <w:rsid w:val="00C07E8B"/>
    <w:rsid w:val="00C07FA2"/>
    <w:rsid w:val="00C17187"/>
    <w:rsid w:val="00C33BF4"/>
    <w:rsid w:val="00C366CF"/>
    <w:rsid w:val="00C45CF1"/>
    <w:rsid w:val="00C722F5"/>
    <w:rsid w:val="00C751CD"/>
    <w:rsid w:val="00C971E5"/>
    <w:rsid w:val="00CA5279"/>
    <w:rsid w:val="00CB0084"/>
    <w:rsid w:val="00CB6577"/>
    <w:rsid w:val="00CD4E04"/>
    <w:rsid w:val="00D134E3"/>
    <w:rsid w:val="00D16E24"/>
    <w:rsid w:val="00D21D87"/>
    <w:rsid w:val="00D2325C"/>
    <w:rsid w:val="00D246AB"/>
    <w:rsid w:val="00D26314"/>
    <w:rsid w:val="00D33DDE"/>
    <w:rsid w:val="00D42573"/>
    <w:rsid w:val="00D4453D"/>
    <w:rsid w:val="00D50847"/>
    <w:rsid w:val="00D657AA"/>
    <w:rsid w:val="00D71810"/>
    <w:rsid w:val="00D810DD"/>
    <w:rsid w:val="00D84134"/>
    <w:rsid w:val="00D866B9"/>
    <w:rsid w:val="00D9318D"/>
    <w:rsid w:val="00D94149"/>
    <w:rsid w:val="00DA1434"/>
    <w:rsid w:val="00DA3E5F"/>
    <w:rsid w:val="00DA6223"/>
    <w:rsid w:val="00DB1ED0"/>
    <w:rsid w:val="00DB3D21"/>
    <w:rsid w:val="00DD4CDB"/>
    <w:rsid w:val="00DD7E7A"/>
    <w:rsid w:val="00DF15F2"/>
    <w:rsid w:val="00E02009"/>
    <w:rsid w:val="00E05218"/>
    <w:rsid w:val="00E15777"/>
    <w:rsid w:val="00E2254A"/>
    <w:rsid w:val="00E53DD8"/>
    <w:rsid w:val="00E55CD5"/>
    <w:rsid w:val="00E5656B"/>
    <w:rsid w:val="00E76D1D"/>
    <w:rsid w:val="00E8086C"/>
    <w:rsid w:val="00E808DB"/>
    <w:rsid w:val="00E80F00"/>
    <w:rsid w:val="00E85984"/>
    <w:rsid w:val="00E906F5"/>
    <w:rsid w:val="00E94931"/>
    <w:rsid w:val="00E95370"/>
    <w:rsid w:val="00E9587C"/>
    <w:rsid w:val="00E95BBD"/>
    <w:rsid w:val="00E97FE5"/>
    <w:rsid w:val="00EA6855"/>
    <w:rsid w:val="00EB2B35"/>
    <w:rsid w:val="00EC223A"/>
    <w:rsid w:val="00EC38D3"/>
    <w:rsid w:val="00EC38F0"/>
    <w:rsid w:val="00EC3CEF"/>
    <w:rsid w:val="00EC6417"/>
    <w:rsid w:val="00EF1741"/>
    <w:rsid w:val="00F0119C"/>
    <w:rsid w:val="00F147CB"/>
    <w:rsid w:val="00F17975"/>
    <w:rsid w:val="00F33A8F"/>
    <w:rsid w:val="00F34F7E"/>
    <w:rsid w:val="00F40EFA"/>
    <w:rsid w:val="00F41311"/>
    <w:rsid w:val="00F463F1"/>
    <w:rsid w:val="00F46530"/>
    <w:rsid w:val="00F51837"/>
    <w:rsid w:val="00F616C7"/>
    <w:rsid w:val="00F620EA"/>
    <w:rsid w:val="00F66189"/>
    <w:rsid w:val="00F7140C"/>
    <w:rsid w:val="00F85D35"/>
    <w:rsid w:val="00F86429"/>
    <w:rsid w:val="00F93599"/>
    <w:rsid w:val="00FA11DC"/>
    <w:rsid w:val="00FA2EA5"/>
    <w:rsid w:val="00FB1F75"/>
    <w:rsid w:val="00FC0EEB"/>
    <w:rsid w:val="00FC1A4D"/>
    <w:rsid w:val="00FC2219"/>
    <w:rsid w:val="00FC7B8C"/>
    <w:rsid w:val="00FD5CD3"/>
    <w:rsid w:val="00FF1B28"/>
    <w:rsid w:val="00FF4DB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E24"/>
    <w:pPr>
      <w:overflowPunct w:val="0"/>
      <w:autoSpaceDE w:val="0"/>
      <w:autoSpaceDN w:val="0"/>
      <w:adjustRightInd w:val="0"/>
      <w:textAlignment w:val="baseline"/>
    </w:pPr>
  </w:style>
  <w:style w:type="paragraph" w:styleId="Heading1">
    <w:name w:val="heading 1"/>
    <w:basedOn w:val="ACMAHeading1"/>
    <w:next w:val="ACMABodyText"/>
    <w:qFormat/>
    <w:rsid w:val="0084122D"/>
    <w:pPr>
      <w:outlineLvl w:val="0"/>
    </w:pPr>
    <w:rPr>
      <w:rFonts w:cs="Arial"/>
      <w:bCs/>
    </w:rPr>
  </w:style>
  <w:style w:type="paragraph" w:styleId="Heading5">
    <w:name w:val="heading 5"/>
    <w:basedOn w:val="Normal"/>
    <w:next w:val="Normal"/>
    <w:qFormat/>
    <w:rsid w:val="00D16E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qForma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uiPriority w:val="99"/>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character" w:styleId="Emphasis">
    <w:name w:val="Emphasis"/>
    <w:basedOn w:val="DefaultParagraphFont"/>
    <w:qFormat/>
    <w:rsid w:val="00D16E24"/>
    <w:rPr>
      <w:i/>
    </w:rPr>
  </w:style>
  <w:style w:type="paragraph" w:styleId="BodyText">
    <w:name w:val="Body Text"/>
    <w:basedOn w:val="Normal"/>
    <w:rsid w:val="00D16E24"/>
    <w:pPr>
      <w:spacing w:after="120"/>
    </w:pPr>
    <w:rPr>
      <w:sz w:val="24"/>
    </w:rPr>
  </w:style>
  <w:style w:type="paragraph" w:customStyle="1" w:styleId="indenta">
    <w:name w:val="indent(a)"/>
    <w:aliases w:val="a"/>
    <w:basedOn w:val="Normal"/>
    <w:rsid w:val="00D16E24"/>
    <w:pPr>
      <w:tabs>
        <w:tab w:val="right" w:pos="1531"/>
      </w:tabs>
      <w:overflowPunct/>
      <w:autoSpaceDE/>
      <w:autoSpaceDN/>
      <w:adjustRightInd/>
      <w:spacing w:before="40" w:line="260" w:lineRule="atLeast"/>
      <w:ind w:left="1644" w:hanging="1644"/>
      <w:textAlignment w:val="auto"/>
    </w:pPr>
    <w:rPr>
      <w:rFonts w:ascii="Times" w:hAnsi="Times"/>
      <w:sz w:val="22"/>
      <w:lang w:eastAsia="en-US"/>
    </w:rPr>
  </w:style>
  <w:style w:type="paragraph" w:customStyle="1" w:styleId="RGPara">
    <w:name w:val="RGPara"/>
    <w:aliases w:val="Readers Guide Para"/>
    <w:basedOn w:val="Normal"/>
    <w:rsid w:val="00D16E24"/>
    <w:pPr>
      <w:overflowPunct/>
      <w:autoSpaceDE/>
      <w:autoSpaceDN/>
      <w:adjustRightInd/>
      <w:spacing w:before="120" w:line="260" w:lineRule="exact"/>
      <w:jc w:val="both"/>
      <w:textAlignment w:val="auto"/>
    </w:pPr>
    <w:rPr>
      <w:rFonts w:ascii="Times" w:hAnsi="Times"/>
      <w:sz w:val="24"/>
      <w:lang w:eastAsia="en-US"/>
    </w:rPr>
  </w:style>
  <w:style w:type="paragraph" w:styleId="BalloonText">
    <w:name w:val="Balloon Text"/>
    <w:basedOn w:val="Normal"/>
    <w:semiHidden/>
    <w:rsid w:val="0003746E"/>
    <w:rPr>
      <w:rFonts w:ascii="Tahoma" w:hAnsi="Tahoma" w:cs="Tahoma"/>
      <w:sz w:val="16"/>
      <w:szCs w:val="16"/>
    </w:rPr>
  </w:style>
  <w:style w:type="character" w:styleId="CommentReference">
    <w:name w:val="annotation reference"/>
    <w:basedOn w:val="DefaultParagraphFont"/>
    <w:uiPriority w:val="99"/>
    <w:semiHidden/>
    <w:rsid w:val="00AF5D62"/>
    <w:rPr>
      <w:sz w:val="16"/>
      <w:szCs w:val="16"/>
    </w:rPr>
  </w:style>
  <w:style w:type="paragraph" w:styleId="CommentText">
    <w:name w:val="annotation text"/>
    <w:basedOn w:val="Normal"/>
    <w:link w:val="CommentTextChar"/>
    <w:uiPriority w:val="99"/>
    <w:semiHidden/>
    <w:rsid w:val="00AF5D62"/>
  </w:style>
  <w:style w:type="paragraph" w:styleId="CommentSubject">
    <w:name w:val="annotation subject"/>
    <w:basedOn w:val="CommentText"/>
    <w:next w:val="CommentText"/>
    <w:semiHidden/>
    <w:rsid w:val="00AF5D62"/>
    <w:rPr>
      <w:b/>
      <w:bCs/>
    </w:rPr>
  </w:style>
  <w:style w:type="paragraph" w:styleId="ListParagraph">
    <w:name w:val="List Paragraph"/>
    <w:basedOn w:val="Normal"/>
    <w:uiPriority w:val="34"/>
    <w:qFormat/>
    <w:rsid w:val="00FB1F75"/>
    <w:pPr>
      <w:overflowPunct/>
      <w:autoSpaceDE/>
      <w:autoSpaceDN/>
      <w:adjustRightInd/>
      <w:ind w:left="720"/>
      <w:contextualSpacing/>
      <w:textAlignment w:val="auto"/>
    </w:pPr>
    <w:rPr>
      <w:rFonts w:ascii="Arial" w:hAnsi="Arial"/>
      <w:lang w:eastAsia="en-US" w:bidi="he-IL"/>
    </w:rPr>
  </w:style>
  <w:style w:type="character" w:customStyle="1" w:styleId="ACMABodyTextChar">
    <w:name w:val="ACMA Body Text Char"/>
    <w:basedOn w:val="DefaultParagraphFont"/>
    <w:link w:val="ACMABodyText"/>
    <w:rsid w:val="00DA1434"/>
    <w:rPr>
      <w:snapToGrid w:val="0"/>
      <w:sz w:val="24"/>
      <w:lang w:val="en-AU" w:eastAsia="en-US" w:bidi="ar-SA"/>
    </w:rPr>
  </w:style>
  <w:style w:type="character" w:customStyle="1" w:styleId="CommentTextChar">
    <w:name w:val="Comment Text Char"/>
    <w:basedOn w:val="DefaultParagraphFont"/>
    <w:link w:val="CommentText"/>
    <w:uiPriority w:val="99"/>
    <w:semiHidden/>
    <w:rsid w:val="00EC22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2B51-3147-41BE-9148-BA79E5A4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7505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Media Authority</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dveitch</dc:creator>
  <cp:lastModifiedBy>Helen Turnbull</cp:lastModifiedBy>
  <cp:revision>2</cp:revision>
  <cp:lastPrinted>2009-05-13T22:53:00Z</cp:lastPrinted>
  <dcterms:created xsi:type="dcterms:W3CDTF">2013-04-23T02:58:00Z</dcterms:created>
  <dcterms:modified xsi:type="dcterms:W3CDTF">2013-04-23T02:58:00Z</dcterms:modified>
</cp:coreProperties>
</file>