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2D" w:rsidRPr="00374DAE" w:rsidRDefault="0077722D" w:rsidP="0077722D">
      <w:pPr>
        <w:jc w:val="center"/>
      </w:pPr>
      <w:r w:rsidRPr="00374DAE">
        <w:rPr>
          <w:b/>
          <w:bCs/>
        </w:rPr>
        <w:t>Commonwealth of Australia</w:t>
      </w:r>
    </w:p>
    <w:p w:rsidR="0077722D" w:rsidRPr="00374DAE" w:rsidRDefault="0077722D" w:rsidP="0077722D">
      <w:pPr>
        <w:jc w:val="center"/>
      </w:pPr>
      <w:r w:rsidRPr="00374DAE">
        <w:t> </w:t>
      </w:r>
    </w:p>
    <w:p w:rsidR="0077722D" w:rsidRPr="00374DAE" w:rsidRDefault="0077722D" w:rsidP="0077722D">
      <w:pPr>
        <w:jc w:val="center"/>
      </w:pPr>
      <w:r w:rsidRPr="00374DAE">
        <w:t> </w:t>
      </w:r>
    </w:p>
    <w:p w:rsidR="0077722D" w:rsidRDefault="0077722D" w:rsidP="0077722D">
      <w:pPr>
        <w:jc w:val="center"/>
        <w:rPr>
          <w:i/>
          <w:iCs/>
        </w:rPr>
      </w:pPr>
      <w:r w:rsidRPr="00374DAE">
        <w:rPr>
          <w:i/>
          <w:iCs/>
        </w:rPr>
        <w:t>Australian Communications and Media Authority Act 2005</w:t>
      </w:r>
    </w:p>
    <w:p w:rsidR="00726B70" w:rsidRPr="00374DAE" w:rsidRDefault="00726B70" w:rsidP="0077722D">
      <w:pPr>
        <w:jc w:val="center"/>
        <w:rPr>
          <w:i/>
          <w:iCs/>
        </w:rPr>
      </w:pPr>
      <w:r>
        <w:rPr>
          <w:i/>
          <w:iCs/>
        </w:rPr>
        <w:t>Broadcasting Services Act 1992</w:t>
      </w:r>
    </w:p>
    <w:p w:rsidR="0077722D" w:rsidRPr="00374DAE" w:rsidRDefault="0077722D" w:rsidP="0077722D">
      <w:pPr>
        <w:jc w:val="center"/>
      </w:pPr>
      <w:r w:rsidRPr="00374DAE">
        <w:t> </w:t>
      </w:r>
    </w:p>
    <w:p w:rsidR="0077722D" w:rsidRPr="00374DAE" w:rsidRDefault="0077722D" w:rsidP="0077722D">
      <w:pPr>
        <w:jc w:val="center"/>
      </w:pPr>
      <w:r w:rsidRPr="00374DAE">
        <w:t> </w:t>
      </w:r>
    </w:p>
    <w:p w:rsidR="0077722D" w:rsidRPr="00374DAE" w:rsidRDefault="00371CBF" w:rsidP="0077722D">
      <w:pPr>
        <w:jc w:val="center"/>
      </w:pPr>
      <w:r w:rsidRPr="00374DAE">
        <w:rPr>
          <w:b/>
          <w:bCs/>
          <w:sz w:val="28"/>
          <w:szCs w:val="28"/>
        </w:rPr>
        <w:t>Australian Communications and Media Authority (Television Licence Area Planning and Monitoring) Direction 201</w:t>
      </w:r>
      <w:r w:rsidR="00097098">
        <w:rPr>
          <w:b/>
          <w:bCs/>
          <w:sz w:val="28"/>
          <w:szCs w:val="28"/>
        </w:rPr>
        <w:t>3</w:t>
      </w:r>
    </w:p>
    <w:p w:rsidR="0077722D" w:rsidRPr="00374DAE" w:rsidRDefault="0077722D" w:rsidP="0077722D">
      <w:pPr>
        <w:jc w:val="center"/>
      </w:pPr>
      <w:r w:rsidRPr="00374DAE">
        <w:t> </w:t>
      </w:r>
    </w:p>
    <w:p w:rsidR="0077722D" w:rsidRPr="00374DAE" w:rsidRDefault="0077722D" w:rsidP="0077722D">
      <w:pPr>
        <w:jc w:val="center"/>
      </w:pPr>
      <w:r w:rsidRPr="00374DAE">
        <w:t> </w:t>
      </w:r>
    </w:p>
    <w:p w:rsidR="0077722D" w:rsidRPr="00374DAE" w:rsidRDefault="0077722D" w:rsidP="0077722D">
      <w:pPr>
        <w:spacing w:line="300" w:lineRule="atLeast"/>
      </w:pPr>
      <w:r w:rsidRPr="00374DAE">
        <w:t>I, STEPHEN MICHAEL CONROY, Minister for Broadband, Communications and the Digital Economy make the following Direction</w:t>
      </w:r>
      <w:r w:rsidR="00152125" w:rsidRPr="00374DAE">
        <w:t>s</w:t>
      </w:r>
      <w:r w:rsidRPr="00374DAE">
        <w:t xml:space="preserve"> under section</w:t>
      </w:r>
      <w:r w:rsidR="009826C5" w:rsidRPr="00374DAE">
        <w:rPr>
          <w:bCs/>
          <w:iCs/>
        </w:rPr>
        <w:t> </w:t>
      </w:r>
      <w:r w:rsidRPr="00374DAE">
        <w:t xml:space="preserve">14 of the </w:t>
      </w:r>
      <w:r w:rsidRPr="00374DAE">
        <w:rPr>
          <w:i/>
          <w:iCs/>
        </w:rPr>
        <w:t>Australian Communications and Media Authority Act 2005</w:t>
      </w:r>
      <w:r w:rsidR="00074382">
        <w:rPr>
          <w:iCs/>
        </w:rPr>
        <w:t xml:space="preserve"> and subsection 26(8) of the </w:t>
      </w:r>
      <w:r w:rsidR="00074382">
        <w:rPr>
          <w:i/>
          <w:iCs/>
        </w:rPr>
        <w:t>Broadcasting Services Act 1992</w:t>
      </w:r>
      <w:r w:rsidR="00152125" w:rsidRPr="00374DAE">
        <w:t>.</w:t>
      </w:r>
    </w:p>
    <w:p w:rsidR="0077722D" w:rsidRPr="00374DAE" w:rsidRDefault="0077722D" w:rsidP="0077722D">
      <w:pPr>
        <w:spacing w:line="300" w:lineRule="atLeast"/>
      </w:pPr>
    </w:p>
    <w:p w:rsidR="0077722D" w:rsidRPr="00374DAE" w:rsidRDefault="0077722D" w:rsidP="0077722D">
      <w:pPr>
        <w:spacing w:line="300" w:lineRule="atLeast"/>
      </w:pPr>
      <w:r w:rsidRPr="00374DAE">
        <w:t>Dated</w:t>
      </w:r>
      <w:r w:rsidR="00D524C7">
        <w:t xml:space="preserve"> 19 April 2013</w:t>
      </w:r>
      <w:bookmarkStart w:id="0" w:name="_GoBack"/>
      <w:bookmarkEnd w:id="0"/>
    </w:p>
    <w:p w:rsidR="0077722D" w:rsidRPr="00374DAE" w:rsidRDefault="0077722D" w:rsidP="0077722D">
      <w:pPr>
        <w:spacing w:line="300" w:lineRule="atLeast"/>
      </w:pPr>
      <w:r w:rsidRPr="00374DAE">
        <w:t> </w:t>
      </w:r>
    </w:p>
    <w:p w:rsidR="0077722D" w:rsidRPr="00374DAE" w:rsidRDefault="0077722D" w:rsidP="0077722D">
      <w:pPr>
        <w:spacing w:line="300" w:lineRule="atLeast"/>
      </w:pPr>
      <w:r w:rsidRPr="00374DAE">
        <w:t> </w:t>
      </w:r>
    </w:p>
    <w:p w:rsidR="0077722D" w:rsidRPr="00374DAE" w:rsidRDefault="0077722D" w:rsidP="0077722D">
      <w:pPr>
        <w:spacing w:line="300" w:lineRule="atLeast"/>
      </w:pPr>
      <w:r w:rsidRPr="00374DAE">
        <w:t> </w:t>
      </w:r>
    </w:p>
    <w:p w:rsidR="005D78A5" w:rsidRDefault="005D78A5" w:rsidP="005D78A5">
      <w:pPr>
        <w:spacing w:before="480" w:line="300" w:lineRule="atLeast"/>
        <w:ind w:right="397"/>
        <w:rPr>
          <w:b/>
        </w:rPr>
      </w:pPr>
    </w:p>
    <w:p w:rsidR="0077722D" w:rsidRDefault="0077722D" w:rsidP="0077722D">
      <w:pPr>
        <w:spacing w:line="300" w:lineRule="atLeast"/>
      </w:pPr>
    </w:p>
    <w:p w:rsidR="007727EF" w:rsidRPr="00374DAE" w:rsidRDefault="007727EF" w:rsidP="0077722D">
      <w:pPr>
        <w:spacing w:line="300" w:lineRule="atLeast"/>
      </w:pPr>
    </w:p>
    <w:p w:rsidR="0077722D" w:rsidRPr="00374DAE" w:rsidRDefault="0077722D" w:rsidP="0077722D">
      <w:r w:rsidRPr="00374DAE">
        <w:t>STEPHEN CONROY</w:t>
      </w:r>
    </w:p>
    <w:p w:rsidR="00CF0137" w:rsidRDefault="0077722D" w:rsidP="0077722D">
      <w:r w:rsidRPr="00374DAE">
        <w:t>Minister for Broadband, Communications and the Digital Economy</w:t>
      </w:r>
    </w:p>
    <w:p w:rsidR="0077722D" w:rsidRPr="00374DAE" w:rsidRDefault="0077722D" w:rsidP="0077722D">
      <w:r w:rsidRPr="00374DAE">
        <w:t>_________________________________________________________________</w:t>
      </w:r>
    </w:p>
    <w:p w:rsidR="0077722D" w:rsidRPr="00374DAE" w:rsidRDefault="0077722D" w:rsidP="0077722D">
      <w:pPr>
        <w:pStyle w:val="Heading2"/>
        <w:ind w:left="0" w:firstLine="0"/>
        <w:jc w:val="left"/>
      </w:pPr>
      <w:bookmarkStart w:id="1" w:name="param0"/>
      <w:bookmarkEnd w:id="1"/>
    </w:p>
    <w:p w:rsidR="0077722D" w:rsidRPr="00374DAE" w:rsidRDefault="00FD73B2" w:rsidP="0077722D">
      <w:pPr>
        <w:pStyle w:val="Heading2"/>
        <w:ind w:left="567" w:hanging="567"/>
        <w:jc w:val="left"/>
      </w:pPr>
      <w:bookmarkStart w:id="2" w:name="param1"/>
      <w:bookmarkEnd w:id="2"/>
      <w:r w:rsidRPr="00374DAE">
        <w:rPr>
          <w:sz w:val="24"/>
          <w:szCs w:val="24"/>
        </w:rPr>
        <w:t>1</w:t>
      </w:r>
      <w:r w:rsidRPr="00374DAE">
        <w:rPr>
          <w:sz w:val="24"/>
          <w:szCs w:val="24"/>
        </w:rPr>
        <w:tab/>
      </w:r>
      <w:r w:rsidR="0077722D" w:rsidRPr="00374DAE">
        <w:rPr>
          <w:sz w:val="24"/>
          <w:szCs w:val="24"/>
        </w:rPr>
        <w:t>Name of Direction</w:t>
      </w:r>
    </w:p>
    <w:p w:rsidR="0077722D" w:rsidRPr="00374DAE" w:rsidRDefault="0077722D" w:rsidP="00AA51C8">
      <w:pPr>
        <w:keepNext/>
        <w:spacing w:line="300" w:lineRule="atLeast"/>
      </w:pPr>
    </w:p>
    <w:p w:rsidR="0077722D" w:rsidRPr="00374DAE" w:rsidRDefault="0077722D" w:rsidP="0077722D">
      <w:pPr>
        <w:spacing w:line="300" w:lineRule="atLeast"/>
      </w:pPr>
      <w:r w:rsidRPr="00374DAE">
        <w:t>This Direction is the</w:t>
      </w:r>
      <w:r w:rsidR="00BE1BBC" w:rsidRPr="00374DAE">
        <w:t xml:space="preserve"> </w:t>
      </w:r>
      <w:r w:rsidR="00481CE8" w:rsidRPr="00374DAE">
        <w:rPr>
          <w:i/>
        </w:rPr>
        <w:t>Australian Communications and Media Authority (Television Licence Area Planning and Monitoring) Direction 201</w:t>
      </w:r>
      <w:r w:rsidR="00097098">
        <w:rPr>
          <w:i/>
        </w:rPr>
        <w:t>3</w:t>
      </w:r>
      <w:r w:rsidR="00BE1BBC" w:rsidRPr="00374DAE">
        <w:t>.</w:t>
      </w:r>
    </w:p>
    <w:p w:rsidR="0077722D" w:rsidRPr="00374DAE" w:rsidRDefault="0077722D" w:rsidP="00AA51C8">
      <w:pPr>
        <w:spacing w:line="300" w:lineRule="atLeast"/>
      </w:pPr>
    </w:p>
    <w:p w:rsidR="0077722D" w:rsidRPr="00374DAE" w:rsidRDefault="00FD73B2" w:rsidP="0077722D">
      <w:pPr>
        <w:pStyle w:val="Heading2"/>
        <w:ind w:left="567" w:hanging="567"/>
        <w:jc w:val="left"/>
      </w:pPr>
      <w:r w:rsidRPr="00374DAE">
        <w:rPr>
          <w:sz w:val="24"/>
          <w:szCs w:val="24"/>
        </w:rPr>
        <w:t>2</w:t>
      </w:r>
      <w:r w:rsidRPr="00374DAE">
        <w:rPr>
          <w:sz w:val="24"/>
          <w:szCs w:val="24"/>
        </w:rPr>
        <w:tab/>
      </w:r>
      <w:r w:rsidR="0077722D" w:rsidRPr="00374DAE">
        <w:rPr>
          <w:sz w:val="24"/>
          <w:szCs w:val="24"/>
        </w:rPr>
        <w:t>Commencement</w:t>
      </w:r>
    </w:p>
    <w:p w:rsidR="0077722D" w:rsidRPr="00374DAE" w:rsidRDefault="0077722D" w:rsidP="00AA51C8">
      <w:pPr>
        <w:keepNext/>
        <w:spacing w:line="300" w:lineRule="atLeast"/>
      </w:pPr>
    </w:p>
    <w:p w:rsidR="0077722D" w:rsidRPr="00374DAE" w:rsidRDefault="0077722D" w:rsidP="0077722D">
      <w:pPr>
        <w:pStyle w:val="p1"/>
        <w:spacing w:before="0"/>
        <w:ind w:left="0" w:firstLine="0"/>
        <w:jc w:val="left"/>
      </w:pPr>
      <w:r w:rsidRPr="00374DAE">
        <w:rPr>
          <w:rFonts w:ascii="Times New Roman" w:hAnsi="Times New Roman"/>
          <w:sz w:val="24"/>
          <w:szCs w:val="24"/>
        </w:rPr>
        <w:t>This Direction commences on the day after it is registered on the Federal Regis</w:t>
      </w:r>
      <w:r w:rsidR="005F24B5" w:rsidRPr="00374DAE">
        <w:rPr>
          <w:rFonts w:ascii="Times New Roman" w:hAnsi="Times New Roman"/>
          <w:sz w:val="24"/>
          <w:szCs w:val="24"/>
        </w:rPr>
        <w:t>ter of Legislative Instruments.</w:t>
      </w:r>
    </w:p>
    <w:p w:rsidR="0077722D" w:rsidRPr="00374DAE" w:rsidRDefault="0077722D" w:rsidP="0077722D">
      <w:pPr>
        <w:pStyle w:val="p1"/>
        <w:spacing w:before="0"/>
        <w:ind w:left="0" w:firstLine="0"/>
        <w:jc w:val="left"/>
      </w:pPr>
    </w:p>
    <w:p w:rsidR="0077722D" w:rsidRPr="00374DAE" w:rsidRDefault="00FD73B2" w:rsidP="0077722D">
      <w:pPr>
        <w:pStyle w:val="Heading2"/>
        <w:ind w:left="567" w:hanging="567"/>
        <w:jc w:val="left"/>
      </w:pPr>
      <w:bookmarkStart w:id="3" w:name="param3"/>
      <w:bookmarkEnd w:id="3"/>
      <w:r w:rsidRPr="00374DAE">
        <w:rPr>
          <w:sz w:val="24"/>
          <w:szCs w:val="24"/>
        </w:rPr>
        <w:t>3</w:t>
      </w:r>
      <w:r w:rsidRPr="00374DAE">
        <w:rPr>
          <w:sz w:val="24"/>
          <w:szCs w:val="24"/>
        </w:rPr>
        <w:tab/>
        <w:t>D</w:t>
      </w:r>
      <w:r w:rsidR="0077722D" w:rsidRPr="00374DAE">
        <w:rPr>
          <w:sz w:val="24"/>
          <w:szCs w:val="24"/>
        </w:rPr>
        <w:t>efinitions</w:t>
      </w:r>
    </w:p>
    <w:p w:rsidR="0077722D" w:rsidRPr="00374DAE" w:rsidRDefault="0077722D" w:rsidP="009826C5">
      <w:pPr>
        <w:pStyle w:val="p1"/>
        <w:keepNext/>
        <w:spacing w:before="0"/>
        <w:ind w:left="0" w:firstLine="0"/>
        <w:jc w:val="left"/>
      </w:pPr>
    </w:p>
    <w:p w:rsidR="0077722D" w:rsidRPr="00374DAE" w:rsidRDefault="0077722D" w:rsidP="0077722D">
      <w:pPr>
        <w:pStyle w:val="p1"/>
        <w:spacing w:before="0"/>
        <w:ind w:left="0" w:firstLine="0"/>
        <w:jc w:val="left"/>
      </w:pPr>
      <w:r w:rsidRPr="00374DAE">
        <w:rPr>
          <w:rFonts w:ascii="Times New Roman" w:hAnsi="Times New Roman"/>
          <w:sz w:val="24"/>
          <w:szCs w:val="24"/>
        </w:rPr>
        <w:t>In this Direction:</w:t>
      </w:r>
    </w:p>
    <w:p w:rsidR="0077722D" w:rsidRPr="00374DAE" w:rsidRDefault="0077722D" w:rsidP="0077722D">
      <w:pPr>
        <w:pStyle w:val="p1"/>
        <w:spacing w:before="0"/>
        <w:ind w:left="0" w:firstLine="0"/>
        <w:jc w:val="left"/>
      </w:pPr>
    </w:p>
    <w:p w:rsidR="0077722D" w:rsidRPr="00374DAE" w:rsidRDefault="0077722D" w:rsidP="0077722D">
      <w:pPr>
        <w:ind w:left="567"/>
      </w:pPr>
      <w:r w:rsidRPr="00374DAE">
        <w:rPr>
          <w:b/>
          <w:bCs/>
          <w:i/>
          <w:iCs/>
        </w:rPr>
        <w:t>ACMA</w:t>
      </w:r>
      <w:r w:rsidRPr="00374DAE">
        <w:rPr>
          <w:bCs/>
          <w:i/>
          <w:iCs/>
        </w:rPr>
        <w:t xml:space="preserve"> </w:t>
      </w:r>
      <w:r w:rsidRPr="00374DAE">
        <w:t>means the</w:t>
      </w:r>
      <w:r w:rsidRPr="00374DAE">
        <w:rPr>
          <w:i/>
          <w:iCs/>
        </w:rPr>
        <w:t xml:space="preserve"> </w:t>
      </w:r>
      <w:r w:rsidRPr="00374DAE">
        <w:t>Australian Communica</w:t>
      </w:r>
      <w:r w:rsidR="00C9127C" w:rsidRPr="00374DAE">
        <w:t>tions and Media Authority.</w:t>
      </w:r>
    </w:p>
    <w:p w:rsidR="0077722D" w:rsidRPr="00374DAE" w:rsidRDefault="0077722D" w:rsidP="0077722D">
      <w:pPr>
        <w:ind w:left="567"/>
      </w:pPr>
    </w:p>
    <w:p w:rsidR="0077722D" w:rsidRPr="00374DAE" w:rsidRDefault="0077722D" w:rsidP="0077722D">
      <w:pPr>
        <w:ind w:left="567"/>
      </w:pPr>
      <w:r w:rsidRPr="00374DAE">
        <w:rPr>
          <w:b/>
          <w:bCs/>
          <w:i/>
          <w:iCs/>
        </w:rPr>
        <w:t>ACMA Act</w:t>
      </w:r>
      <w:r w:rsidRPr="00374DAE">
        <w:rPr>
          <w:bCs/>
          <w:i/>
          <w:iCs/>
        </w:rPr>
        <w:t xml:space="preserve"> </w:t>
      </w:r>
      <w:r w:rsidRPr="00374DAE">
        <w:t>means the</w:t>
      </w:r>
      <w:r w:rsidRPr="00374DAE">
        <w:rPr>
          <w:i/>
          <w:iCs/>
        </w:rPr>
        <w:t xml:space="preserve"> Australian Communications and Media Authority Act 2005</w:t>
      </w:r>
      <w:r w:rsidR="00C9127C" w:rsidRPr="00374DAE">
        <w:t>.</w:t>
      </w:r>
    </w:p>
    <w:p w:rsidR="0077722D" w:rsidRPr="00374DAE" w:rsidRDefault="0077722D" w:rsidP="0077722D">
      <w:pPr>
        <w:ind w:left="567"/>
        <w:rPr>
          <w:b/>
          <w:bCs/>
          <w:i/>
          <w:iCs/>
        </w:rPr>
      </w:pPr>
    </w:p>
    <w:p w:rsidR="000B68FB" w:rsidRPr="00374DAE" w:rsidRDefault="000B68FB" w:rsidP="000B68FB">
      <w:pPr>
        <w:ind w:left="567"/>
        <w:rPr>
          <w:bCs/>
          <w:iCs/>
        </w:rPr>
      </w:pPr>
      <w:proofErr w:type="gramStart"/>
      <w:r w:rsidRPr="00374DAE">
        <w:rPr>
          <w:b/>
          <w:bCs/>
          <w:i/>
          <w:iCs/>
        </w:rPr>
        <w:lastRenderedPageBreak/>
        <w:t>broadcasting</w:t>
      </w:r>
      <w:proofErr w:type="gramEnd"/>
      <w:r w:rsidRPr="00374DAE">
        <w:rPr>
          <w:b/>
          <w:bCs/>
          <w:i/>
          <w:iCs/>
        </w:rPr>
        <w:t xml:space="preserve"> services bands</w:t>
      </w:r>
      <w:r w:rsidRPr="00374DAE">
        <w:rPr>
          <w:bCs/>
          <w:iCs/>
        </w:rPr>
        <w:t xml:space="preserve"> has the same mean</w:t>
      </w:r>
      <w:r w:rsidR="00F71268" w:rsidRPr="00374DAE">
        <w:rPr>
          <w:bCs/>
          <w:iCs/>
        </w:rPr>
        <w:t>ing as in section</w:t>
      </w:r>
      <w:r w:rsidR="009826C5" w:rsidRPr="00374DAE">
        <w:rPr>
          <w:bCs/>
          <w:iCs/>
        </w:rPr>
        <w:t> </w:t>
      </w:r>
      <w:r w:rsidR="00F71268" w:rsidRPr="00374DAE">
        <w:rPr>
          <w:bCs/>
          <w:iCs/>
        </w:rPr>
        <w:t>6 of the BSA.</w:t>
      </w:r>
    </w:p>
    <w:p w:rsidR="000B68FB" w:rsidRPr="00374DAE" w:rsidRDefault="000B68FB" w:rsidP="000B68FB">
      <w:pPr>
        <w:ind w:left="567"/>
      </w:pPr>
    </w:p>
    <w:p w:rsidR="0077722D" w:rsidRPr="00374DAE" w:rsidRDefault="0077722D" w:rsidP="0077722D">
      <w:pPr>
        <w:ind w:left="567"/>
      </w:pPr>
      <w:r w:rsidRPr="00374DAE">
        <w:rPr>
          <w:b/>
          <w:bCs/>
          <w:i/>
          <w:iCs/>
        </w:rPr>
        <w:t>BSA</w:t>
      </w:r>
      <w:r w:rsidRPr="00374DAE">
        <w:t xml:space="preserve"> means the </w:t>
      </w:r>
      <w:r w:rsidRPr="00374DAE">
        <w:rPr>
          <w:i/>
          <w:iCs/>
        </w:rPr>
        <w:t>Broadcasting Services Act 1992</w:t>
      </w:r>
      <w:r w:rsidR="00C9127C" w:rsidRPr="00374DAE">
        <w:t>.</w:t>
      </w:r>
    </w:p>
    <w:p w:rsidR="0077722D" w:rsidRPr="00374DAE" w:rsidRDefault="0077722D" w:rsidP="0077722D">
      <w:pPr>
        <w:ind w:left="567"/>
      </w:pPr>
    </w:p>
    <w:p w:rsidR="00E47626" w:rsidRDefault="008A4453" w:rsidP="002839F5">
      <w:pPr>
        <w:ind w:left="567"/>
      </w:pPr>
      <w:proofErr w:type="gramStart"/>
      <w:r w:rsidRPr="00374DAE">
        <w:rPr>
          <w:b/>
          <w:i/>
        </w:rPr>
        <w:t>digital</w:t>
      </w:r>
      <w:proofErr w:type="gramEnd"/>
      <w:r w:rsidRPr="00374DAE">
        <w:rPr>
          <w:b/>
          <w:i/>
        </w:rPr>
        <w:t xml:space="preserve"> television broadcasting service</w:t>
      </w:r>
      <w:r w:rsidRPr="00374DAE">
        <w:t xml:space="preserve"> means a broadcasting service that transmits television programs</w:t>
      </w:r>
      <w:r w:rsidR="00E47626">
        <w:t>:</w:t>
      </w:r>
    </w:p>
    <w:p w:rsidR="00E47626" w:rsidRDefault="008A4453" w:rsidP="00074382">
      <w:pPr>
        <w:keepNext/>
        <w:numPr>
          <w:ilvl w:val="0"/>
          <w:numId w:val="1"/>
        </w:numPr>
      </w:pPr>
      <w:r w:rsidRPr="00374DAE">
        <w:t>in digital mode using the broadcasting services bands</w:t>
      </w:r>
      <w:r w:rsidR="00E47626">
        <w:t>; and</w:t>
      </w:r>
    </w:p>
    <w:p w:rsidR="008A4453" w:rsidRPr="00374DAE" w:rsidRDefault="008A4453" w:rsidP="00074382">
      <w:pPr>
        <w:numPr>
          <w:ilvl w:val="0"/>
          <w:numId w:val="1"/>
        </w:numPr>
        <w:ind w:left="1208" w:hanging="357"/>
      </w:pPr>
      <w:proofErr w:type="gramStart"/>
      <w:r w:rsidRPr="00374DAE">
        <w:t>that</w:t>
      </w:r>
      <w:proofErr w:type="gramEnd"/>
      <w:r w:rsidRPr="00374DAE">
        <w:t xml:space="preserve"> are able to be received by </w:t>
      </w:r>
      <w:r w:rsidR="00E47626">
        <w:t xml:space="preserve">a </w:t>
      </w:r>
      <w:r w:rsidRPr="00374DAE">
        <w:t xml:space="preserve">domestic </w:t>
      </w:r>
      <w:r w:rsidR="00E47626">
        <w:t>digital television receiver</w:t>
      </w:r>
      <w:r w:rsidRPr="00374DAE">
        <w:t>.</w:t>
      </w:r>
    </w:p>
    <w:p w:rsidR="00165F0E" w:rsidRDefault="00165F0E" w:rsidP="00165F0E">
      <w:pPr>
        <w:ind w:left="567"/>
      </w:pPr>
    </w:p>
    <w:p w:rsidR="00E47626" w:rsidRPr="00E47626" w:rsidRDefault="00E47626" w:rsidP="00165F0E">
      <w:pPr>
        <w:ind w:left="567"/>
      </w:pPr>
      <w:proofErr w:type="gramStart"/>
      <w:r w:rsidRPr="00E47626">
        <w:rPr>
          <w:b/>
          <w:i/>
        </w:rPr>
        <w:t>domestic</w:t>
      </w:r>
      <w:proofErr w:type="gramEnd"/>
      <w:r w:rsidRPr="00E47626">
        <w:rPr>
          <w:b/>
          <w:i/>
        </w:rPr>
        <w:t xml:space="preserve"> digital television receiver</w:t>
      </w:r>
      <w:r>
        <w:t xml:space="preserve"> has the same meaning as in section</w:t>
      </w:r>
      <w:r w:rsidR="009826C5" w:rsidRPr="00374DAE">
        <w:rPr>
          <w:bCs/>
          <w:iCs/>
        </w:rPr>
        <w:t> </w:t>
      </w:r>
      <w:r>
        <w:t xml:space="preserve">5 of the </w:t>
      </w:r>
      <w:r>
        <w:rPr>
          <w:i/>
        </w:rPr>
        <w:t>Radiocommunications Act 1992</w:t>
      </w:r>
      <w:r>
        <w:t>.</w:t>
      </w:r>
    </w:p>
    <w:p w:rsidR="00E47626" w:rsidRPr="00374DAE" w:rsidRDefault="00E47626" w:rsidP="00165F0E">
      <w:pPr>
        <w:ind w:left="567"/>
      </w:pPr>
    </w:p>
    <w:p w:rsidR="009D76A8" w:rsidRPr="00374DAE" w:rsidRDefault="009D76A8" w:rsidP="002839F5">
      <w:pPr>
        <w:ind w:left="567"/>
        <w:rPr>
          <w:bCs/>
          <w:iCs/>
        </w:rPr>
      </w:pPr>
      <w:proofErr w:type="gramStart"/>
      <w:r w:rsidRPr="00374DAE">
        <w:rPr>
          <w:b/>
          <w:bCs/>
          <w:i/>
          <w:iCs/>
        </w:rPr>
        <w:t>licence</w:t>
      </w:r>
      <w:proofErr w:type="gramEnd"/>
      <w:r w:rsidRPr="00374DAE">
        <w:rPr>
          <w:b/>
          <w:bCs/>
          <w:i/>
          <w:iCs/>
        </w:rPr>
        <w:t xml:space="preserve"> area </w:t>
      </w:r>
      <w:r w:rsidR="00E47626">
        <w:rPr>
          <w:bCs/>
          <w:iCs/>
        </w:rPr>
        <w:t xml:space="preserve">means an </w:t>
      </w:r>
      <w:r w:rsidR="00D7139C" w:rsidRPr="00374DAE">
        <w:rPr>
          <w:bCs/>
          <w:iCs/>
        </w:rPr>
        <w:t xml:space="preserve">area </w:t>
      </w:r>
      <w:r w:rsidR="00E47626">
        <w:rPr>
          <w:bCs/>
          <w:iCs/>
        </w:rPr>
        <w:t xml:space="preserve">designated by the ACMA </w:t>
      </w:r>
      <w:r w:rsidR="00D7139C" w:rsidRPr="00374DAE">
        <w:rPr>
          <w:bCs/>
          <w:iCs/>
        </w:rPr>
        <w:t>under</w:t>
      </w:r>
      <w:r w:rsidRPr="00374DAE">
        <w:rPr>
          <w:bCs/>
          <w:iCs/>
        </w:rPr>
        <w:t xml:space="preserve"> section</w:t>
      </w:r>
      <w:r w:rsidR="00D7139C" w:rsidRPr="00374DAE">
        <w:rPr>
          <w:bCs/>
          <w:iCs/>
        </w:rPr>
        <w:t> 29</w:t>
      </w:r>
      <w:r w:rsidRPr="00374DAE">
        <w:rPr>
          <w:bCs/>
          <w:iCs/>
        </w:rPr>
        <w:t xml:space="preserve"> of the BSA.</w:t>
      </w:r>
    </w:p>
    <w:p w:rsidR="009D76A8" w:rsidRPr="00374DAE" w:rsidRDefault="009D76A8" w:rsidP="002839F5">
      <w:pPr>
        <w:ind w:left="567"/>
        <w:rPr>
          <w:b/>
          <w:bCs/>
          <w:i/>
          <w:iCs/>
        </w:rPr>
      </w:pPr>
    </w:p>
    <w:p w:rsidR="00007914" w:rsidRPr="00374DAE" w:rsidRDefault="005D6840" w:rsidP="0077722D">
      <w:pPr>
        <w:ind w:left="567"/>
        <w:rPr>
          <w:b/>
          <w:i/>
        </w:rPr>
      </w:pPr>
      <w:proofErr w:type="gramStart"/>
      <w:r w:rsidRPr="00374DAE">
        <w:rPr>
          <w:b/>
          <w:i/>
        </w:rPr>
        <w:t>r</w:t>
      </w:r>
      <w:r w:rsidR="00007914" w:rsidRPr="00374DAE">
        <w:rPr>
          <w:b/>
          <w:i/>
        </w:rPr>
        <w:t>estack</w:t>
      </w:r>
      <w:proofErr w:type="gramEnd"/>
      <w:r w:rsidR="00CA2F2B" w:rsidRPr="00CA2F2B">
        <w:t>, in relation to a licence area or part of a licence area</w:t>
      </w:r>
      <w:r w:rsidR="00007914" w:rsidRPr="00374DAE">
        <w:rPr>
          <w:b/>
          <w:i/>
        </w:rPr>
        <w:t xml:space="preserve"> </w:t>
      </w:r>
      <w:r w:rsidR="00007914" w:rsidRPr="00374DAE">
        <w:t xml:space="preserve">means the reorganisation of digital television services </w:t>
      </w:r>
      <w:r w:rsidR="00CA2F2B">
        <w:t xml:space="preserve">for that licence area, so that the services will use </w:t>
      </w:r>
      <w:r w:rsidR="008A4453" w:rsidRPr="00374DAE">
        <w:t>spectrum</w:t>
      </w:r>
      <w:r w:rsidR="00AC6297" w:rsidRPr="00374DAE">
        <w:t xml:space="preserve"> </w:t>
      </w:r>
      <w:r w:rsidR="00CA2F2B">
        <w:t xml:space="preserve">other than the </w:t>
      </w:r>
      <w:r w:rsidR="00AC6297" w:rsidRPr="00374DAE">
        <w:t>band</w:t>
      </w:r>
      <w:r w:rsidR="008A4453" w:rsidRPr="00374DAE">
        <w:t xml:space="preserve"> </w:t>
      </w:r>
      <w:r w:rsidR="00CA2F2B">
        <w:t xml:space="preserve">from </w:t>
      </w:r>
      <w:r w:rsidR="008A4453" w:rsidRPr="00374DAE">
        <w:t>694-820</w:t>
      </w:r>
      <w:r w:rsidR="00D6477B">
        <w:t xml:space="preserve"> </w:t>
      </w:r>
      <w:proofErr w:type="spellStart"/>
      <w:r w:rsidR="008A4453" w:rsidRPr="00374DAE">
        <w:t>MHz</w:t>
      </w:r>
      <w:r w:rsidR="00E93216" w:rsidRPr="00374DAE">
        <w:t>.</w:t>
      </w:r>
      <w:proofErr w:type="spellEnd"/>
    </w:p>
    <w:p w:rsidR="00732ED1" w:rsidRPr="00374DAE" w:rsidRDefault="00732ED1" w:rsidP="00732ED1">
      <w:pPr>
        <w:ind w:left="567"/>
      </w:pPr>
    </w:p>
    <w:p w:rsidR="007E7D4B" w:rsidRDefault="007E7D4B" w:rsidP="007E7D4B">
      <w:pPr>
        <w:ind w:left="567"/>
      </w:pPr>
      <w:bookmarkStart w:id="4" w:name="OLE_LINK6"/>
      <w:bookmarkEnd w:id="4"/>
      <w:r w:rsidRPr="00374DAE">
        <w:rPr>
          <w:b/>
          <w:bCs/>
          <w:i/>
          <w:iCs/>
        </w:rPr>
        <w:t>TLAP</w:t>
      </w:r>
      <w:r w:rsidRPr="00374DAE">
        <w:t xml:space="preserve"> means a television licence area plan </w:t>
      </w:r>
      <w:r w:rsidR="00CA2F2B">
        <w:t>prepared</w:t>
      </w:r>
      <w:r w:rsidR="00CA2F2B" w:rsidRPr="00374DAE">
        <w:t xml:space="preserve"> </w:t>
      </w:r>
      <w:r w:rsidRPr="00374DAE">
        <w:t>under subsection</w:t>
      </w:r>
      <w:r w:rsidR="009826C5" w:rsidRPr="00374DAE">
        <w:rPr>
          <w:bCs/>
          <w:iCs/>
        </w:rPr>
        <w:t> </w:t>
      </w:r>
      <w:r w:rsidRPr="00374DAE">
        <w:t>26(1B) of the BSA.</w:t>
      </w:r>
    </w:p>
    <w:p w:rsidR="00D70082" w:rsidRDefault="00D70082" w:rsidP="0077722D">
      <w:pPr>
        <w:ind w:left="567"/>
      </w:pPr>
    </w:p>
    <w:p w:rsidR="00235565" w:rsidRPr="00235565" w:rsidRDefault="00235565" w:rsidP="0077722D">
      <w:pPr>
        <w:ind w:left="567"/>
      </w:pPr>
      <w:proofErr w:type="gramStart"/>
      <w:r>
        <w:rPr>
          <w:b/>
          <w:i/>
        </w:rPr>
        <w:t>transmission</w:t>
      </w:r>
      <w:proofErr w:type="gramEnd"/>
      <w:r>
        <w:rPr>
          <w:b/>
          <w:i/>
        </w:rPr>
        <w:t xml:space="preserve"> service provider</w:t>
      </w:r>
      <w:r>
        <w:t xml:space="preserve"> means a person who provides transmission services to the provider of a digital television broadcasting service.</w:t>
      </w:r>
    </w:p>
    <w:p w:rsidR="00235565" w:rsidRPr="00374DAE" w:rsidRDefault="00235565" w:rsidP="0077722D">
      <w:pPr>
        <w:ind w:left="567"/>
      </w:pPr>
    </w:p>
    <w:p w:rsidR="0077722D" w:rsidRPr="00374DAE" w:rsidRDefault="00FD73B2" w:rsidP="001C5199">
      <w:pPr>
        <w:pStyle w:val="Heading2"/>
        <w:ind w:left="567" w:hanging="567"/>
        <w:jc w:val="left"/>
      </w:pPr>
      <w:bookmarkStart w:id="5" w:name="param4"/>
      <w:bookmarkStart w:id="6" w:name="param6"/>
      <w:bookmarkStart w:id="7" w:name="OLE_LINK1"/>
      <w:bookmarkStart w:id="8" w:name="OLE_LINK2"/>
      <w:bookmarkEnd w:id="5"/>
      <w:bookmarkEnd w:id="6"/>
      <w:r w:rsidRPr="00374DAE">
        <w:rPr>
          <w:sz w:val="24"/>
          <w:szCs w:val="24"/>
        </w:rPr>
        <w:t>4</w:t>
      </w:r>
      <w:r w:rsidRPr="00374DAE">
        <w:rPr>
          <w:sz w:val="24"/>
          <w:szCs w:val="24"/>
        </w:rPr>
        <w:tab/>
      </w:r>
      <w:r w:rsidR="0077722D" w:rsidRPr="00374DAE">
        <w:rPr>
          <w:sz w:val="24"/>
          <w:szCs w:val="24"/>
        </w:rPr>
        <w:t xml:space="preserve">Direction – </w:t>
      </w:r>
      <w:r w:rsidR="009B1594" w:rsidRPr="00374DAE">
        <w:rPr>
          <w:sz w:val="24"/>
          <w:szCs w:val="24"/>
        </w:rPr>
        <w:t xml:space="preserve">The </w:t>
      </w:r>
      <w:r w:rsidR="0077722D" w:rsidRPr="00374DAE">
        <w:rPr>
          <w:sz w:val="24"/>
          <w:szCs w:val="24"/>
        </w:rPr>
        <w:t xml:space="preserve">ACMA to consider </w:t>
      </w:r>
      <w:r w:rsidR="00E024F2">
        <w:rPr>
          <w:sz w:val="24"/>
          <w:szCs w:val="24"/>
        </w:rPr>
        <w:t>the achievement of the restack objective</w:t>
      </w:r>
    </w:p>
    <w:bookmarkEnd w:id="7"/>
    <w:bookmarkEnd w:id="8"/>
    <w:p w:rsidR="0077722D" w:rsidRPr="00374DAE" w:rsidRDefault="0077722D" w:rsidP="001C5199">
      <w:pPr>
        <w:keepNext/>
      </w:pPr>
    </w:p>
    <w:p w:rsidR="00804925" w:rsidRPr="002872D6" w:rsidRDefault="0077722D" w:rsidP="001C5199">
      <w:pPr>
        <w:keepNext/>
        <w:numPr>
          <w:ilvl w:val="0"/>
          <w:numId w:val="3"/>
        </w:numPr>
        <w:ind w:left="567" w:hanging="567"/>
        <w:rPr>
          <w:bCs/>
        </w:rPr>
      </w:pPr>
      <w:r w:rsidRPr="00804925">
        <w:rPr>
          <w:bCs/>
        </w:rPr>
        <w:t xml:space="preserve">I direct </w:t>
      </w:r>
      <w:r w:rsidR="00F955FE" w:rsidRPr="00804925">
        <w:rPr>
          <w:bCs/>
        </w:rPr>
        <w:t xml:space="preserve">the </w:t>
      </w:r>
      <w:r w:rsidRPr="00804925">
        <w:rPr>
          <w:bCs/>
        </w:rPr>
        <w:t>ACMA under section</w:t>
      </w:r>
      <w:r w:rsidR="009826C5" w:rsidRPr="00374DAE">
        <w:rPr>
          <w:bCs/>
          <w:iCs/>
        </w:rPr>
        <w:t> </w:t>
      </w:r>
      <w:r w:rsidRPr="00804925">
        <w:rPr>
          <w:bCs/>
        </w:rPr>
        <w:t xml:space="preserve">14 of the ACMA Act </w:t>
      </w:r>
      <w:r w:rsidR="005C63E7" w:rsidRPr="00804925">
        <w:rPr>
          <w:bCs/>
        </w:rPr>
        <w:t>when performing its broadcasting function</w:t>
      </w:r>
      <w:r w:rsidR="000E2ED0" w:rsidRPr="00804925">
        <w:rPr>
          <w:bCs/>
        </w:rPr>
        <w:t>s</w:t>
      </w:r>
      <w:r w:rsidR="005C63E7" w:rsidRPr="00804925">
        <w:rPr>
          <w:bCs/>
        </w:rPr>
        <w:t xml:space="preserve"> </w:t>
      </w:r>
      <w:r w:rsidR="00EF6CFC" w:rsidRPr="00804925">
        <w:rPr>
          <w:bCs/>
        </w:rPr>
        <w:t xml:space="preserve">pursuant to paragraphs 10(1)(b) and 10(1)(s) of the ACMA Act </w:t>
      </w:r>
      <w:r w:rsidR="001037FB" w:rsidRPr="002872D6">
        <w:rPr>
          <w:bCs/>
        </w:rPr>
        <w:t xml:space="preserve">to </w:t>
      </w:r>
      <w:r w:rsidRPr="002872D6">
        <w:rPr>
          <w:bCs/>
        </w:rPr>
        <w:t>consider</w:t>
      </w:r>
      <w:r w:rsidR="00804925">
        <w:rPr>
          <w:bCs/>
        </w:rPr>
        <w:t>,</w:t>
      </w:r>
      <w:r w:rsidR="009F0768" w:rsidRPr="00804925">
        <w:rPr>
          <w:bCs/>
        </w:rPr>
        <w:t xml:space="preserve"> on an area basis</w:t>
      </w:r>
      <w:r w:rsidR="00804925" w:rsidRPr="002872D6">
        <w:rPr>
          <w:bCs/>
        </w:rPr>
        <w:t>:</w:t>
      </w:r>
    </w:p>
    <w:p w:rsidR="00804925" w:rsidRDefault="006E6A4E" w:rsidP="00FE1B47">
      <w:pPr>
        <w:keepNext/>
        <w:numPr>
          <w:ilvl w:val="0"/>
          <w:numId w:val="6"/>
        </w:numPr>
        <w:ind w:hanging="644"/>
      </w:pPr>
      <w:r>
        <w:t>from time to time</w:t>
      </w:r>
      <w:r w:rsidR="00804925">
        <w:t>;</w:t>
      </w:r>
      <w:r w:rsidR="008F208D">
        <w:t xml:space="preserve"> </w:t>
      </w:r>
      <w:r w:rsidR="00894538">
        <w:t>and</w:t>
      </w:r>
    </w:p>
    <w:p w:rsidR="00CA2F2B" w:rsidRDefault="00CA2F2B" w:rsidP="00FE1B47">
      <w:pPr>
        <w:keepNext/>
        <w:numPr>
          <w:ilvl w:val="0"/>
          <w:numId w:val="6"/>
        </w:numPr>
        <w:ind w:hanging="644"/>
      </w:pPr>
      <w:r>
        <w:t>at a</w:t>
      </w:r>
      <w:r w:rsidR="00894538">
        <w:t>ny other</w:t>
      </w:r>
      <w:r>
        <w:t xml:space="preserve"> time</w:t>
      </w:r>
      <w:r w:rsidR="00894538">
        <w:t>s</w:t>
      </w:r>
      <w:r>
        <w:t xml:space="preserve"> specified </w:t>
      </w:r>
      <w:r w:rsidR="00B1701D">
        <w:t xml:space="preserve">in a notice </w:t>
      </w:r>
      <w:r>
        <w:t xml:space="preserve">in writing </w:t>
      </w:r>
      <w:r w:rsidR="00B1701D">
        <w:t xml:space="preserve">provided </w:t>
      </w:r>
      <w:r>
        <w:t>by the</w:t>
      </w:r>
      <w:r w:rsidR="00C55B7B">
        <w:t xml:space="preserve"> Secretary</w:t>
      </w:r>
      <w:r w:rsidR="00160ADA">
        <w:t xml:space="preserve"> or Deputy Secretary</w:t>
      </w:r>
      <w:r w:rsidR="00C55B7B">
        <w:t xml:space="preserve"> of the </w:t>
      </w:r>
      <w:r>
        <w:t>Department</w:t>
      </w:r>
      <w:r w:rsidR="001E7981">
        <w:t>;</w:t>
      </w:r>
    </w:p>
    <w:p w:rsidR="00C55B7B" w:rsidRDefault="00CA2F2B" w:rsidP="00C136DC">
      <w:pPr>
        <w:keepNext/>
        <w:ind w:left="567"/>
      </w:pPr>
      <w:r w:rsidRPr="00374DAE">
        <w:t xml:space="preserve">until restack has occurred in an area, whether </w:t>
      </w:r>
      <w:r w:rsidR="00C55B7B">
        <w:t>in that area providers of digital television broadcasting services will be able to</w:t>
      </w:r>
      <w:r w:rsidR="00D17F0E">
        <w:t xml:space="preserve"> meet the </w:t>
      </w:r>
      <w:r w:rsidR="00D17F0E">
        <w:rPr>
          <w:b/>
        </w:rPr>
        <w:t>restack objective</w:t>
      </w:r>
      <w:r w:rsidR="00D17F0E">
        <w:t>, being</w:t>
      </w:r>
      <w:r w:rsidR="00260D02">
        <w:t xml:space="preserve"> (as applicable)</w:t>
      </w:r>
      <w:r w:rsidR="00C55B7B">
        <w:t>:</w:t>
      </w:r>
    </w:p>
    <w:p w:rsidR="00C55B7B" w:rsidRDefault="00D17F0E" w:rsidP="00FE1B47">
      <w:pPr>
        <w:keepNext/>
        <w:numPr>
          <w:ilvl w:val="0"/>
          <w:numId w:val="6"/>
        </w:numPr>
        <w:ind w:hanging="644"/>
      </w:pPr>
      <w:r>
        <w:t xml:space="preserve">to </w:t>
      </w:r>
      <w:r w:rsidR="00C55B7B">
        <w:t>cease transmitting those services in accordance with</w:t>
      </w:r>
      <w:r w:rsidR="00904000" w:rsidRPr="00904000">
        <w:t xml:space="preserve"> </w:t>
      </w:r>
      <w:r w:rsidR="00904000" w:rsidRPr="00374DAE">
        <w:t xml:space="preserve">the </w:t>
      </w:r>
      <w:r w:rsidR="00904000">
        <w:t xml:space="preserve">applicable </w:t>
      </w:r>
      <w:r w:rsidR="00904000" w:rsidRPr="00374DAE">
        <w:t>end dates for channel allotments specified in a TLAP</w:t>
      </w:r>
      <w:r w:rsidR="00904000">
        <w:t>; and</w:t>
      </w:r>
    </w:p>
    <w:p w:rsidR="00C55B7B" w:rsidRDefault="00D17F0E" w:rsidP="00074382">
      <w:pPr>
        <w:numPr>
          <w:ilvl w:val="0"/>
          <w:numId w:val="6"/>
        </w:numPr>
        <w:ind w:hanging="644"/>
      </w:pPr>
      <w:proofErr w:type="gramStart"/>
      <w:r>
        <w:t>to</w:t>
      </w:r>
      <w:proofErr w:type="gramEnd"/>
      <w:r>
        <w:t xml:space="preserve"> </w:t>
      </w:r>
      <w:r w:rsidR="00C55B7B">
        <w:t xml:space="preserve">provide those services </w:t>
      </w:r>
      <w:r w:rsidR="001720B3">
        <w:t xml:space="preserve">using </w:t>
      </w:r>
      <w:r w:rsidR="003A7DF9">
        <w:t>another</w:t>
      </w:r>
      <w:r w:rsidR="00C55B7B">
        <w:t xml:space="preserve"> channel allotment </w:t>
      </w:r>
      <w:r w:rsidR="003A7DF9">
        <w:t>in accordance with</w:t>
      </w:r>
      <w:r w:rsidR="00C55B7B">
        <w:t xml:space="preserve"> the TLAP for the area</w:t>
      </w:r>
      <w:r w:rsidR="00145E19">
        <w:t>.</w:t>
      </w:r>
    </w:p>
    <w:p w:rsidR="002839BC" w:rsidRDefault="002839BC" w:rsidP="002377B3">
      <w:bookmarkStart w:id="9" w:name="OLE_LINK14"/>
      <w:bookmarkStart w:id="10" w:name="OLE_LINK15"/>
    </w:p>
    <w:p w:rsidR="00235565" w:rsidRDefault="00235565" w:rsidP="00074382">
      <w:pPr>
        <w:numPr>
          <w:ilvl w:val="0"/>
          <w:numId w:val="3"/>
        </w:numPr>
        <w:ind w:left="567" w:hanging="567"/>
      </w:pPr>
      <w:r>
        <w:t>When considering whether the restack objective is able to be met in an area, I further direct the ACMA under section 14 of the ACMA Act to take into account any relevant information provided by the Secretary or an SES employee of the Department.</w:t>
      </w:r>
    </w:p>
    <w:p w:rsidR="00E024F2" w:rsidRDefault="00E024F2" w:rsidP="00E024F2"/>
    <w:p w:rsidR="00E024F2" w:rsidRPr="00374DAE" w:rsidRDefault="00E024F2" w:rsidP="00E024F2">
      <w:pPr>
        <w:pStyle w:val="Heading2"/>
        <w:ind w:left="567" w:hanging="567"/>
        <w:jc w:val="left"/>
      </w:pPr>
      <w:r>
        <w:rPr>
          <w:sz w:val="24"/>
          <w:szCs w:val="24"/>
        </w:rPr>
        <w:lastRenderedPageBreak/>
        <w:t>5</w:t>
      </w:r>
      <w:r w:rsidRPr="00374DAE">
        <w:rPr>
          <w:sz w:val="24"/>
          <w:szCs w:val="24"/>
        </w:rPr>
        <w:tab/>
        <w:t xml:space="preserve">Direction – The ACMA to </w:t>
      </w:r>
      <w:r>
        <w:rPr>
          <w:sz w:val="24"/>
          <w:szCs w:val="24"/>
        </w:rPr>
        <w:t>vary TLAPs in specified circumstance</w:t>
      </w:r>
    </w:p>
    <w:p w:rsidR="00235565" w:rsidRPr="00235565" w:rsidRDefault="00235565" w:rsidP="001E248F">
      <w:pPr>
        <w:keepNext/>
      </w:pPr>
    </w:p>
    <w:p w:rsidR="001602C6" w:rsidRPr="0022152A" w:rsidRDefault="008B65A4" w:rsidP="0022152A">
      <w:pPr>
        <w:keepNext/>
        <w:numPr>
          <w:ilvl w:val="0"/>
          <w:numId w:val="16"/>
        </w:numPr>
        <w:ind w:left="567" w:hanging="567"/>
        <w:rPr>
          <w:bCs/>
        </w:rPr>
      </w:pPr>
      <w:r w:rsidRPr="0022152A">
        <w:rPr>
          <w:bCs/>
        </w:rPr>
        <w:t>I direct the ACMA under section</w:t>
      </w:r>
      <w:r w:rsidR="009826C5" w:rsidRPr="0022152A">
        <w:rPr>
          <w:bCs/>
        </w:rPr>
        <w:t> </w:t>
      </w:r>
      <w:r w:rsidR="00653059" w:rsidRPr="0022152A">
        <w:rPr>
          <w:bCs/>
        </w:rPr>
        <w:t xml:space="preserve">26(8) </w:t>
      </w:r>
      <w:r w:rsidRPr="0022152A">
        <w:rPr>
          <w:bCs/>
        </w:rPr>
        <w:t xml:space="preserve">of the </w:t>
      </w:r>
      <w:r w:rsidR="001602C6" w:rsidRPr="0022152A">
        <w:rPr>
          <w:bCs/>
        </w:rPr>
        <w:t>BSA</w:t>
      </w:r>
      <w:r w:rsidR="002377B3" w:rsidRPr="0022152A">
        <w:rPr>
          <w:bCs/>
        </w:rPr>
        <w:t xml:space="preserve">, </w:t>
      </w:r>
      <w:r w:rsidRPr="0022152A">
        <w:rPr>
          <w:bCs/>
        </w:rPr>
        <w:t xml:space="preserve">if </w:t>
      </w:r>
      <w:r w:rsidR="0022152A" w:rsidRPr="0022152A">
        <w:rPr>
          <w:bCs/>
        </w:rPr>
        <w:t xml:space="preserve">the ACMA </w:t>
      </w:r>
      <w:r w:rsidRPr="0022152A">
        <w:rPr>
          <w:bCs/>
        </w:rPr>
        <w:t>is satisfied</w:t>
      </w:r>
      <w:r w:rsidR="008B05A8" w:rsidRPr="0022152A">
        <w:rPr>
          <w:bCs/>
        </w:rPr>
        <w:t>, taking into account any relevant information provided by the Secretary or an SES employee of the Department,</w:t>
      </w:r>
      <w:r w:rsidR="00CC2FD8" w:rsidRPr="0022152A">
        <w:rPr>
          <w:bCs/>
        </w:rPr>
        <w:t xml:space="preserve"> that</w:t>
      </w:r>
      <w:r w:rsidR="00862FCC" w:rsidRPr="0022152A">
        <w:rPr>
          <w:bCs/>
        </w:rPr>
        <w:t xml:space="preserve"> in an area</w:t>
      </w:r>
      <w:r w:rsidR="001602C6" w:rsidRPr="0022152A">
        <w:rPr>
          <w:bCs/>
        </w:rPr>
        <w:t>:</w:t>
      </w:r>
    </w:p>
    <w:p w:rsidR="001602C6" w:rsidRDefault="001602C6" w:rsidP="002377B3">
      <w:pPr>
        <w:pStyle w:val="ListParagraph"/>
        <w:ind w:left="0"/>
      </w:pPr>
    </w:p>
    <w:p w:rsidR="001602C6" w:rsidRDefault="001602C6" w:rsidP="00074382">
      <w:pPr>
        <w:keepNext/>
        <w:numPr>
          <w:ilvl w:val="0"/>
          <w:numId w:val="9"/>
        </w:numPr>
        <w:ind w:hanging="644"/>
      </w:pPr>
      <w:r>
        <w:t xml:space="preserve">the capacity of </w:t>
      </w:r>
      <w:r w:rsidR="00EA60BD">
        <w:t xml:space="preserve">a </w:t>
      </w:r>
      <w:r>
        <w:t xml:space="preserve">provider of digital television broadcasting services in the area to meet the restack objective has been significantly affected by </w:t>
      </w:r>
      <w:r w:rsidR="00D6477B">
        <w:t xml:space="preserve">an </w:t>
      </w:r>
      <w:r>
        <w:t>event or circumstance outside their control; and</w:t>
      </w:r>
    </w:p>
    <w:p w:rsidR="001602C6" w:rsidRDefault="00260D02" w:rsidP="00074382">
      <w:pPr>
        <w:keepNext/>
        <w:numPr>
          <w:ilvl w:val="0"/>
          <w:numId w:val="9"/>
        </w:numPr>
        <w:ind w:hanging="644"/>
      </w:pPr>
      <w:r>
        <w:t>the</w:t>
      </w:r>
      <w:r w:rsidR="00EA60BD">
        <w:t xml:space="preserve"> </w:t>
      </w:r>
      <w:r w:rsidR="00D9519E">
        <w:t xml:space="preserve">provider of digital television broadcasting services in the area, or </w:t>
      </w:r>
      <w:r w:rsidR="001E248F">
        <w:t xml:space="preserve">a </w:t>
      </w:r>
      <w:r w:rsidR="00D9519E">
        <w:t xml:space="preserve">transmission service provider contracted to </w:t>
      </w:r>
      <w:r>
        <w:t>the</w:t>
      </w:r>
      <w:r w:rsidR="00EA60BD">
        <w:t xml:space="preserve"> </w:t>
      </w:r>
      <w:r w:rsidR="00D9519E">
        <w:t xml:space="preserve">provider of digital television broadcasting services, could not reasonably have taken, or could not reasonably take, </w:t>
      </w:r>
      <w:r w:rsidR="001602C6">
        <w:t xml:space="preserve">mitigation action </w:t>
      </w:r>
      <w:r w:rsidR="00D9519E">
        <w:t xml:space="preserve">to minimise the impact of the event or circumstance on the capacity </w:t>
      </w:r>
      <w:r w:rsidR="00A666C2">
        <w:t xml:space="preserve">of </w:t>
      </w:r>
      <w:r w:rsidR="002377B3">
        <w:t xml:space="preserve">the </w:t>
      </w:r>
      <w:r w:rsidR="00A666C2">
        <w:t xml:space="preserve">provider of digital television broadcasting services </w:t>
      </w:r>
      <w:r w:rsidR="002377B3">
        <w:t>to</w:t>
      </w:r>
      <w:r w:rsidR="00A666C2">
        <w:t xml:space="preserve"> </w:t>
      </w:r>
      <w:r w:rsidR="001602C6">
        <w:t>meet the restack objective;</w:t>
      </w:r>
      <w:r w:rsidR="00A666C2">
        <w:t xml:space="preserve"> and</w:t>
      </w:r>
    </w:p>
    <w:p w:rsidR="00A666C2" w:rsidRDefault="00A666C2" w:rsidP="00074382">
      <w:pPr>
        <w:keepNext/>
        <w:numPr>
          <w:ilvl w:val="0"/>
          <w:numId w:val="9"/>
        </w:numPr>
        <w:ind w:hanging="644"/>
      </w:pPr>
      <w:r>
        <w:t xml:space="preserve">as a result of paragraphs </w:t>
      </w:r>
      <w:r w:rsidR="00D6323B">
        <w:t>5</w:t>
      </w:r>
      <w:r>
        <w:t>(</w:t>
      </w:r>
      <w:r w:rsidR="00D6323B">
        <w:t>1</w:t>
      </w:r>
      <w:r>
        <w:t xml:space="preserve">)(a) and </w:t>
      </w:r>
      <w:r w:rsidR="00D6323B">
        <w:t>5</w:t>
      </w:r>
      <w:r>
        <w:t>(</w:t>
      </w:r>
      <w:r w:rsidR="00D6323B">
        <w:t>1</w:t>
      </w:r>
      <w:r>
        <w:t>)(b), the</w:t>
      </w:r>
      <w:r w:rsidR="00862FCC">
        <w:t xml:space="preserve">re is no reasonable prospect that the </w:t>
      </w:r>
      <w:r>
        <w:t xml:space="preserve">restack objective </w:t>
      </w:r>
      <w:r w:rsidR="00862FCC">
        <w:t xml:space="preserve">can </w:t>
      </w:r>
      <w:r>
        <w:t>be met in the area;</w:t>
      </w:r>
    </w:p>
    <w:p w:rsidR="008A46CB" w:rsidRDefault="008A46CB" w:rsidP="00FE0DB1">
      <w:pPr>
        <w:keepNext/>
        <w:ind w:left="567"/>
      </w:pPr>
    </w:p>
    <w:p w:rsidR="008B65A4" w:rsidRDefault="0022152A" w:rsidP="00FE0DB1">
      <w:pPr>
        <w:keepNext/>
        <w:ind w:left="567"/>
      </w:pPr>
      <w:proofErr w:type="gramStart"/>
      <w:r>
        <w:t>the</w:t>
      </w:r>
      <w:proofErr w:type="gramEnd"/>
      <w:r>
        <w:t xml:space="preserve"> ACMA</w:t>
      </w:r>
      <w:r w:rsidR="00E024F2">
        <w:t xml:space="preserve"> is </w:t>
      </w:r>
      <w:r w:rsidR="008B65A4" w:rsidRPr="001602C6">
        <w:t xml:space="preserve">to </w:t>
      </w:r>
      <w:r w:rsidR="008B65A4" w:rsidRPr="009D2B2B">
        <w:t>exercise its powers</w:t>
      </w:r>
      <w:r w:rsidR="008A46CB">
        <w:t xml:space="preserve"> </w:t>
      </w:r>
      <w:r w:rsidR="008B65A4" w:rsidRPr="009D2B2B">
        <w:t>under subsection</w:t>
      </w:r>
      <w:r w:rsidR="009826C5" w:rsidRPr="00374DAE">
        <w:rPr>
          <w:bCs/>
          <w:iCs/>
        </w:rPr>
        <w:t> </w:t>
      </w:r>
      <w:r w:rsidR="008B65A4" w:rsidRPr="009D2B2B">
        <w:t xml:space="preserve">26(2) of the BSA to vary </w:t>
      </w:r>
      <w:r w:rsidR="008B65A4">
        <w:t>the</w:t>
      </w:r>
      <w:r w:rsidR="008B65A4" w:rsidRPr="009D2B2B">
        <w:t xml:space="preserve"> TLAP</w:t>
      </w:r>
      <w:r w:rsidR="008B65A4">
        <w:t xml:space="preserve"> for the area</w:t>
      </w:r>
      <w:r w:rsidR="00EA60BD">
        <w:t>.</w:t>
      </w:r>
    </w:p>
    <w:p w:rsidR="00E024F2" w:rsidRDefault="00E024F2" w:rsidP="00E024F2"/>
    <w:p w:rsidR="00FE0DB1" w:rsidRDefault="00FE0DB1" w:rsidP="0022152A">
      <w:pPr>
        <w:keepNext/>
        <w:numPr>
          <w:ilvl w:val="0"/>
          <w:numId w:val="16"/>
        </w:numPr>
        <w:ind w:left="567" w:hanging="567"/>
        <w:rPr>
          <w:bCs/>
        </w:rPr>
      </w:pPr>
      <w:r>
        <w:rPr>
          <w:bCs/>
        </w:rPr>
        <w:t>I direct the ACMA that when it exercises its power to vary a TLAP</w:t>
      </w:r>
      <w:r w:rsidR="00975415">
        <w:rPr>
          <w:bCs/>
        </w:rPr>
        <w:t xml:space="preserve"> as required by subclause 5</w:t>
      </w:r>
      <w:r>
        <w:rPr>
          <w:bCs/>
        </w:rPr>
        <w:t xml:space="preserve">(1), the ACMA is to vary the TLAP to the minimum extent necessary to address the adverse </w:t>
      </w:r>
      <w:r w:rsidR="00975415">
        <w:rPr>
          <w:bCs/>
        </w:rPr>
        <w:t>impact</w:t>
      </w:r>
      <w:r>
        <w:rPr>
          <w:bCs/>
        </w:rPr>
        <w:t xml:space="preserve"> of the event o</w:t>
      </w:r>
      <w:r w:rsidR="00975415">
        <w:rPr>
          <w:bCs/>
        </w:rPr>
        <w:t>r</w:t>
      </w:r>
      <w:r>
        <w:rPr>
          <w:bCs/>
        </w:rPr>
        <w:t xml:space="preserve"> circumstance.</w:t>
      </w:r>
    </w:p>
    <w:p w:rsidR="00FE0DB1" w:rsidRDefault="00FE0DB1" w:rsidP="00FE0DB1">
      <w:pPr>
        <w:keepNext/>
        <w:ind w:left="567"/>
        <w:rPr>
          <w:bCs/>
        </w:rPr>
      </w:pPr>
    </w:p>
    <w:p w:rsidR="00E024F2" w:rsidRDefault="00E024F2" w:rsidP="0022152A">
      <w:pPr>
        <w:keepNext/>
        <w:numPr>
          <w:ilvl w:val="0"/>
          <w:numId w:val="16"/>
        </w:numPr>
        <w:ind w:left="567" w:hanging="567"/>
        <w:rPr>
          <w:bCs/>
        </w:rPr>
      </w:pPr>
      <w:r w:rsidRPr="001602C6">
        <w:rPr>
          <w:bCs/>
        </w:rPr>
        <w:t xml:space="preserve">For the avoidance of doubt, this </w:t>
      </w:r>
      <w:r w:rsidR="00260D02">
        <w:rPr>
          <w:bCs/>
        </w:rPr>
        <w:t>clause</w:t>
      </w:r>
      <w:r w:rsidR="00260D02" w:rsidRPr="001602C6">
        <w:rPr>
          <w:bCs/>
        </w:rPr>
        <w:t xml:space="preserve"> </w:t>
      </w:r>
      <w:r>
        <w:rPr>
          <w:bCs/>
        </w:rPr>
        <w:t xml:space="preserve">5 </w:t>
      </w:r>
      <w:r w:rsidRPr="001602C6">
        <w:rPr>
          <w:bCs/>
        </w:rPr>
        <w:t>does not</w:t>
      </w:r>
      <w:r>
        <w:rPr>
          <w:bCs/>
        </w:rPr>
        <w:t>:</w:t>
      </w:r>
    </w:p>
    <w:p w:rsidR="007727EF" w:rsidRDefault="007727EF" w:rsidP="007727EF">
      <w:pPr>
        <w:keepNext/>
      </w:pPr>
    </w:p>
    <w:p w:rsidR="00E024F2" w:rsidRPr="001C5199" w:rsidRDefault="00E024F2" w:rsidP="007727EF">
      <w:pPr>
        <w:keepNext/>
        <w:numPr>
          <w:ilvl w:val="0"/>
          <w:numId w:val="17"/>
        </w:numPr>
        <w:ind w:hanging="644"/>
      </w:pPr>
      <w:r w:rsidRPr="005C3157">
        <w:t>prevent the ACMA from varying a TLAP at any other time in respect of any matter</w:t>
      </w:r>
      <w:r w:rsidRPr="001C5199">
        <w:t>;</w:t>
      </w:r>
    </w:p>
    <w:p w:rsidR="00E024F2" w:rsidRPr="005C3157" w:rsidRDefault="00E024F2" w:rsidP="007727EF">
      <w:pPr>
        <w:keepNext/>
        <w:numPr>
          <w:ilvl w:val="0"/>
          <w:numId w:val="17"/>
        </w:numPr>
        <w:ind w:hanging="644"/>
      </w:pPr>
      <w:proofErr w:type="gramStart"/>
      <w:r w:rsidRPr="00374DAE">
        <w:t>require</w:t>
      </w:r>
      <w:proofErr w:type="gramEnd"/>
      <w:r w:rsidRPr="00374DAE">
        <w:t xml:space="preserve"> that the ACMA </w:t>
      </w:r>
      <w:r>
        <w:t xml:space="preserve">vary a TLAP </w:t>
      </w:r>
      <w:r w:rsidRPr="00374DAE">
        <w:t xml:space="preserve">if it is </w:t>
      </w:r>
      <w:r>
        <w:t xml:space="preserve">not satisfied as to the matters described in paragraphs </w:t>
      </w:r>
      <w:r w:rsidR="001A3729">
        <w:t>5(1</w:t>
      </w:r>
      <w:r>
        <w:t>)(a), (b) and (c).</w:t>
      </w:r>
    </w:p>
    <w:p w:rsidR="00E024F2" w:rsidRDefault="00E024F2" w:rsidP="00E024F2">
      <w:pPr>
        <w:pStyle w:val="Heading2"/>
        <w:keepNext w:val="0"/>
        <w:jc w:val="left"/>
        <w:rPr>
          <w:b w:val="0"/>
          <w:sz w:val="24"/>
          <w:szCs w:val="24"/>
        </w:rPr>
      </w:pPr>
    </w:p>
    <w:p w:rsidR="00E024F2" w:rsidRDefault="00E024F2" w:rsidP="00E024F2">
      <w:pPr>
        <w:pStyle w:val="Heading2"/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E024F2">
        <w:rPr>
          <w:sz w:val="24"/>
          <w:szCs w:val="24"/>
        </w:rPr>
        <w:t>Direction – The ACMA to advise the Minister of its intention to vary a TLAP in specified circumstance</w:t>
      </w:r>
    </w:p>
    <w:p w:rsidR="00E024F2" w:rsidRPr="00E024F2" w:rsidRDefault="00E024F2" w:rsidP="00E024F2">
      <w:pPr>
        <w:pStyle w:val="Heading2"/>
        <w:ind w:left="567" w:hanging="567"/>
        <w:jc w:val="left"/>
        <w:rPr>
          <w:sz w:val="24"/>
          <w:szCs w:val="24"/>
        </w:rPr>
      </w:pPr>
    </w:p>
    <w:p w:rsidR="00E024F2" w:rsidRDefault="00E024F2" w:rsidP="0022152A">
      <w:pPr>
        <w:numPr>
          <w:ilvl w:val="0"/>
          <w:numId w:val="15"/>
        </w:numPr>
        <w:ind w:left="567" w:hanging="567"/>
        <w:rPr>
          <w:bCs/>
        </w:rPr>
      </w:pPr>
      <w:r>
        <w:rPr>
          <w:bCs/>
        </w:rPr>
        <w:t xml:space="preserve">This </w:t>
      </w:r>
      <w:r w:rsidR="00260D02">
        <w:rPr>
          <w:bCs/>
        </w:rPr>
        <w:t xml:space="preserve">clause </w:t>
      </w:r>
      <w:r>
        <w:rPr>
          <w:bCs/>
        </w:rPr>
        <w:t xml:space="preserve">applies if the ACMA is required to vary a TLAP under </w:t>
      </w:r>
      <w:r w:rsidR="00260D02">
        <w:rPr>
          <w:bCs/>
        </w:rPr>
        <w:t>clause 5</w:t>
      </w:r>
      <w:r>
        <w:rPr>
          <w:bCs/>
        </w:rPr>
        <w:t>.</w:t>
      </w:r>
    </w:p>
    <w:p w:rsidR="00E024F2" w:rsidRDefault="00E024F2" w:rsidP="00E024F2">
      <w:pPr>
        <w:ind w:left="360"/>
        <w:rPr>
          <w:bCs/>
        </w:rPr>
      </w:pPr>
    </w:p>
    <w:p w:rsidR="00726B70" w:rsidRDefault="008B2054" w:rsidP="0022152A">
      <w:pPr>
        <w:numPr>
          <w:ilvl w:val="0"/>
          <w:numId w:val="15"/>
        </w:numPr>
        <w:ind w:left="567" w:hanging="567"/>
        <w:rPr>
          <w:bCs/>
        </w:rPr>
      </w:pPr>
      <w:r>
        <w:rPr>
          <w:bCs/>
        </w:rPr>
        <w:t xml:space="preserve">Before </w:t>
      </w:r>
      <w:r w:rsidR="00630DFF">
        <w:rPr>
          <w:bCs/>
        </w:rPr>
        <w:t xml:space="preserve">exercising its power to </w:t>
      </w:r>
      <w:r>
        <w:rPr>
          <w:bCs/>
        </w:rPr>
        <w:t>vary a TLAP or commencing consultation for such a variation</w:t>
      </w:r>
      <w:r w:rsidR="00726B70">
        <w:rPr>
          <w:bCs/>
        </w:rPr>
        <w:t xml:space="preserve"> in accordance with section 27 of the BSA</w:t>
      </w:r>
      <w:r>
        <w:rPr>
          <w:bCs/>
        </w:rPr>
        <w:t xml:space="preserve">, </w:t>
      </w:r>
      <w:r w:rsidR="00A666C2">
        <w:rPr>
          <w:bCs/>
        </w:rPr>
        <w:t xml:space="preserve">I direct the ACMA under </w:t>
      </w:r>
      <w:r w:rsidR="00C407A6">
        <w:rPr>
          <w:bCs/>
        </w:rPr>
        <w:t>section</w:t>
      </w:r>
      <w:r w:rsidR="00653324">
        <w:rPr>
          <w:bCs/>
        </w:rPr>
        <w:t> </w:t>
      </w:r>
      <w:r w:rsidR="00C407A6">
        <w:rPr>
          <w:bCs/>
        </w:rPr>
        <w:t>14 of the ACMA Act</w:t>
      </w:r>
      <w:r w:rsidR="00A666C2">
        <w:rPr>
          <w:bCs/>
        </w:rPr>
        <w:t xml:space="preserve"> to </w:t>
      </w:r>
      <w:r w:rsidR="00156145">
        <w:rPr>
          <w:bCs/>
        </w:rPr>
        <w:t xml:space="preserve">advise </w:t>
      </w:r>
      <w:r w:rsidR="00A666C2">
        <w:rPr>
          <w:bCs/>
        </w:rPr>
        <w:t>the Minister</w:t>
      </w:r>
      <w:r w:rsidR="00156145">
        <w:rPr>
          <w:bCs/>
        </w:rPr>
        <w:t>,</w:t>
      </w:r>
      <w:r w:rsidR="00A666C2">
        <w:rPr>
          <w:bCs/>
        </w:rPr>
        <w:t xml:space="preserve"> with reasonable notice</w:t>
      </w:r>
      <w:r w:rsidR="00156145">
        <w:rPr>
          <w:bCs/>
        </w:rPr>
        <w:t>,</w:t>
      </w:r>
      <w:r w:rsidR="00A666C2">
        <w:rPr>
          <w:bCs/>
        </w:rPr>
        <w:t xml:space="preserve"> of its intention to vary a TLAP</w:t>
      </w:r>
      <w:r w:rsidR="00726B70">
        <w:rPr>
          <w:bCs/>
        </w:rPr>
        <w:t>.</w:t>
      </w:r>
    </w:p>
    <w:p w:rsidR="00726B70" w:rsidRDefault="00726B70" w:rsidP="0022152A">
      <w:pPr>
        <w:ind w:left="567"/>
        <w:rPr>
          <w:bCs/>
        </w:rPr>
      </w:pPr>
    </w:p>
    <w:p w:rsidR="00A666C2" w:rsidRDefault="00726B70" w:rsidP="0022152A">
      <w:pPr>
        <w:numPr>
          <w:ilvl w:val="0"/>
          <w:numId w:val="15"/>
        </w:numPr>
        <w:ind w:left="567" w:hanging="567"/>
        <w:rPr>
          <w:bCs/>
        </w:rPr>
      </w:pPr>
      <w:r>
        <w:rPr>
          <w:bCs/>
        </w:rPr>
        <w:t xml:space="preserve">The </w:t>
      </w:r>
      <w:r w:rsidR="00156145">
        <w:rPr>
          <w:bCs/>
        </w:rPr>
        <w:t>advice</w:t>
      </w:r>
      <w:r>
        <w:rPr>
          <w:bCs/>
        </w:rPr>
        <w:t xml:space="preserve"> provided by the ACMA </w:t>
      </w:r>
      <w:r w:rsidR="001D4424">
        <w:rPr>
          <w:bCs/>
        </w:rPr>
        <w:t xml:space="preserve">in accordance with </w:t>
      </w:r>
      <w:r w:rsidR="00E024F2">
        <w:rPr>
          <w:bCs/>
        </w:rPr>
        <w:t xml:space="preserve">this </w:t>
      </w:r>
      <w:r w:rsidR="00260D02">
        <w:rPr>
          <w:bCs/>
        </w:rPr>
        <w:t xml:space="preserve">clause 6 </w:t>
      </w:r>
      <w:r>
        <w:rPr>
          <w:bCs/>
        </w:rPr>
        <w:t>must</w:t>
      </w:r>
      <w:r w:rsidR="008B2054">
        <w:rPr>
          <w:bCs/>
        </w:rPr>
        <w:t xml:space="preserve"> include </w:t>
      </w:r>
      <w:r>
        <w:rPr>
          <w:bCs/>
        </w:rPr>
        <w:t xml:space="preserve">an </w:t>
      </w:r>
      <w:r w:rsidR="000002AC">
        <w:rPr>
          <w:bCs/>
        </w:rPr>
        <w:t>initial assessment of</w:t>
      </w:r>
      <w:r w:rsidR="008B2054">
        <w:rPr>
          <w:bCs/>
        </w:rPr>
        <w:t>:</w:t>
      </w:r>
    </w:p>
    <w:p w:rsidR="00BA2037" w:rsidRDefault="00BA2037" w:rsidP="00BA2037">
      <w:pPr>
        <w:ind w:left="567"/>
        <w:rPr>
          <w:bCs/>
        </w:rPr>
      </w:pPr>
    </w:p>
    <w:p w:rsidR="00BA2037" w:rsidRDefault="00653324" w:rsidP="001E248F">
      <w:pPr>
        <w:numPr>
          <w:ilvl w:val="0"/>
          <w:numId w:val="12"/>
        </w:numPr>
        <w:ind w:left="1213" w:hanging="646"/>
      </w:pPr>
      <w:r>
        <w:t xml:space="preserve">the </w:t>
      </w:r>
      <w:r w:rsidR="00726B70">
        <w:t>ways in which</w:t>
      </w:r>
      <w:r w:rsidR="00BA2037">
        <w:t xml:space="preserve"> </w:t>
      </w:r>
      <w:r w:rsidR="002377B3">
        <w:t>the</w:t>
      </w:r>
      <w:r w:rsidR="00C407A6">
        <w:t xml:space="preserve"> TLAP </w:t>
      </w:r>
      <w:r w:rsidR="00726B70">
        <w:t xml:space="preserve">may be varied (the </w:t>
      </w:r>
      <w:r w:rsidR="00726B70">
        <w:rPr>
          <w:b/>
        </w:rPr>
        <w:t>options</w:t>
      </w:r>
      <w:r w:rsidR="00726B70">
        <w:t>)</w:t>
      </w:r>
      <w:r w:rsidR="00C407A6">
        <w:t>;</w:t>
      </w:r>
    </w:p>
    <w:p w:rsidR="00C34657" w:rsidRPr="001E248F" w:rsidRDefault="008B2054" w:rsidP="001E248F">
      <w:pPr>
        <w:numPr>
          <w:ilvl w:val="0"/>
          <w:numId w:val="12"/>
        </w:numPr>
        <w:ind w:left="1213" w:hanging="646"/>
      </w:pPr>
      <w:proofErr w:type="gramStart"/>
      <w:r>
        <w:t>the</w:t>
      </w:r>
      <w:proofErr w:type="gramEnd"/>
      <w:r>
        <w:t xml:space="preserve"> likely impact of </w:t>
      </w:r>
      <w:r w:rsidR="00726B70">
        <w:t xml:space="preserve">each </w:t>
      </w:r>
      <w:r w:rsidR="001D4424">
        <w:t xml:space="preserve">of the </w:t>
      </w:r>
      <w:r w:rsidR="002377B3">
        <w:t>option</w:t>
      </w:r>
      <w:r w:rsidR="001D4424">
        <w:t>s</w:t>
      </w:r>
      <w:r w:rsidR="002377B3">
        <w:t xml:space="preserve"> </w:t>
      </w:r>
      <w:r>
        <w:t xml:space="preserve">on users, including future users, of </w:t>
      </w:r>
      <w:r w:rsidR="000002AC">
        <w:t xml:space="preserve">the </w:t>
      </w:r>
      <w:r w:rsidR="00156145">
        <w:t>radiofrequency spectrum in the frequency range</w:t>
      </w:r>
      <w:r w:rsidR="00904000">
        <w:t xml:space="preserve"> </w:t>
      </w:r>
      <w:r w:rsidR="000002AC">
        <w:t>694</w:t>
      </w:r>
      <w:r w:rsidR="00156145">
        <w:t xml:space="preserve"> to </w:t>
      </w:r>
      <w:r w:rsidR="000002AC">
        <w:t>820</w:t>
      </w:r>
      <w:r w:rsidR="00156145">
        <w:t xml:space="preserve"> </w:t>
      </w:r>
      <w:proofErr w:type="spellStart"/>
      <w:r w:rsidR="000002AC">
        <w:t>MHz</w:t>
      </w:r>
      <w:r>
        <w:t>.</w:t>
      </w:r>
      <w:bookmarkEnd w:id="9"/>
      <w:bookmarkEnd w:id="10"/>
      <w:proofErr w:type="spellEnd"/>
    </w:p>
    <w:sectPr w:rsidR="00C34657" w:rsidRPr="001E248F" w:rsidSect="009E3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11" w:rsidRDefault="000E4C11">
      <w:r>
        <w:separator/>
      </w:r>
    </w:p>
  </w:endnote>
  <w:endnote w:type="continuationSeparator" w:id="0">
    <w:p w:rsidR="000E4C11" w:rsidRDefault="000E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11" w:rsidRDefault="000E4C11">
      <w:r>
        <w:separator/>
      </w:r>
    </w:p>
  </w:footnote>
  <w:footnote w:type="continuationSeparator" w:id="0">
    <w:p w:rsidR="000E4C11" w:rsidRDefault="000E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9AF"/>
    <w:multiLevelType w:val="hybridMultilevel"/>
    <w:tmpl w:val="59963F66"/>
    <w:lvl w:ilvl="0" w:tplc="D6422A4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EB48D3"/>
    <w:multiLevelType w:val="hybridMultilevel"/>
    <w:tmpl w:val="59963F66"/>
    <w:lvl w:ilvl="0" w:tplc="D6422A4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6867AC"/>
    <w:multiLevelType w:val="hybridMultilevel"/>
    <w:tmpl w:val="EDBAA168"/>
    <w:lvl w:ilvl="0" w:tplc="D6422A4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F94F04C">
      <w:start w:val="1"/>
      <w:numFmt w:val="lowerRoman"/>
      <w:lvlText w:val="(%2)"/>
      <w:lvlJc w:val="right"/>
      <w:pPr>
        <w:ind w:left="193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3697387"/>
    <w:multiLevelType w:val="hybridMultilevel"/>
    <w:tmpl w:val="AAF632DA"/>
    <w:lvl w:ilvl="0" w:tplc="D6422A4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5E11DA"/>
    <w:multiLevelType w:val="hybridMultilevel"/>
    <w:tmpl w:val="B1AE14DC"/>
    <w:lvl w:ilvl="0" w:tplc="D6422A4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3912BA"/>
    <w:multiLevelType w:val="hybridMultilevel"/>
    <w:tmpl w:val="B1AE14DC"/>
    <w:lvl w:ilvl="0" w:tplc="D6422A4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C044CF"/>
    <w:multiLevelType w:val="hybridMultilevel"/>
    <w:tmpl w:val="59963F66"/>
    <w:lvl w:ilvl="0" w:tplc="D6422A4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C131A7B"/>
    <w:multiLevelType w:val="hybridMultilevel"/>
    <w:tmpl w:val="B81CA136"/>
    <w:lvl w:ilvl="0" w:tplc="D898F1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796B8F"/>
    <w:multiLevelType w:val="hybridMultilevel"/>
    <w:tmpl w:val="59963F66"/>
    <w:lvl w:ilvl="0" w:tplc="D6422A4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CE3918"/>
    <w:multiLevelType w:val="hybridMultilevel"/>
    <w:tmpl w:val="59963F66"/>
    <w:lvl w:ilvl="0" w:tplc="D6422A4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C949A4"/>
    <w:multiLevelType w:val="hybridMultilevel"/>
    <w:tmpl w:val="DA9AE7B0"/>
    <w:lvl w:ilvl="0" w:tplc="13BA4EB2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F94F04C">
      <w:start w:val="1"/>
      <w:numFmt w:val="lowerRoman"/>
      <w:lvlText w:val="(%2)"/>
      <w:lvlJc w:val="right"/>
      <w:pPr>
        <w:tabs>
          <w:tab w:val="num" w:pos="2787"/>
        </w:tabs>
        <w:ind w:left="278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507"/>
        </w:tabs>
        <w:ind w:left="350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227"/>
        </w:tabs>
        <w:ind w:left="422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947"/>
        </w:tabs>
        <w:ind w:left="494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667"/>
        </w:tabs>
        <w:ind w:left="566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87"/>
        </w:tabs>
        <w:ind w:left="638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107"/>
        </w:tabs>
        <w:ind w:left="710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827"/>
        </w:tabs>
        <w:ind w:left="7827" w:hanging="180"/>
      </w:pPr>
    </w:lvl>
  </w:abstractNum>
  <w:abstractNum w:abstractNumId="11">
    <w:nsid w:val="3E1143DE"/>
    <w:multiLevelType w:val="hybridMultilevel"/>
    <w:tmpl w:val="B81CA136"/>
    <w:lvl w:ilvl="0" w:tplc="D898F1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BD5710"/>
    <w:multiLevelType w:val="hybridMultilevel"/>
    <w:tmpl w:val="68306748"/>
    <w:lvl w:ilvl="0" w:tplc="D898F1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846CDE"/>
    <w:multiLevelType w:val="hybridMultilevel"/>
    <w:tmpl w:val="6398528E"/>
    <w:lvl w:ilvl="0" w:tplc="13BA4EB2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F94F04C">
      <w:start w:val="1"/>
      <w:numFmt w:val="lowerRoman"/>
      <w:lvlText w:val="(%2)"/>
      <w:lvlJc w:val="right"/>
      <w:pPr>
        <w:tabs>
          <w:tab w:val="num" w:pos="2787"/>
        </w:tabs>
        <w:ind w:left="278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507"/>
        </w:tabs>
        <w:ind w:left="350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227"/>
        </w:tabs>
        <w:ind w:left="422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947"/>
        </w:tabs>
        <w:ind w:left="494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667"/>
        </w:tabs>
        <w:ind w:left="566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87"/>
        </w:tabs>
        <w:ind w:left="638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107"/>
        </w:tabs>
        <w:ind w:left="710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827"/>
        </w:tabs>
        <w:ind w:left="7827" w:hanging="180"/>
      </w:pPr>
    </w:lvl>
  </w:abstractNum>
  <w:abstractNum w:abstractNumId="14">
    <w:nsid w:val="65CC21F1"/>
    <w:multiLevelType w:val="hybridMultilevel"/>
    <w:tmpl w:val="DFCC389C"/>
    <w:lvl w:ilvl="0" w:tplc="B734D9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6422A4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87F58"/>
    <w:multiLevelType w:val="hybridMultilevel"/>
    <w:tmpl w:val="68306748"/>
    <w:lvl w:ilvl="0" w:tplc="D898F1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634C73"/>
    <w:multiLevelType w:val="hybridMultilevel"/>
    <w:tmpl w:val="B81CA136"/>
    <w:lvl w:ilvl="0" w:tplc="D898F1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4"/>
  </w:num>
  <w:num w:numId="5">
    <w:abstractNumId w:val="13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  <w:num w:numId="14">
    <w:abstractNumId w:val="15"/>
  </w:num>
  <w:num w:numId="15">
    <w:abstractNumId w:val="12"/>
  </w:num>
  <w:num w:numId="16">
    <w:abstractNumId w:val="16"/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22D"/>
    <w:rsid w:val="000002AC"/>
    <w:rsid w:val="000005FA"/>
    <w:rsid w:val="000013CA"/>
    <w:rsid w:val="00003D9C"/>
    <w:rsid w:val="0000695E"/>
    <w:rsid w:val="00007914"/>
    <w:rsid w:val="00007C52"/>
    <w:rsid w:val="00014C84"/>
    <w:rsid w:val="00016BDE"/>
    <w:rsid w:val="00022A04"/>
    <w:rsid w:val="0003569B"/>
    <w:rsid w:val="00046EE1"/>
    <w:rsid w:val="0005057C"/>
    <w:rsid w:val="000555CD"/>
    <w:rsid w:val="000672D9"/>
    <w:rsid w:val="000679F9"/>
    <w:rsid w:val="00074382"/>
    <w:rsid w:val="00076AD3"/>
    <w:rsid w:val="0007738E"/>
    <w:rsid w:val="0008420B"/>
    <w:rsid w:val="00097098"/>
    <w:rsid w:val="000A066D"/>
    <w:rsid w:val="000A6957"/>
    <w:rsid w:val="000B68FB"/>
    <w:rsid w:val="000C0F31"/>
    <w:rsid w:val="000C36A2"/>
    <w:rsid w:val="000D65BD"/>
    <w:rsid w:val="000E2ED0"/>
    <w:rsid w:val="000E4C11"/>
    <w:rsid w:val="000F382A"/>
    <w:rsid w:val="000F56CA"/>
    <w:rsid w:val="00101B3B"/>
    <w:rsid w:val="001037FB"/>
    <w:rsid w:val="0010495C"/>
    <w:rsid w:val="0010584E"/>
    <w:rsid w:val="00122B28"/>
    <w:rsid w:val="00125BE6"/>
    <w:rsid w:val="00130A91"/>
    <w:rsid w:val="001325D3"/>
    <w:rsid w:val="00133709"/>
    <w:rsid w:val="001405AA"/>
    <w:rsid w:val="001448E8"/>
    <w:rsid w:val="00145E19"/>
    <w:rsid w:val="00147FEB"/>
    <w:rsid w:val="001516C0"/>
    <w:rsid w:val="00151C65"/>
    <w:rsid w:val="00152125"/>
    <w:rsid w:val="00152346"/>
    <w:rsid w:val="0015373E"/>
    <w:rsid w:val="00156145"/>
    <w:rsid w:val="0015636A"/>
    <w:rsid w:val="001602C6"/>
    <w:rsid w:val="00160ADA"/>
    <w:rsid w:val="00161152"/>
    <w:rsid w:val="00165F0E"/>
    <w:rsid w:val="001720B3"/>
    <w:rsid w:val="001728D4"/>
    <w:rsid w:val="00194D61"/>
    <w:rsid w:val="001A3729"/>
    <w:rsid w:val="001A3D5B"/>
    <w:rsid w:val="001B1437"/>
    <w:rsid w:val="001B2155"/>
    <w:rsid w:val="001C2275"/>
    <w:rsid w:val="001C5199"/>
    <w:rsid w:val="001D154A"/>
    <w:rsid w:val="001D3504"/>
    <w:rsid w:val="001D4424"/>
    <w:rsid w:val="001D66F4"/>
    <w:rsid w:val="001D72C8"/>
    <w:rsid w:val="001E248F"/>
    <w:rsid w:val="001E738C"/>
    <w:rsid w:val="001E7981"/>
    <w:rsid w:val="002005D8"/>
    <w:rsid w:val="002026F9"/>
    <w:rsid w:val="0022152A"/>
    <w:rsid w:val="00223C00"/>
    <w:rsid w:val="002317C2"/>
    <w:rsid w:val="00233DB5"/>
    <w:rsid w:val="00235565"/>
    <w:rsid w:val="002377B3"/>
    <w:rsid w:val="0024730C"/>
    <w:rsid w:val="00260082"/>
    <w:rsid w:val="00260D02"/>
    <w:rsid w:val="00274A4F"/>
    <w:rsid w:val="002839BC"/>
    <w:rsid w:val="002839F5"/>
    <w:rsid w:val="00283AD5"/>
    <w:rsid w:val="00285CED"/>
    <w:rsid w:val="002872D6"/>
    <w:rsid w:val="00291E80"/>
    <w:rsid w:val="00296952"/>
    <w:rsid w:val="002B21DE"/>
    <w:rsid w:val="002B7EA9"/>
    <w:rsid w:val="002C3F3B"/>
    <w:rsid w:val="002C7144"/>
    <w:rsid w:val="002D1A02"/>
    <w:rsid w:val="002D25E9"/>
    <w:rsid w:val="002F2360"/>
    <w:rsid w:val="002F53B5"/>
    <w:rsid w:val="003000CF"/>
    <w:rsid w:val="003051CE"/>
    <w:rsid w:val="00307206"/>
    <w:rsid w:val="003156F1"/>
    <w:rsid w:val="00320E21"/>
    <w:rsid w:val="003216B2"/>
    <w:rsid w:val="00332D27"/>
    <w:rsid w:val="003331C8"/>
    <w:rsid w:val="00333970"/>
    <w:rsid w:val="00335CC2"/>
    <w:rsid w:val="00337D7C"/>
    <w:rsid w:val="00341596"/>
    <w:rsid w:val="0034373F"/>
    <w:rsid w:val="0034493C"/>
    <w:rsid w:val="003529E3"/>
    <w:rsid w:val="00353B42"/>
    <w:rsid w:val="00371CBF"/>
    <w:rsid w:val="003749A9"/>
    <w:rsid w:val="00374DAE"/>
    <w:rsid w:val="00387A57"/>
    <w:rsid w:val="0039161D"/>
    <w:rsid w:val="003932C1"/>
    <w:rsid w:val="003A1C28"/>
    <w:rsid w:val="003A6045"/>
    <w:rsid w:val="003A7DF9"/>
    <w:rsid w:val="003B0000"/>
    <w:rsid w:val="003B0CF3"/>
    <w:rsid w:val="003B3C6A"/>
    <w:rsid w:val="003B6C1C"/>
    <w:rsid w:val="003C5EEE"/>
    <w:rsid w:val="003C6212"/>
    <w:rsid w:val="003D0F0B"/>
    <w:rsid w:val="003D46BC"/>
    <w:rsid w:val="003E3807"/>
    <w:rsid w:val="00404B5F"/>
    <w:rsid w:val="004073F1"/>
    <w:rsid w:val="00411436"/>
    <w:rsid w:val="00416918"/>
    <w:rsid w:val="00425216"/>
    <w:rsid w:val="0043034A"/>
    <w:rsid w:val="00431648"/>
    <w:rsid w:val="004348AD"/>
    <w:rsid w:val="00436D8A"/>
    <w:rsid w:val="00457858"/>
    <w:rsid w:val="0046649E"/>
    <w:rsid w:val="00467B15"/>
    <w:rsid w:val="0048043B"/>
    <w:rsid w:val="00481CE8"/>
    <w:rsid w:val="00495A9A"/>
    <w:rsid w:val="004966B3"/>
    <w:rsid w:val="004C4462"/>
    <w:rsid w:val="004D4287"/>
    <w:rsid w:val="004F08C9"/>
    <w:rsid w:val="004F21CF"/>
    <w:rsid w:val="004F4304"/>
    <w:rsid w:val="005079C4"/>
    <w:rsid w:val="005172A6"/>
    <w:rsid w:val="00523582"/>
    <w:rsid w:val="00526FD4"/>
    <w:rsid w:val="005274D5"/>
    <w:rsid w:val="005350CA"/>
    <w:rsid w:val="00540797"/>
    <w:rsid w:val="00541678"/>
    <w:rsid w:val="00550B76"/>
    <w:rsid w:val="00566963"/>
    <w:rsid w:val="0057184F"/>
    <w:rsid w:val="00571FBF"/>
    <w:rsid w:val="0058261F"/>
    <w:rsid w:val="005842EC"/>
    <w:rsid w:val="005A0745"/>
    <w:rsid w:val="005A140F"/>
    <w:rsid w:val="005A380B"/>
    <w:rsid w:val="005A65C1"/>
    <w:rsid w:val="005A6BAA"/>
    <w:rsid w:val="005B3ABF"/>
    <w:rsid w:val="005B43FD"/>
    <w:rsid w:val="005C1E03"/>
    <w:rsid w:val="005C3157"/>
    <w:rsid w:val="005C413B"/>
    <w:rsid w:val="005C63E7"/>
    <w:rsid w:val="005D3DA7"/>
    <w:rsid w:val="005D5D15"/>
    <w:rsid w:val="005D6840"/>
    <w:rsid w:val="005D6893"/>
    <w:rsid w:val="005D78A5"/>
    <w:rsid w:val="005E42D3"/>
    <w:rsid w:val="005F24B5"/>
    <w:rsid w:val="005F6366"/>
    <w:rsid w:val="0060039B"/>
    <w:rsid w:val="0061148E"/>
    <w:rsid w:val="00624F8A"/>
    <w:rsid w:val="00630DFF"/>
    <w:rsid w:val="00632DC5"/>
    <w:rsid w:val="006351FE"/>
    <w:rsid w:val="00637D6E"/>
    <w:rsid w:val="00642D32"/>
    <w:rsid w:val="00653059"/>
    <w:rsid w:val="00653324"/>
    <w:rsid w:val="006622D9"/>
    <w:rsid w:val="00670E26"/>
    <w:rsid w:val="00676839"/>
    <w:rsid w:val="006854E9"/>
    <w:rsid w:val="00691911"/>
    <w:rsid w:val="006937EB"/>
    <w:rsid w:val="00694E5C"/>
    <w:rsid w:val="006A2554"/>
    <w:rsid w:val="006B2094"/>
    <w:rsid w:val="006C0A9D"/>
    <w:rsid w:val="006C38B7"/>
    <w:rsid w:val="006E01EC"/>
    <w:rsid w:val="006E1140"/>
    <w:rsid w:val="006E6A4E"/>
    <w:rsid w:val="006F3A0C"/>
    <w:rsid w:val="006F5DDA"/>
    <w:rsid w:val="00704830"/>
    <w:rsid w:val="00705B61"/>
    <w:rsid w:val="00716284"/>
    <w:rsid w:val="00725C81"/>
    <w:rsid w:val="00726B70"/>
    <w:rsid w:val="00732ED1"/>
    <w:rsid w:val="007338CB"/>
    <w:rsid w:val="00752812"/>
    <w:rsid w:val="00755D6D"/>
    <w:rsid w:val="0075697F"/>
    <w:rsid w:val="00757D19"/>
    <w:rsid w:val="007727EF"/>
    <w:rsid w:val="0077722D"/>
    <w:rsid w:val="007835B3"/>
    <w:rsid w:val="00784B54"/>
    <w:rsid w:val="00786607"/>
    <w:rsid w:val="007C4B2E"/>
    <w:rsid w:val="007D0399"/>
    <w:rsid w:val="007D3DA6"/>
    <w:rsid w:val="007D7DA6"/>
    <w:rsid w:val="007E7D4B"/>
    <w:rsid w:val="007F6C4E"/>
    <w:rsid w:val="008024FB"/>
    <w:rsid w:val="00802BC5"/>
    <w:rsid w:val="00804925"/>
    <w:rsid w:val="00806F80"/>
    <w:rsid w:val="00812141"/>
    <w:rsid w:val="008226CA"/>
    <w:rsid w:val="008248F8"/>
    <w:rsid w:val="00827DF2"/>
    <w:rsid w:val="00834348"/>
    <w:rsid w:val="00860809"/>
    <w:rsid w:val="008629B0"/>
    <w:rsid w:val="00862FCC"/>
    <w:rsid w:val="00874B8F"/>
    <w:rsid w:val="00876C6E"/>
    <w:rsid w:val="00881999"/>
    <w:rsid w:val="00894538"/>
    <w:rsid w:val="008A4453"/>
    <w:rsid w:val="008A46CB"/>
    <w:rsid w:val="008B05A8"/>
    <w:rsid w:val="008B1079"/>
    <w:rsid w:val="008B2054"/>
    <w:rsid w:val="008B65A4"/>
    <w:rsid w:val="008C07C0"/>
    <w:rsid w:val="008C298D"/>
    <w:rsid w:val="008C319A"/>
    <w:rsid w:val="008C72C6"/>
    <w:rsid w:val="008E3459"/>
    <w:rsid w:val="008E354D"/>
    <w:rsid w:val="008E64A2"/>
    <w:rsid w:val="008E7E9E"/>
    <w:rsid w:val="008F1B68"/>
    <w:rsid w:val="008F208D"/>
    <w:rsid w:val="008F6A90"/>
    <w:rsid w:val="008F6C1A"/>
    <w:rsid w:val="008F7328"/>
    <w:rsid w:val="00904000"/>
    <w:rsid w:val="00915FEB"/>
    <w:rsid w:val="009356A7"/>
    <w:rsid w:val="009441AB"/>
    <w:rsid w:val="009515F9"/>
    <w:rsid w:val="009678FA"/>
    <w:rsid w:val="00972A79"/>
    <w:rsid w:val="00973F34"/>
    <w:rsid w:val="00975415"/>
    <w:rsid w:val="009826C5"/>
    <w:rsid w:val="00990701"/>
    <w:rsid w:val="009A381D"/>
    <w:rsid w:val="009A3C04"/>
    <w:rsid w:val="009A3E33"/>
    <w:rsid w:val="009A4195"/>
    <w:rsid w:val="009B1594"/>
    <w:rsid w:val="009B2B33"/>
    <w:rsid w:val="009B763A"/>
    <w:rsid w:val="009D0542"/>
    <w:rsid w:val="009D27FF"/>
    <w:rsid w:val="009D2B2B"/>
    <w:rsid w:val="009D2B2C"/>
    <w:rsid w:val="009D73C2"/>
    <w:rsid w:val="009D76A8"/>
    <w:rsid w:val="009E3172"/>
    <w:rsid w:val="009F0768"/>
    <w:rsid w:val="009F454D"/>
    <w:rsid w:val="009F628B"/>
    <w:rsid w:val="009F76DC"/>
    <w:rsid w:val="00A02844"/>
    <w:rsid w:val="00A05A10"/>
    <w:rsid w:val="00A07BAC"/>
    <w:rsid w:val="00A130C3"/>
    <w:rsid w:val="00A17F21"/>
    <w:rsid w:val="00A26D24"/>
    <w:rsid w:val="00A3431F"/>
    <w:rsid w:val="00A436B8"/>
    <w:rsid w:val="00A51F6F"/>
    <w:rsid w:val="00A6134E"/>
    <w:rsid w:val="00A61D1E"/>
    <w:rsid w:val="00A666C2"/>
    <w:rsid w:val="00A74C00"/>
    <w:rsid w:val="00A804A0"/>
    <w:rsid w:val="00A80D12"/>
    <w:rsid w:val="00A81161"/>
    <w:rsid w:val="00A8721D"/>
    <w:rsid w:val="00A91774"/>
    <w:rsid w:val="00AA1C7E"/>
    <w:rsid w:val="00AA51C8"/>
    <w:rsid w:val="00AA6B96"/>
    <w:rsid w:val="00AB2055"/>
    <w:rsid w:val="00AB345A"/>
    <w:rsid w:val="00AB35E1"/>
    <w:rsid w:val="00AB732D"/>
    <w:rsid w:val="00AC6297"/>
    <w:rsid w:val="00AD6768"/>
    <w:rsid w:val="00AE4888"/>
    <w:rsid w:val="00AE6A37"/>
    <w:rsid w:val="00AF2B80"/>
    <w:rsid w:val="00B054F7"/>
    <w:rsid w:val="00B106DC"/>
    <w:rsid w:val="00B163C3"/>
    <w:rsid w:val="00B16FB2"/>
    <w:rsid w:val="00B1701D"/>
    <w:rsid w:val="00B200D2"/>
    <w:rsid w:val="00B25973"/>
    <w:rsid w:val="00B26A5C"/>
    <w:rsid w:val="00B271AE"/>
    <w:rsid w:val="00B44837"/>
    <w:rsid w:val="00B538AD"/>
    <w:rsid w:val="00B553A6"/>
    <w:rsid w:val="00B57E81"/>
    <w:rsid w:val="00B6062B"/>
    <w:rsid w:val="00B61705"/>
    <w:rsid w:val="00B73E43"/>
    <w:rsid w:val="00B80FB5"/>
    <w:rsid w:val="00B83645"/>
    <w:rsid w:val="00B92562"/>
    <w:rsid w:val="00B95D00"/>
    <w:rsid w:val="00BA2037"/>
    <w:rsid w:val="00BA3164"/>
    <w:rsid w:val="00BA35BF"/>
    <w:rsid w:val="00BA4A09"/>
    <w:rsid w:val="00BA563F"/>
    <w:rsid w:val="00BA6CE1"/>
    <w:rsid w:val="00BB2E8E"/>
    <w:rsid w:val="00BC67FC"/>
    <w:rsid w:val="00BC7A7D"/>
    <w:rsid w:val="00BD3281"/>
    <w:rsid w:val="00BD654D"/>
    <w:rsid w:val="00BE1BBC"/>
    <w:rsid w:val="00BE4003"/>
    <w:rsid w:val="00BE52F2"/>
    <w:rsid w:val="00BE6838"/>
    <w:rsid w:val="00BE7342"/>
    <w:rsid w:val="00BF27F7"/>
    <w:rsid w:val="00C008E8"/>
    <w:rsid w:val="00C0373E"/>
    <w:rsid w:val="00C04D3A"/>
    <w:rsid w:val="00C136DC"/>
    <w:rsid w:val="00C214FC"/>
    <w:rsid w:val="00C23786"/>
    <w:rsid w:val="00C245A8"/>
    <w:rsid w:val="00C33CC5"/>
    <w:rsid w:val="00C344E6"/>
    <w:rsid w:val="00C34657"/>
    <w:rsid w:val="00C407A6"/>
    <w:rsid w:val="00C548D1"/>
    <w:rsid w:val="00C55B7B"/>
    <w:rsid w:val="00C639E8"/>
    <w:rsid w:val="00C64624"/>
    <w:rsid w:val="00C812F4"/>
    <w:rsid w:val="00C9127C"/>
    <w:rsid w:val="00C94132"/>
    <w:rsid w:val="00C96486"/>
    <w:rsid w:val="00CA2F2B"/>
    <w:rsid w:val="00CA6309"/>
    <w:rsid w:val="00CB56EC"/>
    <w:rsid w:val="00CC2FD8"/>
    <w:rsid w:val="00CE06DF"/>
    <w:rsid w:val="00CE2047"/>
    <w:rsid w:val="00CF0137"/>
    <w:rsid w:val="00D01C1B"/>
    <w:rsid w:val="00D051FB"/>
    <w:rsid w:val="00D147C8"/>
    <w:rsid w:val="00D14D94"/>
    <w:rsid w:val="00D17A59"/>
    <w:rsid w:val="00D17F0E"/>
    <w:rsid w:val="00D21CCA"/>
    <w:rsid w:val="00D224F0"/>
    <w:rsid w:val="00D2358C"/>
    <w:rsid w:val="00D41F7E"/>
    <w:rsid w:val="00D524C7"/>
    <w:rsid w:val="00D53F5F"/>
    <w:rsid w:val="00D54331"/>
    <w:rsid w:val="00D625FB"/>
    <w:rsid w:val="00D6323B"/>
    <w:rsid w:val="00D6477B"/>
    <w:rsid w:val="00D70082"/>
    <w:rsid w:val="00D7139C"/>
    <w:rsid w:val="00D72713"/>
    <w:rsid w:val="00D760F9"/>
    <w:rsid w:val="00D82EB4"/>
    <w:rsid w:val="00D929BC"/>
    <w:rsid w:val="00D94C94"/>
    <w:rsid w:val="00D9519E"/>
    <w:rsid w:val="00D95B4E"/>
    <w:rsid w:val="00D9687A"/>
    <w:rsid w:val="00DA7A8F"/>
    <w:rsid w:val="00DE7510"/>
    <w:rsid w:val="00DF1D50"/>
    <w:rsid w:val="00DF202E"/>
    <w:rsid w:val="00DF6948"/>
    <w:rsid w:val="00DF6D45"/>
    <w:rsid w:val="00DF733A"/>
    <w:rsid w:val="00DF7522"/>
    <w:rsid w:val="00E024F2"/>
    <w:rsid w:val="00E06D38"/>
    <w:rsid w:val="00E0752F"/>
    <w:rsid w:val="00E1129F"/>
    <w:rsid w:val="00E12331"/>
    <w:rsid w:val="00E14386"/>
    <w:rsid w:val="00E24EDA"/>
    <w:rsid w:val="00E25F5A"/>
    <w:rsid w:val="00E2677C"/>
    <w:rsid w:val="00E30C49"/>
    <w:rsid w:val="00E32F9E"/>
    <w:rsid w:val="00E34D1D"/>
    <w:rsid w:val="00E43447"/>
    <w:rsid w:val="00E4620F"/>
    <w:rsid w:val="00E47626"/>
    <w:rsid w:val="00E50D9B"/>
    <w:rsid w:val="00E54C1A"/>
    <w:rsid w:val="00E57767"/>
    <w:rsid w:val="00E64DCD"/>
    <w:rsid w:val="00E74106"/>
    <w:rsid w:val="00E83A97"/>
    <w:rsid w:val="00E84937"/>
    <w:rsid w:val="00E85255"/>
    <w:rsid w:val="00E93216"/>
    <w:rsid w:val="00E9775C"/>
    <w:rsid w:val="00E97EE4"/>
    <w:rsid w:val="00EA3A22"/>
    <w:rsid w:val="00EA60BD"/>
    <w:rsid w:val="00EB177E"/>
    <w:rsid w:val="00EC40B2"/>
    <w:rsid w:val="00EC5671"/>
    <w:rsid w:val="00EC7B78"/>
    <w:rsid w:val="00ED1BE9"/>
    <w:rsid w:val="00ED35B9"/>
    <w:rsid w:val="00ED7204"/>
    <w:rsid w:val="00EE078E"/>
    <w:rsid w:val="00EE520A"/>
    <w:rsid w:val="00EF0D8B"/>
    <w:rsid w:val="00EF240C"/>
    <w:rsid w:val="00EF6C65"/>
    <w:rsid w:val="00EF6CFC"/>
    <w:rsid w:val="00F01807"/>
    <w:rsid w:val="00F03D4D"/>
    <w:rsid w:val="00F1105B"/>
    <w:rsid w:val="00F14BA5"/>
    <w:rsid w:val="00F21BFB"/>
    <w:rsid w:val="00F33DE0"/>
    <w:rsid w:val="00F44568"/>
    <w:rsid w:val="00F54398"/>
    <w:rsid w:val="00F5576C"/>
    <w:rsid w:val="00F627A2"/>
    <w:rsid w:val="00F66983"/>
    <w:rsid w:val="00F71268"/>
    <w:rsid w:val="00F829FC"/>
    <w:rsid w:val="00F90973"/>
    <w:rsid w:val="00F955FE"/>
    <w:rsid w:val="00FA2353"/>
    <w:rsid w:val="00FA7129"/>
    <w:rsid w:val="00FC0E18"/>
    <w:rsid w:val="00FC3FF5"/>
    <w:rsid w:val="00FC4E30"/>
    <w:rsid w:val="00FD73B2"/>
    <w:rsid w:val="00FE0DB1"/>
    <w:rsid w:val="00FE1B47"/>
    <w:rsid w:val="00FE5B72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72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77722D"/>
    <w:pPr>
      <w:keepNext/>
      <w:ind w:left="360" w:hanging="360"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7722D"/>
    <w:pPr>
      <w:spacing w:before="40" w:line="260" w:lineRule="atLeast"/>
      <w:ind w:left="1276" w:hanging="1280"/>
      <w:jc w:val="both"/>
    </w:pPr>
    <w:rPr>
      <w:rFonts w:ascii="Times" w:hAnsi="Times"/>
      <w:sz w:val="26"/>
      <w:szCs w:val="26"/>
    </w:rPr>
  </w:style>
  <w:style w:type="character" w:styleId="CommentReference">
    <w:name w:val="annotation reference"/>
    <w:semiHidden/>
    <w:rsid w:val="0077722D"/>
    <w:rPr>
      <w:sz w:val="16"/>
      <w:szCs w:val="16"/>
    </w:rPr>
  </w:style>
  <w:style w:type="paragraph" w:styleId="CommentText">
    <w:name w:val="annotation text"/>
    <w:basedOn w:val="Normal"/>
    <w:semiHidden/>
    <w:rsid w:val="007772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7722D"/>
    <w:rPr>
      <w:b/>
      <w:bCs/>
    </w:rPr>
  </w:style>
  <w:style w:type="paragraph" w:styleId="BalloonText">
    <w:name w:val="Balloon Text"/>
    <w:basedOn w:val="Normal"/>
    <w:semiHidden/>
    <w:rsid w:val="00777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A3D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3D5B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rsid w:val="002005D8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1602C6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602C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253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6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32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759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4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9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6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7580B-FE58-4DEC-AAEF-571C4DA5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2013-04-22T02:43:00Z</dcterms:created>
  <dcterms:modified xsi:type="dcterms:W3CDTF">2013-04-23T00:54:00Z</dcterms:modified>
</cp:coreProperties>
</file>