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0750" w:rsidRPr="00390DE4" w:rsidRDefault="00967762" w:rsidP="00E00750">
      <w:pPr>
        <w:pStyle w:val="Title"/>
      </w:pPr>
      <w:bookmarkStart w:id="0" w:name="_GoBack"/>
      <w:bookmarkEnd w:id="0"/>
      <w:r>
        <w:t>Explanatory Statement</w:t>
      </w:r>
    </w:p>
    <w:p w:rsidR="00E00750" w:rsidRPr="00824A97" w:rsidRDefault="00E00750" w:rsidP="00E00750">
      <w:pPr>
        <w:rPr>
          <w:sz w:val="24"/>
        </w:rPr>
      </w:pPr>
    </w:p>
    <w:p w:rsidR="00E00750" w:rsidRDefault="00967762" w:rsidP="002F2566">
      <w:pPr>
        <w:pStyle w:val="Heading1"/>
        <w:keepNext w:val="0"/>
      </w:pPr>
      <w:r>
        <w:t>Australian Communications and Media Authority Act 2005</w:t>
      </w:r>
    </w:p>
    <w:p w:rsidR="000B7431" w:rsidRPr="000B7431" w:rsidRDefault="000B7431" w:rsidP="000B7431">
      <w:pPr>
        <w:pStyle w:val="Heading1"/>
        <w:keepNext w:val="0"/>
      </w:pPr>
      <w:r>
        <w:t>Broadcasting Services Act 1992</w:t>
      </w:r>
    </w:p>
    <w:p w:rsidR="00E00750" w:rsidRPr="00967762" w:rsidRDefault="00E00750" w:rsidP="00E00750"/>
    <w:p w:rsidR="00967762" w:rsidRPr="00967762" w:rsidRDefault="00967762" w:rsidP="00967762">
      <w:pPr>
        <w:pStyle w:val="BodyText3"/>
        <w:jc w:val="center"/>
        <w:rPr>
          <w:b/>
          <w:u w:val="none"/>
        </w:rPr>
      </w:pPr>
      <w:r>
        <w:rPr>
          <w:b/>
          <w:u w:val="none"/>
        </w:rPr>
        <w:t>Australian Communications and Media Authority (Television Licence Area Planning and Monitoring) Direction 2013</w:t>
      </w:r>
    </w:p>
    <w:p w:rsidR="00E00750" w:rsidRPr="00824A97" w:rsidRDefault="00E00750" w:rsidP="00E00750">
      <w:pPr>
        <w:pStyle w:val="BodyText3"/>
      </w:pPr>
    </w:p>
    <w:p w:rsidR="00E00750" w:rsidRPr="00824A97" w:rsidRDefault="00E00750" w:rsidP="00E00750">
      <w:pPr>
        <w:pStyle w:val="BodyText3"/>
      </w:pPr>
    </w:p>
    <w:p w:rsidR="00136308" w:rsidRDefault="001C1979" w:rsidP="00136308">
      <w:pPr>
        <w:jc w:val="center"/>
        <w:rPr>
          <w:sz w:val="24"/>
          <w:szCs w:val="24"/>
        </w:rPr>
      </w:pPr>
      <w:r>
        <w:rPr>
          <w:sz w:val="24"/>
          <w:szCs w:val="24"/>
        </w:rPr>
        <w:t>Issued by the A</w:t>
      </w:r>
      <w:r w:rsidR="003D6754" w:rsidRPr="008B40A8">
        <w:rPr>
          <w:sz w:val="24"/>
          <w:szCs w:val="24"/>
        </w:rPr>
        <w:t>uthority of the Minister for Broadband, Commun</w:t>
      </w:r>
      <w:r w:rsidR="00136308">
        <w:rPr>
          <w:sz w:val="24"/>
          <w:szCs w:val="24"/>
        </w:rPr>
        <w:t>i</w:t>
      </w:r>
      <w:r w:rsidR="002F2566">
        <w:rPr>
          <w:sz w:val="24"/>
          <w:szCs w:val="24"/>
        </w:rPr>
        <w:t>cations and the Digital Economy</w:t>
      </w:r>
    </w:p>
    <w:p w:rsidR="00E00750" w:rsidRPr="0023682E" w:rsidRDefault="002F2566" w:rsidP="00F40A87">
      <w:pPr>
        <w:keepNext/>
        <w:spacing w:before="100" w:beforeAutospacing="1" w:after="100" w:afterAutospacing="1"/>
        <w:rPr>
          <w:sz w:val="24"/>
          <w:u w:val="single"/>
        </w:rPr>
      </w:pPr>
      <w:r>
        <w:rPr>
          <w:sz w:val="24"/>
          <w:u w:val="single"/>
        </w:rPr>
        <w:t>Authority</w:t>
      </w:r>
    </w:p>
    <w:p w:rsidR="002C2170" w:rsidRDefault="002F2566" w:rsidP="002C2170">
      <w:pPr>
        <w:spacing w:after="120"/>
        <w:rPr>
          <w:sz w:val="24"/>
          <w:szCs w:val="24"/>
        </w:rPr>
      </w:pPr>
      <w:r w:rsidRPr="002F2566">
        <w:rPr>
          <w:sz w:val="24"/>
          <w:szCs w:val="24"/>
        </w:rPr>
        <w:t xml:space="preserve">Section 14 of the </w:t>
      </w:r>
      <w:r w:rsidRPr="002F2566">
        <w:rPr>
          <w:i/>
          <w:sz w:val="24"/>
          <w:szCs w:val="24"/>
        </w:rPr>
        <w:t>Australian Communications and Media Authority Act 2005</w:t>
      </w:r>
      <w:r w:rsidRPr="002F2566">
        <w:rPr>
          <w:sz w:val="24"/>
          <w:szCs w:val="24"/>
        </w:rPr>
        <w:t xml:space="preserve"> (the ACMA Act) provides that the Minister for Broadband, Communications and the Digital Economy (the Minister) may give written directions to the Australian Communications and Media Authority (</w:t>
      </w:r>
      <w:r w:rsidR="002D6C82">
        <w:rPr>
          <w:sz w:val="24"/>
          <w:szCs w:val="24"/>
        </w:rPr>
        <w:t xml:space="preserve">the </w:t>
      </w:r>
      <w:r w:rsidRPr="002F2566">
        <w:rPr>
          <w:sz w:val="24"/>
          <w:szCs w:val="24"/>
        </w:rPr>
        <w:t>ACMA) in relation to the performance of its functions a</w:t>
      </w:r>
      <w:r>
        <w:rPr>
          <w:sz w:val="24"/>
          <w:szCs w:val="24"/>
        </w:rPr>
        <w:t>nd the exercise of its powers.</w:t>
      </w:r>
    </w:p>
    <w:p w:rsidR="00D90FD6" w:rsidRDefault="002C2170" w:rsidP="002C2170">
      <w:pPr>
        <w:spacing w:after="120"/>
        <w:rPr>
          <w:sz w:val="24"/>
          <w:szCs w:val="24"/>
        </w:rPr>
      </w:pPr>
      <w:r>
        <w:rPr>
          <w:sz w:val="24"/>
          <w:szCs w:val="24"/>
        </w:rPr>
        <w:t xml:space="preserve">Subsection 26(8) of the </w:t>
      </w:r>
      <w:r>
        <w:rPr>
          <w:i/>
          <w:sz w:val="24"/>
          <w:szCs w:val="24"/>
        </w:rPr>
        <w:t xml:space="preserve">Broadcasting Services Act 1992 </w:t>
      </w:r>
      <w:r>
        <w:rPr>
          <w:sz w:val="24"/>
          <w:szCs w:val="24"/>
        </w:rPr>
        <w:t>(the BSA) provides that the Minister may direct the ACMA about the exercise of its powers to make or vary a television licence area plan for a particular area.</w:t>
      </w:r>
    </w:p>
    <w:p w:rsidR="002F2566" w:rsidRPr="005B1DDC" w:rsidRDefault="002F2566" w:rsidP="002F2566">
      <w:pPr>
        <w:keepNext/>
        <w:spacing w:before="100" w:beforeAutospacing="1" w:after="100" w:afterAutospacing="1"/>
        <w:rPr>
          <w:sz w:val="24"/>
          <w:u w:val="single"/>
        </w:rPr>
      </w:pPr>
      <w:r w:rsidRPr="005B1DDC">
        <w:rPr>
          <w:sz w:val="24"/>
          <w:u w:val="single"/>
        </w:rPr>
        <w:t>Purpose</w:t>
      </w:r>
    </w:p>
    <w:p w:rsidR="00967762" w:rsidRPr="005B1DDC" w:rsidRDefault="00967762" w:rsidP="008B78A5">
      <w:pPr>
        <w:spacing w:after="120"/>
        <w:rPr>
          <w:sz w:val="24"/>
          <w:szCs w:val="24"/>
        </w:rPr>
      </w:pPr>
      <w:r w:rsidRPr="005B1DDC">
        <w:rPr>
          <w:sz w:val="24"/>
          <w:szCs w:val="24"/>
        </w:rPr>
        <w:t>The purpose of the</w:t>
      </w:r>
      <w:r w:rsidR="00EC4ABA" w:rsidRPr="005B1DDC">
        <w:rPr>
          <w:sz w:val="24"/>
          <w:szCs w:val="24"/>
        </w:rPr>
        <w:t xml:space="preserve"> </w:t>
      </w:r>
      <w:r w:rsidR="00EC4ABA" w:rsidRPr="005B1DDC">
        <w:rPr>
          <w:i/>
          <w:sz w:val="24"/>
          <w:szCs w:val="24"/>
        </w:rPr>
        <w:t>Australian Communications and Media Authority (Television Licence Area Planning and Monitoring) Direction 2013</w:t>
      </w:r>
      <w:r w:rsidRPr="005B1DDC">
        <w:rPr>
          <w:sz w:val="24"/>
          <w:szCs w:val="24"/>
        </w:rPr>
        <w:t xml:space="preserve"> </w:t>
      </w:r>
      <w:r w:rsidR="00EC4ABA" w:rsidRPr="005B1DDC">
        <w:rPr>
          <w:sz w:val="24"/>
          <w:szCs w:val="24"/>
        </w:rPr>
        <w:t xml:space="preserve">(the </w:t>
      </w:r>
      <w:r w:rsidRPr="005B1DDC">
        <w:rPr>
          <w:sz w:val="24"/>
          <w:szCs w:val="24"/>
        </w:rPr>
        <w:t>Direction</w:t>
      </w:r>
      <w:r w:rsidR="00EC4ABA" w:rsidRPr="005B1DDC">
        <w:rPr>
          <w:sz w:val="24"/>
          <w:szCs w:val="24"/>
        </w:rPr>
        <w:t>)</w:t>
      </w:r>
      <w:r w:rsidRPr="005B1DDC">
        <w:rPr>
          <w:sz w:val="24"/>
          <w:szCs w:val="24"/>
        </w:rPr>
        <w:t xml:space="preserve"> is to direct the ACMA that it </w:t>
      </w:r>
      <w:r w:rsidR="002F2566" w:rsidRPr="005B1DDC">
        <w:rPr>
          <w:sz w:val="24"/>
          <w:szCs w:val="24"/>
        </w:rPr>
        <w:t xml:space="preserve">must </w:t>
      </w:r>
      <w:r w:rsidRPr="005B1DDC">
        <w:rPr>
          <w:sz w:val="24"/>
          <w:szCs w:val="24"/>
        </w:rPr>
        <w:t>consider</w:t>
      </w:r>
      <w:r w:rsidR="00E5724C" w:rsidRPr="005B1DDC">
        <w:rPr>
          <w:sz w:val="24"/>
          <w:szCs w:val="24"/>
        </w:rPr>
        <w:t>, on an area basis,</w:t>
      </w:r>
      <w:r w:rsidRPr="005B1DDC">
        <w:rPr>
          <w:sz w:val="24"/>
          <w:szCs w:val="24"/>
        </w:rPr>
        <w:t xml:space="preserve"> whether providers of digital television broadcasting services </w:t>
      </w:r>
      <w:r w:rsidR="002F2566" w:rsidRPr="005B1DDC">
        <w:rPr>
          <w:sz w:val="24"/>
          <w:szCs w:val="24"/>
        </w:rPr>
        <w:t xml:space="preserve">in an area </w:t>
      </w:r>
      <w:r w:rsidRPr="005B1DDC">
        <w:rPr>
          <w:sz w:val="24"/>
          <w:szCs w:val="24"/>
        </w:rPr>
        <w:t xml:space="preserve">will be able to meet the </w:t>
      </w:r>
      <w:r w:rsidRPr="005B1DDC">
        <w:rPr>
          <w:i/>
          <w:sz w:val="24"/>
          <w:szCs w:val="24"/>
        </w:rPr>
        <w:t>restack objective</w:t>
      </w:r>
      <w:r w:rsidRPr="005B1DDC">
        <w:rPr>
          <w:sz w:val="24"/>
          <w:szCs w:val="24"/>
        </w:rPr>
        <w:t>.</w:t>
      </w:r>
    </w:p>
    <w:p w:rsidR="00967762" w:rsidRPr="00967762" w:rsidRDefault="00967762" w:rsidP="008B78A5">
      <w:pPr>
        <w:spacing w:after="120"/>
        <w:rPr>
          <w:sz w:val="24"/>
          <w:szCs w:val="24"/>
        </w:rPr>
      </w:pPr>
      <w:r w:rsidRPr="005B1DDC">
        <w:rPr>
          <w:sz w:val="24"/>
          <w:szCs w:val="24"/>
        </w:rPr>
        <w:t xml:space="preserve">The </w:t>
      </w:r>
      <w:r w:rsidRPr="00624B45">
        <w:rPr>
          <w:sz w:val="24"/>
          <w:szCs w:val="24"/>
        </w:rPr>
        <w:t>restack objective</w:t>
      </w:r>
      <w:r w:rsidRPr="005B1DDC">
        <w:rPr>
          <w:sz w:val="24"/>
          <w:szCs w:val="24"/>
        </w:rPr>
        <w:t xml:space="preserve"> is that</w:t>
      </w:r>
      <w:r w:rsidR="002F2566" w:rsidRPr="005B1DDC">
        <w:rPr>
          <w:sz w:val="24"/>
          <w:szCs w:val="24"/>
        </w:rPr>
        <w:t xml:space="preserve"> broadcasters</w:t>
      </w:r>
      <w:r w:rsidRPr="005B1DDC">
        <w:rPr>
          <w:sz w:val="24"/>
          <w:szCs w:val="24"/>
        </w:rPr>
        <w:t xml:space="preserve"> in an area cease transmitting </w:t>
      </w:r>
      <w:r w:rsidR="00E140DD">
        <w:rPr>
          <w:sz w:val="24"/>
          <w:szCs w:val="24"/>
        </w:rPr>
        <w:t xml:space="preserve">digital television broadcasting </w:t>
      </w:r>
      <w:r w:rsidRPr="00967762">
        <w:rPr>
          <w:sz w:val="24"/>
          <w:szCs w:val="24"/>
        </w:rPr>
        <w:t xml:space="preserve">services in accordance with the applicable end dates for </w:t>
      </w:r>
      <w:proofErr w:type="gramStart"/>
      <w:r w:rsidRPr="00967762">
        <w:rPr>
          <w:sz w:val="24"/>
          <w:szCs w:val="24"/>
        </w:rPr>
        <w:t>channel</w:t>
      </w:r>
      <w:proofErr w:type="gramEnd"/>
      <w:r w:rsidRPr="00967762">
        <w:rPr>
          <w:sz w:val="24"/>
          <w:szCs w:val="24"/>
        </w:rPr>
        <w:t xml:space="preserve"> allotments specified in a Television Licence Area Plan (TLAP) </w:t>
      </w:r>
      <w:r w:rsidR="00E140DD">
        <w:rPr>
          <w:sz w:val="24"/>
          <w:szCs w:val="24"/>
        </w:rPr>
        <w:t xml:space="preserve">for that area </w:t>
      </w:r>
      <w:r w:rsidRPr="00967762">
        <w:rPr>
          <w:sz w:val="24"/>
          <w:szCs w:val="24"/>
        </w:rPr>
        <w:t>and continue to provide those services using another channel allotment in accordance with th</w:t>
      </w:r>
      <w:r w:rsidR="00E140DD">
        <w:rPr>
          <w:sz w:val="24"/>
          <w:szCs w:val="24"/>
        </w:rPr>
        <w:t>at</w:t>
      </w:r>
      <w:r w:rsidRPr="00967762">
        <w:rPr>
          <w:sz w:val="24"/>
          <w:szCs w:val="24"/>
        </w:rPr>
        <w:t xml:space="preserve"> TLAP.</w:t>
      </w:r>
    </w:p>
    <w:p w:rsidR="00967762" w:rsidRPr="00967762" w:rsidRDefault="00967762" w:rsidP="008B78A5">
      <w:pPr>
        <w:spacing w:after="120"/>
        <w:rPr>
          <w:sz w:val="24"/>
          <w:szCs w:val="24"/>
        </w:rPr>
      </w:pPr>
      <w:r w:rsidRPr="00967762">
        <w:rPr>
          <w:sz w:val="24"/>
          <w:szCs w:val="24"/>
        </w:rPr>
        <w:t>If the ACMA is satisfied</w:t>
      </w:r>
      <w:r w:rsidR="00D90FD6">
        <w:rPr>
          <w:sz w:val="24"/>
          <w:szCs w:val="24"/>
        </w:rPr>
        <w:t xml:space="preserve"> </w:t>
      </w:r>
      <w:r w:rsidR="002C2170">
        <w:rPr>
          <w:sz w:val="24"/>
          <w:szCs w:val="24"/>
        </w:rPr>
        <w:t>that</w:t>
      </w:r>
      <w:r w:rsidR="002C2170" w:rsidRPr="00967762">
        <w:rPr>
          <w:sz w:val="24"/>
          <w:szCs w:val="24"/>
        </w:rPr>
        <w:t xml:space="preserve"> </w:t>
      </w:r>
      <w:r w:rsidRPr="00967762">
        <w:rPr>
          <w:sz w:val="24"/>
          <w:szCs w:val="24"/>
        </w:rPr>
        <w:t xml:space="preserve">the </w:t>
      </w:r>
      <w:r w:rsidR="002C2170">
        <w:rPr>
          <w:sz w:val="24"/>
          <w:szCs w:val="24"/>
        </w:rPr>
        <w:t xml:space="preserve">capacity of providers of digital television broadcasting services to meet </w:t>
      </w:r>
      <w:r w:rsidR="002C2170" w:rsidRPr="00624B45">
        <w:rPr>
          <w:sz w:val="24"/>
          <w:szCs w:val="24"/>
        </w:rPr>
        <w:t xml:space="preserve">the restack objective has been significantly affected by </w:t>
      </w:r>
      <w:r w:rsidR="006D07BA" w:rsidRPr="00624B45">
        <w:rPr>
          <w:sz w:val="24"/>
          <w:szCs w:val="24"/>
        </w:rPr>
        <w:t xml:space="preserve">an </w:t>
      </w:r>
      <w:r w:rsidR="002C2170" w:rsidRPr="00624B45">
        <w:rPr>
          <w:sz w:val="24"/>
          <w:szCs w:val="24"/>
        </w:rPr>
        <w:t>event or circumstance outside their control, and mitigation</w:t>
      </w:r>
      <w:r w:rsidR="002C2170">
        <w:rPr>
          <w:sz w:val="24"/>
          <w:szCs w:val="24"/>
        </w:rPr>
        <w:t xml:space="preserve"> actions could not reasonably have been taken, or could not reasonably be taken, by those providers or transmission service provide</w:t>
      </w:r>
      <w:r w:rsidR="006D07BA">
        <w:rPr>
          <w:sz w:val="24"/>
          <w:szCs w:val="24"/>
        </w:rPr>
        <w:t>r</w:t>
      </w:r>
      <w:r w:rsidR="002C2170">
        <w:rPr>
          <w:sz w:val="24"/>
          <w:szCs w:val="24"/>
        </w:rPr>
        <w:t xml:space="preserve">s contracted to them, and that as a result, the </w:t>
      </w:r>
      <w:r w:rsidRPr="00967762">
        <w:rPr>
          <w:sz w:val="24"/>
          <w:szCs w:val="24"/>
        </w:rPr>
        <w:t>restack objective is unlikely to be met in an area, the Direction requires the ACMA to exercise its power to vary a TLAP</w:t>
      </w:r>
      <w:r w:rsidR="008F1650">
        <w:rPr>
          <w:sz w:val="24"/>
          <w:szCs w:val="24"/>
        </w:rPr>
        <w:t>. The Direction requires that any variation to a TLAP that the ACMA makes in compliance with the Direction is to be</w:t>
      </w:r>
      <w:r w:rsidRPr="00967762">
        <w:rPr>
          <w:sz w:val="24"/>
          <w:szCs w:val="24"/>
        </w:rPr>
        <w:t xml:space="preserve"> </w:t>
      </w:r>
      <w:r w:rsidR="000200DD">
        <w:rPr>
          <w:sz w:val="24"/>
          <w:szCs w:val="24"/>
        </w:rPr>
        <w:t>to the minimum extent necessary to address the adverse impact of the event or circumstance</w:t>
      </w:r>
      <w:r w:rsidRPr="00967762">
        <w:rPr>
          <w:sz w:val="24"/>
          <w:szCs w:val="24"/>
        </w:rPr>
        <w:t>.</w:t>
      </w:r>
      <w:r w:rsidR="00172C1C">
        <w:rPr>
          <w:sz w:val="24"/>
          <w:szCs w:val="24"/>
        </w:rPr>
        <w:t xml:space="preserve"> </w:t>
      </w:r>
      <w:r w:rsidR="00A919EA">
        <w:rPr>
          <w:sz w:val="24"/>
          <w:szCs w:val="24"/>
        </w:rPr>
        <w:t xml:space="preserve">The Direction also provides that before varying a TLAP </w:t>
      </w:r>
      <w:r w:rsidR="00253CA5">
        <w:rPr>
          <w:sz w:val="24"/>
          <w:szCs w:val="24"/>
        </w:rPr>
        <w:t xml:space="preserve">in compliance with the Direction, </w:t>
      </w:r>
      <w:r w:rsidR="00A919EA">
        <w:rPr>
          <w:sz w:val="24"/>
          <w:szCs w:val="24"/>
        </w:rPr>
        <w:t>or commencing consultation for such a</w:t>
      </w:r>
      <w:r w:rsidR="00253CA5">
        <w:rPr>
          <w:sz w:val="24"/>
          <w:szCs w:val="24"/>
        </w:rPr>
        <w:t xml:space="preserve"> variation, the ACMA is to advis</w:t>
      </w:r>
      <w:r w:rsidR="00A919EA">
        <w:rPr>
          <w:sz w:val="24"/>
          <w:szCs w:val="24"/>
        </w:rPr>
        <w:t xml:space="preserve">e the Minister, with reasonable notice, of its intention to </w:t>
      </w:r>
      <w:r w:rsidR="00520E31">
        <w:rPr>
          <w:sz w:val="24"/>
          <w:szCs w:val="24"/>
        </w:rPr>
        <w:t>vary a TLAP</w:t>
      </w:r>
      <w:r w:rsidR="00A919EA">
        <w:rPr>
          <w:sz w:val="24"/>
          <w:szCs w:val="24"/>
        </w:rPr>
        <w:t>.</w:t>
      </w:r>
    </w:p>
    <w:p w:rsidR="00967762" w:rsidRPr="00D82BE2" w:rsidRDefault="00967762" w:rsidP="008B78A5">
      <w:pPr>
        <w:spacing w:after="120"/>
        <w:rPr>
          <w:sz w:val="24"/>
          <w:szCs w:val="24"/>
        </w:rPr>
      </w:pPr>
      <w:r w:rsidRPr="00D82BE2">
        <w:rPr>
          <w:sz w:val="24"/>
          <w:szCs w:val="24"/>
        </w:rPr>
        <w:t xml:space="preserve">This Direction is a legislative instrument for the purposes of the </w:t>
      </w:r>
      <w:r w:rsidRPr="00D82BE2">
        <w:rPr>
          <w:i/>
          <w:sz w:val="24"/>
          <w:szCs w:val="24"/>
        </w:rPr>
        <w:t>Legislative Instruments Act 2003</w:t>
      </w:r>
      <w:r w:rsidRPr="00D82BE2">
        <w:rPr>
          <w:sz w:val="24"/>
          <w:szCs w:val="24"/>
        </w:rPr>
        <w:t xml:space="preserve"> (the LIA) but it is not subject to disallowance: item 41 of the </w:t>
      </w:r>
      <w:r w:rsidRPr="00D82BE2">
        <w:rPr>
          <w:sz w:val="24"/>
          <w:szCs w:val="24"/>
        </w:rPr>
        <w:lastRenderedPageBreak/>
        <w:t>table in subsection 44(2) of the LIA specifies that ministerial directions to any person or body are not subject to disallowance.</w:t>
      </w:r>
    </w:p>
    <w:p w:rsidR="00E00750" w:rsidRPr="0023682E" w:rsidRDefault="00E00750" w:rsidP="00F40A87">
      <w:pPr>
        <w:keepNext/>
        <w:spacing w:before="100" w:beforeAutospacing="1" w:after="100" w:afterAutospacing="1"/>
        <w:rPr>
          <w:sz w:val="24"/>
          <w:u w:val="single"/>
        </w:rPr>
      </w:pPr>
      <w:r w:rsidRPr="0023682E">
        <w:rPr>
          <w:sz w:val="24"/>
          <w:u w:val="single"/>
        </w:rPr>
        <w:t>Background</w:t>
      </w:r>
    </w:p>
    <w:p w:rsidR="00D82BE2" w:rsidRPr="004554F9" w:rsidRDefault="00D82BE2" w:rsidP="008B78A5">
      <w:pPr>
        <w:spacing w:after="120"/>
        <w:rPr>
          <w:sz w:val="24"/>
          <w:szCs w:val="24"/>
        </w:rPr>
      </w:pPr>
      <w:r w:rsidRPr="004554F9">
        <w:rPr>
          <w:sz w:val="24"/>
          <w:szCs w:val="24"/>
        </w:rPr>
        <w:t>On 24 June 2010, the Minister announced the Australian Government’s decision to release 126 MHz of broadcasting spectrum in the range 694-820MHz as a digital dividend.</w:t>
      </w:r>
      <w:r w:rsidR="00EC4ABA">
        <w:rPr>
          <w:sz w:val="24"/>
          <w:szCs w:val="24"/>
        </w:rPr>
        <w:t xml:space="preserve"> </w:t>
      </w:r>
      <w:r w:rsidR="0009399B">
        <w:rPr>
          <w:sz w:val="24"/>
          <w:szCs w:val="24"/>
        </w:rPr>
        <w:t>T</w:t>
      </w:r>
      <w:r w:rsidR="0009399B" w:rsidRPr="0009399B">
        <w:rPr>
          <w:sz w:val="24"/>
          <w:szCs w:val="24"/>
        </w:rPr>
        <w:t xml:space="preserve">wo 45 MHz blocks of spectrum in the digital dividend is to be </w:t>
      </w:r>
      <w:r w:rsidR="00470215">
        <w:rPr>
          <w:sz w:val="24"/>
          <w:szCs w:val="24"/>
        </w:rPr>
        <w:t xml:space="preserve">auctioned </w:t>
      </w:r>
      <w:r w:rsidR="00670792">
        <w:rPr>
          <w:sz w:val="24"/>
          <w:szCs w:val="24"/>
        </w:rPr>
        <w:t xml:space="preserve">for other uses </w:t>
      </w:r>
      <w:r w:rsidR="009F105A">
        <w:rPr>
          <w:sz w:val="24"/>
          <w:szCs w:val="24"/>
        </w:rPr>
        <w:t xml:space="preserve">in April 2013 </w:t>
      </w:r>
      <w:r w:rsidR="00470215">
        <w:rPr>
          <w:sz w:val="24"/>
          <w:szCs w:val="24"/>
        </w:rPr>
        <w:t xml:space="preserve">(along with spectrum from the 2.5GHz band). </w:t>
      </w:r>
      <w:r w:rsidRPr="004554F9">
        <w:rPr>
          <w:sz w:val="24"/>
          <w:szCs w:val="24"/>
        </w:rPr>
        <w:t>In</w:t>
      </w:r>
      <w:r w:rsidR="0030148A">
        <w:rPr>
          <w:sz w:val="24"/>
          <w:szCs w:val="24"/>
        </w:rPr>
        <w:t xml:space="preserve"> order to release this spectrum</w:t>
      </w:r>
      <w:r w:rsidRPr="004554F9">
        <w:rPr>
          <w:sz w:val="24"/>
          <w:szCs w:val="24"/>
        </w:rPr>
        <w:t xml:space="preserve">, broadcasting services need to be relocated out of the </w:t>
      </w:r>
      <w:r w:rsidR="00252C3F">
        <w:rPr>
          <w:sz w:val="24"/>
          <w:szCs w:val="24"/>
        </w:rPr>
        <w:t>digital dividend spectrum</w:t>
      </w:r>
      <w:r w:rsidRPr="004554F9">
        <w:rPr>
          <w:sz w:val="24"/>
          <w:szCs w:val="24"/>
        </w:rPr>
        <w:t xml:space="preserve"> and reorganised in their remaining spectrum allocation. This process is commonly known as ‘restack’</w:t>
      </w:r>
      <w:r w:rsidR="00220665">
        <w:rPr>
          <w:sz w:val="24"/>
          <w:szCs w:val="24"/>
        </w:rPr>
        <w:t xml:space="preserve"> and will involve around 1500 digital television broadcasting services moving to a new channel allocation</w:t>
      </w:r>
      <w:r w:rsidRPr="004554F9">
        <w:rPr>
          <w:sz w:val="24"/>
          <w:szCs w:val="24"/>
        </w:rPr>
        <w:t>.</w:t>
      </w:r>
    </w:p>
    <w:p w:rsidR="002F2566" w:rsidRDefault="00D82BE2" w:rsidP="008B78A5">
      <w:pPr>
        <w:autoSpaceDE w:val="0"/>
        <w:autoSpaceDN w:val="0"/>
        <w:adjustRightInd w:val="0"/>
        <w:spacing w:after="120"/>
        <w:rPr>
          <w:sz w:val="24"/>
          <w:szCs w:val="24"/>
        </w:rPr>
      </w:pPr>
      <w:r w:rsidRPr="004554F9">
        <w:rPr>
          <w:sz w:val="24"/>
          <w:szCs w:val="24"/>
        </w:rPr>
        <w:t xml:space="preserve">The ACMA is </w:t>
      </w:r>
      <w:r w:rsidR="00220665">
        <w:rPr>
          <w:sz w:val="24"/>
          <w:szCs w:val="24"/>
        </w:rPr>
        <w:t xml:space="preserve">responsible for </w:t>
      </w:r>
      <w:r w:rsidRPr="004554F9">
        <w:rPr>
          <w:sz w:val="24"/>
          <w:szCs w:val="24"/>
        </w:rPr>
        <w:t xml:space="preserve">undertaking </w:t>
      </w:r>
      <w:r w:rsidR="00220665">
        <w:rPr>
          <w:sz w:val="24"/>
          <w:szCs w:val="24"/>
        </w:rPr>
        <w:t xml:space="preserve">the </w:t>
      </w:r>
      <w:r w:rsidRPr="004554F9">
        <w:rPr>
          <w:sz w:val="24"/>
          <w:szCs w:val="24"/>
        </w:rPr>
        <w:t>channel planning</w:t>
      </w:r>
      <w:r w:rsidR="00220665">
        <w:rPr>
          <w:sz w:val="24"/>
          <w:szCs w:val="24"/>
        </w:rPr>
        <w:t xml:space="preserve"> necessary </w:t>
      </w:r>
      <w:r w:rsidRPr="004554F9">
        <w:rPr>
          <w:sz w:val="24"/>
          <w:szCs w:val="24"/>
        </w:rPr>
        <w:t>for restack in licence areas throughout Australia</w:t>
      </w:r>
      <w:r w:rsidR="00220665">
        <w:rPr>
          <w:sz w:val="24"/>
          <w:szCs w:val="24"/>
        </w:rPr>
        <w:t>.</w:t>
      </w:r>
    </w:p>
    <w:p w:rsidR="003D1291" w:rsidRPr="004554F9" w:rsidRDefault="00F365F6" w:rsidP="008B78A5">
      <w:pPr>
        <w:autoSpaceDE w:val="0"/>
        <w:autoSpaceDN w:val="0"/>
        <w:adjustRightInd w:val="0"/>
        <w:spacing w:after="120"/>
        <w:rPr>
          <w:sz w:val="24"/>
          <w:szCs w:val="24"/>
        </w:rPr>
      </w:pPr>
      <w:r>
        <w:rPr>
          <w:sz w:val="24"/>
          <w:szCs w:val="24"/>
        </w:rPr>
        <w:t xml:space="preserve">Subsection 26(1B) of the BSA provides that the ACMA may prepare Television Licence Area Plans (TLAPs). </w:t>
      </w:r>
      <w:r w:rsidR="002F2566">
        <w:rPr>
          <w:sz w:val="24"/>
          <w:szCs w:val="24"/>
        </w:rPr>
        <w:t>TLAPs</w:t>
      </w:r>
      <w:r w:rsidR="00FE7F34">
        <w:rPr>
          <w:sz w:val="24"/>
          <w:szCs w:val="24"/>
        </w:rPr>
        <w:t xml:space="preserve"> </w:t>
      </w:r>
      <w:r w:rsidR="0009399B">
        <w:rPr>
          <w:sz w:val="24"/>
          <w:szCs w:val="24"/>
        </w:rPr>
        <w:t>are being</w:t>
      </w:r>
      <w:r w:rsidR="00FE7F34">
        <w:rPr>
          <w:sz w:val="24"/>
          <w:szCs w:val="24"/>
        </w:rPr>
        <w:t xml:space="preserve"> used </w:t>
      </w:r>
      <w:r w:rsidR="0009399B">
        <w:rPr>
          <w:sz w:val="24"/>
          <w:szCs w:val="24"/>
        </w:rPr>
        <w:t xml:space="preserve">by the ACMA </w:t>
      </w:r>
      <w:r w:rsidR="00FE7F34">
        <w:rPr>
          <w:sz w:val="24"/>
          <w:szCs w:val="24"/>
        </w:rPr>
        <w:t>to facilitate</w:t>
      </w:r>
      <w:r w:rsidR="003D1291" w:rsidRPr="004554F9">
        <w:rPr>
          <w:sz w:val="24"/>
          <w:szCs w:val="24"/>
        </w:rPr>
        <w:t xml:space="preserve"> restack by identifying new channels on which broadcasters are to transmit their </w:t>
      </w:r>
      <w:r w:rsidR="00883D7D">
        <w:rPr>
          <w:sz w:val="24"/>
          <w:szCs w:val="24"/>
        </w:rPr>
        <w:t xml:space="preserve">digital television </w:t>
      </w:r>
      <w:r w:rsidR="004554F9" w:rsidRPr="004554F9">
        <w:rPr>
          <w:sz w:val="24"/>
          <w:szCs w:val="24"/>
        </w:rPr>
        <w:t xml:space="preserve">broadcasting </w:t>
      </w:r>
      <w:r w:rsidR="003D1291" w:rsidRPr="004554F9">
        <w:rPr>
          <w:sz w:val="24"/>
          <w:szCs w:val="24"/>
        </w:rPr>
        <w:t>service</w:t>
      </w:r>
      <w:r w:rsidR="004554F9" w:rsidRPr="004554F9">
        <w:rPr>
          <w:sz w:val="24"/>
          <w:szCs w:val="24"/>
        </w:rPr>
        <w:t>s</w:t>
      </w:r>
      <w:r w:rsidR="003D1291" w:rsidRPr="004554F9">
        <w:rPr>
          <w:sz w:val="24"/>
          <w:szCs w:val="24"/>
        </w:rPr>
        <w:t xml:space="preserve">, and setting associated technical requirements. Subsection 26(1D) enables </w:t>
      </w:r>
      <w:r w:rsidR="00FE7F34">
        <w:rPr>
          <w:sz w:val="24"/>
          <w:szCs w:val="24"/>
        </w:rPr>
        <w:t xml:space="preserve">the ACMA </w:t>
      </w:r>
      <w:r w:rsidR="003D1291" w:rsidRPr="004554F9">
        <w:rPr>
          <w:sz w:val="24"/>
          <w:szCs w:val="24"/>
        </w:rPr>
        <w:t xml:space="preserve">to </w:t>
      </w:r>
      <w:r w:rsidR="00FE7F34">
        <w:rPr>
          <w:sz w:val="24"/>
          <w:szCs w:val="24"/>
        </w:rPr>
        <w:t xml:space="preserve">specify </w:t>
      </w:r>
      <w:r w:rsidR="003D1291" w:rsidRPr="004554F9">
        <w:rPr>
          <w:sz w:val="24"/>
          <w:szCs w:val="24"/>
        </w:rPr>
        <w:t xml:space="preserve">specific dates </w:t>
      </w:r>
      <w:r w:rsidR="00FE7F34">
        <w:rPr>
          <w:sz w:val="24"/>
          <w:szCs w:val="24"/>
        </w:rPr>
        <w:t xml:space="preserve">in the TLAPs </w:t>
      </w:r>
      <w:r w:rsidR="003D1291" w:rsidRPr="004554F9">
        <w:rPr>
          <w:sz w:val="24"/>
          <w:szCs w:val="24"/>
        </w:rPr>
        <w:t xml:space="preserve">by </w:t>
      </w:r>
      <w:r w:rsidR="004F6C38">
        <w:rPr>
          <w:sz w:val="24"/>
          <w:szCs w:val="24"/>
        </w:rPr>
        <w:t>when</w:t>
      </w:r>
      <w:r w:rsidR="004F6C38" w:rsidRPr="004554F9">
        <w:rPr>
          <w:sz w:val="24"/>
          <w:szCs w:val="24"/>
        </w:rPr>
        <w:t xml:space="preserve"> </w:t>
      </w:r>
      <w:r w:rsidR="003D1291" w:rsidRPr="004554F9">
        <w:rPr>
          <w:sz w:val="24"/>
          <w:szCs w:val="24"/>
        </w:rPr>
        <w:t xml:space="preserve">the allotment of new </w:t>
      </w:r>
      <w:r w:rsidR="0089056D">
        <w:rPr>
          <w:sz w:val="24"/>
          <w:szCs w:val="24"/>
        </w:rPr>
        <w:t>(</w:t>
      </w:r>
      <w:r w:rsidR="003D1291" w:rsidRPr="004554F9">
        <w:rPr>
          <w:sz w:val="24"/>
          <w:szCs w:val="24"/>
        </w:rPr>
        <w:t>restacked</w:t>
      </w:r>
      <w:r w:rsidR="0089056D">
        <w:rPr>
          <w:sz w:val="24"/>
          <w:szCs w:val="24"/>
        </w:rPr>
        <w:t>)</w:t>
      </w:r>
      <w:r w:rsidR="003D1291" w:rsidRPr="004554F9">
        <w:rPr>
          <w:sz w:val="24"/>
          <w:szCs w:val="24"/>
        </w:rPr>
        <w:t xml:space="preserve"> channels come into effect, and </w:t>
      </w:r>
      <w:r w:rsidR="00F46EF6">
        <w:rPr>
          <w:sz w:val="24"/>
          <w:szCs w:val="24"/>
        </w:rPr>
        <w:t xml:space="preserve">existing (pre-restack) </w:t>
      </w:r>
      <w:r w:rsidR="003D1291" w:rsidRPr="004554F9">
        <w:rPr>
          <w:sz w:val="24"/>
          <w:szCs w:val="24"/>
        </w:rPr>
        <w:t>channel allotments</w:t>
      </w:r>
      <w:r w:rsidR="00F46EF6">
        <w:rPr>
          <w:sz w:val="24"/>
          <w:szCs w:val="24"/>
        </w:rPr>
        <w:t xml:space="preserve"> </w:t>
      </w:r>
      <w:r w:rsidR="003D1291" w:rsidRPr="004554F9">
        <w:rPr>
          <w:sz w:val="24"/>
          <w:szCs w:val="24"/>
        </w:rPr>
        <w:t>cease to be in effect.</w:t>
      </w:r>
      <w:r w:rsidR="00883D7D">
        <w:rPr>
          <w:sz w:val="24"/>
          <w:szCs w:val="24"/>
        </w:rPr>
        <w:t xml:space="preserve"> </w:t>
      </w:r>
    </w:p>
    <w:p w:rsidR="0089056D" w:rsidRDefault="00F365F6" w:rsidP="008B78A5">
      <w:pPr>
        <w:autoSpaceDE w:val="0"/>
        <w:autoSpaceDN w:val="0"/>
        <w:adjustRightInd w:val="0"/>
        <w:spacing w:after="120"/>
        <w:rPr>
          <w:sz w:val="24"/>
          <w:szCs w:val="24"/>
        </w:rPr>
      </w:pPr>
      <w:r w:rsidRPr="004554F9">
        <w:rPr>
          <w:sz w:val="24"/>
          <w:szCs w:val="24"/>
        </w:rPr>
        <w:t>Section 26AA of the BSA imposes a compliance obligation on broadcasters in relation to the channel allotments and technical specifications contained in TLAP</w:t>
      </w:r>
      <w:r w:rsidR="00FE7F34">
        <w:rPr>
          <w:sz w:val="24"/>
          <w:szCs w:val="24"/>
        </w:rPr>
        <w:t>s</w:t>
      </w:r>
      <w:r w:rsidRPr="004554F9">
        <w:rPr>
          <w:sz w:val="24"/>
          <w:szCs w:val="24"/>
        </w:rPr>
        <w:t xml:space="preserve">. </w:t>
      </w:r>
      <w:r w:rsidR="0089056D">
        <w:rPr>
          <w:sz w:val="24"/>
          <w:szCs w:val="24"/>
        </w:rPr>
        <w:t xml:space="preserve">A licence condition requiring compliance with TLAPs is </w:t>
      </w:r>
      <w:r w:rsidR="0009399B">
        <w:rPr>
          <w:sz w:val="24"/>
          <w:szCs w:val="24"/>
        </w:rPr>
        <w:t xml:space="preserve">also </w:t>
      </w:r>
      <w:r w:rsidR="0089056D">
        <w:rPr>
          <w:sz w:val="24"/>
          <w:szCs w:val="24"/>
        </w:rPr>
        <w:t>imposed on commercial and community broadcasters (see paragraphs 7(1</w:t>
      </w:r>
      <w:proofErr w:type="gramStart"/>
      <w:r w:rsidR="0089056D">
        <w:rPr>
          <w:sz w:val="24"/>
          <w:szCs w:val="24"/>
        </w:rPr>
        <w:t>)(</w:t>
      </w:r>
      <w:proofErr w:type="gramEnd"/>
      <w:r w:rsidR="0089056D">
        <w:rPr>
          <w:sz w:val="24"/>
          <w:szCs w:val="24"/>
        </w:rPr>
        <w:t xml:space="preserve">s) and 9(1)(k) of Schedule 2 to the BSA respectively) and a breach may attract </w:t>
      </w:r>
      <w:r w:rsidR="0089056D" w:rsidRPr="004554F9">
        <w:rPr>
          <w:sz w:val="24"/>
          <w:szCs w:val="24"/>
        </w:rPr>
        <w:t>civil or criminal penalties (Division 3 of Part 10 of the BSA refers).</w:t>
      </w:r>
    </w:p>
    <w:p w:rsidR="00D82BE2" w:rsidRPr="004554F9" w:rsidRDefault="00D82BE2" w:rsidP="008B78A5">
      <w:pPr>
        <w:spacing w:after="120"/>
        <w:rPr>
          <w:sz w:val="24"/>
          <w:szCs w:val="24"/>
        </w:rPr>
      </w:pPr>
      <w:r w:rsidRPr="004554F9">
        <w:rPr>
          <w:sz w:val="24"/>
          <w:szCs w:val="24"/>
        </w:rPr>
        <w:t xml:space="preserve">Broadcasters have expressed concern about the consequences to them if the restack of their </w:t>
      </w:r>
      <w:r w:rsidR="00883D7D">
        <w:rPr>
          <w:sz w:val="24"/>
          <w:szCs w:val="24"/>
        </w:rPr>
        <w:t xml:space="preserve">digital television broadcasting </w:t>
      </w:r>
      <w:r w:rsidRPr="004554F9">
        <w:rPr>
          <w:sz w:val="24"/>
          <w:szCs w:val="24"/>
        </w:rPr>
        <w:t xml:space="preserve">services is delayed </w:t>
      </w:r>
      <w:r w:rsidR="0089056D">
        <w:rPr>
          <w:sz w:val="24"/>
          <w:szCs w:val="24"/>
        </w:rPr>
        <w:t>(</w:t>
      </w:r>
      <w:r w:rsidRPr="004554F9">
        <w:rPr>
          <w:sz w:val="24"/>
          <w:szCs w:val="24"/>
        </w:rPr>
        <w:t>either generally throughout Australia or in a particular area</w:t>
      </w:r>
      <w:r w:rsidR="0089056D">
        <w:rPr>
          <w:sz w:val="24"/>
          <w:szCs w:val="24"/>
        </w:rPr>
        <w:t>)</w:t>
      </w:r>
      <w:r w:rsidRPr="004554F9">
        <w:rPr>
          <w:sz w:val="24"/>
          <w:szCs w:val="24"/>
        </w:rPr>
        <w:t xml:space="preserve"> for a reason beyond their control, with the result that they are unable to comply with the </w:t>
      </w:r>
      <w:r w:rsidR="00D42056">
        <w:rPr>
          <w:sz w:val="24"/>
          <w:szCs w:val="24"/>
        </w:rPr>
        <w:t xml:space="preserve">channel allotment timeframes specified in </w:t>
      </w:r>
      <w:r w:rsidRPr="004554F9">
        <w:rPr>
          <w:sz w:val="24"/>
          <w:szCs w:val="24"/>
        </w:rPr>
        <w:t>the applicable TLAP. In particular, broadcasters have expressed concern that they are vulnerable to, among other things, the vagaries of nature, the availability of a skilled workforce for restack, the equipment supply line and project planning processes.</w:t>
      </w:r>
    </w:p>
    <w:p w:rsidR="00F46EF6" w:rsidRDefault="00D82BE2" w:rsidP="008B78A5">
      <w:pPr>
        <w:spacing w:after="120"/>
        <w:rPr>
          <w:sz w:val="24"/>
          <w:szCs w:val="24"/>
        </w:rPr>
      </w:pPr>
      <w:r w:rsidRPr="004554F9">
        <w:rPr>
          <w:sz w:val="24"/>
          <w:szCs w:val="24"/>
        </w:rPr>
        <w:t>This Direction addresses broadcasters’ concerns by requiring the ACMA to consider</w:t>
      </w:r>
      <w:r w:rsidR="00670792">
        <w:rPr>
          <w:sz w:val="24"/>
          <w:szCs w:val="24"/>
        </w:rPr>
        <w:t>,</w:t>
      </w:r>
      <w:r w:rsidRPr="004554F9">
        <w:rPr>
          <w:sz w:val="24"/>
          <w:szCs w:val="24"/>
        </w:rPr>
        <w:t xml:space="preserve"> on an area basis</w:t>
      </w:r>
      <w:r w:rsidR="00670792">
        <w:rPr>
          <w:sz w:val="24"/>
          <w:szCs w:val="24"/>
        </w:rPr>
        <w:t>,</w:t>
      </w:r>
      <w:r w:rsidRPr="004554F9">
        <w:rPr>
          <w:sz w:val="24"/>
          <w:szCs w:val="24"/>
        </w:rPr>
        <w:t xml:space="preserve"> the ability of broadcasters to meet the </w:t>
      </w:r>
      <w:r w:rsidRPr="00624B45">
        <w:rPr>
          <w:sz w:val="24"/>
          <w:szCs w:val="24"/>
        </w:rPr>
        <w:t>restack objective</w:t>
      </w:r>
      <w:r w:rsidR="00F46EF6">
        <w:rPr>
          <w:sz w:val="24"/>
          <w:szCs w:val="24"/>
        </w:rPr>
        <w:t xml:space="preserve">. </w:t>
      </w:r>
      <w:r w:rsidR="00FE7F34">
        <w:rPr>
          <w:sz w:val="24"/>
          <w:szCs w:val="24"/>
        </w:rPr>
        <w:t xml:space="preserve">In making </w:t>
      </w:r>
      <w:r w:rsidR="00B55B11">
        <w:rPr>
          <w:sz w:val="24"/>
          <w:szCs w:val="24"/>
        </w:rPr>
        <w:t>this</w:t>
      </w:r>
      <w:r w:rsidR="00FE7F34">
        <w:rPr>
          <w:sz w:val="24"/>
          <w:szCs w:val="24"/>
        </w:rPr>
        <w:t xml:space="preserve"> assessment, the ACMA is required to take into account</w:t>
      </w:r>
      <w:r w:rsidRPr="004554F9">
        <w:rPr>
          <w:sz w:val="24"/>
          <w:szCs w:val="24"/>
        </w:rPr>
        <w:t xml:space="preserve"> any relevant information provided by the Secretary or an </w:t>
      </w:r>
      <w:r w:rsidR="00F46EF6">
        <w:rPr>
          <w:sz w:val="24"/>
          <w:szCs w:val="24"/>
        </w:rPr>
        <w:t>SES employee of the Department.</w:t>
      </w:r>
    </w:p>
    <w:p w:rsidR="00A919EA" w:rsidRDefault="00D82BE2" w:rsidP="008B78A5">
      <w:pPr>
        <w:spacing w:after="120"/>
        <w:rPr>
          <w:sz w:val="24"/>
          <w:szCs w:val="24"/>
        </w:rPr>
      </w:pPr>
      <w:r w:rsidRPr="004554F9">
        <w:rPr>
          <w:sz w:val="24"/>
          <w:szCs w:val="24"/>
        </w:rPr>
        <w:t xml:space="preserve">The Direction also requires that if the ACMA is satisfied that </w:t>
      </w:r>
      <w:r w:rsidR="002C2170" w:rsidRPr="00967762">
        <w:rPr>
          <w:sz w:val="24"/>
          <w:szCs w:val="24"/>
        </w:rPr>
        <w:t xml:space="preserve">the </w:t>
      </w:r>
      <w:r w:rsidR="002C2170">
        <w:rPr>
          <w:sz w:val="24"/>
          <w:szCs w:val="24"/>
        </w:rPr>
        <w:t>capacity of a provider of digital television broadcasting services to meet the restack objective has been significantly affected by</w:t>
      </w:r>
      <w:r w:rsidR="006D07BA">
        <w:rPr>
          <w:sz w:val="24"/>
          <w:szCs w:val="24"/>
        </w:rPr>
        <w:t xml:space="preserve"> an</w:t>
      </w:r>
      <w:r w:rsidR="002C2170">
        <w:rPr>
          <w:sz w:val="24"/>
          <w:szCs w:val="24"/>
        </w:rPr>
        <w:t xml:space="preserve"> event or circumstance outside their control, and mitigation actions could not reasonably have been taken, or could not reasonably be taken, by the provider or a transmission service provider contracted to them, and that as a result, </w:t>
      </w:r>
      <w:r w:rsidRPr="004554F9">
        <w:rPr>
          <w:sz w:val="24"/>
          <w:szCs w:val="24"/>
        </w:rPr>
        <w:t>the restack objective is unlikely to be met in an area, it must vary a TLAP</w:t>
      </w:r>
      <w:r w:rsidR="00B70362">
        <w:rPr>
          <w:sz w:val="24"/>
          <w:szCs w:val="24"/>
        </w:rPr>
        <w:t>.  The variation must be only</w:t>
      </w:r>
      <w:r w:rsidR="000200DD">
        <w:rPr>
          <w:sz w:val="24"/>
          <w:szCs w:val="24"/>
        </w:rPr>
        <w:t xml:space="preserve"> to the minimum extent necessary to address the adverse impact of the event or circumstance</w:t>
      </w:r>
      <w:r w:rsidR="00B55B11">
        <w:rPr>
          <w:sz w:val="24"/>
          <w:szCs w:val="24"/>
        </w:rPr>
        <w:t xml:space="preserve">. </w:t>
      </w:r>
    </w:p>
    <w:p w:rsidR="00A919EA" w:rsidRDefault="00A919EA" w:rsidP="008B78A5">
      <w:pPr>
        <w:spacing w:after="120"/>
        <w:rPr>
          <w:sz w:val="24"/>
          <w:szCs w:val="24"/>
        </w:rPr>
      </w:pPr>
      <w:r>
        <w:rPr>
          <w:sz w:val="24"/>
          <w:szCs w:val="24"/>
        </w:rPr>
        <w:lastRenderedPageBreak/>
        <w:t>The Direction also provides that before vary</w:t>
      </w:r>
      <w:r w:rsidR="00253CA5">
        <w:rPr>
          <w:sz w:val="24"/>
          <w:szCs w:val="24"/>
        </w:rPr>
        <w:t>ing</w:t>
      </w:r>
      <w:r>
        <w:rPr>
          <w:sz w:val="24"/>
          <w:szCs w:val="24"/>
        </w:rPr>
        <w:t xml:space="preserve"> </w:t>
      </w:r>
      <w:r w:rsidR="00520E31">
        <w:rPr>
          <w:sz w:val="24"/>
          <w:szCs w:val="24"/>
        </w:rPr>
        <w:t xml:space="preserve">the TLAP </w:t>
      </w:r>
      <w:r w:rsidR="00253CA5">
        <w:rPr>
          <w:sz w:val="24"/>
          <w:szCs w:val="24"/>
        </w:rPr>
        <w:t xml:space="preserve">in compliance with the Direction, </w:t>
      </w:r>
      <w:r>
        <w:rPr>
          <w:sz w:val="24"/>
          <w:szCs w:val="24"/>
        </w:rPr>
        <w:t>or commenc</w:t>
      </w:r>
      <w:r w:rsidR="00253CA5">
        <w:rPr>
          <w:sz w:val="24"/>
          <w:szCs w:val="24"/>
        </w:rPr>
        <w:t>ing</w:t>
      </w:r>
      <w:r>
        <w:rPr>
          <w:sz w:val="24"/>
          <w:szCs w:val="24"/>
        </w:rPr>
        <w:t xml:space="preserve"> consultation for the variation, the ACMA is to advise the Minister, with reasonable notice, of its intention to vary</w:t>
      </w:r>
      <w:r w:rsidR="00520E31">
        <w:rPr>
          <w:sz w:val="24"/>
          <w:szCs w:val="24"/>
        </w:rPr>
        <w:t xml:space="preserve"> the TLAP</w:t>
      </w:r>
      <w:r>
        <w:rPr>
          <w:sz w:val="24"/>
          <w:szCs w:val="24"/>
        </w:rPr>
        <w:t xml:space="preserve">. In providing its advice, the ACMA is required to include an initial assessment of options for how the TLAP may be varied, and the likely impact of each option on users </w:t>
      </w:r>
      <w:r w:rsidR="00520E31">
        <w:rPr>
          <w:sz w:val="24"/>
          <w:szCs w:val="24"/>
        </w:rPr>
        <w:t xml:space="preserve">(including future users) </w:t>
      </w:r>
      <w:r>
        <w:rPr>
          <w:sz w:val="24"/>
          <w:szCs w:val="24"/>
        </w:rPr>
        <w:t xml:space="preserve">of the </w:t>
      </w:r>
      <w:r w:rsidR="00253CA5">
        <w:rPr>
          <w:sz w:val="24"/>
          <w:szCs w:val="24"/>
        </w:rPr>
        <w:t>relevant spectrum (</w:t>
      </w:r>
      <w:proofErr w:type="spellStart"/>
      <w:r w:rsidR="00253CA5">
        <w:rPr>
          <w:sz w:val="24"/>
          <w:szCs w:val="24"/>
        </w:rPr>
        <w:t>ie</w:t>
      </w:r>
      <w:proofErr w:type="spellEnd"/>
      <w:r w:rsidR="00253CA5">
        <w:rPr>
          <w:sz w:val="24"/>
          <w:szCs w:val="24"/>
        </w:rPr>
        <w:t xml:space="preserve"> the </w:t>
      </w:r>
      <w:r w:rsidR="00520E31">
        <w:rPr>
          <w:sz w:val="24"/>
          <w:szCs w:val="24"/>
        </w:rPr>
        <w:t xml:space="preserve">radiofrequency </w:t>
      </w:r>
      <w:r>
        <w:rPr>
          <w:sz w:val="24"/>
          <w:szCs w:val="24"/>
        </w:rPr>
        <w:t xml:space="preserve">spectrum </w:t>
      </w:r>
      <w:r w:rsidR="00520E31">
        <w:rPr>
          <w:sz w:val="24"/>
          <w:szCs w:val="24"/>
        </w:rPr>
        <w:t>in the frequency range 694 to 820 MHz</w:t>
      </w:r>
      <w:r w:rsidR="00253CA5">
        <w:rPr>
          <w:sz w:val="24"/>
          <w:szCs w:val="24"/>
        </w:rPr>
        <w:t>)</w:t>
      </w:r>
      <w:r>
        <w:rPr>
          <w:sz w:val="24"/>
          <w:szCs w:val="24"/>
        </w:rPr>
        <w:t>.</w:t>
      </w:r>
    </w:p>
    <w:p w:rsidR="00D82BE2" w:rsidRDefault="00FE7F34" w:rsidP="008B78A5">
      <w:pPr>
        <w:spacing w:after="120"/>
        <w:rPr>
          <w:sz w:val="24"/>
          <w:szCs w:val="24"/>
        </w:rPr>
      </w:pPr>
      <w:r>
        <w:rPr>
          <w:sz w:val="24"/>
          <w:szCs w:val="24"/>
        </w:rPr>
        <w:t>The Direction does not prevent the ACMA from vary</w:t>
      </w:r>
      <w:r w:rsidR="002C2170">
        <w:rPr>
          <w:sz w:val="24"/>
          <w:szCs w:val="24"/>
        </w:rPr>
        <w:t>ing</w:t>
      </w:r>
      <w:r>
        <w:rPr>
          <w:sz w:val="24"/>
          <w:szCs w:val="24"/>
        </w:rPr>
        <w:t xml:space="preserve"> a TLAP </w:t>
      </w:r>
      <w:r w:rsidR="002C2170">
        <w:rPr>
          <w:sz w:val="24"/>
          <w:szCs w:val="24"/>
        </w:rPr>
        <w:t>at any other time in respect of any matter</w:t>
      </w:r>
      <w:r>
        <w:rPr>
          <w:sz w:val="24"/>
          <w:szCs w:val="24"/>
        </w:rPr>
        <w:t>.</w:t>
      </w:r>
    </w:p>
    <w:p w:rsidR="005B1DDC" w:rsidRDefault="002131AC" w:rsidP="00F40A87">
      <w:pPr>
        <w:keepNext/>
        <w:spacing w:before="100" w:beforeAutospacing="1" w:after="100" w:afterAutospacing="1"/>
        <w:rPr>
          <w:sz w:val="24"/>
          <w:szCs w:val="24"/>
          <w:u w:val="single"/>
        </w:rPr>
      </w:pPr>
      <w:r>
        <w:rPr>
          <w:sz w:val="24"/>
          <w:szCs w:val="24"/>
          <w:u w:val="single"/>
        </w:rPr>
        <w:t>Regulation Impact Statement</w:t>
      </w:r>
    </w:p>
    <w:p w:rsidR="00FF5F4A" w:rsidRDefault="00B71224" w:rsidP="00B71224">
      <w:pPr>
        <w:spacing w:before="100" w:beforeAutospacing="1" w:after="100" w:afterAutospacing="1"/>
        <w:rPr>
          <w:sz w:val="24"/>
          <w:szCs w:val="24"/>
        </w:rPr>
      </w:pPr>
      <w:r w:rsidRPr="00B71224">
        <w:rPr>
          <w:sz w:val="24"/>
          <w:szCs w:val="24"/>
        </w:rPr>
        <w:t xml:space="preserve">The Office of Best Practice Regulation has confirmed that the preparation of a Regulation Impact Statement is not necessary as </w:t>
      </w:r>
      <w:r w:rsidR="00093AFD">
        <w:rPr>
          <w:sz w:val="24"/>
          <w:szCs w:val="24"/>
        </w:rPr>
        <w:t>the Direction’s</w:t>
      </w:r>
      <w:r w:rsidR="0038596E">
        <w:rPr>
          <w:sz w:val="24"/>
          <w:szCs w:val="24"/>
        </w:rPr>
        <w:t xml:space="preserve"> impact is of a machinery nature</w:t>
      </w:r>
      <w:r w:rsidR="00FF5F4A">
        <w:rPr>
          <w:sz w:val="24"/>
          <w:szCs w:val="24"/>
        </w:rPr>
        <w:t xml:space="preserve">, particularly in light of the </w:t>
      </w:r>
      <w:r w:rsidR="00FF5F4A" w:rsidRPr="00FF5F4A">
        <w:rPr>
          <w:sz w:val="24"/>
          <w:szCs w:val="24"/>
        </w:rPr>
        <w:t xml:space="preserve">Australian Communications and Media Authority 2011 Regulation Impact Statement (RIS) </w:t>
      </w:r>
      <w:r w:rsidR="00FF5F4A" w:rsidRPr="00FF5F4A">
        <w:rPr>
          <w:i/>
          <w:sz w:val="24"/>
          <w:szCs w:val="24"/>
        </w:rPr>
        <w:t>Clearing the Digital Dividend - Planning Principles for Restacking Digital Television Channels</w:t>
      </w:r>
      <w:r w:rsidR="00FF5F4A">
        <w:rPr>
          <w:sz w:val="24"/>
          <w:szCs w:val="24"/>
        </w:rPr>
        <w:t>.</w:t>
      </w:r>
    </w:p>
    <w:p w:rsidR="002131AC" w:rsidRDefault="002131AC" w:rsidP="00F40A87">
      <w:pPr>
        <w:keepNext/>
        <w:spacing w:before="100" w:beforeAutospacing="1" w:after="100" w:afterAutospacing="1"/>
        <w:rPr>
          <w:bCs/>
          <w:sz w:val="24"/>
          <w:szCs w:val="24"/>
          <w:u w:val="single"/>
        </w:rPr>
      </w:pPr>
      <w:r>
        <w:rPr>
          <w:bCs/>
          <w:sz w:val="24"/>
          <w:szCs w:val="24"/>
          <w:u w:val="single"/>
        </w:rPr>
        <w:t>Consultation</w:t>
      </w:r>
    </w:p>
    <w:p w:rsidR="00B71224" w:rsidRDefault="00B71224" w:rsidP="00B71224">
      <w:pPr>
        <w:spacing w:before="100" w:beforeAutospacing="1" w:after="100" w:afterAutospacing="1"/>
        <w:rPr>
          <w:sz w:val="24"/>
          <w:szCs w:val="24"/>
        </w:rPr>
      </w:pPr>
      <w:r>
        <w:rPr>
          <w:sz w:val="24"/>
          <w:szCs w:val="24"/>
        </w:rPr>
        <w:t xml:space="preserve">The ACMA, commercial </w:t>
      </w:r>
      <w:r w:rsidR="000A1A47">
        <w:rPr>
          <w:sz w:val="24"/>
          <w:szCs w:val="24"/>
        </w:rPr>
        <w:t xml:space="preserve">television </w:t>
      </w:r>
      <w:r>
        <w:rPr>
          <w:sz w:val="24"/>
          <w:szCs w:val="24"/>
        </w:rPr>
        <w:t xml:space="preserve">broadcasters and participants in the auction of the </w:t>
      </w:r>
      <w:r w:rsidR="00FF5F4A">
        <w:rPr>
          <w:sz w:val="24"/>
          <w:szCs w:val="24"/>
        </w:rPr>
        <w:t xml:space="preserve">digital dividend </w:t>
      </w:r>
      <w:r>
        <w:rPr>
          <w:sz w:val="24"/>
          <w:szCs w:val="24"/>
        </w:rPr>
        <w:t>spectrum were consulted before the making of this Direction. Issues raised by these stakeholders were considered and incorporated into the Direction where appropriate.</w:t>
      </w:r>
    </w:p>
    <w:p w:rsidR="002131AC" w:rsidRDefault="002131AC" w:rsidP="002131AC">
      <w:pPr>
        <w:pStyle w:val="BodyText2"/>
        <w:spacing w:before="240"/>
        <w:rPr>
          <w:color w:val="000000"/>
          <w:sz w:val="24"/>
          <w:szCs w:val="24"/>
        </w:rPr>
      </w:pPr>
      <w:r w:rsidRPr="002131AC">
        <w:rPr>
          <w:color w:val="000000"/>
          <w:sz w:val="24"/>
          <w:szCs w:val="24"/>
        </w:rPr>
        <w:t xml:space="preserve">Details of </w:t>
      </w:r>
      <w:r w:rsidR="0009399B">
        <w:rPr>
          <w:color w:val="000000"/>
          <w:sz w:val="24"/>
          <w:szCs w:val="24"/>
        </w:rPr>
        <w:t xml:space="preserve">the Direction </w:t>
      </w:r>
      <w:r w:rsidRPr="002131AC">
        <w:rPr>
          <w:color w:val="000000"/>
          <w:sz w:val="24"/>
          <w:szCs w:val="24"/>
        </w:rPr>
        <w:t>are set out in the Attachment.</w:t>
      </w:r>
    </w:p>
    <w:p w:rsidR="002131AC" w:rsidRDefault="002131AC">
      <w:pPr>
        <w:spacing w:after="200" w:line="276" w:lineRule="auto"/>
        <w:rPr>
          <w:color w:val="000000"/>
          <w:sz w:val="24"/>
          <w:szCs w:val="24"/>
        </w:rPr>
      </w:pPr>
      <w:r>
        <w:rPr>
          <w:color w:val="000000"/>
          <w:sz w:val="24"/>
          <w:szCs w:val="24"/>
        </w:rPr>
        <w:br w:type="page"/>
      </w:r>
    </w:p>
    <w:p w:rsidR="00E00750" w:rsidRPr="002131AC" w:rsidRDefault="002131AC" w:rsidP="002131AC">
      <w:pPr>
        <w:pStyle w:val="BodyText2"/>
        <w:spacing w:before="240"/>
        <w:jc w:val="right"/>
        <w:rPr>
          <w:b/>
          <w:color w:val="000000"/>
          <w:sz w:val="24"/>
          <w:szCs w:val="24"/>
          <w:u w:val="single"/>
        </w:rPr>
      </w:pPr>
      <w:r w:rsidRPr="002131AC">
        <w:rPr>
          <w:b/>
          <w:color w:val="000000"/>
          <w:sz w:val="24"/>
          <w:szCs w:val="24"/>
          <w:u w:val="single"/>
        </w:rPr>
        <w:lastRenderedPageBreak/>
        <w:t>Attachment</w:t>
      </w:r>
    </w:p>
    <w:p w:rsidR="00E00750" w:rsidRPr="0023682E" w:rsidRDefault="00E00750" w:rsidP="00F40A87">
      <w:pPr>
        <w:keepNext/>
        <w:spacing w:before="100" w:beforeAutospacing="1" w:after="100" w:afterAutospacing="1"/>
        <w:ind w:right="91"/>
        <w:rPr>
          <w:sz w:val="24"/>
          <w:szCs w:val="24"/>
          <w:u w:val="single"/>
        </w:rPr>
      </w:pPr>
      <w:r w:rsidRPr="0023682E">
        <w:rPr>
          <w:sz w:val="24"/>
          <w:szCs w:val="24"/>
          <w:u w:val="single"/>
        </w:rPr>
        <w:t>Notes on Clauses</w:t>
      </w:r>
    </w:p>
    <w:p w:rsidR="00E00750" w:rsidRPr="002131AC" w:rsidRDefault="00E00750" w:rsidP="008B78A5">
      <w:pPr>
        <w:spacing w:after="120"/>
        <w:ind w:right="91"/>
        <w:rPr>
          <w:sz w:val="24"/>
          <w:szCs w:val="24"/>
        </w:rPr>
      </w:pPr>
      <w:r w:rsidRPr="0023682E">
        <w:rPr>
          <w:sz w:val="24"/>
          <w:szCs w:val="24"/>
          <w:u w:val="single"/>
        </w:rPr>
        <w:t>Clause 1</w:t>
      </w:r>
      <w:r w:rsidRPr="0023682E">
        <w:rPr>
          <w:sz w:val="24"/>
          <w:szCs w:val="24"/>
        </w:rPr>
        <w:t xml:space="preserve"> provides that the name of the </w:t>
      </w:r>
      <w:r w:rsidR="004554F9">
        <w:rPr>
          <w:sz w:val="24"/>
          <w:szCs w:val="24"/>
        </w:rPr>
        <w:t xml:space="preserve">Direction </w:t>
      </w:r>
      <w:r w:rsidRPr="0023682E">
        <w:rPr>
          <w:sz w:val="24"/>
          <w:szCs w:val="24"/>
        </w:rPr>
        <w:t xml:space="preserve">is the </w:t>
      </w:r>
      <w:r w:rsidR="004554F9" w:rsidRPr="004554F9">
        <w:rPr>
          <w:i/>
          <w:sz w:val="24"/>
          <w:szCs w:val="24"/>
        </w:rPr>
        <w:t>Australian Communications and Media Authority (Television Licence Area Planning and Monitoring) Direction 2013</w:t>
      </w:r>
      <w:r w:rsidR="002131AC">
        <w:rPr>
          <w:iCs/>
          <w:sz w:val="24"/>
          <w:szCs w:val="24"/>
        </w:rPr>
        <w:t>.</w:t>
      </w:r>
    </w:p>
    <w:p w:rsidR="00E00750" w:rsidRPr="0023682E" w:rsidRDefault="00E00750" w:rsidP="008B78A5">
      <w:pPr>
        <w:spacing w:after="120"/>
        <w:rPr>
          <w:sz w:val="24"/>
          <w:szCs w:val="24"/>
        </w:rPr>
      </w:pPr>
      <w:r w:rsidRPr="0023682E">
        <w:rPr>
          <w:sz w:val="24"/>
          <w:szCs w:val="24"/>
          <w:u w:val="single"/>
        </w:rPr>
        <w:t>Clause 2</w:t>
      </w:r>
      <w:r w:rsidRPr="0023682E">
        <w:rPr>
          <w:sz w:val="24"/>
          <w:szCs w:val="24"/>
        </w:rPr>
        <w:t xml:space="preserve"> provides </w:t>
      </w:r>
      <w:r w:rsidRPr="00DA641A">
        <w:rPr>
          <w:sz w:val="24"/>
          <w:szCs w:val="24"/>
        </w:rPr>
        <w:t>that</w:t>
      </w:r>
      <w:r w:rsidRPr="0023682E">
        <w:rPr>
          <w:sz w:val="24"/>
          <w:szCs w:val="24"/>
        </w:rPr>
        <w:t xml:space="preserve"> the </w:t>
      </w:r>
      <w:r w:rsidR="00DA641A" w:rsidRPr="00DA641A">
        <w:rPr>
          <w:sz w:val="24"/>
          <w:szCs w:val="24"/>
        </w:rPr>
        <w:t>Direction</w:t>
      </w:r>
      <w:r w:rsidRPr="0023682E">
        <w:rPr>
          <w:sz w:val="24"/>
          <w:szCs w:val="24"/>
        </w:rPr>
        <w:t xml:space="preserve"> will commence on</w:t>
      </w:r>
      <w:r w:rsidR="002131AC">
        <w:rPr>
          <w:sz w:val="24"/>
          <w:szCs w:val="24"/>
        </w:rPr>
        <w:t xml:space="preserve"> </w:t>
      </w:r>
      <w:r w:rsidR="00DA641A" w:rsidRPr="00C73B4C">
        <w:rPr>
          <w:sz w:val="24"/>
          <w:szCs w:val="24"/>
        </w:rPr>
        <w:t xml:space="preserve">the day </w:t>
      </w:r>
      <w:r w:rsidR="00DA641A" w:rsidRPr="00DA641A">
        <w:rPr>
          <w:sz w:val="24"/>
          <w:szCs w:val="24"/>
        </w:rPr>
        <w:t>after it is registered on the Federal Register</w:t>
      </w:r>
      <w:r w:rsidR="00DA641A">
        <w:rPr>
          <w:sz w:val="24"/>
          <w:szCs w:val="24"/>
        </w:rPr>
        <w:t xml:space="preserve"> of Legislative Instruments</w:t>
      </w:r>
      <w:r w:rsidRPr="0023682E">
        <w:rPr>
          <w:sz w:val="24"/>
          <w:szCs w:val="24"/>
        </w:rPr>
        <w:t>.</w:t>
      </w:r>
    </w:p>
    <w:p w:rsidR="00DA641A" w:rsidRPr="00DA641A" w:rsidRDefault="00DA641A" w:rsidP="008B78A5">
      <w:pPr>
        <w:spacing w:after="120"/>
        <w:rPr>
          <w:sz w:val="24"/>
          <w:szCs w:val="24"/>
          <w:u w:val="single"/>
        </w:rPr>
      </w:pPr>
      <w:r w:rsidRPr="00DA641A">
        <w:rPr>
          <w:sz w:val="24"/>
          <w:szCs w:val="24"/>
          <w:u w:val="single"/>
        </w:rPr>
        <w:t>Clause 3</w:t>
      </w:r>
      <w:r w:rsidRPr="00DA641A">
        <w:rPr>
          <w:sz w:val="24"/>
          <w:szCs w:val="24"/>
        </w:rPr>
        <w:t xml:space="preserve"> defines the terms used throughout the Direction.</w:t>
      </w:r>
    </w:p>
    <w:p w:rsidR="00DA641A" w:rsidRPr="00DA641A" w:rsidRDefault="00DA641A" w:rsidP="008B78A5">
      <w:pPr>
        <w:spacing w:after="120"/>
        <w:rPr>
          <w:sz w:val="24"/>
          <w:szCs w:val="24"/>
        </w:rPr>
      </w:pPr>
      <w:r w:rsidRPr="00DA641A">
        <w:rPr>
          <w:sz w:val="24"/>
          <w:szCs w:val="24"/>
          <w:u w:val="single"/>
        </w:rPr>
        <w:t>Clause 4</w:t>
      </w:r>
      <w:r w:rsidRPr="00DA641A">
        <w:t xml:space="preserve"> </w:t>
      </w:r>
      <w:r w:rsidRPr="00DA641A">
        <w:rPr>
          <w:sz w:val="24"/>
          <w:szCs w:val="24"/>
        </w:rPr>
        <w:t>directs the ACMA in relation to its consideration of channel allotments</w:t>
      </w:r>
      <w:r w:rsidR="004C14DB">
        <w:rPr>
          <w:sz w:val="24"/>
          <w:szCs w:val="24"/>
        </w:rPr>
        <w:t xml:space="preserve"> in TLAPs</w:t>
      </w:r>
      <w:r w:rsidRPr="00DA641A">
        <w:rPr>
          <w:sz w:val="24"/>
          <w:szCs w:val="24"/>
        </w:rPr>
        <w:t>.</w:t>
      </w:r>
    </w:p>
    <w:p w:rsidR="00DA641A" w:rsidRPr="00DA641A" w:rsidRDefault="00DA641A" w:rsidP="008B78A5">
      <w:pPr>
        <w:spacing w:after="120"/>
        <w:rPr>
          <w:sz w:val="24"/>
          <w:szCs w:val="24"/>
        </w:rPr>
      </w:pPr>
      <w:r w:rsidRPr="00DA641A">
        <w:rPr>
          <w:sz w:val="24"/>
          <w:szCs w:val="24"/>
        </w:rPr>
        <w:t>Subclause 4(1) directs that the ACMA cons</w:t>
      </w:r>
      <w:r w:rsidR="00670792">
        <w:rPr>
          <w:sz w:val="24"/>
          <w:szCs w:val="24"/>
        </w:rPr>
        <w:t xml:space="preserve">ider, until restack occurs in an </w:t>
      </w:r>
      <w:r w:rsidRPr="00DA641A">
        <w:rPr>
          <w:sz w:val="24"/>
          <w:szCs w:val="24"/>
        </w:rPr>
        <w:t xml:space="preserve">area, </w:t>
      </w:r>
      <w:r w:rsidR="00F60697">
        <w:rPr>
          <w:sz w:val="24"/>
          <w:szCs w:val="24"/>
        </w:rPr>
        <w:t>whether the providers of digital</w:t>
      </w:r>
      <w:r w:rsidRPr="00DA641A">
        <w:rPr>
          <w:sz w:val="24"/>
          <w:szCs w:val="24"/>
        </w:rPr>
        <w:t xml:space="preserve"> </w:t>
      </w:r>
      <w:r w:rsidR="00B03C96">
        <w:rPr>
          <w:sz w:val="24"/>
          <w:szCs w:val="24"/>
        </w:rPr>
        <w:t xml:space="preserve">television </w:t>
      </w:r>
      <w:r w:rsidR="004C14DB">
        <w:rPr>
          <w:sz w:val="24"/>
          <w:szCs w:val="24"/>
        </w:rPr>
        <w:t>broadcast</w:t>
      </w:r>
      <w:r w:rsidR="00F60697">
        <w:rPr>
          <w:sz w:val="24"/>
          <w:szCs w:val="24"/>
        </w:rPr>
        <w:t xml:space="preserve">ing </w:t>
      </w:r>
      <w:r w:rsidR="004C14DB">
        <w:rPr>
          <w:sz w:val="24"/>
          <w:szCs w:val="24"/>
        </w:rPr>
        <w:t xml:space="preserve">services </w:t>
      </w:r>
      <w:r w:rsidRPr="00DA641A">
        <w:rPr>
          <w:sz w:val="24"/>
          <w:szCs w:val="24"/>
        </w:rPr>
        <w:t xml:space="preserve">in that area will be able to meet the </w:t>
      </w:r>
      <w:r w:rsidRPr="008B78A5">
        <w:rPr>
          <w:i/>
          <w:sz w:val="24"/>
          <w:szCs w:val="24"/>
        </w:rPr>
        <w:t>restack objective</w:t>
      </w:r>
      <w:r w:rsidRPr="00DA641A">
        <w:rPr>
          <w:sz w:val="24"/>
          <w:szCs w:val="24"/>
        </w:rPr>
        <w:t xml:space="preserve">. The </w:t>
      </w:r>
      <w:r w:rsidRPr="00624B45">
        <w:rPr>
          <w:sz w:val="24"/>
          <w:szCs w:val="24"/>
        </w:rPr>
        <w:t>restack objective is</w:t>
      </w:r>
      <w:r w:rsidRPr="00DA641A">
        <w:rPr>
          <w:sz w:val="24"/>
          <w:szCs w:val="24"/>
        </w:rPr>
        <w:t xml:space="preserve"> that </w:t>
      </w:r>
      <w:r w:rsidR="004C14DB">
        <w:rPr>
          <w:sz w:val="24"/>
          <w:szCs w:val="24"/>
        </w:rPr>
        <w:t>broadcasters</w:t>
      </w:r>
      <w:r w:rsidRPr="00DA641A">
        <w:rPr>
          <w:sz w:val="24"/>
          <w:szCs w:val="24"/>
        </w:rPr>
        <w:t xml:space="preserve"> in an area cease transmitting their </w:t>
      </w:r>
      <w:r w:rsidR="00F60697">
        <w:rPr>
          <w:sz w:val="24"/>
          <w:szCs w:val="24"/>
        </w:rPr>
        <w:t xml:space="preserve">digital television broadcasting </w:t>
      </w:r>
      <w:r w:rsidRPr="00DA641A">
        <w:rPr>
          <w:sz w:val="24"/>
          <w:szCs w:val="24"/>
        </w:rPr>
        <w:t>services in accordance with the applicable end dates for channel allotments specified in a TLAP</w:t>
      </w:r>
      <w:r w:rsidR="004C14DB">
        <w:rPr>
          <w:sz w:val="24"/>
          <w:szCs w:val="24"/>
        </w:rPr>
        <w:t xml:space="preserve"> for the area,</w:t>
      </w:r>
      <w:r w:rsidRPr="00DA641A">
        <w:rPr>
          <w:sz w:val="24"/>
          <w:szCs w:val="24"/>
        </w:rPr>
        <w:t xml:space="preserve"> and continue to provide those services using another channel allotment in accordance with </w:t>
      </w:r>
      <w:r w:rsidR="00F60697">
        <w:rPr>
          <w:sz w:val="24"/>
          <w:szCs w:val="24"/>
        </w:rPr>
        <w:t>that</w:t>
      </w:r>
      <w:r w:rsidR="00F60697" w:rsidRPr="00DA641A">
        <w:rPr>
          <w:sz w:val="24"/>
          <w:szCs w:val="24"/>
        </w:rPr>
        <w:t xml:space="preserve"> </w:t>
      </w:r>
      <w:r w:rsidRPr="00DA641A">
        <w:rPr>
          <w:sz w:val="24"/>
          <w:szCs w:val="24"/>
        </w:rPr>
        <w:t>TLAP.</w:t>
      </w:r>
      <w:r w:rsidR="00945225">
        <w:rPr>
          <w:sz w:val="24"/>
          <w:szCs w:val="24"/>
        </w:rPr>
        <w:t xml:space="preserve"> The end date for channel allotments </w:t>
      </w:r>
      <w:r w:rsidR="001A6D19">
        <w:rPr>
          <w:sz w:val="24"/>
          <w:szCs w:val="24"/>
        </w:rPr>
        <w:t xml:space="preserve">most commonly </w:t>
      </w:r>
      <w:r w:rsidR="00945225">
        <w:rPr>
          <w:sz w:val="24"/>
          <w:szCs w:val="24"/>
        </w:rPr>
        <w:t>specified in TLAPs is 31 December 2014.</w:t>
      </w:r>
    </w:p>
    <w:p w:rsidR="00DA641A" w:rsidRPr="00DA641A" w:rsidRDefault="00DA641A" w:rsidP="008B78A5">
      <w:pPr>
        <w:spacing w:after="120"/>
        <w:rPr>
          <w:sz w:val="24"/>
          <w:szCs w:val="24"/>
        </w:rPr>
      </w:pPr>
      <w:r w:rsidRPr="00DA641A">
        <w:rPr>
          <w:sz w:val="24"/>
          <w:szCs w:val="24"/>
        </w:rPr>
        <w:t xml:space="preserve">Subclause 4(1) requires that the ACMA give consideration to </w:t>
      </w:r>
      <w:r w:rsidRPr="00624B45">
        <w:rPr>
          <w:sz w:val="24"/>
          <w:szCs w:val="24"/>
        </w:rPr>
        <w:t>whether the restack objective is able to be met in an area at those times that the ACMA considers appropriate, or at other times specified in a notice in writing provi</w:t>
      </w:r>
      <w:r w:rsidRPr="00DA641A">
        <w:rPr>
          <w:sz w:val="24"/>
          <w:szCs w:val="24"/>
        </w:rPr>
        <w:t>ded by the Secretary or Deputy Secretary of the Department</w:t>
      </w:r>
      <w:r w:rsidR="00670792">
        <w:rPr>
          <w:sz w:val="24"/>
          <w:szCs w:val="24"/>
        </w:rPr>
        <w:t>. This consideration by the ACMA is to continue</w:t>
      </w:r>
      <w:r w:rsidRPr="00DA641A">
        <w:rPr>
          <w:sz w:val="24"/>
          <w:szCs w:val="24"/>
        </w:rPr>
        <w:t xml:space="preserve"> until restack has occurred in the area.</w:t>
      </w:r>
    </w:p>
    <w:p w:rsidR="00F365F6" w:rsidRDefault="00DA641A" w:rsidP="008B78A5">
      <w:pPr>
        <w:spacing w:after="120"/>
        <w:rPr>
          <w:sz w:val="24"/>
          <w:szCs w:val="24"/>
        </w:rPr>
      </w:pPr>
      <w:r w:rsidRPr="00DA641A">
        <w:rPr>
          <w:sz w:val="24"/>
          <w:szCs w:val="24"/>
        </w:rPr>
        <w:t xml:space="preserve">Subclause 4(2) </w:t>
      </w:r>
      <w:r w:rsidR="00F365F6">
        <w:rPr>
          <w:sz w:val="24"/>
          <w:szCs w:val="24"/>
        </w:rPr>
        <w:t xml:space="preserve">directs that when the ACMA is considering </w:t>
      </w:r>
      <w:r w:rsidR="00F365F6" w:rsidRPr="00624B45">
        <w:rPr>
          <w:sz w:val="24"/>
          <w:szCs w:val="24"/>
        </w:rPr>
        <w:t>whether the restack objective is able to be met in an area, it is to take into account any relevant</w:t>
      </w:r>
      <w:r w:rsidR="00F365F6">
        <w:rPr>
          <w:sz w:val="24"/>
          <w:szCs w:val="24"/>
        </w:rPr>
        <w:t xml:space="preserve"> information provided by the Secretary or an SES employee of the Department. </w:t>
      </w:r>
      <w:r w:rsidR="008B78A5">
        <w:rPr>
          <w:sz w:val="24"/>
          <w:szCs w:val="24"/>
        </w:rPr>
        <w:t xml:space="preserve">In providing this information, the Secretary or SES </w:t>
      </w:r>
      <w:r w:rsidR="00670792">
        <w:rPr>
          <w:sz w:val="24"/>
          <w:szCs w:val="24"/>
        </w:rPr>
        <w:t>employee</w:t>
      </w:r>
      <w:r w:rsidR="008B78A5">
        <w:rPr>
          <w:sz w:val="24"/>
          <w:szCs w:val="24"/>
        </w:rPr>
        <w:t xml:space="preserve"> would </w:t>
      </w:r>
      <w:r w:rsidR="00B03C96">
        <w:rPr>
          <w:sz w:val="24"/>
          <w:szCs w:val="24"/>
        </w:rPr>
        <w:t>(</w:t>
      </w:r>
      <w:r w:rsidR="004C14DB">
        <w:rPr>
          <w:sz w:val="24"/>
          <w:szCs w:val="24"/>
        </w:rPr>
        <w:t>among other sources</w:t>
      </w:r>
      <w:r w:rsidR="00B03C96">
        <w:rPr>
          <w:sz w:val="24"/>
          <w:szCs w:val="24"/>
        </w:rPr>
        <w:t>)</w:t>
      </w:r>
      <w:r w:rsidR="004C14DB">
        <w:rPr>
          <w:sz w:val="24"/>
          <w:szCs w:val="24"/>
        </w:rPr>
        <w:t xml:space="preserve"> </w:t>
      </w:r>
      <w:r w:rsidR="008B78A5">
        <w:rPr>
          <w:sz w:val="24"/>
          <w:szCs w:val="24"/>
        </w:rPr>
        <w:t>be able to draw upon</w:t>
      </w:r>
      <w:r w:rsidR="008B78A5" w:rsidRPr="00DA641A">
        <w:rPr>
          <w:sz w:val="24"/>
          <w:szCs w:val="24"/>
        </w:rPr>
        <w:t xml:space="preserve"> information provided to the Department by Broadcast Australia, the entity the Department has contracted to manage restack</w:t>
      </w:r>
      <w:r w:rsidR="00E52DAF">
        <w:rPr>
          <w:sz w:val="24"/>
          <w:szCs w:val="24"/>
        </w:rPr>
        <w:t>, or from other parties affected by restack</w:t>
      </w:r>
      <w:r w:rsidR="008B78A5" w:rsidRPr="00DA641A">
        <w:rPr>
          <w:sz w:val="24"/>
          <w:szCs w:val="24"/>
        </w:rPr>
        <w:t>.</w:t>
      </w:r>
    </w:p>
    <w:p w:rsidR="002C2170" w:rsidRDefault="002C2170" w:rsidP="008B78A5">
      <w:pPr>
        <w:spacing w:after="120"/>
        <w:rPr>
          <w:sz w:val="24"/>
          <w:szCs w:val="24"/>
        </w:rPr>
      </w:pPr>
      <w:r w:rsidRPr="00585CF7">
        <w:rPr>
          <w:sz w:val="24"/>
          <w:szCs w:val="24"/>
          <w:u w:val="single"/>
        </w:rPr>
        <w:t>Clause 5</w:t>
      </w:r>
      <w:r>
        <w:rPr>
          <w:sz w:val="24"/>
          <w:szCs w:val="24"/>
        </w:rPr>
        <w:t xml:space="preserve"> directs the ACMA to vary a TLAP in specified circumstances.</w:t>
      </w:r>
    </w:p>
    <w:p w:rsidR="00DA641A" w:rsidRDefault="008B78A5" w:rsidP="008B78A5">
      <w:pPr>
        <w:spacing w:after="120"/>
        <w:rPr>
          <w:sz w:val="24"/>
          <w:szCs w:val="24"/>
        </w:rPr>
      </w:pPr>
      <w:r>
        <w:rPr>
          <w:sz w:val="24"/>
          <w:szCs w:val="24"/>
        </w:rPr>
        <w:t xml:space="preserve">Subclause </w:t>
      </w:r>
      <w:r w:rsidR="002C2170">
        <w:rPr>
          <w:sz w:val="24"/>
          <w:szCs w:val="24"/>
        </w:rPr>
        <w:t xml:space="preserve">5(1) </w:t>
      </w:r>
      <w:r w:rsidR="00DA641A" w:rsidRPr="00DA641A">
        <w:rPr>
          <w:sz w:val="24"/>
          <w:szCs w:val="24"/>
        </w:rPr>
        <w:t xml:space="preserve">specifies that if the ACMA is satisfied </w:t>
      </w:r>
      <w:r w:rsidR="002C2170">
        <w:rPr>
          <w:sz w:val="24"/>
          <w:szCs w:val="24"/>
        </w:rPr>
        <w:t xml:space="preserve">of particular specified matters, the ACMA must vary a TLAP </w:t>
      </w:r>
      <w:r w:rsidR="00DA641A" w:rsidRPr="00DA641A">
        <w:rPr>
          <w:sz w:val="24"/>
          <w:szCs w:val="24"/>
        </w:rPr>
        <w:t>(pursuant to subsection 26(2) of the BSA).</w:t>
      </w:r>
    </w:p>
    <w:p w:rsidR="001E63CA" w:rsidRDefault="001E63CA" w:rsidP="001E63CA">
      <w:pPr>
        <w:spacing w:after="120"/>
        <w:rPr>
          <w:sz w:val="24"/>
          <w:szCs w:val="24"/>
        </w:rPr>
      </w:pPr>
      <w:r>
        <w:rPr>
          <w:sz w:val="24"/>
          <w:szCs w:val="24"/>
        </w:rPr>
        <w:t xml:space="preserve">Subclause 5(1) </w:t>
      </w:r>
      <w:r w:rsidRPr="00DA641A">
        <w:rPr>
          <w:sz w:val="24"/>
          <w:szCs w:val="24"/>
        </w:rPr>
        <w:t xml:space="preserve">requires </w:t>
      </w:r>
      <w:r>
        <w:rPr>
          <w:sz w:val="24"/>
          <w:szCs w:val="24"/>
        </w:rPr>
        <w:t xml:space="preserve">that </w:t>
      </w:r>
      <w:r w:rsidRPr="00DA641A">
        <w:rPr>
          <w:sz w:val="24"/>
          <w:szCs w:val="24"/>
        </w:rPr>
        <w:t>the ACMA take account of any relevant information provided by the Secretary or an SES employee of the Department</w:t>
      </w:r>
      <w:r w:rsidR="00304E8A">
        <w:rPr>
          <w:sz w:val="24"/>
          <w:szCs w:val="24"/>
        </w:rPr>
        <w:t xml:space="preserve"> in satisfying itself of these matters</w:t>
      </w:r>
      <w:r w:rsidRPr="00DA641A">
        <w:rPr>
          <w:sz w:val="24"/>
          <w:szCs w:val="24"/>
        </w:rPr>
        <w:t>.</w:t>
      </w:r>
      <w:r>
        <w:rPr>
          <w:sz w:val="24"/>
          <w:szCs w:val="24"/>
        </w:rPr>
        <w:t xml:space="preserve"> Again, the Secretary or SES employee </w:t>
      </w:r>
      <w:r w:rsidRPr="00DA641A">
        <w:rPr>
          <w:sz w:val="24"/>
          <w:szCs w:val="24"/>
        </w:rPr>
        <w:t>would be able to draw upon information provided to the Department by Broadcast Australia</w:t>
      </w:r>
      <w:r>
        <w:rPr>
          <w:sz w:val="24"/>
          <w:szCs w:val="24"/>
        </w:rPr>
        <w:t xml:space="preserve"> (among other sources)</w:t>
      </w:r>
      <w:r w:rsidRPr="00DA641A">
        <w:rPr>
          <w:sz w:val="24"/>
          <w:szCs w:val="24"/>
        </w:rPr>
        <w:t>.</w:t>
      </w:r>
    </w:p>
    <w:p w:rsidR="003D6B02" w:rsidRDefault="00DA641A" w:rsidP="008B78A5">
      <w:pPr>
        <w:spacing w:after="120"/>
        <w:rPr>
          <w:sz w:val="24"/>
          <w:szCs w:val="24"/>
        </w:rPr>
      </w:pPr>
      <w:r w:rsidRPr="00DA641A">
        <w:rPr>
          <w:sz w:val="24"/>
          <w:szCs w:val="24"/>
        </w:rPr>
        <w:t>The ACMA is required under paragraph</w:t>
      </w:r>
      <w:r w:rsidR="008F1650" w:rsidRPr="008F1650">
        <w:rPr>
          <w:sz w:val="24"/>
          <w:szCs w:val="24"/>
        </w:rPr>
        <w:t xml:space="preserve"> </w:t>
      </w:r>
      <w:r w:rsidR="008F1650">
        <w:rPr>
          <w:sz w:val="24"/>
          <w:szCs w:val="24"/>
        </w:rPr>
        <w:t>5(1)(a)</w:t>
      </w:r>
      <w:r w:rsidRPr="00DA641A">
        <w:rPr>
          <w:sz w:val="24"/>
          <w:szCs w:val="24"/>
        </w:rPr>
        <w:t xml:space="preserve"> to </w:t>
      </w:r>
      <w:r w:rsidR="008F1650">
        <w:rPr>
          <w:sz w:val="24"/>
          <w:szCs w:val="24"/>
        </w:rPr>
        <w:t>be satisfied that</w:t>
      </w:r>
      <w:r w:rsidR="008F1650" w:rsidRPr="00DA641A">
        <w:rPr>
          <w:sz w:val="24"/>
          <w:szCs w:val="24"/>
        </w:rPr>
        <w:t xml:space="preserve"> </w:t>
      </w:r>
      <w:r w:rsidRPr="00DA641A">
        <w:rPr>
          <w:sz w:val="24"/>
          <w:szCs w:val="24"/>
        </w:rPr>
        <w:t xml:space="preserve">the capacity of </w:t>
      </w:r>
      <w:r w:rsidR="00066F9B">
        <w:rPr>
          <w:sz w:val="24"/>
          <w:szCs w:val="24"/>
        </w:rPr>
        <w:t>a</w:t>
      </w:r>
      <w:r w:rsidR="00066F9B" w:rsidRPr="00DA641A">
        <w:rPr>
          <w:sz w:val="24"/>
          <w:szCs w:val="24"/>
        </w:rPr>
        <w:t xml:space="preserve"> </w:t>
      </w:r>
      <w:r w:rsidR="00F60697">
        <w:rPr>
          <w:sz w:val="24"/>
          <w:szCs w:val="24"/>
        </w:rPr>
        <w:t xml:space="preserve">provider of digital television </w:t>
      </w:r>
      <w:r w:rsidR="008B78A5">
        <w:rPr>
          <w:sz w:val="24"/>
          <w:szCs w:val="24"/>
        </w:rPr>
        <w:t>broadcast</w:t>
      </w:r>
      <w:r w:rsidR="00F60697">
        <w:rPr>
          <w:sz w:val="24"/>
          <w:szCs w:val="24"/>
        </w:rPr>
        <w:t>ing services</w:t>
      </w:r>
      <w:r w:rsidRPr="00DA641A">
        <w:rPr>
          <w:sz w:val="24"/>
          <w:szCs w:val="24"/>
        </w:rPr>
        <w:t xml:space="preserve"> in </w:t>
      </w:r>
      <w:r w:rsidR="00F60697">
        <w:rPr>
          <w:sz w:val="24"/>
          <w:szCs w:val="24"/>
        </w:rPr>
        <w:t>an</w:t>
      </w:r>
      <w:r w:rsidR="00F60697" w:rsidRPr="00DA641A">
        <w:rPr>
          <w:sz w:val="24"/>
          <w:szCs w:val="24"/>
        </w:rPr>
        <w:t xml:space="preserve"> </w:t>
      </w:r>
      <w:r w:rsidRPr="00DA641A">
        <w:rPr>
          <w:sz w:val="24"/>
          <w:szCs w:val="24"/>
        </w:rPr>
        <w:t>area to m</w:t>
      </w:r>
      <w:r w:rsidRPr="00624B45">
        <w:rPr>
          <w:sz w:val="24"/>
          <w:szCs w:val="24"/>
        </w:rPr>
        <w:t>eet the restack objective has been</w:t>
      </w:r>
      <w:r w:rsidRPr="00DA641A">
        <w:rPr>
          <w:sz w:val="24"/>
          <w:szCs w:val="24"/>
        </w:rPr>
        <w:t xml:space="preserve"> significantly affected by </w:t>
      </w:r>
      <w:r w:rsidR="006D07BA">
        <w:rPr>
          <w:sz w:val="24"/>
          <w:szCs w:val="24"/>
        </w:rPr>
        <w:t xml:space="preserve">an </w:t>
      </w:r>
      <w:r w:rsidRPr="00DA641A">
        <w:rPr>
          <w:sz w:val="24"/>
          <w:szCs w:val="24"/>
        </w:rPr>
        <w:t>event or circu</w:t>
      </w:r>
      <w:r w:rsidR="008B78A5">
        <w:rPr>
          <w:sz w:val="24"/>
          <w:szCs w:val="24"/>
        </w:rPr>
        <w:t>mstance outside their control.</w:t>
      </w:r>
    </w:p>
    <w:p w:rsidR="008B78A5" w:rsidRDefault="00AD0E85" w:rsidP="008B78A5">
      <w:pPr>
        <w:spacing w:after="120"/>
        <w:rPr>
          <w:sz w:val="24"/>
          <w:szCs w:val="24"/>
        </w:rPr>
      </w:pPr>
      <w:r>
        <w:rPr>
          <w:sz w:val="24"/>
          <w:szCs w:val="24"/>
        </w:rPr>
        <w:lastRenderedPageBreak/>
        <w:t xml:space="preserve">Examples of events or circumstances </w:t>
      </w:r>
      <w:r w:rsidR="00DD207C">
        <w:rPr>
          <w:sz w:val="24"/>
          <w:szCs w:val="24"/>
        </w:rPr>
        <w:t xml:space="preserve">outside a broadcaster’s control that may significantly affect the </w:t>
      </w:r>
      <w:r w:rsidR="00844858">
        <w:rPr>
          <w:sz w:val="24"/>
          <w:szCs w:val="24"/>
        </w:rPr>
        <w:t xml:space="preserve">broadcaster’s </w:t>
      </w:r>
      <w:r w:rsidR="00DD207C">
        <w:rPr>
          <w:sz w:val="24"/>
          <w:szCs w:val="24"/>
        </w:rPr>
        <w:t xml:space="preserve">capacity </w:t>
      </w:r>
      <w:r w:rsidR="00F60697">
        <w:rPr>
          <w:sz w:val="24"/>
          <w:szCs w:val="24"/>
        </w:rPr>
        <w:t xml:space="preserve">to meet </w:t>
      </w:r>
      <w:r w:rsidR="00F60697" w:rsidRPr="00624B45">
        <w:rPr>
          <w:sz w:val="24"/>
          <w:szCs w:val="24"/>
        </w:rPr>
        <w:t xml:space="preserve">the restack objective </w:t>
      </w:r>
      <w:r w:rsidRPr="00624B45">
        <w:rPr>
          <w:sz w:val="24"/>
          <w:szCs w:val="24"/>
        </w:rPr>
        <w:t>may</w:t>
      </w:r>
      <w:r>
        <w:rPr>
          <w:sz w:val="24"/>
          <w:szCs w:val="24"/>
        </w:rPr>
        <w:t xml:space="preserve"> include a natural disaster such as a flood or bushfire that causes damage to a widespread area, an extended delay </w:t>
      </w:r>
      <w:r w:rsidR="00844858">
        <w:rPr>
          <w:sz w:val="24"/>
          <w:szCs w:val="24"/>
        </w:rPr>
        <w:t>on the part of a government authority (such as a local council) in providing a</w:t>
      </w:r>
      <w:r>
        <w:rPr>
          <w:sz w:val="24"/>
          <w:szCs w:val="24"/>
        </w:rPr>
        <w:t xml:space="preserve"> regulatory approval </w:t>
      </w:r>
      <w:r w:rsidR="00844858">
        <w:rPr>
          <w:sz w:val="24"/>
          <w:szCs w:val="24"/>
        </w:rPr>
        <w:t xml:space="preserve">necessary </w:t>
      </w:r>
      <w:r>
        <w:rPr>
          <w:sz w:val="24"/>
          <w:szCs w:val="24"/>
        </w:rPr>
        <w:t>for restack work to proceed</w:t>
      </w:r>
      <w:r w:rsidR="001E63CA">
        <w:rPr>
          <w:sz w:val="24"/>
          <w:szCs w:val="24"/>
        </w:rPr>
        <w:t>,</w:t>
      </w:r>
      <w:r w:rsidR="00B232EB">
        <w:rPr>
          <w:sz w:val="24"/>
          <w:szCs w:val="24"/>
        </w:rPr>
        <w:t xml:space="preserve"> a large </w:t>
      </w:r>
      <w:r w:rsidR="00390810">
        <w:rPr>
          <w:sz w:val="24"/>
          <w:szCs w:val="24"/>
        </w:rPr>
        <w:t>shortfall in the availability of equipment supplies necessary for restack</w:t>
      </w:r>
      <w:r w:rsidR="00E52DAF">
        <w:rPr>
          <w:sz w:val="24"/>
          <w:szCs w:val="24"/>
        </w:rPr>
        <w:t xml:space="preserve"> (for example, due to a failure to provide equipment by an international supplier)</w:t>
      </w:r>
      <w:r w:rsidR="00E0025E">
        <w:rPr>
          <w:sz w:val="24"/>
          <w:szCs w:val="24"/>
        </w:rPr>
        <w:t>, or</w:t>
      </w:r>
      <w:r w:rsidR="0046673D">
        <w:rPr>
          <w:sz w:val="24"/>
          <w:szCs w:val="24"/>
        </w:rPr>
        <w:t xml:space="preserve"> </w:t>
      </w:r>
      <w:r w:rsidR="004B09FD">
        <w:rPr>
          <w:sz w:val="24"/>
          <w:szCs w:val="24"/>
        </w:rPr>
        <w:t xml:space="preserve">a </w:t>
      </w:r>
      <w:r w:rsidR="00E0025E">
        <w:rPr>
          <w:sz w:val="24"/>
          <w:szCs w:val="24"/>
        </w:rPr>
        <w:t xml:space="preserve">significant breakdown in </w:t>
      </w:r>
      <w:r w:rsidR="0046673D">
        <w:rPr>
          <w:sz w:val="24"/>
          <w:szCs w:val="24"/>
        </w:rPr>
        <w:t xml:space="preserve">the performance of </w:t>
      </w:r>
      <w:r w:rsidR="00E0025E">
        <w:rPr>
          <w:sz w:val="24"/>
          <w:szCs w:val="24"/>
        </w:rPr>
        <w:t xml:space="preserve">restack </w:t>
      </w:r>
      <w:r w:rsidR="0046673D">
        <w:rPr>
          <w:sz w:val="24"/>
          <w:szCs w:val="24"/>
        </w:rPr>
        <w:t xml:space="preserve">activities in an area </w:t>
      </w:r>
      <w:r w:rsidR="00E0025E">
        <w:rPr>
          <w:sz w:val="24"/>
          <w:szCs w:val="24"/>
        </w:rPr>
        <w:t xml:space="preserve">that is not in any way </w:t>
      </w:r>
      <w:r w:rsidR="00641E87">
        <w:rPr>
          <w:sz w:val="24"/>
          <w:szCs w:val="24"/>
        </w:rPr>
        <w:t xml:space="preserve">attributable </w:t>
      </w:r>
      <w:r w:rsidR="00E0025E">
        <w:rPr>
          <w:sz w:val="24"/>
          <w:szCs w:val="24"/>
        </w:rPr>
        <w:t>to a broadcaster’s action or inaction</w:t>
      </w:r>
      <w:r w:rsidRPr="004554F9">
        <w:rPr>
          <w:sz w:val="24"/>
          <w:szCs w:val="24"/>
        </w:rPr>
        <w:t>.</w:t>
      </w:r>
      <w:r>
        <w:rPr>
          <w:sz w:val="24"/>
          <w:szCs w:val="24"/>
        </w:rPr>
        <w:t xml:space="preserve"> </w:t>
      </w:r>
      <w:r w:rsidR="00945225">
        <w:rPr>
          <w:sz w:val="24"/>
          <w:szCs w:val="24"/>
        </w:rPr>
        <w:t xml:space="preserve">The impact of such events or circumstances may vary depending on their scale and when they occur relative to the applicable end dates for channel allotments specified in TLAPs. </w:t>
      </w:r>
      <w:r>
        <w:rPr>
          <w:sz w:val="24"/>
          <w:szCs w:val="24"/>
        </w:rPr>
        <w:t xml:space="preserve">By contrast, a broadcaster’s failure to comply with </w:t>
      </w:r>
      <w:r w:rsidRPr="00DA641A">
        <w:rPr>
          <w:sz w:val="24"/>
          <w:szCs w:val="24"/>
        </w:rPr>
        <w:t>a reasonable request for information about a service or site in an area</w:t>
      </w:r>
      <w:r>
        <w:rPr>
          <w:sz w:val="24"/>
          <w:szCs w:val="24"/>
        </w:rPr>
        <w:t xml:space="preserve"> that results in equipment not being ordered in sufficient time for restack work to </w:t>
      </w:r>
      <w:r w:rsidR="00DD207C">
        <w:rPr>
          <w:sz w:val="24"/>
          <w:szCs w:val="24"/>
        </w:rPr>
        <w:t>be completed</w:t>
      </w:r>
      <w:r>
        <w:rPr>
          <w:sz w:val="24"/>
          <w:szCs w:val="24"/>
        </w:rPr>
        <w:t xml:space="preserve"> within the TLAP timeframe</w:t>
      </w:r>
      <w:r w:rsidR="00E52DAF">
        <w:rPr>
          <w:sz w:val="24"/>
          <w:szCs w:val="24"/>
        </w:rPr>
        <w:t>, or incorrect equipment being ordered,</w:t>
      </w:r>
      <w:r>
        <w:rPr>
          <w:sz w:val="24"/>
          <w:szCs w:val="24"/>
        </w:rPr>
        <w:t xml:space="preserve"> would not be an event or circumstance outside a broadcaster’s control for the purposes of paragraph</w:t>
      </w:r>
      <w:r w:rsidR="002C2170" w:rsidRPr="002C2170">
        <w:rPr>
          <w:sz w:val="24"/>
          <w:szCs w:val="24"/>
        </w:rPr>
        <w:t xml:space="preserve"> </w:t>
      </w:r>
      <w:r w:rsidR="002C2170">
        <w:rPr>
          <w:sz w:val="24"/>
          <w:szCs w:val="24"/>
        </w:rPr>
        <w:t>5(1</w:t>
      </w:r>
      <w:proofErr w:type="gramStart"/>
      <w:r w:rsidR="002C2170">
        <w:rPr>
          <w:sz w:val="24"/>
          <w:szCs w:val="24"/>
        </w:rPr>
        <w:t>)(</w:t>
      </w:r>
      <w:proofErr w:type="gramEnd"/>
      <w:r w:rsidR="002C2170">
        <w:rPr>
          <w:sz w:val="24"/>
          <w:szCs w:val="24"/>
        </w:rPr>
        <w:t>a)</w:t>
      </w:r>
      <w:r>
        <w:rPr>
          <w:sz w:val="24"/>
          <w:szCs w:val="24"/>
        </w:rPr>
        <w:t>.</w:t>
      </w:r>
    </w:p>
    <w:p w:rsidR="0034606E" w:rsidRDefault="00DA641A" w:rsidP="008B78A5">
      <w:pPr>
        <w:spacing w:after="120"/>
        <w:rPr>
          <w:sz w:val="24"/>
          <w:szCs w:val="24"/>
        </w:rPr>
      </w:pPr>
      <w:r w:rsidRPr="00DA641A">
        <w:rPr>
          <w:sz w:val="24"/>
          <w:szCs w:val="24"/>
        </w:rPr>
        <w:t>The ACMA is also required under paragraph</w:t>
      </w:r>
      <w:r w:rsidR="008F1650" w:rsidRPr="008F1650">
        <w:rPr>
          <w:sz w:val="24"/>
          <w:szCs w:val="24"/>
        </w:rPr>
        <w:t xml:space="preserve"> </w:t>
      </w:r>
      <w:r w:rsidR="008F1650">
        <w:rPr>
          <w:sz w:val="24"/>
          <w:szCs w:val="24"/>
        </w:rPr>
        <w:t xml:space="preserve">5(1)(b) </w:t>
      </w:r>
      <w:r w:rsidR="00DD207C">
        <w:rPr>
          <w:sz w:val="24"/>
          <w:szCs w:val="24"/>
        </w:rPr>
        <w:t>of the Direction</w:t>
      </w:r>
      <w:r w:rsidRPr="00DA641A">
        <w:rPr>
          <w:sz w:val="24"/>
          <w:szCs w:val="24"/>
        </w:rPr>
        <w:t xml:space="preserve"> to </w:t>
      </w:r>
      <w:r w:rsidR="008F1650">
        <w:rPr>
          <w:sz w:val="24"/>
          <w:szCs w:val="24"/>
        </w:rPr>
        <w:t xml:space="preserve">be satisfied that </w:t>
      </w:r>
      <w:r w:rsidRPr="00DA641A">
        <w:rPr>
          <w:sz w:val="24"/>
          <w:szCs w:val="24"/>
        </w:rPr>
        <w:t>mitigation action coul</w:t>
      </w:r>
      <w:r w:rsidR="00252C3F">
        <w:rPr>
          <w:sz w:val="24"/>
          <w:szCs w:val="24"/>
        </w:rPr>
        <w:t xml:space="preserve">d </w:t>
      </w:r>
      <w:r w:rsidR="006D07BA">
        <w:rPr>
          <w:sz w:val="24"/>
          <w:szCs w:val="24"/>
        </w:rPr>
        <w:t xml:space="preserve">not </w:t>
      </w:r>
      <w:r w:rsidR="003B62D6">
        <w:rPr>
          <w:sz w:val="24"/>
          <w:szCs w:val="24"/>
        </w:rPr>
        <w:t xml:space="preserve">reasonably </w:t>
      </w:r>
      <w:r w:rsidR="00252C3F">
        <w:rPr>
          <w:sz w:val="24"/>
          <w:szCs w:val="24"/>
        </w:rPr>
        <w:t xml:space="preserve">have been, or could </w:t>
      </w:r>
      <w:r w:rsidR="006D07BA">
        <w:rPr>
          <w:sz w:val="24"/>
          <w:szCs w:val="24"/>
        </w:rPr>
        <w:t xml:space="preserve">not </w:t>
      </w:r>
      <w:r w:rsidR="00252C3F">
        <w:rPr>
          <w:sz w:val="24"/>
          <w:szCs w:val="24"/>
        </w:rPr>
        <w:t>reasonably</w:t>
      </w:r>
      <w:r w:rsidRPr="00DA641A">
        <w:rPr>
          <w:sz w:val="24"/>
          <w:szCs w:val="24"/>
        </w:rPr>
        <w:t xml:space="preserve"> be, taken by a broadcaster or a transmission service provider contracted to the broadcaster, in order to </w:t>
      </w:r>
      <w:r w:rsidRPr="00624B45">
        <w:rPr>
          <w:sz w:val="24"/>
          <w:szCs w:val="24"/>
        </w:rPr>
        <w:t>meet the restack objective</w:t>
      </w:r>
      <w:r w:rsidRPr="00DA641A">
        <w:rPr>
          <w:sz w:val="24"/>
          <w:szCs w:val="24"/>
        </w:rPr>
        <w:t>.</w:t>
      </w:r>
      <w:r w:rsidR="006958FD">
        <w:rPr>
          <w:sz w:val="24"/>
          <w:szCs w:val="24"/>
        </w:rPr>
        <w:t xml:space="preserve"> </w:t>
      </w:r>
    </w:p>
    <w:p w:rsidR="003D6B02" w:rsidRDefault="003D6B02" w:rsidP="008B78A5">
      <w:pPr>
        <w:spacing w:after="120"/>
        <w:rPr>
          <w:sz w:val="24"/>
          <w:szCs w:val="24"/>
        </w:rPr>
      </w:pPr>
      <w:r>
        <w:rPr>
          <w:sz w:val="24"/>
          <w:szCs w:val="24"/>
        </w:rPr>
        <w:t xml:space="preserve">Paragraph </w:t>
      </w:r>
      <w:r w:rsidR="008F1650">
        <w:rPr>
          <w:sz w:val="24"/>
          <w:szCs w:val="24"/>
        </w:rPr>
        <w:t>5(1</w:t>
      </w:r>
      <w:proofErr w:type="gramStart"/>
      <w:r w:rsidR="008F1650">
        <w:rPr>
          <w:sz w:val="24"/>
          <w:szCs w:val="24"/>
        </w:rPr>
        <w:t>)(</w:t>
      </w:r>
      <w:proofErr w:type="gramEnd"/>
      <w:r w:rsidR="008F1650">
        <w:rPr>
          <w:sz w:val="24"/>
          <w:szCs w:val="24"/>
        </w:rPr>
        <w:t>b)</w:t>
      </w:r>
      <w:r w:rsidR="008F1650" w:rsidDel="000A17C6">
        <w:rPr>
          <w:sz w:val="24"/>
          <w:szCs w:val="24"/>
        </w:rPr>
        <w:t xml:space="preserve"> </w:t>
      </w:r>
      <w:r>
        <w:rPr>
          <w:sz w:val="24"/>
          <w:szCs w:val="24"/>
        </w:rPr>
        <w:t xml:space="preserve">contemplates mitigation actions that could be taken in </w:t>
      </w:r>
      <w:r w:rsidRPr="00252C3F">
        <w:rPr>
          <w:sz w:val="24"/>
          <w:szCs w:val="24"/>
        </w:rPr>
        <w:t>anticipation</w:t>
      </w:r>
      <w:r>
        <w:rPr>
          <w:sz w:val="24"/>
          <w:szCs w:val="24"/>
        </w:rPr>
        <w:t xml:space="preserve"> of an event or circumstance delaying restack</w:t>
      </w:r>
      <w:r w:rsidR="00066F9B">
        <w:rPr>
          <w:sz w:val="24"/>
          <w:szCs w:val="24"/>
        </w:rPr>
        <w:t xml:space="preserve"> (</w:t>
      </w:r>
      <w:proofErr w:type="spellStart"/>
      <w:r w:rsidR="00066F9B">
        <w:rPr>
          <w:sz w:val="24"/>
          <w:szCs w:val="24"/>
        </w:rPr>
        <w:t>ie</w:t>
      </w:r>
      <w:proofErr w:type="spellEnd"/>
      <w:r w:rsidR="00066F9B">
        <w:rPr>
          <w:sz w:val="24"/>
          <w:szCs w:val="24"/>
        </w:rPr>
        <w:t xml:space="preserve"> prior to the event or circumstance occurring)</w:t>
      </w:r>
      <w:r>
        <w:rPr>
          <w:sz w:val="24"/>
          <w:szCs w:val="24"/>
        </w:rPr>
        <w:t xml:space="preserve">, and also mitigation actions that could be taken </w:t>
      </w:r>
      <w:r w:rsidR="00B232EB">
        <w:rPr>
          <w:sz w:val="24"/>
          <w:szCs w:val="24"/>
        </w:rPr>
        <w:t>after a disruptive</w:t>
      </w:r>
      <w:r>
        <w:rPr>
          <w:sz w:val="24"/>
          <w:szCs w:val="24"/>
        </w:rPr>
        <w:t xml:space="preserve"> event or circumstance </w:t>
      </w:r>
      <w:r w:rsidR="00B232EB">
        <w:rPr>
          <w:sz w:val="24"/>
          <w:szCs w:val="24"/>
        </w:rPr>
        <w:t>occurs</w:t>
      </w:r>
      <w:r>
        <w:rPr>
          <w:sz w:val="24"/>
          <w:szCs w:val="24"/>
        </w:rPr>
        <w:t>.</w:t>
      </w:r>
      <w:r w:rsidR="00624B45" w:rsidRPr="00624B45">
        <w:rPr>
          <w:sz w:val="24"/>
          <w:szCs w:val="24"/>
        </w:rPr>
        <w:t xml:space="preserve"> </w:t>
      </w:r>
    </w:p>
    <w:p w:rsidR="00892A4A" w:rsidRDefault="0031531C" w:rsidP="008B78A5">
      <w:pPr>
        <w:spacing w:after="120"/>
        <w:rPr>
          <w:sz w:val="24"/>
          <w:szCs w:val="24"/>
        </w:rPr>
      </w:pPr>
      <w:r w:rsidRPr="0031531C">
        <w:rPr>
          <w:sz w:val="24"/>
          <w:szCs w:val="24"/>
        </w:rPr>
        <w:t>In satisfying itself as to the matter specified in paragraph 5(1</w:t>
      </w:r>
      <w:proofErr w:type="gramStart"/>
      <w:r w:rsidRPr="0031531C">
        <w:rPr>
          <w:sz w:val="24"/>
          <w:szCs w:val="24"/>
        </w:rPr>
        <w:t>)(</w:t>
      </w:r>
      <w:proofErr w:type="gramEnd"/>
      <w:r w:rsidRPr="0031531C">
        <w:rPr>
          <w:sz w:val="24"/>
          <w:szCs w:val="24"/>
        </w:rPr>
        <w:t>b), it is expected that the ACMA would take into consideration any mitigation action already undertaken, as well as any other mitigation action that could reasonably have been taken, or could reasonably be taken, by the broadcaster or their contracted transmission service provider. A key consideration will be whether the broadcaster and their contracted transmission service provider have undertaken all reasonable mitigation actions available to date in order to meet the restack objective, and whether there is any reasonable prospect of other mitigation actions being available before the restack of the affected services is scheduled to occur in accordance with the relevant TLAP.</w:t>
      </w:r>
    </w:p>
    <w:p w:rsidR="003B62D6" w:rsidRDefault="0034606E" w:rsidP="008B78A5">
      <w:pPr>
        <w:spacing w:after="120"/>
        <w:rPr>
          <w:sz w:val="24"/>
          <w:szCs w:val="24"/>
        </w:rPr>
      </w:pPr>
      <w:r>
        <w:rPr>
          <w:sz w:val="24"/>
          <w:szCs w:val="24"/>
        </w:rPr>
        <w:t xml:space="preserve">An </w:t>
      </w:r>
      <w:r w:rsidR="00252C3F">
        <w:rPr>
          <w:sz w:val="24"/>
          <w:szCs w:val="24"/>
        </w:rPr>
        <w:t xml:space="preserve">example </w:t>
      </w:r>
      <w:r>
        <w:rPr>
          <w:sz w:val="24"/>
          <w:szCs w:val="24"/>
        </w:rPr>
        <w:t xml:space="preserve">of </w:t>
      </w:r>
      <w:r w:rsidR="006958FD">
        <w:rPr>
          <w:sz w:val="24"/>
          <w:szCs w:val="24"/>
        </w:rPr>
        <w:t xml:space="preserve">mitigation action that could have been taken </w:t>
      </w:r>
      <w:r w:rsidR="003D6B02">
        <w:rPr>
          <w:sz w:val="24"/>
          <w:szCs w:val="24"/>
        </w:rPr>
        <w:t xml:space="preserve">in </w:t>
      </w:r>
      <w:r w:rsidR="00252C3F">
        <w:rPr>
          <w:sz w:val="24"/>
          <w:szCs w:val="24"/>
        </w:rPr>
        <w:t xml:space="preserve">anticipation of an equipment shortfall </w:t>
      </w:r>
      <w:r w:rsidR="006958FD">
        <w:rPr>
          <w:sz w:val="24"/>
          <w:szCs w:val="24"/>
        </w:rPr>
        <w:t xml:space="preserve">may be the broadcaster </w:t>
      </w:r>
      <w:r w:rsidR="00252C3F">
        <w:rPr>
          <w:sz w:val="24"/>
          <w:szCs w:val="24"/>
        </w:rPr>
        <w:t>and/</w:t>
      </w:r>
      <w:r w:rsidR="006958FD">
        <w:rPr>
          <w:sz w:val="24"/>
          <w:szCs w:val="24"/>
        </w:rPr>
        <w:t xml:space="preserve">or their contracted </w:t>
      </w:r>
      <w:r w:rsidR="007F42FA">
        <w:rPr>
          <w:sz w:val="24"/>
          <w:szCs w:val="24"/>
        </w:rPr>
        <w:t xml:space="preserve">transmission service provider </w:t>
      </w:r>
      <w:r w:rsidR="003D6B02">
        <w:rPr>
          <w:sz w:val="24"/>
          <w:szCs w:val="24"/>
        </w:rPr>
        <w:t>making</w:t>
      </w:r>
      <w:r w:rsidR="0072422C">
        <w:rPr>
          <w:sz w:val="24"/>
          <w:szCs w:val="24"/>
        </w:rPr>
        <w:t xml:space="preserve"> reasonable efforts to assist </w:t>
      </w:r>
      <w:r w:rsidR="006958FD">
        <w:rPr>
          <w:sz w:val="24"/>
          <w:szCs w:val="24"/>
        </w:rPr>
        <w:t xml:space="preserve">the </w:t>
      </w:r>
      <w:r w:rsidR="001E63CA">
        <w:rPr>
          <w:sz w:val="24"/>
          <w:szCs w:val="24"/>
        </w:rPr>
        <w:t xml:space="preserve">restack manager, </w:t>
      </w:r>
      <w:r w:rsidR="006958FD">
        <w:rPr>
          <w:sz w:val="24"/>
          <w:szCs w:val="24"/>
        </w:rPr>
        <w:t>Broadcast Australia</w:t>
      </w:r>
      <w:r w:rsidR="001E63CA">
        <w:rPr>
          <w:sz w:val="24"/>
          <w:szCs w:val="24"/>
        </w:rPr>
        <w:t>,</w:t>
      </w:r>
      <w:r w:rsidR="006958FD">
        <w:rPr>
          <w:sz w:val="24"/>
          <w:szCs w:val="24"/>
        </w:rPr>
        <w:t xml:space="preserve"> to </w:t>
      </w:r>
      <w:r w:rsidR="0072422C">
        <w:rPr>
          <w:sz w:val="24"/>
          <w:szCs w:val="24"/>
        </w:rPr>
        <w:t>order equipment</w:t>
      </w:r>
      <w:r w:rsidR="006958FD">
        <w:rPr>
          <w:sz w:val="24"/>
          <w:szCs w:val="24"/>
        </w:rPr>
        <w:t xml:space="preserve"> with sufficient lead-t</w:t>
      </w:r>
      <w:r w:rsidR="00EC2320">
        <w:rPr>
          <w:sz w:val="24"/>
          <w:szCs w:val="24"/>
        </w:rPr>
        <w:t xml:space="preserve">ime to minimise the impact of any future </w:t>
      </w:r>
      <w:r w:rsidR="00DD207C">
        <w:rPr>
          <w:sz w:val="24"/>
          <w:szCs w:val="24"/>
        </w:rPr>
        <w:t xml:space="preserve">equipment </w:t>
      </w:r>
      <w:r w:rsidR="006958FD">
        <w:rPr>
          <w:sz w:val="24"/>
          <w:szCs w:val="24"/>
        </w:rPr>
        <w:t>shortfall</w:t>
      </w:r>
      <w:r w:rsidR="003D6B02">
        <w:rPr>
          <w:sz w:val="24"/>
          <w:szCs w:val="24"/>
        </w:rPr>
        <w:t xml:space="preserve">. A mitigation action that could reasonably be taken in the </w:t>
      </w:r>
      <w:r w:rsidR="00EC2320">
        <w:rPr>
          <w:sz w:val="24"/>
          <w:szCs w:val="24"/>
        </w:rPr>
        <w:t xml:space="preserve">event that a shortfall </w:t>
      </w:r>
      <w:r w:rsidR="00834EEF">
        <w:rPr>
          <w:sz w:val="24"/>
          <w:szCs w:val="24"/>
        </w:rPr>
        <w:t xml:space="preserve">occurs </w:t>
      </w:r>
      <w:r w:rsidR="00EC2320">
        <w:rPr>
          <w:sz w:val="24"/>
          <w:szCs w:val="24"/>
        </w:rPr>
        <w:t xml:space="preserve">may be </w:t>
      </w:r>
      <w:r w:rsidR="00834EEF">
        <w:rPr>
          <w:sz w:val="24"/>
          <w:szCs w:val="24"/>
        </w:rPr>
        <w:t xml:space="preserve">for </w:t>
      </w:r>
      <w:r w:rsidR="00EC2320">
        <w:rPr>
          <w:sz w:val="24"/>
          <w:szCs w:val="24"/>
        </w:rPr>
        <w:t xml:space="preserve">the broadcaster </w:t>
      </w:r>
      <w:r w:rsidR="00252C3F">
        <w:rPr>
          <w:sz w:val="24"/>
          <w:szCs w:val="24"/>
        </w:rPr>
        <w:t>and/</w:t>
      </w:r>
      <w:r w:rsidR="00EC2320">
        <w:rPr>
          <w:sz w:val="24"/>
          <w:szCs w:val="24"/>
        </w:rPr>
        <w:t xml:space="preserve">or their contracted </w:t>
      </w:r>
      <w:r w:rsidR="007F42FA">
        <w:rPr>
          <w:sz w:val="24"/>
          <w:szCs w:val="24"/>
        </w:rPr>
        <w:t xml:space="preserve">transmission service provider </w:t>
      </w:r>
      <w:r w:rsidR="00834EEF">
        <w:rPr>
          <w:sz w:val="24"/>
          <w:szCs w:val="24"/>
        </w:rPr>
        <w:t xml:space="preserve">to </w:t>
      </w:r>
      <w:r w:rsidR="00EC2320">
        <w:rPr>
          <w:sz w:val="24"/>
          <w:szCs w:val="24"/>
        </w:rPr>
        <w:t>mak</w:t>
      </w:r>
      <w:r w:rsidR="00834EEF">
        <w:rPr>
          <w:sz w:val="24"/>
          <w:szCs w:val="24"/>
        </w:rPr>
        <w:t>e</w:t>
      </w:r>
      <w:r w:rsidR="00EC2320">
        <w:rPr>
          <w:sz w:val="24"/>
          <w:szCs w:val="24"/>
        </w:rPr>
        <w:t xml:space="preserve"> reasonable efforts to assist the restack manager </w:t>
      </w:r>
      <w:r w:rsidR="00DD207C">
        <w:rPr>
          <w:sz w:val="24"/>
          <w:szCs w:val="24"/>
        </w:rPr>
        <w:t>in sourcing</w:t>
      </w:r>
      <w:r w:rsidR="00EC2320">
        <w:rPr>
          <w:sz w:val="24"/>
          <w:szCs w:val="24"/>
        </w:rPr>
        <w:t xml:space="preserve"> equipment from an alternative supplier.</w:t>
      </w:r>
    </w:p>
    <w:p w:rsidR="00624B45" w:rsidRDefault="003B62D6" w:rsidP="008B78A5">
      <w:pPr>
        <w:spacing w:after="120"/>
        <w:rPr>
          <w:sz w:val="24"/>
          <w:szCs w:val="24"/>
        </w:rPr>
      </w:pPr>
      <w:r>
        <w:rPr>
          <w:sz w:val="24"/>
          <w:szCs w:val="24"/>
        </w:rPr>
        <w:t xml:space="preserve">The extent to which an event or circumstance has impacted on broadcasters </w:t>
      </w:r>
      <w:r w:rsidR="001E63CA">
        <w:rPr>
          <w:sz w:val="24"/>
          <w:szCs w:val="24"/>
        </w:rPr>
        <w:t>and</w:t>
      </w:r>
      <w:r>
        <w:rPr>
          <w:sz w:val="24"/>
          <w:szCs w:val="24"/>
        </w:rPr>
        <w:t xml:space="preserve"> transmission sites would be relevant to considering the availability of mitigation actions to be reasonably taken. For example, it may be more reasonable </w:t>
      </w:r>
      <w:r w:rsidR="00B232EB">
        <w:rPr>
          <w:sz w:val="24"/>
          <w:szCs w:val="24"/>
        </w:rPr>
        <w:t>to expect mitigation actions where</w:t>
      </w:r>
      <w:r w:rsidR="001E63CA">
        <w:rPr>
          <w:sz w:val="24"/>
          <w:szCs w:val="24"/>
        </w:rPr>
        <w:t xml:space="preserve"> </w:t>
      </w:r>
      <w:r>
        <w:rPr>
          <w:sz w:val="24"/>
          <w:szCs w:val="24"/>
        </w:rPr>
        <w:t xml:space="preserve">an event or circumstance affects </w:t>
      </w:r>
      <w:r w:rsidR="001E63CA">
        <w:rPr>
          <w:sz w:val="24"/>
          <w:szCs w:val="24"/>
        </w:rPr>
        <w:t xml:space="preserve">one </w:t>
      </w:r>
      <w:r>
        <w:rPr>
          <w:sz w:val="24"/>
          <w:szCs w:val="24"/>
        </w:rPr>
        <w:t xml:space="preserve">service at a single transmission site than an event or circumstance that affects </w:t>
      </w:r>
      <w:r w:rsidR="001E63CA">
        <w:rPr>
          <w:sz w:val="24"/>
          <w:szCs w:val="24"/>
        </w:rPr>
        <w:t xml:space="preserve">many </w:t>
      </w:r>
      <w:r>
        <w:rPr>
          <w:sz w:val="24"/>
          <w:szCs w:val="24"/>
        </w:rPr>
        <w:t>broadcasters at multiple transmission sites.</w:t>
      </w:r>
      <w:r w:rsidR="00E52DAF">
        <w:rPr>
          <w:sz w:val="24"/>
          <w:szCs w:val="24"/>
        </w:rPr>
        <w:t xml:space="preserve"> Also, it may be easier to mitigate an event occurring early in the restack process (through, for example, rescheduling works to a later date), than </w:t>
      </w:r>
      <w:r w:rsidR="00E52DAF">
        <w:rPr>
          <w:sz w:val="24"/>
          <w:szCs w:val="24"/>
        </w:rPr>
        <w:lastRenderedPageBreak/>
        <w:t>one occurring very close to the applicable end date</w:t>
      </w:r>
      <w:r w:rsidR="001A6D19">
        <w:rPr>
          <w:sz w:val="24"/>
          <w:szCs w:val="24"/>
        </w:rPr>
        <w:t xml:space="preserve"> for the relevant channel allotment(s)</w:t>
      </w:r>
      <w:r w:rsidR="00E52DAF">
        <w:rPr>
          <w:sz w:val="24"/>
          <w:szCs w:val="24"/>
        </w:rPr>
        <w:t>.</w:t>
      </w:r>
    </w:p>
    <w:p w:rsidR="00066F9B" w:rsidRDefault="002C2170" w:rsidP="008B78A5">
      <w:pPr>
        <w:spacing w:after="120"/>
        <w:rPr>
          <w:sz w:val="24"/>
          <w:szCs w:val="24"/>
        </w:rPr>
      </w:pPr>
      <w:r>
        <w:rPr>
          <w:sz w:val="24"/>
          <w:szCs w:val="24"/>
        </w:rPr>
        <w:t xml:space="preserve">Paragraph 5(1)(c) requires that the ACMA be satisfied that there is no reasonable prospect that the </w:t>
      </w:r>
      <w:r w:rsidRPr="00624B45">
        <w:rPr>
          <w:sz w:val="24"/>
          <w:szCs w:val="24"/>
        </w:rPr>
        <w:t>restack objective</w:t>
      </w:r>
      <w:r>
        <w:rPr>
          <w:sz w:val="24"/>
          <w:szCs w:val="24"/>
        </w:rPr>
        <w:t xml:space="preserve"> can be met in an area, and that this is as a result of the matters specified in paragraphs 5(1)(a) and (b).</w:t>
      </w:r>
    </w:p>
    <w:p w:rsidR="002C2170" w:rsidRDefault="002C2170" w:rsidP="002C2170">
      <w:pPr>
        <w:spacing w:after="120"/>
        <w:rPr>
          <w:sz w:val="24"/>
          <w:szCs w:val="24"/>
        </w:rPr>
      </w:pPr>
      <w:r>
        <w:rPr>
          <w:sz w:val="24"/>
          <w:szCs w:val="24"/>
        </w:rPr>
        <w:t xml:space="preserve">That is, the ACMA </w:t>
      </w:r>
      <w:r w:rsidR="001E63CA">
        <w:rPr>
          <w:sz w:val="24"/>
          <w:szCs w:val="24"/>
        </w:rPr>
        <w:t>is required to</w:t>
      </w:r>
      <w:r>
        <w:rPr>
          <w:sz w:val="24"/>
          <w:szCs w:val="24"/>
        </w:rPr>
        <w:t xml:space="preserve"> vary a TLAP </w:t>
      </w:r>
      <w:r w:rsidR="001E63CA">
        <w:rPr>
          <w:sz w:val="24"/>
          <w:szCs w:val="24"/>
        </w:rPr>
        <w:t xml:space="preserve">only </w:t>
      </w:r>
      <w:r>
        <w:rPr>
          <w:sz w:val="24"/>
          <w:szCs w:val="24"/>
        </w:rPr>
        <w:t>if it is satisfied that:</w:t>
      </w:r>
    </w:p>
    <w:p w:rsidR="002C2170" w:rsidRDefault="002C2170" w:rsidP="002C2170">
      <w:pPr>
        <w:pStyle w:val="ListParagraph"/>
        <w:numPr>
          <w:ilvl w:val="0"/>
          <w:numId w:val="1"/>
        </w:numPr>
        <w:spacing w:after="120"/>
        <w:rPr>
          <w:sz w:val="24"/>
          <w:szCs w:val="24"/>
        </w:rPr>
      </w:pPr>
      <w:r w:rsidRPr="00967762">
        <w:rPr>
          <w:sz w:val="24"/>
          <w:szCs w:val="24"/>
        </w:rPr>
        <w:t xml:space="preserve">the </w:t>
      </w:r>
      <w:r>
        <w:rPr>
          <w:sz w:val="24"/>
          <w:szCs w:val="24"/>
        </w:rPr>
        <w:t xml:space="preserve">capacity of a provider of digital television broadcasting services to meet </w:t>
      </w:r>
      <w:r w:rsidRPr="00624B45">
        <w:rPr>
          <w:sz w:val="24"/>
          <w:szCs w:val="24"/>
        </w:rPr>
        <w:t>the restack objective in</w:t>
      </w:r>
      <w:r>
        <w:rPr>
          <w:sz w:val="24"/>
          <w:szCs w:val="24"/>
        </w:rPr>
        <w:t xml:space="preserve"> an area has been significantly affected by</w:t>
      </w:r>
      <w:r w:rsidR="006D07BA">
        <w:rPr>
          <w:sz w:val="24"/>
          <w:szCs w:val="24"/>
        </w:rPr>
        <w:t xml:space="preserve"> an</w:t>
      </w:r>
      <w:r>
        <w:rPr>
          <w:sz w:val="24"/>
          <w:szCs w:val="24"/>
        </w:rPr>
        <w:t xml:space="preserve"> event or circumstance outside their control; and</w:t>
      </w:r>
    </w:p>
    <w:p w:rsidR="002C2170" w:rsidRPr="0031531C" w:rsidRDefault="002C2170" w:rsidP="002C2170">
      <w:pPr>
        <w:pStyle w:val="ListParagraph"/>
        <w:numPr>
          <w:ilvl w:val="0"/>
          <w:numId w:val="1"/>
        </w:numPr>
        <w:spacing w:after="120"/>
        <w:rPr>
          <w:sz w:val="24"/>
          <w:szCs w:val="24"/>
        </w:rPr>
      </w:pPr>
      <w:r w:rsidRPr="0020452B">
        <w:rPr>
          <w:sz w:val="24"/>
          <w:szCs w:val="24"/>
        </w:rPr>
        <w:t>there are no mitigation actions that could reasonably</w:t>
      </w:r>
      <w:r w:rsidRPr="00852BDE">
        <w:rPr>
          <w:sz w:val="24"/>
          <w:szCs w:val="24"/>
        </w:rPr>
        <w:t xml:space="preserve"> have been taken</w:t>
      </w:r>
      <w:r>
        <w:rPr>
          <w:sz w:val="24"/>
          <w:szCs w:val="24"/>
        </w:rPr>
        <w:t xml:space="preserve"> </w:t>
      </w:r>
      <w:r w:rsidR="001E63CA">
        <w:rPr>
          <w:sz w:val="24"/>
          <w:szCs w:val="24"/>
        </w:rPr>
        <w:t>(</w:t>
      </w:r>
      <w:r>
        <w:rPr>
          <w:sz w:val="24"/>
          <w:szCs w:val="24"/>
        </w:rPr>
        <w:t>in the past</w:t>
      </w:r>
      <w:r w:rsidR="001E63CA">
        <w:rPr>
          <w:sz w:val="24"/>
          <w:szCs w:val="24"/>
        </w:rPr>
        <w:t>)</w:t>
      </w:r>
      <w:r w:rsidRPr="00852BDE">
        <w:rPr>
          <w:sz w:val="24"/>
          <w:szCs w:val="24"/>
        </w:rPr>
        <w:t>, or could reasonably be taken</w:t>
      </w:r>
      <w:r>
        <w:rPr>
          <w:sz w:val="24"/>
          <w:szCs w:val="24"/>
        </w:rPr>
        <w:t xml:space="preserve"> </w:t>
      </w:r>
      <w:r w:rsidR="001E63CA">
        <w:rPr>
          <w:sz w:val="24"/>
          <w:szCs w:val="24"/>
        </w:rPr>
        <w:t>(</w:t>
      </w:r>
      <w:r>
        <w:rPr>
          <w:sz w:val="24"/>
          <w:szCs w:val="24"/>
        </w:rPr>
        <w:t xml:space="preserve">in </w:t>
      </w:r>
      <w:r w:rsidRPr="0031531C">
        <w:rPr>
          <w:sz w:val="24"/>
          <w:szCs w:val="24"/>
        </w:rPr>
        <w:t>the future</w:t>
      </w:r>
      <w:r w:rsidR="001E63CA" w:rsidRPr="0031531C">
        <w:rPr>
          <w:sz w:val="24"/>
          <w:szCs w:val="24"/>
        </w:rPr>
        <w:t>)</w:t>
      </w:r>
      <w:r w:rsidRPr="0031531C">
        <w:rPr>
          <w:sz w:val="24"/>
          <w:szCs w:val="24"/>
        </w:rPr>
        <w:t>, by the provider or their transmission service provider</w:t>
      </w:r>
      <w:r w:rsidR="006D07BA" w:rsidRPr="0031531C">
        <w:rPr>
          <w:sz w:val="24"/>
          <w:szCs w:val="24"/>
        </w:rPr>
        <w:t xml:space="preserve"> in order to </w:t>
      </w:r>
      <w:r w:rsidR="00C15E61" w:rsidRPr="0031531C">
        <w:rPr>
          <w:sz w:val="24"/>
          <w:szCs w:val="24"/>
        </w:rPr>
        <w:t xml:space="preserve">minimise the impact of the event or circumstance on their capacity to </w:t>
      </w:r>
      <w:r w:rsidR="006D07BA" w:rsidRPr="0031531C">
        <w:rPr>
          <w:sz w:val="24"/>
          <w:szCs w:val="24"/>
        </w:rPr>
        <w:t>meet the restack objective</w:t>
      </w:r>
      <w:r w:rsidR="00624B45" w:rsidRPr="0031531C">
        <w:rPr>
          <w:sz w:val="24"/>
          <w:szCs w:val="24"/>
        </w:rPr>
        <w:t xml:space="preserve"> (in addition to any mitigation action that have already been undertaken</w:t>
      </w:r>
      <w:r w:rsidR="008B2874" w:rsidRPr="0031531C">
        <w:rPr>
          <w:sz w:val="24"/>
          <w:szCs w:val="24"/>
        </w:rPr>
        <w:t xml:space="preserve"> by the provider or their </w:t>
      </w:r>
      <w:r w:rsidR="00CE4B7E" w:rsidRPr="0031531C">
        <w:rPr>
          <w:sz w:val="24"/>
          <w:szCs w:val="24"/>
        </w:rPr>
        <w:t xml:space="preserve">contracted </w:t>
      </w:r>
      <w:r w:rsidR="008B2874" w:rsidRPr="0031531C">
        <w:rPr>
          <w:sz w:val="24"/>
          <w:szCs w:val="24"/>
        </w:rPr>
        <w:t>transmission service provider</w:t>
      </w:r>
      <w:r w:rsidR="00624B45" w:rsidRPr="0031531C">
        <w:rPr>
          <w:sz w:val="24"/>
          <w:szCs w:val="24"/>
        </w:rPr>
        <w:t>)</w:t>
      </w:r>
      <w:r w:rsidRPr="0031531C">
        <w:rPr>
          <w:sz w:val="24"/>
          <w:szCs w:val="24"/>
        </w:rPr>
        <w:t xml:space="preserve">; </w:t>
      </w:r>
      <w:r w:rsidR="000C092E">
        <w:rPr>
          <w:sz w:val="24"/>
          <w:szCs w:val="24"/>
        </w:rPr>
        <w:t>and</w:t>
      </w:r>
    </w:p>
    <w:p w:rsidR="002C2170" w:rsidRPr="0031531C" w:rsidRDefault="002C2170" w:rsidP="002C2170">
      <w:pPr>
        <w:spacing w:after="120"/>
        <w:rPr>
          <w:sz w:val="24"/>
          <w:szCs w:val="24"/>
        </w:rPr>
      </w:pPr>
      <w:proofErr w:type="gramStart"/>
      <w:r w:rsidRPr="0031531C">
        <w:rPr>
          <w:sz w:val="24"/>
          <w:szCs w:val="24"/>
        </w:rPr>
        <w:t>that</w:t>
      </w:r>
      <w:proofErr w:type="gramEnd"/>
      <w:r w:rsidRPr="0031531C">
        <w:rPr>
          <w:sz w:val="24"/>
          <w:szCs w:val="24"/>
        </w:rPr>
        <w:t xml:space="preserve"> as a result, there is no reasonable prospect of the restack objective being met in the area.</w:t>
      </w:r>
    </w:p>
    <w:p w:rsidR="000200DD" w:rsidRDefault="000200DD" w:rsidP="00304E8A">
      <w:pPr>
        <w:spacing w:after="120"/>
        <w:rPr>
          <w:sz w:val="24"/>
          <w:szCs w:val="24"/>
        </w:rPr>
      </w:pPr>
      <w:r w:rsidRPr="0031531C">
        <w:rPr>
          <w:sz w:val="24"/>
          <w:szCs w:val="24"/>
        </w:rPr>
        <w:t>Subclause 5(2)</w:t>
      </w:r>
      <w:r w:rsidR="001E63CA" w:rsidRPr="0031531C">
        <w:rPr>
          <w:sz w:val="24"/>
          <w:szCs w:val="24"/>
        </w:rPr>
        <w:t xml:space="preserve"> directs</w:t>
      </w:r>
      <w:r w:rsidRPr="0031531C">
        <w:rPr>
          <w:sz w:val="24"/>
          <w:szCs w:val="24"/>
        </w:rPr>
        <w:t xml:space="preserve"> that where the ACMA varies a TLAP in circumstances where it is required to do so by subclause 5(1), the variation is to be to the minimum extent necessary to address the adverse impact of the event or circumstance that has led to the restack objective not being able to be met. For example, </w:t>
      </w:r>
      <w:r w:rsidR="003B62D6" w:rsidRPr="0031531C">
        <w:rPr>
          <w:sz w:val="24"/>
          <w:szCs w:val="24"/>
        </w:rPr>
        <w:t xml:space="preserve">if the adverse impact of an event or circumstance can be addressed and the affected </w:t>
      </w:r>
      <w:r w:rsidR="00C15E61" w:rsidRPr="0031531C">
        <w:rPr>
          <w:sz w:val="24"/>
          <w:szCs w:val="24"/>
        </w:rPr>
        <w:t xml:space="preserve">provider of digital television broadcasting services </w:t>
      </w:r>
      <w:r w:rsidR="001E63CA" w:rsidRPr="0031531C">
        <w:rPr>
          <w:sz w:val="24"/>
          <w:szCs w:val="24"/>
        </w:rPr>
        <w:t>may be</w:t>
      </w:r>
      <w:r w:rsidR="003B62D6" w:rsidRPr="0031531C">
        <w:rPr>
          <w:sz w:val="24"/>
          <w:szCs w:val="24"/>
        </w:rPr>
        <w:t xml:space="preserve"> able to </w:t>
      </w:r>
      <w:r w:rsidR="00C15E61" w:rsidRPr="0031531C">
        <w:rPr>
          <w:sz w:val="24"/>
          <w:szCs w:val="24"/>
        </w:rPr>
        <w:t xml:space="preserve">cease transmitting their services on their existing channels and commence transmitting on their new channels </w:t>
      </w:r>
      <w:r w:rsidR="003B62D6" w:rsidRPr="0031531C">
        <w:rPr>
          <w:sz w:val="24"/>
          <w:szCs w:val="24"/>
        </w:rPr>
        <w:t xml:space="preserve">within three months, a variation to a TLAP that extends </w:t>
      </w:r>
      <w:r w:rsidRPr="0031531C">
        <w:rPr>
          <w:sz w:val="24"/>
          <w:szCs w:val="24"/>
        </w:rPr>
        <w:t xml:space="preserve">the </w:t>
      </w:r>
      <w:r w:rsidR="001E63CA" w:rsidRPr="0031531C">
        <w:rPr>
          <w:sz w:val="24"/>
          <w:szCs w:val="24"/>
        </w:rPr>
        <w:t xml:space="preserve">restack </w:t>
      </w:r>
      <w:r w:rsidRPr="0031531C">
        <w:rPr>
          <w:sz w:val="24"/>
          <w:szCs w:val="24"/>
        </w:rPr>
        <w:t xml:space="preserve">dates </w:t>
      </w:r>
      <w:r w:rsidR="003B62D6" w:rsidRPr="0031531C">
        <w:rPr>
          <w:sz w:val="24"/>
          <w:szCs w:val="24"/>
        </w:rPr>
        <w:t xml:space="preserve">should not go beyond that timeframe. If, for example, only </w:t>
      </w:r>
      <w:r w:rsidR="001E63CA" w:rsidRPr="0031531C">
        <w:rPr>
          <w:sz w:val="24"/>
          <w:szCs w:val="24"/>
        </w:rPr>
        <w:t>one service is</w:t>
      </w:r>
      <w:r w:rsidR="003B62D6" w:rsidRPr="0031531C">
        <w:rPr>
          <w:sz w:val="24"/>
          <w:szCs w:val="24"/>
        </w:rPr>
        <w:t xml:space="preserve"> </w:t>
      </w:r>
      <w:r w:rsidR="001E63CA" w:rsidRPr="0031531C">
        <w:rPr>
          <w:sz w:val="24"/>
          <w:szCs w:val="24"/>
        </w:rPr>
        <w:t xml:space="preserve">adversely </w:t>
      </w:r>
      <w:r w:rsidR="003B62D6" w:rsidRPr="0031531C">
        <w:rPr>
          <w:sz w:val="24"/>
          <w:szCs w:val="24"/>
        </w:rPr>
        <w:t xml:space="preserve">impacted by </w:t>
      </w:r>
      <w:r w:rsidR="001E63CA" w:rsidRPr="0031531C">
        <w:rPr>
          <w:sz w:val="24"/>
          <w:szCs w:val="24"/>
        </w:rPr>
        <w:t xml:space="preserve">the occurrence of </w:t>
      </w:r>
      <w:r w:rsidR="003B62D6" w:rsidRPr="0031531C">
        <w:rPr>
          <w:sz w:val="24"/>
          <w:szCs w:val="24"/>
        </w:rPr>
        <w:t xml:space="preserve">an event or circumstance, a variation to a TLAP should only change </w:t>
      </w:r>
      <w:r w:rsidR="001E63CA" w:rsidRPr="0031531C">
        <w:rPr>
          <w:sz w:val="24"/>
          <w:szCs w:val="24"/>
        </w:rPr>
        <w:t xml:space="preserve">restack </w:t>
      </w:r>
      <w:r w:rsidR="003B62D6" w:rsidRPr="0031531C">
        <w:rPr>
          <w:sz w:val="24"/>
          <w:szCs w:val="24"/>
        </w:rPr>
        <w:t xml:space="preserve">dates for </w:t>
      </w:r>
      <w:r w:rsidR="001E63CA" w:rsidRPr="0031531C">
        <w:rPr>
          <w:sz w:val="24"/>
          <w:szCs w:val="24"/>
        </w:rPr>
        <w:t xml:space="preserve">that </w:t>
      </w:r>
      <w:r w:rsidR="003B62D6" w:rsidRPr="0031531C">
        <w:rPr>
          <w:sz w:val="24"/>
          <w:szCs w:val="24"/>
        </w:rPr>
        <w:t>service (</w:t>
      </w:r>
      <w:r w:rsidR="001E63CA" w:rsidRPr="0031531C">
        <w:rPr>
          <w:sz w:val="24"/>
          <w:szCs w:val="24"/>
        </w:rPr>
        <w:t xml:space="preserve">as well as for any service </w:t>
      </w:r>
      <w:r w:rsidR="00B232EB" w:rsidRPr="0031531C">
        <w:rPr>
          <w:sz w:val="24"/>
          <w:szCs w:val="24"/>
        </w:rPr>
        <w:t xml:space="preserve">necessarily and </w:t>
      </w:r>
      <w:r w:rsidR="003B62D6" w:rsidRPr="0031531C">
        <w:rPr>
          <w:sz w:val="24"/>
          <w:szCs w:val="24"/>
        </w:rPr>
        <w:t>consequential</w:t>
      </w:r>
      <w:r w:rsidR="00B232EB" w:rsidRPr="0031531C">
        <w:rPr>
          <w:sz w:val="24"/>
          <w:szCs w:val="24"/>
        </w:rPr>
        <w:t>ly affected</w:t>
      </w:r>
      <w:r w:rsidR="003B62D6" w:rsidRPr="0031531C">
        <w:rPr>
          <w:sz w:val="24"/>
          <w:szCs w:val="24"/>
        </w:rPr>
        <w:t xml:space="preserve"> </w:t>
      </w:r>
      <w:r w:rsidR="00B232EB" w:rsidRPr="0031531C">
        <w:rPr>
          <w:sz w:val="24"/>
          <w:szCs w:val="24"/>
        </w:rPr>
        <w:t xml:space="preserve">by the other service’s restack </w:t>
      </w:r>
      <w:r w:rsidR="00C15E61" w:rsidRPr="0031531C">
        <w:rPr>
          <w:sz w:val="24"/>
          <w:szCs w:val="24"/>
        </w:rPr>
        <w:t>date</w:t>
      </w:r>
      <w:r w:rsidR="003B62D6" w:rsidRPr="0031531C">
        <w:rPr>
          <w:sz w:val="24"/>
          <w:szCs w:val="24"/>
        </w:rPr>
        <w:t>).</w:t>
      </w:r>
    </w:p>
    <w:p w:rsidR="002C2170" w:rsidRDefault="002C2170" w:rsidP="00304E8A">
      <w:pPr>
        <w:spacing w:after="120"/>
        <w:rPr>
          <w:sz w:val="24"/>
          <w:szCs w:val="24"/>
        </w:rPr>
      </w:pPr>
      <w:r>
        <w:rPr>
          <w:sz w:val="24"/>
          <w:szCs w:val="24"/>
        </w:rPr>
        <w:t>Paragraph</w:t>
      </w:r>
      <w:r w:rsidRPr="00852BDE">
        <w:rPr>
          <w:sz w:val="24"/>
          <w:szCs w:val="24"/>
        </w:rPr>
        <w:t xml:space="preserve"> 5(</w:t>
      </w:r>
      <w:r>
        <w:rPr>
          <w:sz w:val="24"/>
          <w:szCs w:val="24"/>
        </w:rPr>
        <w:t>3</w:t>
      </w:r>
      <w:proofErr w:type="gramStart"/>
      <w:r w:rsidRPr="00852BDE">
        <w:rPr>
          <w:sz w:val="24"/>
          <w:szCs w:val="24"/>
        </w:rPr>
        <w:t>)</w:t>
      </w:r>
      <w:r>
        <w:rPr>
          <w:sz w:val="24"/>
          <w:szCs w:val="24"/>
        </w:rPr>
        <w:t>(</w:t>
      </w:r>
      <w:proofErr w:type="gramEnd"/>
      <w:r w:rsidR="006D07BA">
        <w:rPr>
          <w:sz w:val="24"/>
          <w:szCs w:val="24"/>
        </w:rPr>
        <w:t>b</w:t>
      </w:r>
      <w:r>
        <w:rPr>
          <w:sz w:val="24"/>
          <w:szCs w:val="24"/>
        </w:rPr>
        <w:t>)</w:t>
      </w:r>
      <w:r w:rsidRPr="00852BDE">
        <w:rPr>
          <w:sz w:val="24"/>
          <w:szCs w:val="24"/>
        </w:rPr>
        <w:t xml:space="preserve"> makes clear that the ACMA must be satisfied </w:t>
      </w:r>
      <w:r>
        <w:rPr>
          <w:sz w:val="24"/>
          <w:szCs w:val="24"/>
        </w:rPr>
        <w:t xml:space="preserve">of the existence of each of the factors </w:t>
      </w:r>
      <w:r w:rsidR="001E63CA">
        <w:rPr>
          <w:sz w:val="24"/>
          <w:szCs w:val="24"/>
        </w:rPr>
        <w:t xml:space="preserve">in subclause 5(1) </w:t>
      </w:r>
      <w:r>
        <w:rPr>
          <w:sz w:val="24"/>
          <w:szCs w:val="24"/>
        </w:rPr>
        <w:t>before it is required by this Direction to vary a TLAP</w:t>
      </w:r>
      <w:r w:rsidR="001E63CA">
        <w:rPr>
          <w:sz w:val="24"/>
          <w:szCs w:val="24"/>
        </w:rPr>
        <w:t>.</w:t>
      </w:r>
    </w:p>
    <w:p w:rsidR="00DA641A" w:rsidRDefault="00DA641A" w:rsidP="008B78A5">
      <w:pPr>
        <w:spacing w:after="120"/>
        <w:rPr>
          <w:sz w:val="24"/>
          <w:szCs w:val="24"/>
        </w:rPr>
      </w:pPr>
      <w:r w:rsidRPr="00DA641A">
        <w:rPr>
          <w:sz w:val="24"/>
          <w:szCs w:val="24"/>
        </w:rPr>
        <w:t xml:space="preserve">The Direction makes clear in </w:t>
      </w:r>
      <w:r w:rsidR="008F1650">
        <w:rPr>
          <w:sz w:val="24"/>
          <w:szCs w:val="24"/>
        </w:rPr>
        <w:t>paragraph</w:t>
      </w:r>
      <w:r w:rsidR="008F1650" w:rsidRPr="00DA641A" w:rsidDel="0020452B">
        <w:rPr>
          <w:sz w:val="24"/>
          <w:szCs w:val="24"/>
        </w:rPr>
        <w:t xml:space="preserve"> </w:t>
      </w:r>
      <w:r w:rsidR="008F1650">
        <w:rPr>
          <w:sz w:val="24"/>
          <w:szCs w:val="24"/>
        </w:rPr>
        <w:t>5(3</w:t>
      </w:r>
      <w:proofErr w:type="gramStart"/>
      <w:r w:rsidR="008F1650">
        <w:rPr>
          <w:sz w:val="24"/>
          <w:szCs w:val="24"/>
        </w:rPr>
        <w:t>)(</w:t>
      </w:r>
      <w:proofErr w:type="gramEnd"/>
      <w:r w:rsidR="006D07BA">
        <w:rPr>
          <w:sz w:val="24"/>
          <w:szCs w:val="24"/>
        </w:rPr>
        <w:t>a</w:t>
      </w:r>
      <w:r w:rsidR="008F1650">
        <w:rPr>
          <w:sz w:val="24"/>
          <w:szCs w:val="24"/>
        </w:rPr>
        <w:t>)</w:t>
      </w:r>
      <w:r w:rsidRPr="00DA641A">
        <w:rPr>
          <w:sz w:val="24"/>
          <w:szCs w:val="24"/>
        </w:rPr>
        <w:t xml:space="preserve"> that the ACMA </w:t>
      </w:r>
      <w:r w:rsidR="008F1650">
        <w:rPr>
          <w:sz w:val="24"/>
          <w:szCs w:val="24"/>
        </w:rPr>
        <w:t>is not prevented from varying a TLAP at any other time, in respect of any other matter.</w:t>
      </w:r>
    </w:p>
    <w:p w:rsidR="00A919EA" w:rsidRDefault="00A919EA" w:rsidP="008B78A5">
      <w:pPr>
        <w:spacing w:after="120"/>
        <w:rPr>
          <w:sz w:val="24"/>
          <w:szCs w:val="24"/>
        </w:rPr>
      </w:pPr>
      <w:r w:rsidRPr="00585CF7">
        <w:rPr>
          <w:sz w:val="24"/>
          <w:szCs w:val="24"/>
          <w:u w:val="single"/>
        </w:rPr>
        <w:t>Clause 6</w:t>
      </w:r>
      <w:r>
        <w:rPr>
          <w:sz w:val="24"/>
          <w:szCs w:val="24"/>
        </w:rPr>
        <w:t xml:space="preserve"> directs that where the ACMA is required to make a variation to a TLAP </w:t>
      </w:r>
      <w:r w:rsidR="00253CA5">
        <w:rPr>
          <w:sz w:val="24"/>
          <w:szCs w:val="24"/>
        </w:rPr>
        <w:t xml:space="preserve">in compliance with </w:t>
      </w:r>
      <w:r>
        <w:rPr>
          <w:sz w:val="24"/>
          <w:szCs w:val="24"/>
        </w:rPr>
        <w:t xml:space="preserve">clause 5 of this Direction, before exercising </w:t>
      </w:r>
      <w:r w:rsidR="00253CA5">
        <w:rPr>
          <w:sz w:val="24"/>
          <w:szCs w:val="24"/>
        </w:rPr>
        <w:t xml:space="preserve">the </w:t>
      </w:r>
      <w:r>
        <w:rPr>
          <w:sz w:val="24"/>
          <w:szCs w:val="24"/>
        </w:rPr>
        <w:t xml:space="preserve">power to vary or commencing consultation for the variation, the ACMA is to advise the Minister, with reasonable notice, of its intention to vary </w:t>
      </w:r>
      <w:r w:rsidR="00520E31">
        <w:rPr>
          <w:sz w:val="24"/>
          <w:szCs w:val="24"/>
        </w:rPr>
        <w:t xml:space="preserve">the TLAP </w:t>
      </w:r>
      <w:r>
        <w:rPr>
          <w:sz w:val="24"/>
          <w:szCs w:val="24"/>
        </w:rPr>
        <w:t>(subclause 6</w:t>
      </w:r>
      <w:r w:rsidR="00253CA5">
        <w:rPr>
          <w:sz w:val="24"/>
          <w:szCs w:val="24"/>
        </w:rPr>
        <w:t>(1) and (2) refer</w:t>
      </w:r>
      <w:r>
        <w:rPr>
          <w:sz w:val="24"/>
          <w:szCs w:val="24"/>
        </w:rPr>
        <w:t>).</w:t>
      </w:r>
    </w:p>
    <w:p w:rsidR="00A919EA" w:rsidRDefault="00A919EA" w:rsidP="00A919EA">
      <w:pPr>
        <w:spacing w:after="120"/>
        <w:rPr>
          <w:sz w:val="24"/>
          <w:szCs w:val="24"/>
        </w:rPr>
      </w:pPr>
      <w:r>
        <w:rPr>
          <w:sz w:val="24"/>
          <w:szCs w:val="24"/>
        </w:rPr>
        <w:t>In providing its advice to the Minister, the ACMA is required</w:t>
      </w:r>
      <w:r w:rsidR="00253CA5">
        <w:rPr>
          <w:sz w:val="24"/>
          <w:szCs w:val="24"/>
        </w:rPr>
        <w:t xml:space="preserve"> by subclause 6(3)</w:t>
      </w:r>
      <w:r>
        <w:rPr>
          <w:sz w:val="24"/>
          <w:szCs w:val="24"/>
        </w:rPr>
        <w:t xml:space="preserve"> to include an initial assessment of the options for how the TLAP may be varied, and the likely </w:t>
      </w:r>
      <w:r w:rsidR="00520E31">
        <w:rPr>
          <w:sz w:val="24"/>
          <w:szCs w:val="24"/>
        </w:rPr>
        <w:t xml:space="preserve">impact of each option on users </w:t>
      </w:r>
      <w:r>
        <w:rPr>
          <w:sz w:val="24"/>
          <w:szCs w:val="24"/>
        </w:rPr>
        <w:t xml:space="preserve">of the radiofrequency spectrum in the frequency range 694 to 820 </w:t>
      </w:r>
      <w:proofErr w:type="spellStart"/>
      <w:r>
        <w:rPr>
          <w:sz w:val="24"/>
          <w:szCs w:val="24"/>
        </w:rPr>
        <w:t>MHz.</w:t>
      </w:r>
      <w:proofErr w:type="spellEnd"/>
      <w:r w:rsidR="00520E31">
        <w:rPr>
          <w:sz w:val="24"/>
          <w:szCs w:val="24"/>
        </w:rPr>
        <w:t xml:space="preserve"> The likely impact on users of the spectrum would include existing users (</w:t>
      </w:r>
      <w:proofErr w:type="spellStart"/>
      <w:r w:rsidR="00520E31">
        <w:rPr>
          <w:sz w:val="24"/>
          <w:szCs w:val="24"/>
        </w:rPr>
        <w:t>ie</w:t>
      </w:r>
      <w:proofErr w:type="spellEnd"/>
      <w:r w:rsidR="00253CA5">
        <w:rPr>
          <w:sz w:val="24"/>
          <w:szCs w:val="24"/>
        </w:rPr>
        <w:t xml:space="preserve"> </w:t>
      </w:r>
      <w:r w:rsidR="00520E31">
        <w:rPr>
          <w:sz w:val="24"/>
          <w:szCs w:val="24"/>
        </w:rPr>
        <w:t>broadcasters) and future users (</w:t>
      </w:r>
      <w:proofErr w:type="spellStart"/>
      <w:r w:rsidR="00520E31">
        <w:rPr>
          <w:sz w:val="24"/>
          <w:szCs w:val="24"/>
        </w:rPr>
        <w:t>ie</w:t>
      </w:r>
      <w:proofErr w:type="spellEnd"/>
      <w:r w:rsidR="00520E31">
        <w:rPr>
          <w:sz w:val="24"/>
          <w:szCs w:val="24"/>
        </w:rPr>
        <w:t xml:space="preserve"> spectrum licence-holders whose licences for the frequency bands 703-748 MHz and 758-803 MHz commence on 1 January 2015).</w:t>
      </w:r>
    </w:p>
    <w:p w:rsidR="00520E31" w:rsidRDefault="00A919EA" w:rsidP="008B78A5">
      <w:pPr>
        <w:spacing w:after="120"/>
        <w:rPr>
          <w:sz w:val="24"/>
          <w:szCs w:val="24"/>
        </w:rPr>
      </w:pPr>
      <w:r>
        <w:rPr>
          <w:sz w:val="24"/>
          <w:szCs w:val="24"/>
        </w:rPr>
        <w:lastRenderedPageBreak/>
        <w:t>It is intended that the ACMA provide the Minister with reasonable notice of its intention to vary a TLAP or commence consultation for such a variation so that the Minister has an opportunity to understand and assess the wider im</w:t>
      </w:r>
      <w:r w:rsidR="00253CA5">
        <w:rPr>
          <w:sz w:val="24"/>
          <w:szCs w:val="24"/>
        </w:rPr>
        <w:t xml:space="preserve">pacts of an intended </w:t>
      </w:r>
      <w:r w:rsidR="00520E31">
        <w:rPr>
          <w:sz w:val="24"/>
          <w:szCs w:val="24"/>
        </w:rPr>
        <w:t>variation</w:t>
      </w:r>
      <w:r w:rsidR="00253CA5">
        <w:rPr>
          <w:sz w:val="24"/>
          <w:szCs w:val="24"/>
        </w:rPr>
        <w:t xml:space="preserve"> before it is made</w:t>
      </w:r>
      <w:r w:rsidR="00520E31">
        <w:rPr>
          <w:sz w:val="24"/>
          <w:szCs w:val="24"/>
        </w:rPr>
        <w:t>.</w:t>
      </w:r>
    </w:p>
    <w:p w:rsidR="00A919EA" w:rsidRPr="00DA641A" w:rsidRDefault="00A919EA" w:rsidP="008B78A5">
      <w:pPr>
        <w:spacing w:after="120"/>
        <w:rPr>
          <w:sz w:val="24"/>
          <w:szCs w:val="24"/>
        </w:rPr>
      </w:pPr>
      <w:r>
        <w:rPr>
          <w:sz w:val="24"/>
          <w:szCs w:val="24"/>
        </w:rPr>
        <w:t xml:space="preserve">The reasonableness of the timeframe in which notice </w:t>
      </w:r>
      <w:r w:rsidR="00520E31">
        <w:rPr>
          <w:sz w:val="24"/>
          <w:szCs w:val="24"/>
        </w:rPr>
        <w:t xml:space="preserve">is </w:t>
      </w:r>
      <w:r>
        <w:rPr>
          <w:sz w:val="24"/>
          <w:szCs w:val="24"/>
        </w:rPr>
        <w:t xml:space="preserve">to be provided by the ACMA to the Minister </w:t>
      </w:r>
      <w:r w:rsidR="00520E31">
        <w:rPr>
          <w:sz w:val="24"/>
          <w:szCs w:val="24"/>
        </w:rPr>
        <w:t xml:space="preserve">pursuant to subclause 6(2) </w:t>
      </w:r>
      <w:r>
        <w:rPr>
          <w:sz w:val="24"/>
          <w:szCs w:val="24"/>
        </w:rPr>
        <w:t>will depend on the circumstances. For example, the timeframe between when the ACMA is satisfied of the existence of the factors required in subclause 5(1) and the relevant restack dates specified in the TLAP will impact upon how much notice the ACMA may give to the Minister of its intention to vary a TLAP or commence consultation for a variation.</w:t>
      </w:r>
    </w:p>
    <w:sectPr w:rsidR="00A919EA" w:rsidRPr="00DA641A" w:rsidSect="00865EF6">
      <w:headerReference w:type="default" r:id="rId9"/>
      <w:footerReference w:type="first" r:id="rId10"/>
      <w:pgSz w:w="11906" w:h="16838" w:code="9"/>
      <w:pgMar w:top="1440" w:right="1797" w:bottom="1440" w:left="179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1A47" w:rsidRDefault="000A1A47" w:rsidP="009A5536">
      <w:r>
        <w:separator/>
      </w:r>
    </w:p>
  </w:endnote>
  <w:endnote w:type="continuationSeparator" w:id="0">
    <w:p w:rsidR="000A1A47" w:rsidRDefault="000A1A47" w:rsidP="009A55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1A47" w:rsidRDefault="000A1A47">
    <w:pPr>
      <w:pStyle w:val="Footer"/>
      <w:jc w:val="center"/>
    </w:pPr>
  </w:p>
  <w:p w:rsidR="000A1A47" w:rsidRDefault="000A1A4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1A47" w:rsidRDefault="000A1A47" w:rsidP="009A5536">
      <w:r>
        <w:separator/>
      </w:r>
    </w:p>
  </w:footnote>
  <w:footnote w:type="continuationSeparator" w:id="0">
    <w:p w:rsidR="000A1A47" w:rsidRDefault="000A1A47" w:rsidP="009A55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1A47" w:rsidRDefault="000A1A47">
    <w:pPr>
      <w:pStyle w:val="Header"/>
    </w:pPr>
    <w:r>
      <w:tab/>
    </w:r>
    <w:r>
      <w:rPr>
        <w:rStyle w:val="PageNumber"/>
      </w:rPr>
      <w:fldChar w:fldCharType="begin"/>
    </w:r>
    <w:r>
      <w:rPr>
        <w:rStyle w:val="PageNumber"/>
      </w:rPr>
      <w:instrText xml:space="preserve"> PAGE </w:instrText>
    </w:r>
    <w:r>
      <w:rPr>
        <w:rStyle w:val="PageNumber"/>
      </w:rPr>
      <w:fldChar w:fldCharType="separate"/>
    </w:r>
    <w:r w:rsidR="003720EE">
      <w:rPr>
        <w:rStyle w:val="PageNumber"/>
        <w:noProof/>
      </w:rPr>
      <w:t>1</w:t>
    </w:r>
    <w:r>
      <w:rPr>
        <w:rStyle w:val="PageNumbe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8359A"/>
    <w:multiLevelType w:val="hybridMultilevel"/>
    <w:tmpl w:val="1B0882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4BC33B01"/>
    <w:multiLevelType w:val="hybridMultilevel"/>
    <w:tmpl w:val="B4523FA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2"/>
  </w:compat>
  <w:rsids>
    <w:rsidRoot w:val="002C0CD5"/>
    <w:rsid w:val="00005672"/>
    <w:rsid w:val="00014D0F"/>
    <w:rsid w:val="000200DD"/>
    <w:rsid w:val="00052478"/>
    <w:rsid w:val="00065CC7"/>
    <w:rsid w:val="00066012"/>
    <w:rsid w:val="00066F9B"/>
    <w:rsid w:val="000748D2"/>
    <w:rsid w:val="0009399B"/>
    <w:rsid w:val="00093AFD"/>
    <w:rsid w:val="0009720F"/>
    <w:rsid w:val="000A1213"/>
    <w:rsid w:val="000A17C6"/>
    <w:rsid w:val="000A1A47"/>
    <w:rsid w:val="000A704C"/>
    <w:rsid w:val="000B69C5"/>
    <w:rsid w:val="000B7431"/>
    <w:rsid w:val="000C092E"/>
    <w:rsid w:val="000C143B"/>
    <w:rsid w:val="000E2948"/>
    <w:rsid w:val="000F00D4"/>
    <w:rsid w:val="001013DD"/>
    <w:rsid w:val="001025F0"/>
    <w:rsid w:val="00113F27"/>
    <w:rsid w:val="0012015C"/>
    <w:rsid w:val="001209FC"/>
    <w:rsid w:val="0012623C"/>
    <w:rsid w:val="00136308"/>
    <w:rsid w:val="00136D23"/>
    <w:rsid w:val="00137880"/>
    <w:rsid w:val="00154B96"/>
    <w:rsid w:val="00167F68"/>
    <w:rsid w:val="00172C1C"/>
    <w:rsid w:val="001A4D94"/>
    <w:rsid w:val="001A6D19"/>
    <w:rsid w:val="001B16E8"/>
    <w:rsid w:val="001B341A"/>
    <w:rsid w:val="001C05AF"/>
    <w:rsid w:val="001C1979"/>
    <w:rsid w:val="001C6DC2"/>
    <w:rsid w:val="001D6665"/>
    <w:rsid w:val="001E5162"/>
    <w:rsid w:val="001E63CA"/>
    <w:rsid w:val="002031B8"/>
    <w:rsid w:val="00203EBE"/>
    <w:rsid w:val="0020452B"/>
    <w:rsid w:val="002131AC"/>
    <w:rsid w:val="00220665"/>
    <w:rsid w:val="00221130"/>
    <w:rsid w:val="002309C5"/>
    <w:rsid w:val="00252C3F"/>
    <w:rsid w:val="00253CA5"/>
    <w:rsid w:val="0026336A"/>
    <w:rsid w:val="00266F5F"/>
    <w:rsid w:val="002817A8"/>
    <w:rsid w:val="002946E5"/>
    <w:rsid w:val="00297734"/>
    <w:rsid w:val="002A2C10"/>
    <w:rsid w:val="002C0CD5"/>
    <w:rsid w:val="002C2170"/>
    <w:rsid w:val="002D1A77"/>
    <w:rsid w:val="002D6C82"/>
    <w:rsid w:val="002E59BE"/>
    <w:rsid w:val="002F2566"/>
    <w:rsid w:val="002F4E99"/>
    <w:rsid w:val="00300D7D"/>
    <w:rsid w:val="0030148A"/>
    <w:rsid w:val="00304E8A"/>
    <w:rsid w:val="0031531C"/>
    <w:rsid w:val="00335D79"/>
    <w:rsid w:val="0034299C"/>
    <w:rsid w:val="003431F5"/>
    <w:rsid w:val="0034606E"/>
    <w:rsid w:val="00362FC5"/>
    <w:rsid w:val="003720EE"/>
    <w:rsid w:val="0037588E"/>
    <w:rsid w:val="0038596E"/>
    <w:rsid w:val="00390810"/>
    <w:rsid w:val="00390DE4"/>
    <w:rsid w:val="00393685"/>
    <w:rsid w:val="003A1A35"/>
    <w:rsid w:val="003A39A2"/>
    <w:rsid w:val="003B62D6"/>
    <w:rsid w:val="003C5EA2"/>
    <w:rsid w:val="003D1291"/>
    <w:rsid w:val="003D2376"/>
    <w:rsid w:val="003D6754"/>
    <w:rsid w:val="003D6B02"/>
    <w:rsid w:val="00405662"/>
    <w:rsid w:val="004222FE"/>
    <w:rsid w:val="00432690"/>
    <w:rsid w:val="00442A12"/>
    <w:rsid w:val="004437F6"/>
    <w:rsid w:val="004554F9"/>
    <w:rsid w:val="0046673D"/>
    <w:rsid w:val="00470215"/>
    <w:rsid w:val="0047601F"/>
    <w:rsid w:val="00485E9A"/>
    <w:rsid w:val="00493CD6"/>
    <w:rsid w:val="00497F62"/>
    <w:rsid w:val="004A19EE"/>
    <w:rsid w:val="004B09FD"/>
    <w:rsid w:val="004B75EA"/>
    <w:rsid w:val="004C14DB"/>
    <w:rsid w:val="004D15C1"/>
    <w:rsid w:val="004D5004"/>
    <w:rsid w:val="004E4107"/>
    <w:rsid w:val="004F6C38"/>
    <w:rsid w:val="00501EB5"/>
    <w:rsid w:val="00517442"/>
    <w:rsid w:val="00517B36"/>
    <w:rsid w:val="00517BA8"/>
    <w:rsid w:val="00520E31"/>
    <w:rsid w:val="005261FE"/>
    <w:rsid w:val="00531F51"/>
    <w:rsid w:val="0055586C"/>
    <w:rsid w:val="0056157E"/>
    <w:rsid w:val="0056237D"/>
    <w:rsid w:val="005627A9"/>
    <w:rsid w:val="00565C39"/>
    <w:rsid w:val="005704CF"/>
    <w:rsid w:val="00573EA4"/>
    <w:rsid w:val="005742ED"/>
    <w:rsid w:val="00580B2F"/>
    <w:rsid w:val="00585CF7"/>
    <w:rsid w:val="005A03F1"/>
    <w:rsid w:val="005A39C8"/>
    <w:rsid w:val="005B1DDC"/>
    <w:rsid w:val="005B1E56"/>
    <w:rsid w:val="005C7FDE"/>
    <w:rsid w:val="005D283A"/>
    <w:rsid w:val="005D6D6F"/>
    <w:rsid w:val="005E26DD"/>
    <w:rsid w:val="005F3919"/>
    <w:rsid w:val="006053EA"/>
    <w:rsid w:val="00624AD8"/>
    <w:rsid w:val="00624B45"/>
    <w:rsid w:val="006400CA"/>
    <w:rsid w:val="00641E87"/>
    <w:rsid w:val="00670792"/>
    <w:rsid w:val="006958FD"/>
    <w:rsid w:val="006B0888"/>
    <w:rsid w:val="006D07BA"/>
    <w:rsid w:val="006E201C"/>
    <w:rsid w:val="007120F2"/>
    <w:rsid w:val="007206B3"/>
    <w:rsid w:val="0072422C"/>
    <w:rsid w:val="007306D4"/>
    <w:rsid w:val="00745592"/>
    <w:rsid w:val="00773D66"/>
    <w:rsid w:val="007747B8"/>
    <w:rsid w:val="00775701"/>
    <w:rsid w:val="00786989"/>
    <w:rsid w:val="00795426"/>
    <w:rsid w:val="007A6680"/>
    <w:rsid w:val="007A6A28"/>
    <w:rsid w:val="007C6273"/>
    <w:rsid w:val="007D0C63"/>
    <w:rsid w:val="007E0BA1"/>
    <w:rsid w:val="007F42FA"/>
    <w:rsid w:val="007F5989"/>
    <w:rsid w:val="00806F4C"/>
    <w:rsid w:val="00807748"/>
    <w:rsid w:val="00834EEF"/>
    <w:rsid w:val="00844858"/>
    <w:rsid w:val="00852BDE"/>
    <w:rsid w:val="00865EF6"/>
    <w:rsid w:val="00870B67"/>
    <w:rsid w:val="00872EAF"/>
    <w:rsid w:val="00883D7D"/>
    <w:rsid w:val="00884CA9"/>
    <w:rsid w:val="0089056D"/>
    <w:rsid w:val="00890C86"/>
    <w:rsid w:val="00892A4A"/>
    <w:rsid w:val="00893980"/>
    <w:rsid w:val="008B1988"/>
    <w:rsid w:val="008B2874"/>
    <w:rsid w:val="008B78A5"/>
    <w:rsid w:val="008C054F"/>
    <w:rsid w:val="008C1030"/>
    <w:rsid w:val="008C219A"/>
    <w:rsid w:val="008C4988"/>
    <w:rsid w:val="008D07E0"/>
    <w:rsid w:val="008D6495"/>
    <w:rsid w:val="008F1650"/>
    <w:rsid w:val="00905707"/>
    <w:rsid w:val="00907575"/>
    <w:rsid w:val="00916677"/>
    <w:rsid w:val="009302AC"/>
    <w:rsid w:val="00931AE8"/>
    <w:rsid w:val="00945225"/>
    <w:rsid w:val="00951AE3"/>
    <w:rsid w:val="00952E77"/>
    <w:rsid w:val="00955008"/>
    <w:rsid w:val="00967762"/>
    <w:rsid w:val="00990F64"/>
    <w:rsid w:val="00991B13"/>
    <w:rsid w:val="009A5536"/>
    <w:rsid w:val="009B4C72"/>
    <w:rsid w:val="009C1FA2"/>
    <w:rsid w:val="009E468B"/>
    <w:rsid w:val="009E7845"/>
    <w:rsid w:val="009E7BD2"/>
    <w:rsid w:val="009F105A"/>
    <w:rsid w:val="009F630F"/>
    <w:rsid w:val="00A229C7"/>
    <w:rsid w:val="00A22D9D"/>
    <w:rsid w:val="00A2416B"/>
    <w:rsid w:val="00A63310"/>
    <w:rsid w:val="00A661AA"/>
    <w:rsid w:val="00A72D46"/>
    <w:rsid w:val="00A919EA"/>
    <w:rsid w:val="00A96175"/>
    <w:rsid w:val="00A96997"/>
    <w:rsid w:val="00A96DC4"/>
    <w:rsid w:val="00AB243A"/>
    <w:rsid w:val="00AC7E7F"/>
    <w:rsid w:val="00AD0E85"/>
    <w:rsid w:val="00AD1746"/>
    <w:rsid w:val="00AD1BB4"/>
    <w:rsid w:val="00AD664A"/>
    <w:rsid w:val="00B03C96"/>
    <w:rsid w:val="00B1639B"/>
    <w:rsid w:val="00B232EB"/>
    <w:rsid w:val="00B30DA5"/>
    <w:rsid w:val="00B33CFF"/>
    <w:rsid w:val="00B47512"/>
    <w:rsid w:val="00B53965"/>
    <w:rsid w:val="00B55B11"/>
    <w:rsid w:val="00B61477"/>
    <w:rsid w:val="00B70362"/>
    <w:rsid w:val="00B71224"/>
    <w:rsid w:val="00B818F3"/>
    <w:rsid w:val="00B94CF2"/>
    <w:rsid w:val="00BA5186"/>
    <w:rsid w:val="00BB3ACB"/>
    <w:rsid w:val="00BD4974"/>
    <w:rsid w:val="00BF4247"/>
    <w:rsid w:val="00BF788E"/>
    <w:rsid w:val="00C1272C"/>
    <w:rsid w:val="00C15E61"/>
    <w:rsid w:val="00C43C9A"/>
    <w:rsid w:val="00C47D42"/>
    <w:rsid w:val="00C53D90"/>
    <w:rsid w:val="00C55C56"/>
    <w:rsid w:val="00C7008B"/>
    <w:rsid w:val="00C70E91"/>
    <w:rsid w:val="00C73B4C"/>
    <w:rsid w:val="00C9128D"/>
    <w:rsid w:val="00C947C5"/>
    <w:rsid w:val="00CC27D8"/>
    <w:rsid w:val="00CE05BE"/>
    <w:rsid w:val="00CE21C9"/>
    <w:rsid w:val="00CE4B7E"/>
    <w:rsid w:val="00CF3AA5"/>
    <w:rsid w:val="00CF585A"/>
    <w:rsid w:val="00CF7D8D"/>
    <w:rsid w:val="00D062F3"/>
    <w:rsid w:val="00D10623"/>
    <w:rsid w:val="00D143D2"/>
    <w:rsid w:val="00D326BF"/>
    <w:rsid w:val="00D42056"/>
    <w:rsid w:val="00D505EA"/>
    <w:rsid w:val="00D75085"/>
    <w:rsid w:val="00D800FE"/>
    <w:rsid w:val="00D82BE2"/>
    <w:rsid w:val="00D8622C"/>
    <w:rsid w:val="00D90FD6"/>
    <w:rsid w:val="00D9468C"/>
    <w:rsid w:val="00D96DC8"/>
    <w:rsid w:val="00DA18E9"/>
    <w:rsid w:val="00DA5A57"/>
    <w:rsid w:val="00DA641A"/>
    <w:rsid w:val="00DA72D3"/>
    <w:rsid w:val="00DB1D2E"/>
    <w:rsid w:val="00DB3E6B"/>
    <w:rsid w:val="00DC0F57"/>
    <w:rsid w:val="00DD207C"/>
    <w:rsid w:val="00DF43AC"/>
    <w:rsid w:val="00E0025E"/>
    <w:rsid w:val="00E00750"/>
    <w:rsid w:val="00E02AEF"/>
    <w:rsid w:val="00E03D06"/>
    <w:rsid w:val="00E1008D"/>
    <w:rsid w:val="00E140DD"/>
    <w:rsid w:val="00E2167F"/>
    <w:rsid w:val="00E248AA"/>
    <w:rsid w:val="00E47933"/>
    <w:rsid w:val="00E52DAF"/>
    <w:rsid w:val="00E5724C"/>
    <w:rsid w:val="00E65C61"/>
    <w:rsid w:val="00E85A7F"/>
    <w:rsid w:val="00EA15B8"/>
    <w:rsid w:val="00EA1648"/>
    <w:rsid w:val="00EA2482"/>
    <w:rsid w:val="00EA58B4"/>
    <w:rsid w:val="00EA7478"/>
    <w:rsid w:val="00EB02B1"/>
    <w:rsid w:val="00EB258C"/>
    <w:rsid w:val="00EC2320"/>
    <w:rsid w:val="00EC4ABA"/>
    <w:rsid w:val="00ED0D4E"/>
    <w:rsid w:val="00EE4315"/>
    <w:rsid w:val="00F04FBC"/>
    <w:rsid w:val="00F11773"/>
    <w:rsid w:val="00F2257C"/>
    <w:rsid w:val="00F3176D"/>
    <w:rsid w:val="00F3268D"/>
    <w:rsid w:val="00F365F6"/>
    <w:rsid w:val="00F40A87"/>
    <w:rsid w:val="00F46EF6"/>
    <w:rsid w:val="00F5065D"/>
    <w:rsid w:val="00F57D8E"/>
    <w:rsid w:val="00F600C5"/>
    <w:rsid w:val="00F60697"/>
    <w:rsid w:val="00F637CE"/>
    <w:rsid w:val="00F64DA9"/>
    <w:rsid w:val="00F670AB"/>
    <w:rsid w:val="00F81614"/>
    <w:rsid w:val="00F8562A"/>
    <w:rsid w:val="00F95AFA"/>
    <w:rsid w:val="00FA4952"/>
    <w:rsid w:val="00FA7522"/>
    <w:rsid w:val="00FC1B28"/>
    <w:rsid w:val="00FD6285"/>
    <w:rsid w:val="00FE3CEC"/>
    <w:rsid w:val="00FE7F34"/>
    <w:rsid w:val="00FF532E"/>
    <w:rsid w:val="00FF5F4A"/>
    <w:rsid w:val="00FF73C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0CD5"/>
    <w:pPr>
      <w:spacing w:after="0" w:line="240" w:lineRule="auto"/>
    </w:pPr>
    <w:rPr>
      <w:rFonts w:ascii="Times New Roman" w:eastAsia="Times New Roman" w:hAnsi="Times New Roman" w:cs="Times New Roman"/>
      <w:sz w:val="20"/>
      <w:szCs w:val="20"/>
      <w:lang w:eastAsia="en-AU"/>
    </w:rPr>
  </w:style>
  <w:style w:type="paragraph" w:styleId="Heading1">
    <w:name w:val="heading 1"/>
    <w:basedOn w:val="Normal"/>
    <w:next w:val="Normal"/>
    <w:link w:val="Heading1Char"/>
    <w:qFormat/>
    <w:rsid w:val="002C0CD5"/>
    <w:pPr>
      <w:keepNext/>
      <w:jc w:val="center"/>
      <w:outlineLvl w:val="0"/>
    </w:pPr>
    <w:rPr>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C0CD5"/>
    <w:rPr>
      <w:rFonts w:ascii="Times New Roman" w:eastAsia="Times New Roman" w:hAnsi="Times New Roman" w:cs="Times New Roman"/>
      <w:i/>
      <w:sz w:val="24"/>
      <w:szCs w:val="20"/>
      <w:lang w:eastAsia="en-AU"/>
    </w:rPr>
  </w:style>
  <w:style w:type="paragraph" w:styleId="Title">
    <w:name w:val="Title"/>
    <w:basedOn w:val="Normal"/>
    <w:link w:val="TitleChar"/>
    <w:qFormat/>
    <w:rsid w:val="002C0CD5"/>
    <w:pPr>
      <w:jc w:val="center"/>
    </w:pPr>
    <w:rPr>
      <w:b/>
      <w:sz w:val="24"/>
      <w:u w:val="single"/>
      <w:lang w:val="en-GB" w:eastAsia="en-US"/>
    </w:rPr>
  </w:style>
  <w:style w:type="character" w:customStyle="1" w:styleId="TitleChar">
    <w:name w:val="Title Char"/>
    <w:basedOn w:val="DefaultParagraphFont"/>
    <w:link w:val="Title"/>
    <w:rsid w:val="002C0CD5"/>
    <w:rPr>
      <w:rFonts w:ascii="Times New Roman" w:eastAsia="Times New Roman" w:hAnsi="Times New Roman" w:cs="Times New Roman"/>
      <w:b/>
      <w:sz w:val="24"/>
      <w:szCs w:val="20"/>
      <w:u w:val="single"/>
      <w:lang w:val="en-GB"/>
    </w:rPr>
  </w:style>
  <w:style w:type="paragraph" w:styleId="BodyText3">
    <w:name w:val="Body Text 3"/>
    <w:basedOn w:val="Normal"/>
    <w:link w:val="BodyText3Char"/>
    <w:rsid w:val="002C0CD5"/>
    <w:rPr>
      <w:sz w:val="24"/>
      <w:u w:val="single"/>
      <w:lang w:val="en-GB" w:eastAsia="en-US"/>
    </w:rPr>
  </w:style>
  <w:style w:type="character" w:customStyle="1" w:styleId="BodyText3Char">
    <w:name w:val="Body Text 3 Char"/>
    <w:basedOn w:val="DefaultParagraphFont"/>
    <w:link w:val="BodyText3"/>
    <w:rsid w:val="002C0CD5"/>
    <w:rPr>
      <w:rFonts w:ascii="Times New Roman" w:eastAsia="Times New Roman" w:hAnsi="Times New Roman" w:cs="Times New Roman"/>
      <w:sz w:val="24"/>
      <w:szCs w:val="20"/>
      <w:u w:val="single"/>
      <w:lang w:val="en-GB"/>
    </w:rPr>
  </w:style>
  <w:style w:type="paragraph" w:styleId="BodyText">
    <w:name w:val="Body Text"/>
    <w:basedOn w:val="Normal"/>
    <w:link w:val="BodyTextChar"/>
    <w:rsid w:val="002C0CD5"/>
    <w:pPr>
      <w:jc w:val="center"/>
    </w:pPr>
    <w:rPr>
      <w:sz w:val="24"/>
    </w:rPr>
  </w:style>
  <w:style w:type="character" w:customStyle="1" w:styleId="BodyTextChar">
    <w:name w:val="Body Text Char"/>
    <w:basedOn w:val="DefaultParagraphFont"/>
    <w:link w:val="BodyText"/>
    <w:rsid w:val="002C0CD5"/>
    <w:rPr>
      <w:rFonts w:ascii="Times New Roman" w:eastAsia="Times New Roman" w:hAnsi="Times New Roman" w:cs="Times New Roman"/>
      <w:sz w:val="24"/>
      <w:szCs w:val="20"/>
      <w:lang w:eastAsia="en-AU"/>
    </w:rPr>
  </w:style>
  <w:style w:type="paragraph" w:styleId="Header">
    <w:name w:val="header"/>
    <w:basedOn w:val="Normal"/>
    <w:link w:val="HeaderChar"/>
    <w:rsid w:val="002C0CD5"/>
    <w:pPr>
      <w:tabs>
        <w:tab w:val="center" w:pos="4320"/>
        <w:tab w:val="right" w:pos="8640"/>
      </w:tabs>
    </w:pPr>
    <w:rPr>
      <w:sz w:val="24"/>
    </w:rPr>
  </w:style>
  <w:style w:type="character" w:customStyle="1" w:styleId="HeaderChar">
    <w:name w:val="Header Char"/>
    <w:basedOn w:val="DefaultParagraphFont"/>
    <w:link w:val="Header"/>
    <w:rsid w:val="002C0CD5"/>
    <w:rPr>
      <w:rFonts w:ascii="Times New Roman" w:eastAsia="Times New Roman" w:hAnsi="Times New Roman" w:cs="Times New Roman"/>
      <w:sz w:val="24"/>
      <w:szCs w:val="20"/>
      <w:lang w:eastAsia="en-AU"/>
    </w:rPr>
  </w:style>
  <w:style w:type="character" w:styleId="PageNumber">
    <w:name w:val="page number"/>
    <w:basedOn w:val="DefaultParagraphFont"/>
    <w:rsid w:val="002C0CD5"/>
  </w:style>
  <w:style w:type="character" w:styleId="CommentReference">
    <w:name w:val="annotation reference"/>
    <w:basedOn w:val="DefaultParagraphFont"/>
    <w:semiHidden/>
    <w:rsid w:val="002C0CD5"/>
    <w:rPr>
      <w:sz w:val="16"/>
      <w:szCs w:val="16"/>
    </w:rPr>
  </w:style>
  <w:style w:type="paragraph" w:styleId="CommentText">
    <w:name w:val="annotation text"/>
    <w:basedOn w:val="Normal"/>
    <w:link w:val="CommentTextChar"/>
    <w:semiHidden/>
    <w:rsid w:val="002C0CD5"/>
  </w:style>
  <w:style w:type="character" w:customStyle="1" w:styleId="CommentTextChar">
    <w:name w:val="Comment Text Char"/>
    <w:basedOn w:val="DefaultParagraphFont"/>
    <w:link w:val="CommentText"/>
    <w:semiHidden/>
    <w:rsid w:val="002C0CD5"/>
    <w:rPr>
      <w:rFonts w:ascii="Times New Roman" w:eastAsia="Times New Roman" w:hAnsi="Times New Roman" w:cs="Times New Roman"/>
      <w:sz w:val="20"/>
      <w:szCs w:val="20"/>
      <w:lang w:eastAsia="en-AU"/>
    </w:rPr>
  </w:style>
  <w:style w:type="paragraph" w:styleId="BalloonText">
    <w:name w:val="Balloon Text"/>
    <w:basedOn w:val="Normal"/>
    <w:link w:val="BalloonTextChar"/>
    <w:uiPriority w:val="99"/>
    <w:semiHidden/>
    <w:unhideWhenUsed/>
    <w:rsid w:val="002C0CD5"/>
    <w:rPr>
      <w:rFonts w:ascii="Tahoma" w:hAnsi="Tahoma" w:cs="Tahoma"/>
      <w:sz w:val="16"/>
      <w:szCs w:val="16"/>
    </w:rPr>
  </w:style>
  <w:style w:type="character" w:customStyle="1" w:styleId="BalloonTextChar">
    <w:name w:val="Balloon Text Char"/>
    <w:basedOn w:val="DefaultParagraphFont"/>
    <w:link w:val="BalloonText"/>
    <w:uiPriority w:val="99"/>
    <w:semiHidden/>
    <w:rsid w:val="002C0CD5"/>
    <w:rPr>
      <w:rFonts w:ascii="Tahoma" w:eastAsia="Times New Roman" w:hAnsi="Tahoma" w:cs="Tahoma"/>
      <w:sz w:val="16"/>
      <w:szCs w:val="16"/>
      <w:lang w:eastAsia="en-AU"/>
    </w:rPr>
  </w:style>
  <w:style w:type="paragraph" w:styleId="Footer">
    <w:name w:val="footer"/>
    <w:basedOn w:val="Normal"/>
    <w:link w:val="FooterChar"/>
    <w:uiPriority w:val="99"/>
    <w:unhideWhenUsed/>
    <w:rsid w:val="00203EBE"/>
    <w:pPr>
      <w:tabs>
        <w:tab w:val="center" w:pos="4513"/>
        <w:tab w:val="right" w:pos="9026"/>
      </w:tabs>
    </w:pPr>
  </w:style>
  <w:style w:type="character" w:customStyle="1" w:styleId="FooterChar">
    <w:name w:val="Footer Char"/>
    <w:basedOn w:val="DefaultParagraphFont"/>
    <w:link w:val="Footer"/>
    <w:uiPriority w:val="99"/>
    <w:rsid w:val="00203EBE"/>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951AE3"/>
    <w:rPr>
      <w:b/>
      <w:bCs/>
    </w:rPr>
  </w:style>
  <w:style w:type="character" w:customStyle="1" w:styleId="CommentSubjectChar">
    <w:name w:val="Comment Subject Char"/>
    <w:basedOn w:val="CommentTextChar"/>
    <w:link w:val="CommentSubject"/>
    <w:uiPriority w:val="99"/>
    <w:semiHidden/>
    <w:rsid w:val="00951AE3"/>
    <w:rPr>
      <w:rFonts w:ascii="Times New Roman" w:eastAsia="Times New Roman" w:hAnsi="Times New Roman" w:cs="Times New Roman"/>
      <w:b/>
      <w:bCs/>
      <w:sz w:val="20"/>
      <w:szCs w:val="20"/>
      <w:lang w:eastAsia="en-AU"/>
    </w:rPr>
  </w:style>
  <w:style w:type="paragraph" w:styleId="BodyText2">
    <w:name w:val="Body Text 2"/>
    <w:basedOn w:val="Normal"/>
    <w:link w:val="BodyText2Char"/>
    <w:uiPriority w:val="99"/>
    <w:unhideWhenUsed/>
    <w:rsid w:val="002131AC"/>
    <w:pPr>
      <w:spacing w:after="120" w:line="480" w:lineRule="auto"/>
    </w:pPr>
  </w:style>
  <w:style w:type="character" w:customStyle="1" w:styleId="BodyText2Char">
    <w:name w:val="Body Text 2 Char"/>
    <w:basedOn w:val="DefaultParagraphFont"/>
    <w:link w:val="BodyText2"/>
    <w:uiPriority w:val="99"/>
    <w:rsid w:val="002131AC"/>
    <w:rPr>
      <w:rFonts w:ascii="Times New Roman" w:eastAsia="Times New Roman" w:hAnsi="Times New Roman" w:cs="Times New Roman"/>
      <w:sz w:val="20"/>
      <w:szCs w:val="20"/>
      <w:lang w:eastAsia="en-AU"/>
    </w:rPr>
  </w:style>
  <w:style w:type="paragraph" w:styleId="ListParagraph">
    <w:name w:val="List Paragraph"/>
    <w:basedOn w:val="Normal"/>
    <w:uiPriority w:val="34"/>
    <w:qFormat/>
    <w:rsid w:val="0020452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716585">
      <w:bodyDiv w:val="1"/>
      <w:marLeft w:val="0"/>
      <w:marRight w:val="0"/>
      <w:marTop w:val="0"/>
      <w:marBottom w:val="0"/>
      <w:divBdr>
        <w:top w:val="none" w:sz="0" w:space="0" w:color="auto"/>
        <w:left w:val="none" w:sz="0" w:space="0" w:color="auto"/>
        <w:bottom w:val="none" w:sz="0" w:space="0" w:color="auto"/>
        <w:right w:val="none" w:sz="0" w:space="0" w:color="auto"/>
      </w:divBdr>
    </w:div>
    <w:div w:id="196815927">
      <w:bodyDiv w:val="1"/>
      <w:marLeft w:val="0"/>
      <w:marRight w:val="0"/>
      <w:marTop w:val="0"/>
      <w:marBottom w:val="0"/>
      <w:divBdr>
        <w:top w:val="none" w:sz="0" w:space="0" w:color="auto"/>
        <w:left w:val="none" w:sz="0" w:space="0" w:color="auto"/>
        <w:bottom w:val="none" w:sz="0" w:space="0" w:color="auto"/>
        <w:right w:val="none" w:sz="0" w:space="0" w:color="auto"/>
      </w:divBdr>
    </w:div>
    <w:div w:id="356003660">
      <w:bodyDiv w:val="1"/>
      <w:marLeft w:val="0"/>
      <w:marRight w:val="0"/>
      <w:marTop w:val="0"/>
      <w:marBottom w:val="0"/>
      <w:divBdr>
        <w:top w:val="none" w:sz="0" w:space="0" w:color="auto"/>
        <w:left w:val="none" w:sz="0" w:space="0" w:color="auto"/>
        <w:bottom w:val="none" w:sz="0" w:space="0" w:color="auto"/>
        <w:right w:val="none" w:sz="0" w:space="0" w:color="auto"/>
      </w:divBdr>
    </w:div>
    <w:div w:id="607351190">
      <w:bodyDiv w:val="1"/>
      <w:marLeft w:val="0"/>
      <w:marRight w:val="0"/>
      <w:marTop w:val="0"/>
      <w:marBottom w:val="0"/>
      <w:divBdr>
        <w:top w:val="none" w:sz="0" w:space="0" w:color="auto"/>
        <w:left w:val="none" w:sz="0" w:space="0" w:color="auto"/>
        <w:bottom w:val="none" w:sz="0" w:space="0" w:color="auto"/>
        <w:right w:val="none" w:sz="0" w:space="0" w:color="auto"/>
      </w:divBdr>
    </w:div>
    <w:div w:id="924458553">
      <w:bodyDiv w:val="1"/>
      <w:marLeft w:val="0"/>
      <w:marRight w:val="0"/>
      <w:marTop w:val="0"/>
      <w:marBottom w:val="0"/>
      <w:divBdr>
        <w:top w:val="none" w:sz="0" w:space="0" w:color="auto"/>
        <w:left w:val="none" w:sz="0" w:space="0" w:color="auto"/>
        <w:bottom w:val="none" w:sz="0" w:space="0" w:color="auto"/>
        <w:right w:val="none" w:sz="0" w:space="0" w:color="auto"/>
      </w:divBdr>
      <w:divsChild>
        <w:div w:id="822628352">
          <w:marLeft w:val="0"/>
          <w:marRight w:val="0"/>
          <w:marTop w:val="0"/>
          <w:marBottom w:val="0"/>
          <w:divBdr>
            <w:top w:val="none" w:sz="0" w:space="0" w:color="auto"/>
            <w:left w:val="none" w:sz="0" w:space="0" w:color="auto"/>
            <w:bottom w:val="none" w:sz="0" w:space="0" w:color="auto"/>
            <w:right w:val="none" w:sz="0" w:space="0" w:color="auto"/>
          </w:divBdr>
          <w:divsChild>
            <w:div w:id="429935609">
              <w:marLeft w:val="0"/>
              <w:marRight w:val="0"/>
              <w:marTop w:val="0"/>
              <w:marBottom w:val="0"/>
              <w:divBdr>
                <w:top w:val="none" w:sz="0" w:space="0" w:color="auto"/>
                <w:left w:val="none" w:sz="0" w:space="0" w:color="auto"/>
                <w:bottom w:val="none" w:sz="0" w:space="0" w:color="auto"/>
                <w:right w:val="none" w:sz="0" w:space="0" w:color="auto"/>
              </w:divBdr>
              <w:divsChild>
                <w:div w:id="559293430">
                  <w:marLeft w:val="0"/>
                  <w:marRight w:val="0"/>
                  <w:marTop w:val="0"/>
                  <w:marBottom w:val="0"/>
                  <w:divBdr>
                    <w:top w:val="none" w:sz="0" w:space="0" w:color="auto"/>
                    <w:left w:val="none" w:sz="0" w:space="0" w:color="auto"/>
                    <w:bottom w:val="none" w:sz="0" w:space="0" w:color="auto"/>
                    <w:right w:val="none" w:sz="0" w:space="0" w:color="auto"/>
                  </w:divBdr>
                  <w:divsChild>
                    <w:div w:id="1012148514">
                      <w:marLeft w:val="0"/>
                      <w:marRight w:val="0"/>
                      <w:marTop w:val="0"/>
                      <w:marBottom w:val="0"/>
                      <w:divBdr>
                        <w:top w:val="none" w:sz="0" w:space="0" w:color="auto"/>
                        <w:left w:val="none" w:sz="0" w:space="0" w:color="auto"/>
                        <w:bottom w:val="none" w:sz="0" w:space="0" w:color="auto"/>
                        <w:right w:val="none" w:sz="0" w:space="0" w:color="auto"/>
                      </w:divBdr>
                      <w:divsChild>
                        <w:div w:id="1962878323">
                          <w:marLeft w:val="0"/>
                          <w:marRight w:val="0"/>
                          <w:marTop w:val="0"/>
                          <w:marBottom w:val="0"/>
                          <w:divBdr>
                            <w:top w:val="single" w:sz="6" w:space="0" w:color="828282"/>
                            <w:left w:val="single" w:sz="6" w:space="0" w:color="828282"/>
                            <w:bottom w:val="single" w:sz="6" w:space="0" w:color="828282"/>
                            <w:right w:val="single" w:sz="6" w:space="0" w:color="828282"/>
                          </w:divBdr>
                          <w:divsChild>
                            <w:div w:id="651367688">
                              <w:marLeft w:val="0"/>
                              <w:marRight w:val="0"/>
                              <w:marTop w:val="0"/>
                              <w:marBottom w:val="0"/>
                              <w:divBdr>
                                <w:top w:val="none" w:sz="0" w:space="0" w:color="auto"/>
                                <w:left w:val="none" w:sz="0" w:space="0" w:color="auto"/>
                                <w:bottom w:val="none" w:sz="0" w:space="0" w:color="auto"/>
                                <w:right w:val="none" w:sz="0" w:space="0" w:color="auto"/>
                              </w:divBdr>
                              <w:divsChild>
                                <w:div w:id="1226449386">
                                  <w:marLeft w:val="0"/>
                                  <w:marRight w:val="0"/>
                                  <w:marTop w:val="0"/>
                                  <w:marBottom w:val="0"/>
                                  <w:divBdr>
                                    <w:top w:val="none" w:sz="0" w:space="0" w:color="auto"/>
                                    <w:left w:val="none" w:sz="0" w:space="0" w:color="auto"/>
                                    <w:bottom w:val="none" w:sz="0" w:space="0" w:color="auto"/>
                                    <w:right w:val="none" w:sz="0" w:space="0" w:color="auto"/>
                                  </w:divBdr>
                                  <w:divsChild>
                                    <w:div w:id="2112705447">
                                      <w:marLeft w:val="0"/>
                                      <w:marRight w:val="0"/>
                                      <w:marTop w:val="0"/>
                                      <w:marBottom w:val="0"/>
                                      <w:divBdr>
                                        <w:top w:val="none" w:sz="0" w:space="0" w:color="auto"/>
                                        <w:left w:val="none" w:sz="0" w:space="0" w:color="auto"/>
                                        <w:bottom w:val="none" w:sz="0" w:space="0" w:color="auto"/>
                                        <w:right w:val="none" w:sz="0" w:space="0" w:color="auto"/>
                                      </w:divBdr>
                                      <w:divsChild>
                                        <w:div w:id="2084907978">
                                          <w:marLeft w:val="0"/>
                                          <w:marRight w:val="0"/>
                                          <w:marTop w:val="0"/>
                                          <w:marBottom w:val="0"/>
                                          <w:divBdr>
                                            <w:top w:val="none" w:sz="0" w:space="0" w:color="auto"/>
                                            <w:left w:val="none" w:sz="0" w:space="0" w:color="auto"/>
                                            <w:bottom w:val="none" w:sz="0" w:space="0" w:color="auto"/>
                                            <w:right w:val="none" w:sz="0" w:space="0" w:color="auto"/>
                                          </w:divBdr>
                                          <w:divsChild>
                                            <w:div w:id="1805275989">
                                              <w:marLeft w:val="0"/>
                                              <w:marRight w:val="0"/>
                                              <w:marTop w:val="0"/>
                                              <w:marBottom w:val="0"/>
                                              <w:divBdr>
                                                <w:top w:val="none" w:sz="0" w:space="0" w:color="auto"/>
                                                <w:left w:val="none" w:sz="0" w:space="0" w:color="auto"/>
                                                <w:bottom w:val="none" w:sz="0" w:space="0" w:color="auto"/>
                                                <w:right w:val="none" w:sz="0" w:space="0" w:color="auto"/>
                                              </w:divBdr>
                                              <w:divsChild>
                                                <w:div w:id="158081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1084461">
      <w:bodyDiv w:val="1"/>
      <w:marLeft w:val="0"/>
      <w:marRight w:val="0"/>
      <w:marTop w:val="0"/>
      <w:marBottom w:val="0"/>
      <w:divBdr>
        <w:top w:val="none" w:sz="0" w:space="0" w:color="auto"/>
        <w:left w:val="none" w:sz="0" w:space="0" w:color="auto"/>
        <w:bottom w:val="none" w:sz="0" w:space="0" w:color="auto"/>
        <w:right w:val="none" w:sz="0" w:space="0" w:color="auto"/>
      </w:divBdr>
    </w:div>
    <w:div w:id="1002590789">
      <w:bodyDiv w:val="1"/>
      <w:marLeft w:val="0"/>
      <w:marRight w:val="0"/>
      <w:marTop w:val="0"/>
      <w:marBottom w:val="0"/>
      <w:divBdr>
        <w:top w:val="none" w:sz="0" w:space="0" w:color="auto"/>
        <w:left w:val="none" w:sz="0" w:space="0" w:color="auto"/>
        <w:bottom w:val="none" w:sz="0" w:space="0" w:color="auto"/>
        <w:right w:val="none" w:sz="0" w:space="0" w:color="auto"/>
      </w:divBdr>
    </w:div>
    <w:div w:id="1151408002">
      <w:bodyDiv w:val="1"/>
      <w:marLeft w:val="0"/>
      <w:marRight w:val="0"/>
      <w:marTop w:val="0"/>
      <w:marBottom w:val="0"/>
      <w:divBdr>
        <w:top w:val="none" w:sz="0" w:space="0" w:color="auto"/>
        <w:left w:val="none" w:sz="0" w:space="0" w:color="auto"/>
        <w:bottom w:val="none" w:sz="0" w:space="0" w:color="auto"/>
        <w:right w:val="none" w:sz="0" w:space="0" w:color="auto"/>
      </w:divBdr>
    </w:div>
    <w:div w:id="1264875307">
      <w:bodyDiv w:val="1"/>
      <w:marLeft w:val="0"/>
      <w:marRight w:val="0"/>
      <w:marTop w:val="0"/>
      <w:marBottom w:val="0"/>
      <w:divBdr>
        <w:top w:val="none" w:sz="0" w:space="0" w:color="auto"/>
        <w:left w:val="none" w:sz="0" w:space="0" w:color="auto"/>
        <w:bottom w:val="none" w:sz="0" w:space="0" w:color="auto"/>
        <w:right w:val="none" w:sz="0" w:space="0" w:color="auto"/>
      </w:divBdr>
    </w:div>
    <w:div w:id="1330061248">
      <w:bodyDiv w:val="1"/>
      <w:marLeft w:val="0"/>
      <w:marRight w:val="0"/>
      <w:marTop w:val="0"/>
      <w:marBottom w:val="0"/>
      <w:divBdr>
        <w:top w:val="none" w:sz="0" w:space="0" w:color="auto"/>
        <w:left w:val="none" w:sz="0" w:space="0" w:color="auto"/>
        <w:bottom w:val="none" w:sz="0" w:space="0" w:color="auto"/>
        <w:right w:val="none" w:sz="0" w:space="0" w:color="auto"/>
      </w:divBdr>
    </w:div>
    <w:div w:id="1455632020">
      <w:bodyDiv w:val="1"/>
      <w:marLeft w:val="0"/>
      <w:marRight w:val="0"/>
      <w:marTop w:val="0"/>
      <w:marBottom w:val="0"/>
      <w:divBdr>
        <w:top w:val="none" w:sz="0" w:space="0" w:color="auto"/>
        <w:left w:val="none" w:sz="0" w:space="0" w:color="auto"/>
        <w:bottom w:val="none" w:sz="0" w:space="0" w:color="auto"/>
        <w:right w:val="none" w:sz="0" w:space="0" w:color="auto"/>
      </w:divBdr>
    </w:div>
    <w:div w:id="1540975500">
      <w:bodyDiv w:val="1"/>
      <w:marLeft w:val="0"/>
      <w:marRight w:val="0"/>
      <w:marTop w:val="0"/>
      <w:marBottom w:val="0"/>
      <w:divBdr>
        <w:top w:val="none" w:sz="0" w:space="0" w:color="auto"/>
        <w:left w:val="none" w:sz="0" w:space="0" w:color="auto"/>
        <w:bottom w:val="none" w:sz="0" w:space="0" w:color="auto"/>
        <w:right w:val="none" w:sz="0" w:space="0" w:color="auto"/>
      </w:divBdr>
    </w:div>
    <w:div w:id="1958638156">
      <w:bodyDiv w:val="1"/>
      <w:marLeft w:val="0"/>
      <w:marRight w:val="0"/>
      <w:marTop w:val="0"/>
      <w:marBottom w:val="0"/>
      <w:divBdr>
        <w:top w:val="none" w:sz="0" w:space="0" w:color="auto"/>
        <w:left w:val="none" w:sz="0" w:space="0" w:color="auto"/>
        <w:bottom w:val="none" w:sz="0" w:space="0" w:color="auto"/>
        <w:right w:val="none" w:sz="0" w:space="0" w:color="auto"/>
      </w:divBdr>
      <w:divsChild>
        <w:div w:id="561793566">
          <w:marLeft w:val="0"/>
          <w:marRight w:val="0"/>
          <w:marTop w:val="0"/>
          <w:marBottom w:val="0"/>
          <w:divBdr>
            <w:top w:val="none" w:sz="0" w:space="0" w:color="auto"/>
            <w:left w:val="none" w:sz="0" w:space="0" w:color="auto"/>
            <w:bottom w:val="none" w:sz="0" w:space="0" w:color="auto"/>
            <w:right w:val="none" w:sz="0" w:space="0" w:color="auto"/>
          </w:divBdr>
          <w:divsChild>
            <w:div w:id="942958406">
              <w:marLeft w:val="0"/>
              <w:marRight w:val="0"/>
              <w:marTop w:val="0"/>
              <w:marBottom w:val="0"/>
              <w:divBdr>
                <w:top w:val="none" w:sz="0" w:space="0" w:color="auto"/>
                <w:left w:val="none" w:sz="0" w:space="0" w:color="auto"/>
                <w:bottom w:val="none" w:sz="0" w:space="0" w:color="auto"/>
                <w:right w:val="none" w:sz="0" w:space="0" w:color="auto"/>
              </w:divBdr>
              <w:divsChild>
                <w:div w:id="161631215">
                  <w:marLeft w:val="0"/>
                  <w:marRight w:val="0"/>
                  <w:marTop w:val="0"/>
                  <w:marBottom w:val="0"/>
                  <w:divBdr>
                    <w:top w:val="none" w:sz="0" w:space="0" w:color="auto"/>
                    <w:left w:val="none" w:sz="0" w:space="0" w:color="auto"/>
                    <w:bottom w:val="none" w:sz="0" w:space="0" w:color="auto"/>
                    <w:right w:val="none" w:sz="0" w:space="0" w:color="auto"/>
                  </w:divBdr>
                  <w:divsChild>
                    <w:div w:id="1979870826">
                      <w:marLeft w:val="0"/>
                      <w:marRight w:val="0"/>
                      <w:marTop w:val="0"/>
                      <w:marBottom w:val="0"/>
                      <w:divBdr>
                        <w:top w:val="none" w:sz="0" w:space="0" w:color="auto"/>
                        <w:left w:val="none" w:sz="0" w:space="0" w:color="auto"/>
                        <w:bottom w:val="none" w:sz="0" w:space="0" w:color="auto"/>
                        <w:right w:val="none" w:sz="0" w:space="0" w:color="auto"/>
                      </w:divBdr>
                      <w:divsChild>
                        <w:div w:id="197814733">
                          <w:marLeft w:val="0"/>
                          <w:marRight w:val="0"/>
                          <w:marTop w:val="0"/>
                          <w:marBottom w:val="0"/>
                          <w:divBdr>
                            <w:top w:val="single" w:sz="6" w:space="0" w:color="828282"/>
                            <w:left w:val="single" w:sz="6" w:space="0" w:color="828282"/>
                            <w:bottom w:val="single" w:sz="6" w:space="0" w:color="828282"/>
                            <w:right w:val="single" w:sz="6" w:space="0" w:color="828282"/>
                          </w:divBdr>
                          <w:divsChild>
                            <w:div w:id="1908148882">
                              <w:marLeft w:val="0"/>
                              <w:marRight w:val="0"/>
                              <w:marTop w:val="0"/>
                              <w:marBottom w:val="0"/>
                              <w:divBdr>
                                <w:top w:val="none" w:sz="0" w:space="0" w:color="auto"/>
                                <w:left w:val="none" w:sz="0" w:space="0" w:color="auto"/>
                                <w:bottom w:val="none" w:sz="0" w:space="0" w:color="auto"/>
                                <w:right w:val="none" w:sz="0" w:space="0" w:color="auto"/>
                              </w:divBdr>
                              <w:divsChild>
                                <w:div w:id="1949652994">
                                  <w:marLeft w:val="0"/>
                                  <w:marRight w:val="0"/>
                                  <w:marTop w:val="0"/>
                                  <w:marBottom w:val="0"/>
                                  <w:divBdr>
                                    <w:top w:val="none" w:sz="0" w:space="0" w:color="auto"/>
                                    <w:left w:val="none" w:sz="0" w:space="0" w:color="auto"/>
                                    <w:bottom w:val="none" w:sz="0" w:space="0" w:color="auto"/>
                                    <w:right w:val="none" w:sz="0" w:space="0" w:color="auto"/>
                                  </w:divBdr>
                                  <w:divsChild>
                                    <w:div w:id="942223058">
                                      <w:marLeft w:val="0"/>
                                      <w:marRight w:val="0"/>
                                      <w:marTop w:val="0"/>
                                      <w:marBottom w:val="0"/>
                                      <w:divBdr>
                                        <w:top w:val="none" w:sz="0" w:space="0" w:color="auto"/>
                                        <w:left w:val="none" w:sz="0" w:space="0" w:color="auto"/>
                                        <w:bottom w:val="none" w:sz="0" w:space="0" w:color="auto"/>
                                        <w:right w:val="none" w:sz="0" w:space="0" w:color="auto"/>
                                      </w:divBdr>
                                      <w:divsChild>
                                        <w:div w:id="1599557953">
                                          <w:marLeft w:val="0"/>
                                          <w:marRight w:val="0"/>
                                          <w:marTop w:val="0"/>
                                          <w:marBottom w:val="0"/>
                                          <w:divBdr>
                                            <w:top w:val="none" w:sz="0" w:space="0" w:color="auto"/>
                                            <w:left w:val="none" w:sz="0" w:space="0" w:color="auto"/>
                                            <w:bottom w:val="none" w:sz="0" w:space="0" w:color="auto"/>
                                            <w:right w:val="none" w:sz="0" w:space="0" w:color="auto"/>
                                          </w:divBdr>
                                          <w:divsChild>
                                            <w:div w:id="1707023781">
                                              <w:marLeft w:val="0"/>
                                              <w:marRight w:val="0"/>
                                              <w:marTop w:val="0"/>
                                              <w:marBottom w:val="0"/>
                                              <w:divBdr>
                                                <w:top w:val="none" w:sz="0" w:space="0" w:color="auto"/>
                                                <w:left w:val="none" w:sz="0" w:space="0" w:color="auto"/>
                                                <w:bottom w:val="none" w:sz="0" w:space="0" w:color="auto"/>
                                                <w:right w:val="none" w:sz="0" w:space="0" w:color="auto"/>
                                              </w:divBdr>
                                              <w:divsChild>
                                                <w:div w:id="504634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315BC1-E01E-4AD7-9EF5-42656E6768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2711</Words>
  <Characters>15454</Characters>
  <Application>Microsoft Office Word</Application>
  <DocSecurity>4</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DBCDE</Company>
  <LinksUpToDate>false</LinksUpToDate>
  <CharactersWithSpaces>18129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bmetschke</dc:creator>
  <cp:lastModifiedBy>bmetschke</cp:lastModifiedBy>
  <cp:revision>2</cp:revision>
  <cp:lastPrinted>2013-04-10T06:27:00Z</cp:lastPrinted>
  <dcterms:created xsi:type="dcterms:W3CDTF">2013-04-22T02:43:00Z</dcterms:created>
  <dcterms:modified xsi:type="dcterms:W3CDTF">2013-04-22T02:43:00Z</dcterms:modified>
</cp:coreProperties>
</file>