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0" w:rsidRPr="0070048E" w:rsidRDefault="00797500">
      <w:pPr>
        <w:jc w:val="center"/>
        <w:rPr>
          <w:b/>
          <w:i/>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A25BB0">
        <w:rPr>
          <w:b/>
        </w:rPr>
        <w:t>(Stakeholder Consultation on Database of Adverse Event Notifications</w:t>
      </w:r>
      <w:r w:rsidR="00EE11E1">
        <w:rPr>
          <w:b/>
        </w:rPr>
        <w:t xml:space="preserve"> – Medical Devices</w:t>
      </w:r>
      <w:r w:rsidR="00A25BB0">
        <w:rPr>
          <w:b/>
        </w:rPr>
        <w:t xml:space="preserve">) </w:t>
      </w:r>
      <w:r w:rsidRPr="00660062">
        <w:rPr>
          <w:b/>
        </w:rPr>
        <w:t>Specification 20</w:t>
      </w:r>
      <w:r w:rsidR="004343B8">
        <w:rPr>
          <w:b/>
        </w:rPr>
        <w:t>1</w:t>
      </w:r>
      <w:r w:rsidR="00EE11E1">
        <w:rPr>
          <w:b/>
        </w:rPr>
        <w:t>3</w:t>
      </w:r>
    </w:p>
    <w:p w:rsidR="00A2181D" w:rsidRDefault="00A2181D">
      <w:pPr>
        <w:jc w:val="center"/>
        <w:rPr>
          <w:b/>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 xml:space="preserve">The </w:t>
      </w:r>
      <w:r w:rsidR="00660062" w:rsidRPr="004B0AE7">
        <w:rPr>
          <w:rFonts w:ascii="Times New Roman" w:hAnsi="Times New Roman"/>
          <w:i/>
          <w:szCs w:val="24"/>
        </w:rPr>
        <w:t>Therapeutic Goods Act 1989</w:t>
      </w:r>
      <w:r w:rsidR="00660062">
        <w:rPr>
          <w:rFonts w:ascii="Times New Roman" w:hAnsi="Times New Roman"/>
          <w:szCs w:val="24"/>
        </w:rPr>
        <w:t xml:space="preserve"> (the Act)</w:t>
      </w:r>
      <w:r>
        <w:rPr>
          <w:rFonts w:ascii="Times New Roman" w:hAnsi="Times New Roman"/>
          <w:szCs w:val="24"/>
        </w:rPr>
        <w:t xml:space="preserve"> provides for the establishment and maintenance of a national system of controls for the quality, safety, efficacy and timely availability of therapeutic goods that are used in or exported from Australia.  The Therapeutic Goods Administration (the TGA)</w:t>
      </w:r>
      <w:r w:rsidR="0070048E">
        <w:rPr>
          <w:rFonts w:ascii="Times New Roman" w:hAnsi="Times New Roman"/>
          <w:szCs w:val="24"/>
        </w:rPr>
        <w:t>, which is a division of the Department of Health and Ageing,</w:t>
      </w:r>
      <w:r>
        <w:rPr>
          <w:rFonts w:ascii="Times New Roman" w:hAnsi="Times New Roman"/>
          <w:szCs w:val="24"/>
        </w:rPr>
        <w:t xml:space="preserve"> is responsible for administering the Act.</w:t>
      </w:r>
    </w:p>
    <w:p w:rsidR="00270F5B" w:rsidRDefault="00270F5B" w:rsidP="00270F5B">
      <w:pPr>
        <w:autoSpaceDE w:val="0"/>
        <w:autoSpaceDN w:val="0"/>
        <w:adjustRightInd w:val="0"/>
        <w:rPr>
          <w:rFonts w:ascii="Times New Roman" w:hAnsi="Times New Roman"/>
          <w:szCs w:val="24"/>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 xml:space="preserve">Section 61 of the Act lists a number of persons or organisations </w:t>
      </w:r>
      <w:r w:rsidR="00E91DE1">
        <w:rPr>
          <w:rFonts w:ascii="Times New Roman" w:hAnsi="Times New Roman"/>
          <w:szCs w:val="24"/>
        </w:rPr>
        <w:t xml:space="preserve">such as the World Health Organisation and State or Territory authorities that have functions relating to therapeutic goods </w:t>
      </w:r>
      <w:r>
        <w:rPr>
          <w:rFonts w:ascii="Times New Roman" w:hAnsi="Times New Roman"/>
          <w:szCs w:val="24"/>
        </w:rPr>
        <w:t xml:space="preserve">to </w:t>
      </w:r>
      <w:r w:rsidR="0070048E">
        <w:rPr>
          <w:rFonts w:ascii="Times New Roman" w:hAnsi="Times New Roman"/>
          <w:szCs w:val="24"/>
        </w:rPr>
        <w:t xml:space="preserve">which </w:t>
      </w:r>
      <w:r>
        <w:rPr>
          <w:rFonts w:ascii="Times New Roman" w:hAnsi="Times New Roman"/>
          <w:szCs w:val="24"/>
        </w:rPr>
        <w:t xml:space="preserve">the Secretary </w:t>
      </w:r>
      <w:r w:rsidR="00CD6F03">
        <w:rPr>
          <w:rFonts w:ascii="Times New Roman" w:hAnsi="Times New Roman"/>
          <w:szCs w:val="24"/>
        </w:rPr>
        <w:t xml:space="preserve">of the Department of Health and Ageing </w:t>
      </w:r>
      <w:r w:rsidR="0070048E">
        <w:rPr>
          <w:rFonts w:ascii="Times New Roman" w:hAnsi="Times New Roman"/>
          <w:szCs w:val="24"/>
        </w:rPr>
        <w:t xml:space="preserve">can </w:t>
      </w:r>
      <w:r>
        <w:rPr>
          <w:rFonts w:ascii="Times New Roman" w:hAnsi="Times New Roman"/>
          <w:szCs w:val="24"/>
        </w:rPr>
        <w:t>release specified kinds of therapeutic goods information.</w:t>
      </w:r>
      <w:r w:rsidR="0070048E">
        <w:rPr>
          <w:rFonts w:ascii="Times New Roman" w:hAnsi="Times New Roman"/>
          <w:szCs w:val="24"/>
        </w:rPr>
        <w:t xml:space="preserve">  Section 61 also allows the Minister </w:t>
      </w:r>
      <w:r w:rsidR="00CD6F03">
        <w:rPr>
          <w:rFonts w:ascii="Times New Roman" w:hAnsi="Times New Roman"/>
          <w:szCs w:val="24"/>
        </w:rPr>
        <w:t xml:space="preserve">for Health </w:t>
      </w:r>
      <w:r w:rsidR="0070048E">
        <w:rPr>
          <w:rFonts w:ascii="Times New Roman" w:hAnsi="Times New Roman"/>
          <w:szCs w:val="24"/>
        </w:rPr>
        <w:t>to make a legislative instrument setting</w:t>
      </w:r>
      <w:r w:rsidR="007E045E">
        <w:rPr>
          <w:rFonts w:ascii="Times New Roman" w:hAnsi="Times New Roman"/>
          <w:szCs w:val="24"/>
        </w:rPr>
        <w:t xml:space="preserve"> out</w:t>
      </w:r>
      <w:r w:rsidR="0070048E">
        <w:rPr>
          <w:rFonts w:ascii="Times New Roman" w:hAnsi="Times New Roman"/>
          <w:szCs w:val="24"/>
        </w:rPr>
        <w:t xml:space="preserve"> other circumstances in which the Secretary can release such information.</w:t>
      </w:r>
    </w:p>
    <w:p w:rsidR="00270F5B" w:rsidRDefault="00270F5B" w:rsidP="00B16CCB">
      <w:pPr>
        <w:autoSpaceDE w:val="0"/>
        <w:autoSpaceDN w:val="0"/>
        <w:adjustRightInd w:val="0"/>
        <w:rPr>
          <w:rFonts w:ascii="Times New Roman" w:hAnsi="Times New Roman"/>
          <w:szCs w:val="24"/>
        </w:rPr>
      </w:pPr>
    </w:p>
    <w:p w:rsidR="00256F8C" w:rsidRDefault="0067666F" w:rsidP="00B16CCB">
      <w:pPr>
        <w:autoSpaceDE w:val="0"/>
        <w:autoSpaceDN w:val="0"/>
        <w:adjustRightInd w:val="0"/>
        <w:rPr>
          <w:rFonts w:ascii="Times New Roman" w:hAnsi="Times New Roman"/>
          <w:szCs w:val="24"/>
        </w:rPr>
      </w:pPr>
      <w:r>
        <w:rPr>
          <w:rFonts w:ascii="Times New Roman" w:hAnsi="Times New Roman"/>
          <w:szCs w:val="24"/>
        </w:rPr>
        <w:t xml:space="preserve">The </w:t>
      </w:r>
      <w:r w:rsidR="004B0AE7">
        <w:rPr>
          <w:rFonts w:ascii="Times New Roman" w:hAnsi="Times New Roman"/>
          <w:szCs w:val="24"/>
        </w:rPr>
        <w:t>Therapeutic Goo</w:t>
      </w:r>
      <w:r w:rsidR="000F42C5">
        <w:rPr>
          <w:rFonts w:ascii="Times New Roman" w:hAnsi="Times New Roman"/>
          <w:szCs w:val="24"/>
        </w:rPr>
        <w:t xml:space="preserve">ds Information </w:t>
      </w:r>
      <w:r>
        <w:rPr>
          <w:rFonts w:ascii="Times New Roman" w:hAnsi="Times New Roman"/>
          <w:szCs w:val="24"/>
        </w:rPr>
        <w:t>(</w:t>
      </w:r>
      <w:r w:rsidR="00191AF0">
        <w:rPr>
          <w:rFonts w:ascii="Times New Roman" w:hAnsi="Times New Roman"/>
          <w:szCs w:val="24"/>
        </w:rPr>
        <w:t xml:space="preserve">Stakeholder Consultation on Database of </w:t>
      </w:r>
      <w:r>
        <w:rPr>
          <w:rFonts w:ascii="Times New Roman" w:hAnsi="Times New Roman"/>
          <w:szCs w:val="24"/>
        </w:rPr>
        <w:t xml:space="preserve">Adverse </w:t>
      </w:r>
      <w:r w:rsidR="007A0799">
        <w:rPr>
          <w:rFonts w:ascii="Times New Roman" w:hAnsi="Times New Roman"/>
          <w:szCs w:val="24"/>
        </w:rPr>
        <w:t>Event</w:t>
      </w:r>
      <w:r w:rsidR="00191AF0">
        <w:rPr>
          <w:rFonts w:ascii="Times New Roman" w:hAnsi="Times New Roman"/>
          <w:szCs w:val="24"/>
        </w:rPr>
        <w:t xml:space="preserve"> Notifications</w:t>
      </w:r>
      <w:r w:rsidR="00EE11E1">
        <w:rPr>
          <w:rFonts w:ascii="Times New Roman" w:hAnsi="Times New Roman"/>
          <w:szCs w:val="24"/>
        </w:rPr>
        <w:t xml:space="preserve"> – Medical Devices</w:t>
      </w:r>
      <w:r>
        <w:rPr>
          <w:rFonts w:ascii="Times New Roman" w:hAnsi="Times New Roman"/>
          <w:szCs w:val="24"/>
        </w:rPr>
        <w:t xml:space="preserve">) </w:t>
      </w:r>
      <w:r w:rsidR="00541205">
        <w:rPr>
          <w:rFonts w:ascii="Times New Roman" w:hAnsi="Times New Roman"/>
          <w:szCs w:val="24"/>
        </w:rPr>
        <w:t xml:space="preserve">Specification </w:t>
      </w:r>
      <w:r w:rsidR="00EE11E1">
        <w:rPr>
          <w:rFonts w:ascii="Times New Roman" w:hAnsi="Times New Roman"/>
          <w:szCs w:val="24"/>
        </w:rPr>
        <w:t>2013</w:t>
      </w:r>
      <w:r w:rsidR="004B0AE7">
        <w:rPr>
          <w:rFonts w:ascii="Times New Roman" w:hAnsi="Times New Roman"/>
          <w:szCs w:val="24"/>
        </w:rPr>
        <w:t xml:space="preserve"> (the Specification) is made by the Minister under subsection 61(5</w:t>
      </w:r>
      <w:r>
        <w:rPr>
          <w:rFonts w:ascii="Times New Roman" w:hAnsi="Times New Roman"/>
          <w:szCs w:val="24"/>
        </w:rPr>
        <w:t>AB</w:t>
      </w:r>
      <w:r w:rsidR="004B0AE7">
        <w:rPr>
          <w:rFonts w:ascii="Times New Roman" w:hAnsi="Times New Roman"/>
          <w:szCs w:val="24"/>
        </w:rPr>
        <w:t xml:space="preserve">) of </w:t>
      </w:r>
      <w:r w:rsidR="002C5253">
        <w:rPr>
          <w:rFonts w:ascii="Times New Roman" w:hAnsi="Times New Roman"/>
          <w:szCs w:val="24"/>
        </w:rPr>
        <w:t xml:space="preserve">the Act </w:t>
      </w:r>
      <w:r w:rsidR="00696977">
        <w:rPr>
          <w:rFonts w:ascii="Times New Roman" w:hAnsi="Times New Roman"/>
          <w:szCs w:val="24"/>
        </w:rPr>
        <w:t xml:space="preserve">and specifies </w:t>
      </w:r>
      <w:r w:rsidR="004B0AE7">
        <w:rPr>
          <w:rFonts w:ascii="Times New Roman" w:hAnsi="Times New Roman"/>
          <w:szCs w:val="24"/>
        </w:rPr>
        <w:t>the kinds of therapeutic goods information</w:t>
      </w:r>
      <w:r w:rsidR="00CD6F03">
        <w:rPr>
          <w:rFonts w:ascii="Times New Roman" w:hAnsi="Times New Roman"/>
          <w:szCs w:val="24"/>
        </w:rPr>
        <w:t xml:space="preserve"> that can be released</w:t>
      </w:r>
      <w:r w:rsidR="00256F8C">
        <w:rPr>
          <w:rFonts w:ascii="Times New Roman" w:hAnsi="Times New Roman"/>
          <w:szCs w:val="24"/>
        </w:rPr>
        <w:t xml:space="preserve">, the kinds of persons </w:t>
      </w:r>
      <w:r w:rsidR="00CD6F03">
        <w:rPr>
          <w:rFonts w:ascii="Times New Roman" w:hAnsi="Times New Roman"/>
          <w:szCs w:val="24"/>
        </w:rPr>
        <w:t xml:space="preserve">to whom that information can be released, </w:t>
      </w:r>
      <w:r w:rsidR="00256F8C">
        <w:rPr>
          <w:rFonts w:ascii="Times New Roman" w:hAnsi="Times New Roman"/>
          <w:szCs w:val="24"/>
        </w:rPr>
        <w:t>and the purposes for which</w:t>
      </w:r>
      <w:r w:rsidR="00CD6F03">
        <w:rPr>
          <w:rFonts w:ascii="Times New Roman" w:hAnsi="Times New Roman"/>
          <w:szCs w:val="24"/>
        </w:rPr>
        <w:t xml:space="preserve"> it can be released,</w:t>
      </w:r>
      <w:r w:rsidR="00256F8C">
        <w:rPr>
          <w:rFonts w:ascii="Times New Roman" w:hAnsi="Times New Roman"/>
          <w:szCs w:val="24"/>
        </w:rPr>
        <w:t xml:space="preserve"> </w:t>
      </w:r>
      <w:r w:rsidR="00CD6F03">
        <w:rPr>
          <w:rFonts w:ascii="Times New Roman" w:hAnsi="Times New Roman"/>
          <w:szCs w:val="24"/>
        </w:rPr>
        <w:t xml:space="preserve">by </w:t>
      </w:r>
      <w:r w:rsidR="00256F8C">
        <w:rPr>
          <w:rFonts w:ascii="Times New Roman" w:hAnsi="Times New Roman"/>
          <w:szCs w:val="24"/>
        </w:rPr>
        <w:t xml:space="preserve">the Secretary </w:t>
      </w:r>
      <w:r w:rsidR="0070048E">
        <w:rPr>
          <w:rFonts w:ascii="Times New Roman" w:hAnsi="Times New Roman"/>
          <w:szCs w:val="24"/>
        </w:rPr>
        <w:t>under subsection 61(5AA) of the Act</w:t>
      </w:r>
      <w:r w:rsidR="00256F8C">
        <w:rPr>
          <w:rFonts w:ascii="Times New Roman" w:hAnsi="Times New Roman"/>
          <w:szCs w:val="24"/>
        </w:rPr>
        <w:t>.</w:t>
      </w:r>
    </w:p>
    <w:p w:rsidR="006464B2" w:rsidRDefault="006464B2" w:rsidP="00B16CCB">
      <w:pPr>
        <w:autoSpaceDE w:val="0"/>
        <w:autoSpaceDN w:val="0"/>
        <w:adjustRightInd w:val="0"/>
        <w:rPr>
          <w:rFonts w:ascii="Times New Roman" w:hAnsi="Times New Roman"/>
          <w:szCs w:val="24"/>
        </w:rPr>
      </w:pPr>
    </w:p>
    <w:p w:rsidR="006464B2" w:rsidRDefault="002C5253" w:rsidP="00B16CCB">
      <w:pPr>
        <w:autoSpaceDE w:val="0"/>
        <w:autoSpaceDN w:val="0"/>
        <w:adjustRightInd w:val="0"/>
        <w:rPr>
          <w:rFonts w:ascii="Times New Roman" w:hAnsi="Times New Roman"/>
          <w:szCs w:val="24"/>
        </w:rPr>
      </w:pPr>
      <w:r>
        <w:rPr>
          <w:rFonts w:ascii="Times New Roman" w:hAnsi="Times New Roman"/>
          <w:szCs w:val="24"/>
        </w:rPr>
        <w:t xml:space="preserve">The </w:t>
      </w:r>
      <w:r w:rsidR="00440FE5">
        <w:rPr>
          <w:rFonts w:ascii="Times New Roman" w:hAnsi="Times New Roman"/>
          <w:szCs w:val="24"/>
        </w:rPr>
        <w:t xml:space="preserve">making of the </w:t>
      </w:r>
      <w:r>
        <w:rPr>
          <w:rFonts w:ascii="Times New Roman" w:hAnsi="Times New Roman"/>
          <w:szCs w:val="24"/>
        </w:rPr>
        <w:t>Specification has the effect of permitting the Secretary to release therapeutic goods information of a kind mentioned in the Specification to the</w:t>
      </w:r>
      <w:r w:rsidR="00256F8C">
        <w:rPr>
          <w:rFonts w:ascii="Times New Roman" w:hAnsi="Times New Roman"/>
          <w:szCs w:val="24"/>
        </w:rPr>
        <w:t xml:space="preserve"> </w:t>
      </w:r>
      <w:r w:rsidR="00191AF0">
        <w:rPr>
          <w:rFonts w:ascii="Times New Roman" w:hAnsi="Times New Roman"/>
          <w:szCs w:val="24"/>
        </w:rPr>
        <w:t xml:space="preserve">bodies and the </w:t>
      </w:r>
      <w:r w:rsidR="00256F8C">
        <w:rPr>
          <w:rFonts w:ascii="Times New Roman" w:hAnsi="Times New Roman"/>
          <w:szCs w:val="24"/>
        </w:rPr>
        <w:t>kinds of persons mentioned in the Specification, for the purposes set out in the Specification</w:t>
      </w:r>
      <w:r>
        <w:rPr>
          <w:rFonts w:ascii="Times New Roman" w:hAnsi="Times New Roman"/>
          <w:szCs w:val="24"/>
        </w:rPr>
        <w:t>.</w:t>
      </w:r>
    </w:p>
    <w:p w:rsidR="006464B2" w:rsidRDefault="006464B2" w:rsidP="00B16CCB">
      <w:pPr>
        <w:autoSpaceDE w:val="0"/>
        <w:autoSpaceDN w:val="0"/>
        <w:adjustRightInd w:val="0"/>
        <w:rPr>
          <w:rFonts w:ascii="Times New Roman" w:hAnsi="Times New Roman"/>
          <w:szCs w:val="24"/>
        </w:rPr>
      </w:pPr>
    </w:p>
    <w:p w:rsidR="006464B2" w:rsidRDefault="002C5253" w:rsidP="002C5253">
      <w:pPr>
        <w:autoSpaceDE w:val="0"/>
        <w:autoSpaceDN w:val="0"/>
        <w:adjustRightInd w:val="0"/>
        <w:rPr>
          <w:rFonts w:ascii="Times New Roman" w:hAnsi="Times New Roman"/>
          <w:szCs w:val="24"/>
        </w:rPr>
      </w:pPr>
      <w:r>
        <w:rPr>
          <w:rFonts w:ascii="Times New Roman" w:hAnsi="Times New Roman"/>
          <w:szCs w:val="24"/>
        </w:rPr>
        <w:t>Therapeutic goods information in this context is defined in subsection 61(1) of the Act as</w:t>
      </w:r>
      <w:r w:rsidR="00256F8C">
        <w:rPr>
          <w:rFonts w:ascii="Times New Roman" w:hAnsi="Times New Roman"/>
          <w:szCs w:val="24"/>
        </w:rPr>
        <w:t>, relevantly,</w:t>
      </w:r>
      <w:r>
        <w:rPr>
          <w:rFonts w:ascii="Times New Roman" w:hAnsi="Times New Roman"/>
          <w:szCs w:val="24"/>
        </w:rPr>
        <w:t xml:space="preserve"> information in relation to therapeutic goods that is held by the Department and which relates to the performance of the Department’s functions.</w:t>
      </w:r>
    </w:p>
    <w:p w:rsidR="006464B2" w:rsidRDefault="006464B2" w:rsidP="00B16CCB">
      <w:pPr>
        <w:autoSpaceDE w:val="0"/>
        <w:autoSpaceDN w:val="0"/>
        <w:adjustRightInd w:val="0"/>
        <w:rPr>
          <w:rFonts w:ascii="Times New Roman" w:hAnsi="Times New Roman"/>
          <w:szCs w:val="24"/>
        </w:rPr>
      </w:pPr>
    </w:p>
    <w:p w:rsidR="006464B2" w:rsidRDefault="006F7E73" w:rsidP="00B16CCB">
      <w:pPr>
        <w:autoSpaceDE w:val="0"/>
        <w:autoSpaceDN w:val="0"/>
        <w:adjustRightInd w:val="0"/>
        <w:rPr>
          <w:rFonts w:ascii="Times New Roman" w:hAnsi="Times New Roman"/>
          <w:szCs w:val="24"/>
        </w:rPr>
      </w:pPr>
      <w:r>
        <w:rPr>
          <w:rFonts w:ascii="Times New Roman" w:hAnsi="Times New Roman"/>
          <w:szCs w:val="24"/>
        </w:rPr>
        <w:t>The Specification commenced on the day after it was registered on the Federal Register of Legislative Instruments.</w:t>
      </w:r>
    </w:p>
    <w:p w:rsidR="006464B2" w:rsidRDefault="006464B2" w:rsidP="00B16CCB">
      <w:pPr>
        <w:autoSpaceDE w:val="0"/>
        <w:autoSpaceDN w:val="0"/>
        <w:adjustRightInd w:val="0"/>
        <w:rPr>
          <w:rFonts w:ascii="Times New Roman" w:hAnsi="Times New Roman"/>
          <w:szCs w:val="24"/>
        </w:rPr>
      </w:pPr>
    </w:p>
    <w:p w:rsidR="006464B2" w:rsidRPr="00804792" w:rsidRDefault="006F7E73" w:rsidP="00B16CCB">
      <w:pPr>
        <w:autoSpaceDE w:val="0"/>
        <w:autoSpaceDN w:val="0"/>
        <w:adjustRightInd w:val="0"/>
        <w:rPr>
          <w:rFonts w:ascii="Times New Roman" w:hAnsi="Times New Roman"/>
          <w:b/>
          <w:szCs w:val="24"/>
        </w:rPr>
      </w:pPr>
      <w:r w:rsidRPr="00804792">
        <w:rPr>
          <w:rFonts w:ascii="Times New Roman" w:hAnsi="Times New Roman"/>
          <w:b/>
          <w:szCs w:val="24"/>
        </w:rPr>
        <w:t>BACKGROUND</w:t>
      </w:r>
    </w:p>
    <w:p w:rsidR="006464B2" w:rsidRDefault="006464B2" w:rsidP="00B16CCB">
      <w:pPr>
        <w:autoSpaceDE w:val="0"/>
        <w:autoSpaceDN w:val="0"/>
        <w:adjustRightInd w:val="0"/>
        <w:rPr>
          <w:rFonts w:ascii="Times New Roman" w:hAnsi="Times New Roman"/>
          <w:szCs w:val="24"/>
        </w:rPr>
      </w:pPr>
    </w:p>
    <w:p w:rsidR="00EC4DB7" w:rsidRDefault="00EC4DB7" w:rsidP="00EC4DB7">
      <w:pPr>
        <w:autoSpaceDE w:val="0"/>
        <w:autoSpaceDN w:val="0"/>
        <w:adjustRightInd w:val="0"/>
        <w:rPr>
          <w:rFonts w:ascii="Times New Roman" w:hAnsi="Times New Roman"/>
          <w:szCs w:val="24"/>
        </w:rPr>
      </w:pPr>
      <w:r>
        <w:rPr>
          <w:rFonts w:ascii="Times New Roman" w:hAnsi="Times New Roman"/>
          <w:szCs w:val="24"/>
        </w:rPr>
        <w:t xml:space="preserve">In June 2011 the </w:t>
      </w:r>
      <w:r>
        <w:t>Australian and New Zealand Governments agreed to proceed with a joint scheme for the regulation of therapeutic products.</w:t>
      </w:r>
      <w:r w:rsidRPr="00D24DDA">
        <w:t xml:space="preserve"> </w:t>
      </w:r>
      <w:r>
        <w:t xml:space="preserve"> The creation of a joint regulatory scheme applying in both countries will safeguard public health and safety, while encouraging economic integration and benefitting industry in both countries.  The scheme will be administered by a single regulatory agency, the Australia New Zealand Therapeutic Products Agency (ANZTPA).</w:t>
      </w:r>
    </w:p>
    <w:p w:rsidR="00EC4DB7" w:rsidRDefault="00EC4DB7" w:rsidP="00EC4DB7">
      <w:pPr>
        <w:autoSpaceDE w:val="0"/>
        <w:autoSpaceDN w:val="0"/>
        <w:adjustRightInd w:val="0"/>
      </w:pPr>
    </w:p>
    <w:p w:rsidR="00266A9F" w:rsidRDefault="00EC4DB7" w:rsidP="005F3F50">
      <w:pPr>
        <w:autoSpaceDE w:val="0"/>
        <w:autoSpaceDN w:val="0"/>
        <w:adjustRightInd w:val="0"/>
        <w:rPr>
          <w:rFonts w:ascii="Times New Roman" w:hAnsi="Times New Roman"/>
          <w:szCs w:val="24"/>
        </w:rPr>
      </w:pPr>
      <w:r>
        <w:t>To that end</w:t>
      </w:r>
      <w:r w:rsidRPr="00A05133">
        <w:t xml:space="preserve">, </w:t>
      </w:r>
      <w:r>
        <w:t xml:space="preserve">the Australian and New Zealand Governments </w:t>
      </w:r>
      <w:r w:rsidRPr="00A05133">
        <w:t xml:space="preserve">agreed that the TGA and </w:t>
      </w:r>
      <w:r>
        <w:t>the New Zealand Medicines and Medical Devices Safety Authority (</w:t>
      </w:r>
      <w:proofErr w:type="spellStart"/>
      <w:r w:rsidRPr="00A05133">
        <w:t>Medsafe</w:t>
      </w:r>
      <w:proofErr w:type="spellEnd"/>
      <w:r>
        <w:t>)</w:t>
      </w:r>
      <w:r w:rsidRPr="00A05133">
        <w:t xml:space="preserve"> would </w:t>
      </w:r>
      <w:r>
        <w:lastRenderedPageBreak/>
        <w:t xml:space="preserve">undertake </w:t>
      </w:r>
      <w:r w:rsidRPr="00A05133">
        <w:t>a program of joint projects</w:t>
      </w:r>
      <w:r>
        <w:t xml:space="preserve">.  </w:t>
      </w:r>
      <w:r w:rsidR="005B168D">
        <w:rPr>
          <w:rFonts w:ascii="Times New Roman" w:hAnsi="Times New Roman"/>
          <w:szCs w:val="24"/>
        </w:rPr>
        <w:t>One of the</w:t>
      </w:r>
      <w:r w:rsidR="00EE11E1">
        <w:rPr>
          <w:rFonts w:ascii="Times New Roman" w:hAnsi="Times New Roman"/>
          <w:szCs w:val="24"/>
        </w:rPr>
        <w:t>se</w:t>
      </w:r>
      <w:r w:rsidR="005B168D">
        <w:rPr>
          <w:rFonts w:ascii="Times New Roman" w:hAnsi="Times New Roman"/>
          <w:szCs w:val="24"/>
        </w:rPr>
        <w:t xml:space="preserve"> </w:t>
      </w:r>
      <w:r w:rsidR="004C11C2">
        <w:rPr>
          <w:rFonts w:ascii="Times New Roman" w:hAnsi="Times New Roman"/>
          <w:szCs w:val="24"/>
        </w:rPr>
        <w:t xml:space="preserve">projects </w:t>
      </w:r>
      <w:r w:rsidR="00EE11E1">
        <w:rPr>
          <w:rFonts w:ascii="Times New Roman" w:hAnsi="Times New Roman"/>
          <w:szCs w:val="24"/>
        </w:rPr>
        <w:t>wa</w:t>
      </w:r>
      <w:r w:rsidR="005B168D">
        <w:rPr>
          <w:rFonts w:ascii="Times New Roman" w:hAnsi="Times New Roman"/>
          <w:szCs w:val="24"/>
        </w:rPr>
        <w:t xml:space="preserve">s the establishment of a single, publicly accessible database of adverse event notifications relating to medicines </w:t>
      </w:r>
      <w:r w:rsidR="00CD6F03">
        <w:rPr>
          <w:rFonts w:ascii="Times New Roman" w:hAnsi="Times New Roman"/>
          <w:szCs w:val="24"/>
        </w:rPr>
        <w:t xml:space="preserve">and medical devices </w:t>
      </w:r>
      <w:r w:rsidR="005B168D">
        <w:rPr>
          <w:rFonts w:ascii="Times New Roman" w:hAnsi="Times New Roman"/>
          <w:szCs w:val="24"/>
        </w:rPr>
        <w:t>in Australia and New Zealand.</w:t>
      </w:r>
      <w:r>
        <w:rPr>
          <w:rFonts w:ascii="Times New Roman" w:hAnsi="Times New Roman"/>
          <w:szCs w:val="24"/>
        </w:rPr>
        <w:t xml:space="preserve">  The </w:t>
      </w:r>
      <w:r w:rsidR="00EE11E1">
        <w:rPr>
          <w:rFonts w:ascii="Times New Roman" w:hAnsi="Times New Roman"/>
          <w:szCs w:val="24"/>
        </w:rPr>
        <w:t xml:space="preserve">TGA launched its </w:t>
      </w:r>
      <w:r w:rsidR="00536845">
        <w:rPr>
          <w:rFonts w:ascii="Times New Roman" w:hAnsi="Times New Roman"/>
          <w:szCs w:val="24"/>
        </w:rPr>
        <w:t xml:space="preserve">publicly available </w:t>
      </w:r>
      <w:r w:rsidR="00EE11E1">
        <w:rPr>
          <w:rFonts w:ascii="Times New Roman" w:hAnsi="Times New Roman"/>
          <w:szCs w:val="24"/>
        </w:rPr>
        <w:t xml:space="preserve">database of adverse event information </w:t>
      </w:r>
      <w:r w:rsidR="00536845">
        <w:rPr>
          <w:rFonts w:ascii="Times New Roman" w:hAnsi="Times New Roman"/>
          <w:szCs w:val="24"/>
        </w:rPr>
        <w:t>relating to adverse events involving</w:t>
      </w:r>
      <w:r w:rsidR="00EE11E1">
        <w:rPr>
          <w:rFonts w:ascii="Times New Roman" w:hAnsi="Times New Roman"/>
          <w:szCs w:val="24"/>
        </w:rPr>
        <w:t xml:space="preserve"> medicines reported in Australia, known as the Database of Adverse Event Notifications (</w:t>
      </w:r>
      <w:r w:rsidR="00536845">
        <w:rPr>
          <w:rFonts w:ascii="Times New Roman" w:hAnsi="Times New Roman"/>
          <w:szCs w:val="24"/>
        </w:rPr>
        <w:t xml:space="preserve">the </w:t>
      </w:r>
      <w:r w:rsidR="00EE11E1">
        <w:rPr>
          <w:rFonts w:ascii="Times New Roman" w:hAnsi="Times New Roman"/>
          <w:szCs w:val="24"/>
        </w:rPr>
        <w:t>DAEN)</w:t>
      </w:r>
      <w:r w:rsidR="00536845">
        <w:rPr>
          <w:rFonts w:ascii="Times New Roman" w:hAnsi="Times New Roman"/>
          <w:szCs w:val="24"/>
        </w:rPr>
        <w:t xml:space="preserve">, </w:t>
      </w:r>
      <w:r w:rsidR="00EE11E1">
        <w:rPr>
          <w:rFonts w:ascii="Times New Roman" w:hAnsi="Times New Roman"/>
          <w:szCs w:val="24"/>
        </w:rPr>
        <w:t>on 1 August 20</w:t>
      </w:r>
      <w:r w:rsidR="00536845">
        <w:rPr>
          <w:rFonts w:ascii="Times New Roman" w:hAnsi="Times New Roman"/>
          <w:szCs w:val="24"/>
        </w:rPr>
        <w:t>12.</w:t>
      </w:r>
    </w:p>
    <w:p w:rsidR="00536845" w:rsidRDefault="00536845" w:rsidP="005F3F50">
      <w:pPr>
        <w:autoSpaceDE w:val="0"/>
        <w:autoSpaceDN w:val="0"/>
        <w:adjustRightInd w:val="0"/>
        <w:rPr>
          <w:rFonts w:ascii="Times New Roman" w:hAnsi="Times New Roman"/>
          <w:szCs w:val="24"/>
        </w:rPr>
      </w:pPr>
    </w:p>
    <w:p w:rsidR="00536845" w:rsidRDefault="00536845" w:rsidP="005F3F50">
      <w:pPr>
        <w:autoSpaceDE w:val="0"/>
        <w:autoSpaceDN w:val="0"/>
        <w:adjustRightInd w:val="0"/>
        <w:rPr>
          <w:rFonts w:ascii="Times New Roman" w:hAnsi="Times New Roman"/>
          <w:szCs w:val="24"/>
        </w:rPr>
      </w:pPr>
      <w:r>
        <w:rPr>
          <w:rFonts w:ascii="Times New Roman" w:hAnsi="Times New Roman"/>
          <w:szCs w:val="24"/>
        </w:rPr>
        <w:t>This lau</w:t>
      </w:r>
      <w:r w:rsidR="00783534">
        <w:rPr>
          <w:rFonts w:ascii="Times New Roman" w:hAnsi="Times New Roman"/>
          <w:szCs w:val="24"/>
        </w:rPr>
        <w:t>nch was followed,</w:t>
      </w:r>
      <w:r w:rsidR="00BA287C">
        <w:rPr>
          <w:rFonts w:ascii="Times New Roman" w:hAnsi="Times New Roman"/>
          <w:szCs w:val="24"/>
        </w:rPr>
        <w:t xml:space="preserve"> </w:t>
      </w:r>
      <w:r w:rsidR="00783534">
        <w:rPr>
          <w:rFonts w:ascii="Times New Roman" w:hAnsi="Times New Roman"/>
          <w:szCs w:val="24"/>
        </w:rPr>
        <w:t>on 1 November 2012</w:t>
      </w:r>
      <w:r>
        <w:rPr>
          <w:rFonts w:ascii="Times New Roman" w:hAnsi="Times New Roman"/>
          <w:szCs w:val="24"/>
        </w:rPr>
        <w:t xml:space="preserve">, by the launch of the publicly available database the </w:t>
      </w:r>
      <w:r>
        <w:t xml:space="preserve">Joint Adverse Event Notifications System (the JAENS), which </w:t>
      </w:r>
      <w:r w:rsidR="00EC4DB7">
        <w:t xml:space="preserve">contained </w:t>
      </w:r>
      <w:r>
        <w:t xml:space="preserve">information </w:t>
      </w:r>
      <w:r w:rsidR="00EC4DB7">
        <w:t>about adverse eve</w:t>
      </w:r>
      <w:r w:rsidR="006B6952">
        <w:t>nts in relation to medicines in</w:t>
      </w:r>
      <w:r w:rsidR="006D651C">
        <w:t xml:space="preserve"> </w:t>
      </w:r>
      <w:r>
        <w:t>Australia and New Zealand.</w:t>
      </w:r>
    </w:p>
    <w:p w:rsidR="00EE11E1" w:rsidRDefault="00EE11E1" w:rsidP="005F3F50">
      <w:pPr>
        <w:autoSpaceDE w:val="0"/>
        <w:autoSpaceDN w:val="0"/>
        <w:adjustRightInd w:val="0"/>
        <w:rPr>
          <w:rFonts w:ascii="Times New Roman" w:hAnsi="Times New Roman"/>
          <w:szCs w:val="24"/>
        </w:rPr>
      </w:pPr>
    </w:p>
    <w:p w:rsidR="00E10B21" w:rsidRDefault="00916A81" w:rsidP="005F3F50">
      <w:pPr>
        <w:autoSpaceDE w:val="0"/>
        <w:autoSpaceDN w:val="0"/>
        <w:adjustRightInd w:val="0"/>
        <w:rPr>
          <w:rFonts w:ascii="Times New Roman" w:hAnsi="Times New Roman"/>
          <w:szCs w:val="24"/>
        </w:rPr>
      </w:pPr>
      <w:r>
        <w:rPr>
          <w:rFonts w:ascii="Times New Roman" w:hAnsi="Times New Roman"/>
          <w:szCs w:val="24"/>
        </w:rPr>
        <w:t>T</w:t>
      </w:r>
      <w:r w:rsidR="00266A9F">
        <w:rPr>
          <w:rFonts w:ascii="Times New Roman" w:hAnsi="Times New Roman"/>
          <w:szCs w:val="24"/>
        </w:rPr>
        <w:t>he establishmen</w:t>
      </w:r>
      <w:r w:rsidR="00536845">
        <w:rPr>
          <w:rFonts w:ascii="Times New Roman" w:hAnsi="Times New Roman"/>
          <w:szCs w:val="24"/>
        </w:rPr>
        <w:t>t of these</w:t>
      </w:r>
      <w:r w:rsidR="00EE11E1">
        <w:rPr>
          <w:rFonts w:ascii="Times New Roman" w:hAnsi="Times New Roman"/>
          <w:szCs w:val="24"/>
        </w:rPr>
        <w:t xml:space="preserve"> database</w:t>
      </w:r>
      <w:r w:rsidR="00536845">
        <w:rPr>
          <w:rFonts w:ascii="Times New Roman" w:hAnsi="Times New Roman"/>
          <w:szCs w:val="24"/>
        </w:rPr>
        <w:t>s</w:t>
      </w:r>
      <w:r w:rsidR="00EE11E1">
        <w:rPr>
          <w:rFonts w:ascii="Times New Roman" w:hAnsi="Times New Roman"/>
          <w:szCs w:val="24"/>
        </w:rPr>
        <w:t xml:space="preserve"> is considered</w:t>
      </w:r>
      <w:r w:rsidR="00266A9F">
        <w:rPr>
          <w:rFonts w:ascii="Times New Roman" w:hAnsi="Times New Roman"/>
          <w:szCs w:val="24"/>
        </w:rPr>
        <w:t xml:space="preserve"> to </w:t>
      </w:r>
      <w:r w:rsidR="00406563">
        <w:rPr>
          <w:rFonts w:ascii="Times New Roman" w:hAnsi="Times New Roman"/>
          <w:szCs w:val="24"/>
        </w:rPr>
        <w:t xml:space="preserve">have </w:t>
      </w:r>
      <w:r w:rsidR="00266A9F">
        <w:rPr>
          <w:rFonts w:ascii="Times New Roman" w:hAnsi="Times New Roman"/>
          <w:szCs w:val="24"/>
        </w:rPr>
        <w:t>provide</w:t>
      </w:r>
      <w:r w:rsidR="00406563">
        <w:rPr>
          <w:rFonts w:ascii="Times New Roman" w:hAnsi="Times New Roman"/>
          <w:szCs w:val="24"/>
        </w:rPr>
        <w:t>d</w:t>
      </w:r>
      <w:r w:rsidR="00266A9F">
        <w:rPr>
          <w:rFonts w:ascii="Times New Roman" w:hAnsi="Times New Roman"/>
          <w:szCs w:val="24"/>
        </w:rPr>
        <w:t xml:space="preserve"> a number of benefits to both th</w:t>
      </w:r>
      <w:r w:rsidR="00C9655F">
        <w:rPr>
          <w:rFonts w:ascii="Times New Roman" w:hAnsi="Times New Roman"/>
          <w:szCs w:val="24"/>
        </w:rPr>
        <w:t xml:space="preserve">e TGA and </w:t>
      </w:r>
      <w:proofErr w:type="spellStart"/>
      <w:r w:rsidR="00C9655F">
        <w:rPr>
          <w:rFonts w:ascii="Times New Roman" w:hAnsi="Times New Roman"/>
          <w:szCs w:val="24"/>
        </w:rPr>
        <w:t>Medsafe</w:t>
      </w:r>
      <w:proofErr w:type="spellEnd"/>
      <w:r w:rsidR="00C9655F">
        <w:rPr>
          <w:rFonts w:ascii="Times New Roman" w:hAnsi="Times New Roman"/>
          <w:szCs w:val="24"/>
        </w:rPr>
        <w:t xml:space="preserve"> as well as to</w:t>
      </w:r>
      <w:r w:rsidR="00266A9F">
        <w:rPr>
          <w:rFonts w:ascii="Times New Roman" w:hAnsi="Times New Roman"/>
          <w:szCs w:val="24"/>
        </w:rPr>
        <w:t xml:space="preserve"> health-related industries and consumers</w:t>
      </w:r>
      <w:r>
        <w:rPr>
          <w:rFonts w:ascii="Times New Roman" w:hAnsi="Times New Roman"/>
          <w:szCs w:val="24"/>
        </w:rPr>
        <w:t>, including permitting consumers to trace the number of events</w:t>
      </w:r>
      <w:r w:rsidR="00A1797C">
        <w:rPr>
          <w:rFonts w:ascii="Times New Roman" w:hAnsi="Times New Roman"/>
          <w:szCs w:val="24"/>
        </w:rPr>
        <w:t xml:space="preserve"> reported relating to particular</w:t>
      </w:r>
      <w:r>
        <w:rPr>
          <w:rFonts w:ascii="Times New Roman" w:hAnsi="Times New Roman"/>
          <w:szCs w:val="24"/>
        </w:rPr>
        <w:t xml:space="preserve"> </w:t>
      </w:r>
      <w:r w:rsidR="00526D02">
        <w:rPr>
          <w:rFonts w:ascii="Times New Roman" w:hAnsi="Times New Roman"/>
          <w:szCs w:val="24"/>
        </w:rPr>
        <w:t xml:space="preserve">medicines </w:t>
      </w:r>
      <w:r w:rsidR="00406563">
        <w:rPr>
          <w:rFonts w:ascii="Times New Roman" w:hAnsi="Times New Roman"/>
          <w:szCs w:val="24"/>
        </w:rPr>
        <w:t xml:space="preserve">and - in relation to the JAENS - </w:t>
      </w:r>
      <w:r w:rsidR="00E10B21">
        <w:t xml:space="preserve">providing consumers with more information about the number and types of adverse events reported in </w:t>
      </w:r>
      <w:r w:rsidR="00EC4DB7">
        <w:t xml:space="preserve">each country </w:t>
      </w:r>
      <w:r w:rsidR="00E10B21">
        <w:t>re</w:t>
      </w:r>
      <w:r w:rsidR="00406563">
        <w:t>lating to particular medicines.</w:t>
      </w:r>
      <w:r w:rsidR="00EC4DB7">
        <w:t xml:space="preserve">  </w:t>
      </w:r>
      <w:r w:rsidR="00406563">
        <w:t>Wider benefits also include assisting</w:t>
      </w:r>
      <w:r w:rsidR="00E10B21">
        <w:t xml:space="preserve"> consumers to be bet</w:t>
      </w:r>
      <w:r w:rsidR="00406563">
        <w:t>ter informed about the safety of medicines, and support</w:t>
      </w:r>
      <w:r w:rsidR="006D651C">
        <w:t>ing</w:t>
      </w:r>
      <w:r w:rsidR="00E10B21">
        <w:t xml:space="preserve"> therapeutic research and analysis relating to the incidence of adverse events</w:t>
      </w:r>
      <w:r w:rsidR="00406563">
        <w:t>.</w:t>
      </w:r>
    </w:p>
    <w:p w:rsidR="00E10B21" w:rsidRDefault="00E10B21" w:rsidP="005F3F50">
      <w:pPr>
        <w:autoSpaceDE w:val="0"/>
        <w:autoSpaceDN w:val="0"/>
        <w:adjustRightInd w:val="0"/>
        <w:rPr>
          <w:rFonts w:ascii="Times New Roman" w:hAnsi="Times New Roman"/>
          <w:szCs w:val="24"/>
        </w:rPr>
      </w:pPr>
    </w:p>
    <w:p w:rsidR="00E10B21" w:rsidRDefault="00406563" w:rsidP="005F3F50">
      <w:pPr>
        <w:autoSpaceDE w:val="0"/>
        <w:autoSpaceDN w:val="0"/>
        <w:adjustRightInd w:val="0"/>
        <w:rPr>
          <w:rFonts w:ascii="Times New Roman" w:hAnsi="Times New Roman"/>
          <w:szCs w:val="24"/>
        </w:rPr>
      </w:pPr>
      <w:r>
        <w:rPr>
          <w:rFonts w:ascii="Times New Roman" w:hAnsi="Times New Roman"/>
          <w:szCs w:val="24"/>
        </w:rPr>
        <w:t xml:space="preserve">It is now proposed to </w:t>
      </w:r>
      <w:r w:rsidR="00340B68">
        <w:rPr>
          <w:rFonts w:ascii="Times New Roman" w:hAnsi="Times New Roman"/>
          <w:szCs w:val="24"/>
        </w:rPr>
        <w:t>make public information relating</w:t>
      </w:r>
      <w:r w:rsidR="00F16D9D">
        <w:rPr>
          <w:rFonts w:ascii="Times New Roman" w:hAnsi="Times New Roman"/>
          <w:szCs w:val="24"/>
        </w:rPr>
        <w:t xml:space="preserve"> </w:t>
      </w:r>
      <w:r w:rsidR="006D651C">
        <w:rPr>
          <w:rFonts w:ascii="Times New Roman" w:hAnsi="Times New Roman"/>
          <w:szCs w:val="24"/>
        </w:rPr>
        <w:t xml:space="preserve">to </w:t>
      </w:r>
      <w:r>
        <w:rPr>
          <w:rFonts w:ascii="Times New Roman" w:hAnsi="Times New Roman"/>
          <w:szCs w:val="24"/>
        </w:rPr>
        <w:t xml:space="preserve">adverse events </w:t>
      </w:r>
      <w:r w:rsidR="00F16D9D">
        <w:rPr>
          <w:rFonts w:ascii="Times New Roman" w:hAnsi="Times New Roman"/>
          <w:szCs w:val="24"/>
        </w:rPr>
        <w:t>involving</w:t>
      </w:r>
      <w:r>
        <w:rPr>
          <w:rFonts w:ascii="Times New Roman" w:hAnsi="Times New Roman"/>
          <w:szCs w:val="24"/>
        </w:rPr>
        <w:t xml:space="preserve"> medical devices</w:t>
      </w:r>
      <w:r w:rsidR="00F16D9D">
        <w:rPr>
          <w:rFonts w:ascii="Times New Roman" w:hAnsi="Times New Roman"/>
          <w:szCs w:val="24"/>
        </w:rPr>
        <w:t xml:space="preserve"> </w:t>
      </w:r>
      <w:r w:rsidR="00340B68">
        <w:rPr>
          <w:rFonts w:ascii="Times New Roman" w:hAnsi="Times New Roman"/>
          <w:szCs w:val="24"/>
        </w:rPr>
        <w:t>in a similar</w:t>
      </w:r>
      <w:r w:rsidR="00894E94">
        <w:rPr>
          <w:rFonts w:ascii="Times New Roman" w:hAnsi="Times New Roman"/>
          <w:szCs w:val="24"/>
        </w:rPr>
        <w:t xml:space="preserve"> database </w:t>
      </w:r>
      <w:r w:rsidR="00F16D9D">
        <w:rPr>
          <w:rFonts w:ascii="Times New Roman" w:hAnsi="Times New Roman"/>
          <w:szCs w:val="24"/>
        </w:rPr>
        <w:t>to the DAEN</w:t>
      </w:r>
      <w:r w:rsidR="00894E94">
        <w:rPr>
          <w:rFonts w:ascii="Times New Roman" w:hAnsi="Times New Roman"/>
          <w:szCs w:val="24"/>
        </w:rPr>
        <w:t>, to be known as the Database of Adverse Event Notification</w:t>
      </w:r>
      <w:r w:rsidR="00977CE3">
        <w:rPr>
          <w:rFonts w:ascii="Times New Roman" w:hAnsi="Times New Roman"/>
          <w:szCs w:val="24"/>
        </w:rPr>
        <w:t>s – Medical Devices (the DAEN-</w:t>
      </w:r>
      <w:r w:rsidR="00894E94">
        <w:rPr>
          <w:rFonts w:ascii="Times New Roman" w:hAnsi="Times New Roman"/>
          <w:szCs w:val="24"/>
        </w:rPr>
        <w:t>MD).</w:t>
      </w:r>
    </w:p>
    <w:p w:rsidR="00F16D9D" w:rsidRDefault="00F16D9D" w:rsidP="005F3F50">
      <w:pPr>
        <w:autoSpaceDE w:val="0"/>
        <w:autoSpaceDN w:val="0"/>
        <w:adjustRightInd w:val="0"/>
        <w:rPr>
          <w:rFonts w:ascii="Times New Roman" w:hAnsi="Times New Roman"/>
          <w:szCs w:val="24"/>
        </w:rPr>
      </w:pPr>
    </w:p>
    <w:p w:rsidR="00F16D9D" w:rsidRDefault="00340B68" w:rsidP="005F3F50">
      <w:pPr>
        <w:autoSpaceDE w:val="0"/>
        <w:autoSpaceDN w:val="0"/>
        <w:adjustRightInd w:val="0"/>
        <w:rPr>
          <w:rFonts w:ascii="Times New Roman" w:hAnsi="Times New Roman"/>
          <w:szCs w:val="24"/>
        </w:rPr>
      </w:pPr>
      <w:r>
        <w:rPr>
          <w:rFonts w:ascii="Times New Roman" w:hAnsi="Times New Roman"/>
          <w:szCs w:val="24"/>
        </w:rPr>
        <w:t>The DAEN-MD will contain information about adverse event reports</w:t>
      </w:r>
      <w:r w:rsidR="00994A4A">
        <w:rPr>
          <w:rFonts w:ascii="Times New Roman" w:hAnsi="Times New Roman"/>
          <w:szCs w:val="24"/>
        </w:rPr>
        <w:t xml:space="preserve">, </w:t>
      </w:r>
      <w:r w:rsidR="00025E28">
        <w:rPr>
          <w:rFonts w:ascii="Times New Roman" w:hAnsi="Times New Roman"/>
          <w:szCs w:val="24"/>
        </w:rPr>
        <w:t>and</w:t>
      </w:r>
      <w:r w:rsidR="00994A4A">
        <w:rPr>
          <w:rFonts w:ascii="Times New Roman" w:hAnsi="Times New Roman"/>
          <w:szCs w:val="24"/>
        </w:rPr>
        <w:t xml:space="preserve"> near adverse event reports,</w:t>
      </w:r>
      <w:r>
        <w:rPr>
          <w:rFonts w:ascii="Times New Roman" w:hAnsi="Times New Roman"/>
          <w:szCs w:val="24"/>
        </w:rPr>
        <w:t xml:space="preserve"> relating to medical devices </w:t>
      </w:r>
      <w:r w:rsidR="00526D02">
        <w:rPr>
          <w:rFonts w:ascii="Times New Roman" w:hAnsi="Times New Roman"/>
          <w:szCs w:val="24"/>
        </w:rPr>
        <w:t>that is held by the TGA</w:t>
      </w:r>
      <w:r>
        <w:rPr>
          <w:rFonts w:ascii="Times New Roman" w:hAnsi="Times New Roman"/>
          <w:szCs w:val="24"/>
        </w:rPr>
        <w:t>.  This will be</w:t>
      </w:r>
      <w:r w:rsidR="00894E94">
        <w:rPr>
          <w:rFonts w:ascii="Times New Roman" w:hAnsi="Times New Roman"/>
          <w:szCs w:val="24"/>
        </w:rPr>
        <w:t xml:space="preserve"> an initial step to</w:t>
      </w:r>
      <w:r>
        <w:rPr>
          <w:rFonts w:ascii="Times New Roman" w:hAnsi="Times New Roman"/>
          <w:szCs w:val="24"/>
        </w:rPr>
        <w:t>wards the subsequent establishment</w:t>
      </w:r>
      <w:r w:rsidR="00894E94">
        <w:rPr>
          <w:rFonts w:ascii="Times New Roman" w:hAnsi="Times New Roman"/>
          <w:szCs w:val="24"/>
        </w:rPr>
        <w:t xml:space="preserve"> </w:t>
      </w:r>
      <w:r>
        <w:rPr>
          <w:rFonts w:ascii="Times New Roman" w:hAnsi="Times New Roman"/>
          <w:szCs w:val="24"/>
        </w:rPr>
        <w:t xml:space="preserve">of </w:t>
      </w:r>
      <w:r w:rsidR="00894E94">
        <w:rPr>
          <w:rFonts w:ascii="Times New Roman" w:hAnsi="Times New Roman"/>
          <w:szCs w:val="24"/>
        </w:rPr>
        <w:t xml:space="preserve">a publicly available database </w:t>
      </w:r>
      <w:r w:rsidR="00D432C0">
        <w:rPr>
          <w:rFonts w:ascii="Times New Roman" w:hAnsi="Times New Roman"/>
          <w:szCs w:val="24"/>
        </w:rPr>
        <w:t>that contains</w:t>
      </w:r>
      <w:r w:rsidR="00526D02">
        <w:rPr>
          <w:rFonts w:ascii="Times New Roman" w:hAnsi="Times New Roman"/>
          <w:szCs w:val="24"/>
        </w:rPr>
        <w:t xml:space="preserve"> </w:t>
      </w:r>
      <w:r w:rsidR="00D432C0">
        <w:rPr>
          <w:rFonts w:ascii="Times New Roman" w:hAnsi="Times New Roman"/>
          <w:szCs w:val="24"/>
        </w:rPr>
        <w:t>information about adverse events in</w:t>
      </w:r>
      <w:r w:rsidR="006B6952">
        <w:rPr>
          <w:rFonts w:ascii="Times New Roman" w:hAnsi="Times New Roman"/>
          <w:szCs w:val="24"/>
        </w:rPr>
        <w:t xml:space="preserve"> relation to medical devices in</w:t>
      </w:r>
      <w:r w:rsidR="006D651C">
        <w:rPr>
          <w:rFonts w:ascii="Times New Roman" w:hAnsi="Times New Roman"/>
          <w:szCs w:val="24"/>
        </w:rPr>
        <w:t xml:space="preserve"> </w:t>
      </w:r>
      <w:r w:rsidR="00F16D9D">
        <w:rPr>
          <w:rFonts w:ascii="Times New Roman" w:hAnsi="Times New Roman"/>
          <w:szCs w:val="24"/>
        </w:rPr>
        <w:t>Australia and New Zealand</w:t>
      </w:r>
      <w:r w:rsidR="00141FAD">
        <w:rPr>
          <w:rFonts w:ascii="Times New Roman" w:hAnsi="Times New Roman"/>
          <w:szCs w:val="24"/>
        </w:rPr>
        <w:t>.</w:t>
      </w:r>
    </w:p>
    <w:p w:rsidR="00E10B21" w:rsidRDefault="00E10B21" w:rsidP="005F3F50">
      <w:pPr>
        <w:autoSpaceDE w:val="0"/>
        <w:autoSpaceDN w:val="0"/>
        <w:adjustRightInd w:val="0"/>
        <w:rPr>
          <w:rFonts w:ascii="Times New Roman" w:hAnsi="Times New Roman"/>
          <w:szCs w:val="24"/>
        </w:rPr>
      </w:pPr>
    </w:p>
    <w:p w:rsidR="00E10B21" w:rsidRDefault="00F16D9D" w:rsidP="005F3F50">
      <w:pPr>
        <w:autoSpaceDE w:val="0"/>
        <w:autoSpaceDN w:val="0"/>
        <w:adjustRightInd w:val="0"/>
        <w:rPr>
          <w:rFonts w:ascii="Times New Roman" w:hAnsi="Times New Roman"/>
          <w:szCs w:val="24"/>
        </w:rPr>
      </w:pPr>
      <w:r>
        <w:rPr>
          <w:rFonts w:ascii="Times New Roman" w:hAnsi="Times New Roman"/>
          <w:szCs w:val="24"/>
        </w:rPr>
        <w:t>I</w:t>
      </w:r>
      <w:r w:rsidR="00141FAD">
        <w:rPr>
          <w:rFonts w:ascii="Times New Roman" w:hAnsi="Times New Roman"/>
          <w:szCs w:val="24"/>
        </w:rPr>
        <w:t xml:space="preserve">t is expected that the establishment of the DAEN-MD (and, later, a combined Australia- New Zealand database of medical devices adverse event information) will </w:t>
      </w:r>
      <w:r w:rsidR="00526D02">
        <w:rPr>
          <w:rFonts w:ascii="Times New Roman" w:hAnsi="Times New Roman"/>
          <w:szCs w:val="24"/>
        </w:rPr>
        <w:t xml:space="preserve">extend to medical devices </w:t>
      </w:r>
      <w:r w:rsidR="00141FAD">
        <w:rPr>
          <w:rFonts w:ascii="Times New Roman" w:hAnsi="Times New Roman"/>
          <w:szCs w:val="24"/>
        </w:rPr>
        <w:t>the benefits described above</w:t>
      </w:r>
      <w:r w:rsidR="00526D02">
        <w:rPr>
          <w:rFonts w:ascii="Times New Roman" w:hAnsi="Times New Roman"/>
          <w:szCs w:val="24"/>
        </w:rPr>
        <w:t xml:space="preserve"> in relation to </w:t>
      </w:r>
      <w:r w:rsidR="00D17468">
        <w:rPr>
          <w:rFonts w:ascii="Times New Roman" w:hAnsi="Times New Roman"/>
          <w:szCs w:val="24"/>
        </w:rPr>
        <w:t>medicines,</w:t>
      </w:r>
      <w:r w:rsidR="00141FAD">
        <w:rPr>
          <w:rFonts w:ascii="Times New Roman" w:hAnsi="Times New Roman"/>
          <w:szCs w:val="24"/>
        </w:rPr>
        <w:t xml:space="preserve"> and in so doing </w:t>
      </w:r>
      <w:r w:rsidR="006D651C">
        <w:rPr>
          <w:rFonts w:ascii="Times New Roman" w:hAnsi="Times New Roman"/>
          <w:szCs w:val="24"/>
        </w:rPr>
        <w:t xml:space="preserve">will </w:t>
      </w:r>
      <w:r w:rsidR="00141FAD">
        <w:rPr>
          <w:rFonts w:ascii="Times New Roman" w:hAnsi="Times New Roman"/>
          <w:szCs w:val="24"/>
        </w:rPr>
        <w:t>provide a broader picture of the incidence and nature of adverse events</w:t>
      </w:r>
      <w:r w:rsidR="00994A4A">
        <w:rPr>
          <w:rFonts w:ascii="Times New Roman" w:hAnsi="Times New Roman"/>
          <w:szCs w:val="24"/>
        </w:rPr>
        <w:t xml:space="preserve">, </w:t>
      </w:r>
      <w:r w:rsidR="0046156B">
        <w:rPr>
          <w:rFonts w:ascii="Times New Roman" w:hAnsi="Times New Roman"/>
          <w:szCs w:val="24"/>
        </w:rPr>
        <w:t>and</w:t>
      </w:r>
      <w:r w:rsidR="00994A4A">
        <w:rPr>
          <w:rFonts w:ascii="Times New Roman" w:hAnsi="Times New Roman"/>
          <w:szCs w:val="24"/>
        </w:rPr>
        <w:t xml:space="preserve"> near adverse events in the case of medical devices,</w:t>
      </w:r>
      <w:r w:rsidR="00141FAD">
        <w:rPr>
          <w:rFonts w:ascii="Times New Roman" w:hAnsi="Times New Roman"/>
          <w:szCs w:val="24"/>
        </w:rPr>
        <w:t xml:space="preserve"> </w:t>
      </w:r>
      <w:r w:rsidR="00340B68">
        <w:rPr>
          <w:rFonts w:ascii="Times New Roman" w:hAnsi="Times New Roman"/>
          <w:szCs w:val="24"/>
        </w:rPr>
        <w:t xml:space="preserve">relating to therapeutic goods </w:t>
      </w:r>
      <w:r w:rsidR="00141FAD">
        <w:rPr>
          <w:rFonts w:ascii="Times New Roman" w:hAnsi="Times New Roman"/>
          <w:szCs w:val="24"/>
        </w:rPr>
        <w:t>in Australia (and, later, in New Zealand).</w:t>
      </w:r>
    </w:p>
    <w:p w:rsidR="00916A81" w:rsidRDefault="00916A81" w:rsidP="005F3F50">
      <w:pPr>
        <w:autoSpaceDE w:val="0"/>
        <w:autoSpaceDN w:val="0"/>
        <w:adjustRightInd w:val="0"/>
        <w:rPr>
          <w:rFonts w:ascii="Times New Roman" w:hAnsi="Times New Roman"/>
          <w:szCs w:val="24"/>
        </w:rPr>
      </w:pPr>
    </w:p>
    <w:p w:rsidR="00667436" w:rsidRPr="00093EC6" w:rsidRDefault="00667436" w:rsidP="005F3F50">
      <w:pPr>
        <w:autoSpaceDE w:val="0"/>
        <w:autoSpaceDN w:val="0"/>
        <w:adjustRightInd w:val="0"/>
        <w:rPr>
          <w:szCs w:val="24"/>
        </w:rPr>
      </w:pPr>
      <w:r w:rsidRPr="00093EC6">
        <w:rPr>
          <w:szCs w:val="24"/>
        </w:rPr>
        <w:t>Currently, the proposed DAEN-MD is not yet in its final form and there is a need for a prototype to be evaluated and tested by informed users in order to provide feedback to the TGA on the proposal to establish the DAEN-MD, and its functionality, suitability (for release to the public) and presentation.</w:t>
      </w:r>
    </w:p>
    <w:p w:rsidR="004675BA" w:rsidRPr="00093EC6" w:rsidRDefault="004675BA" w:rsidP="005F3F50">
      <w:pPr>
        <w:autoSpaceDE w:val="0"/>
        <w:autoSpaceDN w:val="0"/>
        <w:adjustRightInd w:val="0"/>
        <w:rPr>
          <w:szCs w:val="24"/>
        </w:rPr>
      </w:pPr>
    </w:p>
    <w:p w:rsidR="004675BA" w:rsidRPr="004675BA" w:rsidRDefault="004675BA" w:rsidP="005F3F50">
      <w:pPr>
        <w:autoSpaceDE w:val="0"/>
        <w:autoSpaceDN w:val="0"/>
        <w:adjustRightInd w:val="0"/>
        <w:rPr>
          <w:rFonts w:ascii="Times New Roman" w:hAnsi="Times New Roman"/>
          <w:szCs w:val="24"/>
        </w:rPr>
      </w:pPr>
      <w:r w:rsidRPr="00093EC6">
        <w:rPr>
          <w:szCs w:val="24"/>
        </w:rPr>
        <w:t>The TGA already collects from industry (sponsors and manufacturers of medical devices), healthcare professionals, patients and consumers information about adverse events involving medical devices</w:t>
      </w:r>
      <w:r w:rsidR="00794FCA" w:rsidRPr="00093EC6">
        <w:rPr>
          <w:szCs w:val="24"/>
        </w:rPr>
        <w:t xml:space="preserve"> as part of the TGA’s post market compliance and monitoring functions</w:t>
      </w:r>
      <w:r w:rsidRPr="00093EC6">
        <w:rPr>
          <w:szCs w:val="24"/>
        </w:rPr>
        <w:t>.  Sponsors of medical devices are obliged to report adverse events to the TGA and healthcare professionals and patients are encouraged to do so.  The TGA has on its website ‘incident report’ forms for this purpose.</w:t>
      </w:r>
      <w:r w:rsidRPr="004675BA">
        <w:rPr>
          <w:szCs w:val="24"/>
        </w:rPr>
        <w:t xml:space="preserve">      </w:t>
      </w:r>
    </w:p>
    <w:p w:rsidR="00A1797C" w:rsidRDefault="00A1797C" w:rsidP="005F3F50">
      <w:pPr>
        <w:autoSpaceDE w:val="0"/>
        <w:autoSpaceDN w:val="0"/>
        <w:adjustRightInd w:val="0"/>
        <w:rPr>
          <w:rFonts w:ascii="Times New Roman" w:hAnsi="Times New Roman"/>
          <w:szCs w:val="24"/>
        </w:rPr>
      </w:pPr>
    </w:p>
    <w:p w:rsidR="00A1797C" w:rsidRDefault="00A1797C" w:rsidP="005F3F50">
      <w:pPr>
        <w:autoSpaceDE w:val="0"/>
        <w:autoSpaceDN w:val="0"/>
        <w:adjustRightInd w:val="0"/>
        <w:rPr>
          <w:rFonts w:ascii="Times New Roman" w:hAnsi="Times New Roman"/>
          <w:szCs w:val="24"/>
        </w:rPr>
      </w:pPr>
      <w:r>
        <w:rPr>
          <w:rFonts w:ascii="Times New Roman" w:hAnsi="Times New Roman"/>
          <w:szCs w:val="24"/>
        </w:rPr>
        <w:t>It is therefore proposed that access to a prototype of the DAEN</w:t>
      </w:r>
      <w:r w:rsidR="00141FAD">
        <w:rPr>
          <w:rFonts w:ascii="Times New Roman" w:hAnsi="Times New Roman"/>
          <w:szCs w:val="24"/>
        </w:rPr>
        <w:t>-MD</w:t>
      </w:r>
      <w:r>
        <w:rPr>
          <w:rFonts w:ascii="Times New Roman" w:hAnsi="Times New Roman"/>
          <w:szCs w:val="24"/>
        </w:rPr>
        <w:t xml:space="preserve"> be given</w:t>
      </w:r>
      <w:r w:rsidR="00DA22AA">
        <w:rPr>
          <w:rFonts w:ascii="Times New Roman" w:hAnsi="Times New Roman"/>
          <w:szCs w:val="24"/>
        </w:rPr>
        <w:t xml:space="preserve"> for a short period</w:t>
      </w:r>
      <w:r>
        <w:rPr>
          <w:rFonts w:ascii="Times New Roman" w:hAnsi="Times New Roman"/>
          <w:szCs w:val="24"/>
        </w:rPr>
        <w:t xml:space="preserve"> to a number of bodies that represent specific industries </w:t>
      </w:r>
      <w:r w:rsidR="003469D8">
        <w:rPr>
          <w:rFonts w:ascii="Times New Roman" w:hAnsi="Times New Roman"/>
          <w:szCs w:val="24"/>
        </w:rPr>
        <w:t xml:space="preserve">relating to </w:t>
      </w:r>
      <w:r w:rsidR="00141FAD">
        <w:rPr>
          <w:rFonts w:ascii="Times New Roman" w:hAnsi="Times New Roman"/>
          <w:szCs w:val="24"/>
        </w:rPr>
        <w:t>medical devices</w:t>
      </w:r>
      <w:r w:rsidR="003469D8">
        <w:rPr>
          <w:rFonts w:ascii="Times New Roman" w:hAnsi="Times New Roman"/>
          <w:szCs w:val="24"/>
        </w:rPr>
        <w:t xml:space="preserve"> </w:t>
      </w:r>
      <w:r>
        <w:rPr>
          <w:rFonts w:ascii="Times New Roman" w:hAnsi="Times New Roman"/>
          <w:szCs w:val="24"/>
        </w:rPr>
        <w:t xml:space="preserve">(such as </w:t>
      </w:r>
      <w:r w:rsidR="00141FAD">
        <w:rPr>
          <w:rFonts w:ascii="Times New Roman" w:hAnsi="Times New Roman"/>
          <w:szCs w:val="24"/>
        </w:rPr>
        <w:t xml:space="preserve">the Medical Technology Association of Australia, and </w:t>
      </w:r>
      <w:proofErr w:type="spellStart"/>
      <w:r w:rsidR="00141FAD">
        <w:rPr>
          <w:rFonts w:ascii="Times New Roman" w:hAnsi="Times New Roman"/>
          <w:szCs w:val="24"/>
        </w:rPr>
        <w:t>Aus</w:t>
      </w:r>
      <w:r w:rsidR="00901FDE">
        <w:rPr>
          <w:rFonts w:ascii="Times New Roman" w:hAnsi="Times New Roman"/>
          <w:szCs w:val="24"/>
        </w:rPr>
        <w:t>B</w:t>
      </w:r>
      <w:r w:rsidR="00141FAD">
        <w:rPr>
          <w:rFonts w:ascii="Times New Roman" w:hAnsi="Times New Roman"/>
          <w:szCs w:val="24"/>
        </w:rPr>
        <w:t>iotech</w:t>
      </w:r>
      <w:proofErr w:type="spellEnd"/>
      <w:r w:rsidR="00141FAD">
        <w:rPr>
          <w:rFonts w:ascii="Times New Roman" w:hAnsi="Times New Roman"/>
          <w:szCs w:val="24"/>
        </w:rPr>
        <w:t>)</w:t>
      </w:r>
      <w:r w:rsidR="0061208E">
        <w:rPr>
          <w:rFonts w:ascii="Times New Roman" w:hAnsi="Times New Roman"/>
          <w:szCs w:val="24"/>
        </w:rPr>
        <w:t xml:space="preserve"> </w:t>
      </w:r>
      <w:r w:rsidR="00B42A08">
        <w:rPr>
          <w:rFonts w:ascii="Times New Roman" w:hAnsi="Times New Roman"/>
          <w:szCs w:val="24"/>
        </w:rPr>
        <w:t xml:space="preserve">as well as to </w:t>
      </w:r>
      <w:r w:rsidR="00B16684">
        <w:rPr>
          <w:rFonts w:ascii="Times New Roman" w:hAnsi="Times New Roman"/>
          <w:szCs w:val="24"/>
        </w:rPr>
        <w:lastRenderedPageBreak/>
        <w:t xml:space="preserve">an </w:t>
      </w:r>
      <w:r w:rsidR="00B42A08">
        <w:rPr>
          <w:rFonts w:ascii="Times New Roman" w:hAnsi="Times New Roman"/>
          <w:szCs w:val="24"/>
        </w:rPr>
        <w:t xml:space="preserve">important </w:t>
      </w:r>
      <w:r w:rsidR="003469D8">
        <w:rPr>
          <w:rFonts w:ascii="Times New Roman" w:hAnsi="Times New Roman"/>
          <w:szCs w:val="24"/>
        </w:rPr>
        <w:t>consum</w:t>
      </w:r>
      <w:r w:rsidR="00B16684">
        <w:rPr>
          <w:rFonts w:ascii="Times New Roman" w:hAnsi="Times New Roman"/>
          <w:szCs w:val="24"/>
        </w:rPr>
        <w:t>er body</w:t>
      </w:r>
      <w:r w:rsidR="003469D8">
        <w:rPr>
          <w:rFonts w:ascii="Times New Roman" w:hAnsi="Times New Roman"/>
          <w:szCs w:val="24"/>
        </w:rPr>
        <w:t xml:space="preserve"> (the Consumers Health Forum of Australia)</w:t>
      </w:r>
      <w:r w:rsidR="00B16684">
        <w:rPr>
          <w:rFonts w:ascii="Times New Roman" w:hAnsi="Times New Roman"/>
          <w:szCs w:val="24"/>
        </w:rPr>
        <w:t xml:space="preserve"> and other bodies such as</w:t>
      </w:r>
      <w:r w:rsidR="0061208E">
        <w:rPr>
          <w:rFonts w:ascii="Times New Roman" w:hAnsi="Times New Roman"/>
          <w:szCs w:val="24"/>
        </w:rPr>
        <w:t xml:space="preserve"> </w:t>
      </w:r>
      <w:proofErr w:type="spellStart"/>
      <w:r w:rsidR="00B16684">
        <w:rPr>
          <w:rFonts w:ascii="Times New Roman" w:hAnsi="Times New Roman"/>
          <w:szCs w:val="24"/>
        </w:rPr>
        <w:t>Medsafe</w:t>
      </w:r>
      <w:proofErr w:type="spellEnd"/>
      <w:r w:rsidR="00B16684">
        <w:rPr>
          <w:rFonts w:ascii="Times New Roman" w:hAnsi="Times New Roman"/>
          <w:szCs w:val="24"/>
        </w:rPr>
        <w:t xml:space="preserve"> and the New Zealand Association of Pathology Practices, </w:t>
      </w:r>
      <w:r w:rsidR="003F05A3">
        <w:rPr>
          <w:rFonts w:ascii="Times New Roman" w:hAnsi="Times New Roman"/>
          <w:szCs w:val="24"/>
        </w:rPr>
        <w:t xml:space="preserve">so </w:t>
      </w:r>
      <w:r w:rsidR="00B16684">
        <w:rPr>
          <w:rFonts w:ascii="Times New Roman" w:hAnsi="Times New Roman"/>
          <w:szCs w:val="24"/>
        </w:rPr>
        <w:t xml:space="preserve">that </w:t>
      </w:r>
      <w:r w:rsidR="003F05A3">
        <w:rPr>
          <w:rFonts w:ascii="Times New Roman" w:hAnsi="Times New Roman"/>
          <w:szCs w:val="24"/>
        </w:rPr>
        <w:t xml:space="preserve">they can provide </w:t>
      </w:r>
      <w:r w:rsidR="00526D02">
        <w:rPr>
          <w:rFonts w:ascii="Times New Roman" w:hAnsi="Times New Roman"/>
          <w:szCs w:val="24"/>
        </w:rPr>
        <w:t>feedback</w:t>
      </w:r>
      <w:r w:rsidR="00B42A08">
        <w:rPr>
          <w:rFonts w:ascii="Times New Roman" w:hAnsi="Times New Roman"/>
          <w:szCs w:val="24"/>
        </w:rPr>
        <w:t>.</w:t>
      </w:r>
      <w:r w:rsidR="00101078">
        <w:rPr>
          <w:rFonts w:ascii="Times New Roman" w:hAnsi="Times New Roman"/>
          <w:szCs w:val="24"/>
        </w:rPr>
        <w:t xml:space="preserve">  They are set out in Part 2 of Schedule 1 to the Specification.</w:t>
      </w:r>
    </w:p>
    <w:p w:rsidR="00895522" w:rsidRDefault="00895522" w:rsidP="005F3F50">
      <w:pPr>
        <w:autoSpaceDE w:val="0"/>
        <w:autoSpaceDN w:val="0"/>
        <w:adjustRightInd w:val="0"/>
        <w:rPr>
          <w:rFonts w:ascii="Times New Roman" w:hAnsi="Times New Roman"/>
          <w:szCs w:val="24"/>
        </w:rPr>
      </w:pPr>
    </w:p>
    <w:p w:rsidR="00895522" w:rsidRDefault="00895522" w:rsidP="005F3F50">
      <w:pPr>
        <w:autoSpaceDE w:val="0"/>
        <w:autoSpaceDN w:val="0"/>
        <w:adjustRightInd w:val="0"/>
        <w:rPr>
          <w:rFonts w:ascii="Times New Roman" w:hAnsi="Times New Roman"/>
          <w:szCs w:val="24"/>
        </w:rPr>
      </w:pPr>
      <w:r>
        <w:rPr>
          <w:rFonts w:ascii="Times New Roman" w:hAnsi="Times New Roman"/>
          <w:szCs w:val="24"/>
        </w:rPr>
        <w:t xml:space="preserve">The </w:t>
      </w:r>
      <w:r w:rsidR="00440FE5">
        <w:rPr>
          <w:rFonts w:ascii="Times New Roman" w:hAnsi="Times New Roman"/>
          <w:szCs w:val="24"/>
        </w:rPr>
        <w:t xml:space="preserve">making of the </w:t>
      </w:r>
      <w:r>
        <w:rPr>
          <w:rFonts w:ascii="Times New Roman" w:hAnsi="Times New Roman"/>
          <w:szCs w:val="24"/>
        </w:rPr>
        <w:t xml:space="preserve">Specification has the effect of permitting the Secretary to release to these bodies, and to their employees, members </w:t>
      </w:r>
      <w:r w:rsidR="006D5658">
        <w:rPr>
          <w:rFonts w:ascii="Times New Roman" w:hAnsi="Times New Roman"/>
          <w:szCs w:val="24"/>
        </w:rPr>
        <w:t xml:space="preserve">or </w:t>
      </w:r>
      <w:r>
        <w:rPr>
          <w:rFonts w:ascii="Times New Roman" w:hAnsi="Times New Roman"/>
          <w:szCs w:val="24"/>
        </w:rPr>
        <w:t>agents</w:t>
      </w:r>
      <w:r w:rsidR="00650736">
        <w:rPr>
          <w:rFonts w:ascii="Times New Roman" w:hAnsi="Times New Roman"/>
          <w:szCs w:val="24"/>
        </w:rPr>
        <w:t>, the kinds of therapeutic goods information</w:t>
      </w:r>
      <w:r w:rsidR="003D78A5">
        <w:rPr>
          <w:rFonts w:ascii="Times New Roman" w:hAnsi="Times New Roman"/>
          <w:szCs w:val="24"/>
        </w:rPr>
        <w:t xml:space="preserve"> relating to adverse events</w:t>
      </w:r>
      <w:r w:rsidR="00994A4A">
        <w:rPr>
          <w:rFonts w:ascii="Times New Roman" w:hAnsi="Times New Roman"/>
          <w:szCs w:val="24"/>
        </w:rPr>
        <w:t xml:space="preserve">, </w:t>
      </w:r>
      <w:r w:rsidR="00B21F2A">
        <w:rPr>
          <w:rFonts w:ascii="Times New Roman" w:hAnsi="Times New Roman"/>
          <w:szCs w:val="24"/>
        </w:rPr>
        <w:t>and</w:t>
      </w:r>
      <w:r w:rsidR="00994A4A">
        <w:rPr>
          <w:rFonts w:ascii="Times New Roman" w:hAnsi="Times New Roman"/>
          <w:szCs w:val="24"/>
        </w:rPr>
        <w:t xml:space="preserve"> near adverse events,</w:t>
      </w:r>
      <w:r w:rsidR="003D78A5">
        <w:rPr>
          <w:rFonts w:ascii="Times New Roman" w:hAnsi="Times New Roman"/>
          <w:szCs w:val="24"/>
        </w:rPr>
        <w:t xml:space="preserve"> </w:t>
      </w:r>
      <w:r w:rsidR="00B16684">
        <w:rPr>
          <w:rFonts w:ascii="Times New Roman" w:hAnsi="Times New Roman"/>
          <w:szCs w:val="24"/>
        </w:rPr>
        <w:t xml:space="preserve">involving medical devices </w:t>
      </w:r>
      <w:r w:rsidR="003D78A5">
        <w:rPr>
          <w:rFonts w:ascii="Times New Roman" w:hAnsi="Times New Roman"/>
          <w:szCs w:val="24"/>
        </w:rPr>
        <w:t xml:space="preserve">reported in Australia that is proposed to be released by the TGA </w:t>
      </w:r>
      <w:r w:rsidR="00340B68">
        <w:rPr>
          <w:rFonts w:ascii="Times New Roman" w:hAnsi="Times New Roman"/>
          <w:szCs w:val="24"/>
        </w:rPr>
        <w:t>in the form of</w:t>
      </w:r>
      <w:r w:rsidR="00AD7A51">
        <w:rPr>
          <w:rFonts w:ascii="Times New Roman" w:hAnsi="Times New Roman"/>
          <w:szCs w:val="24"/>
        </w:rPr>
        <w:t xml:space="preserve"> t</w:t>
      </w:r>
      <w:r w:rsidR="003D78A5">
        <w:rPr>
          <w:rFonts w:ascii="Times New Roman" w:hAnsi="Times New Roman"/>
          <w:szCs w:val="24"/>
        </w:rPr>
        <w:t>he new database</w:t>
      </w:r>
      <w:r w:rsidR="00340B68">
        <w:rPr>
          <w:rFonts w:ascii="Times New Roman" w:hAnsi="Times New Roman"/>
          <w:szCs w:val="24"/>
        </w:rPr>
        <w:t>,</w:t>
      </w:r>
      <w:r w:rsidR="00FE313D">
        <w:rPr>
          <w:rFonts w:ascii="Times New Roman" w:hAnsi="Times New Roman"/>
          <w:szCs w:val="24"/>
        </w:rPr>
        <w:t xml:space="preserve"> for the purposes of obtaining feedback from those bodies and persons about </w:t>
      </w:r>
      <w:r w:rsidR="00340B68">
        <w:rPr>
          <w:rFonts w:ascii="Times New Roman" w:hAnsi="Times New Roman"/>
          <w:szCs w:val="24"/>
        </w:rPr>
        <w:t xml:space="preserve">the proposal to establish the DAEN-MD and about the DAEN-MD’s </w:t>
      </w:r>
      <w:r w:rsidR="003F05A3">
        <w:t>functionality, suitability (in terms of informing the public about adverse events involv</w:t>
      </w:r>
      <w:r w:rsidR="00340B68">
        <w:t>ing medicines) and presentation</w:t>
      </w:r>
      <w:r w:rsidR="003D78A5">
        <w:rPr>
          <w:rFonts w:ascii="Times New Roman" w:hAnsi="Times New Roman"/>
          <w:szCs w:val="24"/>
        </w:rPr>
        <w:t>.</w:t>
      </w:r>
    </w:p>
    <w:p w:rsidR="00266A9F" w:rsidRDefault="00266A9F" w:rsidP="005F3F50">
      <w:pPr>
        <w:autoSpaceDE w:val="0"/>
        <w:autoSpaceDN w:val="0"/>
        <w:adjustRightInd w:val="0"/>
        <w:rPr>
          <w:rFonts w:ascii="Times New Roman" w:hAnsi="Times New Roman"/>
          <w:szCs w:val="24"/>
        </w:rPr>
      </w:pPr>
    </w:p>
    <w:p w:rsidR="00B16684" w:rsidRDefault="00CF58AB" w:rsidP="005F3F50">
      <w:pPr>
        <w:autoSpaceDE w:val="0"/>
        <w:autoSpaceDN w:val="0"/>
        <w:adjustRightInd w:val="0"/>
        <w:rPr>
          <w:rFonts w:ascii="Times New Roman" w:hAnsi="Times New Roman"/>
          <w:szCs w:val="24"/>
        </w:rPr>
      </w:pPr>
      <w:r w:rsidRPr="00CF58AB">
        <w:rPr>
          <w:rFonts w:ascii="Times New Roman" w:hAnsi="Times New Roman"/>
          <w:szCs w:val="24"/>
        </w:rPr>
        <w:t xml:space="preserve">An adverse event </w:t>
      </w:r>
      <w:r w:rsidR="00B16684">
        <w:rPr>
          <w:rFonts w:ascii="Times New Roman" w:hAnsi="Times New Roman"/>
          <w:szCs w:val="24"/>
        </w:rPr>
        <w:t xml:space="preserve">in relation to a medical device </w:t>
      </w:r>
      <w:r w:rsidRPr="00CF58AB">
        <w:rPr>
          <w:rFonts w:ascii="Times New Roman" w:hAnsi="Times New Roman"/>
          <w:szCs w:val="24"/>
        </w:rPr>
        <w:t xml:space="preserve">is defined in the Specification as </w:t>
      </w:r>
      <w:r w:rsidR="00B16684">
        <w:rPr>
          <w:rFonts w:ascii="Times New Roman" w:hAnsi="Times New Roman"/>
          <w:szCs w:val="24"/>
        </w:rPr>
        <w:t xml:space="preserve">an event that </w:t>
      </w:r>
      <w:r w:rsidR="00366445">
        <w:rPr>
          <w:rFonts w:ascii="Times New Roman" w:hAnsi="Times New Roman"/>
          <w:szCs w:val="24"/>
        </w:rPr>
        <w:t xml:space="preserve">has </w:t>
      </w:r>
      <w:r w:rsidR="00B16684">
        <w:rPr>
          <w:rFonts w:ascii="Times New Roman" w:hAnsi="Times New Roman"/>
          <w:szCs w:val="24"/>
        </w:rPr>
        <w:t xml:space="preserve">led to the death of, or </w:t>
      </w:r>
      <w:r w:rsidR="00366445">
        <w:rPr>
          <w:rFonts w:ascii="Times New Roman" w:hAnsi="Times New Roman"/>
          <w:szCs w:val="24"/>
        </w:rPr>
        <w:t xml:space="preserve">to </w:t>
      </w:r>
      <w:r w:rsidR="00B16684">
        <w:rPr>
          <w:rFonts w:ascii="Times New Roman" w:hAnsi="Times New Roman"/>
          <w:szCs w:val="24"/>
        </w:rPr>
        <w:t xml:space="preserve">a serious injury or </w:t>
      </w:r>
      <w:r w:rsidR="00366445">
        <w:rPr>
          <w:rFonts w:ascii="Times New Roman" w:hAnsi="Times New Roman"/>
          <w:szCs w:val="24"/>
        </w:rPr>
        <w:t xml:space="preserve">a </w:t>
      </w:r>
      <w:r w:rsidR="00B16684">
        <w:rPr>
          <w:rFonts w:ascii="Times New Roman" w:hAnsi="Times New Roman"/>
          <w:szCs w:val="24"/>
        </w:rPr>
        <w:t>serious deterioration to, a patient, user or other p</w:t>
      </w:r>
      <w:r w:rsidR="00366445">
        <w:rPr>
          <w:rFonts w:ascii="Times New Roman" w:hAnsi="Times New Roman"/>
          <w:szCs w:val="24"/>
        </w:rPr>
        <w:t>erson,</w:t>
      </w:r>
      <w:r w:rsidR="00B16684">
        <w:rPr>
          <w:rFonts w:ascii="Times New Roman" w:hAnsi="Times New Roman"/>
          <w:szCs w:val="24"/>
        </w:rPr>
        <w:t xml:space="preserve"> </w:t>
      </w:r>
      <w:r w:rsidR="00366445">
        <w:rPr>
          <w:rFonts w:ascii="Times New Roman" w:hAnsi="Times New Roman"/>
          <w:szCs w:val="24"/>
        </w:rPr>
        <w:t>including:</w:t>
      </w:r>
    </w:p>
    <w:p w:rsidR="00366445" w:rsidRDefault="00366445" w:rsidP="00366445">
      <w:pPr>
        <w:pStyle w:val="ListParagraph"/>
        <w:numPr>
          <w:ilvl w:val="0"/>
          <w:numId w:val="6"/>
        </w:numPr>
        <w:autoSpaceDE w:val="0"/>
        <w:autoSpaceDN w:val="0"/>
        <w:adjustRightInd w:val="0"/>
        <w:rPr>
          <w:rFonts w:ascii="Times New Roman" w:hAnsi="Times New Roman"/>
          <w:szCs w:val="24"/>
        </w:rPr>
      </w:pPr>
      <w:r>
        <w:rPr>
          <w:rFonts w:ascii="Times New Roman" w:hAnsi="Times New Roman"/>
          <w:szCs w:val="24"/>
        </w:rPr>
        <w:t>a life-threatening illness or injury;</w:t>
      </w:r>
    </w:p>
    <w:p w:rsidR="00366445" w:rsidRDefault="00366445" w:rsidP="00366445">
      <w:pPr>
        <w:pStyle w:val="ListParagraph"/>
        <w:numPr>
          <w:ilvl w:val="0"/>
          <w:numId w:val="6"/>
        </w:numPr>
        <w:autoSpaceDE w:val="0"/>
        <w:autoSpaceDN w:val="0"/>
        <w:adjustRightInd w:val="0"/>
        <w:rPr>
          <w:rFonts w:ascii="Times New Roman" w:hAnsi="Times New Roman"/>
          <w:szCs w:val="24"/>
        </w:rPr>
      </w:pPr>
      <w:r>
        <w:rPr>
          <w:rFonts w:ascii="Times New Roman" w:hAnsi="Times New Roman"/>
          <w:szCs w:val="24"/>
        </w:rPr>
        <w:t>permanent impairment of a body function;</w:t>
      </w:r>
    </w:p>
    <w:p w:rsidR="00366445" w:rsidRDefault="00366445" w:rsidP="00366445">
      <w:pPr>
        <w:pStyle w:val="ListParagraph"/>
        <w:numPr>
          <w:ilvl w:val="0"/>
          <w:numId w:val="6"/>
        </w:numPr>
        <w:autoSpaceDE w:val="0"/>
        <w:autoSpaceDN w:val="0"/>
        <w:adjustRightInd w:val="0"/>
        <w:rPr>
          <w:rFonts w:ascii="Times New Roman" w:hAnsi="Times New Roman"/>
          <w:szCs w:val="24"/>
        </w:rPr>
      </w:pPr>
      <w:r>
        <w:rPr>
          <w:rFonts w:ascii="Times New Roman" w:hAnsi="Times New Roman"/>
          <w:szCs w:val="24"/>
        </w:rPr>
        <w:t>permanent damage to a body structure; or</w:t>
      </w:r>
    </w:p>
    <w:p w:rsidR="00366445" w:rsidRPr="00366445" w:rsidRDefault="00366445" w:rsidP="00366445">
      <w:pPr>
        <w:pStyle w:val="ListParagraph"/>
        <w:numPr>
          <w:ilvl w:val="0"/>
          <w:numId w:val="6"/>
        </w:numPr>
        <w:autoSpaceDE w:val="0"/>
        <w:autoSpaceDN w:val="0"/>
        <w:adjustRightInd w:val="0"/>
        <w:rPr>
          <w:rFonts w:ascii="Times New Roman" w:hAnsi="Times New Roman"/>
          <w:szCs w:val="24"/>
        </w:rPr>
      </w:pPr>
      <w:r>
        <w:rPr>
          <w:rFonts w:ascii="Times New Roman" w:hAnsi="Times New Roman"/>
          <w:szCs w:val="24"/>
        </w:rPr>
        <w:t>a condition necessitating medical or surgical intervention to prevent permanent impairment of a body function or permanent damage to a body structure.</w:t>
      </w:r>
    </w:p>
    <w:p w:rsidR="00B16684" w:rsidRDefault="00B16684" w:rsidP="005F3F50">
      <w:pPr>
        <w:autoSpaceDE w:val="0"/>
        <w:autoSpaceDN w:val="0"/>
        <w:adjustRightInd w:val="0"/>
        <w:rPr>
          <w:rFonts w:ascii="Times New Roman" w:hAnsi="Times New Roman"/>
          <w:szCs w:val="24"/>
        </w:rPr>
      </w:pPr>
    </w:p>
    <w:p w:rsidR="00097B12" w:rsidRDefault="00097B12" w:rsidP="005F3F50">
      <w:pPr>
        <w:autoSpaceDE w:val="0"/>
        <w:autoSpaceDN w:val="0"/>
        <w:adjustRightInd w:val="0"/>
        <w:rPr>
          <w:rFonts w:ascii="Times New Roman" w:hAnsi="Times New Roman"/>
          <w:szCs w:val="24"/>
        </w:rPr>
      </w:pPr>
      <w:r>
        <w:rPr>
          <w:rFonts w:ascii="Times New Roman" w:hAnsi="Times New Roman"/>
          <w:szCs w:val="24"/>
        </w:rPr>
        <w:t>A near adverse event is defined in the Specification as an event that might have led to a death or serious injury.  It may be that due to the timely intervention of a healthcare practitioner a death or serious injury did not occur.  For an event to be defined as a near adverse event, it is sufficient that:</w:t>
      </w:r>
    </w:p>
    <w:p w:rsidR="00440FE5" w:rsidRDefault="00440FE5" w:rsidP="00440FE5">
      <w:pPr>
        <w:pStyle w:val="ListParagraph"/>
        <w:numPr>
          <w:ilvl w:val="0"/>
          <w:numId w:val="7"/>
        </w:numPr>
        <w:autoSpaceDE w:val="0"/>
        <w:autoSpaceDN w:val="0"/>
        <w:adjustRightInd w:val="0"/>
        <w:rPr>
          <w:szCs w:val="24"/>
        </w:rPr>
      </w:pPr>
      <w:r>
        <w:rPr>
          <w:szCs w:val="24"/>
        </w:rPr>
        <w:t>an event associat</w:t>
      </w:r>
      <w:r w:rsidR="00B25CAC">
        <w:rPr>
          <w:szCs w:val="24"/>
        </w:rPr>
        <w:t>ed with the device happened and, if the event occurred again, it might lead to death or serious injury; or</w:t>
      </w:r>
    </w:p>
    <w:p w:rsidR="00440FE5" w:rsidRPr="00B25CAC" w:rsidRDefault="00440FE5" w:rsidP="00B25CAC">
      <w:pPr>
        <w:pStyle w:val="ListParagraph"/>
        <w:numPr>
          <w:ilvl w:val="0"/>
          <w:numId w:val="7"/>
        </w:numPr>
        <w:autoSpaceDE w:val="0"/>
        <w:autoSpaceDN w:val="0"/>
        <w:adjustRightInd w:val="0"/>
        <w:rPr>
          <w:szCs w:val="24"/>
        </w:rPr>
      </w:pPr>
      <w:r w:rsidRPr="00B25CAC">
        <w:rPr>
          <w:szCs w:val="24"/>
        </w:rPr>
        <w:t>testing or examination of the device or the information supplied with the device, or scientific literature indicated some factor that could lead to a death or a serious injury.</w:t>
      </w:r>
    </w:p>
    <w:p w:rsidR="00097B12" w:rsidRDefault="00097B12" w:rsidP="005F3F50">
      <w:pPr>
        <w:autoSpaceDE w:val="0"/>
        <w:autoSpaceDN w:val="0"/>
        <w:adjustRightInd w:val="0"/>
        <w:rPr>
          <w:rFonts w:ascii="Times New Roman" w:hAnsi="Times New Roman"/>
          <w:szCs w:val="24"/>
        </w:rPr>
      </w:pPr>
    </w:p>
    <w:p w:rsidR="00895522" w:rsidRDefault="008053B3" w:rsidP="005F3F50">
      <w:pPr>
        <w:autoSpaceDE w:val="0"/>
        <w:autoSpaceDN w:val="0"/>
        <w:adjustRightInd w:val="0"/>
        <w:rPr>
          <w:rFonts w:ascii="Times New Roman" w:hAnsi="Times New Roman"/>
          <w:szCs w:val="24"/>
        </w:rPr>
      </w:pPr>
      <w:r>
        <w:rPr>
          <w:rFonts w:ascii="Times New Roman" w:hAnsi="Times New Roman"/>
          <w:szCs w:val="24"/>
        </w:rPr>
        <w:t xml:space="preserve">The information proposed to be released by the Secretary </w:t>
      </w:r>
      <w:r w:rsidR="0095276A">
        <w:rPr>
          <w:rFonts w:ascii="Times New Roman" w:hAnsi="Times New Roman"/>
          <w:szCs w:val="24"/>
        </w:rPr>
        <w:t xml:space="preserve">through access to the </w:t>
      </w:r>
      <w:r w:rsidR="003F05A3">
        <w:rPr>
          <w:rFonts w:ascii="Times New Roman" w:hAnsi="Times New Roman"/>
          <w:szCs w:val="24"/>
        </w:rPr>
        <w:t xml:space="preserve">prototype of the </w:t>
      </w:r>
      <w:r w:rsidR="0095276A">
        <w:rPr>
          <w:rFonts w:ascii="Times New Roman" w:hAnsi="Times New Roman"/>
          <w:szCs w:val="24"/>
        </w:rPr>
        <w:t xml:space="preserve">database </w:t>
      </w:r>
      <w:r w:rsidR="00101078">
        <w:rPr>
          <w:rFonts w:ascii="Times New Roman" w:hAnsi="Times New Roman"/>
          <w:szCs w:val="24"/>
        </w:rPr>
        <w:t xml:space="preserve">is described in Part 1 of </w:t>
      </w:r>
      <w:r w:rsidR="00BD4C3F">
        <w:rPr>
          <w:rFonts w:ascii="Times New Roman" w:hAnsi="Times New Roman"/>
          <w:szCs w:val="24"/>
        </w:rPr>
        <w:t xml:space="preserve">Schedule 1 of </w:t>
      </w:r>
      <w:r w:rsidR="00101078">
        <w:rPr>
          <w:rFonts w:ascii="Times New Roman" w:hAnsi="Times New Roman"/>
          <w:szCs w:val="24"/>
        </w:rPr>
        <w:t xml:space="preserve">the Specification and </w:t>
      </w:r>
      <w:r>
        <w:rPr>
          <w:rFonts w:ascii="Times New Roman" w:hAnsi="Times New Roman"/>
          <w:szCs w:val="24"/>
        </w:rPr>
        <w:t>will be in</w:t>
      </w:r>
      <w:r w:rsidR="00914A07">
        <w:rPr>
          <w:rFonts w:ascii="Times New Roman" w:hAnsi="Times New Roman"/>
          <w:szCs w:val="24"/>
        </w:rPr>
        <w:t xml:space="preserve"> either of </w:t>
      </w:r>
      <w:r>
        <w:rPr>
          <w:rFonts w:ascii="Times New Roman" w:hAnsi="Times New Roman"/>
          <w:szCs w:val="24"/>
        </w:rPr>
        <w:t>two forms:</w:t>
      </w:r>
    </w:p>
    <w:p w:rsidR="00366445" w:rsidRDefault="00366445" w:rsidP="00093EC6">
      <w:pPr>
        <w:numPr>
          <w:ilvl w:val="0"/>
          <w:numId w:val="5"/>
        </w:numPr>
        <w:autoSpaceDE w:val="0"/>
        <w:autoSpaceDN w:val="0"/>
        <w:adjustRightInd w:val="0"/>
        <w:ind w:left="426" w:hanging="436"/>
        <w:rPr>
          <w:rFonts w:ascii="Times New Roman" w:hAnsi="Times New Roman"/>
          <w:szCs w:val="24"/>
        </w:rPr>
      </w:pPr>
      <w:r>
        <w:rPr>
          <w:rFonts w:ascii="Times New Roman" w:hAnsi="Times New Roman"/>
          <w:szCs w:val="24"/>
        </w:rPr>
        <w:t>a ‘medical device summary’ which p</w:t>
      </w:r>
      <w:r w:rsidR="00FB418A">
        <w:rPr>
          <w:rFonts w:ascii="Times New Roman" w:hAnsi="Times New Roman"/>
          <w:szCs w:val="24"/>
        </w:rPr>
        <w:t>rovides a small number of kinds</w:t>
      </w:r>
      <w:r>
        <w:rPr>
          <w:rFonts w:ascii="Times New Roman" w:hAnsi="Times New Roman"/>
          <w:szCs w:val="24"/>
        </w:rPr>
        <w:t xml:space="preserve"> of information about a report of an adverse event</w:t>
      </w:r>
      <w:r w:rsidR="0054222B">
        <w:rPr>
          <w:rFonts w:ascii="Times New Roman" w:hAnsi="Times New Roman"/>
          <w:szCs w:val="24"/>
        </w:rPr>
        <w:t xml:space="preserve">, </w:t>
      </w:r>
      <w:r w:rsidR="00947D6B">
        <w:rPr>
          <w:rFonts w:ascii="Times New Roman" w:hAnsi="Times New Roman"/>
          <w:szCs w:val="24"/>
        </w:rPr>
        <w:t>or</w:t>
      </w:r>
      <w:r w:rsidR="0054222B">
        <w:rPr>
          <w:rFonts w:ascii="Times New Roman" w:hAnsi="Times New Roman"/>
          <w:szCs w:val="24"/>
        </w:rPr>
        <w:t xml:space="preserve"> a near adverse event,</w:t>
      </w:r>
      <w:r>
        <w:rPr>
          <w:rFonts w:ascii="Times New Roman" w:hAnsi="Times New Roman"/>
          <w:szCs w:val="24"/>
        </w:rPr>
        <w:t xml:space="preserve"> relating to a medical device, such as report date (the date the TGA received the report), trade name (the brand name of the </w:t>
      </w:r>
      <w:r w:rsidR="00FB418A">
        <w:rPr>
          <w:rFonts w:ascii="Times New Roman" w:hAnsi="Times New Roman"/>
          <w:szCs w:val="24"/>
        </w:rPr>
        <w:t xml:space="preserve">medical </w:t>
      </w:r>
      <w:r>
        <w:rPr>
          <w:rFonts w:ascii="Times New Roman" w:hAnsi="Times New Roman"/>
          <w:szCs w:val="24"/>
        </w:rPr>
        <w:t xml:space="preserve">device) and the manufacturer </w:t>
      </w:r>
      <w:r w:rsidR="00FB418A">
        <w:rPr>
          <w:rFonts w:ascii="Times New Roman" w:hAnsi="Times New Roman"/>
          <w:szCs w:val="24"/>
        </w:rPr>
        <w:t>of the medical device; and</w:t>
      </w:r>
    </w:p>
    <w:p w:rsidR="00901680" w:rsidRDefault="008053B3" w:rsidP="00093EC6">
      <w:pPr>
        <w:numPr>
          <w:ilvl w:val="0"/>
          <w:numId w:val="5"/>
        </w:numPr>
        <w:autoSpaceDE w:val="0"/>
        <w:autoSpaceDN w:val="0"/>
        <w:adjustRightInd w:val="0"/>
        <w:ind w:left="426" w:hanging="436"/>
        <w:rPr>
          <w:rFonts w:ascii="Times New Roman" w:hAnsi="Times New Roman"/>
          <w:szCs w:val="24"/>
        </w:rPr>
      </w:pPr>
      <w:r>
        <w:rPr>
          <w:rFonts w:ascii="Times New Roman" w:hAnsi="Times New Roman"/>
          <w:szCs w:val="24"/>
        </w:rPr>
        <w:t xml:space="preserve">a </w:t>
      </w:r>
      <w:r w:rsidR="00366445">
        <w:rPr>
          <w:rFonts w:ascii="Times New Roman" w:hAnsi="Times New Roman"/>
          <w:szCs w:val="24"/>
        </w:rPr>
        <w:t>‘</w:t>
      </w:r>
      <w:r w:rsidR="003168A9">
        <w:rPr>
          <w:rFonts w:ascii="Times New Roman" w:hAnsi="Times New Roman"/>
          <w:szCs w:val="24"/>
        </w:rPr>
        <w:t>list</w:t>
      </w:r>
      <w:r w:rsidR="00895522">
        <w:rPr>
          <w:rFonts w:ascii="Times New Roman" w:hAnsi="Times New Roman"/>
          <w:szCs w:val="24"/>
        </w:rPr>
        <w:t xml:space="preserve"> of reports</w:t>
      </w:r>
      <w:r w:rsidR="00366445">
        <w:rPr>
          <w:rFonts w:ascii="Times New Roman" w:hAnsi="Times New Roman"/>
          <w:szCs w:val="24"/>
        </w:rPr>
        <w:t>’</w:t>
      </w:r>
      <w:r w:rsidR="00895522">
        <w:rPr>
          <w:rFonts w:ascii="Times New Roman" w:hAnsi="Times New Roman"/>
          <w:szCs w:val="24"/>
        </w:rPr>
        <w:t xml:space="preserve"> of adverse events</w:t>
      </w:r>
      <w:r w:rsidR="0054222B">
        <w:rPr>
          <w:rFonts w:ascii="Times New Roman" w:hAnsi="Times New Roman"/>
          <w:szCs w:val="24"/>
        </w:rPr>
        <w:t xml:space="preserve">, </w:t>
      </w:r>
      <w:r w:rsidR="00ED689B">
        <w:rPr>
          <w:rFonts w:ascii="Times New Roman" w:hAnsi="Times New Roman"/>
          <w:szCs w:val="24"/>
        </w:rPr>
        <w:t>and</w:t>
      </w:r>
      <w:r w:rsidR="0054222B">
        <w:rPr>
          <w:rFonts w:ascii="Times New Roman" w:hAnsi="Times New Roman"/>
          <w:szCs w:val="24"/>
        </w:rPr>
        <w:t xml:space="preserve"> near adverse event</w:t>
      </w:r>
      <w:r w:rsidR="00ED689B">
        <w:rPr>
          <w:rFonts w:ascii="Times New Roman" w:hAnsi="Times New Roman"/>
          <w:szCs w:val="24"/>
        </w:rPr>
        <w:t>s</w:t>
      </w:r>
      <w:r w:rsidR="0054222B">
        <w:rPr>
          <w:rFonts w:ascii="Times New Roman" w:hAnsi="Times New Roman"/>
          <w:szCs w:val="24"/>
        </w:rPr>
        <w:t>,</w:t>
      </w:r>
      <w:r w:rsidR="00914A07">
        <w:rPr>
          <w:rFonts w:ascii="Times New Roman" w:hAnsi="Times New Roman"/>
          <w:szCs w:val="24"/>
        </w:rPr>
        <w:t xml:space="preserve"> </w:t>
      </w:r>
      <w:r w:rsidR="003F05A3">
        <w:rPr>
          <w:rFonts w:ascii="Times New Roman" w:hAnsi="Times New Roman"/>
          <w:szCs w:val="24"/>
        </w:rPr>
        <w:t>in relation to a medic</w:t>
      </w:r>
      <w:r w:rsidR="00FB418A">
        <w:rPr>
          <w:rFonts w:ascii="Times New Roman" w:hAnsi="Times New Roman"/>
          <w:szCs w:val="24"/>
        </w:rPr>
        <w:t>al device, which provides the same information as a ‘m</w:t>
      </w:r>
      <w:r w:rsidR="0092281C">
        <w:rPr>
          <w:rFonts w:ascii="Times New Roman" w:hAnsi="Times New Roman"/>
          <w:szCs w:val="24"/>
        </w:rPr>
        <w:t>edical device summary’ as well as</w:t>
      </w:r>
      <w:r w:rsidR="00FB418A">
        <w:rPr>
          <w:rFonts w:ascii="Times New Roman" w:hAnsi="Times New Roman"/>
          <w:szCs w:val="24"/>
        </w:rPr>
        <w:t xml:space="preserve"> an expanded range o</w:t>
      </w:r>
      <w:r w:rsidR="0092281C">
        <w:rPr>
          <w:rFonts w:ascii="Times New Roman" w:hAnsi="Times New Roman"/>
          <w:szCs w:val="24"/>
        </w:rPr>
        <w:t>f kinds of information</w:t>
      </w:r>
      <w:r w:rsidR="00FB418A">
        <w:rPr>
          <w:rFonts w:ascii="Times New Roman" w:hAnsi="Times New Roman"/>
          <w:szCs w:val="24"/>
        </w:rPr>
        <w:t xml:space="preserve"> including</w:t>
      </w:r>
      <w:r w:rsidR="0092281C">
        <w:rPr>
          <w:rFonts w:ascii="Times New Roman" w:hAnsi="Times New Roman"/>
          <w:szCs w:val="24"/>
        </w:rPr>
        <w:t>,</w:t>
      </w:r>
      <w:r w:rsidR="00FB418A">
        <w:rPr>
          <w:rFonts w:ascii="Times New Roman" w:hAnsi="Times New Roman"/>
          <w:szCs w:val="24"/>
        </w:rPr>
        <w:t xml:space="preserve"> for example</w:t>
      </w:r>
      <w:r w:rsidR="0092281C">
        <w:rPr>
          <w:rFonts w:ascii="Times New Roman" w:hAnsi="Times New Roman"/>
          <w:szCs w:val="24"/>
        </w:rPr>
        <w:t>,</w:t>
      </w:r>
      <w:r w:rsidR="00FB418A">
        <w:rPr>
          <w:rFonts w:ascii="Times New Roman" w:hAnsi="Times New Roman"/>
          <w:szCs w:val="24"/>
        </w:rPr>
        <w:t xml:space="preserve"> </w:t>
      </w:r>
      <w:r w:rsidR="0092281C">
        <w:rPr>
          <w:rFonts w:ascii="Times New Roman" w:hAnsi="Times New Roman"/>
          <w:szCs w:val="24"/>
        </w:rPr>
        <w:t>a brief description of the adverse event</w:t>
      </w:r>
      <w:r w:rsidR="0054222B">
        <w:rPr>
          <w:rFonts w:ascii="Times New Roman" w:hAnsi="Times New Roman"/>
          <w:szCs w:val="24"/>
        </w:rPr>
        <w:t xml:space="preserve"> (</w:t>
      </w:r>
      <w:r w:rsidR="00A704C2">
        <w:rPr>
          <w:rFonts w:ascii="Times New Roman" w:hAnsi="Times New Roman"/>
          <w:szCs w:val="24"/>
        </w:rPr>
        <w:t>or</w:t>
      </w:r>
      <w:r w:rsidR="0054222B">
        <w:rPr>
          <w:rFonts w:ascii="Times New Roman" w:hAnsi="Times New Roman"/>
          <w:szCs w:val="24"/>
        </w:rPr>
        <w:t xml:space="preserve"> near adverse event)</w:t>
      </w:r>
      <w:r w:rsidR="0092281C">
        <w:rPr>
          <w:rFonts w:ascii="Times New Roman" w:hAnsi="Times New Roman"/>
          <w:szCs w:val="24"/>
        </w:rPr>
        <w:t xml:space="preserve">, </w:t>
      </w:r>
      <w:r w:rsidR="00FB418A">
        <w:rPr>
          <w:rFonts w:ascii="Times New Roman" w:hAnsi="Times New Roman"/>
          <w:szCs w:val="24"/>
        </w:rPr>
        <w:t>the model number of the medical device (as reported) and whether t</w:t>
      </w:r>
      <w:r w:rsidR="0092281C">
        <w:rPr>
          <w:rFonts w:ascii="Times New Roman" w:hAnsi="Times New Roman"/>
          <w:szCs w:val="24"/>
        </w:rPr>
        <w:t xml:space="preserve">he person reporting the </w:t>
      </w:r>
      <w:r w:rsidR="00FB418A">
        <w:rPr>
          <w:rFonts w:ascii="Times New Roman" w:hAnsi="Times New Roman"/>
          <w:szCs w:val="24"/>
        </w:rPr>
        <w:t>event appears to fall within the categories of consumer, health professional</w:t>
      </w:r>
      <w:r w:rsidR="0092281C">
        <w:rPr>
          <w:rFonts w:ascii="Times New Roman" w:hAnsi="Times New Roman"/>
          <w:szCs w:val="24"/>
        </w:rPr>
        <w:t>, industry, government or other</w:t>
      </w:r>
      <w:r w:rsidR="00FB418A">
        <w:rPr>
          <w:rFonts w:ascii="Times New Roman" w:hAnsi="Times New Roman"/>
          <w:szCs w:val="24"/>
        </w:rPr>
        <w:t>.</w:t>
      </w:r>
    </w:p>
    <w:p w:rsidR="00CF58AB" w:rsidRDefault="00CF58AB">
      <w:pPr>
        <w:autoSpaceDE w:val="0"/>
        <w:autoSpaceDN w:val="0"/>
        <w:adjustRightInd w:val="0"/>
        <w:rPr>
          <w:rFonts w:ascii="Times New Roman" w:hAnsi="Times New Roman"/>
          <w:szCs w:val="24"/>
        </w:rPr>
      </w:pPr>
    </w:p>
    <w:p w:rsidR="00767767" w:rsidRDefault="00767767" w:rsidP="00B16CCB">
      <w:pPr>
        <w:autoSpaceDE w:val="0"/>
        <w:autoSpaceDN w:val="0"/>
        <w:adjustRightInd w:val="0"/>
        <w:rPr>
          <w:rFonts w:ascii="Times New Roman" w:hAnsi="Times New Roman"/>
          <w:szCs w:val="24"/>
        </w:rPr>
      </w:pPr>
      <w:r>
        <w:rPr>
          <w:rFonts w:ascii="Times New Roman" w:hAnsi="Times New Roman"/>
          <w:szCs w:val="24"/>
        </w:rPr>
        <w:t xml:space="preserve">The kinds of therapeutic goods information that the Secretary </w:t>
      </w:r>
      <w:r w:rsidR="00137937">
        <w:rPr>
          <w:rFonts w:ascii="Times New Roman" w:hAnsi="Times New Roman"/>
          <w:szCs w:val="24"/>
        </w:rPr>
        <w:t xml:space="preserve">can decide to </w:t>
      </w:r>
      <w:r>
        <w:rPr>
          <w:rFonts w:ascii="Times New Roman" w:hAnsi="Times New Roman"/>
          <w:szCs w:val="24"/>
        </w:rPr>
        <w:t>release</w:t>
      </w:r>
      <w:r w:rsidR="001441E8">
        <w:rPr>
          <w:rFonts w:ascii="Times New Roman" w:hAnsi="Times New Roman"/>
          <w:szCs w:val="24"/>
        </w:rPr>
        <w:t xml:space="preserve">, the </w:t>
      </w:r>
      <w:r w:rsidR="00116A76">
        <w:rPr>
          <w:rFonts w:ascii="Times New Roman" w:hAnsi="Times New Roman"/>
          <w:szCs w:val="24"/>
        </w:rPr>
        <w:t xml:space="preserve">bodies and </w:t>
      </w:r>
      <w:r w:rsidR="001441E8">
        <w:rPr>
          <w:rFonts w:ascii="Times New Roman" w:hAnsi="Times New Roman"/>
          <w:szCs w:val="24"/>
        </w:rPr>
        <w:t>kinds of person</w:t>
      </w:r>
      <w:r w:rsidR="00116A76">
        <w:rPr>
          <w:rFonts w:ascii="Times New Roman" w:hAnsi="Times New Roman"/>
          <w:szCs w:val="24"/>
        </w:rPr>
        <w:t>s</w:t>
      </w:r>
      <w:r w:rsidR="001441E8">
        <w:rPr>
          <w:rFonts w:ascii="Times New Roman" w:hAnsi="Times New Roman"/>
          <w:szCs w:val="24"/>
        </w:rPr>
        <w:t xml:space="preserve"> to whom the Secretary </w:t>
      </w:r>
      <w:r w:rsidR="00137937">
        <w:rPr>
          <w:rFonts w:ascii="Times New Roman" w:hAnsi="Times New Roman"/>
          <w:szCs w:val="24"/>
        </w:rPr>
        <w:t xml:space="preserve">can decide to </w:t>
      </w:r>
      <w:r w:rsidR="001441E8">
        <w:rPr>
          <w:rFonts w:ascii="Times New Roman" w:hAnsi="Times New Roman"/>
          <w:szCs w:val="24"/>
        </w:rPr>
        <w:t xml:space="preserve">release that information and the purposes for which the Secretary </w:t>
      </w:r>
      <w:r w:rsidR="00137937">
        <w:rPr>
          <w:rFonts w:ascii="Times New Roman" w:hAnsi="Times New Roman"/>
          <w:szCs w:val="24"/>
        </w:rPr>
        <w:t xml:space="preserve">can decide to </w:t>
      </w:r>
      <w:r w:rsidR="001441E8">
        <w:rPr>
          <w:rFonts w:ascii="Times New Roman" w:hAnsi="Times New Roman"/>
          <w:szCs w:val="24"/>
        </w:rPr>
        <w:t>release that information,</w:t>
      </w:r>
      <w:r>
        <w:rPr>
          <w:rFonts w:ascii="Times New Roman" w:hAnsi="Times New Roman"/>
          <w:szCs w:val="24"/>
        </w:rPr>
        <w:t xml:space="preserve"> are set out at Schedule 1 to the Specification.</w:t>
      </w:r>
    </w:p>
    <w:p w:rsidR="00767767" w:rsidRDefault="00767767" w:rsidP="00B16CCB">
      <w:pPr>
        <w:autoSpaceDE w:val="0"/>
        <w:autoSpaceDN w:val="0"/>
        <w:adjustRightInd w:val="0"/>
        <w:rPr>
          <w:rFonts w:ascii="Times New Roman" w:hAnsi="Times New Roman"/>
          <w:szCs w:val="24"/>
        </w:rPr>
      </w:pPr>
    </w:p>
    <w:p w:rsidR="00804792" w:rsidRPr="00804792" w:rsidRDefault="00804792" w:rsidP="00AA7276">
      <w:pPr>
        <w:ind w:right="-96"/>
        <w:rPr>
          <w:rFonts w:ascii="Times New Roman" w:hAnsi="Times New Roman"/>
          <w:b/>
          <w:szCs w:val="24"/>
        </w:rPr>
      </w:pPr>
      <w:r w:rsidRPr="00804792">
        <w:rPr>
          <w:rFonts w:ascii="Times New Roman" w:hAnsi="Times New Roman"/>
          <w:b/>
          <w:szCs w:val="24"/>
        </w:rPr>
        <w:lastRenderedPageBreak/>
        <w:t>CONSULTATION</w:t>
      </w:r>
    </w:p>
    <w:p w:rsidR="00767767" w:rsidRDefault="00767767" w:rsidP="00AA7276">
      <w:pPr>
        <w:ind w:right="-96"/>
        <w:rPr>
          <w:rFonts w:ascii="Times New Roman" w:hAnsi="Times New Roman"/>
          <w:szCs w:val="24"/>
        </w:rPr>
      </w:pPr>
    </w:p>
    <w:p w:rsidR="00EE3FD2" w:rsidRDefault="006630DD" w:rsidP="00AA7276">
      <w:pPr>
        <w:ind w:right="-96"/>
        <w:rPr>
          <w:rFonts w:ascii="Times New Roman" w:hAnsi="Times New Roman"/>
          <w:szCs w:val="24"/>
        </w:rPr>
      </w:pPr>
      <w:r>
        <w:rPr>
          <w:rFonts w:ascii="Times New Roman" w:hAnsi="Times New Roman"/>
          <w:szCs w:val="24"/>
        </w:rPr>
        <w:t>The TGA wrote to a number of Australian stakeholders</w:t>
      </w:r>
      <w:r w:rsidR="00783534">
        <w:rPr>
          <w:rFonts w:ascii="Times New Roman" w:hAnsi="Times New Roman"/>
          <w:szCs w:val="24"/>
        </w:rPr>
        <w:t xml:space="preserve">, and </w:t>
      </w:r>
      <w:proofErr w:type="spellStart"/>
      <w:r w:rsidR="00783534">
        <w:rPr>
          <w:rFonts w:ascii="Times New Roman" w:hAnsi="Times New Roman"/>
          <w:szCs w:val="24"/>
        </w:rPr>
        <w:t>Medsafe</w:t>
      </w:r>
      <w:proofErr w:type="spellEnd"/>
      <w:r w:rsidR="00783534">
        <w:rPr>
          <w:rFonts w:ascii="Times New Roman" w:hAnsi="Times New Roman"/>
          <w:szCs w:val="24"/>
        </w:rPr>
        <w:t xml:space="preserve"> wrote to a number of New Zealand stakeholders,</w:t>
      </w:r>
      <w:r>
        <w:rPr>
          <w:rFonts w:ascii="Times New Roman" w:hAnsi="Times New Roman"/>
          <w:szCs w:val="24"/>
        </w:rPr>
        <w:t xml:space="preserve"> seeking feedback both about the proposal to establish the DAEN-MD and </w:t>
      </w:r>
      <w:r w:rsidR="00093EC6">
        <w:rPr>
          <w:rFonts w:ascii="Times New Roman" w:hAnsi="Times New Roman"/>
          <w:szCs w:val="24"/>
        </w:rPr>
        <w:t xml:space="preserve">to </w:t>
      </w:r>
      <w:r w:rsidR="007B0D97">
        <w:rPr>
          <w:rFonts w:ascii="Times New Roman" w:hAnsi="Times New Roman"/>
          <w:szCs w:val="24"/>
        </w:rPr>
        <w:t xml:space="preserve">invite them to </w:t>
      </w:r>
      <w:r>
        <w:rPr>
          <w:rFonts w:ascii="Times New Roman" w:hAnsi="Times New Roman"/>
          <w:szCs w:val="24"/>
        </w:rPr>
        <w:t xml:space="preserve">test and provide input in relation to </w:t>
      </w:r>
      <w:r w:rsidR="004B694C">
        <w:rPr>
          <w:rFonts w:ascii="Times New Roman" w:hAnsi="Times New Roman"/>
          <w:szCs w:val="24"/>
        </w:rPr>
        <w:t xml:space="preserve">the functionality, suitability (in terms of informing the public about adverse events involving medical devices) and presentation of </w:t>
      </w:r>
      <w:r>
        <w:rPr>
          <w:rFonts w:ascii="Times New Roman" w:hAnsi="Times New Roman"/>
          <w:szCs w:val="24"/>
        </w:rPr>
        <w:t>a prototype of that database.</w:t>
      </w:r>
    </w:p>
    <w:p w:rsidR="006630DD" w:rsidRDefault="006630DD" w:rsidP="00AA7276">
      <w:pPr>
        <w:ind w:right="-96"/>
        <w:rPr>
          <w:rFonts w:ascii="Times New Roman" w:hAnsi="Times New Roman"/>
          <w:szCs w:val="24"/>
        </w:rPr>
      </w:pPr>
    </w:p>
    <w:p w:rsidR="00EE3FD2" w:rsidRDefault="006630DD" w:rsidP="00AA7276">
      <w:pPr>
        <w:ind w:right="-96"/>
        <w:rPr>
          <w:rFonts w:ascii="Times New Roman" w:hAnsi="Times New Roman"/>
          <w:szCs w:val="24"/>
        </w:rPr>
      </w:pPr>
      <w:r>
        <w:rPr>
          <w:rFonts w:ascii="Times New Roman" w:hAnsi="Times New Roman"/>
          <w:szCs w:val="24"/>
        </w:rPr>
        <w:t xml:space="preserve">The Australian stakeholders who were contacted </w:t>
      </w:r>
      <w:r w:rsidR="00594173">
        <w:rPr>
          <w:rFonts w:ascii="Times New Roman" w:hAnsi="Times New Roman"/>
          <w:szCs w:val="24"/>
        </w:rPr>
        <w:t xml:space="preserve">included </w:t>
      </w:r>
      <w:r>
        <w:rPr>
          <w:rFonts w:ascii="Times New Roman" w:hAnsi="Times New Roman"/>
          <w:szCs w:val="24"/>
        </w:rPr>
        <w:t>the Consumers Health Forum of A</w:t>
      </w:r>
      <w:r w:rsidR="00594173">
        <w:rPr>
          <w:rFonts w:ascii="Times New Roman" w:hAnsi="Times New Roman"/>
          <w:szCs w:val="24"/>
        </w:rPr>
        <w:t>ustralia</w:t>
      </w:r>
      <w:r>
        <w:rPr>
          <w:rFonts w:ascii="Times New Roman" w:hAnsi="Times New Roman"/>
          <w:szCs w:val="24"/>
        </w:rPr>
        <w:t xml:space="preserve"> and the Medical Technology Association of Australia.</w:t>
      </w:r>
    </w:p>
    <w:p w:rsidR="00594173" w:rsidRPr="006630DD" w:rsidRDefault="00594173" w:rsidP="00AA7276">
      <w:pPr>
        <w:ind w:right="-96"/>
        <w:rPr>
          <w:rFonts w:ascii="Times New Roman" w:hAnsi="Times New Roman"/>
          <w:szCs w:val="24"/>
        </w:rPr>
      </w:pPr>
    </w:p>
    <w:p w:rsidR="007336A4" w:rsidRDefault="007336A4" w:rsidP="00121B98">
      <w:pPr>
        <w:rPr>
          <w:color w:val="000000"/>
          <w:szCs w:val="24"/>
        </w:rPr>
      </w:pPr>
      <w:r>
        <w:rPr>
          <w:color w:val="000000"/>
          <w:szCs w:val="24"/>
        </w:rPr>
        <w:t xml:space="preserve">The </w:t>
      </w:r>
      <w:r w:rsidR="00390C68">
        <w:rPr>
          <w:color w:val="000000"/>
          <w:szCs w:val="24"/>
        </w:rPr>
        <w:t>Specification</w:t>
      </w:r>
      <w:r>
        <w:rPr>
          <w:color w:val="000000"/>
          <w:szCs w:val="24"/>
        </w:rPr>
        <w:t xml:space="preserve"> </w:t>
      </w:r>
      <w:r w:rsidR="00797500">
        <w:rPr>
          <w:color w:val="000000"/>
          <w:szCs w:val="24"/>
        </w:rPr>
        <w:t>is</w:t>
      </w:r>
      <w:r>
        <w:rPr>
          <w:color w:val="000000"/>
          <w:szCs w:val="24"/>
        </w:rPr>
        <w:t xml:space="preserve"> a legislative instrument for the purpose</w:t>
      </w:r>
      <w:r w:rsidR="00296766">
        <w:rPr>
          <w:color w:val="000000"/>
          <w:szCs w:val="24"/>
        </w:rPr>
        <w:t>s</w:t>
      </w:r>
      <w:r>
        <w:rPr>
          <w:color w:val="000000"/>
          <w:szCs w:val="24"/>
        </w:rPr>
        <w:t xml:space="preserve"> of the </w:t>
      </w:r>
      <w:r w:rsidRPr="007336A4">
        <w:rPr>
          <w:i/>
          <w:color w:val="000000"/>
          <w:szCs w:val="24"/>
        </w:rPr>
        <w:t>Legislative Instruments Act 2003</w:t>
      </w:r>
      <w:r>
        <w:rPr>
          <w:color w:val="000000"/>
          <w:szCs w:val="24"/>
        </w:rPr>
        <w:t>.</w:t>
      </w:r>
    </w:p>
    <w:p w:rsidR="00804792" w:rsidRDefault="00804792" w:rsidP="00121B98">
      <w:pPr>
        <w:rPr>
          <w:color w:val="000000"/>
          <w:szCs w:val="24"/>
        </w:rPr>
      </w:pPr>
    </w:p>
    <w:p w:rsidR="0062525A" w:rsidRDefault="0062525A" w:rsidP="0062525A">
      <w:r>
        <w:t xml:space="preserve">In relation to compatibility with human rights, it is considered that the Specification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attached.</w:t>
      </w:r>
    </w:p>
    <w:p w:rsidR="0062525A" w:rsidRDefault="0062525A" w:rsidP="0062525A"/>
    <w:p w:rsidR="0062525A" w:rsidRDefault="0062525A" w:rsidP="0062525A">
      <w:pPr>
        <w:rPr>
          <w:b/>
        </w:rPr>
      </w:pPr>
      <w:r>
        <w:rPr>
          <w:b/>
        </w:rPr>
        <w:t>ATTACHMENTS</w:t>
      </w:r>
    </w:p>
    <w:p w:rsidR="0062525A" w:rsidRDefault="0062525A" w:rsidP="0062525A">
      <w:pPr>
        <w:rPr>
          <w:szCs w:val="24"/>
        </w:rPr>
      </w:pPr>
    </w:p>
    <w:p w:rsidR="002A6928" w:rsidRDefault="0062525A">
      <w:pPr>
        <w:ind w:left="720" w:hanging="720"/>
        <w:rPr>
          <w:color w:val="000000"/>
          <w:szCs w:val="24"/>
        </w:rPr>
      </w:pPr>
      <w:r>
        <w:rPr>
          <w:szCs w:val="24"/>
        </w:rPr>
        <w:t xml:space="preserve">1. </w:t>
      </w:r>
      <w:r w:rsidR="004C1E70">
        <w:rPr>
          <w:szCs w:val="24"/>
        </w:rPr>
        <w:tab/>
      </w:r>
      <w:r>
        <w:rPr>
          <w:bCs/>
        </w:rPr>
        <w:t>Statement of compatibility for a legislative instrument that does not raise any human rights issues (Therapeutic Goods Information (</w:t>
      </w:r>
      <w:r w:rsidR="00792283">
        <w:rPr>
          <w:bCs/>
        </w:rPr>
        <w:t xml:space="preserve">Stakeholder Consultation on Database of </w:t>
      </w:r>
      <w:r>
        <w:rPr>
          <w:bCs/>
        </w:rPr>
        <w:t xml:space="preserve">Adverse </w:t>
      </w:r>
      <w:r w:rsidR="001E1B5E">
        <w:rPr>
          <w:bCs/>
        </w:rPr>
        <w:t>Event</w:t>
      </w:r>
      <w:r w:rsidR="00792283">
        <w:rPr>
          <w:bCs/>
        </w:rPr>
        <w:t xml:space="preserve"> Notification</w:t>
      </w:r>
      <w:r w:rsidR="001E1B5E">
        <w:rPr>
          <w:bCs/>
        </w:rPr>
        <w:t>s</w:t>
      </w:r>
      <w:r w:rsidR="00471E2B">
        <w:rPr>
          <w:bCs/>
        </w:rPr>
        <w:t xml:space="preserve"> – Medical Devices) Specification 2013</w:t>
      </w:r>
      <w:r>
        <w:rPr>
          <w:bCs/>
        </w:rPr>
        <w:t>).</w:t>
      </w:r>
    </w:p>
    <w:p w:rsidR="007336A4" w:rsidRDefault="007336A4" w:rsidP="00121B98">
      <w:pPr>
        <w:rPr>
          <w:color w:val="000000"/>
          <w:szCs w:val="24"/>
        </w:rPr>
      </w:pPr>
    </w:p>
    <w:p w:rsidR="00797500" w:rsidRDefault="00797500">
      <w:pPr>
        <w:pStyle w:val="Header"/>
        <w:tabs>
          <w:tab w:val="clear" w:pos="4153"/>
          <w:tab w:val="clear" w:pos="8306"/>
          <w:tab w:val="left" w:pos="4395"/>
          <w:tab w:val="left" w:pos="5529"/>
        </w:tabs>
        <w:ind w:hanging="1797"/>
        <w:rPr>
          <w:i/>
        </w:rPr>
      </w:pPr>
    </w:p>
    <w:sectPr w:rsidR="00797500" w:rsidSect="001E1C95">
      <w:headerReference w:type="even" r:id="rId8"/>
      <w:headerReference w:type="default" r:id="rId9"/>
      <w:footerReference w:type="default" r:id="rId10"/>
      <w:footerReference w:type="first" r:id="rId11"/>
      <w:pgSz w:w="11907" w:h="16840" w:code="9"/>
      <w:pgMar w:top="1134" w:right="147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C6" w:rsidRDefault="00093EC6">
      <w:r>
        <w:separator/>
      </w:r>
    </w:p>
  </w:endnote>
  <w:endnote w:type="continuationSeparator" w:id="0">
    <w:p w:rsidR="00093EC6" w:rsidRDefault="00093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6" w:rsidRPr="00BD3496" w:rsidRDefault="00093EC6" w:rsidP="00BD3496">
    <w:pPr>
      <w:pStyle w:val="Footer"/>
      <w:jc w:val="right"/>
      <w:rPr>
        <w:i/>
        <w:sz w:val="20"/>
      </w:rPr>
    </w:pPr>
    <w:r w:rsidRPr="00BD3496">
      <w:rPr>
        <w:i/>
        <w:snapToGrid w:val="0"/>
        <w:sz w:val="20"/>
        <w:lang w:eastAsia="en-US"/>
      </w:rPr>
      <w:t xml:space="preserve">Page </w:t>
    </w:r>
    <w:r w:rsidR="000D5325" w:rsidRPr="00BD3496">
      <w:rPr>
        <w:i/>
        <w:snapToGrid w:val="0"/>
        <w:sz w:val="20"/>
        <w:lang w:eastAsia="en-US"/>
      </w:rPr>
      <w:fldChar w:fldCharType="begin"/>
    </w:r>
    <w:r w:rsidRPr="00BD3496">
      <w:rPr>
        <w:i/>
        <w:snapToGrid w:val="0"/>
        <w:sz w:val="20"/>
        <w:lang w:eastAsia="en-US"/>
      </w:rPr>
      <w:instrText xml:space="preserve"> PAGE </w:instrText>
    </w:r>
    <w:r w:rsidR="000D5325" w:rsidRPr="00BD3496">
      <w:rPr>
        <w:i/>
        <w:snapToGrid w:val="0"/>
        <w:sz w:val="20"/>
        <w:lang w:eastAsia="en-US"/>
      </w:rPr>
      <w:fldChar w:fldCharType="separate"/>
    </w:r>
    <w:r w:rsidR="005043E9">
      <w:rPr>
        <w:i/>
        <w:noProof/>
        <w:snapToGrid w:val="0"/>
        <w:sz w:val="20"/>
        <w:lang w:eastAsia="en-US"/>
      </w:rPr>
      <w:t>3</w:t>
    </w:r>
    <w:r w:rsidR="000D5325" w:rsidRPr="00BD3496">
      <w:rPr>
        <w:i/>
        <w:snapToGrid w:val="0"/>
        <w:sz w:val="20"/>
        <w:lang w:eastAsia="en-US"/>
      </w:rPr>
      <w:fldChar w:fldCharType="end"/>
    </w:r>
    <w:r w:rsidRPr="00BD3496">
      <w:rPr>
        <w:i/>
        <w:snapToGrid w:val="0"/>
        <w:sz w:val="20"/>
        <w:lang w:eastAsia="en-US"/>
      </w:rPr>
      <w:t xml:space="preserve"> of </w:t>
    </w:r>
    <w:r w:rsidR="000D5325" w:rsidRPr="00BD3496">
      <w:rPr>
        <w:i/>
        <w:snapToGrid w:val="0"/>
        <w:sz w:val="20"/>
        <w:lang w:eastAsia="en-US"/>
      </w:rPr>
      <w:fldChar w:fldCharType="begin"/>
    </w:r>
    <w:r w:rsidRPr="00BD3496">
      <w:rPr>
        <w:i/>
        <w:snapToGrid w:val="0"/>
        <w:sz w:val="20"/>
        <w:lang w:eastAsia="en-US"/>
      </w:rPr>
      <w:instrText xml:space="preserve"> NUMPAGES </w:instrText>
    </w:r>
    <w:r w:rsidR="000D5325" w:rsidRPr="00BD3496">
      <w:rPr>
        <w:i/>
        <w:snapToGrid w:val="0"/>
        <w:sz w:val="20"/>
        <w:lang w:eastAsia="en-US"/>
      </w:rPr>
      <w:fldChar w:fldCharType="separate"/>
    </w:r>
    <w:r w:rsidR="005043E9">
      <w:rPr>
        <w:i/>
        <w:noProof/>
        <w:snapToGrid w:val="0"/>
        <w:sz w:val="20"/>
        <w:lang w:eastAsia="en-US"/>
      </w:rPr>
      <w:t>4</w:t>
    </w:r>
    <w:r w:rsidR="000D5325" w:rsidRPr="00BD3496">
      <w:rPr>
        <w:i/>
        <w:snapToGrid w:val="0"/>
        <w:sz w:val="20"/>
        <w:lang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6" w:rsidRDefault="00093EC6" w:rsidP="00457E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C6" w:rsidRDefault="00093EC6">
      <w:r>
        <w:separator/>
      </w:r>
    </w:p>
  </w:footnote>
  <w:footnote w:type="continuationSeparator" w:id="0">
    <w:p w:rsidR="00093EC6" w:rsidRDefault="00093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6" w:rsidRDefault="000D5325" w:rsidP="00B24E0B">
    <w:pPr>
      <w:pStyle w:val="Header"/>
      <w:framePr w:wrap="around" w:vAnchor="text" w:hAnchor="margin" w:xAlign="center" w:y="1"/>
      <w:rPr>
        <w:rStyle w:val="PageNumber"/>
      </w:rPr>
    </w:pPr>
    <w:r>
      <w:rPr>
        <w:rStyle w:val="PageNumber"/>
      </w:rPr>
      <w:fldChar w:fldCharType="begin"/>
    </w:r>
    <w:r w:rsidR="00093EC6">
      <w:rPr>
        <w:rStyle w:val="PageNumber"/>
      </w:rPr>
      <w:instrText xml:space="preserve">PAGE  </w:instrText>
    </w:r>
    <w:r>
      <w:rPr>
        <w:rStyle w:val="PageNumber"/>
      </w:rPr>
      <w:fldChar w:fldCharType="end"/>
    </w:r>
  </w:p>
  <w:p w:rsidR="00093EC6" w:rsidRDefault="00093E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6" w:rsidRDefault="000D5325" w:rsidP="00B24E0B">
    <w:pPr>
      <w:pStyle w:val="Header"/>
      <w:framePr w:wrap="around" w:vAnchor="text" w:hAnchor="margin" w:xAlign="center" w:y="1"/>
      <w:rPr>
        <w:rStyle w:val="PageNumber"/>
      </w:rPr>
    </w:pPr>
    <w:r>
      <w:rPr>
        <w:rStyle w:val="PageNumber"/>
      </w:rPr>
      <w:fldChar w:fldCharType="begin"/>
    </w:r>
    <w:r w:rsidR="00093EC6">
      <w:rPr>
        <w:rStyle w:val="PageNumber"/>
      </w:rPr>
      <w:instrText xml:space="preserve">PAGE  </w:instrText>
    </w:r>
    <w:r>
      <w:rPr>
        <w:rStyle w:val="PageNumber"/>
      </w:rPr>
      <w:fldChar w:fldCharType="separate"/>
    </w:r>
    <w:r w:rsidR="005043E9">
      <w:rPr>
        <w:rStyle w:val="PageNumber"/>
        <w:noProof/>
      </w:rPr>
      <w:t>3</w:t>
    </w:r>
    <w:r>
      <w:rPr>
        <w:rStyle w:val="PageNumber"/>
      </w:rPr>
      <w:fldChar w:fldCharType="end"/>
    </w:r>
  </w:p>
  <w:p w:rsidR="00093EC6" w:rsidRDefault="00093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9FC"/>
    <w:multiLevelType w:val="hybridMultilevel"/>
    <w:tmpl w:val="84902848"/>
    <w:lvl w:ilvl="0" w:tplc="CECE67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651B6"/>
    <w:multiLevelType w:val="hybridMultilevel"/>
    <w:tmpl w:val="84902848"/>
    <w:lvl w:ilvl="0" w:tplc="CECE6790">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F676CC2"/>
    <w:multiLevelType w:val="hybridMultilevel"/>
    <w:tmpl w:val="21A0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removePersonalInformation/>
  <w:removeDateAndTime/>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7500"/>
    <w:rsid w:val="0000255C"/>
    <w:rsid w:val="000119AF"/>
    <w:rsid w:val="000224DD"/>
    <w:rsid w:val="00025E28"/>
    <w:rsid w:val="00025FDC"/>
    <w:rsid w:val="00030C6D"/>
    <w:rsid w:val="000323FF"/>
    <w:rsid w:val="00042160"/>
    <w:rsid w:val="00052DB9"/>
    <w:rsid w:val="00055C58"/>
    <w:rsid w:val="00066612"/>
    <w:rsid w:val="000728FC"/>
    <w:rsid w:val="000735B6"/>
    <w:rsid w:val="00082E89"/>
    <w:rsid w:val="00093702"/>
    <w:rsid w:val="00093EC6"/>
    <w:rsid w:val="00094D39"/>
    <w:rsid w:val="00095138"/>
    <w:rsid w:val="00097B12"/>
    <w:rsid w:val="000A256F"/>
    <w:rsid w:val="000A4FEF"/>
    <w:rsid w:val="000B04DE"/>
    <w:rsid w:val="000B3CD4"/>
    <w:rsid w:val="000B4733"/>
    <w:rsid w:val="000C0AD7"/>
    <w:rsid w:val="000D1F50"/>
    <w:rsid w:val="000D5325"/>
    <w:rsid w:val="000D742C"/>
    <w:rsid w:val="000D7657"/>
    <w:rsid w:val="000E5C91"/>
    <w:rsid w:val="000F2F24"/>
    <w:rsid w:val="000F427F"/>
    <w:rsid w:val="000F42C5"/>
    <w:rsid w:val="000F4945"/>
    <w:rsid w:val="00101078"/>
    <w:rsid w:val="001051B8"/>
    <w:rsid w:val="001115C4"/>
    <w:rsid w:val="001122BC"/>
    <w:rsid w:val="00114FEE"/>
    <w:rsid w:val="00116A76"/>
    <w:rsid w:val="00116DB6"/>
    <w:rsid w:val="00117D4C"/>
    <w:rsid w:val="00121B98"/>
    <w:rsid w:val="00122154"/>
    <w:rsid w:val="00127127"/>
    <w:rsid w:val="00137937"/>
    <w:rsid w:val="0014093C"/>
    <w:rsid w:val="00141FAD"/>
    <w:rsid w:val="001441E8"/>
    <w:rsid w:val="00160372"/>
    <w:rsid w:val="00161367"/>
    <w:rsid w:val="00167CB8"/>
    <w:rsid w:val="0017129A"/>
    <w:rsid w:val="0017181D"/>
    <w:rsid w:val="001738BC"/>
    <w:rsid w:val="00174D05"/>
    <w:rsid w:val="00176D12"/>
    <w:rsid w:val="00182D10"/>
    <w:rsid w:val="001841F4"/>
    <w:rsid w:val="001845E0"/>
    <w:rsid w:val="00191423"/>
    <w:rsid w:val="00191AF0"/>
    <w:rsid w:val="001927C9"/>
    <w:rsid w:val="001966FD"/>
    <w:rsid w:val="001A2EF3"/>
    <w:rsid w:val="001A3B7C"/>
    <w:rsid w:val="001A4CC2"/>
    <w:rsid w:val="001A5407"/>
    <w:rsid w:val="001B36BE"/>
    <w:rsid w:val="001B584F"/>
    <w:rsid w:val="001C0DB5"/>
    <w:rsid w:val="001C55AA"/>
    <w:rsid w:val="001D0C9A"/>
    <w:rsid w:val="001D27B4"/>
    <w:rsid w:val="001E0E76"/>
    <w:rsid w:val="001E1B5E"/>
    <w:rsid w:val="001E1C95"/>
    <w:rsid w:val="001E2835"/>
    <w:rsid w:val="001F6C11"/>
    <w:rsid w:val="00201E92"/>
    <w:rsid w:val="002030BD"/>
    <w:rsid w:val="00203B2A"/>
    <w:rsid w:val="00205575"/>
    <w:rsid w:val="00214028"/>
    <w:rsid w:val="002239C4"/>
    <w:rsid w:val="00227214"/>
    <w:rsid w:val="00233D67"/>
    <w:rsid w:val="002503C2"/>
    <w:rsid w:val="002506DB"/>
    <w:rsid w:val="00250743"/>
    <w:rsid w:val="0025431F"/>
    <w:rsid w:val="002560A5"/>
    <w:rsid w:val="00256F8C"/>
    <w:rsid w:val="00264347"/>
    <w:rsid w:val="00266A9F"/>
    <w:rsid w:val="002705B7"/>
    <w:rsid w:val="00270F5B"/>
    <w:rsid w:val="00271F07"/>
    <w:rsid w:val="0028175C"/>
    <w:rsid w:val="00284B51"/>
    <w:rsid w:val="0028529F"/>
    <w:rsid w:val="002854B0"/>
    <w:rsid w:val="00285A9D"/>
    <w:rsid w:val="00287FB8"/>
    <w:rsid w:val="002903D1"/>
    <w:rsid w:val="00292825"/>
    <w:rsid w:val="0029310D"/>
    <w:rsid w:val="00294434"/>
    <w:rsid w:val="00294DD7"/>
    <w:rsid w:val="00296766"/>
    <w:rsid w:val="002A1152"/>
    <w:rsid w:val="002A67C8"/>
    <w:rsid w:val="002A691A"/>
    <w:rsid w:val="002A6928"/>
    <w:rsid w:val="002B3978"/>
    <w:rsid w:val="002B3B72"/>
    <w:rsid w:val="002B3E25"/>
    <w:rsid w:val="002B4A3A"/>
    <w:rsid w:val="002C1A2D"/>
    <w:rsid w:val="002C453D"/>
    <w:rsid w:val="002C5253"/>
    <w:rsid w:val="002D1BC0"/>
    <w:rsid w:val="002E23EC"/>
    <w:rsid w:val="002E5D2F"/>
    <w:rsid w:val="00300118"/>
    <w:rsid w:val="003018E0"/>
    <w:rsid w:val="003026E8"/>
    <w:rsid w:val="003042B8"/>
    <w:rsid w:val="00305809"/>
    <w:rsid w:val="00310F35"/>
    <w:rsid w:val="00312343"/>
    <w:rsid w:val="003160C6"/>
    <w:rsid w:val="003168A9"/>
    <w:rsid w:val="00323CBE"/>
    <w:rsid w:val="00325772"/>
    <w:rsid w:val="0033633C"/>
    <w:rsid w:val="00337E71"/>
    <w:rsid w:val="00337FC0"/>
    <w:rsid w:val="00340137"/>
    <w:rsid w:val="00340B68"/>
    <w:rsid w:val="00344E3E"/>
    <w:rsid w:val="003469D8"/>
    <w:rsid w:val="00347661"/>
    <w:rsid w:val="00360C3B"/>
    <w:rsid w:val="00361A4E"/>
    <w:rsid w:val="00366445"/>
    <w:rsid w:val="00366468"/>
    <w:rsid w:val="00376F28"/>
    <w:rsid w:val="00386D9E"/>
    <w:rsid w:val="00387886"/>
    <w:rsid w:val="00390C68"/>
    <w:rsid w:val="00394407"/>
    <w:rsid w:val="003965FC"/>
    <w:rsid w:val="003968A2"/>
    <w:rsid w:val="003A1334"/>
    <w:rsid w:val="003A133E"/>
    <w:rsid w:val="003C082C"/>
    <w:rsid w:val="003C4F0B"/>
    <w:rsid w:val="003D2F8B"/>
    <w:rsid w:val="003D78A5"/>
    <w:rsid w:val="003E0EDF"/>
    <w:rsid w:val="003E246D"/>
    <w:rsid w:val="003E54F0"/>
    <w:rsid w:val="003E7E18"/>
    <w:rsid w:val="003F05A3"/>
    <w:rsid w:val="003F1B8E"/>
    <w:rsid w:val="003F37B0"/>
    <w:rsid w:val="003F3E40"/>
    <w:rsid w:val="003F4D88"/>
    <w:rsid w:val="003F6BD6"/>
    <w:rsid w:val="00403D71"/>
    <w:rsid w:val="00405A12"/>
    <w:rsid w:val="00406563"/>
    <w:rsid w:val="004072C3"/>
    <w:rsid w:val="0042386A"/>
    <w:rsid w:val="004263AC"/>
    <w:rsid w:val="00431E4A"/>
    <w:rsid w:val="004343B8"/>
    <w:rsid w:val="00440FE5"/>
    <w:rsid w:val="00442753"/>
    <w:rsid w:val="00443637"/>
    <w:rsid w:val="004442C2"/>
    <w:rsid w:val="00447DA4"/>
    <w:rsid w:val="0045006A"/>
    <w:rsid w:val="004509AD"/>
    <w:rsid w:val="004527AB"/>
    <w:rsid w:val="00457A49"/>
    <w:rsid w:val="00457D99"/>
    <w:rsid w:val="00457E4A"/>
    <w:rsid w:val="0046156B"/>
    <w:rsid w:val="00462233"/>
    <w:rsid w:val="00465AA8"/>
    <w:rsid w:val="004675BA"/>
    <w:rsid w:val="00467F28"/>
    <w:rsid w:val="00471E2B"/>
    <w:rsid w:val="00475275"/>
    <w:rsid w:val="00481A8E"/>
    <w:rsid w:val="00482D78"/>
    <w:rsid w:val="004A3F70"/>
    <w:rsid w:val="004B02BA"/>
    <w:rsid w:val="004B0AE7"/>
    <w:rsid w:val="004B0BD6"/>
    <w:rsid w:val="004B694C"/>
    <w:rsid w:val="004B725B"/>
    <w:rsid w:val="004C01C8"/>
    <w:rsid w:val="004C11C2"/>
    <w:rsid w:val="004C1E70"/>
    <w:rsid w:val="004C5180"/>
    <w:rsid w:val="004D3ECD"/>
    <w:rsid w:val="004D4D47"/>
    <w:rsid w:val="0050141A"/>
    <w:rsid w:val="00501A93"/>
    <w:rsid w:val="00501D89"/>
    <w:rsid w:val="005043E9"/>
    <w:rsid w:val="00506B1D"/>
    <w:rsid w:val="005227E9"/>
    <w:rsid w:val="00526D02"/>
    <w:rsid w:val="00534FF8"/>
    <w:rsid w:val="00536845"/>
    <w:rsid w:val="00536D03"/>
    <w:rsid w:val="00541205"/>
    <w:rsid w:val="0054222B"/>
    <w:rsid w:val="00545926"/>
    <w:rsid w:val="00547DA8"/>
    <w:rsid w:val="00552F6E"/>
    <w:rsid w:val="0055347F"/>
    <w:rsid w:val="005553EE"/>
    <w:rsid w:val="00556DCD"/>
    <w:rsid w:val="00565460"/>
    <w:rsid w:val="0057030E"/>
    <w:rsid w:val="0058053F"/>
    <w:rsid w:val="00584BDA"/>
    <w:rsid w:val="00587E82"/>
    <w:rsid w:val="00590250"/>
    <w:rsid w:val="00594173"/>
    <w:rsid w:val="00596F43"/>
    <w:rsid w:val="005A637A"/>
    <w:rsid w:val="005B168D"/>
    <w:rsid w:val="005B2637"/>
    <w:rsid w:val="005B548D"/>
    <w:rsid w:val="005C0444"/>
    <w:rsid w:val="005C5F7B"/>
    <w:rsid w:val="005C643A"/>
    <w:rsid w:val="005D69F3"/>
    <w:rsid w:val="005E2709"/>
    <w:rsid w:val="005E4E39"/>
    <w:rsid w:val="005F06C6"/>
    <w:rsid w:val="005F28F3"/>
    <w:rsid w:val="005F3F50"/>
    <w:rsid w:val="005F66ED"/>
    <w:rsid w:val="005F68DE"/>
    <w:rsid w:val="005F7D9E"/>
    <w:rsid w:val="006110AA"/>
    <w:rsid w:val="0061208E"/>
    <w:rsid w:val="00613606"/>
    <w:rsid w:val="00617085"/>
    <w:rsid w:val="00617887"/>
    <w:rsid w:val="00620474"/>
    <w:rsid w:val="0062525A"/>
    <w:rsid w:val="00631E9B"/>
    <w:rsid w:val="0064127C"/>
    <w:rsid w:val="00642E5D"/>
    <w:rsid w:val="00646167"/>
    <w:rsid w:val="006464B2"/>
    <w:rsid w:val="00650736"/>
    <w:rsid w:val="00650861"/>
    <w:rsid w:val="00656079"/>
    <w:rsid w:val="00660062"/>
    <w:rsid w:val="006630DD"/>
    <w:rsid w:val="00665109"/>
    <w:rsid w:val="00667436"/>
    <w:rsid w:val="00667A1C"/>
    <w:rsid w:val="00667A70"/>
    <w:rsid w:val="00670631"/>
    <w:rsid w:val="00672714"/>
    <w:rsid w:val="00675855"/>
    <w:rsid w:val="0067666F"/>
    <w:rsid w:val="00684D45"/>
    <w:rsid w:val="00687342"/>
    <w:rsid w:val="006873E6"/>
    <w:rsid w:val="006935B2"/>
    <w:rsid w:val="006948E9"/>
    <w:rsid w:val="006968E2"/>
    <w:rsid w:val="00696977"/>
    <w:rsid w:val="006B326C"/>
    <w:rsid w:val="006B6952"/>
    <w:rsid w:val="006C0292"/>
    <w:rsid w:val="006D33F7"/>
    <w:rsid w:val="006D5658"/>
    <w:rsid w:val="006D651C"/>
    <w:rsid w:val="006E0FEA"/>
    <w:rsid w:val="006E1C15"/>
    <w:rsid w:val="006E2450"/>
    <w:rsid w:val="006E3F38"/>
    <w:rsid w:val="006E4C0A"/>
    <w:rsid w:val="006E7775"/>
    <w:rsid w:val="006F2DDD"/>
    <w:rsid w:val="006F7E73"/>
    <w:rsid w:val="0070048E"/>
    <w:rsid w:val="00701D6D"/>
    <w:rsid w:val="00704644"/>
    <w:rsid w:val="00706644"/>
    <w:rsid w:val="00713099"/>
    <w:rsid w:val="00717CBB"/>
    <w:rsid w:val="00721C1E"/>
    <w:rsid w:val="007225AE"/>
    <w:rsid w:val="007336A4"/>
    <w:rsid w:val="0073580B"/>
    <w:rsid w:val="00740631"/>
    <w:rsid w:val="00744A35"/>
    <w:rsid w:val="007532B4"/>
    <w:rsid w:val="00761A7E"/>
    <w:rsid w:val="00763359"/>
    <w:rsid w:val="00764B01"/>
    <w:rsid w:val="00767767"/>
    <w:rsid w:val="0077206F"/>
    <w:rsid w:val="007758B2"/>
    <w:rsid w:val="00783534"/>
    <w:rsid w:val="00787D41"/>
    <w:rsid w:val="007914BE"/>
    <w:rsid w:val="00791E53"/>
    <w:rsid w:val="00792283"/>
    <w:rsid w:val="00794FCA"/>
    <w:rsid w:val="00796B78"/>
    <w:rsid w:val="00797500"/>
    <w:rsid w:val="007A0799"/>
    <w:rsid w:val="007A3951"/>
    <w:rsid w:val="007A7DD4"/>
    <w:rsid w:val="007B0971"/>
    <w:rsid w:val="007B0D97"/>
    <w:rsid w:val="007C06DC"/>
    <w:rsid w:val="007C793A"/>
    <w:rsid w:val="007D5311"/>
    <w:rsid w:val="007D55C1"/>
    <w:rsid w:val="007D55DA"/>
    <w:rsid w:val="007D55FB"/>
    <w:rsid w:val="007E045E"/>
    <w:rsid w:val="007E277B"/>
    <w:rsid w:val="007E5592"/>
    <w:rsid w:val="007E64B2"/>
    <w:rsid w:val="007E77E7"/>
    <w:rsid w:val="007E7E48"/>
    <w:rsid w:val="007F19D3"/>
    <w:rsid w:val="007F3023"/>
    <w:rsid w:val="008005AA"/>
    <w:rsid w:val="00804792"/>
    <w:rsid w:val="008053B3"/>
    <w:rsid w:val="0081111D"/>
    <w:rsid w:val="008112F1"/>
    <w:rsid w:val="00814F4C"/>
    <w:rsid w:val="0082080E"/>
    <w:rsid w:val="008209B5"/>
    <w:rsid w:val="0082226A"/>
    <w:rsid w:val="00834441"/>
    <w:rsid w:val="0083525F"/>
    <w:rsid w:val="00851EC7"/>
    <w:rsid w:val="00853964"/>
    <w:rsid w:val="00857E0B"/>
    <w:rsid w:val="00862462"/>
    <w:rsid w:val="00864FF8"/>
    <w:rsid w:val="00865662"/>
    <w:rsid w:val="0086742F"/>
    <w:rsid w:val="00867E77"/>
    <w:rsid w:val="00871B7C"/>
    <w:rsid w:val="00874803"/>
    <w:rsid w:val="008805AC"/>
    <w:rsid w:val="0088763C"/>
    <w:rsid w:val="00892240"/>
    <w:rsid w:val="008949B2"/>
    <w:rsid w:val="00894E94"/>
    <w:rsid w:val="00895522"/>
    <w:rsid w:val="008A10C3"/>
    <w:rsid w:val="008A1261"/>
    <w:rsid w:val="008A625B"/>
    <w:rsid w:val="008B3D10"/>
    <w:rsid w:val="008B73DC"/>
    <w:rsid w:val="008B75D3"/>
    <w:rsid w:val="008C089F"/>
    <w:rsid w:val="008C0C2A"/>
    <w:rsid w:val="008C213A"/>
    <w:rsid w:val="008C240E"/>
    <w:rsid w:val="008D0530"/>
    <w:rsid w:val="008E12EF"/>
    <w:rsid w:val="008E2EC3"/>
    <w:rsid w:val="008E3C53"/>
    <w:rsid w:val="008E77D9"/>
    <w:rsid w:val="008F250B"/>
    <w:rsid w:val="008F3FC3"/>
    <w:rsid w:val="008F5B37"/>
    <w:rsid w:val="00900A32"/>
    <w:rsid w:val="00901680"/>
    <w:rsid w:val="00901FDE"/>
    <w:rsid w:val="009034E3"/>
    <w:rsid w:val="00905C83"/>
    <w:rsid w:val="009073EB"/>
    <w:rsid w:val="00910CFE"/>
    <w:rsid w:val="00914A07"/>
    <w:rsid w:val="00916A81"/>
    <w:rsid w:val="00920B5D"/>
    <w:rsid w:val="00920E79"/>
    <w:rsid w:val="0092281C"/>
    <w:rsid w:val="00926D2A"/>
    <w:rsid w:val="00931ECF"/>
    <w:rsid w:val="00944494"/>
    <w:rsid w:val="00947C7B"/>
    <w:rsid w:val="00947D6B"/>
    <w:rsid w:val="0095276A"/>
    <w:rsid w:val="00953CAF"/>
    <w:rsid w:val="00956850"/>
    <w:rsid w:val="0095693D"/>
    <w:rsid w:val="009601E5"/>
    <w:rsid w:val="00971F36"/>
    <w:rsid w:val="00977CE3"/>
    <w:rsid w:val="00981D5B"/>
    <w:rsid w:val="00983592"/>
    <w:rsid w:val="0098690B"/>
    <w:rsid w:val="00994A4A"/>
    <w:rsid w:val="009A47D1"/>
    <w:rsid w:val="009A6128"/>
    <w:rsid w:val="009B0749"/>
    <w:rsid w:val="009B1EEF"/>
    <w:rsid w:val="009B6DEE"/>
    <w:rsid w:val="009C31EC"/>
    <w:rsid w:val="009C7AA3"/>
    <w:rsid w:val="009D7B59"/>
    <w:rsid w:val="009F10B0"/>
    <w:rsid w:val="009F2084"/>
    <w:rsid w:val="009F26FE"/>
    <w:rsid w:val="009F290F"/>
    <w:rsid w:val="00A006C5"/>
    <w:rsid w:val="00A03865"/>
    <w:rsid w:val="00A03977"/>
    <w:rsid w:val="00A05133"/>
    <w:rsid w:val="00A11D17"/>
    <w:rsid w:val="00A13236"/>
    <w:rsid w:val="00A1797C"/>
    <w:rsid w:val="00A2087B"/>
    <w:rsid w:val="00A2181D"/>
    <w:rsid w:val="00A25BB0"/>
    <w:rsid w:val="00A25C40"/>
    <w:rsid w:val="00A34B32"/>
    <w:rsid w:val="00A35081"/>
    <w:rsid w:val="00A441B5"/>
    <w:rsid w:val="00A575F2"/>
    <w:rsid w:val="00A57A0D"/>
    <w:rsid w:val="00A6403F"/>
    <w:rsid w:val="00A67247"/>
    <w:rsid w:val="00A704C2"/>
    <w:rsid w:val="00A7063B"/>
    <w:rsid w:val="00A74A79"/>
    <w:rsid w:val="00A767EF"/>
    <w:rsid w:val="00A81EB8"/>
    <w:rsid w:val="00A90A5C"/>
    <w:rsid w:val="00A92926"/>
    <w:rsid w:val="00AA4B3E"/>
    <w:rsid w:val="00AA7276"/>
    <w:rsid w:val="00AB46CB"/>
    <w:rsid w:val="00AB5526"/>
    <w:rsid w:val="00AC0685"/>
    <w:rsid w:val="00AC06CB"/>
    <w:rsid w:val="00AC38DA"/>
    <w:rsid w:val="00AD16CC"/>
    <w:rsid w:val="00AD3FBC"/>
    <w:rsid w:val="00AD4BF6"/>
    <w:rsid w:val="00AD7A51"/>
    <w:rsid w:val="00AE193B"/>
    <w:rsid w:val="00AE7C9B"/>
    <w:rsid w:val="00AF0039"/>
    <w:rsid w:val="00AF125A"/>
    <w:rsid w:val="00AF64A7"/>
    <w:rsid w:val="00B01DEB"/>
    <w:rsid w:val="00B10FCE"/>
    <w:rsid w:val="00B11251"/>
    <w:rsid w:val="00B15AE5"/>
    <w:rsid w:val="00B16684"/>
    <w:rsid w:val="00B16CCB"/>
    <w:rsid w:val="00B215C1"/>
    <w:rsid w:val="00B21F2A"/>
    <w:rsid w:val="00B23622"/>
    <w:rsid w:val="00B24E0B"/>
    <w:rsid w:val="00B25CAC"/>
    <w:rsid w:val="00B3144C"/>
    <w:rsid w:val="00B31840"/>
    <w:rsid w:val="00B42A08"/>
    <w:rsid w:val="00B4319B"/>
    <w:rsid w:val="00B5180A"/>
    <w:rsid w:val="00B51882"/>
    <w:rsid w:val="00B52C87"/>
    <w:rsid w:val="00B538E8"/>
    <w:rsid w:val="00B547F6"/>
    <w:rsid w:val="00B5668A"/>
    <w:rsid w:val="00B614E6"/>
    <w:rsid w:val="00B6210E"/>
    <w:rsid w:val="00B633B0"/>
    <w:rsid w:val="00B66F70"/>
    <w:rsid w:val="00B71653"/>
    <w:rsid w:val="00B71996"/>
    <w:rsid w:val="00B80B9B"/>
    <w:rsid w:val="00B8527D"/>
    <w:rsid w:val="00B92E6B"/>
    <w:rsid w:val="00B93546"/>
    <w:rsid w:val="00B95780"/>
    <w:rsid w:val="00B96BB9"/>
    <w:rsid w:val="00B97C9B"/>
    <w:rsid w:val="00BA1E4A"/>
    <w:rsid w:val="00BA287C"/>
    <w:rsid w:val="00BA6D02"/>
    <w:rsid w:val="00BB0DE3"/>
    <w:rsid w:val="00BB4D24"/>
    <w:rsid w:val="00BB4F71"/>
    <w:rsid w:val="00BC3767"/>
    <w:rsid w:val="00BD3496"/>
    <w:rsid w:val="00BD4C3F"/>
    <w:rsid w:val="00BF5B68"/>
    <w:rsid w:val="00BF6B81"/>
    <w:rsid w:val="00C01D98"/>
    <w:rsid w:val="00C04F8C"/>
    <w:rsid w:val="00C13BAC"/>
    <w:rsid w:val="00C16B28"/>
    <w:rsid w:val="00C25DD3"/>
    <w:rsid w:val="00C31138"/>
    <w:rsid w:val="00C410E1"/>
    <w:rsid w:val="00C41AA7"/>
    <w:rsid w:val="00C45B00"/>
    <w:rsid w:val="00C45C95"/>
    <w:rsid w:val="00C52234"/>
    <w:rsid w:val="00C539E3"/>
    <w:rsid w:val="00C56BD9"/>
    <w:rsid w:val="00C56F64"/>
    <w:rsid w:val="00C60B2D"/>
    <w:rsid w:val="00C60DC2"/>
    <w:rsid w:val="00C610B3"/>
    <w:rsid w:val="00C61B23"/>
    <w:rsid w:val="00C64C1A"/>
    <w:rsid w:val="00C67BCF"/>
    <w:rsid w:val="00C71A61"/>
    <w:rsid w:val="00C74327"/>
    <w:rsid w:val="00C761B7"/>
    <w:rsid w:val="00C77127"/>
    <w:rsid w:val="00C834A5"/>
    <w:rsid w:val="00C87066"/>
    <w:rsid w:val="00C91F45"/>
    <w:rsid w:val="00C93A2E"/>
    <w:rsid w:val="00C9655F"/>
    <w:rsid w:val="00C96B85"/>
    <w:rsid w:val="00CA0FDB"/>
    <w:rsid w:val="00CB3D3A"/>
    <w:rsid w:val="00CB5583"/>
    <w:rsid w:val="00CC66BE"/>
    <w:rsid w:val="00CD25EB"/>
    <w:rsid w:val="00CD4D81"/>
    <w:rsid w:val="00CD6F03"/>
    <w:rsid w:val="00CE1435"/>
    <w:rsid w:val="00CF1B4D"/>
    <w:rsid w:val="00CF25F7"/>
    <w:rsid w:val="00CF30A1"/>
    <w:rsid w:val="00CF58AB"/>
    <w:rsid w:val="00D03BC8"/>
    <w:rsid w:val="00D13DEE"/>
    <w:rsid w:val="00D15078"/>
    <w:rsid w:val="00D15F29"/>
    <w:rsid w:val="00D16B1D"/>
    <w:rsid w:val="00D17468"/>
    <w:rsid w:val="00D20D17"/>
    <w:rsid w:val="00D23922"/>
    <w:rsid w:val="00D24DDA"/>
    <w:rsid w:val="00D33C45"/>
    <w:rsid w:val="00D403E6"/>
    <w:rsid w:val="00D4072C"/>
    <w:rsid w:val="00D420A2"/>
    <w:rsid w:val="00D42323"/>
    <w:rsid w:val="00D432C0"/>
    <w:rsid w:val="00D6425E"/>
    <w:rsid w:val="00D65A44"/>
    <w:rsid w:val="00D72916"/>
    <w:rsid w:val="00D74ED4"/>
    <w:rsid w:val="00D756A1"/>
    <w:rsid w:val="00D815C3"/>
    <w:rsid w:val="00DA22AA"/>
    <w:rsid w:val="00DA25DC"/>
    <w:rsid w:val="00DB5CCB"/>
    <w:rsid w:val="00DC1875"/>
    <w:rsid w:val="00DC1A0E"/>
    <w:rsid w:val="00DC2EBE"/>
    <w:rsid w:val="00DC3B5B"/>
    <w:rsid w:val="00DD47BB"/>
    <w:rsid w:val="00DE168A"/>
    <w:rsid w:val="00DE5889"/>
    <w:rsid w:val="00DE6DF6"/>
    <w:rsid w:val="00DE6E24"/>
    <w:rsid w:val="00DF58F2"/>
    <w:rsid w:val="00DF6103"/>
    <w:rsid w:val="00E02F3E"/>
    <w:rsid w:val="00E10B21"/>
    <w:rsid w:val="00E16370"/>
    <w:rsid w:val="00E16D5A"/>
    <w:rsid w:val="00E2139E"/>
    <w:rsid w:val="00E22C34"/>
    <w:rsid w:val="00E301C4"/>
    <w:rsid w:val="00E30D6C"/>
    <w:rsid w:val="00E31EF3"/>
    <w:rsid w:val="00E3701F"/>
    <w:rsid w:val="00E42923"/>
    <w:rsid w:val="00E47C2B"/>
    <w:rsid w:val="00E61043"/>
    <w:rsid w:val="00E70131"/>
    <w:rsid w:val="00E70CCC"/>
    <w:rsid w:val="00E817B1"/>
    <w:rsid w:val="00E91DE1"/>
    <w:rsid w:val="00E927E5"/>
    <w:rsid w:val="00E92B5E"/>
    <w:rsid w:val="00E97349"/>
    <w:rsid w:val="00EA32B7"/>
    <w:rsid w:val="00EA5D36"/>
    <w:rsid w:val="00EB3831"/>
    <w:rsid w:val="00EC182C"/>
    <w:rsid w:val="00EC4DB7"/>
    <w:rsid w:val="00ED394E"/>
    <w:rsid w:val="00ED532E"/>
    <w:rsid w:val="00ED689B"/>
    <w:rsid w:val="00ED6A32"/>
    <w:rsid w:val="00EE11E1"/>
    <w:rsid w:val="00EE1E79"/>
    <w:rsid w:val="00EE2F6D"/>
    <w:rsid w:val="00EE38E0"/>
    <w:rsid w:val="00EE3FD2"/>
    <w:rsid w:val="00EF32AB"/>
    <w:rsid w:val="00EF5A92"/>
    <w:rsid w:val="00EF73DE"/>
    <w:rsid w:val="00F01F78"/>
    <w:rsid w:val="00F11349"/>
    <w:rsid w:val="00F119FB"/>
    <w:rsid w:val="00F12EFD"/>
    <w:rsid w:val="00F152FC"/>
    <w:rsid w:val="00F16D9D"/>
    <w:rsid w:val="00F203E6"/>
    <w:rsid w:val="00F24FAD"/>
    <w:rsid w:val="00F3521A"/>
    <w:rsid w:val="00F37826"/>
    <w:rsid w:val="00F56D10"/>
    <w:rsid w:val="00F60E59"/>
    <w:rsid w:val="00F72926"/>
    <w:rsid w:val="00F7399A"/>
    <w:rsid w:val="00F75C7E"/>
    <w:rsid w:val="00F81147"/>
    <w:rsid w:val="00F81520"/>
    <w:rsid w:val="00F87F60"/>
    <w:rsid w:val="00F91C0D"/>
    <w:rsid w:val="00F93260"/>
    <w:rsid w:val="00FA0A07"/>
    <w:rsid w:val="00FA619F"/>
    <w:rsid w:val="00FA7C1E"/>
    <w:rsid w:val="00FB2C29"/>
    <w:rsid w:val="00FB3231"/>
    <w:rsid w:val="00FB418A"/>
    <w:rsid w:val="00FB4C36"/>
    <w:rsid w:val="00FB6232"/>
    <w:rsid w:val="00FC4BE2"/>
    <w:rsid w:val="00FC5085"/>
    <w:rsid w:val="00FC675B"/>
    <w:rsid w:val="00FC6F58"/>
    <w:rsid w:val="00FC7350"/>
    <w:rsid w:val="00FD126F"/>
    <w:rsid w:val="00FD31F3"/>
    <w:rsid w:val="00FD3ADE"/>
    <w:rsid w:val="00FD409E"/>
    <w:rsid w:val="00FD42B8"/>
    <w:rsid w:val="00FD46F5"/>
    <w:rsid w:val="00FD488E"/>
    <w:rsid w:val="00FE2BF2"/>
    <w:rsid w:val="00FE313D"/>
    <w:rsid w:val="00FF2B6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ListParagraph">
    <w:name w:val="List Paragraph"/>
    <w:basedOn w:val="Normal"/>
    <w:uiPriority w:val="34"/>
    <w:qFormat/>
    <w:rsid w:val="00366445"/>
    <w:pPr>
      <w:ind w:left="720"/>
      <w:contextualSpacing/>
    </w:pPr>
  </w:style>
  <w:style w:type="paragraph" w:styleId="Revision">
    <w:name w:val="Revision"/>
    <w:hidden/>
    <w:uiPriority w:val="99"/>
    <w:semiHidden/>
    <w:rsid w:val="00D432C0"/>
    <w:rPr>
      <w:rFonts w:ascii="Tms Rmn" w:hAnsi="Tms Rmn"/>
      <w:sz w:val="24"/>
    </w:rPr>
  </w:style>
</w:styles>
</file>

<file path=word/webSettings.xml><?xml version="1.0" encoding="utf-8"?>
<w:webSettings xmlns:r="http://schemas.openxmlformats.org/officeDocument/2006/relationships" xmlns:w="http://schemas.openxmlformats.org/wordprocessingml/2006/main">
  <w:divs>
    <w:div w:id="229508477">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498C-F2CC-4CA0-B2C5-6F694784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2009-11-05T04:54:00Z</cp:lastPrinted>
  <dcterms:created xsi:type="dcterms:W3CDTF">2013-04-18T04:23:00Z</dcterms:created>
  <dcterms:modified xsi:type="dcterms:W3CDTF">2013-04-18T07:10:00Z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