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2D" w:rsidRPr="004F77F0" w:rsidRDefault="00C3542D" w:rsidP="00C3542D">
      <w:pPr>
        <w:jc w:val="center"/>
        <w:rPr>
          <w:rFonts w:ascii="Arial" w:hAnsi="Arial" w:cs="Arial"/>
          <w:b/>
          <w:sz w:val="20"/>
          <w:szCs w:val="20"/>
        </w:rPr>
      </w:pPr>
      <w:r w:rsidRPr="004F77F0">
        <w:rPr>
          <w:rFonts w:ascii="Arial" w:hAnsi="Arial" w:cs="Arial"/>
          <w:b/>
          <w:sz w:val="20"/>
          <w:szCs w:val="20"/>
        </w:rPr>
        <w:t>E</w:t>
      </w:r>
      <w:r w:rsidR="00A46100" w:rsidRPr="004F77F0">
        <w:rPr>
          <w:rFonts w:ascii="Arial" w:hAnsi="Arial" w:cs="Arial"/>
          <w:b/>
          <w:sz w:val="20"/>
          <w:szCs w:val="20"/>
        </w:rPr>
        <w:t>XPLANATORY STATEMENT</w:t>
      </w:r>
    </w:p>
    <w:p w:rsidR="00C3542D" w:rsidRPr="004F77F0" w:rsidRDefault="00C3542D" w:rsidP="009D54BC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C3542D" w:rsidRPr="004F77F0" w:rsidRDefault="00C3542D" w:rsidP="009D54B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F77F0">
        <w:rPr>
          <w:rFonts w:ascii="Arial" w:hAnsi="Arial" w:cs="Arial"/>
          <w:b/>
          <w:sz w:val="20"/>
          <w:szCs w:val="20"/>
        </w:rPr>
        <w:t>Issued by the Australian Communications and Media Authority</w:t>
      </w:r>
      <w:r w:rsidR="00413615" w:rsidRPr="004F77F0">
        <w:rPr>
          <w:rFonts w:ascii="Arial" w:hAnsi="Arial" w:cs="Arial"/>
          <w:b/>
          <w:sz w:val="20"/>
          <w:szCs w:val="20"/>
        </w:rPr>
        <w:br/>
      </w:r>
    </w:p>
    <w:p w:rsidR="00C3542D" w:rsidRPr="004F77F0" w:rsidRDefault="00D73A6B" w:rsidP="009D54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i/>
          <w:sz w:val="20"/>
          <w:szCs w:val="20"/>
        </w:rPr>
      </w:pPr>
      <w:bookmarkStart w:id="0" w:name="OLE_LINK7"/>
      <w:bookmarkStart w:id="1" w:name="OLE_LINK8"/>
      <w:r>
        <w:rPr>
          <w:rFonts w:ascii="Arial" w:hAnsi="Arial" w:cs="Arial"/>
          <w:b/>
          <w:bCs/>
          <w:i/>
          <w:sz w:val="20"/>
          <w:szCs w:val="20"/>
        </w:rPr>
        <w:t xml:space="preserve">Broadcasting Services (Primary Commercial Television Broadcasting Service) </w:t>
      </w:r>
      <w:r w:rsidR="009550D5">
        <w:rPr>
          <w:rFonts w:ascii="Arial" w:hAnsi="Arial" w:cs="Arial"/>
          <w:b/>
          <w:bCs/>
          <w:i/>
          <w:sz w:val="20"/>
          <w:szCs w:val="20"/>
        </w:rPr>
        <w:t xml:space="preserve">Amendment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Declaration </w:t>
      </w:r>
      <w:r w:rsidR="00765DA9">
        <w:rPr>
          <w:rFonts w:ascii="Arial" w:hAnsi="Arial" w:cs="Arial"/>
          <w:b/>
          <w:bCs/>
          <w:i/>
          <w:sz w:val="20"/>
          <w:szCs w:val="20"/>
        </w:rPr>
        <w:t>201</w:t>
      </w:r>
      <w:r w:rsidR="00A76625">
        <w:rPr>
          <w:rFonts w:ascii="Arial" w:hAnsi="Arial" w:cs="Arial"/>
          <w:b/>
          <w:bCs/>
          <w:i/>
          <w:sz w:val="20"/>
          <w:szCs w:val="20"/>
        </w:rPr>
        <w:t>3</w:t>
      </w:r>
      <w:r w:rsidR="00765DA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9550D5">
        <w:rPr>
          <w:rFonts w:ascii="Arial" w:hAnsi="Arial" w:cs="Arial"/>
          <w:b/>
          <w:bCs/>
          <w:i/>
          <w:sz w:val="20"/>
          <w:szCs w:val="20"/>
        </w:rPr>
        <w:t>(No.</w:t>
      </w:r>
      <w:r w:rsidR="00A76625">
        <w:rPr>
          <w:rFonts w:ascii="Arial" w:hAnsi="Arial" w:cs="Arial"/>
          <w:b/>
          <w:bCs/>
          <w:i/>
          <w:sz w:val="20"/>
          <w:szCs w:val="20"/>
        </w:rPr>
        <w:t>1</w:t>
      </w:r>
      <w:r w:rsidR="009550D5">
        <w:rPr>
          <w:rFonts w:ascii="Arial" w:hAnsi="Arial" w:cs="Arial"/>
          <w:b/>
          <w:bCs/>
          <w:i/>
          <w:sz w:val="20"/>
          <w:szCs w:val="20"/>
        </w:rPr>
        <w:t>)</w:t>
      </w:r>
      <w:r>
        <w:rPr>
          <w:rFonts w:ascii="Arial" w:hAnsi="Arial" w:cs="Arial"/>
          <w:b/>
          <w:bCs/>
          <w:i/>
          <w:sz w:val="20"/>
          <w:szCs w:val="20"/>
        </w:rPr>
        <w:br/>
      </w:r>
    </w:p>
    <w:p w:rsidR="009D54BC" w:rsidRPr="004F77F0" w:rsidRDefault="00D73A6B" w:rsidP="007A2F4D">
      <w:pPr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bookmarkStart w:id="2" w:name="OLE_LINK3"/>
      <w:bookmarkStart w:id="3" w:name="OLE_LINK4"/>
      <w:bookmarkEnd w:id="0"/>
      <w:bookmarkEnd w:id="1"/>
      <w:r>
        <w:rPr>
          <w:rFonts w:ascii="Arial" w:hAnsi="Arial" w:cs="Arial"/>
          <w:b/>
          <w:bCs/>
          <w:i/>
          <w:sz w:val="20"/>
          <w:szCs w:val="20"/>
        </w:rPr>
        <w:t>Broadcasting Services Act 1992</w:t>
      </w:r>
      <w:bookmarkEnd w:id="2"/>
      <w:bookmarkEnd w:id="3"/>
    </w:p>
    <w:p w:rsidR="00C3542D" w:rsidRPr="004F77F0" w:rsidRDefault="00D73A6B" w:rsidP="004D3E6B">
      <w:pPr>
        <w:pStyle w:val="Heading1"/>
        <w:spacing w:before="120" w:after="120" w:line="280" w:lineRule="atLeast"/>
        <w:rPr>
          <w:sz w:val="20"/>
          <w:szCs w:val="20"/>
        </w:rPr>
      </w:pPr>
      <w:r w:rsidRPr="00D73A6B">
        <w:rPr>
          <w:sz w:val="20"/>
          <w:szCs w:val="20"/>
        </w:rPr>
        <w:t xml:space="preserve">Purpose </w:t>
      </w:r>
    </w:p>
    <w:p w:rsidR="00C3542D" w:rsidRPr="004F77F0" w:rsidRDefault="00D73A6B" w:rsidP="009E31BD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The purpose of the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Broadcasting Services (Primary Commercial Television Broadcasting Service) </w:t>
      </w:r>
      <w:r w:rsidR="009550D5">
        <w:rPr>
          <w:rFonts w:ascii="Arial" w:hAnsi="Arial" w:cs="Arial"/>
          <w:bCs/>
          <w:i/>
          <w:sz w:val="20"/>
          <w:szCs w:val="20"/>
        </w:rPr>
        <w:t xml:space="preserve">Amendment </w:t>
      </w:r>
      <w:r>
        <w:rPr>
          <w:rFonts w:ascii="Arial" w:hAnsi="Arial" w:cs="Arial"/>
          <w:bCs/>
          <w:i/>
          <w:sz w:val="20"/>
          <w:szCs w:val="20"/>
        </w:rPr>
        <w:t xml:space="preserve">Declaration </w:t>
      </w:r>
      <w:r w:rsidR="00765DA9">
        <w:rPr>
          <w:rFonts w:ascii="Arial" w:hAnsi="Arial" w:cs="Arial"/>
          <w:bCs/>
          <w:i/>
          <w:sz w:val="20"/>
          <w:szCs w:val="20"/>
        </w:rPr>
        <w:t>201</w:t>
      </w:r>
      <w:r w:rsidR="00A76625">
        <w:rPr>
          <w:rFonts w:ascii="Arial" w:hAnsi="Arial" w:cs="Arial"/>
          <w:bCs/>
          <w:i/>
          <w:sz w:val="20"/>
          <w:szCs w:val="20"/>
        </w:rPr>
        <w:t>3</w:t>
      </w:r>
      <w:r w:rsidR="00765DA9">
        <w:rPr>
          <w:rFonts w:ascii="Arial" w:hAnsi="Arial" w:cs="Arial"/>
          <w:bCs/>
          <w:i/>
          <w:sz w:val="20"/>
          <w:szCs w:val="20"/>
        </w:rPr>
        <w:t xml:space="preserve"> </w:t>
      </w:r>
      <w:r w:rsidR="009550D5">
        <w:rPr>
          <w:rFonts w:ascii="Arial" w:hAnsi="Arial" w:cs="Arial"/>
          <w:bCs/>
          <w:i/>
          <w:sz w:val="20"/>
          <w:szCs w:val="20"/>
        </w:rPr>
        <w:t>(No.</w:t>
      </w:r>
      <w:r w:rsidR="00A76625">
        <w:rPr>
          <w:rFonts w:ascii="Arial" w:hAnsi="Arial" w:cs="Arial"/>
          <w:bCs/>
          <w:i/>
          <w:sz w:val="20"/>
          <w:szCs w:val="20"/>
        </w:rPr>
        <w:t>1</w:t>
      </w:r>
      <w:r w:rsidR="009550D5">
        <w:rPr>
          <w:rFonts w:ascii="Arial" w:hAnsi="Arial" w:cs="Arial"/>
          <w:bCs/>
          <w:i/>
          <w:sz w:val="20"/>
          <w:szCs w:val="20"/>
        </w:rPr>
        <w:t>)</w:t>
      </w:r>
      <w:r>
        <w:rPr>
          <w:rFonts w:ascii="Arial" w:hAnsi="Arial" w:cs="Arial"/>
          <w:sz w:val="20"/>
        </w:rPr>
        <w:t xml:space="preserve"> (the </w:t>
      </w:r>
      <w:r w:rsidR="00F01F7D">
        <w:rPr>
          <w:rFonts w:ascii="Arial" w:hAnsi="Arial" w:cs="Arial"/>
          <w:sz w:val="20"/>
        </w:rPr>
        <w:t xml:space="preserve">Amendment </w:t>
      </w:r>
      <w:r>
        <w:rPr>
          <w:rFonts w:ascii="Arial" w:hAnsi="Arial" w:cs="Arial"/>
          <w:sz w:val="20"/>
        </w:rPr>
        <w:t>Declaration) is to</w:t>
      </w:r>
      <w:r w:rsidR="00F01F7D">
        <w:rPr>
          <w:rFonts w:ascii="Arial" w:hAnsi="Arial" w:cs="Arial"/>
          <w:sz w:val="20"/>
        </w:rPr>
        <w:t xml:space="preserve"> amend the </w:t>
      </w:r>
      <w:r w:rsidR="00F01F7D">
        <w:rPr>
          <w:rFonts w:ascii="Arial" w:hAnsi="Arial" w:cs="Arial"/>
          <w:i/>
          <w:sz w:val="20"/>
        </w:rPr>
        <w:t xml:space="preserve">Broadcasting Services (Primary Commercial Television Broadcasting Service) Declaration 2010 </w:t>
      </w:r>
      <w:r w:rsidR="004D7F10">
        <w:rPr>
          <w:rFonts w:ascii="Arial" w:hAnsi="Arial" w:cs="Arial"/>
          <w:sz w:val="20"/>
        </w:rPr>
        <w:t xml:space="preserve">(the Declaration) </w:t>
      </w:r>
      <w:r w:rsidR="00F01F7D">
        <w:rPr>
          <w:rFonts w:ascii="Arial" w:hAnsi="Arial" w:cs="Arial"/>
          <w:sz w:val="20"/>
        </w:rPr>
        <w:t>in order to</w:t>
      </w:r>
      <w:r>
        <w:rPr>
          <w:rFonts w:ascii="Arial" w:hAnsi="Arial" w:cs="Arial"/>
          <w:sz w:val="20"/>
        </w:rPr>
        <w:t xml:space="preserve"> declare, under clause 41G of Schedule 4 to the </w:t>
      </w:r>
      <w:r>
        <w:rPr>
          <w:rFonts w:ascii="Arial" w:hAnsi="Arial" w:cs="Arial"/>
          <w:i/>
          <w:sz w:val="20"/>
        </w:rPr>
        <w:t xml:space="preserve">Broadcasting Services Act 1992 </w:t>
      </w:r>
      <w:r>
        <w:rPr>
          <w:rFonts w:ascii="Arial" w:hAnsi="Arial" w:cs="Arial"/>
          <w:sz w:val="20"/>
        </w:rPr>
        <w:t>(the Act), particular ‘SDTV multi-channelled commercial television broadcasting service</w:t>
      </w:r>
      <w:r w:rsidR="009B4389">
        <w:rPr>
          <w:rFonts w:ascii="Arial" w:hAnsi="Arial" w:cs="Arial"/>
          <w:sz w:val="20"/>
        </w:rPr>
        <w:t>s</w:t>
      </w:r>
      <w:r w:rsidRPr="00D73A6B">
        <w:rPr>
          <w:rFonts w:ascii="Arial" w:hAnsi="Arial" w:cs="Arial"/>
          <w:sz w:val="20"/>
        </w:rPr>
        <w:t>’</w:t>
      </w:r>
      <w:r w:rsidR="00D80FE1" w:rsidRPr="004F77F0">
        <w:rPr>
          <w:rFonts w:ascii="Arial" w:hAnsi="Arial" w:cs="Arial"/>
          <w:sz w:val="20"/>
        </w:rPr>
        <w:t xml:space="preserve"> (SDTV multi-channel</w:t>
      </w:r>
      <w:r w:rsidR="009B4389">
        <w:rPr>
          <w:rFonts w:ascii="Arial" w:hAnsi="Arial" w:cs="Arial"/>
          <w:sz w:val="20"/>
        </w:rPr>
        <w:t>s</w:t>
      </w:r>
      <w:r w:rsidR="00D80FE1" w:rsidRPr="004F77F0">
        <w:rPr>
          <w:rFonts w:ascii="Arial" w:hAnsi="Arial" w:cs="Arial"/>
          <w:sz w:val="20"/>
        </w:rPr>
        <w:t>)</w:t>
      </w:r>
      <w:r w:rsidR="00413615" w:rsidRPr="004F77F0">
        <w:rPr>
          <w:rFonts w:ascii="Arial" w:hAnsi="Arial" w:cs="Arial"/>
          <w:sz w:val="20"/>
        </w:rPr>
        <w:t xml:space="preserve"> to be the </w:t>
      </w:r>
      <w:r w:rsidR="00DB40EA" w:rsidRPr="004F77F0">
        <w:rPr>
          <w:rFonts w:ascii="Arial" w:hAnsi="Arial" w:cs="Arial"/>
          <w:sz w:val="20"/>
        </w:rPr>
        <w:t>‘</w:t>
      </w:r>
      <w:r w:rsidR="00413615" w:rsidRPr="004F77F0">
        <w:rPr>
          <w:rFonts w:ascii="Arial" w:hAnsi="Arial" w:cs="Arial"/>
          <w:sz w:val="20"/>
        </w:rPr>
        <w:t>primary commercial television broadcasting service</w:t>
      </w:r>
      <w:r w:rsidR="009B4389">
        <w:rPr>
          <w:rFonts w:ascii="Arial" w:hAnsi="Arial" w:cs="Arial"/>
          <w:sz w:val="20"/>
        </w:rPr>
        <w:t>s</w:t>
      </w:r>
      <w:r w:rsidR="00DB40EA" w:rsidRPr="004F77F0">
        <w:rPr>
          <w:rFonts w:ascii="Arial" w:hAnsi="Arial" w:cs="Arial"/>
          <w:sz w:val="20"/>
        </w:rPr>
        <w:t>’</w:t>
      </w:r>
      <w:r w:rsidR="00413615" w:rsidRPr="004F77F0">
        <w:rPr>
          <w:rFonts w:ascii="Arial" w:hAnsi="Arial" w:cs="Arial"/>
          <w:sz w:val="20"/>
        </w:rPr>
        <w:t xml:space="preserve"> </w:t>
      </w:r>
      <w:r w:rsidR="00D80FE1" w:rsidRPr="004F77F0">
        <w:rPr>
          <w:rFonts w:ascii="Arial" w:hAnsi="Arial" w:cs="Arial"/>
          <w:sz w:val="20"/>
        </w:rPr>
        <w:t xml:space="preserve">for commercial television broadcasting licensees in </w:t>
      </w:r>
      <w:r w:rsidR="00E51EE0">
        <w:rPr>
          <w:rFonts w:ascii="Arial" w:hAnsi="Arial" w:cs="Arial"/>
          <w:sz w:val="20"/>
        </w:rPr>
        <w:t xml:space="preserve">particular </w:t>
      </w:r>
      <w:r>
        <w:rPr>
          <w:rFonts w:ascii="Arial" w:hAnsi="Arial" w:cs="Arial"/>
          <w:sz w:val="20"/>
        </w:rPr>
        <w:t>licence areas.</w:t>
      </w:r>
    </w:p>
    <w:p w:rsidR="00A46100" w:rsidRPr="004F77F0" w:rsidRDefault="00D73A6B" w:rsidP="009E31BD">
      <w:pPr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Legislative Provisions</w:t>
      </w:r>
    </w:p>
    <w:p w:rsidR="00E51EE0" w:rsidRDefault="009B4389" w:rsidP="009E31BD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Subc</w:t>
      </w:r>
      <w:r w:rsidR="00D73A6B">
        <w:rPr>
          <w:rFonts w:ascii="Arial" w:hAnsi="Arial" w:cs="Arial"/>
          <w:sz w:val="20"/>
          <w:szCs w:val="20"/>
        </w:rPr>
        <w:t>lause 41G</w:t>
      </w:r>
      <w:r>
        <w:rPr>
          <w:rFonts w:ascii="Arial" w:hAnsi="Arial" w:cs="Arial"/>
          <w:sz w:val="20"/>
          <w:szCs w:val="20"/>
        </w:rPr>
        <w:t>(2)</w:t>
      </w:r>
      <w:r w:rsidR="00D73A6B">
        <w:rPr>
          <w:rFonts w:ascii="Arial" w:hAnsi="Arial" w:cs="Arial"/>
          <w:sz w:val="20"/>
          <w:szCs w:val="20"/>
        </w:rPr>
        <w:t xml:space="preserve"> of Schedule 4 to the Act provides that the Australian Communications and Media Authority (the ACMA) may declare one of the SDTV multi-channels provided by commercial television broadcasting licensee</w:t>
      </w:r>
      <w:r w:rsidR="00F401EC">
        <w:rPr>
          <w:rFonts w:ascii="Arial" w:hAnsi="Arial" w:cs="Arial"/>
          <w:sz w:val="20"/>
          <w:szCs w:val="20"/>
        </w:rPr>
        <w:t>s</w:t>
      </w:r>
      <w:r w:rsidR="00D73A6B">
        <w:rPr>
          <w:rFonts w:ascii="Arial" w:hAnsi="Arial" w:cs="Arial"/>
          <w:sz w:val="20"/>
          <w:szCs w:val="20"/>
        </w:rPr>
        <w:t xml:space="preserve"> to be the ‘primary commercial television broadcasting service’ (Primary Service) </w:t>
      </w:r>
      <w:r>
        <w:rPr>
          <w:rFonts w:ascii="Arial" w:hAnsi="Arial" w:cs="Arial"/>
          <w:sz w:val="20"/>
          <w:szCs w:val="20"/>
        </w:rPr>
        <w:t xml:space="preserve">after the end of the </w:t>
      </w:r>
      <w:r w:rsidR="00D73A6B">
        <w:rPr>
          <w:rFonts w:ascii="Arial" w:hAnsi="Arial" w:cs="Arial"/>
          <w:sz w:val="20"/>
          <w:szCs w:val="20"/>
        </w:rPr>
        <w:t>simulcast period or simulcast-equivalent period for the licence area of the licence.</w:t>
      </w:r>
      <w:r w:rsidR="00E51EE0">
        <w:rPr>
          <w:rFonts w:ascii="Arial" w:hAnsi="Arial" w:cs="Arial"/>
          <w:sz w:val="20"/>
          <w:szCs w:val="20"/>
        </w:rPr>
        <w:t xml:space="preserve"> </w:t>
      </w:r>
      <w:r w:rsidR="00F01F7D">
        <w:rPr>
          <w:rFonts w:ascii="Arial" w:hAnsi="Arial" w:cs="Arial"/>
          <w:sz w:val="20"/>
          <w:szCs w:val="20"/>
        </w:rPr>
        <w:t xml:space="preserve">Subclause </w:t>
      </w:r>
      <w:proofErr w:type="gramStart"/>
      <w:r w:rsidR="00F01F7D">
        <w:rPr>
          <w:rFonts w:ascii="Arial" w:hAnsi="Arial" w:cs="Arial"/>
          <w:sz w:val="20"/>
          <w:szCs w:val="20"/>
        </w:rPr>
        <w:t>41G(</w:t>
      </w:r>
      <w:proofErr w:type="gramEnd"/>
      <w:r w:rsidR="004813C7">
        <w:rPr>
          <w:rFonts w:ascii="Arial" w:hAnsi="Arial" w:cs="Arial"/>
          <w:sz w:val="20"/>
          <w:szCs w:val="20"/>
        </w:rPr>
        <w:t>3</w:t>
      </w:r>
      <w:r w:rsidR="00F01F7D">
        <w:rPr>
          <w:rFonts w:ascii="Arial" w:hAnsi="Arial" w:cs="Arial"/>
          <w:sz w:val="20"/>
          <w:szCs w:val="20"/>
        </w:rPr>
        <w:t xml:space="preserve">) requires that </w:t>
      </w:r>
      <w:r w:rsidR="004813C7">
        <w:rPr>
          <w:rFonts w:ascii="Arial" w:hAnsi="Arial" w:cs="Arial"/>
          <w:sz w:val="20"/>
          <w:szCs w:val="20"/>
        </w:rPr>
        <w:t>such a declaration is in force at all times after the later of</w:t>
      </w:r>
      <w:r w:rsidR="00E51EE0">
        <w:rPr>
          <w:rFonts w:ascii="Arial" w:hAnsi="Arial" w:cs="Arial"/>
          <w:sz w:val="20"/>
          <w:szCs w:val="20"/>
        </w:rPr>
        <w:t>:</w:t>
      </w:r>
    </w:p>
    <w:p w:rsidR="00637BD4" w:rsidRDefault="002A51E0">
      <w:pPr>
        <w:pStyle w:val="ListParagraph"/>
        <w:numPr>
          <w:ilvl w:val="0"/>
          <w:numId w:val="24"/>
        </w:num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2A51E0">
        <w:rPr>
          <w:rFonts w:ascii="Arial" w:hAnsi="Arial" w:cs="Arial"/>
          <w:sz w:val="20"/>
          <w:szCs w:val="20"/>
        </w:rPr>
        <w:t>the end of the simulcast period, or simulcast-equivalent period, for the licence area, and</w:t>
      </w:r>
    </w:p>
    <w:p w:rsidR="00637BD4" w:rsidRDefault="002A51E0">
      <w:pPr>
        <w:pStyle w:val="ListParagraph"/>
        <w:numPr>
          <w:ilvl w:val="0"/>
          <w:numId w:val="24"/>
        </w:num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2A51E0">
        <w:rPr>
          <w:rFonts w:ascii="Arial" w:hAnsi="Arial" w:cs="Arial"/>
          <w:sz w:val="20"/>
          <w:szCs w:val="20"/>
        </w:rPr>
        <w:t>when</w:t>
      </w:r>
      <w:proofErr w:type="gramEnd"/>
      <w:r w:rsidRPr="002A51E0">
        <w:rPr>
          <w:rFonts w:ascii="Arial" w:hAnsi="Arial" w:cs="Arial"/>
          <w:sz w:val="20"/>
          <w:szCs w:val="20"/>
        </w:rPr>
        <w:t xml:space="preserve"> a licensee commences to provide a SDTV multi-channel in the licence area.</w:t>
      </w:r>
    </w:p>
    <w:p w:rsidR="00A46100" w:rsidRPr="004F77F0" w:rsidRDefault="00D73A6B" w:rsidP="009E31BD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declaration of a Primary Service </w:t>
      </w:r>
      <w:r w:rsidR="003B467E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made by legislative instrument.</w:t>
      </w:r>
    </w:p>
    <w:p w:rsidR="00A46100" w:rsidRPr="004F77F0" w:rsidRDefault="00D73A6B" w:rsidP="009E31BD">
      <w:pPr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Background</w:t>
      </w:r>
    </w:p>
    <w:p w:rsidR="00E75E29" w:rsidRPr="00576154" w:rsidRDefault="00E75E29" w:rsidP="00E75E29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76154">
        <w:rPr>
          <w:rFonts w:ascii="Arial" w:hAnsi="Arial" w:cs="Arial"/>
          <w:sz w:val="20"/>
          <w:szCs w:val="20"/>
        </w:rPr>
        <w:t xml:space="preserve">Under the Act, commercial television broadcasting </w:t>
      </w:r>
      <w:proofErr w:type="spellStart"/>
      <w:r w:rsidRPr="00576154">
        <w:rPr>
          <w:rFonts w:ascii="Arial" w:hAnsi="Arial" w:cs="Arial"/>
          <w:sz w:val="20"/>
          <w:szCs w:val="20"/>
        </w:rPr>
        <w:t>licensees</w:t>
      </w:r>
      <w:proofErr w:type="spellEnd"/>
      <w:r w:rsidRPr="00576154">
        <w:rPr>
          <w:rFonts w:ascii="Arial" w:hAnsi="Arial" w:cs="Arial"/>
          <w:sz w:val="20"/>
          <w:szCs w:val="20"/>
        </w:rPr>
        <w:t xml:space="preserve"> are authorised to deliver multiple commercial television broadcasting services in digital mode under a single commercial television broadcasting service licence. This is referred to as ‘multi-channelling’. </w:t>
      </w:r>
    </w:p>
    <w:p w:rsidR="00E75E29" w:rsidRPr="00576154" w:rsidRDefault="00E75E29" w:rsidP="00E75E29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76154">
        <w:rPr>
          <w:rFonts w:ascii="Arial" w:hAnsi="Arial" w:cs="Arial"/>
          <w:sz w:val="20"/>
          <w:szCs w:val="20"/>
        </w:rPr>
        <w:t xml:space="preserve">Multi-channelling creates a two-track regulatory system for commercial television broadcasting services, in which some obligations apply to the </w:t>
      </w:r>
      <w:proofErr w:type="spellStart"/>
      <w:r w:rsidRPr="00576154">
        <w:rPr>
          <w:rFonts w:ascii="Arial" w:hAnsi="Arial" w:cs="Arial"/>
          <w:sz w:val="20"/>
          <w:szCs w:val="20"/>
        </w:rPr>
        <w:t>analog</w:t>
      </w:r>
      <w:proofErr w:type="spellEnd"/>
      <w:r w:rsidRPr="00576154">
        <w:rPr>
          <w:rFonts w:ascii="Arial" w:hAnsi="Arial" w:cs="Arial"/>
          <w:sz w:val="20"/>
          <w:szCs w:val="20"/>
        </w:rPr>
        <w:t xml:space="preserve"> service and its digital simulcast, but not to other streams of programs transmitted by the same licensee in digital mode. </w:t>
      </w:r>
    </w:p>
    <w:p w:rsidR="00691A89" w:rsidRPr="004F77F0" w:rsidRDefault="00E75E29" w:rsidP="009E31BD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76154">
        <w:rPr>
          <w:rFonts w:ascii="Arial" w:hAnsi="Arial" w:cs="Arial"/>
          <w:sz w:val="20"/>
          <w:szCs w:val="20"/>
        </w:rPr>
        <w:t xml:space="preserve">During the period in which each </w:t>
      </w:r>
      <w:proofErr w:type="spellStart"/>
      <w:r w:rsidRPr="00576154">
        <w:rPr>
          <w:rFonts w:ascii="Arial" w:hAnsi="Arial" w:cs="Arial"/>
          <w:sz w:val="20"/>
          <w:szCs w:val="20"/>
        </w:rPr>
        <w:t>analog</w:t>
      </w:r>
      <w:proofErr w:type="spellEnd"/>
      <w:r w:rsidRPr="00576154">
        <w:rPr>
          <w:rFonts w:ascii="Arial" w:hAnsi="Arial" w:cs="Arial"/>
          <w:sz w:val="20"/>
          <w:szCs w:val="20"/>
        </w:rPr>
        <w:t xml:space="preserve"> service and its digital equivalent in a licence area must be simulcast, the concept of a ’core commercial television broadcasting </w:t>
      </w:r>
      <w:proofErr w:type="gramStart"/>
      <w:r w:rsidRPr="00576154">
        <w:rPr>
          <w:rFonts w:ascii="Arial" w:hAnsi="Arial" w:cs="Arial"/>
          <w:sz w:val="20"/>
          <w:szCs w:val="20"/>
        </w:rPr>
        <w:t>service‘ (</w:t>
      </w:r>
      <w:proofErr w:type="gramEnd"/>
      <w:r w:rsidRPr="00576154">
        <w:rPr>
          <w:rFonts w:ascii="Arial" w:hAnsi="Arial" w:cs="Arial"/>
          <w:sz w:val="20"/>
          <w:szCs w:val="20"/>
        </w:rPr>
        <w:t xml:space="preserve">core service) is used by the legislation to identify the service to which certain regulatory provisions of the Act apply. </w:t>
      </w:r>
      <w:r>
        <w:rPr>
          <w:rFonts w:ascii="Arial" w:hAnsi="Arial" w:cs="Arial"/>
          <w:sz w:val="20"/>
          <w:szCs w:val="20"/>
        </w:rPr>
        <w:t>The</w:t>
      </w:r>
      <w:r w:rsidRPr="00576154">
        <w:rPr>
          <w:rFonts w:ascii="Arial" w:hAnsi="Arial" w:cs="Arial"/>
          <w:sz w:val="20"/>
          <w:szCs w:val="20"/>
        </w:rPr>
        <w:t xml:space="preserve"> legislation identifies the core service as the digital simulcast service of the </w:t>
      </w:r>
      <w:proofErr w:type="spellStart"/>
      <w:r w:rsidRPr="00576154">
        <w:rPr>
          <w:rFonts w:ascii="Arial" w:hAnsi="Arial" w:cs="Arial"/>
          <w:sz w:val="20"/>
          <w:szCs w:val="20"/>
        </w:rPr>
        <w:t>analog</w:t>
      </w:r>
      <w:proofErr w:type="spellEnd"/>
      <w:r w:rsidRPr="00576154">
        <w:rPr>
          <w:rFonts w:ascii="Arial" w:hAnsi="Arial" w:cs="Arial"/>
          <w:sz w:val="20"/>
          <w:szCs w:val="20"/>
        </w:rPr>
        <w:t xml:space="preserve"> service</w:t>
      </w:r>
      <w:r w:rsidRPr="00D73A6B">
        <w:rPr>
          <w:rFonts w:ascii="Arial" w:hAnsi="Arial" w:cs="Arial"/>
          <w:sz w:val="20"/>
          <w:szCs w:val="20"/>
        </w:rPr>
        <w:t>.</w:t>
      </w:r>
      <w:r w:rsidR="00D73A6B">
        <w:rPr>
          <w:rStyle w:val="FootnoteReference"/>
          <w:rFonts w:cs="Arial"/>
          <w:sz w:val="20"/>
          <w:szCs w:val="20"/>
        </w:rPr>
        <w:footnoteReference w:id="1"/>
      </w:r>
    </w:p>
    <w:p w:rsidR="003D283B" w:rsidRPr="004F77F0" w:rsidRDefault="00D73A6B" w:rsidP="003D283B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Declaring a Primary Service will provide certainty in respect of the regulatory obligations applying to each service provided by a commercial television broadcasting licensee </w:t>
      </w:r>
      <w:r w:rsidR="00E01F29">
        <w:rPr>
          <w:rFonts w:ascii="Arial" w:hAnsi="Arial" w:cs="Arial"/>
          <w:sz w:val="20"/>
          <w:szCs w:val="20"/>
        </w:rPr>
        <w:t xml:space="preserve">after </w:t>
      </w:r>
      <w:r>
        <w:rPr>
          <w:rFonts w:ascii="Arial" w:hAnsi="Arial" w:cs="Arial"/>
          <w:sz w:val="20"/>
          <w:szCs w:val="20"/>
        </w:rPr>
        <w:t>the simulcast period</w:t>
      </w:r>
      <w:r w:rsidR="004D7F10">
        <w:rPr>
          <w:rFonts w:ascii="Arial" w:hAnsi="Arial" w:cs="Arial"/>
          <w:sz w:val="20"/>
          <w:szCs w:val="20"/>
        </w:rPr>
        <w:t xml:space="preserve"> or simulcast-equivalent period</w:t>
      </w:r>
      <w:r w:rsidR="004E7FAD">
        <w:rPr>
          <w:rFonts w:ascii="Arial" w:hAnsi="Arial" w:cs="Arial"/>
          <w:sz w:val="20"/>
          <w:szCs w:val="20"/>
        </w:rPr>
        <w:t>.</w:t>
      </w:r>
    </w:p>
    <w:p w:rsidR="003D283B" w:rsidRPr="004F77F0" w:rsidRDefault="00D73A6B" w:rsidP="009E31BD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decision by the ACMA to declare a Primary Service will affect the operation of certain content regulations that apply to commercial television broadcasting services in</w:t>
      </w:r>
      <w:r w:rsidR="00E01F29">
        <w:rPr>
          <w:rFonts w:ascii="Arial" w:hAnsi="Arial" w:cs="Arial"/>
          <w:sz w:val="20"/>
          <w:szCs w:val="20"/>
        </w:rPr>
        <w:t xml:space="preserve"> or under</w:t>
      </w:r>
      <w:r>
        <w:rPr>
          <w:rFonts w:ascii="Arial" w:hAnsi="Arial" w:cs="Arial"/>
          <w:sz w:val="20"/>
          <w:szCs w:val="20"/>
        </w:rPr>
        <w:t xml:space="preserve"> the Act. These include, for example, the anti-siphoning scheme</w:t>
      </w:r>
      <w:r w:rsidR="00C51439">
        <w:rPr>
          <w:rFonts w:ascii="Arial" w:hAnsi="Arial" w:cs="Arial"/>
          <w:sz w:val="20"/>
          <w:szCs w:val="20"/>
        </w:rPr>
        <w:t xml:space="preserve">, program standards </w:t>
      </w:r>
      <w:r w:rsidR="00157BE5">
        <w:rPr>
          <w:rFonts w:ascii="Arial" w:hAnsi="Arial" w:cs="Arial"/>
          <w:sz w:val="20"/>
          <w:szCs w:val="20"/>
        </w:rPr>
        <w:t xml:space="preserve">(e.g. </w:t>
      </w:r>
      <w:proofErr w:type="gramStart"/>
      <w:r w:rsidR="002A51E0" w:rsidRPr="002A51E0">
        <w:rPr>
          <w:rFonts w:ascii="Arial" w:hAnsi="Arial" w:cs="Arial"/>
          <w:i/>
          <w:sz w:val="20"/>
          <w:szCs w:val="20"/>
        </w:rPr>
        <w:t>Broadcasting</w:t>
      </w:r>
      <w:proofErr w:type="gramEnd"/>
      <w:r w:rsidR="002A51E0" w:rsidRPr="002A51E0">
        <w:rPr>
          <w:rFonts w:ascii="Arial" w:hAnsi="Arial" w:cs="Arial"/>
          <w:i/>
          <w:sz w:val="20"/>
          <w:szCs w:val="20"/>
        </w:rPr>
        <w:t xml:space="preserve"> Services (Australian Content) Standard 2005</w:t>
      </w:r>
      <w:r w:rsidR="00157BE5">
        <w:rPr>
          <w:rFonts w:ascii="Arial" w:hAnsi="Arial" w:cs="Arial"/>
          <w:sz w:val="20"/>
          <w:szCs w:val="20"/>
        </w:rPr>
        <w:t xml:space="preserve">, </w:t>
      </w:r>
      <w:r w:rsidR="00DD16B4" w:rsidRPr="00DD16B4">
        <w:rPr>
          <w:rFonts w:ascii="Arial" w:hAnsi="Arial" w:cs="Arial"/>
          <w:i/>
          <w:sz w:val="20"/>
          <w:szCs w:val="20"/>
        </w:rPr>
        <w:t>Television Program Standard 23 – Australian Content in Advertising</w:t>
      </w:r>
      <w:r w:rsidR="00157BE5">
        <w:rPr>
          <w:rFonts w:ascii="Arial" w:hAnsi="Arial" w:cs="Arial"/>
          <w:sz w:val="20"/>
          <w:szCs w:val="20"/>
        </w:rPr>
        <w:t xml:space="preserve"> and the </w:t>
      </w:r>
      <w:r w:rsidR="00DD16B4" w:rsidRPr="00DD16B4">
        <w:rPr>
          <w:rFonts w:ascii="Arial" w:hAnsi="Arial" w:cs="Arial"/>
          <w:i/>
          <w:sz w:val="20"/>
          <w:szCs w:val="20"/>
        </w:rPr>
        <w:t>Children’s Television Standards 2009</w:t>
      </w:r>
      <w:r w:rsidR="00157BE5">
        <w:rPr>
          <w:rFonts w:ascii="Arial" w:hAnsi="Arial" w:cs="Arial"/>
          <w:sz w:val="20"/>
          <w:szCs w:val="20"/>
        </w:rPr>
        <w:t xml:space="preserve">) </w:t>
      </w:r>
      <w:r w:rsidR="00C51439">
        <w:rPr>
          <w:rFonts w:ascii="Arial" w:hAnsi="Arial" w:cs="Arial"/>
          <w:sz w:val="20"/>
          <w:szCs w:val="20"/>
        </w:rPr>
        <w:t>and captioning r</w:t>
      </w:r>
      <w:r w:rsidR="00157BE5">
        <w:rPr>
          <w:rFonts w:ascii="Arial" w:hAnsi="Arial" w:cs="Arial"/>
          <w:sz w:val="20"/>
          <w:szCs w:val="20"/>
        </w:rPr>
        <w:t>ules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D283B" w:rsidRPr="004F77F0" w:rsidRDefault="00D73A6B" w:rsidP="003D283B">
      <w:pPr>
        <w:spacing w:before="120"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Operation</w:t>
      </w:r>
    </w:p>
    <w:p w:rsidR="00FB234D" w:rsidRDefault="00FB234D" w:rsidP="00FB234D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Amendment Declaration </w:t>
      </w:r>
      <w:r w:rsidR="000A0194">
        <w:rPr>
          <w:rFonts w:ascii="Arial" w:hAnsi="Arial" w:cs="Arial"/>
          <w:sz w:val="20"/>
          <w:szCs w:val="20"/>
        </w:rPr>
        <w:t xml:space="preserve">amends the Declaration to </w:t>
      </w:r>
      <w:r>
        <w:rPr>
          <w:rFonts w:ascii="Arial" w:hAnsi="Arial" w:cs="Arial"/>
          <w:sz w:val="20"/>
          <w:szCs w:val="20"/>
        </w:rPr>
        <w:t>provide that, after the simulcast period for the Adelaide TV1, Tasmania TV1 and Perth TV1 licence areas, the SDTV multi-channels specified in Schedule 1 to the Declaration (to appear after item 25 in the Declaration), are the Primary Services for the relevant licensees of those services.</w:t>
      </w:r>
    </w:p>
    <w:p w:rsidR="00CA3BF1" w:rsidRDefault="00CA3BF1" w:rsidP="00CA3BF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Amendment Declaration </w:t>
      </w:r>
      <w:r w:rsidR="00FB234D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 xml:space="preserve">amends the Declaration to reflect that </w:t>
      </w:r>
      <w:r w:rsidRPr="00E00EF7">
        <w:rPr>
          <w:rFonts w:ascii="Arial" w:hAnsi="Arial" w:cs="Arial"/>
          <w:sz w:val="20"/>
          <w:szCs w:val="20"/>
        </w:rPr>
        <w:t xml:space="preserve">subsequent to the primary services being declared in December </w:t>
      </w:r>
      <w:r>
        <w:rPr>
          <w:rFonts w:ascii="Arial" w:hAnsi="Arial" w:cs="Arial"/>
          <w:sz w:val="20"/>
          <w:szCs w:val="20"/>
        </w:rPr>
        <w:t>2010, WIN Television SA Pty Ltd:</w:t>
      </w:r>
    </w:p>
    <w:p w:rsidR="00BF397A" w:rsidRDefault="00BF397A" w:rsidP="00BF397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71BCE">
        <w:rPr>
          <w:rFonts w:ascii="Arial" w:hAnsi="Arial" w:cs="Arial"/>
          <w:sz w:val="20"/>
          <w:szCs w:val="20"/>
        </w:rPr>
        <w:t>provid</w:t>
      </w:r>
      <w:r w:rsidR="00581E4B">
        <w:rPr>
          <w:rFonts w:ascii="Arial" w:hAnsi="Arial" w:cs="Arial"/>
          <w:sz w:val="20"/>
          <w:szCs w:val="20"/>
        </w:rPr>
        <w:t>ed</w:t>
      </w:r>
      <w:r w:rsidRPr="00B71BCE">
        <w:rPr>
          <w:rFonts w:ascii="Arial" w:hAnsi="Arial" w:cs="Arial"/>
          <w:sz w:val="20"/>
          <w:szCs w:val="20"/>
        </w:rPr>
        <w:t xml:space="preserve"> the WIN service, rather than the WIN SA service </w:t>
      </w:r>
      <w:r w:rsidR="00581E4B">
        <w:rPr>
          <w:rFonts w:ascii="Arial" w:hAnsi="Arial" w:cs="Arial"/>
          <w:sz w:val="20"/>
          <w:szCs w:val="20"/>
        </w:rPr>
        <w:t>under</w:t>
      </w:r>
      <w:r w:rsidRPr="00B71BCE">
        <w:rPr>
          <w:rFonts w:ascii="Arial" w:hAnsi="Arial" w:cs="Arial"/>
          <w:sz w:val="20"/>
          <w:szCs w:val="20"/>
        </w:rPr>
        <w:t xml:space="preserve"> SL 10330 BSL in the Mount Gambier/South East TV1 area</w:t>
      </w:r>
      <w:r w:rsidR="00581E4B">
        <w:rPr>
          <w:rFonts w:ascii="Arial" w:hAnsi="Arial" w:cs="Arial"/>
          <w:sz w:val="20"/>
          <w:szCs w:val="20"/>
        </w:rPr>
        <w:t xml:space="preserve">, and under </w:t>
      </w:r>
      <w:r w:rsidR="00581E4B" w:rsidRPr="003D63E9">
        <w:rPr>
          <w:rFonts w:ascii="Arial" w:hAnsi="Arial" w:cs="Arial"/>
          <w:sz w:val="20"/>
          <w:szCs w:val="20"/>
        </w:rPr>
        <w:t>SL 10174 BSL in the Riverland TV1 area</w:t>
      </w:r>
      <w:r>
        <w:rPr>
          <w:rFonts w:ascii="Arial" w:hAnsi="Arial" w:cs="Arial"/>
          <w:sz w:val="20"/>
          <w:szCs w:val="20"/>
        </w:rPr>
        <w:t>,</w:t>
      </w:r>
    </w:p>
    <w:p w:rsidR="00BF397A" w:rsidRDefault="00BF397A" w:rsidP="00BF397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D63E9">
        <w:rPr>
          <w:rFonts w:ascii="Arial" w:hAnsi="Arial" w:cs="Arial"/>
          <w:sz w:val="20"/>
          <w:szCs w:val="20"/>
        </w:rPr>
        <w:t>provid</w:t>
      </w:r>
      <w:r w:rsidR="00581E4B">
        <w:rPr>
          <w:rFonts w:ascii="Arial" w:hAnsi="Arial" w:cs="Arial"/>
          <w:sz w:val="20"/>
          <w:szCs w:val="20"/>
        </w:rPr>
        <w:t>ed</w:t>
      </w:r>
      <w:r w:rsidRPr="003D63E9">
        <w:rPr>
          <w:rFonts w:ascii="Arial" w:hAnsi="Arial" w:cs="Arial"/>
          <w:sz w:val="20"/>
          <w:szCs w:val="20"/>
        </w:rPr>
        <w:t xml:space="preserve"> the 7 service, rather than the Nine service </w:t>
      </w:r>
      <w:r w:rsidR="00581E4B">
        <w:rPr>
          <w:rFonts w:ascii="Arial" w:hAnsi="Arial" w:cs="Arial"/>
          <w:sz w:val="20"/>
          <w:szCs w:val="20"/>
        </w:rPr>
        <w:t>under</w:t>
      </w:r>
      <w:r w:rsidRPr="003D63E9">
        <w:rPr>
          <w:rFonts w:ascii="Arial" w:hAnsi="Arial" w:cs="Arial"/>
          <w:sz w:val="20"/>
          <w:szCs w:val="20"/>
        </w:rPr>
        <w:t xml:space="preserve"> SL 1130144 BSL in the Mount Gambier/South East TV1 area</w:t>
      </w:r>
      <w:r w:rsidR="00581E4B">
        <w:rPr>
          <w:rFonts w:ascii="Arial" w:hAnsi="Arial" w:cs="Arial"/>
          <w:sz w:val="20"/>
          <w:szCs w:val="20"/>
        </w:rPr>
        <w:t xml:space="preserve">, and under </w:t>
      </w:r>
      <w:r w:rsidR="00581E4B" w:rsidRPr="003D63E9">
        <w:rPr>
          <w:rFonts w:ascii="Arial" w:hAnsi="Arial" w:cs="Arial"/>
          <w:sz w:val="20"/>
          <w:szCs w:val="20"/>
        </w:rPr>
        <w:t>SL 1130145 BSL in the Riverland TV1 area</w:t>
      </w:r>
      <w:r>
        <w:rPr>
          <w:rFonts w:ascii="Arial" w:hAnsi="Arial" w:cs="Arial"/>
          <w:sz w:val="20"/>
          <w:szCs w:val="20"/>
        </w:rPr>
        <w:t>,</w:t>
      </w:r>
    </w:p>
    <w:p w:rsidR="00487452" w:rsidRPr="004F77F0" w:rsidRDefault="00D73A6B" w:rsidP="009E31BD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  <w:bookmarkStart w:id="4" w:name="OLE_LINK23"/>
      <w:r>
        <w:rPr>
          <w:rFonts w:ascii="Arial" w:hAnsi="Arial" w:cs="Arial"/>
          <w:b/>
          <w:sz w:val="20"/>
          <w:szCs w:val="20"/>
        </w:rPr>
        <w:t>Consultation</w:t>
      </w:r>
    </w:p>
    <w:p w:rsidR="00E00EF7" w:rsidRDefault="00D73A6B" w:rsidP="0017623E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17 of the </w:t>
      </w:r>
      <w:r>
        <w:rPr>
          <w:rFonts w:ascii="Arial" w:hAnsi="Arial" w:cs="Arial"/>
          <w:i/>
          <w:sz w:val="20"/>
          <w:szCs w:val="20"/>
        </w:rPr>
        <w:t>Legislative Instruments Act 2003</w:t>
      </w:r>
      <w:r>
        <w:rPr>
          <w:rFonts w:ascii="Arial" w:hAnsi="Arial" w:cs="Arial"/>
          <w:sz w:val="20"/>
          <w:szCs w:val="20"/>
        </w:rPr>
        <w:t xml:space="preserve"> (the LIA) requires the ACMA to be satisfied that any consultation it considers to be appropriate and that is reasonably practicable to</w:t>
      </w:r>
      <w:r w:rsidR="00E00EF7">
        <w:rPr>
          <w:rFonts w:ascii="Arial" w:hAnsi="Arial" w:cs="Arial"/>
          <w:sz w:val="20"/>
          <w:szCs w:val="20"/>
        </w:rPr>
        <w:t xml:space="preserve"> undertake has been undertaken.</w:t>
      </w:r>
    </w:p>
    <w:p w:rsidR="00194ED4" w:rsidRDefault="00100008" w:rsidP="00FB234D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ACMA consulted the </w:t>
      </w:r>
      <w:r w:rsidRPr="00E75E29">
        <w:rPr>
          <w:rFonts w:ascii="Arial" w:hAnsi="Arial" w:cs="Arial"/>
          <w:sz w:val="20"/>
          <w:szCs w:val="20"/>
        </w:rPr>
        <w:t>licensees in each of the</w:t>
      </w:r>
      <w:r w:rsidR="00BB4C37" w:rsidRPr="00E75E29">
        <w:rPr>
          <w:rFonts w:ascii="Arial" w:hAnsi="Arial" w:cs="Arial"/>
          <w:sz w:val="20"/>
          <w:szCs w:val="20"/>
        </w:rPr>
        <w:t xml:space="preserve"> </w:t>
      </w:r>
      <w:r w:rsidR="00E00EF7">
        <w:rPr>
          <w:rFonts w:ascii="Arial" w:hAnsi="Arial" w:cs="Arial"/>
          <w:sz w:val="20"/>
          <w:szCs w:val="20"/>
        </w:rPr>
        <w:t>Adelaide TV1, Tasmania TV1 and Perth TV1 licence areas</w:t>
      </w:r>
      <w:r w:rsidR="00BB4C37" w:rsidRPr="00E75E29">
        <w:rPr>
          <w:rFonts w:ascii="Arial" w:hAnsi="Arial" w:cs="Arial"/>
          <w:sz w:val="20"/>
          <w:szCs w:val="20"/>
        </w:rPr>
        <w:t>, being</w:t>
      </w:r>
      <w:r w:rsidR="00194ED4">
        <w:rPr>
          <w:rFonts w:ascii="Arial" w:hAnsi="Arial" w:cs="Arial"/>
          <w:sz w:val="20"/>
          <w:szCs w:val="20"/>
        </w:rPr>
        <w:t>:</w:t>
      </w:r>
    </w:p>
    <w:p w:rsidR="00194ED4" w:rsidRDefault="003F05AA" w:rsidP="00194ED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sz w:val="20"/>
          <w:szCs w:val="20"/>
        </w:rPr>
      </w:pPr>
      <w:r w:rsidRPr="00194ED4">
        <w:rPr>
          <w:rFonts w:ascii="Arial" w:hAnsi="Arial" w:cs="Arial"/>
          <w:sz w:val="20"/>
          <w:szCs w:val="20"/>
        </w:rPr>
        <w:t xml:space="preserve">Network Ten (Adelaide) Pty Ltd, Channel 9 South Australia Pty Ltd </w:t>
      </w:r>
      <w:r w:rsidR="00194ED4">
        <w:rPr>
          <w:rFonts w:ascii="Arial" w:hAnsi="Arial" w:cs="Arial"/>
          <w:sz w:val="20"/>
          <w:szCs w:val="20"/>
        </w:rPr>
        <w:t xml:space="preserve">and </w:t>
      </w:r>
      <w:r w:rsidRPr="00194ED4">
        <w:rPr>
          <w:rFonts w:ascii="Arial" w:hAnsi="Arial" w:cs="Arial"/>
          <w:sz w:val="20"/>
          <w:szCs w:val="20"/>
        </w:rPr>
        <w:t>Channel Seven Adelaide Pty Ltd</w:t>
      </w:r>
      <w:r w:rsidR="00194ED4">
        <w:rPr>
          <w:rFonts w:ascii="Arial" w:hAnsi="Arial" w:cs="Arial"/>
          <w:sz w:val="20"/>
          <w:szCs w:val="20"/>
        </w:rPr>
        <w:t xml:space="preserve"> (Adelaide TV1),</w:t>
      </w:r>
    </w:p>
    <w:p w:rsidR="00194ED4" w:rsidRDefault="003F05AA" w:rsidP="00194ED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sz w:val="20"/>
          <w:szCs w:val="20"/>
        </w:rPr>
      </w:pPr>
      <w:r w:rsidRPr="00194ED4">
        <w:rPr>
          <w:rFonts w:ascii="Arial" w:hAnsi="Arial" w:cs="Arial"/>
          <w:sz w:val="20"/>
          <w:szCs w:val="20"/>
        </w:rPr>
        <w:t>WIN Television TAS Pty Ltd, Southern Cross Television (TNT9) Pty Ltd</w:t>
      </w:r>
      <w:r w:rsidR="00194ED4">
        <w:rPr>
          <w:rFonts w:ascii="Arial" w:hAnsi="Arial" w:cs="Arial"/>
          <w:sz w:val="20"/>
          <w:szCs w:val="20"/>
        </w:rPr>
        <w:t xml:space="preserve"> and </w:t>
      </w:r>
      <w:r w:rsidRPr="00194ED4">
        <w:rPr>
          <w:rFonts w:ascii="Arial" w:hAnsi="Arial" w:cs="Arial"/>
          <w:sz w:val="20"/>
          <w:szCs w:val="20"/>
        </w:rPr>
        <w:t>Tasmanian Digital Television Pty Ltd</w:t>
      </w:r>
      <w:r w:rsidR="00194ED4">
        <w:rPr>
          <w:rFonts w:ascii="Arial" w:hAnsi="Arial" w:cs="Arial"/>
          <w:sz w:val="20"/>
          <w:szCs w:val="20"/>
        </w:rPr>
        <w:t xml:space="preserve"> (Tasmania TV1), and</w:t>
      </w:r>
    </w:p>
    <w:p w:rsidR="00194ED4" w:rsidRDefault="003F05AA" w:rsidP="00194ED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sz w:val="20"/>
          <w:szCs w:val="20"/>
        </w:rPr>
      </w:pPr>
      <w:r w:rsidRPr="00194ED4">
        <w:rPr>
          <w:rFonts w:ascii="Arial" w:hAnsi="Arial" w:cs="Arial"/>
          <w:sz w:val="20"/>
          <w:szCs w:val="20"/>
        </w:rPr>
        <w:t>Channel Seven Perth Pty Ltd, Swan Television &amp; Radio Broadcasters Pty Ltd and Network Ten (Perth) Pty Ltd</w:t>
      </w:r>
      <w:r w:rsidR="00194ED4">
        <w:rPr>
          <w:rFonts w:ascii="Arial" w:hAnsi="Arial" w:cs="Arial"/>
          <w:sz w:val="20"/>
          <w:szCs w:val="20"/>
        </w:rPr>
        <w:t xml:space="preserve"> (Perth TV1</w:t>
      </w:r>
      <w:r w:rsidRPr="00194ED4">
        <w:rPr>
          <w:rFonts w:ascii="Arial" w:hAnsi="Arial" w:cs="Arial"/>
          <w:sz w:val="20"/>
          <w:szCs w:val="20"/>
        </w:rPr>
        <w:t>.</w:t>
      </w:r>
      <w:r w:rsidR="00194ED4">
        <w:rPr>
          <w:rFonts w:ascii="Arial" w:hAnsi="Arial" w:cs="Arial"/>
          <w:sz w:val="20"/>
          <w:szCs w:val="20"/>
        </w:rPr>
        <w:t>)</w:t>
      </w:r>
    </w:p>
    <w:p w:rsidR="00FB234D" w:rsidRPr="00194ED4" w:rsidRDefault="00FB234D" w:rsidP="00194ED4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sz w:val="20"/>
          <w:szCs w:val="20"/>
        </w:rPr>
      </w:pPr>
      <w:r w:rsidRPr="00194ED4">
        <w:rPr>
          <w:rFonts w:ascii="Arial" w:hAnsi="Arial" w:cs="Arial"/>
          <w:sz w:val="20"/>
          <w:szCs w:val="20"/>
        </w:rPr>
        <w:t xml:space="preserve">The ACMA also consulted WIN Television SA Pty Ltd, the licensee subject to the primary services </w:t>
      </w:r>
      <w:r w:rsidR="00194ED4">
        <w:rPr>
          <w:rFonts w:ascii="Arial" w:hAnsi="Arial" w:cs="Arial"/>
          <w:sz w:val="20"/>
          <w:szCs w:val="20"/>
        </w:rPr>
        <w:t xml:space="preserve">declaration </w:t>
      </w:r>
      <w:r w:rsidRPr="00194ED4">
        <w:rPr>
          <w:rFonts w:ascii="Arial" w:hAnsi="Arial" w:cs="Arial"/>
          <w:sz w:val="20"/>
          <w:szCs w:val="20"/>
        </w:rPr>
        <w:t xml:space="preserve">variation in the Mount Gambier/South East TV1 and Riverland TV1 licence areas. </w:t>
      </w:r>
    </w:p>
    <w:p w:rsidR="00194ED4" w:rsidRDefault="00BD7624" w:rsidP="00BB4C37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20 February 2013 t</w:t>
      </w:r>
      <w:r w:rsidR="00C13146" w:rsidRPr="00E75E29">
        <w:rPr>
          <w:rFonts w:ascii="Arial" w:hAnsi="Arial" w:cs="Arial"/>
          <w:sz w:val="20"/>
          <w:szCs w:val="20"/>
        </w:rPr>
        <w:t xml:space="preserve">he </w:t>
      </w:r>
      <w:r w:rsidR="001576C5" w:rsidRPr="00E75E29">
        <w:rPr>
          <w:rFonts w:ascii="Arial" w:hAnsi="Arial" w:cs="Arial"/>
          <w:sz w:val="20"/>
          <w:szCs w:val="20"/>
        </w:rPr>
        <w:t xml:space="preserve">ACMA released a </w:t>
      </w:r>
      <w:r w:rsidR="000A0194">
        <w:rPr>
          <w:rFonts w:ascii="Arial" w:hAnsi="Arial" w:cs="Arial"/>
          <w:sz w:val="20"/>
          <w:szCs w:val="20"/>
        </w:rPr>
        <w:t xml:space="preserve">consultation </w:t>
      </w:r>
      <w:r w:rsidR="00397D20" w:rsidRPr="00E75E29">
        <w:rPr>
          <w:rFonts w:ascii="Arial" w:hAnsi="Arial" w:cs="Arial"/>
          <w:sz w:val="20"/>
          <w:szCs w:val="20"/>
        </w:rPr>
        <w:t>p</w:t>
      </w:r>
      <w:r w:rsidR="001576C5" w:rsidRPr="00E75E29">
        <w:rPr>
          <w:rFonts w:ascii="Arial" w:hAnsi="Arial" w:cs="Arial"/>
          <w:sz w:val="20"/>
          <w:szCs w:val="20"/>
        </w:rPr>
        <w:t>aper</w:t>
      </w:r>
      <w:r w:rsidR="00D73A6B" w:rsidRPr="00E75E29">
        <w:rPr>
          <w:rFonts w:ascii="Arial" w:hAnsi="Arial" w:cs="Arial"/>
          <w:sz w:val="20"/>
          <w:szCs w:val="20"/>
        </w:rPr>
        <w:t xml:space="preserve"> for public and industry</w:t>
      </w:r>
      <w:r w:rsidR="00194ED4">
        <w:rPr>
          <w:rFonts w:ascii="Arial" w:hAnsi="Arial" w:cs="Arial"/>
          <w:sz w:val="20"/>
          <w:szCs w:val="20"/>
        </w:rPr>
        <w:t xml:space="preserve"> comment.</w:t>
      </w:r>
    </w:p>
    <w:p w:rsidR="00194ED4" w:rsidRDefault="00C86C80" w:rsidP="00BB4C37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paper sought</w:t>
      </w:r>
      <w:r w:rsidR="00BD7624" w:rsidRPr="00BD7624">
        <w:rPr>
          <w:rFonts w:ascii="Arial" w:hAnsi="Arial" w:cs="Arial"/>
          <w:sz w:val="20"/>
          <w:szCs w:val="20"/>
        </w:rPr>
        <w:t xml:space="preserve"> comments on </w:t>
      </w:r>
      <w:r>
        <w:rPr>
          <w:rFonts w:ascii="Arial" w:hAnsi="Arial" w:cs="Arial"/>
          <w:sz w:val="20"/>
          <w:szCs w:val="20"/>
        </w:rPr>
        <w:t>the ACMA’s</w:t>
      </w:r>
      <w:r w:rsidR="00BD7624" w:rsidRPr="00BD7624">
        <w:rPr>
          <w:rFonts w:ascii="Arial" w:hAnsi="Arial" w:cs="Arial"/>
          <w:sz w:val="20"/>
          <w:szCs w:val="20"/>
        </w:rPr>
        <w:t xml:space="preserve"> proposal to make a declaration specifying Primary Commercial Television Broadcasting Services (Primary Services) for each of the commercial television broadcasting licences in the Adelaide TV1, Tasmania T</w:t>
      </w:r>
      <w:r w:rsidR="00194ED4">
        <w:rPr>
          <w:rFonts w:ascii="Arial" w:hAnsi="Arial" w:cs="Arial"/>
          <w:sz w:val="20"/>
          <w:szCs w:val="20"/>
        </w:rPr>
        <w:t>V1 and Perth TV1 licence areas.</w:t>
      </w:r>
    </w:p>
    <w:p w:rsidR="00194ED4" w:rsidRDefault="00BD7624" w:rsidP="00BB4C37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sz w:val="20"/>
          <w:szCs w:val="20"/>
        </w:rPr>
      </w:pPr>
      <w:r w:rsidRPr="00BD7624">
        <w:rPr>
          <w:rFonts w:ascii="Arial" w:hAnsi="Arial" w:cs="Arial"/>
          <w:sz w:val="20"/>
          <w:szCs w:val="20"/>
        </w:rPr>
        <w:t xml:space="preserve">The ACMA also </w:t>
      </w:r>
      <w:r w:rsidR="00C86C80">
        <w:rPr>
          <w:rFonts w:ascii="Arial" w:hAnsi="Arial" w:cs="Arial"/>
          <w:sz w:val="20"/>
          <w:szCs w:val="20"/>
        </w:rPr>
        <w:t>sought</w:t>
      </w:r>
      <w:r w:rsidRPr="00BD7624">
        <w:rPr>
          <w:rFonts w:ascii="Arial" w:hAnsi="Arial" w:cs="Arial"/>
          <w:sz w:val="20"/>
          <w:szCs w:val="20"/>
        </w:rPr>
        <w:t xml:space="preserve"> comments on its proposal to vary the declaration of </w:t>
      </w:r>
      <w:r w:rsidRPr="00BD7624">
        <w:rPr>
          <w:rFonts w:ascii="Arial" w:hAnsi="Arial" w:cs="Arial"/>
          <w:iCs/>
          <w:sz w:val="20"/>
          <w:szCs w:val="20"/>
        </w:rPr>
        <w:t>primary</w:t>
      </w:r>
      <w:r w:rsidRPr="00BD7624">
        <w:rPr>
          <w:rFonts w:ascii="Arial" w:hAnsi="Arial" w:cs="Arial"/>
          <w:i/>
          <w:sz w:val="20"/>
          <w:szCs w:val="20"/>
        </w:rPr>
        <w:t xml:space="preserve"> </w:t>
      </w:r>
      <w:r w:rsidRPr="00BD7624">
        <w:rPr>
          <w:rFonts w:ascii="Arial" w:hAnsi="Arial" w:cs="Arial"/>
          <w:sz w:val="20"/>
          <w:szCs w:val="20"/>
        </w:rPr>
        <w:t>commercial television broadcasting services for licences in the Mt Gambier/SE TV1 and Riverland TV1 licence areas.</w:t>
      </w:r>
    </w:p>
    <w:p w:rsidR="00FC282E" w:rsidRPr="00FC282E" w:rsidRDefault="0017623E" w:rsidP="00BB4C37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sz w:val="20"/>
          <w:szCs w:val="20"/>
        </w:rPr>
      </w:pPr>
      <w:r w:rsidRPr="0017623E">
        <w:rPr>
          <w:rFonts w:ascii="Arial" w:hAnsi="Arial" w:cs="Arial"/>
          <w:sz w:val="20"/>
          <w:szCs w:val="20"/>
        </w:rPr>
        <w:t xml:space="preserve">The closing date for submissions was on </w:t>
      </w:r>
      <w:r w:rsidR="002807BF">
        <w:rPr>
          <w:rFonts w:ascii="Arial" w:hAnsi="Arial" w:cs="Arial"/>
          <w:sz w:val="20"/>
          <w:szCs w:val="20"/>
        </w:rPr>
        <w:t>11</w:t>
      </w:r>
      <w:r w:rsidR="00E75E29">
        <w:rPr>
          <w:rFonts w:ascii="Arial" w:hAnsi="Arial" w:cs="Arial"/>
          <w:sz w:val="20"/>
          <w:szCs w:val="20"/>
        </w:rPr>
        <w:t xml:space="preserve"> Ma</w:t>
      </w:r>
      <w:r w:rsidR="002807BF">
        <w:rPr>
          <w:rFonts w:ascii="Arial" w:hAnsi="Arial" w:cs="Arial"/>
          <w:sz w:val="20"/>
          <w:szCs w:val="20"/>
        </w:rPr>
        <w:t>rch</w:t>
      </w:r>
      <w:r w:rsidR="00E75E29">
        <w:rPr>
          <w:rFonts w:ascii="Arial" w:hAnsi="Arial" w:cs="Arial"/>
          <w:sz w:val="20"/>
          <w:szCs w:val="20"/>
        </w:rPr>
        <w:t xml:space="preserve"> 201</w:t>
      </w:r>
      <w:r w:rsidR="002807BF">
        <w:rPr>
          <w:rFonts w:ascii="Arial" w:hAnsi="Arial" w:cs="Arial"/>
          <w:sz w:val="20"/>
          <w:szCs w:val="20"/>
        </w:rPr>
        <w:t>3</w:t>
      </w:r>
      <w:r w:rsidR="00E75E29">
        <w:rPr>
          <w:rFonts w:ascii="Arial" w:hAnsi="Arial" w:cs="Arial"/>
          <w:sz w:val="20"/>
          <w:szCs w:val="20"/>
        </w:rPr>
        <w:t>.</w:t>
      </w:r>
      <w:r w:rsidR="00100008">
        <w:rPr>
          <w:rFonts w:ascii="Arial" w:hAnsi="Arial" w:cs="Arial"/>
          <w:sz w:val="20"/>
          <w:szCs w:val="20"/>
        </w:rPr>
        <w:t xml:space="preserve"> </w:t>
      </w:r>
      <w:r w:rsidR="00E75E29">
        <w:rPr>
          <w:rFonts w:ascii="Arial" w:hAnsi="Arial" w:cs="Arial"/>
          <w:sz w:val="20"/>
          <w:szCs w:val="20"/>
        </w:rPr>
        <w:t>No submissions were received in response to this consultation paper.</w:t>
      </w:r>
    </w:p>
    <w:p w:rsidR="00F758E7" w:rsidRDefault="00D73A6B" w:rsidP="009E31BD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Accordingly, the ACMA is satisfied </w:t>
      </w:r>
      <w:r w:rsidR="00AB25F4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consultation has been conducted </w:t>
      </w:r>
      <w:r w:rsidR="00AB25F4">
        <w:rPr>
          <w:rFonts w:ascii="Arial" w:hAnsi="Arial" w:cs="Arial"/>
          <w:sz w:val="20"/>
          <w:szCs w:val="20"/>
        </w:rPr>
        <w:t>in accordance with the requirements</w:t>
      </w:r>
      <w:r w:rsidR="00E01F29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section 17 of the LIA.</w:t>
      </w:r>
    </w:p>
    <w:p w:rsidR="00E75E29" w:rsidRDefault="00E75E29" w:rsidP="00E75E29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Statement of Compatibility (SOC) with human rights</w:t>
      </w:r>
    </w:p>
    <w:p w:rsidR="00E75E29" w:rsidRDefault="00E75E29" w:rsidP="00E75E29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sz w:val="20"/>
          <w:szCs w:val="20"/>
        </w:rPr>
      </w:pPr>
      <w:r w:rsidRPr="00A46ECF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>the declaration of Primary Commercial Television Broadcasting Services</w:t>
      </w:r>
      <w:r w:rsidRPr="00A46ECF">
        <w:rPr>
          <w:rFonts w:ascii="Arial" w:hAnsi="Arial" w:cs="Arial"/>
          <w:sz w:val="20"/>
          <w:szCs w:val="20"/>
        </w:rPr>
        <w:t xml:space="preserve"> involves the preparation of a legislative instrument, </w:t>
      </w:r>
      <w:r>
        <w:rPr>
          <w:rFonts w:ascii="Arial" w:hAnsi="Arial" w:cs="Arial"/>
          <w:sz w:val="20"/>
          <w:szCs w:val="20"/>
        </w:rPr>
        <w:t>the following</w:t>
      </w:r>
      <w:r w:rsidRPr="00A46ECF">
        <w:rPr>
          <w:rFonts w:ascii="Arial" w:hAnsi="Arial" w:cs="Arial"/>
          <w:sz w:val="20"/>
          <w:szCs w:val="20"/>
        </w:rPr>
        <w:t xml:space="preserve"> Statement of Compatibility with Human Rights is included</w:t>
      </w:r>
      <w:r>
        <w:rPr>
          <w:rFonts w:ascii="Arial" w:hAnsi="Arial" w:cs="Arial"/>
          <w:sz w:val="20"/>
          <w:szCs w:val="20"/>
        </w:rPr>
        <w:t>:</w:t>
      </w:r>
    </w:p>
    <w:p w:rsidR="00E75E29" w:rsidRPr="006E7645" w:rsidRDefault="00E75E29" w:rsidP="00E7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tLeast"/>
        <w:ind w:left="567"/>
        <w:rPr>
          <w:rFonts w:ascii="Arial" w:hAnsi="Arial" w:cs="Arial"/>
          <w:i/>
          <w:sz w:val="20"/>
          <w:szCs w:val="20"/>
        </w:rPr>
      </w:pPr>
      <w:r w:rsidRPr="006E7645">
        <w:rPr>
          <w:rFonts w:ascii="Arial" w:hAnsi="Arial" w:cs="Arial"/>
          <w:i/>
          <w:sz w:val="20"/>
          <w:szCs w:val="20"/>
        </w:rPr>
        <w:t>Prepared in accordance with Part 3 of the Human Rights (Parliamentary Scrutiny) Act 2011</w:t>
      </w:r>
    </w:p>
    <w:p w:rsidR="00E75E29" w:rsidRPr="00272FE0" w:rsidRDefault="00E75E29" w:rsidP="00E7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tLeast"/>
        <w:ind w:left="567"/>
        <w:rPr>
          <w:rFonts w:ascii="Arial" w:hAnsi="Arial" w:cs="Arial"/>
          <w:sz w:val="20"/>
          <w:szCs w:val="20"/>
        </w:rPr>
      </w:pPr>
      <w:r w:rsidRPr="00272FE0">
        <w:rPr>
          <w:rFonts w:ascii="Arial" w:hAnsi="Arial" w:cs="Arial"/>
          <w:b/>
          <w:bCs/>
          <w:i/>
          <w:sz w:val="20"/>
          <w:szCs w:val="20"/>
        </w:rPr>
        <w:t>Broadcasting Services (Primary Commercial Television Broadcasting Service) Amendment Declaration 201</w:t>
      </w:r>
      <w:r w:rsidR="00FB234D">
        <w:rPr>
          <w:rFonts w:ascii="Arial" w:hAnsi="Arial" w:cs="Arial"/>
          <w:b/>
          <w:bCs/>
          <w:i/>
          <w:sz w:val="20"/>
          <w:szCs w:val="20"/>
        </w:rPr>
        <w:t>3</w:t>
      </w:r>
      <w:r w:rsidRPr="00272FE0">
        <w:rPr>
          <w:rFonts w:ascii="Arial" w:hAnsi="Arial" w:cs="Arial"/>
          <w:b/>
          <w:bCs/>
          <w:i/>
          <w:sz w:val="20"/>
          <w:szCs w:val="20"/>
        </w:rPr>
        <w:t xml:space="preserve"> (No.</w:t>
      </w:r>
      <w:r w:rsidR="00FB234D">
        <w:rPr>
          <w:rFonts w:ascii="Arial" w:hAnsi="Arial" w:cs="Arial"/>
          <w:b/>
          <w:bCs/>
          <w:i/>
          <w:sz w:val="20"/>
          <w:szCs w:val="20"/>
        </w:rPr>
        <w:t>1</w:t>
      </w:r>
      <w:r w:rsidRPr="00272FE0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E75E29" w:rsidRPr="00272FE0" w:rsidRDefault="00E75E29" w:rsidP="00E7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tLeast"/>
        <w:ind w:left="567"/>
        <w:rPr>
          <w:rFonts w:ascii="Arial" w:hAnsi="Arial" w:cs="Arial"/>
          <w:i/>
          <w:sz w:val="20"/>
          <w:szCs w:val="20"/>
        </w:rPr>
      </w:pPr>
      <w:r w:rsidRPr="00272FE0">
        <w:rPr>
          <w:rFonts w:ascii="Arial" w:hAnsi="Arial" w:cs="Arial"/>
          <w:sz w:val="20"/>
          <w:szCs w:val="20"/>
        </w:rPr>
        <w:t xml:space="preserve">This legislative instrument is compatible with the human rights and freedoms recognised or declared in the international instruments listed in section 3 of the </w:t>
      </w:r>
      <w:r w:rsidRPr="00272FE0">
        <w:rPr>
          <w:rFonts w:ascii="Arial" w:hAnsi="Arial" w:cs="Arial"/>
          <w:i/>
          <w:sz w:val="20"/>
          <w:szCs w:val="20"/>
        </w:rPr>
        <w:t>Human Rights (Parliamentary Scrutiny) Act 2011.</w:t>
      </w:r>
    </w:p>
    <w:p w:rsidR="00E75E29" w:rsidRPr="00272FE0" w:rsidRDefault="00E75E29" w:rsidP="00E7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tLeast"/>
        <w:ind w:left="567"/>
        <w:rPr>
          <w:rFonts w:ascii="Arial" w:hAnsi="Arial" w:cs="Arial"/>
          <w:b/>
          <w:sz w:val="20"/>
          <w:szCs w:val="20"/>
        </w:rPr>
      </w:pPr>
      <w:r w:rsidRPr="00272FE0">
        <w:rPr>
          <w:rFonts w:ascii="Arial" w:hAnsi="Arial" w:cs="Arial"/>
          <w:b/>
          <w:sz w:val="20"/>
          <w:szCs w:val="20"/>
        </w:rPr>
        <w:t>Overview of the legislative instrument</w:t>
      </w:r>
    </w:p>
    <w:p w:rsidR="00E75E29" w:rsidRPr="00272FE0" w:rsidRDefault="00E75E29" w:rsidP="00E7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tLeast"/>
        <w:ind w:left="567"/>
        <w:rPr>
          <w:rFonts w:ascii="Arial" w:hAnsi="Arial" w:cs="Arial"/>
          <w:sz w:val="20"/>
          <w:szCs w:val="20"/>
        </w:rPr>
      </w:pPr>
      <w:r w:rsidRPr="00272FE0">
        <w:rPr>
          <w:rFonts w:ascii="Arial" w:hAnsi="Arial" w:cs="Arial"/>
          <w:sz w:val="20"/>
          <w:szCs w:val="20"/>
        </w:rPr>
        <w:t xml:space="preserve">In the continuing transition to digital television, the government’s policy is to ensure all television viewers in Australia are able to receive free-to-air digital television broadcasting services following the switch-off of </w:t>
      </w:r>
      <w:proofErr w:type="spellStart"/>
      <w:r w:rsidRPr="00272FE0">
        <w:rPr>
          <w:rFonts w:ascii="Arial" w:hAnsi="Arial" w:cs="Arial"/>
          <w:sz w:val="20"/>
          <w:szCs w:val="20"/>
        </w:rPr>
        <w:t>analog</w:t>
      </w:r>
      <w:proofErr w:type="spellEnd"/>
      <w:r w:rsidRPr="00272FE0">
        <w:rPr>
          <w:rFonts w:ascii="Arial" w:hAnsi="Arial" w:cs="Arial"/>
          <w:sz w:val="20"/>
          <w:szCs w:val="20"/>
        </w:rPr>
        <w:t xml:space="preserve"> transmission, and to improve choice and quality of television services for people in remote and regional areas.</w:t>
      </w:r>
    </w:p>
    <w:p w:rsidR="00C74F46" w:rsidRDefault="00E75E29" w:rsidP="00E7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tLeast"/>
        <w:ind w:left="567"/>
        <w:rPr>
          <w:rFonts w:ascii="Arial" w:hAnsi="Arial" w:cs="Arial"/>
          <w:sz w:val="20"/>
          <w:szCs w:val="20"/>
        </w:rPr>
      </w:pPr>
      <w:r w:rsidRPr="00272FE0">
        <w:rPr>
          <w:rFonts w:ascii="Arial" w:hAnsi="Arial" w:cs="Arial"/>
          <w:sz w:val="20"/>
          <w:szCs w:val="20"/>
        </w:rPr>
        <w:t xml:space="preserve">A key element of this strategy is the </w:t>
      </w:r>
      <w:r>
        <w:rPr>
          <w:rFonts w:ascii="Arial" w:hAnsi="Arial" w:cs="Arial"/>
          <w:sz w:val="20"/>
          <w:szCs w:val="20"/>
        </w:rPr>
        <w:t xml:space="preserve">requirement for the ACMA to </w:t>
      </w:r>
      <w:r w:rsidRPr="00A662FC">
        <w:rPr>
          <w:rFonts w:ascii="Arial" w:hAnsi="Arial" w:cs="Arial"/>
          <w:sz w:val="20"/>
          <w:szCs w:val="20"/>
        </w:rPr>
        <w:t xml:space="preserve">ensure that a primary service is declared for each commercial television broadcasting licence </w:t>
      </w:r>
      <w:r>
        <w:rPr>
          <w:rFonts w:ascii="Arial" w:hAnsi="Arial" w:cs="Arial"/>
          <w:sz w:val="20"/>
          <w:szCs w:val="20"/>
        </w:rPr>
        <w:t>after the end of the simulcast period or simulcast-equivalent period for that licence area</w:t>
      </w:r>
      <w:r w:rsidRPr="00A662FC">
        <w:rPr>
          <w:rFonts w:ascii="Arial" w:hAnsi="Arial" w:cs="Arial"/>
          <w:sz w:val="20"/>
          <w:szCs w:val="20"/>
        </w:rPr>
        <w:t xml:space="preserve"> The declaration must </w:t>
      </w:r>
      <w:r w:rsidR="00C74F46">
        <w:rPr>
          <w:rFonts w:ascii="Arial" w:hAnsi="Arial" w:cs="Arial"/>
          <w:sz w:val="20"/>
          <w:szCs w:val="20"/>
        </w:rPr>
        <w:t>be in force at all times after the later of the end of the simulcast period or simulcast equivalent period for the licence area, and when a licensee commences to provide a SDTV multi-channel in the licence area.</w:t>
      </w:r>
    </w:p>
    <w:p w:rsidR="00C74F46" w:rsidRDefault="00C74F46" w:rsidP="00E7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Declaring a Primary Service ensures that the regulation of content is consistent with that of other commercial television broadcasting licences. In particular, a declared Primary Service will be subject to program standards for Australian content and children’s programs, as well as captioning requirements, while restrictions on televising an anti-siphoning event apply to the SDTV and HDTV multi-channels (that is, the event must first be shown on the Primary Service.)</w:t>
      </w:r>
    </w:p>
    <w:p w:rsidR="005B6C9C" w:rsidRDefault="00E75E29" w:rsidP="00E7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tLeast"/>
        <w:ind w:left="567"/>
        <w:rPr>
          <w:rFonts w:ascii="Arial" w:hAnsi="Arial" w:cs="Arial"/>
          <w:sz w:val="20"/>
          <w:szCs w:val="20"/>
        </w:rPr>
      </w:pPr>
      <w:r w:rsidRPr="00272FE0">
        <w:rPr>
          <w:rFonts w:ascii="Arial" w:hAnsi="Arial" w:cs="Arial"/>
          <w:sz w:val="20"/>
          <w:szCs w:val="20"/>
        </w:rPr>
        <w:t xml:space="preserve">The </w:t>
      </w:r>
      <w:r w:rsidRPr="00272FE0">
        <w:rPr>
          <w:rFonts w:ascii="Arial" w:hAnsi="Arial" w:cs="Arial"/>
          <w:bCs/>
          <w:i/>
          <w:sz w:val="20"/>
          <w:szCs w:val="20"/>
        </w:rPr>
        <w:t>Broadcasting Services (Primary Commercial Television Broadcasting Service) Amendment Declaration 201</w:t>
      </w:r>
      <w:r w:rsidR="00FB234D">
        <w:rPr>
          <w:rFonts w:ascii="Arial" w:hAnsi="Arial" w:cs="Arial"/>
          <w:bCs/>
          <w:i/>
          <w:sz w:val="20"/>
          <w:szCs w:val="20"/>
        </w:rPr>
        <w:t>3</w:t>
      </w:r>
      <w:r w:rsidRPr="00272FE0">
        <w:rPr>
          <w:rFonts w:ascii="Arial" w:hAnsi="Arial" w:cs="Arial"/>
          <w:bCs/>
          <w:i/>
          <w:sz w:val="20"/>
          <w:szCs w:val="20"/>
        </w:rPr>
        <w:t xml:space="preserve"> (No.</w:t>
      </w:r>
      <w:r w:rsidR="00FB234D">
        <w:rPr>
          <w:rFonts w:ascii="Arial" w:hAnsi="Arial" w:cs="Arial"/>
          <w:bCs/>
          <w:i/>
          <w:sz w:val="20"/>
          <w:szCs w:val="20"/>
        </w:rPr>
        <w:t>1</w:t>
      </w:r>
      <w:r w:rsidRPr="00272FE0">
        <w:rPr>
          <w:rFonts w:ascii="Arial" w:hAnsi="Arial" w:cs="Arial"/>
          <w:bCs/>
          <w:i/>
          <w:sz w:val="20"/>
          <w:szCs w:val="20"/>
        </w:rPr>
        <w:t>)</w:t>
      </w:r>
      <w:r w:rsidRPr="00272F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272FE0">
        <w:rPr>
          <w:rFonts w:ascii="Arial" w:hAnsi="Arial" w:cs="Arial"/>
          <w:bCs/>
          <w:sz w:val="20"/>
          <w:szCs w:val="20"/>
        </w:rPr>
        <w:t xml:space="preserve">declares </w:t>
      </w:r>
      <w:r w:rsidR="009A52EF">
        <w:rPr>
          <w:rFonts w:ascii="Arial" w:hAnsi="Arial" w:cs="Arial"/>
          <w:bCs/>
          <w:sz w:val="20"/>
          <w:szCs w:val="20"/>
        </w:rPr>
        <w:t>services that</w:t>
      </w:r>
      <w:r w:rsidR="009A52EF">
        <w:rPr>
          <w:rFonts w:ascii="Arial" w:hAnsi="Arial" w:cs="Arial"/>
          <w:sz w:val="20"/>
          <w:szCs w:val="20"/>
        </w:rPr>
        <w:t xml:space="preserve"> correspond</w:t>
      </w:r>
      <w:r w:rsidRPr="00805DBE">
        <w:rPr>
          <w:rFonts w:ascii="Arial" w:hAnsi="Arial" w:cs="Arial"/>
          <w:sz w:val="20"/>
          <w:szCs w:val="20"/>
        </w:rPr>
        <w:t xml:space="preserve"> with the core commercial television broadcasting service </w:t>
      </w:r>
      <w:r w:rsidR="009A52EF">
        <w:rPr>
          <w:rFonts w:ascii="Arial" w:hAnsi="Arial" w:cs="Arial"/>
          <w:sz w:val="20"/>
          <w:szCs w:val="20"/>
        </w:rPr>
        <w:t xml:space="preserve">currently </w:t>
      </w:r>
      <w:r w:rsidRPr="00805DBE">
        <w:rPr>
          <w:rFonts w:ascii="Arial" w:hAnsi="Arial" w:cs="Arial"/>
          <w:sz w:val="20"/>
          <w:szCs w:val="20"/>
        </w:rPr>
        <w:t xml:space="preserve">provided by </w:t>
      </w:r>
      <w:r w:rsidR="009A52EF">
        <w:rPr>
          <w:rFonts w:ascii="Arial" w:hAnsi="Arial" w:cs="Arial"/>
          <w:sz w:val="20"/>
          <w:szCs w:val="20"/>
        </w:rPr>
        <w:t xml:space="preserve">each of the </w:t>
      </w:r>
      <w:r w:rsidRPr="00805DBE">
        <w:rPr>
          <w:rFonts w:ascii="Arial" w:hAnsi="Arial" w:cs="Arial"/>
          <w:sz w:val="20"/>
          <w:szCs w:val="20"/>
        </w:rPr>
        <w:t>commercial television broadcasting licensees</w:t>
      </w:r>
      <w:r w:rsidR="009A52EF">
        <w:rPr>
          <w:rFonts w:ascii="Arial" w:hAnsi="Arial" w:cs="Arial"/>
          <w:sz w:val="20"/>
          <w:szCs w:val="20"/>
        </w:rPr>
        <w:t xml:space="preserve"> as the primary service</w:t>
      </w:r>
      <w:r>
        <w:rPr>
          <w:rFonts w:ascii="Arial" w:hAnsi="Arial" w:cs="Arial"/>
          <w:sz w:val="20"/>
          <w:szCs w:val="20"/>
        </w:rPr>
        <w:t>.</w:t>
      </w:r>
    </w:p>
    <w:p w:rsidR="00E75E29" w:rsidRPr="005B6C9C" w:rsidRDefault="005B6C9C" w:rsidP="00E7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tLeast"/>
        <w:ind w:left="567"/>
        <w:rPr>
          <w:rFonts w:ascii="Arial" w:hAnsi="Arial" w:cs="Arial"/>
          <w:sz w:val="20"/>
          <w:szCs w:val="20"/>
        </w:rPr>
      </w:pPr>
      <w:r w:rsidRPr="00272FE0">
        <w:rPr>
          <w:rFonts w:ascii="Arial" w:hAnsi="Arial" w:cs="Arial"/>
          <w:sz w:val="20"/>
          <w:szCs w:val="20"/>
        </w:rPr>
        <w:t xml:space="preserve">The </w:t>
      </w:r>
      <w:r w:rsidRPr="00272FE0">
        <w:rPr>
          <w:rFonts w:ascii="Arial" w:hAnsi="Arial" w:cs="Arial"/>
          <w:bCs/>
          <w:i/>
          <w:sz w:val="20"/>
          <w:szCs w:val="20"/>
        </w:rPr>
        <w:t>Broadcasting Services (Primary Commercial Television Broadcasting Service) Amendment Declaration 201</w:t>
      </w:r>
      <w:r>
        <w:rPr>
          <w:rFonts w:ascii="Arial" w:hAnsi="Arial" w:cs="Arial"/>
          <w:bCs/>
          <w:i/>
          <w:sz w:val="20"/>
          <w:szCs w:val="20"/>
        </w:rPr>
        <w:t>3</w:t>
      </w:r>
      <w:r w:rsidRPr="00272FE0">
        <w:rPr>
          <w:rFonts w:ascii="Arial" w:hAnsi="Arial" w:cs="Arial"/>
          <w:bCs/>
          <w:i/>
          <w:sz w:val="20"/>
          <w:szCs w:val="20"/>
        </w:rPr>
        <w:t xml:space="preserve"> (No.</w:t>
      </w:r>
      <w:r>
        <w:rPr>
          <w:rFonts w:ascii="Arial" w:hAnsi="Arial" w:cs="Arial"/>
          <w:bCs/>
          <w:i/>
          <w:sz w:val="20"/>
          <w:szCs w:val="20"/>
        </w:rPr>
        <w:t>1</w:t>
      </w:r>
      <w:r w:rsidRPr="00272FE0">
        <w:rPr>
          <w:rFonts w:ascii="Arial" w:hAnsi="Arial" w:cs="Arial"/>
          <w:bCs/>
          <w:i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also amends the primary services declaration for the </w:t>
      </w:r>
      <w:r w:rsidRPr="00FB234D">
        <w:rPr>
          <w:rFonts w:ascii="Arial" w:hAnsi="Arial" w:cs="Arial"/>
          <w:sz w:val="20"/>
          <w:szCs w:val="20"/>
        </w:rPr>
        <w:t>Mount Gambier/South East</w:t>
      </w:r>
      <w:r w:rsidRPr="00E00EF7">
        <w:rPr>
          <w:rFonts w:ascii="Arial" w:hAnsi="Arial" w:cs="Arial"/>
          <w:sz w:val="20"/>
          <w:szCs w:val="20"/>
        </w:rPr>
        <w:t xml:space="preserve"> TV1 </w:t>
      </w:r>
      <w:r>
        <w:rPr>
          <w:rFonts w:ascii="Arial" w:hAnsi="Arial" w:cs="Arial"/>
          <w:sz w:val="20"/>
          <w:szCs w:val="20"/>
        </w:rPr>
        <w:t xml:space="preserve">and </w:t>
      </w:r>
      <w:r w:rsidRPr="00E00EF7">
        <w:rPr>
          <w:rFonts w:ascii="Arial" w:hAnsi="Arial" w:cs="Arial"/>
          <w:sz w:val="20"/>
          <w:szCs w:val="20"/>
        </w:rPr>
        <w:t xml:space="preserve">Riverland </w:t>
      </w:r>
      <w:r>
        <w:rPr>
          <w:rFonts w:ascii="Arial" w:hAnsi="Arial" w:cs="Arial"/>
          <w:sz w:val="20"/>
          <w:szCs w:val="20"/>
        </w:rPr>
        <w:t xml:space="preserve">TV1 licence </w:t>
      </w:r>
      <w:r w:rsidRPr="00E00EF7">
        <w:rPr>
          <w:rFonts w:ascii="Arial" w:hAnsi="Arial" w:cs="Arial"/>
          <w:sz w:val="20"/>
          <w:szCs w:val="20"/>
        </w:rPr>
        <w:t>area</w:t>
      </w:r>
      <w:r>
        <w:rPr>
          <w:rFonts w:ascii="Arial" w:hAnsi="Arial" w:cs="Arial"/>
          <w:sz w:val="20"/>
          <w:szCs w:val="20"/>
        </w:rPr>
        <w:t>s to reflect current broadcast arrangements.</w:t>
      </w:r>
    </w:p>
    <w:p w:rsidR="00E75E29" w:rsidRPr="00272FE0" w:rsidRDefault="00E75E29" w:rsidP="00E7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tLeast"/>
        <w:ind w:left="567"/>
        <w:rPr>
          <w:rFonts w:ascii="Arial" w:hAnsi="Arial" w:cs="Arial"/>
          <w:b/>
          <w:sz w:val="20"/>
          <w:szCs w:val="20"/>
        </w:rPr>
      </w:pPr>
      <w:r w:rsidRPr="00272FE0">
        <w:rPr>
          <w:rFonts w:ascii="Arial" w:hAnsi="Arial" w:cs="Arial"/>
          <w:b/>
          <w:sz w:val="20"/>
          <w:szCs w:val="20"/>
        </w:rPr>
        <w:t>Human rights implications</w:t>
      </w:r>
    </w:p>
    <w:p w:rsidR="00E75E29" w:rsidRPr="00272FE0" w:rsidRDefault="00E75E29" w:rsidP="00E7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tLeast"/>
        <w:ind w:left="567"/>
        <w:rPr>
          <w:rFonts w:ascii="Arial" w:hAnsi="Arial" w:cs="Arial"/>
          <w:sz w:val="20"/>
          <w:szCs w:val="20"/>
        </w:rPr>
      </w:pPr>
      <w:r w:rsidRPr="00272FE0">
        <w:rPr>
          <w:rFonts w:ascii="Arial" w:hAnsi="Arial" w:cs="Arial"/>
          <w:sz w:val="20"/>
          <w:szCs w:val="20"/>
        </w:rPr>
        <w:t>This legislative instrument does not engage any of the applicable rights or freedoms.</w:t>
      </w:r>
    </w:p>
    <w:p w:rsidR="00E75E29" w:rsidRPr="00272FE0" w:rsidRDefault="00E75E29" w:rsidP="00E7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tLeast"/>
        <w:ind w:left="567"/>
        <w:rPr>
          <w:rFonts w:ascii="Arial" w:hAnsi="Arial" w:cs="Arial"/>
          <w:b/>
          <w:sz w:val="20"/>
          <w:szCs w:val="20"/>
        </w:rPr>
      </w:pPr>
      <w:r w:rsidRPr="00272FE0">
        <w:rPr>
          <w:rFonts w:ascii="Arial" w:hAnsi="Arial" w:cs="Arial"/>
          <w:b/>
          <w:sz w:val="20"/>
          <w:szCs w:val="20"/>
        </w:rPr>
        <w:t>Conclusion</w:t>
      </w:r>
    </w:p>
    <w:p w:rsidR="00E75E29" w:rsidRPr="00272FE0" w:rsidRDefault="00E75E29" w:rsidP="00E7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tLeast"/>
        <w:ind w:left="567"/>
        <w:rPr>
          <w:rFonts w:ascii="Arial" w:hAnsi="Arial" w:cs="Arial"/>
          <w:sz w:val="20"/>
          <w:szCs w:val="20"/>
        </w:rPr>
      </w:pPr>
      <w:r w:rsidRPr="00272FE0">
        <w:rPr>
          <w:rFonts w:ascii="Arial" w:hAnsi="Arial" w:cs="Arial"/>
          <w:sz w:val="20"/>
          <w:szCs w:val="20"/>
        </w:rPr>
        <w:t xml:space="preserve">This legislative instrument is compatible with human rights as it does not raise any human rights issues. </w:t>
      </w:r>
    </w:p>
    <w:p w:rsidR="00E75E29" w:rsidRPr="00272FE0" w:rsidRDefault="00E75E29" w:rsidP="00E7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tLeast"/>
        <w:ind w:left="567"/>
        <w:rPr>
          <w:rFonts w:ascii="Arial" w:hAnsi="Arial" w:cs="Arial"/>
          <w:sz w:val="20"/>
          <w:szCs w:val="20"/>
        </w:rPr>
      </w:pPr>
      <w:r w:rsidRPr="00272FE0">
        <w:rPr>
          <w:rFonts w:ascii="Arial" w:hAnsi="Arial" w:cs="Arial"/>
          <w:sz w:val="20"/>
          <w:szCs w:val="20"/>
        </w:rPr>
        <w:t>The rule-maker of the Legislative Instrument is the Australian Communications and Media Authority.</w:t>
      </w:r>
    </w:p>
    <w:p w:rsidR="00E75E29" w:rsidRDefault="00E75E29" w:rsidP="00E75E29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</w:p>
    <w:p w:rsidR="00D655D8" w:rsidRPr="004F77F0" w:rsidRDefault="00D73A6B" w:rsidP="009E31BD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  <w:bookmarkStart w:id="5" w:name="OLE_LINK34"/>
      <w:r>
        <w:rPr>
          <w:rFonts w:ascii="Arial" w:hAnsi="Arial" w:cs="Arial"/>
          <w:b/>
          <w:sz w:val="20"/>
          <w:szCs w:val="20"/>
        </w:rPr>
        <w:lastRenderedPageBreak/>
        <w:t>Regulatory Impact</w:t>
      </w:r>
    </w:p>
    <w:p w:rsidR="00FC282E" w:rsidRPr="00FC282E" w:rsidRDefault="00FC282E" w:rsidP="00FC282E">
      <w:pPr>
        <w:pStyle w:val="ACMANumberedList"/>
        <w:numPr>
          <w:ilvl w:val="0"/>
          <w:numId w:val="0"/>
        </w:numPr>
        <w:tabs>
          <w:tab w:val="left" w:pos="720"/>
        </w:tabs>
        <w:rPr>
          <w:rFonts w:ascii="Arial" w:hAnsi="Arial" w:cs="Arial"/>
          <w:color w:val="000000" w:themeColor="text1"/>
          <w:sz w:val="20"/>
        </w:rPr>
      </w:pPr>
      <w:bookmarkStart w:id="6" w:name="OLE_LINK5"/>
      <w:bookmarkStart w:id="7" w:name="OLE_LINK6"/>
      <w:r w:rsidRPr="00FC282E">
        <w:rPr>
          <w:rFonts w:ascii="Arial" w:hAnsi="Arial" w:cs="Arial"/>
          <w:noProof/>
          <w:sz w:val="20"/>
        </w:rPr>
        <w:t>The ACMA has considered whether a regulatory impact analysis process is required by undertaking a preliminary assessment, and formed the view that the recommendation in this submission would give rise to a regulatory change with only minor or machinery impact on the business or not-for-profit sector. The Office of Best Practice Regulation (OBPR) has verified that no further regulatory impact analysis is required for this proposal – OBPR reference number 12066.</w:t>
      </w:r>
    </w:p>
    <w:p w:rsidR="00D655D8" w:rsidRPr="004F77F0" w:rsidRDefault="00AD6320" w:rsidP="009E31BD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  <w:r w:rsidRPr="004F77F0">
        <w:rPr>
          <w:rFonts w:ascii="Arial" w:hAnsi="Arial" w:cs="Arial"/>
          <w:b/>
          <w:sz w:val="20"/>
          <w:szCs w:val="20"/>
        </w:rPr>
        <w:t>Attachment</w:t>
      </w:r>
      <w:bookmarkEnd w:id="5"/>
      <w:bookmarkEnd w:id="6"/>
      <w:bookmarkEnd w:id="7"/>
    </w:p>
    <w:p w:rsidR="0012142F" w:rsidRPr="004F77F0" w:rsidRDefault="00D73A6B" w:rsidP="009E31BD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Further details of the </w:t>
      </w:r>
      <w:r w:rsidR="00D0469A">
        <w:rPr>
          <w:rFonts w:ascii="Arial" w:hAnsi="Arial" w:cs="Arial"/>
          <w:sz w:val="20"/>
          <w:szCs w:val="20"/>
        </w:rPr>
        <w:t xml:space="preserve">Amendment </w:t>
      </w:r>
      <w:r>
        <w:rPr>
          <w:rFonts w:ascii="Arial" w:hAnsi="Arial" w:cs="Arial"/>
          <w:sz w:val="20"/>
          <w:szCs w:val="20"/>
        </w:rPr>
        <w:t>Declaration are in the Attachment.</w:t>
      </w:r>
    </w:p>
    <w:bookmarkEnd w:id="4"/>
    <w:p w:rsidR="00E53AE7" w:rsidRPr="004F77F0" w:rsidRDefault="00D73A6B" w:rsidP="002F563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53AE7" w:rsidRPr="004F77F0" w:rsidRDefault="00D73A6B" w:rsidP="00E53AE7">
      <w:pPr>
        <w:autoSpaceDE w:val="0"/>
        <w:autoSpaceDN w:val="0"/>
        <w:adjustRightInd w:val="0"/>
        <w:spacing w:before="120" w:after="120" w:line="240" w:lineRule="atLeas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Attachment</w:t>
      </w:r>
    </w:p>
    <w:p w:rsidR="00496947" w:rsidRPr="004F77F0" w:rsidRDefault="00D73A6B" w:rsidP="002F563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NOTES ON SECTIONS</w:t>
      </w:r>
    </w:p>
    <w:p w:rsidR="00F0240F" w:rsidRPr="004F77F0" w:rsidRDefault="00D73A6B" w:rsidP="002F563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bookmarkStart w:id="8" w:name="OLE_LINK1"/>
      <w:bookmarkStart w:id="9" w:name="OLE_LINK2"/>
      <w:r>
        <w:rPr>
          <w:rFonts w:ascii="Arial" w:hAnsi="Arial" w:cs="Arial"/>
          <w:b/>
          <w:bCs/>
          <w:sz w:val="20"/>
          <w:szCs w:val="20"/>
        </w:rPr>
        <w:t>Section 1 – Name of Declaration</w:t>
      </w:r>
    </w:p>
    <w:p w:rsidR="00F0240F" w:rsidRPr="00D970C5" w:rsidRDefault="00D73A6B" w:rsidP="002F5634">
      <w:pPr>
        <w:spacing w:before="120" w:after="120" w:line="24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1 provides that the name of the </w:t>
      </w:r>
      <w:r w:rsidR="00D70F9D">
        <w:rPr>
          <w:rFonts w:ascii="Arial" w:hAnsi="Arial" w:cs="Arial"/>
          <w:sz w:val="20"/>
          <w:szCs w:val="20"/>
        </w:rPr>
        <w:t xml:space="preserve">Amendment </w:t>
      </w:r>
      <w:r>
        <w:rPr>
          <w:rFonts w:ascii="Arial" w:hAnsi="Arial" w:cs="Arial"/>
          <w:sz w:val="20"/>
          <w:szCs w:val="20"/>
        </w:rPr>
        <w:t xml:space="preserve">Declaration is the </w:t>
      </w:r>
      <w:r>
        <w:rPr>
          <w:rFonts w:ascii="Arial" w:hAnsi="Arial" w:cs="Arial"/>
          <w:i/>
          <w:sz w:val="20"/>
          <w:szCs w:val="20"/>
        </w:rPr>
        <w:t xml:space="preserve">Broadcasting Services (Primary Commercial Television Broadcasting Service) </w:t>
      </w:r>
      <w:r w:rsidR="00EE0465">
        <w:rPr>
          <w:rFonts w:ascii="Arial" w:hAnsi="Arial" w:cs="Arial"/>
          <w:i/>
          <w:sz w:val="20"/>
          <w:szCs w:val="20"/>
        </w:rPr>
        <w:t xml:space="preserve">Amendment </w:t>
      </w:r>
      <w:r>
        <w:rPr>
          <w:rFonts w:ascii="Arial" w:hAnsi="Arial" w:cs="Arial"/>
          <w:i/>
          <w:sz w:val="20"/>
          <w:szCs w:val="20"/>
        </w:rPr>
        <w:t xml:space="preserve">Declaration </w:t>
      </w:r>
      <w:r w:rsidR="00C74F46">
        <w:rPr>
          <w:rFonts w:ascii="Arial" w:hAnsi="Arial" w:cs="Arial"/>
          <w:i/>
          <w:sz w:val="20"/>
          <w:szCs w:val="20"/>
        </w:rPr>
        <w:t>201</w:t>
      </w:r>
      <w:r w:rsidR="00FB234D">
        <w:rPr>
          <w:rFonts w:ascii="Arial" w:hAnsi="Arial" w:cs="Arial"/>
          <w:i/>
          <w:sz w:val="20"/>
          <w:szCs w:val="20"/>
        </w:rPr>
        <w:t>3</w:t>
      </w:r>
      <w:r w:rsidR="00C74F46">
        <w:rPr>
          <w:rFonts w:ascii="Arial" w:hAnsi="Arial" w:cs="Arial"/>
          <w:i/>
          <w:sz w:val="20"/>
          <w:szCs w:val="20"/>
        </w:rPr>
        <w:t xml:space="preserve"> </w:t>
      </w:r>
      <w:r w:rsidR="00EE0465">
        <w:rPr>
          <w:rFonts w:ascii="Arial" w:hAnsi="Arial" w:cs="Arial"/>
          <w:i/>
          <w:sz w:val="20"/>
          <w:szCs w:val="20"/>
        </w:rPr>
        <w:t>(No.</w:t>
      </w:r>
      <w:r w:rsidR="00FB234D">
        <w:rPr>
          <w:rFonts w:ascii="Arial" w:hAnsi="Arial" w:cs="Arial"/>
          <w:i/>
          <w:sz w:val="20"/>
          <w:szCs w:val="20"/>
        </w:rPr>
        <w:t>1</w:t>
      </w:r>
      <w:r w:rsidR="00EE0465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.</w:t>
      </w:r>
    </w:p>
    <w:p w:rsidR="00F0240F" w:rsidRPr="004F77F0" w:rsidRDefault="00D73A6B" w:rsidP="002F563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2 – Commencement</w:t>
      </w:r>
    </w:p>
    <w:p w:rsidR="00F0240F" w:rsidRPr="004F77F0" w:rsidRDefault="00D73A6B" w:rsidP="002F5634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section provides that the </w:t>
      </w:r>
      <w:r w:rsidR="00D70F9D">
        <w:rPr>
          <w:rFonts w:ascii="Arial" w:hAnsi="Arial" w:cs="Arial"/>
          <w:sz w:val="20"/>
          <w:szCs w:val="20"/>
        </w:rPr>
        <w:t xml:space="preserve">Amendment </w:t>
      </w:r>
      <w:r>
        <w:rPr>
          <w:rFonts w:ascii="Arial" w:hAnsi="Arial" w:cs="Arial"/>
          <w:sz w:val="20"/>
          <w:szCs w:val="20"/>
        </w:rPr>
        <w:t>Declaration</w:t>
      </w:r>
      <w:r>
        <w:rPr>
          <w:rFonts w:ascii="Arial" w:hAnsi="Arial" w:cs="Arial"/>
          <w:bCs/>
          <w:sz w:val="20"/>
          <w:szCs w:val="20"/>
        </w:rPr>
        <w:t xml:space="preserve"> commences the day after it is registered on the Federal Register of Legislative Instruments</w:t>
      </w:r>
      <w:r>
        <w:rPr>
          <w:rFonts w:ascii="Arial" w:hAnsi="Arial" w:cs="Arial"/>
          <w:sz w:val="20"/>
          <w:szCs w:val="20"/>
        </w:rPr>
        <w:t>.</w:t>
      </w:r>
    </w:p>
    <w:p w:rsidR="00F0240F" w:rsidRPr="004F77F0" w:rsidRDefault="00D73A6B" w:rsidP="002F563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3</w:t>
      </w:r>
      <w:r w:rsidR="00D70F9D">
        <w:rPr>
          <w:rFonts w:ascii="Arial" w:hAnsi="Arial" w:cs="Arial"/>
          <w:b/>
          <w:bCs/>
          <w:sz w:val="20"/>
          <w:szCs w:val="20"/>
        </w:rPr>
        <w:t xml:space="preserve"> – Amendment of </w:t>
      </w:r>
      <w:r w:rsidR="00D70F9D">
        <w:rPr>
          <w:rFonts w:ascii="Arial" w:hAnsi="Arial" w:cs="Arial"/>
          <w:b/>
          <w:bCs/>
          <w:i/>
          <w:sz w:val="20"/>
          <w:szCs w:val="20"/>
        </w:rPr>
        <w:t>Broadcasting Services (Primary Commercial Television Broadcasting Service) Declaration 2010</w:t>
      </w:r>
    </w:p>
    <w:p w:rsidR="00F0240F" w:rsidRDefault="00D73A6B" w:rsidP="002F5634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section </w:t>
      </w:r>
      <w:r w:rsidR="00EE0465">
        <w:rPr>
          <w:rFonts w:ascii="Arial" w:hAnsi="Arial" w:cs="Arial"/>
          <w:sz w:val="20"/>
          <w:szCs w:val="20"/>
        </w:rPr>
        <w:t xml:space="preserve">provides that </w:t>
      </w:r>
      <w:r w:rsidR="0014549A">
        <w:rPr>
          <w:rFonts w:ascii="Arial" w:hAnsi="Arial" w:cs="Arial"/>
          <w:sz w:val="20"/>
          <w:szCs w:val="20"/>
        </w:rPr>
        <w:t xml:space="preserve">Schedule 1 of </w:t>
      </w:r>
      <w:r w:rsidR="00EE0465">
        <w:rPr>
          <w:rFonts w:ascii="Arial" w:hAnsi="Arial" w:cs="Arial"/>
          <w:sz w:val="20"/>
          <w:szCs w:val="20"/>
        </w:rPr>
        <w:t xml:space="preserve">the </w:t>
      </w:r>
      <w:r w:rsidR="00D70F9D">
        <w:rPr>
          <w:rFonts w:ascii="Arial" w:hAnsi="Arial" w:cs="Arial"/>
          <w:sz w:val="20"/>
          <w:szCs w:val="20"/>
        </w:rPr>
        <w:t xml:space="preserve">Amendment </w:t>
      </w:r>
      <w:r>
        <w:rPr>
          <w:rFonts w:ascii="Arial" w:hAnsi="Arial" w:cs="Arial"/>
          <w:sz w:val="20"/>
          <w:szCs w:val="20"/>
        </w:rPr>
        <w:t>Declaration</w:t>
      </w:r>
      <w:r w:rsidR="00EE0465">
        <w:rPr>
          <w:rFonts w:ascii="Arial" w:hAnsi="Arial" w:cs="Arial"/>
          <w:sz w:val="20"/>
          <w:szCs w:val="20"/>
        </w:rPr>
        <w:t xml:space="preserve"> amends </w:t>
      </w:r>
      <w:r w:rsidR="00EE0465" w:rsidRPr="00EE0465">
        <w:rPr>
          <w:rFonts w:ascii="Arial" w:hAnsi="Arial" w:cs="Arial"/>
          <w:sz w:val="20"/>
          <w:szCs w:val="20"/>
        </w:rPr>
        <w:t>the</w:t>
      </w:r>
      <w:r w:rsidR="00630E3A">
        <w:rPr>
          <w:rFonts w:ascii="Arial" w:hAnsi="Arial" w:cs="Arial"/>
          <w:sz w:val="20"/>
          <w:szCs w:val="20"/>
        </w:rPr>
        <w:t xml:space="preserve"> Declaration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70F9D" w:rsidRPr="00D70F9D" w:rsidRDefault="00D70F9D" w:rsidP="00D70F9D">
      <w:pPr>
        <w:spacing w:before="120"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D70F9D">
        <w:rPr>
          <w:rFonts w:ascii="Arial" w:hAnsi="Arial" w:cs="Arial"/>
          <w:b/>
          <w:sz w:val="20"/>
          <w:szCs w:val="20"/>
        </w:rPr>
        <w:t>Schedule 1</w:t>
      </w:r>
      <w:r w:rsidRPr="00D70F9D">
        <w:rPr>
          <w:rFonts w:ascii="Arial" w:hAnsi="Arial" w:cs="Arial"/>
          <w:b/>
          <w:sz w:val="20"/>
          <w:szCs w:val="20"/>
        </w:rPr>
        <w:tab/>
        <w:t>Amendment</w:t>
      </w:r>
    </w:p>
    <w:p w:rsidR="00783900" w:rsidRDefault="00783900" w:rsidP="00783900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[Item 1] Schedule 1, table 1, items 10</w:t>
      </w:r>
      <w:r w:rsidR="00FB044C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12</w:t>
      </w:r>
      <w:r w:rsidR="00FB044C">
        <w:rPr>
          <w:rFonts w:ascii="Arial" w:hAnsi="Arial" w:cs="Arial"/>
          <w:b/>
          <w:sz w:val="20"/>
          <w:szCs w:val="20"/>
        </w:rPr>
        <w:t>, 13 and 15</w:t>
      </w:r>
    </w:p>
    <w:p w:rsidR="00FB044C" w:rsidRDefault="00783900" w:rsidP="00FB044C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Item 1 amends the primary services declaration to reflect that WIN Television SA Pty Ltd </w:t>
      </w:r>
      <w:r w:rsidRPr="00FB234D">
        <w:rPr>
          <w:rFonts w:ascii="Arial" w:hAnsi="Arial" w:cs="Arial"/>
          <w:sz w:val="20"/>
          <w:szCs w:val="20"/>
        </w:rPr>
        <w:t xml:space="preserve">switched the </w:t>
      </w:r>
      <w:r w:rsidRPr="00FB234D">
        <w:rPr>
          <w:rFonts w:ascii="Arial" w:hAnsi="Arial" w:cs="Arial"/>
          <w:bCs/>
          <w:sz w:val="20"/>
          <w:szCs w:val="20"/>
        </w:rPr>
        <w:t>broadcasting service licences (</w:t>
      </w:r>
      <w:r w:rsidRPr="00FB234D">
        <w:rPr>
          <w:rFonts w:ascii="Arial" w:hAnsi="Arial" w:cs="Arial"/>
          <w:sz w:val="20"/>
          <w:szCs w:val="20"/>
        </w:rPr>
        <w:t>BSLs) in the Mount Gambier/South East</w:t>
      </w:r>
      <w:r w:rsidRPr="00E00EF7">
        <w:rPr>
          <w:rFonts w:ascii="Arial" w:hAnsi="Arial" w:cs="Arial"/>
          <w:sz w:val="20"/>
          <w:szCs w:val="20"/>
        </w:rPr>
        <w:t xml:space="preserve"> TV1 area from WIN SA to WIN (for the SL 10330 BSL), and from Nine to 7 (for the SL 1130144 BSL)</w:t>
      </w:r>
      <w:r>
        <w:rPr>
          <w:rFonts w:ascii="Arial" w:hAnsi="Arial" w:cs="Arial"/>
          <w:sz w:val="20"/>
          <w:szCs w:val="20"/>
        </w:rPr>
        <w:t>.</w:t>
      </w:r>
      <w:r w:rsidR="00FB044C">
        <w:rPr>
          <w:rFonts w:ascii="Arial" w:hAnsi="Arial" w:cs="Arial"/>
          <w:sz w:val="20"/>
          <w:szCs w:val="20"/>
        </w:rPr>
        <w:t xml:space="preserve"> Item 1 also amends the primary services declaration to reflect that WIN Television SA Pty Ltd </w:t>
      </w:r>
      <w:r w:rsidR="00FB044C" w:rsidRPr="00E00EF7">
        <w:rPr>
          <w:rFonts w:ascii="Arial" w:hAnsi="Arial" w:cs="Arial"/>
          <w:sz w:val="20"/>
          <w:szCs w:val="20"/>
        </w:rPr>
        <w:t>switched the BSLs in the Riverland TV1 area from WIN SA to WIN (for the SL 10174 BSL) and from Nine to 7 (for the SL 1130145 BSL)</w:t>
      </w:r>
      <w:r w:rsidR="00FB044C">
        <w:rPr>
          <w:rFonts w:ascii="Arial" w:hAnsi="Arial" w:cs="Arial"/>
          <w:sz w:val="20"/>
          <w:szCs w:val="20"/>
        </w:rPr>
        <w:t>.</w:t>
      </w:r>
    </w:p>
    <w:p w:rsidR="00783900" w:rsidRDefault="00783900" w:rsidP="00783900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</w:p>
    <w:p w:rsidR="00D970C5" w:rsidRDefault="00D970C5" w:rsidP="00783900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[Item </w:t>
      </w:r>
      <w:r w:rsidR="00FB044C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]</w:t>
      </w:r>
      <w:r w:rsidR="00E71308">
        <w:rPr>
          <w:rFonts w:ascii="Arial" w:hAnsi="Arial" w:cs="Arial"/>
          <w:b/>
          <w:sz w:val="20"/>
          <w:szCs w:val="20"/>
        </w:rPr>
        <w:t xml:space="preserve"> Schedule 1, table 1, after item </w:t>
      </w:r>
      <w:r w:rsidR="00733164">
        <w:rPr>
          <w:rFonts w:ascii="Arial" w:hAnsi="Arial" w:cs="Arial"/>
          <w:b/>
          <w:sz w:val="20"/>
          <w:szCs w:val="20"/>
        </w:rPr>
        <w:t>2</w:t>
      </w:r>
      <w:r w:rsidR="007010A5">
        <w:rPr>
          <w:rFonts w:ascii="Arial" w:hAnsi="Arial" w:cs="Arial"/>
          <w:b/>
          <w:sz w:val="20"/>
          <w:szCs w:val="20"/>
        </w:rPr>
        <w:t>5</w:t>
      </w:r>
    </w:p>
    <w:p w:rsidR="00D970C5" w:rsidRDefault="00E71308" w:rsidP="00E71308">
      <w:pPr>
        <w:spacing w:before="120"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Item </w:t>
      </w:r>
      <w:r w:rsidR="00FB044C">
        <w:rPr>
          <w:rFonts w:ascii="Arial" w:hAnsi="Arial" w:cs="Arial"/>
          <w:sz w:val="20"/>
          <w:szCs w:val="20"/>
        </w:rPr>
        <w:t xml:space="preserve">2 </w:t>
      </w:r>
      <w:r w:rsidR="00D970C5">
        <w:rPr>
          <w:rFonts w:ascii="Arial" w:hAnsi="Arial" w:cs="Arial"/>
          <w:sz w:val="20"/>
          <w:szCs w:val="20"/>
        </w:rPr>
        <w:t xml:space="preserve">inserts </w:t>
      </w:r>
      <w:r w:rsidR="00434AA2">
        <w:rPr>
          <w:rFonts w:ascii="Arial" w:hAnsi="Arial" w:cs="Arial"/>
          <w:sz w:val="20"/>
          <w:szCs w:val="20"/>
        </w:rPr>
        <w:t>n</w:t>
      </w:r>
      <w:r w:rsidR="00D970C5">
        <w:rPr>
          <w:rFonts w:ascii="Arial" w:hAnsi="Arial" w:cs="Arial"/>
          <w:sz w:val="20"/>
          <w:szCs w:val="20"/>
        </w:rPr>
        <w:t xml:space="preserve">ew items into the table at Schedule </w:t>
      </w:r>
      <w:r>
        <w:rPr>
          <w:rFonts w:ascii="Arial" w:hAnsi="Arial" w:cs="Arial"/>
          <w:sz w:val="20"/>
          <w:szCs w:val="20"/>
        </w:rPr>
        <w:t>1</w:t>
      </w:r>
      <w:r w:rsidR="00D970C5">
        <w:rPr>
          <w:rFonts w:ascii="Arial" w:hAnsi="Arial" w:cs="Arial"/>
          <w:sz w:val="20"/>
          <w:szCs w:val="20"/>
        </w:rPr>
        <w:t xml:space="preserve"> of the Declaration, being a declaration that the SDTV multi-channel</w:t>
      </w:r>
      <w:r>
        <w:rPr>
          <w:rFonts w:ascii="Arial" w:hAnsi="Arial" w:cs="Arial"/>
          <w:sz w:val="20"/>
          <w:szCs w:val="20"/>
        </w:rPr>
        <w:t xml:space="preserve"> in Column 4</w:t>
      </w:r>
      <w:r w:rsidR="00D970C5">
        <w:rPr>
          <w:rFonts w:ascii="Arial" w:hAnsi="Arial" w:cs="Arial"/>
          <w:sz w:val="20"/>
          <w:szCs w:val="20"/>
        </w:rPr>
        <w:t xml:space="preserve"> is the Primary Service for the holder of </w:t>
      </w:r>
      <w:r>
        <w:rPr>
          <w:rFonts w:ascii="Arial" w:hAnsi="Arial" w:cs="Arial"/>
          <w:sz w:val="20"/>
          <w:szCs w:val="20"/>
        </w:rPr>
        <w:t xml:space="preserve">commercial television broadcasting service licence in Column 2 for the licence area in Column 1 for each of the Items </w:t>
      </w:r>
      <w:r w:rsidR="00C74F46">
        <w:rPr>
          <w:rFonts w:ascii="Arial" w:hAnsi="Arial" w:cs="Arial"/>
          <w:sz w:val="20"/>
          <w:szCs w:val="20"/>
        </w:rPr>
        <w:t>2</w:t>
      </w:r>
      <w:r w:rsidR="00733164">
        <w:rPr>
          <w:rFonts w:ascii="Arial" w:hAnsi="Arial" w:cs="Arial"/>
          <w:sz w:val="20"/>
          <w:szCs w:val="20"/>
        </w:rPr>
        <w:t>6</w:t>
      </w:r>
      <w:r w:rsidR="00C74F46">
        <w:rPr>
          <w:rFonts w:ascii="Arial" w:hAnsi="Arial" w:cs="Arial"/>
          <w:sz w:val="20"/>
          <w:szCs w:val="20"/>
        </w:rPr>
        <w:t xml:space="preserve"> to </w:t>
      </w:r>
      <w:r w:rsidR="00733164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 xml:space="preserve"> (inclusive).</w:t>
      </w:r>
      <w:r w:rsidR="00B327CE">
        <w:rPr>
          <w:rFonts w:ascii="Arial" w:hAnsi="Arial" w:cs="Arial"/>
          <w:sz w:val="20"/>
          <w:szCs w:val="20"/>
        </w:rPr>
        <w:t xml:space="preserve">  The new items deal with the services provided </w:t>
      </w:r>
      <w:proofErr w:type="gramStart"/>
      <w:r w:rsidR="00B327CE">
        <w:rPr>
          <w:rFonts w:ascii="Arial" w:hAnsi="Arial" w:cs="Arial"/>
          <w:sz w:val="20"/>
          <w:szCs w:val="20"/>
        </w:rPr>
        <w:t>under</w:t>
      </w:r>
      <w:proofErr w:type="gramEnd"/>
      <w:r w:rsidR="00B327CE">
        <w:rPr>
          <w:rFonts w:ascii="Arial" w:hAnsi="Arial" w:cs="Arial"/>
          <w:sz w:val="20"/>
          <w:szCs w:val="20"/>
        </w:rPr>
        <w:t xml:space="preserve"> </w:t>
      </w:r>
      <w:r w:rsidR="00C74F46">
        <w:rPr>
          <w:rFonts w:ascii="Arial" w:hAnsi="Arial" w:cs="Arial"/>
          <w:sz w:val="20"/>
          <w:szCs w:val="20"/>
        </w:rPr>
        <w:t xml:space="preserve">6 </w:t>
      </w:r>
      <w:r w:rsidR="00B327CE">
        <w:rPr>
          <w:rFonts w:ascii="Arial" w:hAnsi="Arial" w:cs="Arial"/>
          <w:sz w:val="20"/>
          <w:szCs w:val="20"/>
        </w:rPr>
        <w:t xml:space="preserve">licences – </w:t>
      </w:r>
      <w:r w:rsidR="00C74F46">
        <w:rPr>
          <w:rFonts w:ascii="Arial" w:hAnsi="Arial" w:cs="Arial"/>
          <w:sz w:val="20"/>
          <w:szCs w:val="20"/>
        </w:rPr>
        <w:t xml:space="preserve">three in the </w:t>
      </w:r>
      <w:r w:rsidR="00733164">
        <w:rPr>
          <w:rFonts w:ascii="Arial" w:hAnsi="Arial" w:cs="Arial"/>
          <w:sz w:val="20"/>
          <w:szCs w:val="20"/>
        </w:rPr>
        <w:t>Adelaide</w:t>
      </w:r>
      <w:r w:rsidR="00BB4C37">
        <w:rPr>
          <w:rFonts w:ascii="Arial" w:hAnsi="Arial" w:cs="Arial"/>
          <w:sz w:val="20"/>
          <w:szCs w:val="20"/>
        </w:rPr>
        <w:t xml:space="preserve"> TV1 licence area</w:t>
      </w:r>
      <w:r w:rsidR="008562C4">
        <w:rPr>
          <w:rFonts w:ascii="Arial" w:hAnsi="Arial" w:cs="Arial"/>
          <w:sz w:val="20"/>
          <w:szCs w:val="20"/>
        </w:rPr>
        <w:t xml:space="preserve"> (new items 2</w:t>
      </w:r>
      <w:r w:rsidR="00733164">
        <w:rPr>
          <w:rFonts w:ascii="Arial" w:hAnsi="Arial" w:cs="Arial"/>
          <w:sz w:val="20"/>
          <w:szCs w:val="20"/>
        </w:rPr>
        <w:t>6</w:t>
      </w:r>
      <w:r w:rsidR="008562C4">
        <w:rPr>
          <w:rFonts w:ascii="Arial" w:hAnsi="Arial" w:cs="Arial"/>
          <w:sz w:val="20"/>
          <w:szCs w:val="20"/>
        </w:rPr>
        <w:t xml:space="preserve"> to 2</w:t>
      </w:r>
      <w:r w:rsidR="00733164">
        <w:rPr>
          <w:rFonts w:ascii="Arial" w:hAnsi="Arial" w:cs="Arial"/>
          <w:sz w:val="20"/>
          <w:szCs w:val="20"/>
        </w:rPr>
        <w:t>8 inclusive</w:t>
      </w:r>
      <w:r w:rsidR="008562C4">
        <w:rPr>
          <w:rFonts w:ascii="Arial" w:hAnsi="Arial" w:cs="Arial"/>
          <w:sz w:val="20"/>
          <w:szCs w:val="20"/>
        </w:rPr>
        <w:t>)</w:t>
      </w:r>
      <w:r w:rsidR="00733164">
        <w:rPr>
          <w:rFonts w:ascii="Arial" w:hAnsi="Arial" w:cs="Arial"/>
          <w:sz w:val="20"/>
          <w:szCs w:val="20"/>
        </w:rPr>
        <w:t>, three in the Tasmania TV1 licence area (new items 29 to 31 inclusive)</w:t>
      </w:r>
      <w:r w:rsidR="00BB4C37">
        <w:rPr>
          <w:rFonts w:ascii="Arial" w:hAnsi="Arial" w:cs="Arial"/>
          <w:sz w:val="20"/>
          <w:szCs w:val="20"/>
        </w:rPr>
        <w:t xml:space="preserve"> and </w:t>
      </w:r>
      <w:r w:rsidR="00C74F46">
        <w:rPr>
          <w:rFonts w:ascii="Arial" w:hAnsi="Arial" w:cs="Arial"/>
          <w:sz w:val="20"/>
          <w:szCs w:val="20"/>
        </w:rPr>
        <w:t>three</w:t>
      </w:r>
      <w:r w:rsidR="00BB4C37">
        <w:rPr>
          <w:rFonts w:ascii="Arial" w:hAnsi="Arial" w:cs="Arial"/>
          <w:sz w:val="20"/>
          <w:szCs w:val="20"/>
        </w:rPr>
        <w:t xml:space="preserve"> in </w:t>
      </w:r>
      <w:r w:rsidR="00C74F46">
        <w:rPr>
          <w:rFonts w:ascii="Arial" w:hAnsi="Arial" w:cs="Arial"/>
          <w:sz w:val="20"/>
          <w:szCs w:val="20"/>
        </w:rPr>
        <w:t xml:space="preserve">the </w:t>
      </w:r>
      <w:r w:rsidR="00733164">
        <w:rPr>
          <w:rFonts w:ascii="Arial" w:hAnsi="Arial" w:cs="Arial"/>
          <w:sz w:val="20"/>
          <w:szCs w:val="20"/>
        </w:rPr>
        <w:t xml:space="preserve">Perth </w:t>
      </w:r>
      <w:r w:rsidR="00C74F46">
        <w:rPr>
          <w:rFonts w:ascii="Arial" w:hAnsi="Arial" w:cs="Arial"/>
          <w:sz w:val="20"/>
          <w:szCs w:val="20"/>
        </w:rPr>
        <w:t>TV1</w:t>
      </w:r>
      <w:r w:rsidR="00BB4C37">
        <w:rPr>
          <w:rFonts w:ascii="Arial" w:hAnsi="Arial" w:cs="Arial"/>
          <w:sz w:val="20"/>
          <w:szCs w:val="20"/>
        </w:rPr>
        <w:t xml:space="preserve"> </w:t>
      </w:r>
      <w:r w:rsidR="00B327CE">
        <w:rPr>
          <w:rFonts w:ascii="Arial" w:hAnsi="Arial" w:cs="Arial"/>
          <w:sz w:val="20"/>
          <w:szCs w:val="20"/>
        </w:rPr>
        <w:t>licence area</w:t>
      </w:r>
      <w:r w:rsidR="008562C4">
        <w:rPr>
          <w:rFonts w:ascii="Arial" w:hAnsi="Arial" w:cs="Arial"/>
          <w:sz w:val="20"/>
          <w:szCs w:val="20"/>
        </w:rPr>
        <w:t xml:space="preserve"> (new items </w:t>
      </w:r>
      <w:r w:rsidR="00733164">
        <w:rPr>
          <w:rFonts w:ascii="Arial" w:hAnsi="Arial" w:cs="Arial"/>
          <w:sz w:val="20"/>
          <w:szCs w:val="20"/>
        </w:rPr>
        <w:t>32</w:t>
      </w:r>
      <w:r w:rsidR="008562C4">
        <w:rPr>
          <w:rFonts w:ascii="Arial" w:hAnsi="Arial" w:cs="Arial"/>
          <w:sz w:val="20"/>
          <w:szCs w:val="20"/>
        </w:rPr>
        <w:t xml:space="preserve"> to </w:t>
      </w:r>
      <w:r w:rsidR="00733164">
        <w:rPr>
          <w:rFonts w:ascii="Arial" w:hAnsi="Arial" w:cs="Arial"/>
          <w:sz w:val="20"/>
          <w:szCs w:val="20"/>
        </w:rPr>
        <w:t>34 inclusive</w:t>
      </w:r>
      <w:r w:rsidR="008562C4">
        <w:rPr>
          <w:rFonts w:ascii="Arial" w:hAnsi="Arial" w:cs="Arial"/>
          <w:sz w:val="20"/>
          <w:szCs w:val="20"/>
        </w:rPr>
        <w:t>)</w:t>
      </w:r>
      <w:r w:rsidR="00B327CE">
        <w:rPr>
          <w:rFonts w:ascii="Arial" w:hAnsi="Arial" w:cs="Arial"/>
          <w:sz w:val="20"/>
          <w:szCs w:val="20"/>
        </w:rPr>
        <w:t>.</w:t>
      </w:r>
    </w:p>
    <w:p w:rsidR="00D970C5" w:rsidRDefault="00D970C5" w:rsidP="002F563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bookmarkEnd w:id="8"/>
    <w:bookmarkEnd w:id="9"/>
    <w:p w:rsidR="00F90B7D" w:rsidRPr="00A46100" w:rsidRDefault="00F90B7D" w:rsidP="002F5634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</w:p>
    <w:sectPr w:rsidR="00F90B7D" w:rsidRPr="00A46100" w:rsidSect="00337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99" w:rsidRDefault="00A10999">
      <w:r>
        <w:separator/>
      </w:r>
    </w:p>
  </w:endnote>
  <w:endnote w:type="continuationSeparator" w:id="0">
    <w:p w:rsidR="00A10999" w:rsidRDefault="00A1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BBF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99" w:rsidRDefault="00F101B1" w:rsidP="004A11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9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999" w:rsidRDefault="00A10999" w:rsidP="00F516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99" w:rsidRDefault="00F101B1" w:rsidP="004A11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9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1A0">
      <w:rPr>
        <w:rStyle w:val="PageNumber"/>
        <w:noProof/>
      </w:rPr>
      <w:t>5</w:t>
    </w:r>
    <w:r>
      <w:rPr>
        <w:rStyle w:val="PageNumber"/>
      </w:rPr>
      <w:fldChar w:fldCharType="end"/>
    </w:r>
  </w:p>
  <w:p w:rsidR="00A10999" w:rsidRPr="00065F71" w:rsidRDefault="00A10999" w:rsidP="009619E7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99" w:rsidRDefault="00A10999">
      <w:r>
        <w:separator/>
      </w:r>
    </w:p>
  </w:footnote>
  <w:footnote w:type="continuationSeparator" w:id="0">
    <w:p w:rsidR="00A10999" w:rsidRDefault="00A10999">
      <w:r>
        <w:continuationSeparator/>
      </w:r>
    </w:p>
  </w:footnote>
  <w:footnote w:id="1">
    <w:p w:rsidR="00A10999" w:rsidRPr="00987BE7" w:rsidRDefault="00A10999" w:rsidP="00691A89">
      <w:pPr>
        <w:pStyle w:val="FootnoteText"/>
      </w:pPr>
      <w:r w:rsidRPr="00987BE7">
        <w:rPr>
          <w:rStyle w:val="FootnoteReference"/>
        </w:rPr>
        <w:footnoteRef/>
      </w:r>
      <w:r w:rsidRPr="00987BE7">
        <w:t xml:space="preserve"> </w:t>
      </w:r>
      <w:r w:rsidRPr="00C726F3">
        <w:t>Licences allocated under section 38B of the Act before 1 January 2009 authorise the provision of commercial television broadcasting services in digital mode only. In these cases, the core service is the sole SDTV multi-channel that could be provided before 1 January 2009.  See sections 41A to 41C of, and paragraph 7(1</w:t>
      </w:r>
      <w:proofErr w:type="gramStart"/>
      <w:r w:rsidRPr="00C726F3">
        <w:t>)(</w:t>
      </w:r>
      <w:proofErr w:type="gramEnd"/>
      <w:r w:rsidRPr="00C726F3">
        <w:t>m)</w:t>
      </w:r>
      <w:r>
        <w:t xml:space="preserve"> of Schedule 2 </w:t>
      </w:r>
      <w:r w:rsidRPr="00987BE7">
        <w:t>to</w:t>
      </w:r>
      <w:r>
        <w:t>,</w:t>
      </w:r>
      <w:r w:rsidRPr="00987BE7">
        <w:t xml:space="preserve"> the </w:t>
      </w:r>
      <w:r>
        <w:t>Act.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99" w:rsidRDefault="00F101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99" w:rsidRPr="00DD5685" w:rsidRDefault="00A10999" w:rsidP="00AD58DF">
    <w:pPr>
      <w:pStyle w:val="Heading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99" w:rsidRDefault="00F101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C2C594"/>
    <w:lvl w:ilvl="0">
      <w:start w:val="1"/>
      <w:numFmt w:val="bullet"/>
      <w:pStyle w:val="ListBullet"/>
      <w:lvlText w:val="&gt;"/>
      <w:lvlJc w:val="left"/>
      <w:pPr>
        <w:tabs>
          <w:tab w:val="num" w:pos="295"/>
        </w:tabs>
        <w:ind w:left="295" w:hanging="295"/>
      </w:pPr>
      <w:rPr>
        <w:rFonts w:ascii="HelveticaNeueLT Std Lt" w:hAnsi="HelveticaNeueLT Std Lt" w:hint="default"/>
        <w:sz w:val="20"/>
      </w:rPr>
    </w:lvl>
  </w:abstractNum>
  <w:abstractNum w:abstractNumId="1">
    <w:nsid w:val="053D1C00"/>
    <w:multiLevelType w:val="hybridMultilevel"/>
    <w:tmpl w:val="A32C53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11409"/>
    <w:multiLevelType w:val="hybridMultilevel"/>
    <w:tmpl w:val="BFC43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A161D"/>
    <w:multiLevelType w:val="hybridMultilevel"/>
    <w:tmpl w:val="3732053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10C90"/>
    <w:multiLevelType w:val="hybridMultilevel"/>
    <w:tmpl w:val="5322C55E"/>
    <w:lvl w:ilvl="0" w:tplc="C1E8947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37ACB"/>
    <w:multiLevelType w:val="hybridMultilevel"/>
    <w:tmpl w:val="235601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5A0EA8"/>
    <w:multiLevelType w:val="hybridMultilevel"/>
    <w:tmpl w:val="76A2A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D1869"/>
    <w:multiLevelType w:val="hybridMultilevel"/>
    <w:tmpl w:val="44CCDBB4"/>
    <w:lvl w:ilvl="0" w:tplc="B4DE576E">
      <w:start w:val="1"/>
      <w:numFmt w:val="decimal"/>
      <w:pStyle w:val="ACMA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5A5080"/>
    <w:multiLevelType w:val="hybridMultilevel"/>
    <w:tmpl w:val="24705096"/>
    <w:lvl w:ilvl="0" w:tplc="2668C79A">
      <w:start w:val="1"/>
      <w:numFmt w:val="bullet"/>
      <w:pStyle w:val="ACMABulletLevel1"/>
      <w:lvlText w:val="●"/>
      <w:lvlJc w:val="left"/>
      <w:pPr>
        <w:tabs>
          <w:tab w:val="num" w:pos="-3168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>
    <w:nsid w:val="3256470C"/>
    <w:multiLevelType w:val="multilevel"/>
    <w:tmpl w:val="7F3E11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15E27"/>
    <w:multiLevelType w:val="hybridMultilevel"/>
    <w:tmpl w:val="7F3E110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2B2935"/>
    <w:multiLevelType w:val="hybridMultilevel"/>
    <w:tmpl w:val="27FC4AFE"/>
    <w:lvl w:ilvl="0" w:tplc="D7B83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527186"/>
    <w:multiLevelType w:val="multilevel"/>
    <w:tmpl w:val="373205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D324A6"/>
    <w:multiLevelType w:val="hybridMultilevel"/>
    <w:tmpl w:val="5F0A654A"/>
    <w:lvl w:ilvl="0" w:tplc="D7B83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8A7CA3"/>
    <w:multiLevelType w:val="hybridMultilevel"/>
    <w:tmpl w:val="992CB31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3B747E3"/>
    <w:multiLevelType w:val="hybridMultilevel"/>
    <w:tmpl w:val="42F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04F10"/>
    <w:multiLevelType w:val="hybridMultilevel"/>
    <w:tmpl w:val="E31E8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E0AEA"/>
    <w:multiLevelType w:val="hybridMultilevel"/>
    <w:tmpl w:val="E084E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8372C"/>
    <w:multiLevelType w:val="hybridMultilevel"/>
    <w:tmpl w:val="8CF899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C3C73"/>
    <w:multiLevelType w:val="hybridMultilevel"/>
    <w:tmpl w:val="86DE668E"/>
    <w:lvl w:ilvl="0" w:tplc="D7B83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30100E"/>
    <w:multiLevelType w:val="hybridMultilevel"/>
    <w:tmpl w:val="399C764A"/>
    <w:lvl w:ilvl="0" w:tplc="D7B839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B412C3"/>
    <w:multiLevelType w:val="hybridMultilevel"/>
    <w:tmpl w:val="F376AB78"/>
    <w:lvl w:ilvl="0" w:tplc="D7B83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4A752B"/>
    <w:multiLevelType w:val="hybridMultilevel"/>
    <w:tmpl w:val="968845E2"/>
    <w:lvl w:ilvl="0" w:tplc="D7B83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F0498C"/>
    <w:multiLevelType w:val="hybridMultilevel"/>
    <w:tmpl w:val="940AEB52"/>
    <w:lvl w:ilvl="0" w:tplc="D7B839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0"/>
  </w:num>
  <w:num w:numId="5">
    <w:abstractNumId w:val="9"/>
  </w:num>
  <w:num w:numId="6">
    <w:abstractNumId w:val="21"/>
  </w:num>
  <w:num w:numId="7">
    <w:abstractNumId w:val="22"/>
  </w:num>
  <w:num w:numId="8">
    <w:abstractNumId w:val="23"/>
  </w:num>
  <w:num w:numId="9">
    <w:abstractNumId w:val="3"/>
  </w:num>
  <w:num w:numId="10">
    <w:abstractNumId w:val="12"/>
  </w:num>
  <w:num w:numId="11">
    <w:abstractNumId w:val="19"/>
  </w:num>
  <w:num w:numId="12">
    <w:abstractNumId w:val="13"/>
  </w:num>
  <w:num w:numId="13">
    <w:abstractNumId w:val="7"/>
  </w:num>
  <w:num w:numId="14">
    <w:abstractNumId w:val="8"/>
  </w:num>
  <w:num w:numId="15">
    <w:abstractNumId w:val="5"/>
  </w:num>
  <w:num w:numId="16">
    <w:abstractNumId w:val="2"/>
  </w:num>
  <w:num w:numId="17">
    <w:abstractNumId w:val="17"/>
  </w:num>
  <w:num w:numId="18">
    <w:abstractNumId w:val="4"/>
  </w:num>
  <w:num w:numId="19">
    <w:abstractNumId w:val="0"/>
  </w:num>
  <w:num w:numId="20">
    <w:abstractNumId w:val="6"/>
  </w:num>
  <w:num w:numId="21">
    <w:abstractNumId w:val="1"/>
  </w:num>
  <w:num w:numId="22">
    <w:abstractNumId w:val="16"/>
  </w:num>
  <w:num w:numId="23">
    <w:abstractNumId w:val="18"/>
  </w:num>
  <w:num w:numId="24">
    <w:abstractNumId w:val="1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73CB"/>
    <w:rsid w:val="000005ED"/>
    <w:rsid w:val="00003DBB"/>
    <w:rsid w:val="000132C8"/>
    <w:rsid w:val="000307FB"/>
    <w:rsid w:val="00032179"/>
    <w:rsid w:val="00032922"/>
    <w:rsid w:val="0004117F"/>
    <w:rsid w:val="000419B9"/>
    <w:rsid w:val="00045E3C"/>
    <w:rsid w:val="00054D0E"/>
    <w:rsid w:val="00062A45"/>
    <w:rsid w:val="00064E1C"/>
    <w:rsid w:val="00065F71"/>
    <w:rsid w:val="00066A0F"/>
    <w:rsid w:val="0007713F"/>
    <w:rsid w:val="00083C4E"/>
    <w:rsid w:val="00084762"/>
    <w:rsid w:val="0009020B"/>
    <w:rsid w:val="0009340C"/>
    <w:rsid w:val="000A0194"/>
    <w:rsid w:val="000B18F5"/>
    <w:rsid w:val="000B2B27"/>
    <w:rsid w:val="000B30D1"/>
    <w:rsid w:val="000B51B4"/>
    <w:rsid w:val="000C16EF"/>
    <w:rsid w:val="000C368A"/>
    <w:rsid w:val="000C482E"/>
    <w:rsid w:val="000C4906"/>
    <w:rsid w:val="000D28B9"/>
    <w:rsid w:val="000F5FF8"/>
    <w:rsid w:val="00100008"/>
    <w:rsid w:val="001018C6"/>
    <w:rsid w:val="00103174"/>
    <w:rsid w:val="00106879"/>
    <w:rsid w:val="00110E91"/>
    <w:rsid w:val="00111705"/>
    <w:rsid w:val="00116F2D"/>
    <w:rsid w:val="001210EF"/>
    <w:rsid w:val="0012142F"/>
    <w:rsid w:val="00121CF9"/>
    <w:rsid w:val="00125E4E"/>
    <w:rsid w:val="00136F43"/>
    <w:rsid w:val="00137F89"/>
    <w:rsid w:val="00142CE2"/>
    <w:rsid w:val="0014549A"/>
    <w:rsid w:val="0014551A"/>
    <w:rsid w:val="00150E94"/>
    <w:rsid w:val="00152DF7"/>
    <w:rsid w:val="001535DC"/>
    <w:rsid w:val="001536C7"/>
    <w:rsid w:val="001544C5"/>
    <w:rsid w:val="001573CB"/>
    <w:rsid w:val="001576C5"/>
    <w:rsid w:val="00157BE5"/>
    <w:rsid w:val="001618E3"/>
    <w:rsid w:val="00170993"/>
    <w:rsid w:val="001716A5"/>
    <w:rsid w:val="00173796"/>
    <w:rsid w:val="00173C9B"/>
    <w:rsid w:val="0017623E"/>
    <w:rsid w:val="0018013F"/>
    <w:rsid w:val="00183337"/>
    <w:rsid w:val="00194ED4"/>
    <w:rsid w:val="00195DD4"/>
    <w:rsid w:val="00196A71"/>
    <w:rsid w:val="001A4DB9"/>
    <w:rsid w:val="001A6C08"/>
    <w:rsid w:val="001C6E45"/>
    <w:rsid w:val="001D071E"/>
    <w:rsid w:val="001D2CD6"/>
    <w:rsid w:val="001D44E6"/>
    <w:rsid w:val="001D621B"/>
    <w:rsid w:val="001D65E4"/>
    <w:rsid w:val="001D73AD"/>
    <w:rsid w:val="001E10B9"/>
    <w:rsid w:val="001F688C"/>
    <w:rsid w:val="001F7274"/>
    <w:rsid w:val="002010F7"/>
    <w:rsid w:val="002030F4"/>
    <w:rsid w:val="0020444E"/>
    <w:rsid w:val="002067AD"/>
    <w:rsid w:val="00210FC8"/>
    <w:rsid w:val="00212A52"/>
    <w:rsid w:val="00233DA6"/>
    <w:rsid w:val="002356DE"/>
    <w:rsid w:val="00235A4F"/>
    <w:rsid w:val="002373E2"/>
    <w:rsid w:val="00237D7E"/>
    <w:rsid w:val="0024490E"/>
    <w:rsid w:val="00250ABC"/>
    <w:rsid w:val="00251615"/>
    <w:rsid w:val="00256033"/>
    <w:rsid w:val="0025733B"/>
    <w:rsid w:val="00272385"/>
    <w:rsid w:val="0028039B"/>
    <w:rsid w:val="002807BF"/>
    <w:rsid w:val="00280961"/>
    <w:rsid w:val="002810EF"/>
    <w:rsid w:val="00292912"/>
    <w:rsid w:val="00296B69"/>
    <w:rsid w:val="002A476E"/>
    <w:rsid w:val="002A51E0"/>
    <w:rsid w:val="002A64B5"/>
    <w:rsid w:val="002A743A"/>
    <w:rsid w:val="002C1648"/>
    <w:rsid w:val="002C6A20"/>
    <w:rsid w:val="002C7CFB"/>
    <w:rsid w:val="002D24C6"/>
    <w:rsid w:val="002D695E"/>
    <w:rsid w:val="002D7C79"/>
    <w:rsid w:val="002E0589"/>
    <w:rsid w:val="002E51E0"/>
    <w:rsid w:val="002E74F1"/>
    <w:rsid w:val="002F232E"/>
    <w:rsid w:val="002F5634"/>
    <w:rsid w:val="002F58F0"/>
    <w:rsid w:val="00314A27"/>
    <w:rsid w:val="00317EE7"/>
    <w:rsid w:val="00320935"/>
    <w:rsid w:val="0032455D"/>
    <w:rsid w:val="0033058E"/>
    <w:rsid w:val="00335045"/>
    <w:rsid w:val="003369E3"/>
    <w:rsid w:val="003374E7"/>
    <w:rsid w:val="00345825"/>
    <w:rsid w:val="00350B9D"/>
    <w:rsid w:val="00355327"/>
    <w:rsid w:val="00367930"/>
    <w:rsid w:val="003741AD"/>
    <w:rsid w:val="003810F2"/>
    <w:rsid w:val="00390ACD"/>
    <w:rsid w:val="00397D20"/>
    <w:rsid w:val="003A3E0F"/>
    <w:rsid w:val="003A4740"/>
    <w:rsid w:val="003A4868"/>
    <w:rsid w:val="003A539C"/>
    <w:rsid w:val="003B3F7D"/>
    <w:rsid w:val="003B467E"/>
    <w:rsid w:val="003C189D"/>
    <w:rsid w:val="003C3A2A"/>
    <w:rsid w:val="003D283B"/>
    <w:rsid w:val="003F0190"/>
    <w:rsid w:val="003F05AA"/>
    <w:rsid w:val="00400808"/>
    <w:rsid w:val="00404052"/>
    <w:rsid w:val="004053F0"/>
    <w:rsid w:val="004126BC"/>
    <w:rsid w:val="00413615"/>
    <w:rsid w:val="004145F3"/>
    <w:rsid w:val="0041561F"/>
    <w:rsid w:val="00421C0A"/>
    <w:rsid w:val="00427488"/>
    <w:rsid w:val="0043365B"/>
    <w:rsid w:val="00434AA2"/>
    <w:rsid w:val="0044079C"/>
    <w:rsid w:val="00451079"/>
    <w:rsid w:val="004532C1"/>
    <w:rsid w:val="00456F2F"/>
    <w:rsid w:val="004600DC"/>
    <w:rsid w:val="004652E1"/>
    <w:rsid w:val="00465C08"/>
    <w:rsid w:val="00474871"/>
    <w:rsid w:val="004813C7"/>
    <w:rsid w:val="0048335B"/>
    <w:rsid w:val="0048714C"/>
    <w:rsid w:val="00487452"/>
    <w:rsid w:val="00496947"/>
    <w:rsid w:val="004A11DE"/>
    <w:rsid w:val="004A38A0"/>
    <w:rsid w:val="004A5AB5"/>
    <w:rsid w:val="004B36D4"/>
    <w:rsid w:val="004D0B17"/>
    <w:rsid w:val="004D1442"/>
    <w:rsid w:val="004D3E6B"/>
    <w:rsid w:val="004D4862"/>
    <w:rsid w:val="004D4C50"/>
    <w:rsid w:val="004D7F10"/>
    <w:rsid w:val="004E04D9"/>
    <w:rsid w:val="004E3748"/>
    <w:rsid w:val="004E4F4D"/>
    <w:rsid w:val="004E7FAD"/>
    <w:rsid w:val="004F77F0"/>
    <w:rsid w:val="00510F52"/>
    <w:rsid w:val="005120DA"/>
    <w:rsid w:val="00515337"/>
    <w:rsid w:val="0052656E"/>
    <w:rsid w:val="005346E5"/>
    <w:rsid w:val="005406C2"/>
    <w:rsid w:val="00540EDB"/>
    <w:rsid w:val="0054364A"/>
    <w:rsid w:val="00544616"/>
    <w:rsid w:val="0057091B"/>
    <w:rsid w:val="00572566"/>
    <w:rsid w:val="00576666"/>
    <w:rsid w:val="00581E4B"/>
    <w:rsid w:val="005878FB"/>
    <w:rsid w:val="00590430"/>
    <w:rsid w:val="0059347D"/>
    <w:rsid w:val="005968F2"/>
    <w:rsid w:val="005973B5"/>
    <w:rsid w:val="005A78C1"/>
    <w:rsid w:val="005A78DF"/>
    <w:rsid w:val="005B0823"/>
    <w:rsid w:val="005B1854"/>
    <w:rsid w:val="005B51F1"/>
    <w:rsid w:val="005B620E"/>
    <w:rsid w:val="005B6403"/>
    <w:rsid w:val="005B6C9C"/>
    <w:rsid w:val="005C16AE"/>
    <w:rsid w:val="005C38F1"/>
    <w:rsid w:val="005D359C"/>
    <w:rsid w:val="005D3997"/>
    <w:rsid w:val="005D4C1D"/>
    <w:rsid w:val="005E48C0"/>
    <w:rsid w:val="005F2D8A"/>
    <w:rsid w:val="005F36D8"/>
    <w:rsid w:val="0060419E"/>
    <w:rsid w:val="006114DF"/>
    <w:rsid w:val="00611669"/>
    <w:rsid w:val="00611788"/>
    <w:rsid w:val="00623F16"/>
    <w:rsid w:val="00630E3A"/>
    <w:rsid w:val="0063306F"/>
    <w:rsid w:val="0063547E"/>
    <w:rsid w:val="00635949"/>
    <w:rsid w:val="00636A2E"/>
    <w:rsid w:val="00637BD4"/>
    <w:rsid w:val="006423A4"/>
    <w:rsid w:val="00643616"/>
    <w:rsid w:val="00652D69"/>
    <w:rsid w:val="006541E8"/>
    <w:rsid w:val="0065558C"/>
    <w:rsid w:val="00655847"/>
    <w:rsid w:val="0065679C"/>
    <w:rsid w:val="006663C3"/>
    <w:rsid w:val="0066686B"/>
    <w:rsid w:val="00672032"/>
    <w:rsid w:val="00682993"/>
    <w:rsid w:val="00691A89"/>
    <w:rsid w:val="006B5E5C"/>
    <w:rsid w:val="006C0B9B"/>
    <w:rsid w:val="006C277F"/>
    <w:rsid w:val="006D7CC2"/>
    <w:rsid w:val="006E42FF"/>
    <w:rsid w:val="006E54FF"/>
    <w:rsid w:val="006E67CF"/>
    <w:rsid w:val="006F00D4"/>
    <w:rsid w:val="007010A5"/>
    <w:rsid w:val="007015D6"/>
    <w:rsid w:val="007022D3"/>
    <w:rsid w:val="007055D5"/>
    <w:rsid w:val="00707FCE"/>
    <w:rsid w:val="00711037"/>
    <w:rsid w:val="007128DD"/>
    <w:rsid w:val="0071589C"/>
    <w:rsid w:val="00716237"/>
    <w:rsid w:val="007200CB"/>
    <w:rsid w:val="007229A5"/>
    <w:rsid w:val="00725B8D"/>
    <w:rsid w:val="00733164"/>
    <w:rsid w:val="00735B3F"/>
    <w:rsid w:val="00742F87"/>
    <w:rsid w:val="00745FF4"/>
    <w:rsid w:val="0075037D"/>
    <w:rsid w:val="0075742B"/>
    <w:rsid w:val="0076052A"/>
    <w:rsid w:val="0076160B"/>
    <w:rsid w:val="00765DA9"/>
    <w:rsid w:val="00770448"/>
    <w:rsid w:val="0077437B"/>
    <w:rsid w:val="0078066A"/>
    <w:rsid w:val="00783900"/>
    <w:rsid w:val="007846E8"/>
    <w:rsid w:val="00790803"/>
    <w:rsid w:val="007A0762"/>
    <w:rsid w:val="007A2F4D"/>
    <w:rsid w:val="007B0539"/>
    <w:rsid w:val="007B101C"/>
    <w:rsid w:val="007B2F72"/>
    <w:rsid w:val="007B5527"/>
    <w:rsid w:val="007B62C6"/>
    <w:rsid w:val="007B6B6E"/>
    <w:rsid w:val="007C1DA3"/>
    <w:rsid w:val="007C7129"/>
    <w:rsid w:val="007D4EAF"/>
    <w:rsid w:val="007E02A7"/>
    <w:rsid w:val="007E0614"/>
    <w:rsid w:val="007E5000"/>
    <w:rsid w:val="007F0301"/>
    <w:rsid w:val="00801BB8"/>
    <w:rsid w:val="00804890"/>
    <w:rsid w:val="00805354"/>
    <w:rsid w:val="00807C38"/>
    <w:rsid w:val="00810EC8"/>
    <w:rsid w:val="00813377"/>
    <w:rsid w:val="00814560"/>
    <w:rsid w:val="00816407"/>
    <w:rsid w:val="0081641A"/>
    <w:rsid w:val="0082157D"/>
    <w:rsid w:val="0082546A"/>
    <w:rsid w:val="00831F00"/>
    <w:rsid w:val="00836964"/>
    <w:rsid w:val="008423D3"/>
    <w:rsid w:val="00843212"/>
    <w:rsid w:val="00845572"/>
    <w:rsid w:val="0085173F"/>
    <w:rsid w:val="00855775"/>
    <w:rsid w:val="008562C4"/>
    <w:rsid w:val="00860845"/>
    <w:rsid w:val="00861DFA"/>
    <w:rsid w:val="00862C50"/>
    <w:rsid w:val="00871B50"/>
    <w:rsid w:val="008800F2"/>
    <w:rsid w:val="008841E2"/>
    <w:rsid w:val="00884539"/>
    <w:rsid w:val="00893A10"/>
    <w:rsid w:val="00894B9F"/>
    <w:rsid w:val="00894C4B"/>
    <w:rsid w:val="008A0E3D"/>
    <w:rsid w:val="008A1DBF"/>
    <w:rsid w:val="008A6394"/>
    <w:rsid w:val="008B2F4D"/>
    <w:rsid w:val="008B6E35"/>
    <w:rsid w:val="008D3E08"/>
    <w:rsid w:val="008D4BBD"/>
    <w:rsid w:val="008D6345"/>
    <w:rsid w:val="008F47C5"/>
    <w:rsid w:val="008F5189"/>
    <w:rsid w:val="008F5E3E"/>
    <w:rsid w:val="008F6829"/>
    <w:rsid w:val="008F798F"/>
    <w:rsid w:val="0090349A"/>
    <w:rsid w:val="00907C2B"/>
    <w:rsid w:val="00910E1A"/>
    <w:rsid w:val="00920DB3"/>
    <w:rsid w:val="00921A63"/>
    <w:rsid w:val="00931B5D"/>
    <w:rsid w:val="00934606"/>
    <w:rsid w:val="00943455"/>
    <w:rsid w:val="00943497"/>
    <w:rsid w:val="00944DC2"/>
    <w:rsid w:val="0095010A"/>
    <w:rsid w:val="00950AF3"/>
    <w:rsid w:val="0095318F"/>
    <w:rsid w:val="00954290"/>
    <w:rsid w:val="009550D5"/>
    <w:rsid w:val="00955C9F"/>
    <w:rsid w:val="009561D2"/>
    <w:rsid w:val="009619E7"/>
    <w:rsid w:val="00973D0E"/>
    <w:rsid w:val="00984DC1"/>
    <w:rsid w:val="00990C03"/>
    <w:rsid w:val="009920B2"/>
    <w:rsid w:val="00992163"/>
    <w:rsid w:val="00997551"/>
    <w:rsid w:val="009A52EF"/>
    <w:rsid w:val="009A5408"/>
    <w:rsid w:val="009A5598"/>
    <w:rsid w:val="009A5637"/>
    <w:rsid w:val="009B041A"/>
    <w:rsid w:val="009B304A"/>
    <w:rsid w:val="009B3726"/>
    <w:rsid w:val="009B4389"/>
    <w:rsid w:val="009B5BCE"/>
    <w:rsid w:val="009B6B7C"/>
    <w:rsid w:val="009C1F61"/>
    <w:rsid w:val="009C5D06"/>
    <w:rsid w:val="009C63E0"/>
    <w:rsid w:val="009C6EE9"/>
    <w:rsid w:val="009D45AB"/>
    <w:rsid w:val="009D54BC"/>
    <w:rsid w:val="009D6C7A"/>
    <w:rsid w:val="009D741A"/>
    <w:rsid w:val="009E24A6"/>
    <w:rsid w:val="009E31BD"/>
    <w:rsid w:val="009E39DB"/>
    <w:rsid w:val="009F29E5"/>
    <w:rsid w:val="009F7AC2"/>
    <w:rsid w:val="00A02AB2"/>
    <w:rsid w:val="00A10999"/>
    <w:rsid w:val="00A127D2"/>
    <w:rsid w:val="00A13A05"/>
    <w:rsid w:val="00A13EC9"/>
    <w:rsid w:val="00A13FC5"/>
    <w:rsid w:val="00A25BA1"/>
    <w:rsid w:val="00A269F0"/>
    <w:rsid w:val="00A37647"/>
    <w:rsid w:val="00A4177A"/>
    <w:rsid w:val="00A46100"/>
    <w:rsid w:val="00A7415D"/>
    <w:rsid w:val="00A76625"/>
    <w:rsid w:val="00A82098"/>
    <w:rsid w:val="00A878F0"/>
    <w:rsid w:val="00A9412C"/>
    <w:rsid w:val="00AA0763"/>
    <w:rsid w:val="00AA5A89"/>
    <w:rsid w:val="00AB25F4"/>
    <w:rsid w:val="00AB2979"/>
    <w:rsid w:val="00AC2D95"/>
    <w:rsid w:val="00AD17D5"/>
    <w:rsid w:val="00AD3DF0"/>
    <w:rsid w:val="00AD58DF"/>
    <w:rsid w:val="00AD6320"/>
    <w:rsid w:val="00AE3F98"/>
    <w:rsid w:val="00AF4691"/>
    <w:rsid w:val="00AF4B35"/>
    <w:rsid w:val="00AF60AB"/>
    <w:rsid w:val="00B01C0A"/>
    <w:rsid w:val="00B02A07"/>
    <w:rsid w:val="00B03411"/>
    <w:rsid w:val="00B038AD"/>
    <w:rsid w:val="00B06E5A"/>
    <w:rsid w:val="00B238BD"/>
    <w:rsid w:val="00B30B66"/>
    <w:rsid w:val="00B327CE"/>
    <w:rsid w:val="00B342F0"/>
    <w:rsid w:val="00B50CEB"/>
    <w:rsid w:val="00B51D7F"/>
    <w:rsid w:val="00B549B4"/>
    <w:rsid w:val="00B55372"/>
    <w:rsid w:val="00B75F50"/>
    <w:rsid w:val="00B77133"/>
    <w:rsid w:val="00B82AD0"/>
    <w:rsid w:val="00B8303F"/>
    <w:rsid w:val="00B84BA9"/>
    <w:rsid w:val="00B85B67"/>
    <w:rsid w:val="00B862D7"/>
    <w:rsid w:val="00B8715E"/>
    <w:rsid w:val="00B95AD2"/>
    <w:rsid w:val="00B97813"/>
    <w:rsid w:val="00B97A59"/>
    <w:rsid w:val="00BB1010"/>
    <w:rsid w:val="00BB1E7A"/>
    <w:rsid w:val="00BB3F9A"/>
    <w:rsid w:val="00BB4AA0"/>
    <w:rsid w:val="00BB4C37"/>
    <w:rsid w:val="00BC5B50"/>
    <w:rsid w:val="00BD415D"/>
    <w:rsid w:val="00BD7624"/>
    <w:rsid w:val="00BE2FF2"/>
    <w:rsid w:val="00BE49EF"/>
    <w:rsid w:val="00BE4A32"/>
    <w:rsid w:val="00BE7FDE"/>
    <w:rsid w:val="00BF1F01"/>
    <w:rsid w:val="00BF2AB6"/>
    <w:rsid w:val="00BF397A"/>
    <w:rsid w:val="00BF51D6"/>
    <w:rsid w:val="00BF6FA2"/>
    <w:rsid w:val="00C00672"/>
    <w:rsid w:val="00C01F7B"/>
    <w:rsid w:val="00C022E0"/>
    <w:rsid w:val="00C13146"/>
    <w:rsid w:val="00C16EE1"/>
    <w:rsid w:val="00C17E60"/>
    <w:rsid w:val="00C20BE9"/>
    <w:rsid w:val="00C215DA"/>
    <w:rsid w:val="00C229AE"/>
    <w:rsid w:val="00C31675"/>
    <w:rsid w:val="00C3227B"/>
    <w:rsid w:val="00C329A3"/>
    <w:rsid w:val="00C3542D"/>
    <w:rsid w:val="00C43CB0"/>
    <w:rsid w:val="00C47886"/>
    <w:rsid w:val="00C51439"/>
    <w:rsid w:val="00C52F2B"/>
    <w:rsid w:val="00C546F5"/>
    <w:rsid w:val="00C557E3"/>
    <w:rsid w:val="00C63451"/>
    <w:rsid w:val="00C65185"/>
    <w:rsid w:val="00C717A3"/>
    <w:rsid w:val="00C726F3"/>
    <w:rsid w:val="00C73081"/>
    <w:rsid w:val="00C74F46"/>
    <w:rsid w:val="00C80BA3"/>
    <w:rsid w:val="00C86C80"/>
    <w:rsid w:val="00C97067"/>
    <w:rsid w:val="00C97F79"/>
    <w:rsid w:val="00CA3BF1"/>
    <w:rsid w:val="00CA7D1D"/>
    <w:rsid w:val="00CB1003"/>
    <w:rsid w:val="00CB2C25"/>
    <w:rsid w:val="00CB37A7"/>
    <w:rsid w:val="00CB50D5"/>
    <w:rsid w:val="00CC1E9A"/>
    <w:rsid w:val="00CC34B6"/>
    <w:rsid w:val="00CD59BA"/>
    <w:rsid w:val="00CE07F9"/>
    <w:rsid w:val="00CE10FB"/>
    <w:rsid w:val="00CE58C7"/>
    <w:rsid w:val="00CE5DCD"/>
    <w:rsid w:val="00CF0B14"/>
    <w:rsid w:val="00CF1DC0"/>
    <w:rsid w:val="00CF5B5A"/>
    <w:rsid w:val="00D00B5E"/>
    <w:rsid w:val="00D0232A"/>
    <w:rsid w:val="00D02618"/>
    <w:rsid w:val="00D041A0"/>
    <w:rsid w:val="00D0469A"/>
    <w:rsid w:val="00D104B9"/>
    <w:rsid w:val="00D14786"/>
    <w:rsid w:val="00D20BDB"/>
    <w:rsid w:val="00D21B98"/>
    <w:rsid w:val="00D21C06"/>
    <w:rsid w:val="00D22148"/>
    <w:rsid w:val="00D22EE3"/>
    <w:rsid w:val="00D315F1"/>
    <w:rsid w:val="00D40D68"/>
    <w:rsid w:val="00D43AC1"/>
    <w:rsid w:val="00D51EFC"/>
    <w:rsid w:val="00D528CA"/>
    <w:rsid w:val="00D602B7"/>
    <w:rsid w:val="00D655D8"/>
    <w:rsid w:val="00D70F9D"/>
    <w:rsid w:val="00D73A6B"/>
    <w:rsid w:val="00D7709C"/>
    <w:rsid w:val="00D77352"/>
    <w:rsid w:val="00D8075B"/>
    <w:rsid w:val="00D80E82"/>
    <w:rsid w:val="00D80FE1"/>
    <w:rsid w:val="00D86022"/>
    <w:rsid w:val="00D87554"/>
    <w:rsid w:val="00D87B7C"/>
    <w:rsid w:val="00D91E87"/>
    <w:rsid w:val="00D937B1"/>
    <w:rsid w:val="00D939CF"/>
    <w:rsid w:val="00D970C5"/>
    <w:rsid w:val="00D9743A"/>
    <w:rsid w:val="00D97B34"/>
    <w:rsid w:val="00DA0984"/>
    <w:rsid w:val="00DA332D"/>
    <w:rsid w:val="00DA4573"/>
    <w:rsid w:val="00DA4754"/>
    <w:rsid w:val="00DA4A92"/>
    <w:rsid w:val="00DA7846"/>
    <w:rsid w:val="00DB01C0"/>
    <w:rsid w:val="00DB40EA"/>
    <w:rsid w:val="00DB6D03"/>
    <w:rsid w:val="00DC0076"/>
    <w:rsid w:val="00DC2BD1"/>
    <w:rsid w:val="00DD0FCA"/>
    <w:rsid w:val="00DD16B4"/>
    <w:rsid w:val="00DD7A2A"/>
    <w:rsid w:val="00DD7A80"/>
    <w:rsid w:val="00DE120C"/>
    <w:rsid w:val="00DE31B4"/>
    <w:rsid w:val="00DE6DF7"/>
    <w:rsid w:val="00DF2381"/>
    <w:rsid w:val="00DF415E"/>
    <w:rsid w:val="00E00EF7"/>
    <w:rsid w:val="00E01F29"/>
    <w:rsid w:val="00E05297"/>
    <w:rsid w:val="00E05BA0"/>
    <w:rsid w:val="00E16CF0"/>
    <w:rsid w:val="00E20679"/>
    <w:rsid w:val="00E3099C"/>
    <w:rsid w:val="00E32B51"/>
    <w:rsid w:val="00E330C3"/>
    <w:rsid w:val="00E44F8B"/>
    <w:rsid w:val="00E46C40"/>
    <w:rsid w:val="00E51EE0"/>
    <w:rsid w:val="00E53AE7"/>
    <w:rsid w:val="00E54C8A"/>
    <w:rsid w:val="00E63DCE"/>
    <w:rsid w:val="00E641D5"/>
    <w:rsid w:val="00E6452D"/>
    <w:rsid w:val="00E64E1F"/>
    <w:rsid w:val="00E71308"/>
    <w:rsid w:val="00E731BE"/>
    <w:rsid w:val="00E75E29"/>
    <w:rsid w:val="00E84C6B"/>
    <w:rsid w:val="00E96FBB"/>
    <w:rsid w:val="00EA0153"/>
    <w:rsid w:val="00EB078E"/>
    <w:rsid w:val="00EB1E44"/>
    <w:rsid w:val="00EB4193"/>
    <w:rsid w:val="00EB5E21"/>
    <w:rsid w:val="00EB6FBD"/>
    <w:rsid w:val="00EC08CF"/>
    <w:rsid w:val="00EC3504"/>
    <w:rsid w:val="00ED0099"/>
    <w:rsid w:val="00ED4987"/>
    <w:rsid w:val="00EE0465"/>
    <w:rsid w:val="00EE3E01"/>
    <w:rsid w:val="00EE5FD4"/>
    <w:rsid w:val="00F01F7D"/>
    <w:rsid w:val="00F0240F"/>
    <w:rsid w:val="00F031D0"/>
    <w:rsid w:val="00F03C79"/>
    <w:rsid w:val="00F060AC"/>
    <w:rsid w:val="00F101B1"/>
    <w:rsid w:val="00F232B4"/>
    <w:rsid w:val="00F26082"/>
    <w:rsid w:val="00F33608"/>
    <w:rsid w:val="00F401EC"/>
    <w:rsid w:val="00F475AF"/>
    <w:rsid w:val="00F516B1"/>
    <w:rsid w:val="00F5412A"/>
    <w:rsid w:val="00F60FFB"/>
    <w:rsid w:val="00F61531"/>
    <w:rsid w:val="00F758E7"/>
    <w:rsid w:val="00F84BE6"/>
    <w:rsid w:val="00F85ADC"/>
    <w:rsid w:val="00F90B7D"/>
    <w:rsid w:val="00F93E66"/>
    <w:rsid w:val="00F93EB9"/>
    <w:rsid w:val="00FA1B87"/>
    <w:rsid w:val="00FB044C"/>
    <w:rsid w:val="00FB234D"/>
    <w:rsid w:val="00FB3FE3"/>
    <w:rsid w:val="00FC282E"/>
    <w:rsid w:val="00FC2D99"/>
    <w:rsid w:val="00FD267A"/>
    <w:rsid w:val="00FD3D80"/>
    <w:rsid w:val="00FD52D7"/>
    <w:rsid w:val="00FD60C3"/>
    <w:rsid w:val="00FE5FDD"/>
    <w:rsid w:val="00FE6E44"/>
    <w:rsid w:val="00FF1560"/>
    <w:rsid w:val="00FF1C18"/>
    <w:rsid w:val="00FF2DF5"/>
    <w:rsid w:val="00FF2E18"/>
    <w:rsid w:val="00FF467C"/>
    <w:rsid w:val="00FF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B51"/>
    <w:rPr>
      <w:sz w:val="24"/>
      <w:szCs w:val="24"/>
    </w:rPr>
  </w:style>
  <w:style w:type="paragraph" w:styleId="Heading1">
    <w:name w:val="heading 1"/>
    <w:basedOn w:val="Normal"/>
    <w:next w:val="Normal"/>
    <w:qFormat/>
    <w:rsid w:val="00C354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D5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BodyText">
    <w:name w:val="ABA Body Text"/>
    <w:basedOn w:val="Normal"/>
    <w:next w:val="Normal"/>
    <w:rsid w:val="001573CB"/>
    <w:pPr>
      <w:autoSpaceDE w:val="0"/>
      <w:autoSpaceDN w:val="0"/>
      <w:adjustRightInd w:val="0"/>
      <w:spacing w:before="80" w:after="120"/>
    </w:pPr>
    <w:rPr>
      <w:rFonts w:ascii="NIBBFE+TimesNewRoman" w:hAnsi="NIBBFE+TimesNewRoman"/>
    </w:rPr>
  </w:style>
  <w:style w:type="paragraph" w:styleId="BalloonText">
    <w:name w:val="Balloon Text"/>
    <w:basedOn w:val="Normal"/>
    <w:semiHidden/>
    <w:rsid w:val="002C7C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A6394"/>
    <w:rPr>
      <w:sz w:val="16"/>
      <w:szCs w:val="16"/>
    </w:rPr>
  </w:style>
  <w:style w:type="paragraph" w:styleId="CommentText">
    <w:name w:val="annotation text"/>
    <w:basedOn w:val="Normal"/>
    <w:semiHidden/>
    <w:rsid w:val="008A63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6394"/>
    <w:rPr>
      <w:b/>
      <w:bCs/>
    </w:rPr>
  </w:style>
  <w:style w:type="paragraph" w:styleId="Footer">
    <w:name w:val="footer"/>
    <w:basedOn w:val="Normal"/>
    <w:rsid w:val="00F516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16B1"/>
  </w:style>
  <w:style w:type="character" w:styleId="Hyperlink">
    <w:name w:val="Hyperlink"/>
    <w:basedOn w:val="DefaultParagraphFont"/>
    <w:rsid w:val="00C47886"/>
    <w:rPr>
      <w:color w:val="0000FF"/>
      <w:u w:val="single"/>
    </w:rPr>
  </w:style>
  <w:style w:type="paragraph" w:styleId="Header">
    <w:name w:val="header"/>
    <w:basedOn w:val="Normal"/>
    <w:rsid w:val="00C20BE9"/>
    <w:pPr>
      <w:tabs>
        <w:tab w:val="center" w:pos="4153"/>
        <w:tab w:val="right" w:pos="8306"/>
      </w:tabs>
    </w:pPr>
  </w:style>
  <w:style w:type="paragraph" w:customStyle="1" w:styleId="ACMANumberedList">
    <w:name w:val="ACMA Numbered List"/>
    <w:rsid w:val="00D655D8"/>
    <w:pPr>
      <w:numPr>
        <w:numId w:val="13"/>
      </w:numPr>
      <w:tabs>
        <w:tab w:val="clear" w:pos="720"/>
      </w:tabs>
      <w:spacing w:before="20" w:after="20"/>
      <w:ind w:left="360"/>
    </w:pPr>
    <w:rPr>
      <w:sz w:val="24"/>
      <w:lang w:eastAsia="en-US"/>
    </w:rPr>
  </w:style>
  <w:style w:type="paragraph" w:customStyle="1" w:styleId="indenta">
    <w:name w:val="indent(a)"/>
    <w:aliases w:val="a"/>
    <w:basedOn w:val="Normal"/>
    <w:rsid w:val="00C3542D"/>
    <w:pPr>
      <w:tabs>
        <w:tab w:val="right" w:pos="1531"/>
      </w:tabs>
      <w:spacing w:before="40" w:line="260" w:lineRule="atLeast"/>
      <w:ind w:left="1644" w:hanging="1644"/>
    </w:pPr>
    <w:rPr>
      <w:rFonts w:ascii="Times" w:hAnsi="Times"/>
      <w:sz w:val="22"/>
      <w:szCs w:val="20"/>
      <w:lang w:eastAsia="en-US"/>
    </w:rPr>
  </w:style>
  <w:style w:type="paragraph" w:customStyle="1" w:styleId="ACMABulletLevel1">
    <w:name w:val="ACMA Bullet Level 1"/>
    <w:rsid w:val="007015D6"/>
    <w:pPr>
      <w:numPr>
        <w:numId w:val="14"/>
      </w:numPr>
      <w:tabs>
        <w:tab w:val="clear" w:pos="-31680"/>
        <w:tab w:val="num" w:pos="1008"/>
      </w:tabs>
      <w:spacing w:after="120"/>
      <w:ind w:left="1008" w:hanging="360"/>
    </w:pPr>
    <w:rPr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415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F415E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Bullet">
    <w:name w:val="List Bullet"/>
    <w:basedOn w:val="Normal"/>
    <w:rsid w:val="00691A89"/>
    <w:pPr>
      <w:numPr>
        <w:numId w:val="19"/>
      </w:numPr>
      <w:spacing w:after="80" w:line="240" w:lineRule="atLeast"/>
    </w:pPr>
    <w:rPr>
      <w:rFonts w:ascii="HelveticaNeueLT Std Lt" w:hAnsi="HelveticaNeueLT Std Lt"/>
      <w:sz w:val="20"/>
    </w:rPr>
  </w:style>
  <w:style w:type="character" w:styleId="FootnoteReference">
    <w:name w:val="footnote reference"/>
    <w:basedOn w:val="DefaultParagraphFont"/>
    <w:uiPriority w:val="99"/>
    <w:rsid w:val="00691A89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91A89"/>
    <w:pPr>
      <w:spacing w:line="240" w:lineRule="atLeast"/>
    </w:pPr>
    <w:rPr>
      <w:rFonts w:ascii="HelveticaNeueLT Std Lt" w:hAnsi="HelveticaNeueLT Std Lt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1A89"/>
    <w:rPr>
      <w:rFonts w:ascii="HelveticaNeueLT Std Lt" w:hAnsi="HelveticaNeueLT Std Lt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40FA-3145-4752-A73A-D2A5668130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1649A7-673F-4DC6-A085-FA47411F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1661</Words>
  <Characters>9478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Subclause 6(1) of Schedule 4 to the Broadcasting Services Act 1992 provides that the Australian Communications and Media Authority (ACMA) must formulate a scheme for the conversion, over time, of the transmission of commercial television broadcasting ser</vt:lpstr>
    </vt:vector>
  </TitlesOfParts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Subclause 6(1) of Schedule 4 to the Broadcasting Services Act 1992 provides that the Australian Communications and Media Authority (ACMA) must formulate a scheme for the conversion, over time, of the transmission of commercial television broadcasting ser</dc:title>
  <dc:creator/>
  <cp:lastModifiedBy/>
  <cp:revision>1</cp:revision>
  <dcterms:created xsi:type="dcterms:W3CDTF">2013-03-17T23:19:00Z</dcterms:created>
  <dcterms:modified xsi:type="dcterms:W3CDTF">2013-03-17T23:19:00Z</dcterms:modified>
</cp:coreProperties>
</file>